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1FFEA1">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5F366F6F">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47B8C9A9">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rPr>
        <w:t>：</w:t>
      </w:r>
    </w:p>
    <w:p w14:paraId="0D5A33EF">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0E05ED76">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5FD9C734">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eastAsia"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p>
    <w:p w14:paraId="2F6B2052">
      <w:pPr>
        <w:keepNext w:val="0"/>
        <w:keepLines w:val="0"/>
        <w:pageBreakBefore w:val="0"/>
        <w:widowControl w:val="0"/>
        <w:kinsoku/>
        <w:wordWrap/>
        <w:overflowPunct/>
        <w:topLinePunct w:val="0"/>
        <w:autoSpaceDE/>
        <w:autoSpaceDN/>
        <w:bidi w:val="0"/>
        <w:adjustRightInd/>
        <w:snapToGrid w:val="0"/>
        <w:spacing w:line="360" w:lineRule="auto"/>
        <w:ind w:firstLine="435"/>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4.下列采购需求中：标注▲的产品为核心产品（主要中标标的）。</w:t>
      </w:r>
    </w:p>
    <w:p w14:paraId="3BAAA586">
      <w:pPr>
        <w:widowControl/>
        <w:wordWrap/>
        <w:ind w:firstLine="482" w:firstLineChars="200"/>
        <w:jc w:val="center"/>
        <w:outlineLvl w:val="2"/>
        <w:rPr>
          <w:rFonts w:hint="eastAsia" w:ascii="宋体" w:hAnsi="宋体" w:eastAsia="宋体" w:cs="宋体"/>
          <w:b/>
          <w:bCs/>
          <w:color w:val="auto"/>
          <w:sz w:val="24"/>
          <w:szCs w:val="24"/>
          <w:highlight w:val="yellow"/>
          <w:lang w:val="en-US" w:eastAsia="zh-CN"/>
        </w:rPr>
      </w:pPr>
      <w:bookmarkStart w:id="0" w:name="_Toc32151"/>
      <w:bookmarkStart w:id="1" w:name="_Toc2554"/>
    </w:p>
    <w:p w14:paraId="2CB8D89B">
      <w:pPr>
        <w:widowControl/>
        <w:wordWrap/>
        <w:ind w:firstLine="482" w:firstLineChars="200"/>
        <w:jc w:val="center"/>
        <w:outlineLvl w:val="2"/>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第1包采购需求</w:t>
      </w:r>
    </w:p>
    <w:p w14:paraId="61EA68CA">
      <w:pPr>
        <w:spacing w:line="360" w:lineRule="auto"/>
        <w:ind w:firstLine="437"/>
        <w:outlineLvl w:val="1"/>
        <w:rPr>
          <w:rFonts w:ascii="宋体" w:hAnsi="宋体" w:eastAsia="宋体"/>
          <w:b/>
          <w:color w:val="auto"/>
          <w:sz w:val="24"/>
          <w:szCs w:val="18"/>
          <w:highlight w:val="none"/>
        </w:rPr>
      </w:pPr>
      <w:bookmarkStart w:id="2" w:name="_Toc15371"/>
      <w:r>
        <w:rPr>
          <w:rFonts w:hint="eastAsia" w:ascii="宋体" w:hAnsi="宋体" w:eastAsia="宋体"/>
          <w:b/>
          <w:color w:val="auto"/>
          <w:sz w:val="24"/>
          <w:szCs w:val="18"/>
          <w:highlight w:val="none"/>
        </w:rPr>
        <w:t>一、采购需求前附表</w:t>
      </w:r>
      <w:bookmarkEnd w:id="0"/>
      <w:bookmarkEnd w:id="1"/>
      <w:bookmarkEnd w:id="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232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2F692706">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6D74270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21E7975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637C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F78E449">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0791CD32">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shd w:val="clear" w:color="auto" w:fill="auto"/>
            <w:vAlign w:val="center"/>
          </w:tcPr>
          <w:p w14:paraId="4B0ACE9B">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合同生效后，采购人付至合同价的</w:t>
            </w:r>
            <w:r>
              <w:rPr>
                <w:rFonts w:hint="eastAsia" w:ascii="宋体" w:hAnsi="宋体" w:eastAsia="宋体"/>
                <w:b w:val="0"/>
                <w:color w:val="auto"/>
                <w:sz w:val="24"/>
                <w:highlight w:val="none"/>
                <w:lang w:val="en-US" w:eastAsia="zh-CN"/>
              </w:rPr>
              <w:t>70</w:t>
            </w:r>
            <w:r>
              <w:rPr>
                <w:rFonts w:hint="eastAsia" w:ascii="宋体" w:hAnsi="宋体" w:eastAsia="宋体"/>
                <w:b w:val="0"/>
                <w:color w:val="auto"/>
                <w:sz w:val="24"/>
                <w:highlight w:val="none"/>
              </w:rPr>
              <w:t>%（中标人须提供等额预付款担保），项目经验收合格且相关资料齐备己移交后，一次性付清合同价款。</w:t>
            </w:r>
          </w:p>
          <w:p w14:paraId="0FD14B5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注：</w:t>
            </w:r>
          </w:p>
          <w:p w14:paraId="46F66D2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（1）中标人未按规定提供预付款担保的，视为放弃预付款；</w:t>
            </w:r>
          </w:p>
          <w:p w14:paraId="501F441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（2）预付款担保要求：如采用银行保函、担保机构出具的保函（担保机构担保）均须满足无条件见索即付条件。</w:t>
            </w:r>
          </w:p>
        </w:tc>
      </w:tr>
      <w:tr w14:paraId="0045E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590" w:type="pct"/>
            <w:vAlign w:val="center"/>
          </w:tcPr>
          <w:p w14:paraId="254DFE53">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3227CC9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5D6CAB9F">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安徽省农业科学院水产研究所</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具体按采购人指定地点。</w:t>
            </w:r>
            <w:r>
              <w:rPr>
                <w:rFonts w:hint="eastAsia" w:ascii="宋体" w:hAnsi="宋体" w:eastAsia="宋体"/>
                <w:b w:val="0"/>
                <w:color w:val="auto"/>
                <w:sz w:val="24"/>
                <w:highlight w:val="none"/>
              </w:rPr>
              <w:t xml:space="preserve">        </w:t>
            </w:r>
          </w:p>
        </w:tc>
      </w:tr>
      <w:tr w14:paraId="663D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0" w:type="pct"/>
            <w:vAlign w:val="center"/>
          </w:tcPr>
          <w:p w14:paraId="6866D266">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42F846B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786B8C9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合同生效之日起，105个日历日内完成供货、安装、调试、培训等所有工作内容。</w:t>
            </w:r>
          </w:p>
        </w:tc>
      </w:tr>
      <w:tr w14:paraId="1EB1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4BF2D96">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417CCEFE">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1339944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自验收合格之日起，1年。</w:t>
            </w:r>
          </w:p>
        </w:tc>
      </w:tr>
    </w:tbl>
    <w:p w14:paraId="52F5AEB1">
      <w:pPr>
        <w:spacing w:line="360" w:lineRule="auto"/>
        <w:ind w:firstLine="437"/>
        <w:outlineLvl w:val="1"/>
        <w:rPr>
          <w:rFonts w:hint="eastAsia" w:ascii="宋体" w:hAnsi="宋体" w:eastAsia="宋体"/>
          <w:b/>
          <w:bCs/>
          <w:color w:val="auto"/>
          <w:sz w:val="24"/>
          <w:szCs w:val="18"/>
          <w:highlight w:val="none"/>
        </w:rPr>
      </w:pPr>
      <w:bookmarkStart w:id="3" w:name="_Toc7671"/>
      <w:bookmarkStart w:id="4" w:name="_Toc5944"/>
    </w:p>
    <w:p w14:paraId="53F474FD">
      <w:pPr>
        <w:spacing w:line="360" w:lineRule="auto"/>
        <w:ind w:firstLine="437"/>
        <w:outlineLvl w:val="1"/>
        <w:rPr>
          <w:rFonts w:hint="eastAsia" w:ascii="宋体" w:hAnsi="宋体" w:eastAsia="宋体"/>
          <w:b/>
          <w:bCs/>
          <w:color w:val="auto"/>
          <w:sz w:val="24"/>
          <w:szCs w:val="18"/>
          <w:highlight w:val="none"/>
        </w:rPr>
      </w:pPr>
      <w:bookmarkStart w:id="5" w:name="_Toc27074"/>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3"/>
      <w:bookmarkEnd w:id="4"/>
      <w:bookmarkEnd w:id="5"/>
    </w:p>
    <w:p w14:paraId="23E19168">
      <w:pPr>
        <w:widowControl/>
        <w:wordWrap/>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sz w:val="24"/>
          <w:szCs w:val="24"/>
          <w:highlight w:val="none"/>
        </w:rPr>
        <w:t>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3BB2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4F038B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noWrap w:val="0"/>
            <w:vAlign w:val="center"/>
          </w:tcPr>
          <w:p w14:paraId="46F827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noWrap w:val="0"/>
            <w:vAlign w:val="center"/>
          </w:tcPr>
          <w:p w14:paraId="04E71C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5947D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32E0D2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重要指标项</w:t>
            </w:r>
          </w:p>
        </w:tc>
        <w:tc>
          <w:tcPr>
            <w:tcW w:w="1365" w:type="dxa"/>
            <w:shd w:val="clear" w:color="auto" w:fill="auto"/>
            <w:noWrap w:val="0"/>
            <w:vAlign w:val="center"/>
          </w:tcPr>
          <w:p w14:paraId="60923B9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000000"/>
                <w:kern w:val="2"/>
                <w:sz w:val="24"/>
                <w:szCs w:val="24"/>
                <w:highlight w:val="none"/>
                <w:lang w:val="en-US" w:eastAsia="zh-CN" w:bidi="ar-SA"/>
              </w:rPr>
            </w:pPr>
            <w:r>
              <w:rPr>
                <w:rFonts w:hint="eastAsia" w:ascii="宋体" w:hAnsi="宋体" w:eastAsia="宋体" w:cs="宋体"/>
                <w:color w:val="000000"/>
                <w:sz w:val="24"/>
                <w:szCs w:val="24"/>
                <w:highlight w:val="none"/>
              </w:rPr>
              <w:t>★</w:t>
            </w:r>
          </w:p>
        </w:tc>
        <w:tc>
          <w:tcPr>
            <w:tcW w:w="5363" w:type="dxa"/>
            <w:shd w:val="clear" w:color="auto" w:fill="auto"/>
            <w:noWrap w:val="0"/>
            <w:vAlign w:val="center"/>
          </w:tcPr>
          <w:p w14:paraId="5018458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000000"/>
                <w:kern w:val="2"/>
                <w:sz w:val="24"/>
                <w:szCs w:val="24"/>
                <w:highlight w:val="none"/>
                <w:lang w:val="en-US" w:eastAsia="zh-CN" w:bidi="ar-SA"/>
              </w:rPr>
            </w:pPr>
            <w:r>
              <w:rPr>
                <w:rFonts w:hint="eastAsia" w:ascii="宋体" w:hAnsi="宋体" w:eastAsia="宋体" w:cs="宋体"/>
                <w:bCs/>
                <w:color w:val="000000"/>
                <w:sz w:val="24"/>
                <w:szCs w:val="24"/>
                <w:highlight w:val="none"/>
              </w:rPr>
              <w:t>评分项，</w:t>
            </w:r>
            <w:r>
              <w:rPr>
                <w:rFonts w:hint="eastAsia" w:ascii="宋体" w:hAnsi="宋体" w:eastAsia="宋体" w:cs="宋体"/>
                <w:color w:val="000000"/>
                <w:kern w:val="2"/>
                <w:sz w:val="24"/>
                <w:szCs w:val="24"/>
                <w:highlight w:val="none"/>
                <w:lang w:val="en-US" w:eastAsia="zh-CN" w:bidi="ar"/>
              </w:rPr>
              <w:t>详见评标办法和标准。</w:t>
            </w:r>
          </w:p>
        </w:tc>
      </w:tr>
      <w:tr w14:paraId="3A89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106665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核心指标项</w:t>
            </w:r>
          </w:p>
        </w:tc>
        <w:tc>
          <w:tcPr>
            <w:tcW w:w="1365" w:type="dxa"/>
            <w:shd w:val="clear" w:color="auto" w:fill="auto"/>
            <w:noWrap w:val="0"/>
            <w:vAlign w:val="center"/>
          </w:tcPr>
          <w:p w14:paraId="45E6649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w:t>
            </w:r>
          </w:p>
        </w:tc>
        <w:tc>
          <w:tcPr>
            <w:tcW w:w="5363" w:type="dxa"/>
            <w:shd w:val="clear" w:color="auto" w:fill="auto"/>
            <w:noWrap w:val="0"/>
            <w:vAlign w:val="center"/>
          </w:tcPr>
          <w:p w14:paraId="2C4FC00A">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000000"/>
                <w:kern w:val="2"/>
                <w:sz w:val="24"/>
                <w:szCs w:val="24"/>
                <w:highlight w:val="none"/>
                <w:lang w:val="en-US" w:eastAsia="zh-CN" w:bidi="ar-SA"/>
              </w:rPr>
            </w:pPr>
            <w:r>
              <w:rPr>
                <w:rFonts w:hint="eastAsia" w:ascii="宋体" w:hAnsi="宋体" w:eastAsia="宋体" w:cs="宋体"/>
                <w:bCs/>
                <w:color w:val="000000"/>
                <w:kern w:val="2"/>
                <w:sz w:val="24"/>
                <w:szCs w:val="24"/>
                <w:highlight w:val="none"/>
                <w:lang w:val="en-US" w:eastAsia="zh-CN" w:bidi="ar-SA"/>
              </w:rPr>
              <w:t>符合性审查项，负偏离或未响应的，</w:t>
            </w:r>
            <w:r>
              <w:rPr>
                <w:rFonts w:hint="eastAsia" w:ascii="宋体" w:hAnsi="宋体" w:eastAsia="宋体" w:cs="宋体"/>
                <w:b/>
                <w:bCs w:val="0"/>
                <w:color w:val="000000"/>
                <w:kern w:val="2"/>
                <w:sz w:val="24"/>
                <w:szCs w:val="24"/>
                <w:highlight w:val="none"/>
                <w:lang w:val="en-US" w:eastAsia="zh-CN" w:bidi="ar-SA"/>
              </w:rPr>
              <w:t>投标无效</w:t>
            </w:r>
            <w:r>
              <w:rPr>
                <w:rFonts w:hint="eastAsia" w:ascii="宋体" w:hAnsi="宋体" w:eastAsia="宋体" w:cs="宋体"/>
                <w:bCs/>
                <w:color w:val="000000"/>
                <w:kern w:val="2"/>
                <w:sz w:val="24"/>
                <w:szCs w:val="24"/>
                <w:highlight w:val="none"/>
                <w:lang w:val="en-US" w:eastAsia="zh-CN" w:bidi="ar-SA"/>
              </w:rPr>
              <w:t>。</w:t>
            </w:r>
          </w:p>
        </w:tc>
      </w:tr>
      <w:tr w14:paraId="2EC2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5DF44B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无标识项</w:t>
            </w:r>
          </w:p>
        </w:tc>
        <w:tc>
          <w:tcPr>
            <w:tcW w:w="1365" w:type="dxa"/>
            <w:noWrap w:val="0"/>
            <w:vAlign w:val="center"/>
          </w:tcPr>
          <w:p w14:paraId="64CE8E57">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000000"/>
                <w:sz w:val="24"/>
                <w:szCs w:val="24"/>
                <w:highlight w:val="none"/>
              </w:rPr>
            </w:pPr>
          </w:p>
        </w:tc>
        <w:tc>
          <w:tcPr>
            <w:tcW w:w="5363" w:type="dxa"/>
            <w:noWrap w:val="0"/>
            <w:vAlign w:val="center"/>
          </w:tcPr>
          <w:p w14:paraId="057365BA">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000000"/>
                <w:kern w:val="2"/>
                <w:sz w:val="24"/>
                <w:szCs w:val="24"/>
                <w:highlight w:val="none"/>
                <w:lang w:val="en-US" w:eastAsia="zh-CN" w:bidi="ar-SA"/>
              </w:rPr>
            </w:pPr>
            <w:r>
              <w:rPr>
                <w:rFonts w:hint="eastAsia" w:ascii="宋体" w:hAnsi="宋体" w:eastAsia="宋体" w:cs="宋体"/>
                <w:bCs/>
                <w:color w:val="000000"/>
                <w:kern w:val="2"/>
                <w:sz w:val="24"/>
                <w:szCs w:val="24"/>
                <w:highlight w:val="none"/>
                <w:lang w:val="en-US" w:eastAsia="zh-CN" w:bidi="ar-SA"/>
              </w:rPr>
              <w:t>符合性审查项，该指标项最大允许负偏离</w:t>
            </w:r>
            <w:r>
              <w:rPr>
                <w:rFonts w:hint="eastAsia" w:ascii="宋体" w:hAnsi="宋体" w:eastAsia="宋体" w:cs="宋体"/>
                <w:bCs/>
                <w:color w:val="000000"/>
                <w:kern w:val="2"/>
                <w:sz w:val="24"/>
                <w:szCs w:val="24"/>
                <w:highlight w:val="none"/>
                <w:u w:val="single"/>
                <w:lang w:val="en-US" w:eastAsia="zh-CN" w:bidi="ar-SA"/>
              </w:rPr>
              <w:t>3</w:t>
            </w:r>
            <w:r>
              <w:rPr>
                <w:rFonts w:hint="eastAsia" w:ascii="宋体" w:hAnsi="宋体" w:eastAsia="宋体" w:cs="宋体"/>
                <w:bCs/>
                <w:color w:val="000000"/>
                <w:kern w:val="2"/>
                <w:sz w:val="24"/>
                <w:szCs w:val="24"/>
                <w:highlight w:val="none"/>
                <w:lang w:val="en-US" w:eastAsia="zh-CN" w:bidi="ar-SA"/>
              </w:rPr>
              <w:t>项，超过最大允许负偏离项数的，</w:t>
            </w:r>
            <w:r>
              <w:rPr>
                <w:rFonts w:hint="eastAsia" w:ascii="宋体" w:hAnsi="宋体" w:eastAsia="宋体" w:cs="宋体"/>
                <w:b/>
                <w:bCs w:val="0"/>
                <w:color w:val="000000"/>
                <w:kern w:val="2"/>
                <w:sz w:val="24"/>
                <w:szCs w:val="24"/>
                <w:highlight w:val="none"/>
                <w:lang w:val="en-US" w:eastAsia="zh-CN" w:bidi="ar-SA"/>
              </w:rPr>
              <w:t>投标无效</w:t>
            </w:r>
            <w:r>
              <w:rPr>
                <w:rFonts w:hint="eastAsia" w:ascii="宋体" w:hAnsi="宋体" w:eastAsia="宋体" w:cs="宋体"/>
                <w:bCs/>
                <w:color w:val="000000"/>
                <w:kern w:val="2"/>
                <w:sz w:val="24"/>
                <w:szCs w:val="24"/>
                <w:highlight w:val="none"/>
                <w:lang w:val="en-US" w:eastAsia="zh-CN" w:bidi="ar-SA"/>
              </w:rPr>
              <w:t>。</w:t>
            </w:r>
          </w:p>
        </w:tc>
      </w:tr>
      <w:tr w14:paraId="31C7E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190DBDBF">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02F5E783">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（1）</w:t>
            </w:r>
            <w:r>
              <w:rPr>
                <w:rFonts w:hint="eastAsia" w:ascii="宋体" w:hAnsi="宋体" w:eastAsia="宋体" w:cs="宋体"/>
                <w:color w:val="000000"/>
                <w:sz w:val="24"/>
                <w:szCs w:val="24"/>
                <w:highlight w:val="none"/>
              </w:rPr>
              <w:t>标识条款中如包含多条子项技术参数或要求，则需满足或优于该标识条款内所有子项技术参数或要求方能得分。</w:t>
            </w:r>
          </w:p>
          <w:p w14:paraId="51EC7F8B">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kern w:val="0"/>
                <w:sz w:val="24"/>
                <w:szCs w:val="24"/>
                <w:highlight w:val="none"/>
              </w:rPr>
              <w:t>下述技术参数所涉及的具体物理尺寸</w:t>
            </w:r>
            <w:r>
              <w:rPr>
                <w:rFonts w:hint="eastAsia" w:ascii="宋体" w:hAnsi="宋体" w:eastAsia="宋体" w:cs="宋体"/>
                <w:kern w:val="0"/>
                <w:sz w:val="24"/>
                <w:szCs w:val="24"/>
                <w:highlight w:val="none"/>
                <w:lang w:eastAsia="zh-CN"/>
              </w:rPr>
              <w:t>：货物需求清单</w:t>
            </w:r>
            <w:r>
              <w:rPr>
                <w:rFonts w:hint="eastAsia" w:ascii="宋体" w:hAnsi="宋体" w:eastAsia="宋体" w:cs="宋体"/>
                <w:kern w:val="0"/>
                <w:sz w:val="24"/>
                <w:szCs w:val="24"/>
                <w:highlight w:val="none"/>
                <w:lang w:val="en-US" w:eastAsia="zh-CN"/>
              </w:rPr>
              <w:t>中明确允许偏离范围的，按货物需求清单</w:t>
            </w:r>
            <w:r>
              <w:rPr>
                <w:rFonts w:hint="eastAsia" w:ascii="宋体" w:hAnsi="宋体" w:eastAsia="宋体" w:cs="宋体"/>
                <w:sz w:val="24"/>
                <w:szCs w:val="24"/>
                <w:highlight w:val="none"/>
                <w:lang w:val="en-US" w:eastAsia="zh-CN"/>
              </w:rPr>
              <w:t>要求</w:t>
            </w:r>
            <w:r>
              <w:rPr>
                <w:rFonts w:hint="eastAsia" w:ascii="宋体" w:hAnsi="宋体" w:eastAsia="宋体" w:cs="宋体"/>
                <w:kern w:val="0"/>
                <w:sz w:val="24"/>
                <w:szCs w:val="24"/>
                <w:highlight w:val="none"/>
                <w:lang w:val="en-US" w:eastAsia="zh-CN"/>
              </w:rPr>
              <w:t>执行；货物需求清单中未明确允许偏离范围的，</w:t>
            </w:r>
            <w:r>
              <w:rPr>
                <w:rFonts w:hint="eastAsia" w:ascii="宋体" w:hAnsi="宋体" w:eastAsia="宋体" w:cs="宋体"/>
                <w:kern w:val="0"/>
                <w:sz w:val="24"/>
                <w:szCs w:val="24"/>
                <w:highlight w:val="none"/>
              </w:rPr>
              <w:t>允许±5%偏离</w:t>
            </w:r>
            <w:r>
              <w:rPr>
                <w:rFonts w:hint="eastAsia" w:ascii="宋体" w:hAnsi="宋体" w:eastAsia="宋体" w:cs="宋体"/>
                <w:sz w:val="24"/>
                <w:szCs w:val="24"/>
                <w:highlight w:val="none"/>
              </w:rPr>
              <w:t>。</w:t>
            </w:r>
          </w:p>
        </w:tc>
      </w:tr>
    </w:tbl>
    <w:p w14:paraId="7AA414BA">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sz w:val="24"/>
          <w:szCs w:val="24"/>
          <w:highlight w:val="none"/>
        </w:rPr>
      </w:pPr>
    </w:p>
    <w:p w14:paraId="64EA83CE">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b/>
          <w:bCs/>
          <w:color w:val="auto"/>
          <w:sz w:val="24"/>
          <w:szCs w:val="18"/>
          <w:highlight w:val="none"/>
        </w:rPr>
      </w:pPr>
      <w:r>
        <w:rPr>
          <w:rFonts w:hint="eastAsia" w:ascii="宋体" w:hAnsi="宋体" w:eastAsia="宋体" w:cs="宋体"/>
          <w:b/>
          <w:bCs/>
          <w:sz w:val="24"/>
          <w:szCs w:val="24"/>
          <w:highlight w:val="none"/>
          <w:lang w:eastAsia="zh-CN"/>
        </w:rPr>
        <w:t>（二）</w:t>
      </w:r>
      <w:r>
        <w:rPr>
          <w:rFonts w:hint="eastAsia" w:ascii="宋体" w:hAnsi="宋体" w:eastAsia="宋体" w:cs="宋体"/>
          <w:b/>
          <w:bCs/>
          <w:sz w:val="24"/>
          <w:szCs w:val="24"/>
          <w:highlight w:val="none"/>
          <w:lang w:val="en-US" w:eastAsia="zh-CN"/>
        </w:rPr>
        <w:t>货物需求</w:t>
      </w:r>
      <w:r>
        <w:rPr>
          <w:rFonts w:hint="eastAsia" w:ascii="宋体" w:hAnsi="宋体" w:eastAsia="宋体" w:cs="宋体"/>
          <w:b/>
          <w:bCs/>
          <w:sz w:val="24"/>
          <w:szCs w:val="24"/>
          <w:highlight w:val="none"/>
        </w:rPr>
        <w:t>清单</w:t>
      </w:r>
    </w:p>
    <w:tbl>
      <w:tblPr>
        <w:tblStyle w:val="4"/>
        <w:tblW w:w="50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251"/>
        <w:gridCol w:w="4633"/>
        <w:gridCol w:w="1083"/>
        <w:gridCol w:w="814"/>
      </w:tblGrid>
      <w:tr w14:paraId="2B275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1" w:type="pct"/>
            <w:vAlign w:val="center"/>
          </w:tcPr>
          <w:p w14:paraId="10B854F8">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序号</w:t>
            </w:r>
          </w:p>
        </w:tc>
        <w:tc>
          <w:tcPr>
            <w:tcW w:w="731" w:type="pct"/>
            <w:vAlign w:val="center"/>
          </w:tcPr>
          <w:p w14:paraId="5ACC597F">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货物名称</w:t>
            </w:r>
          </w:p>
        </w:tc>
        <w:tc>
          <w:tcPr>
            <w:tcW w:w="2707" w:type="pct"/>
            <w:vAlign w:val="center"/>
          </w:tcPr>
          <w:p w14:paraId="4E918137">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技术参数及要求</w:t>
            </w:r>
          </w:p>
        </w:tc>
        <w:tc>
          <w:tcPr>
            <w:tcW w:w="633" w:type="pct"/>
            <w:vAlign w:val="center"/>
          </w:tcPr>
          <w:p w14:paraId="71539471">
            <w:pPr>
              <w:pageBreakBefore w:val="0"/>
              <w:kinsoku/>
              <w:wordWrap/>
              <w:overflowPunct/>
              <w:topLinePunct w:val="0"/>
              <w:autoSpaceDE/>
              <w:autoSpaceDN/>
              <w:bidi w:val="0"/>
              <w:adjustRightInd/>
              <w:spacing w:line="300" w:lineRule="auto"/>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数量</w:t>
            </w:r>
          </w:p>
          <w:p w14:paraId="32497CE8">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（单位）</w:t>
            </w:r>
          </w:p>
        </w:tc>
        <w:tc>
          <w:tcPr>
            <w:tcW w:w="475" w:type="pct"/>
            <w:vAlign w:val="center"/>
          </w:tcPr>
          <w:p w14:paraId="7518F3C8">
            <w:pPr>
              <w:pageBreakBefore w:val="0"/>
              <w:kinsoku/>
              <w:wordWrap/>
              <w:overflowPunct/>
              <w:topLinePunct w:val="0"/>
              <w:autoSpaceDE/>
              <w:autoSpaceDN/>
              <w:bidi w:val="0"/>
              <w:adjustRightInd/>
              <w:spacing w:line="300" w:lineRule="auto"/>
              <w:jc w:val="center"/>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所属</w:t>
            </w:r>
          </w:p>
          <w:p w14:paraId="73376728">
            <w:pPr>
              <w:pageBreakBefore w:val="0"/>
              <w:kinsoku/>
              <w:wordWrap/>
              <w:overflowPunct/>
              <w:topLinePunct w:val="0"/>
              <w:autoSpaceDE/>
              <w:autoSpaceDN/>
              <w:bidi w:val="0"/>
              <w:adjustRightInd/>
              <w:spacing w:line="300" w:lineRule="auto"/>
              <w:jc w:val="center"/>
              <w:textAlignment w:val="auto"/>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行业</w:t>
            </w:r>
          </w:p>
        </w:tc>
      </w:tr>
      <w:tr w14:paraId="1CEC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51" w:type="pct"/>
            <w:vAlign w:val="center"/>
          </w:tcPr>
          <w:p w14:paraId="31B5AC27">
            <w:pPr>
              <w:pageBreakBefore w:val="0"/>
              <w:kinsoku/>
              <w:wordWrap/>
              <w:overflowPunct/>
              <w:topLinePunct w:val="0"/>
              <w:autoSpaceDE/>
              <w:autoSpaceDN/>
              <w:bidi w:val="0"/>
              <w:adjustRightInd/>
              <w:spacing w:line="300" w:lineRule="auto"/>
              <w:jc w:val="center"/>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1</w:t>
            </w:r>
          </w:p>
        </w:tc>
        <w:tc>
          <w:tcPr>
            <w:tcW w:w="1251" w:type="dxa"/>
            <w:vAlign w:val="center"/>
          </w:tcPr>
          <w:p w14:paraId="5A971D40">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00" w:lineRule="auto"/>
              <w:ind w:left="0" w:right="0"/>
              <w:jc w:val="center"/>
              <w:textAlignment w:val="auto"/>
              <w:rPr>
                <w:rFonts w:ascii="宋体" w:hAnsi="宋体" w:eastAsia="宋体"/>
                <w:bCs/>
                <w:color w:val="0D0D0D" w:themeColor="text1" w:themeTint="F2"/>
                <w:sz w:val="24"/>
                <w:szCs w:val="18"/>
                <w:highlight w:val="none"/>
                <w14:textFill>
                  <w14:solidFill>
                    <w14:schemeClr w14:val="tx1">
                      <w14:lumMod w14:val="95000"/>
                      <w14:lumOff w14:val="5000"/>
                    </w14:schemeClr>
                  </w14:solidFill>
                </w14:textFill>
              </w:rPr>
            </w:pPr>
            <w:r>
              <w:rPr>
                <w:rFonts w:hint="eastAsia" w:ascii="宋体" w:hAnsi="宋体" w:eastAsia="宋体" w:cs="宋体"/>
                <w:color w:val="0D0D0D" w:themeColor="text1" w:themeTint="F2"/>
                <w:szCs w:val="21"/>
                <w:highlight w:val="none"/>
                <w14:textFill>
                  <w14:solidFill>
                    <w14:schemeClr w14:val="tx1">
                      <w14:lumMod w14:val="95000"/>
                      <w14:lumOff w14:val="5000"/>
                    </w14:schemeClr>
                  </w14:solidFill>
                </w14:textFill>
              </w:rPr>
              <w:t>▲</w:t>
            </w:r>
            <w:r>
              <w:rPr>
                <w:rFonts w:hint="eastAsia" w:ascii="宋体" w:hAnsi="宋体" w:eastAsia="宋体" w:cs="宋体"/>
                <w:color w:val="0D0D0D" w:themeColor="text1" w:themeTint="F2"/>
                <w:kern w:val="0"/>
                <w:sz w:val="21"/>
                <w:szCs w:val="21"/>
                <w:highlight w:val="none"/>
                <w:lang w:val="en-US" w:eastAsia="zh-CN" w:bidi="ar"/>
                <w14:textFill>
                  <w14:solidFill>
                    <w14:schemeClr w14:val="tx1">
                      <w14:lumMod w14:val="95000"/>
                      <w14:lumOff w14:val="5000"/>
                    </w14:schemeClr>
                  </w14:solidFill>
                </w14:textFill>
              </w:rPr>
              <w:t>监测船</w:t>
            </w:r>
          </w:p>
        </w:tc>
        <w:tc>
          <w:tcPr>
            <w:tcW w:w="4632" w:type="dxa"/>
            <w:vAlign w:val="center"/>
          </w:tcPr>
          <w:p w14:paraId="71817D2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0D0D0D" w:themeColor="text1" w:themeTint="F2"/>
                <w:lang w:val="en-US" w:eastAsia="zh-CN"/>
                <w14:textFill>
                  <w14:solidFill>
                    <w14:schemeClr w14:val="tx1">
                      <w14:lumMod w14:val="95000"/>
                      <w14:lumOff w14:val="5000"/>
                    </w14:schemeClr>
                  </w14:solidFill>
                </w14:textFill>
              </w:rPr>
            </w:pPr>
            <w:r>
              <w:rPr>
                <w:rFonts w:hint="eastAsia" w:ascii="宋体" w:hAnsi="宋体" w:eastAsia="宋体" w:cs="宋体"/>
                <w:color w:val="0D0D0D" w:themeColor="text1" w:themeTint="F2"/>
                <w:lang w:eastAsia="zh-CN"/>
                <w14:textFill>
                  <w14:solidFill>
                    <w14:schemeClr w14:val="tx1">
                      <w14:lumMod w14:val="95000"/>
                      <w14:lumOff w14:val="5000"/>
                    </w14:schemeClr>
                  </w14:solidFill>
                </w14:textFill>
              </w:rPr>
              <w:t>（</w:t>
            </w:r>
            <w:r>
              <w:rPr>
                <w:rFonts w:hint="eastAsia" w:ascii="宋体" w:hAnsi="宋体" w:eastAsia="宋体" w:cs="宋体"/>
                <w:color w:val="0D0D0D" w:themeColor="text1" w:themeTint="F2"/>
                <w:lang w:val="en-US" w:eastAsia="zh-CN"/>
                <w14:textFill>
                  <w14:solidFill>
                    <w14:schemeClr w14:val="tx1">
                      <w14:lumMod w14:val="95000"/>
                      <w14:lumOff w14:val="5000"/>
                    </w14:schemeClr>
                  </w14:solidFill>
                </w14:textFill>
              </w:rPr>
              <w:t>一</w:t>
            </w:r>
            <w:r>
              <w:rPr>
                <w:rFonts w:hint="eastAsia" w:ascii="宋体" w:hAnsi="宋体" w:eastAsia="宋体" w:cs="宋体"/>
                <w:color w:val="0D0D0D" w:themeColor="text1" w:themeTint="F2"/>
                <w:lang w:eastAsia="zh-CN"/>
                <w14:textFill>
                  <w14:solidFill>
                    <w14:schemeClr w14:val="tx1">
                      <w14:lumMod w14:val="95000"/>
                      <w14:lumOff w14:val="5000"/>
                    </w14:schemeClr>
                  </w14:solidFill>
                </w14:textFill>
              </w:rPr>
              <w:t>）</w:t>
            </w:r>
            <w:r>
              <w:rPr>
                <w:rFonts w:hint="eastAsia" w:ascii="宋体" w:hAnsi="宋体" w:eastAsia="宋体" w:cs="宋体"/>
                <w:color w:val="0D0D0D" w:themeColor="text1" w:themeTint="F2"/>
                <w:lang w:val="en-US" w:eastAsia="zh-CN"/>
                <w14:textFill>
                  <w14:solidFill>
                    <w14:schemeClr w14:val="tx1">
                      <w14:lumMod w14:val="95000"/>
                      <w14:lumOff w14:val="5000"/>
                    </w14:schemeClr>
                  </w14:solidFill>
                </w14:textFill>
              </w:rPr>
              <w:t>基本参数：</w:t>
            </w:r>
          </w:p>
          <w:p w14:paraId="54451181">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0D0D0D" w:themeColor="text1" w:themeTint="F2"/>
                <w:sz w:val="21"/>
                <w:szCs w:val="20"/>
                <w:highlight w:val="none"/>
                <w:lang w:val="en-US" w:eastAsia="zh-CN"/>
                <w14:textFill>
                  <w14:solidFill>
                    <w14:schemeClr w14:val="tx1">
                      <w14:lumMod w14:val="95000"/>
                      <w14:lumOff w14:val="5000"/>
                    </w14:schemeClr>
                  </w14:solidFill>
                </w14:textFill>
              </w:rPr>
            </w:pPr>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t>★</w:t>
            </w:r>
            <w:r>
              <w:rPr>
                <w:rFonts w:hint="eastAsia" w:ascii="宋体" w:hAnsi="宋体" w:eastAsia="宋体" w:cs="宋体"/>
                <w:b w:val="0"/>
                <w:bCs w:val="0"/>
                <w:color w:val="0D0D0D" w:themeColor="text1" w:themeTint="F2"/>
                <w:kern w:val="2"/>
                <w:sz w:val="21"/>
                <w:szCs w:val="20"/>
                <w:highlight w:val="none"/>
                <w:lang w:val="en-US" w:eastAsia="zh-CN" w:bidi="ar"/>
                <w14:textFill>
                  <w14:solidFill>
                    <w14:schemeClr w14:val="tx1">
                      <w14:lumMod w14:val="95000"/>
                      <w14:lumOff w14:val="5000"/>
                    </w14:schemeClr>
                  </w14:solidFill>
                </w14:textFill>
              </w:rPr>
              <w:t>1.</w:t>
            </w:r>
            <w:r>
              <w:rPr>
                <w:rFonts w:hint="eastAsia" w:ascii="宋体" w:hAnsi="宋体" w:eastAsia="宋体" w:cs="宋体"/>
                <w:b w:val="0"/>
                <w:bCs w:val="0"/>
                <w:color w:val="0D0D0D" w:themeColor="text1" w:themeTint="F2"/>
                <w:sz w:val="21"/>
                <w:szCs w:val="20"/>
                <w:highlight w:val="none"/>
                <w:lang w:val="en-US" w:eastAsia="zh-CN"/>
                <w14:textFill>
                  <w14:solidFill>
                    <w14:schemeClr w14:val="tx1">
                      <w14:lumMod w14:val="95000"/>
                      <w14:lumOff w14:val="5000"/>
                    </w14:schemeClr>
                  </w14:solidFill>
                </w14:textFill>
              </w:rPr>
              <w:t>总长（Loa）：≥14.5m；</w:t>
            </w:r>
          </w:p>
          <w:p w14:paraId="48737A35">
            <w:pPr>
              <w:keepNext w:val="0"/>
              <w:keepLines w:val="0"/>
              <w:pageBreakBefore w:val="0"/>
              <w:widowControl/>
              <w:kinsoku/>
              <w:wordWrap/>
              <w:overflowPunct/>
              <w:topLinePunct w:val="0"/>
              <w:autoSpaceDE/>
              <w:autoSpaceDN/>
              <w:bidi w:val="0"/>
              <w:adjustRightInd/>
              <w:snapToGrid w:val="0"/>
              <w:spacing w:before="0" w:after="0" w:line="300" w:lineRule="auto"/>
              <w:textAlignment w:val="auto"/>
              <w:rPr>
                <w:rFonts w:hint="eastAsia" w:ascii="宋体" w:hAnsi="宋体" w:eastAsia="宋体" w:cs="宋体"/>
                <w:b w:val="0"/>
                <w:bCs w:val="0"/>
                <w:color w:val="0D0D0D" w:themeColor="text1" w:themeTint="F2"/>
                <w:sz w:val="21"/>
                <w:szCs w:val="20"/>
                <w:highlight w:val="none"/>
                <w:lang w:val="en-US" w:eastAsia="zh-CN"/>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sz w:val="21"/>
                <w:szCs w:val="20"/>
                <w:highlight w:val="none"/>
                <w:lang w:val="en-US" w:eastAsia="zh-CN"/>
                <w14:textFill>
                  <w14:solidFill>
                    <w14:schemeClr w14:val="tx1">
                      <w14:lumMod w14:val="95000"/>
                      <w14:lumOff w14:val="5000"/>
                    </w14:schemeClr>
                  </w14:solidFill>
                </w14:textFill>
              </w:rPr>
              <w:t>2.设计水线长（Ls）：≥11.5m；</w:t>
            </w:r>
          </w:p>
          <w:p w14:paraId="63B08A5D">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0D0D0D" w:themeColor="text1" w:themeTint="F2"/>
                <w:sz w:val="21"/>
                <w:szCs w:val="21"/>
                <w:highlight w:val="none"/>
                <w:lang w:val="en-US" w:eastAsia="zh-CN"/>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sz w:val="21"/>
                <w:szCs w:val="20"/>
                <w:highlight w:val="none"/>
                <w:lang w:val="en-US" w:eastAsia="zh-CN"/>
                <w14:textFill>
                  <w14:solidFill>
                    <w14:schemeClr w14:val="tx1">
                      <w14:lumMod w14:val="95000"/>
                      <w14:lumOff w14:val="5000"/>
                    </w14:schemeClr>
                  </w14:solidFill>
                </w14:textFill>
              </w:rPr>
              <w:t>3.</w:t>
            </w:r>
            <w:r>
              <w:rPr>
                <w:rFonts w:hint="eastAsia" w:ascii="宋体" w:hAnsi="宋体" w:eastAsia="宋体" w:cs="宋体"/>
                <w:b w:val="0"/>
                <w:bCs w:val="0"/>
                <w:color w:val="0D0D0D" w:themeColor="text1" w:themeTint="F2"/>
                <w:sz w:val="21"/>
                <w:szCs w:val="21"/>
                <w:highlight w:val="none"/>
                <w:lang w:val="en-US" w:eastAsia="zh-CN"/>
                <w14:textFill>
                  <w14:solidFill>
                    <w14:schemeClr w14:val="tx1">
                      <w14:lumMod w14:val="95000"/>
                      <w14:lumOff w14:val="5000"/>
                    </w14:schemeClr>
                  </w14:solidFill>
                </w14:textFill>
              </w:rPr>
              <w:t>吨量甲板长（LPP）：≥12.5m；</w:t>
            </w:r>
          </w:p>
          <w:p w14:paraId="3A1324D1">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pPr>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t>★</w:t>
            </w:r>
            <w:r>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t>4.型宽（B）：≥2.6m；</w:t>
            </w:r>
          </w:p>
          <w:p w14:paraId="3509FC23">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t>5.型深（D）：≥0.95m；</w:t>
            </w:r>
          </w:p>
          <w:p w14:paraId="3DBDD041">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pPr>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t>★</w:t>
            </w:r>
            <w:r>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t>6.吃水（d）：≤0.65m；</w:t>
            </w:r>
          </w:p>
          <w:p w14:paraId="620CA172">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t>7.梁拱（f）：≥0.06m；</w:t>
            </w:r>
          </w:p>
          <w:p w14:paraId="0908C3B5">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sz w:val="21"/>
                <w:szCs w:val="20"/>
                <w:lang w:val="en-US" w:eastAsia="zh-CN"/>
                <w14:textFill>
                  <w14:solidFill>
                    <w14:schemeClr w14:val="tx1">
                      <w14:lumMod w14:val="95000"/>
                      <w14:lumOff w14:val="5000"/>
                    </w14:schemeClr>
                  </w14:solidFill>
                </w14:textFill>
              </w:rPr>
              <w:t>8.定员：≥2 人；</w:t>
            </w:r>
          </w:p>
          <w:p w14:paraId="171072D4">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00" w:lineRule="auto"/>
              <w:ind w:left="0" w:right="0"/>
              <w:jc w:val="both"/>
              <w:textAlignment w:val="auto"/>
              <w:rPr>
                <w:rFonts w:hint="eastAsia" w:ascii="宋体" w:hAnsi="宋体" w:eastAsia="宋体" w:cs="宋体"/>
                <w:color w:val="0D0D0D" w:themeColor="text1" w:themeTint="F2"/>
                <w:lang w:val="en-US" w:eastAsia="zh-CN"/>
                <w14:textFill>
                  <w14:solidFill>
                    <w14:schemeClr w14:val="tx1">
                      <w14:lumMod w14:val="95000"/>
                      <w14:lumOff w14:val="5000"/>
                    </w14:schemeClr>
                  </w14:solidFill>
                </w14:textFill>
              </w:rPr>
            </w:pPr>
            <w:r>
              <w:rPr>
                <w:rFonts w:hint="eastAsia" w:ascii="宋体" w:hAnsi="宋体" w:eastAsia="宋体" w:cs="宋体"/>
                <w:color w:val="0D0D0D" w:themeColor="text1" w:themeTint="F2"/>
                <w:lang w:val="en-US" w:eastAsia="zh-CN"/>
                <w14:textFill>
                  <w14:solidFill>
                    <w14:schemeClr w14:val="tx1">
                      <w14:lumMod w14:val="95000"/>
                      <w14:lumOff w14:val="5000"/>
                    </w14:schemeClr>
                  </w14:solidFill>
                </w14:textFill>
              </w:rPr>
              <w:t>（二）技术参数</w:t>
            </w:r>
          </w:p>
          <w:p w14:paraId="2778FF99">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0D0D0D" w:themeColor="text1" w:themeTint="F2"/>
                <w:szCs w:val="21"/>
                <w:lang w:val="en-US" w:eastAsia="zh-CN"/>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1.船体要求：</w:t>
            </w:r>
          </w:p>
          <w:p w14:paraId="796F2BF9">
            <w:pPr>
              <w:pageBreakBefore w:val="0"/>
              <w:widowControl/>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0D0D0D" w:themeColor="text1" w:themeTint="F2"/>
                <w:szCs w:val="21"/>
                <w:lang w:val="en-US" w:eastAsia="zh-CN"/>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szCs w:val="21"/>
                <w:lang w:val="en-US" w:eastAsia="zh-CN"/>
                <w14:textFill>
                  <w14:solidFill>
                    <w14:schemeClr w14:val="tx1">
                      <w14:lumMod w14:val="95000"/>
                      <w14:lumOff w14:val="5000"/>
                    </w14:schemeClr>
                  </w14:solidFill>
                </w14:textFill>
              </w:rPr>
              <w:t>★1.1船体钢料：不低于GB/T 712 B级或 CCSB 级）或同等级（或以上等级）船用钢材</w:t>
            </w:r>
            <w:r>
              <w:rPr>
                <w:rFonts w:hint="eastAsia" w:ascii="宋体" w:hAnsi="宋体" w:eastAsia="宋体" w:cs="宋体"/>
                <w:b/>
                <w:bCs/>
                <w:color w:val="0D0D0D" w:themeColor="text1" w:themeTint="F2"/>
                <w:sz w:val="21"/>
                <w:szCs w:val="21"/>
                <w:lang w:eastAsia="zh-CN"/>
                <w14:textFill>
                  <w14:solidFill>
                    <w14:schemeClr w14:val="tx1">
                      <w14:lumMod w14:val="95000"/>
                      <w14:lumOff w14:val="5000"/>
                    </w14:schemeClr>
                  </w14:solidFill>
                </w14:textFill>
              </w:rPr>
              <w:t>（</w:t>
            </w:r>
            <w:r>
              <w:rPr>
                <w:rFonts w:hint="eastAsia" w:ascii="宋体" w:hAnsi="宋体" w:eastAsia="宋体" w:cs="宋体"/>
                <w:b/>
                <w:bCs/>
                <w:color w:val="0D0D0D" w:themeColor="text1" w:themeTint="F2"/>
                <w:sz w:val="21"/>
                <w:szCs w:val="21"/>
                <w:lang w:val="en-US" w:eastAsia="zh-CN"/>
                <w14:textFill>
                  <w14:solidFill>
                    <w14:schemeClr w14:val="tx1">
                      <w14:lumMod w14:val="95000"/>
                      <w14:lumOff w14:val="5000"/>
                    </w14:schemeClr>
                  </w14:solidFill>
                </w14:textFill>
              </w:rPr>
              <w:t>投标文件中</w:t>
            </w:r>
            <w:r>
              <w:rPr>
                <w:rFonts w:hint="eastAsia" w:ascii="宋体" w:hAnsi="宋体" w:eastAsia="宋体" w:cs="宋体"/>
                <w:b/>
                <w:bCs/>
                <w:color w:val="0D0D0D" w:themeColor="text1" w:themeTint="F2"/>
                <w:kern w:val="0"/>
                <w:sz w:val="21"/>
                <w:szCs w:val="21"/>
                <w:lang w:val="en-US" w:eastAsia="zh-CN" w:bidi="ar"/>
                <w14:textFill>
                  <w14:solidFill>
                    <w14:schemeClr w14:val="tx1">
                      <w14:lumMod w14:val="95000"/>
                      <w14:lumOff w14:val="5000"/>
                    </w14:schemeClr>
                  </w14:solidFill>
                </w14:textFill>
              </w:rPr>
              <w:t>提供第三方机构出具的质量证明书</w:t>
            </w:r>
            <w:r>
              <w:rPr>
                <w:rFonts w:hint="eastAsia" w:ascii="宋体" w:hAnsi="宋体" w:eastAsia="宋体" w:cs="宋体"/>
                <w:b/>
                <w:bCs/>
                <w:color w:val="0D0D0D" w:themeColor="text1" w:themeTint="F2"/>
                <w:sz w:val="21"/>
                <w:szCs w:val="21"/>
                <w:lang w:eastAsia="zh-CN"/>
                <w14:textFill>
                  <w14:solidFill>
                    <w14:schemeClr w14:val="tx1">
                      <w14:lumMod w14:val="95000"/>
                      <w14:lumOff w14:val="5000"/>
                    </w14:schemeClr>
                  </w14:solidFill>
                </w14:textFill>
              </w:rPr>
              <w:t>）</w:t>
            </w:r>
            <w:r>
              <w:rPr>
                <w:rFonts w:hint="eastAsia" w:ascii="宋体" w:hAnsi="宋体" w:eastAsia="宋体" w:cs="宋体"/>
                <w:b w:val="0"/>
                <w:bCs w:val="0"/>
                <w:color w:val="0D0D0D" w:themeColor="text1" w:themeTint="F2"/>
                <w:szCs w:val="21"/>
                <w:lang w:eastAsia="zh-CN"/>
                <w14:textFill>
                  <w14:solidFill>
                    <w14:schemeClr w14:val="tx1">
                      <w14:lumMod w14:val="95000"/>
                      <w14:lumOff w14:val="5000"/>
                    </w14:schemeClr>
                  </w14:solidFill>
                </w14:textFill>
              </w:rPr>
              <w:t>。</w:t>
            </w:r>
          </w:p>
          <w:p w14:paraId="2706057B">
            <w:pPr>
              <w:pStyle w:val="2"/>
              <w:keepNext w:val="0"/>
              <w:keepLines w:val="0"/>
              <w:pageBreakBefore w:val="0"/>
              <w:widowControl w:val="0"/>
              <w:kinsoku/>
              <w:wordWrap/>
              <w:overflowPunct/>
              <w:topLinePunct w:val="0"/>
              <w:autoSpaceDE/>
              <w:autoSpaceDN/>
              <w:bidi w:val="0"/>
              <w:adjustRightInd/>
              <w:snapToGrid/>
              <w:spacing w:before="0" w:after="0" w:line="300" w:lineRule="auto"/>
              <w:textAlignment w:val="auto"/>
              <w:rPr>
                <w:rFonts w:hint="eastAsia" w:ascii="宋体" w:hAnsi="宋体" w:eastAsia="@微软简标宋"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★1.2上棚材料：配备</w:t>
            </w:r>
            <w:r>
              <w:rPr>
                <w:rFonts w:hint="eastAsia" w:ascii="宋体" w:hAnsi="宋体" w:eastAsia="宋体" w:cs="宋体"/>
                <w:color w:val="0D0D0D" w:themeColor="text1" w:themeTint="F2"/>
                <w:kern w:val="0"/>
                <w:sz w:val="21"/>
                <w:szCs w:val="21"/>
                <w:lang w:val="en-US" w:eastAsia="zh-CN" w:bidi="ar"/>
                <w14:textFill>
                  <w14:solidFill>
                    <w14:schemeClr w14:val="tx1">
                      <w14:lumMod w14:val="95000"/>
                      <w14:lumOff w14:val="5000"/>
                    </w14:schemeClr>
                  </w14:solidFill>
                </w14:textFill>
              </w:rPr>
              <w:t>遮阳棚及棚架、挡雨帘各 1 套。</w:t>
            </w:r>
            <w:r>
              <w:rPr>
                <w:rFonts w:ascii="宋体" w:hAnsi="宋体" w:eastAsia="宋体" w:cs="宋体"/>
                <w:b w:val="0"/>
                <w:bCs w:val="0"/>
                <w:color w:val="0D0D0D" w:themeColor="text1" w:themeTint="F2"/>
                <w:sz w:val="21"/>
                <w:szCs w:val="21"/>
                <w14:textFill>
                  <w14:solidFill>
                    <w14:schemeClr w14:val="tx1">
                      <w14:lumMod w14:val="95000"/>
                      <w14:lumOff w14:val="5000"/>
                    </w14:schemeClr>
                  </w14:solidFill>
                </w14:textFill>
              </w:rPr>
              <w:t>采用船用纤维增强塑料（FRP）制作，原材料为合格船用树脂及增强材料</w:t>
            </w:r>
            <w:r>
              <w:rPr>
                <w:rFonts w:hint="eastAsia" w:ascii="宋体" w:hAnsi="宋体" w:eastAsia="宋体" w:cs="宋体"/>
                <w:b/>
                <w:bCs/>
                <w:color w:val="0D0D0D" w:themeColor="text1" w:themeTint="F2"/>
                <w:sz w:val="21"/>
                <w:szCs w:val="21"/>
                <w:lang w:eastAsia="zh-CN"/>
                <w14:textFill>
                  <w14:solidFill>
                    <w14:schemeClr w14:val="tx1">
                      <w14:lumMod w14:val="95000"/>
                      <w14:lumOff w14:val="5000"/>
                    </w14:schemeClr>
                  </w14:solidFill>
                </w14:textFill>
              </w:rPr>
              <w:t>（</w:t>
            </w:r>
            <w:r>
              <w:rPr>
                <w:rFonts w:hint="eastAsia" w:ascii="宋体" w:hAnsi="宋体" w:eastAsia="宋体" w:cs="宋体"/>
                <w:b/>
                <w:bCs/>
                <w:color w:val="0D0D0D" w:themeColor="text1" w:themeTint="F2"/>
                <w:sz w:val="21"/>
                <w:szCs w:val="21"/>
                <w:lang w:val="en-US" w:eastAsia="zh-CN"/>
                <w14:textFill>
                  <w14:solidFill>
                    <w14:schemeClr w14:val="tx1">
                      <w14:lumMod w14:val="95000"/>
                      <w14:lumOff w14:val="5000"/>
                    </w14:schemeClr>
                  </w14:solidFill>
                </w14:textFill>
              </w:rPr>
              <w:t>投标文件中提供第三方机构出具的质量证明书</w:t>
            </w:r>
            <w:r>
              <w:rPr>
                <w:rFonts w:hint="eastAsia" w:ascii="宋体" w:hAnsi="宋体" w:eastAsia="宋体" w:cs="宋体"/>
                <w:b/>
                <w:bCs/>
                <w:color w:val="0D0D0D" w:themeColor="text1" w:themeTint="F2"/>
                <w:sz w:val="21"/>
                <w:szCs w:val="21"/>
                <w:lang w:eastAsia="zh-CN"/>
                <w14:textFill>
                  <w14:solidFill>
                    <w14:schemeClr w14:val="tx1">
                      <w14:lumMod w14:val="95000"/>
                      <w14:lumOff w14:val="5000"/>
                    </w14:schemeClr>
                  </w14:solidFill>
                </w14:textFill>
              </w:rPr>
              <w:t>）</w:t>
            </w:r>
            <w:r>
              <w:rPr>
                <w:rFonts w:hint="eastAsia" w:ascii="宋体" w:hAnsi="宋体" w:eastAsia="宋体" w:cs="宋体"/>
                <w:b w:val="0"/>
                <w:bCs w:val="0"/>
                <w:color w:val="0D0D0D" w:themeColor="text1" w:themeTint="F2"/>
                <w:sz w:val="21"/>
                <w:szCs w:val="21"/>
                <w:lang w:eastAsia="zh-CN"/>
                <w14:textFill>
                  <w14:solidFill>
                    <w14:schemeClr w14:val="tx1">
                      <w14:lumMod w14:val="95000"/>
                      <w14:lumOff w14:val="5000"/>
                    </w14:schemeClr>
                  </w14:solidFill>
                </w14:textFill>
              </w:rPr>
              <w:t>。</w:t>
            </w:r>
          </w:p>
          <w:p w14:paraId="5BB77DCD">
            <w:pPr>
              <w:pageBreakBefore w:val="0"/>
              <w:kinsoku/>
              <w:wordWrap/>
              <w:overflowPunct/>
              <w:topLinePunct w:val="0"/>
              <w:autoSpaceDE/>
              <w:autoSpaceDN/>
              <w:bidi w:val="0"/>
              <w:adjustRightInd/>
              <w:spacing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t>★</w:t>
            </w: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2.船机要求</w:t>
            </w:r>
            <w:r>
              <w:rPr>
                <w:rFonts w:hint="eastAsia" w:ascii="宋体" w:hAnsi="宋体" w:eastAsia="宋体" w:cs="宋体"/>
                <w:b/>
                <w:bCs/>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eastAsia" w:ascii="宋体" w:hAnsi="宋体" w:eastAsia="宋体" w:cs="宋体"/>
                <w:b/>
                <w:bCs/>
                <w:color w:val="0D0D0D" w:themeColor="text1" w:themeTint="F2"/>
                <w:sz w:val="21"/>
                <w:szCs w:val="21"/>
                <w:lang w:val="en-US" w:eastAsia="zh-CN"/>
                <w14:textFill>
                  <w14:solidFill>
                    <w14:schemeClr w14:val="tx1">
                      <w14:lumMod w14:val="95000"/>
                      <w14:lumOff w14:val="5000"/>
                    </w14:schemeClr>
                  </w14:solidFill>
                </w14:textFill>
              </w:rPr>
              <w:t>投标文件中</w:t>
            </w:r>
            <w:r>
              <w:rPr>
                <w:rFonts w:hint="eastAsia" w:ascii="宋体" w:hAnsi="宋体" w:eastAsia="宋体" w:cs="宋体"/>
                <w:b/>
                <w:bCs/>
                <w:color w:val="0D0D0D" w:themeColor="text1" w:themeTint="F2"/>
                <w:kern w:val="0"/>
                <w:sz w:val="21"/>
                <w:szCs w:val="21"/>
                <w:lang w:val="en-US" w:eastAsia="zh-CN" w:bidi="ar"/>
                <w14:textFill>
                  <w14:solidFill>
                    <w14:schemeClr w14:val="tx1">
                      <w14:lumMod w14:val="95000"/>
                      <w14:lumOff w14:val="5000"/>
                    </w14:schemeClr>
                  </w14:solidFill>
                </w14:textFill>
              </w:rPr>
              <w:t>提供产品彩页扫描件）</w:t>
            </w: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w:t>
            </w:r>
          </w:p>
          <w:p w14:paraId="3D6FF18F">
            <w:pPr>
              <w:pageBreakBefore w:val="0"/>
              <w:numPr>
                <w:ilvl w:val="0"/>
                <w:numId w:val="1"/>
              </w:numPr>
              <w:kinsoku/>
              <w:wordWrap/>
              <w:overflowPunct/>
              <w:topLinePunct w:val="0"/>
              <w:autoSpaceDE/>
              <w:autoSpaceDN/>
              <w:bidi w:val="0"/>
              <w:adjustRightInd/>
              <w:spacing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船动力采用挂桨机结构；</w:t>
            </w:r>
          </w:p>
          <w:p w14:paraId="7DBB43A4">
            <w:pPr>
              <w:pageBreakBefore w:val="0"/>
              <w:numPr>
                <w:ilvl w:val="0"/>
                <w:numId w:val="1"/>
              </w:numPr>
              <w:kinsoku/>
              <w:wordWrap/>
              <w:overflowPunct/>
              <w:topLinePunct w:val="0"/>
              <w:autoSpaceDE/>
              <w:autoSpaceDN/>
              <w:bidi w:val="0"/>
              <w:adjustRightInd/>
              <w:spacing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两台柴油发电机，主发动机1台：额定功率≥35kW,额定转速≥2000 r/min；副发动机1台：额定功率≥15.7kW,额定转速≥2200 r/min；</w:t>
            </w:r>
          </w:p>
          <w:p w14:paraId="54607088">
            <w:pPr>
              <w:pageBreakBefore w:val="0"/>
              <w:kinsoku/>
              <w:wordWrap/>
              <w:overflowPunct/>
              <w:topLinePunct w:val="0"/>
              <w:autoSpaceDE/>
              <w:autoSpaceDN/>
              <w:bidi w:val="0"/>
              <w:adjustRightInd/>
              <w:spacing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bCs/>
                <w:color w:val="0D0D0D" w:themeColor="text1" w:themeTint="F2"/>
                <w:szCs w:val="21"/>
                <w14:textFill>
                  <w14:solidFill>
                    <w14:schemeClr w14:val="tx1">
                      <w14:lumMod w14:val="95000"/>
                      <w14:lumOff w14:val="5000"/>
                    </w14:schemeClr>
                  </w14:solidFill>
                </w14:textFill>
              </w:rPr>
              <w:t>★</w:t>
            </w:r>
            <w:r>
              <w:rPr>
                <w:rFonts w:hint="eastAsia" w:ascii="宋体" w:hAnsi="宋体" w:eastAsia="宋体" w:cs="宋体"/>
                <w:color w:val="0D0D0D" w:themeColor="text1" w:themeTint="F2"/>
                <w:szCs w:val="21"/>
                <w:lang w:val="en-US" w:eastAsia="zh-CN"/>
                <w14:textFill>
                  <w14:solidFill>
                    <w14:schemeClr w14:val="tx1">
                      <w14:lumMod w14:val="95000"/>
                      <w14:lumOff w14:val="5000"/>
                    </w14:schemeClr>
                  </w14:solidFill>
                </w14:textFill>
              </w:rPr>
              <w:t>3</w:t>
            </w: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.结构要求：</w:t>
            </w:r>
            <w:r>
              <w:rPr>
                <w:rFonts w:ascii="宋体" w:hAnsi="宋体" w:eastAsia="宋体" w:cs="宋体"/>
                <w:color w:val="0D0D0D" w:themeColor="text1" w:themeTint="F2"/>
                <w:sz w:val="21"/>
                <w:szCs w:val="21"/>
                <w14:textFill>
                  <w14:solidFill>
                    <w14:schemeClr w14:val="tx1">
                      <w14:lumMod w14:val="95000"/>
                      <w14:lumOff w14:val="5000"/>
                    </w14:schemeClr>
                  </w14:solidFill>
                </w14:textFill>
              </w:rPr>
              <w:t>船体结构采用横骨架式，结构强度满足内河船舶规范要求，船底及甲板设置足够数量的纵向加强构件，保证船体总纵强度与局部强度</w:t>
            </w:r>
            <w:r>
              <w:rPr>
                <w:rFonts w:hint="eastAsia" w:ascii="宋体" w:hAnsi="宋体" w:eastAsia="宋体" w:cs="宋体"/>
                <w:b/>
                <w:bCs/>
                <w:color w:val="0D0D0D" w:themeColor="text1" w:themeTint="F2"/>
                <w:sz w:val="21"/>
                <w:szCs w:val="21"/>
                <w:lang w:eastAsia="zh-CN"/>
                <w14:textFill>
                  <w14:solidFill>
                    <w14:schemeClr w14:val="tx1">
                      <w14:lumMod w14:val="95000"/>
                      <w14:lumOff w14:val="5000"/>
                    </w14:schemeClr>
                  </w14:solidFill>
                </w14:textFill>
              </w:rPr>
              <w:t>（</w:t>
            </w:r>
            <w:r>
              <w:rPr>
                <w:rFonts w:hint="eastAsia" w:ascii="宋体" w:hAnsi="宋体" w:eastAsia="宋体" w:cs="宋体"/>
                <w:b/>
                <w:bCs/>
                <w:color w:val="0D0D0D" w:themeColor="text1" w:themeTint="F2"/>
                <w:sz w:val="21"/>
                <w:szCs w:val="21"/>
                <w:lang w:val="en-US" w:eastAsia="zh-CN"/>
                <w14:textFill>
                  <w14:solidFill>
                    <w14:schemeClr w14:val="tx1">
                      <w14:lumMod w14:val="95000"/>
                      <w14:lumOff w14:val="5000"/>
                    </w14:schemeClr>
                  </w14:solidFill>
                </w14:textFill>
              </w:rPr>
              <w:t>投标文件中</w:t>
            </w:r>
            <w:r>
              <w:rPr>
                <w:rFonts w:hint="eastAsia" w:ascii="宋体" w:hAnsi="宋体" w:eastAsia="宋体" w:cs="宋体"/>
                <w:b/>
                <w:bCs/>
                <w:color w:val="0D0D0D" w:themeColor="text1" w:themeTint="F2"/>
                <w:kern w:val="0"/>
                <w:sz w:val="21"/>
                <w:szCs w:val="21"/>
                <w:lang w:val="en-US" w:eastAsia="zh-CN" w:bidi="ar"/>
                <w14:textFill>
                  <w14:solidFill>
                    <w14:schemeClr w14:val="tx1">
                      <w14:lumMod w14:val="95000"/>
                      <w14:lumOff w14:val="5000"/>
                    </w14:schemeClr>
                  </w14:solidFill>
                </w14:textFill>
              </w:rPr>
              <w:t>提供</w:t>
            </w:r>
            <w:r>
              <w:rPr>
                <w:rFonts w:hint="eastAsia" w:ascii="宋体" w:hAnsi="宋体" w:eastAsia="宋体" w:cs="宋体"/>
                <w:b/>
                <w:bCs/>
                <w:color w:val="0D0D0D" w:themeColor="text1" w:themeTint="F2"/>
                <w:sz w:val="21"/>
                <w:szCs w:val="21"/>
                <w:lang w:val="en-US" w:eastAsia="zh-CN"/>
                <w14:textFill>
                  <w14:solidFill>
                    <w14:schemeClr w14:val="tx1">
                      <w14:lumMod w14:val="95000"/>
                      <w14:lumOff w14:val="5000"/>
                    </w14:schemeClr>
                  </w14:solidFill>
                </w14:textFill>
              </w:rPr>
              <w:t>书面承诺，格式自拟</w:t>
            </w:r>
            <w:r>
              <w:rPr>
                <w:rFonts w:hint="eastAsia" w:ascii="宋体" w:hAnsi="宋体" w:eastAsia="宋体" w:cs="宋体"/>
                <w:b/>
                <w:bCs/>
                <w:color w:val="0D0D0D" w:themeColor="text1" w:themeTint="F2"/>
                <w:sz w:val="21"/>
                <w:szCs w:val="21"/>
                <w:lang w:eastAsia="zh-CN"/>
                <w14:textFill>
                  <w14:solidFill>
                    <w14:schemeClr w14:val="tx1">
                      <w14:lumMod w14:val="95000"/>
                      <w14:lumOff w14:val="5000"/>
                    </w14:schemeClr>
                  </w14:solidFill>
                </w14:textFill>
              </w:rPr>
              <w:t>）</w:t>
            </w: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w:t>
            </w:r>
          </w:p>
          <w:p w14:paraId="712EF855">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4.甲板室采用玻璃钢制作，具备隔热、降噪、改善船员工作环境功能。</w:t>
            </w:r>
          </w:p>
          <w:p w14:paraId="50E06F20">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5.护舷：</w:t>
            </w:r>
            <w:r>
              <w:rPr>
                <w:rFonts w:ascii="宋体" w:hAnsi="宋体" w:eastAsia="宋体" w:cs="宋体"/>
                <w:color w:val="0D0D0D" w:themeColor="text1" w:themeTint="F2"/>
                <w:sz w:val="21"/>
                <w:szCs w:val="21"/>
                <w14:textFill>
                  <w14:solidFill>
                    <w14:schemeClr w14:val="tx1">
                      <w14:lumMod w14:val="95000"/>
                      <w14:lumOff w14:val="5000"/>
                    </w14:schemeClr>
                  </w14:solidFill>
                </w14:textFill>
              </w:rPr>
              <w:t>采用钢质</w:t>
            </w:r>
            <w:r>
              <w:rPr>
                <w:rFonts w:hint="eastAsia" w:ascii="宋体" w:hAnsi="宋体" w:eastAsia="宋体" w:cs="宋体"/>
                <w:color w:val="0D0D0D" w:themeColor="text1" w:themeTint="F2"/>
                <w:sz w:val="21"/>
                <w:szCs w:val="21"/>
                <w:lang w:val="en-US" w:eastAsia="zh-CN"/>
                <w14:textFill>
                  <w14:solidFill>
                    <w14:schemeClr w14:val="tx1">
                      <w14:lumMod w14:val="95000"/>
                      <w14:lumOff w14:val="5000"/>
                    </w14:schemeClr>
                  </w14:solidFill>
                </w14:textFill>
              </w:rPr>
              <w:t>护舷</w:t>
            </w:r>
            <w:r>
              <w:rPr>
                <w:rFonts w:ascii="宋体" w:hAnsi="宋体" w:eastAsia="宋体" w:cs="宋体"/>
                <w:color w:val="0D0D0D" w:themeColor="text1" w:themeTint="F2"/>
                <w:sz w:val="21"/>
                <w:szCs w:val="21"/>
                <w14:textFill>
                  <w14:solidFill>
                    <w14:schemeClr w14:val="tx1">
                      <w14:lumMod w14:val="95000"/>
                      <w14:lumOff w14:val="5000"/>
                    </w14:schemeClr>
                  </w14:solidFill>
                </w14:textFill>
              </w:rPr>
              <w:t>，截面形式适配船体线型，防撞性能满足内河 A/B/C 级航区靠泊作业要求</w:t>
            </w: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w:t>
            </w:r>
          </w:p>
          <w:p w14:paraId="2AFFA150">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■6.干舷：满足《内河小型船舶技术规则》（2024）对 A、B、C 级航区最小干舷要求</w:t>
            </w:r>
          </w:p>
          <w:p w14:paraId="678735DF">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■7.稳性：船舶完整稳性满足《内河小型船舶技术规则》（2024）相应航区要求，覆盖满载、空载、作业工况。</w:t>
            </w:r>
          </w:p>
          <w:p w14:paraId="5F2A3E19">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■8.锚泊系泊设备：</w:t>
            </w:r>
            <w:r>
              <w:rPr>
                <w:rFonts w:ascii="宋体" w:hAnsi="宋体" w:eastAsia="宋体" w:cs="宋体"/>
                <w:color w:val="0D0D0D" w:themeColor="text1" w:themeTint="F2"/>
                <w:sz w:val="21"/>
                <w:szCs w:val="21"/>
                <w14:textFill>
                  <w14:solidFill>
                    <w14:schemeClr w14:val="tx1">
                      <w14:lumMod w14:val="95000"/>
                      <w14:lumOff w14:val="5000"/>
                    </w14:schemeClr>
                  </w14:solidFill>
                </w14:textFill>
              </w:rPr>
              <w:t>配置满足内河 A、B、C 级航区要求的人力抛锚装置及相应锚索、系缆索、系缆桩、系缆环等设施，具体规格由投标人按规范自行设计配置</w:t>
            </w: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w:t>
            </w:r>
          </w:p>
          <w:p w14:paraId="5A27F962">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■9.消防设备：</w:t>
            </w:r>
            <w:r>
              <w:rPr>
                <w:rFonts w:ascii="宋体" w:hAnsi="宋体" w:eastAsia="宋体" w:cs="宋体"/>
                <w:color w:val="0D0D0D" w:themeColor="text1" w:themeTint="F2"/>
                <w:sz w:val="21"/>
                <w:szCs w:val="21"/>
                <w14:textFill>
                  <w14:solidFill>
                    <w14:schemeClr w14:val="tx1">
                      <w14:lumMod w14:val="95000"/>
                      <w14:lumOff w14:val="5000"/>
                    </w14:schemeClr>
                  </w14:solidFill>
                </w14:textFill>
              </w:rPr>
              <w:t>船消防配置应满足《内河小型船舶技术规则》（2024）A、B、C 级航区要求，配置手提式灭火器、消防水桶、砂箱、太平斧等基本消防设施。设置厨房或加热功能区域时，应按规范增配灭火毯及相应灭火设备，带电加热设备区域应采用适配电气火灾的灭火器材。</w:t>
            </w:r>
          </w:p>
          <w:p w14:paraId="6FCD7750">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■10、救生和无线电信号设备：按《内河小型船舶技术规则》（2024）对内河 A、B、C 级航区的要求配置。</w:t>
            </w:r>
          </w:p>
          <w:p w14:paraId="6850060A">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■11.防止油类污染：</w:t>
            </w:r>
            <w:r>
              <w:rPr>
                <w:rFonts w:ascii="宋体" w:hAnsi="宋体" w:eastAsia="宋体" w:cs="宋体"/>
                <w:color w:val="0D0D0D" w:themeColor="text1" w:themeTint="F2"/>
                <w:sz w:val="21"/>
                <w:szCs w:val="21"/>
                <w14:textFill>
                  <w14:solidFill>
                    <w14:schemeClr w14:val="tx1">
                      <w14:lumMod w14:val="95000"/>
                      <w14:lumOff w14:val="5000"/>
                    </w14:schemeClr>
                  </w14:solidFill>
                </w14:textFill>
              </w:rPr>
              <w:t>船舶应按《内河小型船舶技术规则》（2024）要求设置有效的防止油类污染设施，配置足够容量的污油收集装置、集油盘及油污收集工具，确保船舶产生的污油水全部收集贮存，不得排入水域，满足内河航区防污染要求。</w:t>
            </w:r>
          </w:p>
          <w:p w14:paraId="5BA8D788">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■12.防止垃圾污染：垃圾应按《内河小型船舶技术规则》（2024）8.1.1 分类处理，并设置足够容量的垃圾贮存器。</w:t>
            </w:r>
          </w:p>
          <w:p w14:paraId="05937868">
            <w:pPr>
              <w:pStyle w:val="2"/>
              <w:keepNext w:val="0"/>
              <w:keepLines w:val="0"/>
              <w:pageBreakBefore w:val="0"/>
              <w:widowControl w:val="0"/>
              <w:kinsoku/>
              <w:wordWrap/>
              <w:overflowPunct/>
              <w:topLinePunct w:val="0"/>
              <w:autoSpaceDE/>
              <w:autoSpaceDN/>
              <w:bidi w:val="0"/>
              <w:adjustRightInd/>
              <w:snapToGrid/>
              <w:spacing w:after="0" w:line="300" w:lineRule="auto"/>
              <w:textAlignment w:val="auto"/>
              <w:rPr>
                <w:rFonts w:hint="default" w:ascii="宋体" w:hAnsi="宋体" w:eastAsia="宋体" w:cs="宋体"/>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val="0"/>
                <w:bCs w:val="0"/>
                <w:color w:val="0D0D0D" w:themeColor="text1" w:themeTint="F2"/>
                <w:kern w:val="0"/>
                <w:sz w:val="21"/>
                <w:szCs w:val="21"/>
                <w:lang w:val="en-US" w:eastAsia="zh-CN" w:bidi="ar"/>
                <w14:textFill>
                  <w14:solidFill>
                    <w14:schemeClr w14:val="tx1">
                      <w14:lumMod w14:val="95000"/>
                      <w14:lumOff w14:val="5000"/>
                    </w14:schemeClr>
                  </w14:solidFill>
                </w14:textFill>
              </w:rPr>
              <w:t>13.</w:t>
            </w:r>
            <w:r>
              <w:rPr>
                <w:rFonts w:hint="eastAsia" w:ascii="宋体" w:hAnsi="宋体" w:eastAsia="宋体" w:cs="宋体"/>
                <w:color w:val="0D0D0D" w:themeColor="text1" w:themeTint="F2"/>
                <w:kern w:val="0"/>
                <w:sz w:val="21"/>
                <w:szCs w:val="21"/>
                <w:lang w:val="en-US" w:eastAsia="zh-CN" w:bidi="ar"/>
                <w14:textFill>
                  <w14:solidFill>
                    <w14:schemeClr w14:val="tx1">
                      <w14:lumMod w14:val="95000"/>
                      <w14:lumOff w14:val="5000"/>
                    </w14:schemeClr>
                  </w14:solidFill>
                </w14:textFill>
              </w:rPr>
              <w:t>抗风等级≥5级。</w:t>
            </w:r>
          </w:p>
          <w:p w14:paraId="4F648B12">
            <w:pPr>
              <w:pStyle w:val="2"/>
              <w:keepNext w:val="0"/>
              <w:keepLines w:val="0"/>
              <w:pageBreakBefore w:val="0"/>
              <w:widowControl w:val="0"/>
              <w:kinsoku/>
              <w:wordWrap/>
              <w:overflowPunct/>
              <w:topLinePunct w:val="0"/>
              <w:autoSpaceDE/>
              <w:autoSpaceDN/>
              <w:bidi w:val="0"/>
              <w:adjustRightInd/>
              <w:snapToGrid/>
              <w:spacing w:after="0" w:line="300" w:lineRule="auto"/>
              <w:ind w:firstLine="0" w:firstLineChars="0"/>
              <w:textAlignment w:val="auto"/>
              <w:rPr>
                <w:rFonts w:hint="eastAsia" w:ascii="宋体" w:hAnsi="宋体" w:eastAsia="宋体" w:cs="宋体"/>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color w:val="0D0D0D" w:themeColor="text1" w:themeTint="F2"/>
                <w:kern w:val="0"/>
                <w:sz w:val="21"/>
                <w:szCs w:val="21"/>
                <w:lang w:val="en-US" w:eastAsia="zh-CN" w:bidi="ar"/>
                <w14:textFill>
                  <w14:solidFill>
                    <w14:schemeClr w14:val="tx1">
                      <w14:lumMod w14:val="95000"/>
                      <w14:lumOff w14:val="5000"/>
                    </w14:schemeClr>
                  </w14:solidFill>
                </w14:textFill>
              </w:rPr>
              <w:t>14.尾部设置简易卫生间，内设自动打包坐便器。</w:t>
            </w:r>
          </w:p>
          <w:p w14:paraId="54394F66">
            <w:pPr>
              <w:pStyle w:val="2"/>
              <w:keepNext w:val="0"/>
              <w:keepLines w:val="0"/>
              <w:pageBreakBefore w:val="0"/>
              <w:widowControl w:val="0"/>
              <w:kinsoku/>
              <w:wordWrap/>
              <w:overflowPunct/>
              <w:topLinePunct w:val="0"/>
              <w:autoSpaceDE/>
              <w:autoSpaceDN/>
              <w:bidi w:val="0"/>
              <w:adjustRightInd/>
              <w:snapToGrid/>
              <w:spacing w:after="0" w:line="300" w:lineRule="auto"/>
              <w:ind w:firstLine="0" w:firstLineChars="0"/>
              <w:textAlignment w:val="auto"/>
              <w:rPr>
                <w:rFonts w:hint="default" w:ascii="宋体" w:hAnsi="宋体" w:eastAsia="宋体" w:cs="宋体"/>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ascii="宋体" w:hAnsi="宋体" w:eastAsia="宋体" w:cs="宋体"/>
                <w:b/>
                <w:bCs/>
                <w:color w:val="000000"/>
                <w:sz w:val="24"/>
                <w:szCs w:val="24"/>
                <w:highlight w:val="none"/>
              </w:rPr>
              <w:t>★</w:t>
            </w:r>
            <w:r>
              <w:rPr>
                <w:rFonts w:hint="eastAsia" w:ascii="宋体" w:hAnsi="宋体" w:eastAsia="宋体" w:cs="宋体"/>
                <w:b/>
                <w:bCs/>
                <w:color w:val="0D0D0D" w:themeColor="text1" w:themeTint="F2"/>
                <w:kern w:val="0"/>
                <w:sz w:val="21"/>
                <w:szCs w:val="21"/>
                <w:lang w:val="en-US" w:eastAsia="zh-CN" w:bidi="ar"/>
                <w14:textFill>
                  <w14:solidFill>
                    <w14:schemeClr w14:val="tx1">
                      <w14:lumMod w14:val="95000"/>
                      <w14:lumOff w14:val="5000"/>
                    </w14:schemeClr>
                  </w14:solidFill>
                </w14:textFill>
              </w:rPr>
              <w:t>15.投标文件中提供设计图。</w:t>
            </w:r>
          </w:p>
        </w:tc>
        <w:tc>
          <w:tcPr>
            <w:tcW w:w="1083" w:type="dxa"/>
            <w:vAlign w:val="center"/>
          </w:tcPr>
          <w:p w14:paraId="497C23C9">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jc w:val="center"/>
              <w:textAlignment w:val="auto"/>
              <w:rPr>
                <w:rFonts w:ascii="宋体" w:hAnsi="宋体" w:eastAsia="宋体"/>
                <w:bCs/>
                <w:color w:val="auto"/>
                <w:sz w:val="24"/>
                <w:szCs w:val="18"/>
                <w:highlight w:val="none"/>
              </w:rPr>
            </w:pPr>
            <w:r>
              <w:rPr>
                <w:rFonts w:hint="eastAsia" w:ascii="宋体" w:hAnsi="宋体" w:eastAsia="宋体" w:cs="宋体"/>
                <w:color w:val="000000"/>
                <w:kern w:val="0"/>
                <w:sz w:val="21"/>
                <w:szCs w:val="21"/>
                <w:lang w:val="en-US" w:eastAsia="zh-CN" w:bidi="ar"/>
              </w:rPr>
              <w:t>3艘</w:t>
            </w:r>
          </w:p>
        </w:tc>
        <w:tc>
          <w:tcPr>
            <w:tcW w:w="475" w:type="pct"/>
            <w:vAlign w:val="center"/>
          </w:tcPr>
          <w:p w14:paraId="39C57B94">
            <w:pPr>
              <w:pageBreakBefore w:val="0"/>
              <w:kinsoku/>
              <w:wordWrap/>
              <w:overflowPunct/>
              <w:topLinePunct w:val="0"/>
              <w:autoSpaceDE/>
              <w:autoSpaceDN/>
              <w:bidi w:val="0"/>
              <w:adjustRightInd/>
              <w:spacing w:line="300" w:lineRule="auto"/>
              <w:jc w:val="center"/>
              <w:textAlignment w:val="auto"/>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工业</w:t>
            </w:r>
          </w:p>
        </w:tc>
      </w:tr>
    </w:tbl>
    <w:p w14:paraId="461470A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szCs w:val="21"/>
          <w:lang w:val="en-US"/>
        </w:rPr>
      </w:pPr>
      <w:bookmarkStart w:id="6" w:name="_Toc7421"/>
      <w:bookmarkStart w:id="7" w:name="_Toc4843"/>
      <w:r>
        <w:rPr>
          <w:rFonts w:hint="eastAsia" w:ascii="宋体" w:hAnsi="宋体" w:eastAsia="宋体" w:cs="宋体"/>
          <w:b/>
          <w:bCs/>
          <w:kern w:val="2"/>
          <w:sz w:val="21"/>
          <w:szCs w:val="21"/>
          <w:lang w:val="en-US" w:eastAsia="zh-CN" w:bidi="ar"/>
        </w:rPr>
        <w:t>三、备品备件及专用工具</w:t>
      </w:r>
    </w:p>
    <w:p w14:paraId="3C8C59D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1、备品备件：中标人提供能够满足质量保证期内的设备维修要求的备品备件，备品备件应是新品。</w:t>
      </w:r>
    </w:p>
    <w:p w14:paraId="28F7D9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2、专用工具：中标人提供设备安装、调试、验收、维修、保养所必要的专用工具、仪器、仪表等工具。</w:t>
      </w:r>
    </w:p>
    <w:p w14:paraId="0A6286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四、安装调试、验收试验及质量保证</w:t>
      </w:r>
    </w:p>
    <w:p w14:paraId="62B21B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1、中标人在设备安装地点负责安装、调试。</w:t>
      </w:r>
    </w:p>
    <w:p w14:paraId="6BDB03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highlight w:val="none"/>
          <w:lang w:val="en-US" w:eastAsia="zh-CN" w:bidi="ar"/>
        </w:rPr>
      </w:pPr>
      <w:r>
        <w:rPr>
          <w:rFonts w:hint="eastAsia" w:ascii="宋体" w:hAnsi="宋体" w:eastAsia="宋体" w:cs="宋体"/>
          <w:kern w:val="2"/>
          <w:sz w:val="21"/>
          <w:szCs w:val="21"/>
          <w:highlight w:val="none"/>
          <w:lang w:val="en-US" w:eastAsia="zh-CN" w:bidi="ar"/>
        </w:rPr>
        <w:t>2、中标人须负责办理船舶检验证书并协助采购人办理船舶所有权登记证书、船舶国籍证书等法定必备证书，且须将上述证书所载权利主体全部变更登记至采购人名下。同时，中标人应将船舶全套设计图纸及船检证书原件随船移交采购人，未完成前述证书办理、权属变更及资料移交的，采购人有权拒绝验收。</w:t>
      </w:r>
    </w:p>
    <w:p w14:paraId="5B0ECF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3、具体设备验收标准和程序按采购人要求执行，验收标准和程序具体如下：</w:t>
      </w:r>
    </w:p>
    <w:p w14:paraId="6F7FAD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3.1 验收标准：符合《渔业船舶法定检验规则（2020 版）》《内河船舶法定检验技术规则（2024版）》，船舶为全新合格产品，所有设备具备产品合格证及第三方机构出具的检验报告，船体焊接、防腐等工艺符合</w:t>
      </w:r>
      <w:r>
        <w:rPr>
          <w:rFonts w:ascii="宋体" w:hAnsi="宋体" w:eastAsia="宋体" w:cs="宋体"/>
          <w:sz w:val="21"/>
          <w:szCs w:val="21"/>
        </w:rPr>
        <w:t>GB/T 33837-2017</w:t>
      </w:r>
      <w:r>
        <w:rPr>
          <w:rFonts w:hint="eastAsia" w:ascii="宋体" w:hAnsi="宋体" w:eastAsia="宋体" w:cs="宋体"/>
          <w:kern w:val="2"/>
          <w:sz w:val="21"/>
          <w:szCs w:val="21"/>
          <w:lang w:val="en-US" w:eastAsia="zh-CN" w:bidi="ar"/>
        </w:rPr>
        <w:t>、</w:t>
      </w:r>
      <w:r>
        <w:rPr>
          <w:rFonts w:ascii="宋体" w:hAnsi="宋体" w:eastAsia="宋体" w:cs="宋体"/>
          <w:sz w:val="21"/>
          <w:szCs w:val="21"/>
        </w:rPr>
        <w:t>GB/T</w:t>
      </w:r>
      <w:r>
        <w:rPr>
          <w:rFonts w:hint="eastAsia" w:ascii="宋体" w:hAnsi="宋体" w:eastAsia="宋体" w:cs="宋体"/>
          <w:sz w:val="21"/>
          <w:szCs w:val="21"/>
          <w:lang w:val="en-US" w:eastAsia="zh-CN"/>
        </w:rPr>
        <w:t xml:space="preserve"> 6822-2024</w:t>
      </w:r>
      <w:r>
        <w:rPr>
          <w:rFonts w:hint="eastAsia" w:ascii="宋体" w:hAnsi="宋体" w:eastAsia="宋体" w:cs="宋体"/>
          <w:kern w:val="2"/>
          <w:sz w:val="21"/>
          <w:szCs w:val="21"/>
          <w:lang w:val="en-US" w:eastAsia="zh-CN" w:bidi="ar"/>
        </w:rPr>
        <w:t>等国家标准。</w:t>
      </w:r>
    </w:p>
    <w:p w14:paraId="4DE0FF8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3.2验收流程：</w:t>
      </w:r>
    </w:p>
    <w:p w14:paraId="190217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初步验收：制造完成后，核查船体结构、设备配置、外观质量，初步验收合格后出具初步验收报告；</w:t>
      </w:r>
    </w:p>
    <w:p w14:paraId="1D7A5D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试航验收：在采购人指定地点试航≥8小时，横摇角≤15°，试航验收合格后出具试航报告；</w:t>
      </w:r>
    </w:p>
    <w:p w14:paraId="788E5C2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eastAsia="zh-CN"/>
        </w:rPr>
      </w:pPr>
      <w:r>
        <w:rPr>
          <w:rFonts w:hint="eastAsia" w:ascii="宋体" w:hAnsi="宋体" w:eastAsia="宋体" w:cs="宋体"/>
          <w:kern w:val="2"/>
          <w:sz w:val="21"/>
          <w:szCs w:val="21"/>
          <w:lang w:val="en-US" w:eastAsia="zh-CN" w:bidi="ar"/>
        </w:rPr>
        <w:t>最终验收：试航合格后10个工作日内，核对技术资料完整性及性能达标情况，最终验收合格后签署最</w:t>
      </w:r>
      <w:r>
        <w:rPr>
          <w:rFonts w:hint="eastAsia" w:ascii="宋体" w:hAnsi="宋体" w:eastAsia="宋体" w:cs="宋体"/>
          <w:sz w:val="21"/>
          <w:szCs w:val="21"/>
        </w:rPr>
        <w:t>终验收报告</w:t>
      </w:r>
      <w:r>
        <w:rPr>
          <w:rFonts w:hint="eastAsia" w:ascii="宋体" w:hAnsi="宋体" w:eastAsia="宋体" w:cs="宋体"/>
          <w:sz w:val="21"/>
          <w:szCs w:val="21"/>
          <w:lang w:eastAsia="zh-CN"/>
        </w:rPr>
        <w:t>。</w:t>
      </w:r>
    </w:p>
    <w:p w14:paraId="7DF867B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3.3中标人应向采购人提供安装调试过程中的各种文档资料,以便采购人今后能掌握操作和维护方法：</w:t>
      </w:r>
    </w:p>
    <w:p w14:paraId="5E61B49F">
      <w:pPr>
        <w:pStyle w:val="2"/>
        <w:keepNext w:val="0"/>
        <w:keepLines w:val="0"/>
        <w:pageBreakBefore w:val="0"/>
        <w:widowControl w:val="0"/>
        <w:kinsoku/>
        <w:wordWrap/>
        <w:overflowPunct/>
        <w:topLinePunct w:val="0"/>
        <w:autoSpaceDE/>
        <w:autoSpaceDN/>
        <w:bidi w:val="0"/>
        <w:adjustRightInd/>
        <w:snapToGrid w:val="0"/>
        <w:spacing w:after="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电子件：船舶设计图、施工图、结构图、设备说明书、维修手册（U盘存储</w:t>
      </w:r>
      <w:r>
        <w:rPr>
          <w:rFonts w:hint="eastAsia" w:ascii="宋体" w:hAnsi="宋体" w:eastAsia="宋体" w:cs="宋体"/>
          <w:sz w:val="21"/>
          <w:szCs w:val="21"/>
          <w:lang w:val="en-US" w:eastAsia="zh-CN"/>
        </w:rPr>
        <w:t>1</w:t>
      </w:r>
      <w:r>
        <w:rPr>
          <w:rFonts w:hint="eastAsia" w:ascii="宋体" w:hAnsi="宋体" w:eastAsia="宋体" w:cs="宋体"/>
          <w:sz w:val="21"/>
          <w:szCs w:val="21"/>
        </w:rPr>
        <w:t>份）</w:t>
      </w:r>
    </w:p>
    <w:p w14:paraId="7CD2314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sz w:val="21"/>
          <w:szCs w:val="21"/>
        </w:rPr>
        <w:t>纸质件：</w:t>
      </w:r>
      <w:r>
        <w:rPr>
          <w:rFonts w:hint="eastAsia" w:ascii="宋体" w:hAnsi="宋体" w:eastAsia="宋体" w:cs="宋体"/>
          <w:sz w:val="21"/>
          <w:szCs w:val="21"/>
          <w:lang w:val="en-US" w:eastAsia="zh-CN"/>
        </w:rPr>
        <w:t>船舶安全证书、</w:t>
      </w:r>
      <w:r>
        <w:rPr>
          <w:rFonts w:hint="eastAsia" w:ascii="宋体" w:hAnsi="宋体" w:eastAsia="宋体" w:cs="宋体"/>
          <w:sz w:val="21"/>
          <w:szCs w:val="21"/>
        </w:rPr>
        <w:t>产品合格证、</w:t>
      </w:r>
      <w:r>
        <w:rPr>
          <w:rFonts w:hint="eastAsia" w:ascii="宋体" w:hAnsi="宋体" w:eastAsia="宋体" w:cs="宋体"/>
          <w:sz w:val="21"/>
          <w:szCs w:val="21"/>
          <w:lang w:val="en-US" w:eastAsia="zh-CN"/>
        </w:rPr>
        <w:t>第三方机构</w:t>
      </w:r>
      <w:r>
        <w:rPr>
          <w:rFonts w:hint="eastAsia" w:ascii="宋体" w:hAnsi="宋体" w:eastAsia="宋体" w:cs="宋体"/>
          <w:sz w:val="21"/>
          <w:szCs w:val="21"/>
        </w:rPr>
        <w:t>检验报告、备件清单、船舶所有权登记资料（正本</w:t>
      </w:r>
      <w:r>
        <w:rPr>
          <w:rFonts w:hint="eastAsia" w:ascii="宋体" w:hAnsi="宋体" w:eastAsia="宋体" w:cs="宋体"/>
          <w:sz w:val="21"/>
          <w:szCs w:val="21"/>
          <w:lang w:val="en-US" w:eastAsia="zh-CN"/>
        </w:rPr>
        <w:t>1</w:t>
      </w:r>
      <w:r>
        <w:rPr>
          <w:rFonts w:hint="eastAsia" w:ascii="宋体" w:hAnsi="宋体" w:eastAsia="宋体" w:cs="宋体"/>
          <w:sz w:val="21"/>
          <w:szCs w:val="21"/>
        </w:rPr>
        <w:t>份、副本</w:t>
      </w:r>
      <w:r>
        <w:rPr>
          <w:rFonts w:hint="eastAsia" w:ascii="宋体" w:hAnsi="宋体" w:eastAsia="宋体" w:cs="宋体"/>
          <w:sz w:val="21"/>
          <w:szCs w:val="21"/>
          <w:lang w:val="en-US" w:eastAsia="zh-CN"/>
        </w:rPr>
        <w:t>2</w:t>
      </w:r>
      <w:r>
        <w:rPr>
          <w:rFonts w:hint="eastAsia" w:ascii="宋体" w:hAnsi="宋体" w:eastAsia="宋体" w:cs="宋体"/>
          <w:sz w:val="21"/>
          <w:szCs w:val="21"/>
        </w:rPr>
        <w:t>份，加盖公章）</w:t>
      </w:r>
      <w:r>
        <w:rPr>
          <w:rFonts w:hint="eastAsia" w:ascii="宋体" w:hAnsi="宋体" w:eastAsia="宋体" w:cs="宋体"/>
          <w:kern w:val="2"/>
          <w:sz w:val="21"/>
          <w:szCs w:val="21"/>
          <w:lang w:val="en-US" w:eastAsia="zh-CN" w:bidi="ar"/>
        </w:rPr>
        <w:t>。</w:t>
      </w:r>
    </w:p>
    <w:p w14:paraId="387D8F7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rightChars="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4、如设备在验收时有一个或多个指标未能达到要求而属于中标人责任时，则中标人自费采取有效措施，在规定时间内使之达到保证指标。如在规定的时间内仍达不到合格标准时，则中标人应向采购人赔偿。</w:t>
      </w:r>
    </w:p>
    <w:p w14:paraId="563446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五、包装运输</w:t>
      </w:r>
    </w:p>
    <w:p w14:paraId="4DA5303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1、中标人负责设备包装、办理运输和保险，将设备安全运抵交货地点。</w:t>
      </w:r>
    </w:p>
    <w:p w14:paraId="512B02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2、设备制造完成并通过试验后应及时包装，否则应得到切实的保护，确保其不受污损。</w:t>
      </w:r>
    </w:p>
    <w:p w14:paraId="2BA11E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3、在包装箱外应标明采购人的订货号、发货号。</w:t>
      </w:r>
    </w:p>
    <w:p w14:paraId="7FC802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4、各种包装应能确保各零部件在运输过程中不致遭到损坏、丢失、变形、受潮和腐蚀。</w:t>
      </w:r>
    </w:p>
    <w:p w14:paraId="0804FE8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5、包装箱上应有明显的包装储运图示标志。</w:t>
      </w:r>
    </w:p>
    <w:p w14:paraId="0BDA7B3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6、整体产品或分别运输的部件都要适应运输和装载的要求。</w:t>
      </w:r>
    </w:p>
    <w:p w14:paraId="21BB06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7、随产品提供的技术资料应完整无缺。</w:t>
      </w:r>
    </w:p>
    <w:p w14:paraId="00538E1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六、技术培训</w:t>
      </w:r>
    </w:p>
    <w:p w14:paraId="19EE18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1、为使合同设备能正常安装和运行，由中标人提供相应的技术培训，并免收采购人培训费用。培训内容应与工程进度相一致。</w:t>
      </w:r>
    </w:p>
    <w:p w14:paraId="7557A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2、货物最终验收合格并</w:t>
      </w:r>
      <w:r>
        <w:rPr>
          <w:rFonts w:hint="eastAsia" w:ascii="宋体" w:hAnsi="宋体" w:eastAsia="宋体" w:cs="宋体"/>
          <w:color w:val="auto"/>
          <w:sz w:val="21"/>
          <w:szCs w:val="21"/>
        </w:rPr>
        <w:t>交付后30个工作日内，</w:t>
      </w:r>
      <w:r>
        <w:rPr>
          <w:rFonts w:hint="eastAsia" w:ascii="宋体" w:hAnsi="宋体" w:eastAsia="宋体" w:cs="宋体"/>
          <w:color w:val="auto"/>
          <w:sz w:val="21"/>
          <w:szCs w:val="21"/>
          <w:lang w:val="en-US" w:eastAsia="zh-CN"/>
        </w:rPr>
        <w:t>中标人须</w:t>
      </w:r>
      <w:r>
        <w:rPr>
          <w:rFonts w:hint="eastAsia" w:ascii="宋体" w:hAnsi="宋体" w:eastAsia="宋体" w:cs="宋体"/>
          <w:color w:val="auto"/>
          <w:sz w:val="21"/>
          <w:szCs w:val="21"/>
        </w:rPr>
        <w:t>为</w:t>
      </w:r>
      <w:r>
        <w:rPr>
          <w:rFonts w:hint="eastAsia" w:ascii="宋体" w:hAnsi="宋体" w:eastAsia="宋体" w:cs="宋体"/>
          <w:color w:val="auto"/>
          <w:sz w:val="21"/>
          <w:szCs w:val="21"/>
          <w:lang w:val="en-US" w:eastAsia="zh-CN"/>
        </w:rPr>
        <w:t>采购人</w:t>
      </w:r>
      <w:r>
        <w:rPr>
          <w:rFonts w:hint="eastAsia" w:ascii="宋体" w:hAnsi="宋体" w:eastAsia="宋体" w:cs="宋体"/>
          <w:color w:val="auto"/>
          <w:sz w:val="21"/>
          <w:szCs w:val="21"/>
        </w:rPr>
        <w:t>4名操作人员提供2次培训（理论+实操），</w:t>
      </w:r>
      <w:r>
        <w:rPr>
          <w:rFonts w:hint="eastAsia" w:ascii="宋体" w:hAnsi="宋体" w:eastAsia="宋体" w:cs="宋体"/>
          <w:color w:val="auto"/>
          <w:sz w:val="21"/>
          <w:szCs w:val="21"/>
          <w:lang w:val="en-US" w:eastAsia="zh-CN"/>
        </w:rPr>
        <w:t>培训合格之后</w:t>
      </w:r>
      <w:r>
        <w:rPr>
          <w:rFonts w:hint="eastAsia" w:ascii="宋体" w:hAnsi="宋体" w:eastAsia="宋体" w:cs="宋体"/>
          <w:color w:val="auto"/>
          <w:sz w:val="21"/>
          <w:szCs w:val="21"/>
        </w:rPr>
        <w:t>出具培训合格证明</w:t>
      </w:r>
      <w:r>
        <w:rPr>
          <w:rFonts w:hint="eastAsia" w:ascii="宋体" w:hAnsi="宋体" w:eastAsia="宋体" w:cs="宋体"/>
          <w:color w:val="auto"/>
          <w:sz w:val="21"/>
          <w:szCs w:val="21"/>
          <w:lang w:val="en-US" w:eastAsia="zh-CN"/>
        </w:rPr>
        <w:t>。培训部分涉及的费用包含在本项目投标报价中，采购人后期不再另行支付费用。</w:t>
      </w:r>
      <w:r>
        <w:rPr>
          <w:rFonts w:hint="eastAsia" w:ascii="宋体" w:hAnsi="宋体" w:eastAsia="宋体" w:cs="宋体"/>
          <w:color w:val="auto"/>
          <w:kern w:val="2"/>
          <w:sz w:val="21"/>
          <w:szCs w:val="21"/>
          <w:lang w:val="en-US" w:eastAsia="zh-CN" w:bidi="ar"/>
        </w:rPr>
        <w:t>培训的时间、人数、地点等具体内容由买卖双方商定，内容至少包括：设备原理、使用、维护、运行操作、常见故障处理等。</w:t>
      </w:r>
    </w:p>
    <w:p w14:paraId="3FDADB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color w:val="FF0000"/>
          <w:szCs w:val="21"/>
          <w:lang w:val="en-US"/>
        </w:rPr>
      </w:pPr>
      <w:r>
        <w:rPr>
          <w:rFonts w:hint="eastAsia" w:ascii="宋体" w:hAnsi="宋体" w:eastAsia="宋体" w:cs="宋体"/>
          <w:kern w:val="2"/>
          <w:sz w:val="21"/>
          <w:szCs w:val="21"/>
          <w:lang w:val="en-US" w:eastAsia="zh-CN" w:bidi="ar"/>
        </w:rPr>
        <w:t>3、技术参数及要求里有特别规定的，以技术参数及要求中的要求为准。</w:t>
      </w:r>
    </w:p>
    <w:p w14:paraId="44F2AE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ascii="宋体" w:hAnsi="宋体" w:eastAsia="宋体" w:cs="宋体"/>
          <w:b/>
          <w:bCs/>
          <w:szCs w:val="21"/>
          <w:lang w:val="en-US"/>
        </w:rPr>
      </w:pPr>
      <w:r>
        <w:rPr>
          <w:rFonts w:hint="eastAsia" w:ascii="宋体" w:hAnsi="宋体" w:eastAsia="宋体" w:cs="宋体"/>
          <w:b/>
          <w:bCs/>
          <w:kern w:val="2"/>
          <w:sz w:val="21"/>
          <w:szCs w:val="21"/>
          <w:lang w:val="en-US" w:eastAsia="zh-CN" w:bidi="ar"/>
        </w:rPr>
        <w:t>七、质保及售后服务</w:t>
      </w:r>
    </w:p>
    <w:p w14:paraId="3F8ABCB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1、自双方签订《验收报告》起进入免费质保期。</w:t>
      </w:r>
    </w:p>
    <w:p w14:paraId="0FC8F2F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在质保期间内，非采购人过失和故意并且在正常使用的情况下发现商品有缺陷，中标人将免费修理或替换该设备；在质保期间内，非采购人过失和故意并且在正常使用的情况下设备发生故障，中标人应及时提供服务。</w:t>
      </w:r>
    </w:p>
    <w:p w14:paraId="0A6DB0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2.1接到故障通知后2小时内响应，响应后8小时内到达现场；</w:t>
      </w:r>
    </w:p>
    <w:p w14:paraId="1415CB9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2.2故障处理：一般故障24小时内解决，重大故障72小时内解决，无法现场处理的提供备用设备；</w:t>
      </w:r>
    </w:p>
    <w:p w14:paraId="6076B6D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2" w:firstLineChars="200"/>
        <w:jc w:val="both"/>
        <w:textAlignment w:val="auto"/>
        <w:rPr>
          <w:rFonts w:hint="eastAsia"/>
          <w:b/>
          <w:bCs/>
          <w:lang w:eastAsia="zh-CN"/>
        </w:rPr>
      </w:pPr>
      <w:r>
        <w:rPr>
          <w:rFonts w:hint="eastAsia" w:ascii="宋体" w:hAnsi="宋体" w:eastAsia="宋体" w:cs="宋体"/>
          <w:b/>
          <w:bCs/>
          <w:kern w:val="2"/>
          <w:sz w:val="21"/>
          <w:szCs w:val="21"/>
          <w:lang w:val="en-US" w:eastAsia="zh-CN" w:bidi="ar"/>
        </w:rPr>
        <w:t>2.3备件供应：核心零部件供应保障≥8年</w:t>
      </w:r>
      <w:r>
        <w:rPr>
          <w:rFonts w:hint="eastAsia" w:ascii="宋体" w:hAnsi="宋体" w:eastAsia="宋体" w:cs="宋体"/>
          <w:b/>
          <w:bCs/>
          <w:kern w:val="2"/>
          <w:sz w:val="21"/>
          <w:szCs w:val="21"/>
          <w:highlight w:val="green"/>
          <w:lang w:val="en-US" w:eastAsia="zh-CN" w:bidi="ar"/>
        </w:rPr>
        <w:t>（投标文件中提供书面承诺，否则投标无效，格式自拟）</w:t>
      </w:r>
      <w:r>
        <w:rPr>
          <w:rFonts w:hint="eastAsia" w:asciiTheme="minorEastAsia" w:hAnsiTheme="minorEastAsia" w:eastAsiaTheme="minorEastAsia" w:cstheme="minorEastAsia"/>
          <w:b/>
          <w:bCs/>
          <w:highlight w:val="green"/>
          <w:lang w:eastAsia="zh-CN"/>
        </w:rPr>
        <w:t>。</w:t>
      </w:r>
    </w:p>
    <w:p w14:paraId="69E6438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val="0"/>
          <w:color w:val="auto"/>
          <w:sz w:val="21"/>
          <w:szCs w:val="21"/>
          <w:highlight w:val="none"/>
          <w:lang w:val="en-US" w:eastAsia="zh-CN"/>
        </w:rPr>
      </w:pPr>
      <w:bookmarkStart w:id="8" w:name="_Toc16772"/>
      <w:r>
        <w:rPr>
          <w:rFonts w:hint="eastAsia" w:ascii="宋体" w:hAnsi="宋体" w:eastAsia="宋体"/>
          <w:b/>
          <w:bCs w:val="0"/>
          <w:color w:val="auto"/>
          <w:sz w:val="21"/>
          <w:szCs w:val="21"/>
          <w:highlight w:val="none"/>
          <w:lang w:val="en-US" w:eastAsia="zh-CN"/>
        </w:rPr>
        <w:t>八、报价要求</w:t>
      </w:r>
      <w:bookmarkEnd w:id="8"/>
    </w:p>
    <w:p w14:paraId="772E71C0">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lang w:val="en-US"/>
        </w:rPr>
      </w:pPr>
      <w:bookmarkStart w:id="9" w:name="_Toc23548"/>
      <w:r>
        <w:rPr>
          <w:rFonts w:hint="eastAsia" w:ascii="宋体" w:hAnsi="宋体" w:eastAsia="宋体"/>
          <w:bCs/>
          <w:color w:val="auto"/>
          <w:sz w:val="21"/>
          <w:szCs w:val="21"/>
          <w:highlight w:val="none"/>
          <w:lang w:val="en-US" w:eastAsia="zh-CN"/>
        </w:rPr>
        <w:t>本项目报总价，投标报价包括本项目需求的全部货物及所需附件购置费、包装费、运输费、人工费、安装调试费、各种税费、资料费、售后服务费及完成项目应有的全部费用。</w:t>
      </w:r>
      <w:bookmarkEnd w:id="9"/>
    </w:p>
    <w:p w14:paraId="4A4244BE">
      <w:pPr>
        <w:rPr>
          <w:rFonts w:hint="eastAsia" w:ascii="宋体" w:hAnsi="宋体" w:eastAsia="宋体" w:cs="宋体"/>
          <w:b/>
          <w:bCs/>
          <w:color w:val="auto"/>
          <w:sz w:val="24"/>
          <w:szCs w:val="24"/>
          <w:highlight w:val="yellow"/>
          <w:lang w:val="en-US" w:eastAsia="zh-CN"/>
        </w:rPr>
      </w:pPr>
      <w:r>
        <w:rPr>
          <w:rFonts w:hint="eastAsia" w:ascii="宋体" w:hAnsi="宋体" w:eastAsia="宋体" w:cs="宋体"/>
          <w:b/>
          <w:bCs/>
          <w:color w:val="auto"/>
          <w:sz w:val="24"/>
          <w:szCs w:val="24"/>
          <w:highlight w:val="yellow"/>
          <w:lang w:val="en-US" w:eastAsia="zh-CN"/>
        </w:rPr>
        <w:br w:type="page"/>
      </w:r>
    </w:p>
    <w:p w14:paraId="6CDEE370">
      <w:pPr>
        <w:widowControl/>
        <w:wordWrap/>
        <w:ind w:firstLine="482" w:firstLineChars="200"/>
        <w:jc w:val="center"/>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第2包采购需求</w:t>
      </w:r>
    </w:p>
    <w:p w14:paraId="303BB929">
      <w:pPr>
        <w:spacing w:line="360" w:lineRule="auto"/>
        <w:ind w:firstLine="437"/>
        <w:outlineLvl w:val="1"/>
        <w:rPr>
          <w:rFonts w:ascii="宋体" w:hAnsi="宋体" w:eastAsia="宋体"/>
          <w:b/>
          <w:color w:val="auto"/>
          <w:sz w:val="24"/>
          <w:szCs w:val="18"/>
          <w:highlight w:val="none"/>
        </w:rPr>
      </w:pPr>
      <w:bookmarkStart w:id="10" w:name="_Toc6669"/>
      <w:r>
        <w:rPr>
          <w:rFonts w:hint="eastAsia" w:ascii="宋体" w:hAnsi="宋体" w:eastAsia="宋体"/>
          <w:b/>
          <w:color w:val="auto"/>
          <w:sz w:val="24"/>
          <w:szCs w:val="18"/>
          <w:highlight w:val="none"/>
        </w:rPr>
        <w:t>一、采购需求前附表</w:t>
      </w:r>
      <w:bookmarkEnd w:id="10"/>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E72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2" w:hRule="atLeast"/>
          <w:jc w:val="center"/>
        </w:trPr>
        <w:tc>
          <w:tcPr>
            <w:tcW w:w="590" w:type="pct"/>
            <w:vAlign w:val="center"/>
          </w:tcPr>
          <w:p w14:paraId="61E8945E">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B7DE3C5">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C114127">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430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38F0F19">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38EB1D4A">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shd w:val="clear" w:color="auto" w:fill="auto"/>
            <w:vAlign w:val="center"/>
          </w:tcPr>
          <w:p w14:paraId="27B2C58C">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合同生效后，采购人付至合同价的</w:t>
            </w:r>
            <w:r>
              <w:rPr>
                <w:rFonts w:hint="eastAsia" w:ascii="宋体" w:hAnsi="宋体" w:eastAsia="宋体"/>
                <w:b w:val="0"/>
                <w:color w:val="auto"/>
                <w:sz w:val="24"/>
                <w:highlight w:val="none"/>
                <w:lang w:val="en-US" w:eastAsia="zh-CN"/>
              </w:rPr>
              <w:t>70</w:t>
            </w:r>
            <w:r>
              <w:rPr>
                <w:rFonts w:hint="eastAsia" w:ascii="宋体" w:hAnsi="宋体" w:eastAsia="宋体"/>
                <w:b w:val="0"/>
                <w:color w:val="auto"/>
                <w:sz w:val="24"/>
                <w:highlight w:val="none"/>
              </w:rPr>
              <w:t>%（中标人须提供等额预付款担保），项目经验收合格且相关资料齐备己移交后，一次性付清合同价款。</w:t>
            </w:r>
          </w:p>
          <w:p w14:paraId="736EBCB9">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注：</w:t>
            </w:r>
          </w:p>
          <w:p w14:paraId="7D7BDEB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（1）中标人未按规定提供预付款担保的，视为放弃预付款；</w:t>
            </w:r>
          </w:p>
          <w:p w14:paraId="1BB7B699">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（2）预付款担保要求：如采用银行保函、担保机构出具的保函（担保机构担保）均须满足无条件见索即付条件。</w:t>
            </w:r>
          </w:p>
        </w:tc>
      </w:tr>
      <w:tr w14:paraId="5674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5527683">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27B79FE9">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21CC3D1D">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安徽省农业科学院水产研究所</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具体按采购人指定地点。</w:t>
            </w:r>
          </w:p>
        </w:tc>
      </w:tr>
      <w:tr w14:paraId="1CD7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1C9A1A">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4419E72B">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4B30146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合同生效之日起，90个日历日内完成供货、安装、调试、培训等所有工作内容。</w:t>
            </w:r>
          </w:p>
        </w:tc>
      </w:tr>
      <w:tr w14:paraId="4DF3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44FBE7D">
            <w:pPr>
              <w:pStyle w:val="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308F8F96">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4088B688">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4"/>
                <w:highlight w:val="none"/>
                <w:u w:val="none"/>
              </w:rPr>
            </w:pPr>
            <w:r>
              <w:rPr>
                <w:rFonts w:hint="eastAsia" w:ascii="宋体" w:hAnsi="宋体" w:eastAsia="宋体"/>
                <w:b w:val="0"/>
                <w:color w:val="auto"/>
                <w:sz w:val="24"/>
                <w:highlight w:val="none"/>
                <w:u w:val="none"/>
                <w:lang w:val="en-US" w:eastAsia="zh-CN"/>
              </w:rPr>
              <w:t>自验收合格之日起，4年。</w:t>
            </w:r>
          </w:p>
        </w:tc>
      </w:tr>
    </w:tbl>
    <w:p w14:paraId="3ECF3E5C">
      <w:pPr>
        <w:spacing w:line="360" w:lineRule="auto"/>
        <w:ind w:firstLine="437"/>
        <w:outlineLvl w:val="1"/>
        <w:rPr>
          <w:rFonts w:hint="eastAsia" w:ascii="宋体" w:hAnsi="宋体" w:eastAsia="宋体"/>
          <w:b/>
          <w:bCs/>
          <w:color w:val="auto"/>
          <w:sz w:val="24"/>
          <w:szCs w:val="18"/>
          <w:highlight w:val="none"/>
        </w:rPr>
      </w:pPr>
    </w:p>
    <w:p w14:paraId="737F32DD">
      <w:pPr>
        <w:spacing w:line="360" w:lineRule="auto"/>
        <w:ind w:firstLine="437"/>
        <w:outlineLvl w:val="1"/>
        <w:rPr>
          <w:rFonts w:hint="eastAsia" w:ascii="宋体" w:hAnsi="宋体" w:eastAsia="宋体"/>
          <w:b/>
          <w:bCs/>
          <w:color w:val="auto"/>
          <w:sz w:val="24"/>
          <w:szCs w:val="18"/>
          <w:highlight w:val="none"/>
        </w:rPr>
      </w:pPr>
      <w:bookmarkStart w:id="11" w:name="_Toc803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11"/>
    </w:p>
    <w:p w14:paraId="748487E0">
      <w:pPr>
        <w:widowControl/>
        <w:wordWrap/>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sz w:val="24"/>
          <w:szCs w:val="24"/>
          <w:highlight w:val="none"/>
        </w:rPr>
        <w:t>标识符号</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52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36B4A6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noWrap w:val="0"/>
            <w:vAlign w:val="center"/>
          </w:tcPr>
          <w:p w14:paraId="2882EA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noWrap w:val="0"/>
            <w:vAlign w:val="center"/>
          </w:tcPr>
          <w:p w14:paraId="39ACE7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41F4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694632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重要指标项</w:t>
            </w:r>
          </w:p>
        </w:tc>
        <w:tc>
          <w:tcPr>
            <w:tcW w:w="1365" w:type="dxa"/>
            <w:shd w:val="clear" w:color="auto" w:fill="auto"/>
            <w:noWrap w:val="0"/>
            <w:vAlign w:val="center"/>
          </w:tcPr>
          <w:p w14:paraId="0B5B77F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000000"/>
                <w:kern w:val="2"/>
                <w:sz w:val="24"/>
                <w:szCs w:val="24"/>
                <w:highlight w:val="none"/>
                <w:lang w:val="en-US" w:eastAsia="zh-CN" w:bidi="ar-SA"/>
              </w:rPr>
            </w:pPr>
            <w:r>
              <w:rPr>
                <w:rFonts w:hint="eastAsia" w:ascii="宋体" w:hAnsi="宋体" w:eastAsia="宋体" w:cs="宋体"/>
                <w:color w:val="000000"/>
                <w:sz w:val="24"/>
                <w:szCs w:val="24"/>
                <w:highlight w:val="none"/>
              </w:rPr>
              <w:t>★</w:t>
            </w:r>
          </w:p>
        </w:tc>
        <w:tc>
          <w:tcPr>
            <w:tcW w:w="5363" w:type="dxa"/>
            <w:shd w:val="clear" w:color="auto" w:fill="auto"/>
            <w:noWrap w:val="0"/>
            <w:vAlign w:val="center"/>
          </w:tcPr>
          <w:p w14:paraId="1F5E6C9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000000"/>
                <w:kern w:val="2"/>
                <w:sz w:val="24"/>
                <w:szCs w:val="24"/>
                <w:highlight w:val="none"/>
                <w:lang w:val="en-US" w:eastAsia="zh-CN" w:bidi="ar-SA"/>
              </w:rPr>
            </w:pPr>
            <w:r>
              <w:rPr>
                <w:rFonts w:hint="eastAsia" w:ascii="宋体" w:hAnsi="宋体" w:eastAsia="宋体" w:cs="宋体"/>
                <w:bCs/>
                <w:color w:val="000000"/>
                <w:sz w:val="24"/>
                <w:szCs w:val="24"/>
                <w:highlight w:val="none"/>
              </w:rPr>
              <w:t>评分项，</w:t>
            </w:r>
            <w:r>
              <w:rPr>
                <w:rFonts w:hint="eastAsia" w:ascii="宋体" w:hAnsi="宋体" w:eastAsia="宋体" w:cs="宋体"/>
                <w:color w:val="000000"/>
                <w:kern w:val="2"/>
                <w:sz w:val="24"/>
                <w:szCs w:val="24"/>
                <w:highlight w:val="none"/>
                <w:lang w:val="en-US" w:eastAsia="zh-CN" w:bidi="ar"/>
              </w:rPr>
              <w:t>详见评标办法和标准。</w:t>
            </w:r>
          </w:p>
        </w:tc>
      </w:tr>
      <w:tr w14:paraId="4BE31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55B3FA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核心指标项</w:t>
            </w:r>
          </w:p>
        </w:tc>
        <w:tc>
          <w:tcPr>
            <w:tcW w:w="1365" w:type="dxa"/>
            <w:shd w:val="clear" w:color="auto" w:fill="auto"/>
            <w:noWrap w:val="0"/>
            <w:vAlign w:val="center"/>
          </w:tcPr>
          <w:p w14:paraId="7024DB3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w:t>
            </w:r>
          </w:p>
        </w:tc>
        <w:tc>
          <w:tcPr>
            <w:tcW w:w="5363" w:type="dxa"/>
            <w:shd w:val="clear" w:color="auto" w:fill="auto"/>
            <w:noWrap w:val="0"/>
            <w:vAlign w:val="center"/>
          </w:tcPr>
          <w:p w14:paraId="5DEF5ED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bCs/>
                <w:color w:val="000000"/>
                <w:kern w:val="2"/>
                <w:sz w:val="24"/>
                <w:szCs w:val="24"/>
                <w:highlight w:val="none"/>
                <w:lang w:val="en-US" w:eastAsia="zh-CN" w:bidi="ar-SA"/>
              </w:rPr>
            </w:pPr>
            <w:r>
              <w:rPr>
                <w:rFonts w:hint="eastAsia" w:ascii="宋体" w:hAnsi="宋体" w:eastAsia="宋体" w:cs="宋体"/>
                <w:bCs/>
                <w:color w:val="000000"/>
                <w:kern w:val="2"/>
                <w:sz w:val="24"/>
                <w:szCs w:val="24"/>
                <w:highlight w:val="none"/>
                <w:lang w:val="en-US" w:eastAsia="zh-CN" w:bidi="ar-SA"/>
              </w:rPr>
              <w:t>符合性审查项，负偏离或未响应的，</w:t>
            </w:r>
            <w:r>
              <w:rPr>
                <w:rFonts w:hint="eastAsia" w:ascii="宋体" w:hAnsi="宋体" w:eastAsia="宋体" w:cs="宋体"/>
                <w:b/>
                <w:bCs w:val="0"/>
                <w:color w:val="000000"/>
                <w:kern w:val="2"/>
                <w:sz w:val="24"/>
                <w:szCs w:val="24"/>
                <w:highlight w:val="none"/>
                <w:lang w:val="en-US" w:eastAsia="zh-CN" w:bidi="ar-SA"/>
              </w:rPr>
              <w:t>投标无效</w:t>
            </w:r>
            <w:r>
              <w:rPr>
                <w:rFonts w:hint="eastAsia" w:ascii="宋体" w:hAnsi="宋体" w:eastAsia="宋体" w:cs="宋体"/>
                <w:bCs/>
                <w:color w:val="000000"/>
                <w:kern w:val="2"/>
                <w:sz w:val="24"/>
                <w:szCs w:val="24"/>
                <w:highlight w:val="none"/>
                <w:lang w:val="en-US" w:eastAsia="zh-CN" w:bidi="ar-SA"/>
              </w:rPr>
              <w:t>。</w:t>
            </w:r>
          </w:p>
        </w:tc>
      </w:tr>
      <w:tr w14:paraId="477D0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272075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无标识项</w:t>
            </w:r>
          </w:p>
        </w:tc>
        <w:tc>
          <w:tcPr>
            <w:tcW w:w="1365" w:type="dxa"/>
            <w:noWrap w:val="0"/>
            <w:vAlign w:val="center"/>
          </w:tcPr>
          <w:p w14:paraId="6E857F5F">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000000"/>
                <w:sz w:val="24"/>
                <w:szCs w:val="24"/>
                <w:highlight w:val="none"/>
              </w:rPr>
            </w:pPr>
          </w:p>
        </w:tc>
        <w:tc>
          <w:tcPr>
            <w:tcW w:w="5363" w:type="dxa"/>
            <w:noWrap w:val="0"/>
            <w:vAlign w:val="center"/>
          </w:tcPr>
          <w:p w14:paraId="63836237">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000000"/>
                <w:kern w:val="2"/>
                <w:sz w:val="24"/>
                <w:szCs w:val="24"/>
                <w:highlight w:val="none"/>
                <w:lang w:val="en-US" w:eastAsia="zh-CN" w:bidi="ar-SA"/>
              </w:rPr>
            </w:pPr>
            <w:r>
              <w:rPr>
                <w:rFonts w:hint="eastAsia" w:ascii="宋体" w:hAnsi="宋体" w:eastAsia="宋体" w:cs="宋体"/>
                <w:bCs/>
                <w:color w:val="000000"/>
                <w:kern w:val="2"/>
                <w:sz w:val="24"/>
                <w:szCs w:val="24"/>
                <w:highlight w:val="none"/>
                <w:lang w:val="en-US" w:eastAsia="zh-CN" w:bidi="ar-SA"/>
              </w:rPr>
              <w:t>符合性审查项，该指标项最大允许负偏离</w:t>
            </w:r>
            <w:r>
              <w:rPr>
                <w:rFonts w:hint="eastAsia" w:ascii="宋体" w:hAnsi="宋体" w:eastAsia="宋体" w:cs="宋体"/>
                <w:bCs/>
                <w:color w:val="000000"/>
                <w:kern w:val="2"/>
                <w:sz w:val="24"/>
                <w:szCs w:val="24"/>
                <w:highlight w:val="none"/>
                <w:u w:val="single"/>
                <w:lang w:val="en-US" w:eastAsia="zh-CN" w:bidi="ar-SA"/>
              </w:rPr>
              <w:t>3</w:t>
            </w:r>
            <w:r>
              <w:rPr>
                <w:rFonts w:hint="eastAsia" w:ascii="宋体" w:hAnsi="宋体" w:eastAsia="宋体" w:cs="宋体"/>
                <w:bCs/>
                <w:color w:val="000000"/>
                <w:kern w:val="2"/>
                <w:sz w:val="24"/>
                <w:szCs w:val="24"/>
                <w:highlight w:val="none"/>
                <w:lang w:val="en-US" w:eastAsia="zh-CN" w:bidi="ar-SA"/>
              </w:rPr>
              <w:t>项，超过最大允许负偏离项数的，</w:t>
            </w:r>
            <w:r>
              <w:rPr>
                <w:rFonts w:hint="eastAsia" w:ascii="宋体" w:hAnsi="宋体" w:eastAsia="宋体" w:cs="宋体"/>
                <w:b/>
                <w:bCs w:val="0"/>
                <w:color w:val="000000"/>
                <w:kern w:val="2"/>
                <w:sz w:val="24"/>
                <w:szCs w:val="24"/>
                <w:highlight w:val="none"/>
                <w:lang w:val="en-US" w:eastAsia="zh-CN" w:bidi="ar-SA"/>
              </w:rPr>
              <w:t>投标无效</w:t>
            </w:r>
            <w:r>
              <w:rPr>
                <w:rFonts w:hint="eastAsia" w:ascii="宋体" w:hAnsi="宋体" w:eastAsia="宋体" w:cs="宋体"/>
                <w:bCs/>
                <w:color w:val="000000"/>
                <w:kern w:val="2"/>
                <w:sz w:val="24"/>
                <w:szCs w:val="24"/>
                <w:highlight w:val="none"/>
                <w:lang w:val="en-US" w:eastAsia="zh-CN" w:bidi="ar-SA"/>
              </w:rPr>
              <w:t>。</w:t>
            </w:r>
          </w:p>
        </w:tc>
      </w:tr>
      <w:tr w14:paraId="5A3B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0517D8B7">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771F6427">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（1）</w:t>
            </w:r>
            <w:r>
              <w:rPr>
                <w:rFonts w:hint="eastAsia" w:ascii="宋体" w:hAnsi="宋体" w:eastAsia="宋体" w:cs="宋体"/>
                <w:color w:val="000000"/>
                <w:sz w:val="24"/>
                <w:szCs w:val="24"/>
                <w:highlight w:val="none"/>
              </w:rPr>
              <w:t>标识条款中如包含多条子项技术参数或要求，则需满足或优于该标识条款内所有子项技术参数或要求方能得分。</w:t>
            </w:r>
          </w:p>
          <w:p w14:paraId="0CD15282">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2）</w:t>
            </w:r>
            <w:r>
              <w:rPr>
                <w:rFonts w:hint="eastAsia" w:ascii="宋体" w:hAnsi="宋体" w:eastAsia="宋体" w:cs="宋体"/>
                <w:kern w:val="0"/>
                <w:sz w:val="24"/>
                <w:szCs w:val="24"/>
                <w:highlight w:val="none"/>
              </w:rPr>
              <w:t>下述技术参数所涉及的具体物理尺寸</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lang w:val="en-US" w:eastAsia="zh-CN"/>
              </w:rPr>
              <w:t>明确允许偏离范围的，按</w:t>
            </w:r>
            <w:r>
              <w:rPr>
                <w:rFonts w:hint="eastAsia" w:ascii="宋体" w:hAnsi="宋体" w:eastAsia="宋体" w:cs="宋体"/>
                <w:sz w:val="24"/>
                <w:szCs w:val="24"/>
                <w:highlight w:val="none"/>
                <w:lang w:val="en-US" w:eastAsia="zh-CN"/>
              </w:rPr>
              <w:t>要求</w:t>
            </w:r>
            <w:r>
              <w:rPr>
                <w:rFonts w:hint="eastAsia" w:ascii="宋体" w:hAnsi="宋体" w:eastAsia="宋体" w:cs="宋体"/>
                <w:kern w:val="0"/>
                <w:sz w:val="24"/>
                <w:szCs w:val="24"/>
                <w:highlight w:val="none"/>
                <w:lang w:val="en-US" w:eastAsia="zh-CN"/>
              </w:rPr>
              <w:t>执行；未明确允许偏离范围的，</w:t>
            </w:r>
            <w:r>
              <w:rPr>
                <w:rFonts w:hint="eastAsia" w:ascii="宋体" w:hAnsi="宋体" w:eastAsia="宋体" w:cs="宋体"/>
                <w:kern w:val="0"/>
                <w:sz w:val="24"/>
                <w:szCs w:val="24"/>
                <w:highlight w:val="none"/>
              </w:rPr>
              <w:t>允许±5%偏离</w:t>
            </w:r>
            <w:r>
              <w:rPr>
                <w:rFonts w:hint="eastAsia" w:ascii="宋体" w:hAnsi="宋体" w:eastAsia="宋体" w:cs="宋体"/>
                <w:sz w:val="24"/>
                <w:szCs w:val="24"/>
                <w:highlight w:val="none"/>
              </w:rPr>
              <w:t>。</w:t>
            </w:r>
          </w:p>
        </w:tc>
      </w:tr>
    </w:tbl>
    <w:p w14:paraId="6BC3065A">
      <w:pPr>
        <w:pStyle w:val="2"/>
        <w:rPr>
          <w:rFonts w:hint="default"/>
          <w:lang w:val="en-US" w:eastAsia="zh-CN"/>
        </w:rPr>
      </w:pPr>
    </w:p>
    <w:p w14:paraId="19815238">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（二）</w:t>
      </w:r>
      <w:r>
        <w:rPr>
          <w:rFonts w:hint="eastAsia" w:ascii="宋体" w:hAnsi="宋体" w:eastAsia="宋体" w:cs="宋体"/>
          <w:b/>
          <w:bCs/>
          <w:sz w:val="24"/>
          <w:szCs w:val="24"/>
          <w:highlight w:val="none"/>
          <w:lang w:val="en-US" w:eastAsia="zh-CN"/>
        </w:rPr>
        <w:t>采</w:t>
      </w:r>
      <w:r>
        <w:rPr>
          <w:rFonts w:hint="eastAsia" w:ascii="宋体" w:hAnsi="宋体" w:eastAsia="宋体" w:cs="宋体"/>
          <w:b/>
          <w:bCs/>
          <w:sz w:val="24"/>
          <w:szCs w:val="24"/>
          <w:highlight w:val="none"/>
          <w:lang w:eastAsia="zh-CN"/>
        </w:rPr>
        <w:t>购清单</w:t>
      </w:r>
    </w:p>
    <w:tbl>
      <w:tblPr>
        <w:tblStyle w:val="4"/>
        <w:tblW w:w="90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6"/>
        <w:gridCol w:w="1594"/>
        <w:gridCol w:w="2963"/>
        <w:gridCol w:w="918"/>
        <w:gridCol w:w="975"/>
        <w:gridCol w:w="1112"/>
        <w:gridCol w:w="740"/>
      </w:tblGrid>
      <w:tr w14:paraId="2A70A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0E09014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4296DE8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货物名称</w:t>
            </w:r>
          </w:p>
        </w:tc>
        <w:tc>
          <w:tcPr>
            <w:tcW w:w="2963" w:type="dxa"/>
            <w:tcBorders>
              <w:top w:val="single" w:color="000000" w:sz="4" w:space="0"/>
              <w:left w:val="single" w:color="000000" w:sz="4" w:space="0"/>
              <w:bottom w:val="single" w:color="000000" w:sz="4" w:space="0"/>
              <w:right w:val="single" w:color="000000" w:sz="4" w:space="0"/>
            </w:tcBorders>
            <w:noWrap/>
            <w:vAlign w:val="center"/>
          </w:tcPr>
          <w:p w14:paraId="4BC9976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6DD33B40">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D24584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2130FC0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c>
          <w:tcPr>
            <w:tcW w:w="740" w:type="dxa"/>
            <w:tcBorders>
              <w:top w:val="single" w:color="000000" w:sz="4" w:space="0"/>
              <w:left w:val="single" w:color="000000" w:sz="4" w:space="0"/>
              <w:bottom w:val="single" w:color="000000" w:sz="4" w:space="0"/>
              <w:right w:val="single" w:color="000000" w:sz="4" w:space="0"/>
            </w:tcBorders>
            <w:noWrap/>
            <w:vAlign w:val="center"/>
          </w:tcPr>
          <w:p w14:paraId="19DD8315">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所属行业</w:t>
            </w:r>
          </w:p>
        </w:tc>
      </w:tr>
      <w:tr w14:paraId="29D6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29C6D8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32D4CD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color w:val="auto"/>
                <w:sz w:val="21"/>
                <w:szCs w:val="21"/>
                <w:highlight w:val="none"/>
              </w:rPr>
              <w:t>▲</w:t>
            </w:r>
            <w:r>
              <w:rPr>
                <w:rFonts w:hint="eastAsia" w:ascii="宋体" w:hAnsi="宋体" w:eastAsia="宋体" w:cs="宋体"/>
                <w:i w:val="0"/>
                <w:iCs w:val="0"/>
                <w:color w:val="000000"/>
                <w:kern w:val="0"/>
                <w:sz w:val="21"/>
                <w:szCs w:val="21"/>
                <w:u w:val="none"/>
                <w:lang w:val="en-US" w:eastAsia="zh-CN" w:bidi="ar"/>
              </w:rPr>
              <w:t>实验边台</w:t>
            </w:r>
          </w:p>
        </w:tc>
        <w:tc>
          <w:tcPr>
            <w:tcW w:w="2963" w:type="dxa"/>
            <w:tcBorders>
              <w:top w:val="single" w:color="000000" w:sz="4" w:space="0"/>
              <w:left w:val="single" w:color="000000" w:sz="4" w:space="0"/>
              <w:bottom w:val="single" w:color="000000" w:sz="4" w:space="0"/>
              <w:right w:val="nil"/>
            </w:tcBorders>
            <w:noWrap w:val="0"/>
            <w:vAlign w:val="center"/>
          </w:tcPr>
          <w:p w14:paraId="7F6578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材质：钢木材质；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规格：L*750*800mm；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3EF21F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1B575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35369DF1">
            <w:pPr>
              <w:jc w:val="left"/>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14:paraId="0B5276D8">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2DF0B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0B7192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1C4948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转角台</w:t>
            </w:r>
          </w:p>
        </w:tc>
        <w:tc>
          <w:tcPr>
            <w:tcW w:w="2963" w:type="dxa"/>
            <w:tcBorders>
              <w:top w:val="single" w:color="000000" w:sz="4" w:space="0"/>
              <w:left w:val="single" w:color="000000" w:sz="4" w:space="0"/>
              <w:bottom w:val="single" w:color="000000" w:sz="4" w:space="0"/>
              <w:right w:val="nil"/>
            </w:tcBorders>
            <w:noWrap w:val="0"/>
            <w:vAlign w:val="center"/>
          </w:tcPr>
          <w:p w14:paraId="3A6FE09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材质：钢木材质；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规格：1000*1000*800mm；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5DD64A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2A133B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640121FF">
            <w:pPr>
              <w:jc w:val="left"/>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14:paraId="239416F7">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6B9EB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36EA9B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585EB3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中央实验台</w:t>
            </w:r>
          </w:p>
        </w:tc>
        <w:tc>
          <w:tcPr>
            <w:tcW w:w="2963" w:type="dxa"/>
            <w:tcBorders>
              <w:top w:val="single" w:color="000000" w:sz="4" w:space="0"/>
              <w:left w:val="single" w:color="000000" w:sz="4" w:space="0"/>
              <w:bottom w:val="single" w:color="000000" w:sz="4" w:space="0"/>
              <w:right w:val="nil"/>
            </w:tcBorders>
            <w:noWrap w:val="0"/>
            <w:vAlign w:val="center"/>
          </w:tcPr>
          <w:p w14:paraId="59D50C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材质：钢木材质；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规格：L*1500*800mm；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3223CE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7D942D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4DD89D92">
            <w:pPr>
              <w:jc w:val="left"/>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14:paraId="0FD010E8">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5EB3A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49D3BA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20F6C7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中央试剂架</w:t>
            </w:r>
          </w:p>
        </w:tc>
        <w:tc>
          <w:tcPr>
            <w:tcW w:w="2963" w:type="dxa"/>
            <w:tcBorders>
              <w:top w:val="single" w:color="000000" w:sz="4" w:space="0"/>
              <w:left w:val="single" w:color="000000" w:sz="4" w:space="0"/>
              <w:bottom w:val="single" w:color="000000" w:sz="4" w:space="0"/>
              <w:right w:val="nil"/>
            </w:tcBorders>
            <w:noWrap w:val="0"/>
            <w:vAlign w:val="center"/>
          </w:tcPr>
          <w:p w14:paraId="6665BB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材质：铝玻结构。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规格：L*300*750mm；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7F328F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3049F8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1A50CD02">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ign w:val="center"/>
          </w:tcPr>
          <w:p w14:paraId="16EAA4EE">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5CF09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614B96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394DB7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水槽+水龙头</w:t>
            </w:r>
          </w:p>
        </w:tc>
        <w:tc>
          <w:tcPr>
            <w:tcW w:w="2963" w:type="dxa"/>
            <w:tcBorders>
              <w:top w:val="single" w:color="000000" w:sz="4" w:space="0"/>
              <w:left w:val="single" w:color="000000" w:sz="4" w:space="0"/>
              <w:bottom w:val="single" w:color="000000" w:sz="4" w:space="0"/>
              <w:right w:val="nil"/>
            </w:tcBorders>
            <w:noWrap w:val="0"/>
            <w:vAlign w:val="center"/>
          </w:tcPr>
          <w:p w14:paraId="64F109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水槽材质：PP材质；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规格：550*450*310mm；</w:t>
            </w:r>
          </w:p>
          <w:p w14:paraId="42EEE6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水龙头材质：纯铜材质；</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275447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B517F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27A8C5E8">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ign w:val="center"/>
          </w:tcPr>
          <w:p w14:paraId="7B5F6FFD">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0E98B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26E7C7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17C29D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滴水架</w:t>
            </w:r>
          </w:p>
        </w:tc>
        <w:tc>
          <w:tcPr>
            <w:tcW w:w="2963" w:type="dxa"/>
            <w:tcBorders>
              <w:top w:val="single" w:color="000000" w:sz="4" w:space="0"/>
              <w:left w:val="single" w:color="000000" w:sz="4" w:space="0"/>
              <w:bottom w:val="single" w:color="000000" w:sz="4" w:space="0"/>
              <w:right w:val="nil"/>
            </w:tcBorders>
            <w:noWrap w:val="0"/>
            <w:vAlign w:val="center"/>
          </w:tcPr>
          <w:p w14:paraId="726354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材质：PP；</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规格：550*440mm；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6988EF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C1D33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226F7CBC">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ign w:val="center"/>
          </w:tcPr>
          <w:p w14:paraId="01D99C53">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2940A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65F005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2C35E97A">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吊柜1</w:t>
            </w:r>
          </w:p>
        </w:tc>
        <w:tc>
          <w:tcPr>
            <w:tcW w:w="2963" w:type="dxa"/>
            <w:tcBorders>
              <w:top w:val="single" w:color="000000" w:sz="4" w:space="0"/>
              <w:left w:val="single" w:color="000000" w:sz="4" w:space="0"/>
              <w:bottom w:val="single" w:color="000000" w:sz="4" w:space="0"/>
              <w:right w:val="nil"/>
            </w:tcBorders>
            <w:noWrap w:val="0"/>
            <w:vAlign w:val="center"/>
          </w:tcPr>
          <w:p w14:paraId="409CEF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材质：木质；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规格：800*450*700mm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519377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03296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0DE865C9">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14:paraId="2FBBCF1A">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106D3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0FE4D1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1B2E7269">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吊柜2</w:t>
            </w:r>
          </w:p>
        </w:tc>
        <w:tc>
          <w:tcPr>
            <w:tcW w:w="2963" w:type="dxa"/>
            <w:tcBorders>
              <w:top w:val="single" w:color="000000" w:sz="4" w:space="0"/>
              <w:left w:val="single" w:color="000000" w:sz="4" w:space="0"/>
              <w:bottom w:val="single" w:color="000000" w:sz="4" w:space="0"/>
              <w:right w:val="nil"/>
            </w:tcBorders>
            <w:noWrap w:val="0"/>
            <w:vAlign w:val="center"/>
          </w:tcPr>
          <w:p w14:paraId="4C4BB9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材质：木质；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规格：700*450*700mm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320A34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17861E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29CDF3AC">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14:paraId="4F3E5337">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5C3A6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26260F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1984D867">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吊柜3</w:t>
            </w:r>
          </w:p>
        </w:tc>
        <w:tc>
          <w:tcPr>
            <w:tcW w:w="2963" w:type="dxa"/>
            <w:tcBorders>
              <w:top w:val="single" w:color="000000" w:sz="4" w:space="0"/>
              <w:left w:val="single" w:color="000000" w:sz="4" w:space="0"/>
              <w:bottom w:val="single" w:color="000000" w:sz="4" w:space="0"/>
              <w:right w:val="nil"/>
            </w:tcBorders>
            <w:noWrap w:val="0"/>
            <w:vAlign w:val="center"/>
          </w:tcPr>
          <w:p w14:paraId="610391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材质：木质；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规格：450*450*700mm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78288D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4D2B41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12" w:type="dxa"/>
            <w:tcBorders>
              <w:top w:val="single" w:color="000000" w:sz="4" w:space="0"/>
              <w:left w:val="single" w:color="000000" w:sz="4" w:space="0"/>
              <w:bottom w:val="single" w:color="000000" w:sz="4" w:space="0"/>
              <w:right w:val="single" w:color="000000" w:sz="4" w:space="0"/>
            </w:tcBorders>
            <w:noWrap w:val="0"/>
            <w:vAlign w:val="center"/>
          </w:tcPr>
          <w:p w14:paraId="13B378E8">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0"/>
            <w:vAlign w:val="center"/>
          </w:tcPr>
          <w:p w14:paraId="6A4DE4CA">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0E445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6CA01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3BE16C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PP通风橱</w:t>
            </w:r>
          </w:p>
        </w:tc>
        <w:tc>
          <w:tcPr>
            <w:tcW w:w="2963" w:type="dxa"/>
            <w:tcBorders>
              <w:top w:val="single" w:color="000000" w:sz="4" w:space="0"/>
              <w:left w:val="single" w:color="000000" w:sz="4" w:space="0"/>
              <w:bottom w:val="single" w:color="000000" w:sz="4" w:space="0"/>
              <w:right w:val="single" w:color="000000" w:sz="4" w:space="0"/>
            </w:tcBorders>
            <w:noWrap w:val="0"/>
            <w:vAlign w:val="center"/>
          </w:tcPr>
          <w:p w14:paraId="4564C3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材质：PP材质；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规格：1500*850*2350mm；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04EF1A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4E57B6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12EC5E6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含直排风机风管</w:t>
            </w:r>
          </w:p>
        </w:tc>
        <w:tc>
          <w:tcPr>
            <w:tcW w:w="740" w:type="dxa"/>
            <w:tcBorders>
              <w:top w:val="single" w:color="000000" w:sz="4" w:space="0"/>
              <w:left w:val="single" w:color="000000" w:sz="4" w:space="0"/>
              <w:bottom w:val="single" w:color="000000" w:sz="4" w:space="0"/>
              <w:right w:val="single" w:color="000000" w:sz="4" w:space="0"/>
            </w:tcBorders>
            <w:noWrap/>
            <w:vAlign w:val="center"/>
          </w:tcPr>
          <w:p w14:paraId="79628FC2">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Cs/>
                <w:color w:val="auto"/>
                <w:sz w:val="21"/>
                <w:szCs w:val="21"/>
                <w:highlight w:val="none"/>
                <w:lang w:val="en-US" w:eastAsia="zh-CN"/>
              </w:rPr>
              <w:t>工业</w:t>
            </w:r>
          </w:p>
        </w:tc>
      </w:tr>
      <w:tr w14:paraId="0B3D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7A9B35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6D56B25D">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货架1</w:t>
            </w:r>
          </w:p>
        </w:tc>
        <w:tc>
          <w:tcPr>
            <w:tcW w:w="2963" w:type="dxa"/>
            <w:tcBorders>
              <w:top w:val="single" w:color="000000" w:sz="4" w:space="0"/>
              <w:left w:val="single" w:color="000000" w:sz="4" w:space="0"/>
              <w:bottom w:val="single" w:color="000000" w:sz="4" w:space="0"/>
              <w:right w:val="nil"/>
            </w:tcBorders>
            <w:noWrap w:val="0"/>
            <w:vAlign w:val="center"/>
          </w:tcPr>
          <w:p w14:paraId="13612C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材质：钢制材质；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规格：1500*500*2000mm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29E13E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4C85AF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3509E669">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ign w:val="center"/>
          </w:tcPr>
          <w:p w14:paraId="2F96A53F">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10D03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25EF53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37CEE9B4">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货架2</w:t>
            </w:r>
          </w:p>
        </w:tc>
        <w:tc>
          <w:tcPr>
            <w:tcW w:w="2963" w:type="dxa"/>
            <w:tcBorders>
              <w:top w:val="single" w:color="000000" w:sz="4" w:space="0"/>
              <w:left w:val="single" w:color="000000" w:sz="4" w:space="0"/>
              <w:bottom w:val="single" w:color="000000" w:sz="4" w:space="0"/>
              <w:right w:val="nil"/>
            </w:tcBorders>
            <w:noWrap w:val="0"/>
            <w:vAlign w:val="center"/>
          </w:tcPr>
          <w:p w14:paraId="73F98D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材质：钢制材质；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规格：1800*500*2000mm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6B7B10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4F5751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1CE9ADDC">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ign w:val="center"/>
          </w:tcPr>
          <w:p w14:paraId="25D1D385">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57DDD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5B1E6B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19E992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塔式电源盒</w:t>
            </w:r>
          </w:p>
        </w:tc>
        <w:tc>
          <w:tcPr>
            <w:tcW w:w="2963" w:type="dxa"/>
            <w:tcBorders>
              <w:top w:val="single" w:color="000000" w:sz="4" w:space="0"/>
              <w:left w:val="single" w:color="000000" w:sz="4" w:space="0"/>
              <w:bottom w:val="single" w:color="000000" w:sz="4" w:space="0"/>
              <w:right w:val="nil"/>
            </w:tcBorders>
            <w:noWrap w:val="0"/>
            <w:vAlign w:val="center"/>
          </w:tcPr>
          <w:p w14:paraId="1BA840F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材质：铝合金材质；</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73DA2A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7196C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5FDE34DE">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ign w:val="center"/>
          </w:tcPr>
          <w:p w14:paraId="651F9377">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r w14:paraId="62075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756" w:type="dxa"/>
            <w:tcBorders>
              <w:top w:val="single" w:color="000000" w:sz="4" w:space="0"/>
              <w:left w:val="single" w:color="000000" w:sz="4" w:space="0"/>
              <w:bottom w:val="single" w:color="000000" w:sz="4" w:space="0"/>
              <w:right w:val="single" w:color="000000" w:sz="4" w:space="0"/>
            </w:tcBorders>
            <w:noWrap/>
            <w:vAlign w:val="center"/>
          </w:tcPr>
          <w:p w14:paraId="58582A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594" w:type="dxa"/>
            <w:tcBorders>
              <w:top w:val="single" w:color="000000" w:sz="4" w:space="0"/>
              <w:left w:val="single" w:color="000000" w:sz="4" w:space="0"/>
              <w:bottom w:val="single" w:color="000000" w:sz="4" w:space="0"/>
              <w:right w:val="single" w:color="000000" w:sz="4" w:space="0"/>
            </w:tcBorders>
            <w:noWrap/>
            <w:vAlign w:val="center"/>
          </w:tcPr>
          <w:p w14:paraId="3629B8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成品盥洗台</w:t>
            </w:r>
          </w:p>
        </w:tc>
        <w:tc>
          <w:tcPr>
            <w:tcW w:w="2963" w:type="dxa"/>
            <w:tcBorders>
              <w:top w:val="single" w:color="000000" w:sz="4" w:space="0"/>
              <w:left w:val="single" w:color="000000" w:sz="4" w:space="0"/>
              <w:bottom w:val="single" w:color="000000" w:sz="4" w:space="0"/>
              <w:right w:val="nil"/>
            </w:tcBorders>
            <w:noWrap w:val="0"/>
            <w:vAlign w:val="center"/>
          </w:tcPr>
          <w:p w14:paraId="1BCC8C6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材质：木质柜体+岩板台面</w:t>
            </w:r>
          </w:p>
          <w:p w14:paraId="2055A749">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规格：1200*750*800mm</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22413B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组</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613F0D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112" w:type="dxa"/>
            <w:tcBorders>
              <w:top w:val="single" w:color="000000" w:sz="4" w:space="0"/>
              <w:left w:val="single" w:color="000000" w:sz="4" w:space="0"/>
              <w:bottom w:val="single" w:color="000000" w:sz="4" w:space="0"/>
              <w:right w:val="single" w:color="000000" w:sz="4" w:space="0"/>
            </w:tcBorders>
            <w:noWrap/>
            <w:vAlign w:val="center"/>
          </w:tcPr>
          <w:p w14:paraId="3DE9D614">
            <w:pPr>
              <w:jc w:val="center"/>
              <w:rPr>
                <w:rFonts w:hint="eastAsia" w:ascii="宋体" w:hAnsi="宋体" w:eastAsia="宋体" w:cs="宋体"/>
                <w:i w:val="0"/>
                <w:iCs w:val="0"/>
                <w:color w:val="000000"/>
                <w:sz w:val="21"/>
                <w:szCs w:val="21"/>
                <w:u w:val="none"/>
              </w:rPr>
            </w:pPr>
          </w:p>
        </w:tc>
        <w:tc>
          <w:tcPr>
            <w:tcW w:w="740" w:type="dxa"/>
            <w:tcBorders>
              <w:top w:val="single" w:color="000000" w:sz="4" w:space="0"/>
              <w:left w:val="single" w:color="000000" w:sz="4" w:space="0"/>
              <w:bottom w:val="single" w:color="000000" w:sz="4" w:space="0"/>
              <w:right w:val="single" w:color="000000" w:sz="4" w:space="0"/>
            </w:tcBorders>
            <w:noWrap/>
            <w:vAlign w:val="center"/>
          </w:tcPr>
          <w:p w14:paraId="6BD8FA6C">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sz w:val="21"/>
                <w:szCs w:val="21"/>
                <w:u w:val="none"/>
              </w:rPr>
            </w:pPr>
            <w:r>
              <w:rPr>
                <w:rFonts w:hint="eastAsia" w:ascii="宋体" w:hAnsi="宋体" w:eastAsia="宋体" w:cs="宋体"/>
                <w:bCs/>
                <w:color w:val="auto"/>
                <w:sz w:val="21"/>
                <w:szCs w:val="21"/>
                <w:highlight w:val="none"/>
                <w:lang w:val="en-US" w:eastAsia="zh-CN"/>
              </w:rPr>
              <w:t>工业</w:t>
            </w:r>
          </w:p>
        </w:tc>
      </w:tr>
    </w:tbl>
    <w:p w14:paraId="048124D7">
      <w:pPr>
        <w:keepNext w:val="0"/>
        <w:keepLines w:val="0"/>
        <w:pageBreakBefore w:val="0"/>
        <w:widowControl/>
        <w:kinsoku/>
        <w:wordWrap/>
        <w:overflowPunct/>
        <w:topLinePunct w:val="0"/>
        <w:autoSpaceDE/>
        <w:autoSpaceDN/>
        <w:bidi w:val="0"/>
        <w:adjustRightInd/>
        <w:snapToGrid w:val="0"/>
        <w:spacing w:line="360" w:lineRule="auto"/>
        <w:ind w:firstLine="482" w:firstLineChars="200"/>
        <w:textAlignment w:val="auto"/>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货物需求</w:t>
      </w:r>
      <w:r>
        <w:rPr>
          <w:rFonts w:hint="eastAsia" w:ascii="宋体" w:hAnsi="宋体" w:eastAsia="宋体" w:cs="宋体"/>
          <w:b/>
          <w:bCs/>
          <w:sz w:val="24"/>
          <w:szCs w:val="24"/>
          <w:highlight w:val="none"/>
        </w:rPr>
        <w:t>清单</w:t>
      </w:r>
    </w:p>
    <w:tbl>
      <w:tblPr>
        <w:tblStyle w:val="4"/>
        <w:tblW w:w="51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1249"/>
        <w:gridCol w:w="6839"/>
      </w:tblGrid>
      <w:tr w14:paraId="1D1B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vAlign w:val="center"/>
          </w:tcPr>
          <w:p w14:paraId="5EAF6466">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05" w:type="pct"/>
            <w:vAlign w:val="center"/>
          </w:tcPr>
          <w:p w14:paraId="15560A88">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产品</w:t>
            </w:r>
            <w:r>
              <w:rPr>
                <w:rFonts w:hint="eastAsia" w:ascii="宋体" w:hAnsi="宋体" w:eastAsia="宋体" w:cs="宋体"/>
                <w:b/>
                <w:bCs/>
                <w:color w:val="auto"/>
                <w:sz w:val="21"/>
                <w:szCs w:val="21"/>
                <w:highlight w:val="none"/>
              </w:rPr>
              <w:t>名称</w:t>
            </w:r>
          </w:p>
        </w:tc>
        <w:tc>
          <w:tcPr>
            <w:tcW w:w="3861" w:type="pct"/>
            <w:vAlign w:val="center"/>
          </w:tcPr>
          <w:p w14:paraId="263DDF63">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r>
      <w:tr w14:paraId="4C8DE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32" w:type="pct"/>
            <w:vAlign w:val="center"/>
          </w:tcPr>
          <w:p w14:paraId="1731FF3F">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05" w:type="pct"/>
            <w:shd w:val="clear" w:color="auto" w:fill="auto"/>
            <w:vAlign w:val="center"/>
          </w:tcPr>
          <w:p w14:paraId="7D9AA1DD">
            <w:pPr>
              <w:keepNext w:val="0"/>
              <w:keepLines w:val="0"/>
              <w:pageBreakBefore w:val="0"/>
              <w:widowControl/>
              <w:suppressLineNumbers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实验台</w:t>
            </w:r>
          </w:p>
        </w:tc>
        <w:tc>
          <w:tcPr>
            <w:tcW w:w="3861" w:type="pct"/>
            <w:shd w:val="clear" w:color="auto" w:fill="auto"/>
            <w:vAlign w:val="center"/>
          </w:tcPr>
          <w:p w14:paraId="06134DE2">
            <w:pPr>
              <w:keepNext w:val="0"/>
              <w:keepLines w:val="0"/>
              <w:pageBreakBefore w:val="0"/>
              <w:numPr>
                <w:ilvl w:val="0"/>
                <w:numId w:val="2"/>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核心要求：</w:t>
            </w:r>
          </w:p>
          <w:p w14:paraId="36C4C002">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1.实验台包含实验边台、转角台、中央实验台，需满足实验室常规操作、承重、防腐蚀、环保等基础要求。​</w:t>
            </w:r>
          </w:p>
          <w:p w14:paraId="745198E9">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2.所有材料及配件需符合国家相关环保、安全标准。</w:t>
            </w:r>
          </w:p>
          <w:p w14:paraId="7B041406">
            <w:pPr>
              <w:keepNext w:val="0"/>
              <w:keepLines w:val="0"/>
              <w:pageBreakBefore w:val="0"/>
              <w:numPr>
                <w:ilvl w:val="0"/>
                <w:numId w:val="2"/>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台面板要求：</w:t>
            </w:r>
          </w:p>
          <w:p w14:paraId="353B5ABF">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1、厚度：≥20mm，材质为黑色实芯实验室专用耐腐台面，坯体均匀无分层。</w:t>
            </w:r>
          </w:p>
          <w:p w14:paraId="10FD5DB1">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2.技术性指标：</w:t>
            </w:r>
          </w:p>
          <w:p w14:paraId="4DA1B207">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2.1、表面耐冷热循环：实测结果为试件表面未出现裂纹、鼓泡等现象</w:t>
            </w:r>
            <w:r>
              <w:rPr>
                <w:rFonts w:hint="eastAsia" w:ascii="宋体" w:hAnsi="宋体" w:eastAsia="宋体" w:cs="宋体"/>
                <w:b w:val="0"/>
                <w:bCs w:val="0"/>
                <w:sz w:val="21"/>
                <w:szCs w:val="21"/>
                <w:vertAlign w:val="baseline"/>
                <w:lang w:val="en-US" w:eastAsia="zh-CN"/>
              </w:rPr>
              <w:t>；</w:t>
            </w:r>
          </w:p>
          <w:p w14:paraId="0E21C51E">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2.2、耐高温：要求≥1000℃，样品表面无开裂，无变色，单项结论符合；</w:t>
            </w:r>
          </w:p>
          <w:p w14:paraId="223562A6">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★1.3、耐划痕：检测结果≥3级，2.0N负荷测试后未见划痕[</w:t>
            </w:r>
            <w:r>
              <w:rPr>
                <w:rFonts w:hint="eastAsia" w:ascii="宋体" w:hAnsi="宋体" w:eastAsia="宋体" w:cs="宋体"/>
                <w:b/>
                <w:bCs/>
                <w:sz w:val="21"/>
                <w:szCs w:val="21"/>
                <w:vertAlign w:val="baseline"/>
                <w:lang w:val="en-US" w:eastAsia="zh-CN"/>
              </w:rPr>
              <w:t>投标文件中提供承诺函（格式自拟），承诺内容至少包含：合同签订后、供货前提供符合上述参数要求的第三方出具的具有CMA标识的检测报告</w:t>
            </w:r>
            <w:r>
              <w:rPr>
                <w:rFonts w:hint="eastAsia" w:ascii="宋体" w:hAnsi="宋体" w:eastAsia="宋体" w:cs="宋体"/>
                <w:sz w:val="21"/>
                <w:szCs w:val="21"/>
                <w:vertAlign w:val="baseline"/>
                <w:lang w:val="en-US" w:eastAsia="zh-CN"/>
              </w:rPr>
              <w:t>]；</w:t>
            </w:r>
          </w:p>
          <w:p w14:paraId="55FC7EA6">
            <w:pP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★1.4、承载性能：经对面板加载重量≥200kg，持续保压至少72小时测试后，无明显塑性变形、破损、开裂[</w:t>
            </w:r>
            <w:r>
              <w:rPr>
                <w:rFonts w:hint="eastAsia" w:ascii="宋体" w:hAnsi="宋体" w:eastAsia="宋体" w:cs="宋体"/>
                <w:b/>
                <w:bCs/>
                <w:sz w:val="21"/>
                <w:szCs w:val="21"/>
                <w:vertAlign w:val="baseline"/>
                <w:lang w:val="en-US" w:eastAsia="zh-CN"/>
              </w:rPr>
              <w:t>投标文件中提供承诺函（格式自拟），承诺内容至少包含：合同签订后、供货前提供符合上述参数要求的第三方出具的具有CMA标识的检测报告</w:t>
            </w:r>
            <w:r>
              <w:rPr>
                <w:rFonts w:hint="eastAsia" w:ascii="宋体" w:hAnsi="宋体" w:eastAsia="宋体" w:cs="宋体"/>
                <w:sz w:val="21"/>
                <w:szCs w:val="21"/>
                <w:vertAlign w:val="baseline"/>
                <w:lang w:val="en-US" w:eastAsia="zh-CN"/>
              </w:rPr>
              <w:t>]；</w:t>
            </w:r>
          </w:p>
          <w:p w14:paraId="05C300F7">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★1.5、抗菌性能：检测结果为对微生物金黄色葡萄球菌、大肠埃希氏菌抗菌率的抗菌率≥99%[</w:t>
            </w:r>
            <w:r>
              <w:rPr>
                <w:rFonts w:hint="eastAsia" w:ascii="宋体" w:hAnsi="宋体" w:eastAsia="宋体" w:cs="宋体"/>
                <w:b/>
                <w:bCs/>
                <w:sz w:val="21"/>
                <w:szCs w:val="21"/>
                <w:vertAlign w:val="baseline"/>
                <w:lang w:val="en-US" w:eastAsia="zh-CN"/>
              </w:rPr>
              <w:t>投标文件中提供承诺函（格式自拟），承诺内容至少包含：合同签订后、供货前提供符合上述参数要求的第三方出具的具有CMA标识的检测报告</w:t>
            </w:r>
            <w:r>
              <w:rPr>
                <w:rFonts w:hint="eastAsia" w:ascii="宋体" w:hAnsi="宋体" w:eastAsia="宋体" w:cs="宋体"/>
                <w:sz w:val="21"/>
                <w:szCs w:val="21"/>
                <w:vertAlign w:val="baseline"/>
                <w:lang w:val="en-US" w:eastAsia="zh-CN"/>
              </w:rPr>
              <w:t>]；</w:t>
            </w:r>
          </w:p>
          <w:p w14:paraId="15175DC4">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★1.6、耐开裂性能：经≥50℃环境处理不少于6小时后，装饰面及基材无开裂现象[</w:t>
            </w:r>
            <w:r>
              <w:rPr>
                <w:rFonts w:hint="eastAsia" w:ascii="宋体" w:hAnsi="宋体" w:eastAsia="宋体" w:cs="宋体"/>
                <w:b/>
                <w:bCs/>
                <w:sz w:val="21"/>
                <w:szCs w:val="21"/>
                <w:vertAlign w:val="baseline"/>
                <w:lang w:val="en-US" w:eastAsia="zh-CN"/>
              </w:rPr>
              <w:t>投标文件中提供承诺函（格式自拟），承诺内容至少包含：合同签订后、供货前提供符合上述参数要求的第三方出具的具有CMA标识的检测报告</w:t>
            </w:r>
            <w:r>
              <w:rPr>
                <w:rFonts w:hint="eastAsia" w:ascii="宋体" w:hAnsi="宋体" w:eastAsia="宋体" w:cs="宋体"/>
                <w:sz w:val="21"/>
                <w:szCs w:val="21"/>
                <w:vertAlign w:val="baseline"/>
                <w:lang w:val="en-US" w:eastAsia="zh-CN"/>
              </w:rPr>
              <w:t>]；</w:t>
            </w:r>
          </w:p>
          <w:p w14:paraId="2A899E0C">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2、柜体：采用≥16mm厚环保材质（E1级及以上环保标准），三聚氰胺板；颜色：暖白；</w:t>
            </w:r>
          </w:p>
          <w:p w14:paraId="0E5D4DCC">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3、柜门：</w:t>
            </w:r>
            <w:r>
              <w:rPr>
                <w:rFonts w:hint="eastAsia" w:ascii="宋体" w:hAnsi="宋体" w:eastAsia="宋体" w:cs="宋体"/>
                <w:i w:val="0"/>
                <w:iCs w:val="0"/>
                <w:sz w:val="21"/>
                <w:szCs w:val="21"/>
                <w:vertAlign w:val="baseline"/>
                <w:lang w:val="en-US" w:eastAsia="zh-CN"/>
              </w:rPr>
              <w:t>采用</w:t>
            </w:r>
            <w:r>
              <w:rPr>
                <w:rFonts w:hint="eastAsia" w:ascii="宋体" w:hAnsi="宋体" w:eastAsia="宋体" w:cs="宋体"/>
                <w:sz w:val="21"/>
                <w:szCs w:val="21"/>
                <w:vertAlign w:val="baseline"/>
                <w:lang w:val="en-US" w:eastAsia="zh-CN"/>
              </w:rPr>
              <w:t>≥</w:t>
            </w:r>
            <w:r>
              <w:rPr>
                <w:rFonts w:hint="eastAsia" w:ascii="宋体" w:hAnsi="宋体" w:eastAsia="宋体" w:cs="宋体"/>
                <w:i w:val="0"/>
                <w:iCs w:val="0"/>
                <w:sz w:val="21"/>
                <w:szCs w:val="21"/>
                <w:vertAlign w:val="baseline"/>
                <w:lang w:val="en-US" w:eastAsia="zh-CN"/>
              </w:rPr>
              <w:t>18mm</w:t>
            </w:r>
            <w:r>
              <w:rPr>
                <w:rFonts w:hint="eastAsia" w:ascii="宋体" w:hAnsi="宋体" w:eastAsia="宋体" w:cs="宋体"/>
                <w:sz w:val="21"/>
                <w:szCs w:val="21"/>
                <w:vertAlign w:val="baseline"/>
                <w:lang w:val="en-US" w:eastAsia="zh-CN"/>
              </w:rPr>
              <w:t>厚环保材质（E1级及以上环保标准），</w:t>
            </w:r>
            <w:r>
              <w:rPr>
                <w:rFonts w:hint="eastAsia" w:ascii="宋体" w:hAnsi="宋体" w:eastAsia="宋体" w:cs="宋体"/>
                <w:i w:val="0"/>
                <w:iCs w:val="0"/>
                <w:sz w:val="21"/>
                <w:szCs w:val="21"/>
                <w:vertAlign w:val="baseline"/>
                <w:lang w:val="en-US" w:eastAsia="zh-CN"/>
              </w:rPr>
              <w:t>三聚氰胺板，柜门颜色：暖白、湖蓝等多种颜色可选；所有柜体均为独立柜体。甲醛排放达到E1级环保要</w:t>
            </w:r>
            <w:r>
              <w:rPr>
                <w:rFonts w:hint="eastAsia" w:ascii="宋体" w:hAnsi="宋体" w:eastAsia="宋体" w:cs="宋体"/>
                <w:sz w:val="21"/>
                <w:szCs w:val="21"/>
                <w:vertAlign w:val="baseline"/>
                <w:lang w:val="en-US" w:eastAsia="zh-CN"/>
              </w:rPr>
              <w:t>求。背板为可拆卸式。</w:t>
            </w:r>
          </w:p>
          <w:p w14:paraId="755AF0E0">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4、抽屉底板：防潮环保≥5mm厚三聚氰胺板；</w:t>
            </w:r>
          </w:p>
          <w:p w14:paraId="3346C4BE">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工字型钢架：采用≥40mm×60mm×1.5mm优质镀锌方钢焊接，结构为C型钢架结构，表面高压喷涂静电粉末，细密均匀，钢架颜色与箱体三聚氢胺板基本一致。具耐腐、承重不低于250kg/㎡的功能。整体结构以五金配件级组合而成，可组装。</w:t>
            </w:r>
          </w:p>
          <w:p w14:paraId="507F89B8">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6、五金配件：</w:t>
            </w:r>
          </w:p>
          <w:p w14:paraId="3F0B18D2">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（1）轨道：钢制滑轨，表面防锈漆处理，静音、耐腐蚀；</w:t>
            </w:r>
          </w:p>
          <w:p w14:paraId="59F80FA0">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（2）铰链：不锈钢材质铰链；</w:t>
            </w:r>
          </w:p>
          <w:p w14:paraId="2BB6EAEA">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（3）拉手：隐藏式铝合金拉手；</w:t>
            </w:r>
          </w:p>
          <w:p w14:paraId="520D18E1">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（4）金属连接件：金属膨胀预埋连接件；</w:t>
            </w:r>
          </w:p>
          <w:p w14:paraId="1C2C6844">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 xml:space="preserve">（5）调节脚：ABS注塑，不锈钢螺杆，高度可调节，调节范围至少包含30-50mm，防滑减震，承重、防潮、抑菌、耐腐蚀，可根据室内地坪适当调整柜体高度。                                                              </w:t>
            </w:r>
          </w:p>
        </w:tc>
      </w:tr>
      <w:tr w14:paraId="3DCA3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vAlign w:val="center"/>
          </w:tcPr>
          <w:p w14:paraId="47446BD7">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05" w:type="pct"/>
            <w:shd w:val="clear" w:color="auto" w:fill="auto"/>
            <w:vAlign w:val="center"/>
          </w:tcPr>
          <w:p w14:paraId="322E8458">
            <w:pPr>
              <w:keepNext w:val="0"/>
              <w:keepLines w:val="0"/>
              <w:pageBreakBefore w:val="0"/>
              <w:widowControl/>
              <w:suppressLineNumbers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中央试剂架</w:t>
            </w:r>
          </w:p>
        </w:tc>
        <w:tc>
          <w:tcPr>
            <w:tcW w:w="3861" w:type="pct"/>
            <w:shd w:val="clear" w:color="auto" w:fill="auto"/>
            <w:vAlign w:val="center"/>
          </w:tcPr>
          <w:p w14:paraId="6D64B9E5">
            <w:pPr>
              <w:keepNext w:val="0"/>
              <w:keepLines w:val="0"/>
              <w:pageBreakBefore w:val="0"/>
              <w:numPr>
                <w:ilvl w:val="0"/>
                <w:numId w:val="3"/>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选用优质铝合金型材，规格≥40×80mm，壁厚≥ 1.0mm，模具一体成型，无焊接缝隙，表面经环氧素质高温喷涂；</w:t>
            </w:r>
          </w:p>
          <w:p w14:paraId="7ECAC928">
            <w:pPr>
              <w:keepNext w:val="0"/>
              <w:keepLines w:val="0"/>
              <w:pageBreakBefore w:val="0"/>
              <w:numPr>
                <w:ilvl w:val="0"/>
                <w:numId w:val="3"/>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档条采用铝合金档条；</w:t>
            </w:r>
          </w:p>
          <w:p w14:paraId="4A49FE8A">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3、层板部分：层板采用≥8mm厚钢化玻璃，玻璃四周做倒角处理。</w:t>
            </w:r>
          </w:p>
        </w:tc>
      </w:tr>
      <w:tr w14:paraId="7211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32" w:type="pct"/>
            <w:vAlign w:val="center"/>
          </w:tcPr>
          <w:p w14:paraId="04EB9D25">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05" w:type="pct"/>
            <w:shd w:val="clear" w:color="auto" w:fill="auto"/>
            <w:vAlign w:val="center"/>
          </w:tcPr>
          <w:p w14:paraId="1214B7C1">
            <w:pPr>
              <w:keepNext w:val="0"/>
              <w:keepLines w:val="0"/>
              <w:pageBreakBefore w:val="0"/>
              <w:widowControl/>
              <w:suppressLineNumbers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水槽+水龙头</w:t>
            </w:r>
          </w:p>
        </w:tc>
        <w:tc>
          <w:tcPr>
            <w:tcW w:w="3861" w:type="pct"/>
            <w:shd w:val="clear" w:color="auto" w:fill="auto"/>
            <w:vAlign w:val="center"/>
          </w:tcPr>
          <w:p w14:paraId="56399521">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vertAlign w:val="baseline"/>
                <w:lang w:val="en-US" w:eastAsia="zh-CN"/>
              </w:rPr>
              <w:t>一、</w:t>
            </w:r>
            <w:r>
              <w:rPr>
                <w:rFonts w:hint="eastAsia" w:ascii="宋体" w:hAnsi="宋体" w:eastAsia="宋体" w:cs="宋体"/>
                <w:i w:val="0"/>
                <w:iCs w:val="0"/>
                <w:color w:val="000000"/>
                <w:kern w:val="0"/>
                <w:sz w:val="21"/>
                <w:szCs w:val="21"/>
                <w:u w:val="none"/>
                <w:lang w:val="en-US" w:eastAsia="zh-CN" w:bidi="ar"/>
              </w:rPr>
              <w:t>水槽</w:t>
            </w:r>
          </w:p>
          <w:p w14:paraId="1B2E28CA">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1、规格：≥550mm*450mm*310mm，实验室专用化验水槽。</w:t>
            </w:r>
          </w:p>
          <w:p w14:paraId="05EDCDCF">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2、采用PP材质，≥5mm厚一体成型。</w:t>
            </w:r>
          </w:p>
          <w:p w14:paraId="49C97E28">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3、水槽上水平面与台面平齐或低于台面。下水接PP反水弯，防腐蚀，防止水管阻塞，易拆卸。</w:t>
            </w:r>
          </w:p>
          <w:p w14:paraId="4427B867">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二、水龙头：</w:t>
            </w:r>
          </w:p>
          <w:p w14:paraId="655B2505">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1、纯铜材质；</w:t>
            </w:r>
          </w:p>
          <w:p w14:paraId="798B2262">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2、规格：≥260*510*650mm 实验室专用三联三口鹅颈水龙头。</w:t>
            </w:r>
          </w:p>
          <w:p w14:paraId="2B675E2B">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3、采用三口鹅颈肘动式化验龙头，表面经耐酸碱EPOXY粉末烤漆处理。</w:t>
            </w:r>
          </w:p>
          <w:p w14:paraId="1CF977DB">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sz w:val="21"/>
                <w:szCs w:val="21"/>
                <w:vertAlign w:val="baseline"/>
                <w:lang w:val="en-US" w:eastAsia="zh-CN"/>
              </w:rPr>
              <w:t>4、出水口至少3只，上方一口可360°旋转，下方两口左右距离 250mm以上，并具可拆式高压缩口出水口，可衔接软管。</w:t>
            </w:r>
          </w:p>
          <w:p w14:paraId="59CB3211">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default"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■5、</w:t>
            </w:r>
            <w:r>
              <w:rPr>
                <w:rFonts w:hint="eastAsia" w:ascii="宋体" w:hAnsi="宋体" w:eastAsia="宋体" w:cs="宋体"/>
                <w:b/>
                <w:bCs/>
                <w:i w:val="0"/>
                <w:iCs w:val="0"/>
                <w:color w:val="000000"/>
                <w:kern w:val="0"/>
                <w:sz w:val="21"/>
                <w:szCs w:val="21"/>
                <w:u w:val="none"/>
                <w:lang w:val="en-US" w:eastAsia="zh-CN" w:bidi="ar"/>
              </w:rPr>
              <w:t>水龙头</w:t>
            </w:r>
            <w:r>
              <w:rPr>
                <w:rFonts w:hint="eastAsia" w:ascii="宋体" w:hAnsi="宋体" w:eastAsia="宋体" w:cs="宋体"/>
                <w:b/>
                <w:bCs/>
                <w:sz w:val="21"/>
                <w:szCs w:val="21"/>
                <w:vertAlign w:val="baseline"/>
                <w:lang w:val="en-US" w:eastAsia="zh-CN"/>
              </w:rPr>
              <w:t>强制节能，投标文件中提供节能产品认证证书。</w:t>
            </w:r>
          </w:p>
        </w:tc>
      </w:tr>
      <w:tr w14:paraId="673E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vAlign w:val="center"/>
          </w:tcPr>
          <w:p w14:paraId="04447AC6">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05" w:type="pct"/>
            <w:shd w:val="clear" w:color="auto" w:fill="auto"/>
            <w:vAlign w:val="center"/>
          </w:tcPr>
          <w:p w14:paraId="7E0F2F65">
            <w:pPr>
              <w:keepNext w:val="0"/>
              <w:keepLines w:val="0"/>
              <w:pageBreakBefore w:val="0"/>
              <w:widowControl/>
              <w:suppressLineNumbers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滴水架</w:t>
            </w:r>
          </w:p>
        </w:tc>
        <w:tc>
          <w:tcPr>
            <w:tcW w:w="3861" w:type="pct"/>
            <w:shd w:val="clear" w:color="auto" w:fill="auto"/>
            <w:vAlign w:val="center"/>
          </w:tcPr>
          <w:p w14:paraId="0D8C7566">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1、规格：≥550*440mm；</w:t>
            </w:r>
          </w:p>
          <w:p w14:paraId="52F36D63">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2、高密度PP材质，耐冲击性强，机械性质强韧，抗多种有机试剂盒酸碱腐蚀性；</w:t>
            </w:r>
          </w:p>
          <w:p w14:paraId="45BFE879">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3、有≥27支滴水柱，可拆卸；</w:t>
            </w:r>
          </w:p>
          <w:p w14:paraId="3EEAC5E5">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4、底部托盘处有排水口，底部托盘有一定的斜度。</w:t>
            </w:r>
          </w:p>
        </w:tc>
      </w:tr>
      <w:tr w14:paraId="6637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vAlign w:val="center"/>
          </w:tcPr>
          <w:p w14:paraId="2DDD5BD1">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05" w:type="pct"/>
            <w:shd w:val="clear" w:color="auto" w:fill="auto"/>
            <w:vAlign w:val="center"/>
          </w:tcPr>
          <w:p w14:paraId="26DE94A5">
            <w:pPr>
              <w:keepNext w:val="0"/>
              <w:keepLines w:val="0"/>
              <w:pageBreakBefore w:val="0"/>
              <w:widowControl/>
              <w:suppressLineNumbers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吊柜</w:t>
            </w:r>
          </w:p>
        </w:tc>
        <w:tc>
          <w:tcPr>
            <w:tcW w:w="3861" w:type="pct"/>
            <w:shd w:val="clear" w:color="auto" w:fill="auto"/>
            <w:vAlign w:val="center"/>
          </w:tcPr>
          <w:p w14:paraId="5FDC8708">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1、柜体：采用E1级或E1级以上环保三聚氰胺板，板材厚度≥16mm，颜色为暖白色；甲醛排放E1级或E1级以上环保标准，满足实验室环保安全要求；</w:t>
            </w:r>
          </w:p>
          <w:p w14:paraId="4D78CF92">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2、门：柜门采用 E1级或E1级以上环保三聚氰胺板，板材厚度≥18mm，颜色为暖白色，与实验台柜门颜色保持一致；结构形式为嵌门式，所有柜体均为独立式设计；</w:t>
            </w:r>
          </w:p>
          <w:p w14:paraId="1C8314C0">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3、内部配置：柜内配备1块活动层板，层板厚度≥18mm，层板需配置可折叠式支撑架进行加强固定；</w:t>
            </w:r>
          </w:p>
          <w:p w14:paraId="3ED9B8A8">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4、安装要求：柜体安装时，底部需间隔设置不锈钢材质支撑架。</w:t>
            </w:r>
          </w:p>
        </w:tc>
      </w:tr>
      <w:tr w14:paraId="7BCC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432" w:type="pct"/>
            <w:vAlign w:val="center"/>
          </w:tcPr>
          <w:p w14:paraId="5EEC71F6">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05" w:type="pct"/>
            <w:shd w:val="clear" w:color="auto" w:fill="auto"/>
            <w:vAlign w:val="center"/>
          </w:tcPr>
          <w:p w14:paraId="18FD1DF1">
            <w:pPr>
              <w:keepNext w:val="0"/>
              <w:keepLines w:val="0"/>
              <w:pageBreakBefore w:val="0"/>
              <w:widowControl/>
              <w:suppressLineNumbers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PP通风橱</w:t>
            </w:r>
          </w:p>
        </w:tc>
        <w:tc>
          <w:tcPr>
            <w:tcW w:w="3861" w:type="pct"/>
            <w:shd w:val="clear" w:color="auto" w:fill="auto"/>
            <w:vAlign w:val="center"/>
          </w:tcPr>
          <w:p w14:paraId="6B7920CA">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1、通风橱台面具体性能同实验台台面；</w:t>
            </w:r>
          </w:p>
          <w:p w14:paraId="19BE0BB3">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2、柜外壳</w:t>
            </w:r>
            <w:r>
              <w:rPr>
                <w:rFonts w:hint="eastAsia" w:asciiTheme="minorEastAsia" w:hAnsiTheme="minorEastAsia" w:eastAsiaTheme="minorEastAsia" w:cstheme="minorEastAsia"/>
                <w:sz w:val="21"/>
                <w:szCs w:val="21"/>
                <w:vertAlign w:val="baseline"/>
                <w:lang w:val="en-US" w:eastAsia="zh-CN"/>
              </w:rPr>
              <w:t>:</w:t>
            </w:r>
            <w:r>
              <w:rPr>
                <w:rFonts w:hint="eastAsia" w:ascii="宋体" w:hAnsi="宋体" w:eastAsia="宋体" w:cs="宋体"/>
                <w:sz w:val="21"/>
                <w:szCs w:val="21"/>
                <w:vertAlign w:val="baseline"/>
                <w:lang w:val="en-US" w:eastAsia="zh-CN"/>
              </w:rPr>
              <w:t>采用瓷白色PP板材，板材厚度≥8mm；采用同材质焊条高温焊接成型；</w:t>
            </w:r>
          </w:p>
          <w:p w14:paraId="0633B1A4">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Theme="minorEastAsia" w:hAnsiTheme="minorEastAsia" w:eastAsiaTheme="minorEastAsia" w:cstheme="minorEastAsia"/>
                <w:sz w:val="21"/>
                <w:szCs w:val="21"/>
                <w:vertAlign w:val="baseline"/>
                <w:lang w:val="en-US" w:eastAsia="zh-CN"/>
              </w:rPr>
            </w:pPr>
            <w:r>
              <w:rPr>
                <w:rFonts w:hint="eastAsia" w:ascii="宋体" w:hAnsi="宋体" w:eastAsia="宋体" w:cs="宋体"/>
                <w:sz w:val="21"/>
                <w:szCs w:val="21"/>
                <w:vertAlign w:val="baseline"/>
                <w:lang w:val="en-US" w:eastAsia="zh-CN"/>
              </w:rPr>
              <w:t>3、内衬及导流板：通风柜采用弗纤板实验室专用玻纤板</w:t>
            </w:r>
            <w:r>
              <w:rPr>
                <w:rFonts w:hint="eastAsia" w:asciiTheme="minorEastAsia" w:hAnsiTheme="minorEastAsia" w:eastAsiaTheme="minorEastAsia" w:cstheme="minorEastAsia"/>
                <w:sz w:val="21"/>
                <w:szCs w:val="21"/>
                <w:vertAlign w:val="baseline"/>
                <w:lang w:val="en-US" w:eastAsia="zh-CN"/>
              </w:rPr>
              <w:t>，板材厚度≥5mm，需满足以下性能要求：</w:t>
            </w:r>
          </w:p>
          <w:p w14:paraId="325B80BA">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★3.1、耐水蒸气：检测结果</w:t>
            </w:r>
            <w:r>
              <w:rPr>
                <w:rFonts w:hint="eastAsia" w:ascii="宋体" w:hAnsi="宋体" w:eastAsia="宋体" w:cs="宋体"/>
                <w:sz w:val="21"/>
                <w:szCs w:val="21"/>
                <w:vertAlign w:val="baseline"/>
                <w:lang w:val="en-US" w:eastAsia="zh-CN"/>
              </w:rPr>
              <w:t>≥5 级[</w:t>
            </w:r>
            <w:r>
              <w:rPr>
                <w:rFonts w:hint="eastAsia" w:ascii="宋体" w:hAnsi="宋体" w:eastAsia="宋体" w:cs="宋体"/>
                <w:b/>
                <w:bCs/>
                <w:sz w:val="21"/>
                <w:szCs w:val="21"/>
                <w:vertAlign w:val="baseline"/>
                <w:lang w:val="en-US" w:eastAsia="zh-CN"/>
              </w:rPr>
              <w:t>投标文件中提供承诺函（格式自拟），承诺内容至少包含：合同签订后、供货前提供符合上述参数要求的第三方出具的具有CMA标识的检测报告</w:t>
            </w:r>
            <w:r>
              <w:rPr>
                <w:rFonts w:hint="eastAsia" w:ascii="宋体" w:hAnsi="宋体" w:eastAsia="宋体" w:cs="宋体"/>
                <w:sz w:val="21"/>
                <w:szCs w:val="21"/>
                <w:vertAlign w:val="baseline"/>
                <w:lang w:val="en-US" w:eastAsia="zh-CN"/>
              </w:rPr>
              <w:t>]；</w:t>
            </w:r>
          </w:p>
          <w:p w14:paraId="2629CD14">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★3.2、表面耐污染性能：对≥5种常用化学试剂进行检测，其中包含且不限于硫酸（98%）、盐酸（37%）、氢氟酸（49%）、氢氧化钠饱和溶液，检测结果均≥5级（无明显变化）[</w:t>
            </w:r>
            <w:r>
              <w:rPr>
                <w:rFonts w:hint="eastAsia" w:ascii="宋体" w:hAnsi="宋体" w:eastAsia="宋体" w:cs="宋体"/>
                <w:b/>
                <w:bCs/>
                <w:sz w:val="21"/>
                <w:szCs w:val="21"/>
                <w:vertAlign w:val="baseline"/>
                <w:lang w:val="en-US" w:eastAsia="zh-CN"/>
              </w:rPr>
              <w:t>投标文件中提供承诺函（格式自拟），承诺内容至少包含：合同签订后、供货前提供符合上述参数要求的第三方出具的具有CMA标识的检测报告</w:t>
            </w:r>
            <w:r>
              <w:rPr>
                <w:rFonts w:hint="eastAsia" w:ascii="宋体" w:hAnsi="宋体" w:eastAsia="宋体" w:cs="宋体"/>
                <w:sz w:val="21"/>
                <w:szCs w:val="21"/>
                <w:vertAlign w:val="baseline"/>
                <w:lang w:val="en-US" w:eastAsia="zh-CN"/>
              </w:rPr>
              <w:t>]；</w:t>
            </w:r>
          </w:p>
          <w:p w14:paraId="16B302AB">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★3.3、耐干热：检测结果≥5级[</w:t>
            </w:r>
            <w:r>
              <w:rPr>
                <w:rFonts w:hint="eastAsia" w:ascii="宋体" w:hAnsi="宋体" w:eastAsia="宋体" w:cs="宋体"/>
                <w:b/>
                <w:bCs/>
                <w:sz w:val="21"/>
                <w:szCs w:val="21"/>
                <w:vertAlign w:val="baseline"/>
                <w:lang w:val="en-US" w:eastAsia="zh-CN"/>
              </w:rPr>
              <w:t>投标文件中提供承诺函（格式自拟），承诺内容至少包含：合同签订后、供货前提供符合上述参数要求的第三方出具的具有CMA标识的检测报告</w:t>
            </w:r>
            <w:r>
              <w:rPr>
                <w:rFonts w:hint="eastAsia" w:ascii="宋体" w:hAnsi="宋体" w:eastAsia="宋体" w:cs="宋体"/>
                <w:sz w:val="21"/>
                <w:szCs w:val="21"/>
                <w:vertAlign w:val="baseline"/>
                <w:lang w:val="en-US" w:eastAsia="zh-CN"/>
              </w:rPr>
              <w:t>]；</w:t>
            </w:r>
          </w:p>
          <w:p w14:paraId="48212951">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4、调节门外框及轨道：外框采用PP 材质边条；轨道采用高分子塑胶材质模注成型。</w:t>
            </w:r>
          </w:p>
          <w:p w14:paraId="5368BC58">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调节门传动及玻璃：调节门左右悬吊采用高强度防腐同步带，同步带隐藏于轨道内部；门把手符合人体工学设计；调节门玻璃采用厚度≥5mm的钢化安全玻璃，可通过滑轮及配重结构上下开启，支持任意位置停留，开启高度可根据使用需求进行调整。</w:t>
            </w:r>
          </w:p>
          <w:p w14:paraId="4588BCA0">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6、配重及集气风罩：采用单一配重设计，通过同步带传动实现上下行程，开门及关门过程平稳、牢固且静音；集气风罩采用优质 PP 材料机制成型。</w:t>
            </w:r>
          </w:p>
          <w:p w14:paraId="69532771">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7、照明及插座：配备全罩式灯座，内置220V、18W日光灯1支；通风柜立柱侧面配置新国标五孔电源插座，带防溅面板，插座数量≥4组。</w:t>
            </w:r>
          </w:p>
          <w:p w14:paraId="0F9EDCA2">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8、控制装置：采用液晶显示集成控制器面板，具备可视化控制风机启停、照明开关、电源开关及风阀调节等功能。</w:t>
            </w:r>
          </w:p>
        </w:tc>
      </w:tr>
      <w:tr w14:paraId="44679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32" w:type="pct"/>
            <w:vAlign w:val="center"/>
          </w:tcPr>
          <w:p w14:paraId="55F61719">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705" w:type="pct"/>
            <w:shd w:val="clear" w:color="auto" w:fill="auto"/>
            <w:vAlign w:val="center"/>
          </w:tcPr>
          <w:p w14:paraId="032CE77E">
            <w:pPr>
              <w:keepNext w:val="0"/>
              <w:keepLines w:val="0"/>
              <w:pageBreakBefore w:val="0"/>
              <w:widowControl/>
              <w:suppressLineNumbers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货架</w:t>
            </w:r>
          </w:p>
        </w:tc>
        <w:tc>
          <w:tcPr>
            <w:tcW w:w="3861" w:type="pct"/>
            <w:shd w:val="clear" w:color="auto" w:fill="auto"/>
            <w:vAlign w:val="center"/>
          </w:tcPr>
          <w:p w14:paraId="0B923564">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1、立柱设计：采用八字孔设计，层板可根据实际使用空间进行上下调节，立柱采用横撑与斜撑加强技术，焊接牢固增加整体的承重性能；</w:t>
            </w:r>
          </w:p>
          <w:p w14:paraId="5B6B03E2">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2、层板设计：层板背面增设加强型加强筋，层板不易变形；</w:t>
            </w:r>
          </w:p>
          <w:p w14:paraId="0BCA1CCC">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3、横梁设计：横梁爪子结构设计，可与立柱上的孔结合，不用焊接和螺丝固定，可随意调节层板高低；</w:t>
            </w:r>
          </w:p>
          <w:p w14:paraId="02E07C0E">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4、立柱底部增加加宽地脚片，增强货架的稳定性；</w:t>
            </w:r>
          </w:p>
          <w:p w14:paraId="4C0D8253">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5、层板数量：共计四层。</w:t>
            </w:r>
          </w:p>
        </w:tc>
      </w:tr>
      <w:tr w14:paraId="3B829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 w:type="pct"/>
            <w:vAlign w:val="center"/>
          </w:tcPr>
          <w:p w14:paraId="5E145AFC">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705" w:type="pct"/>
            <w:shd w:val="clear" w:color="auto" w:fill="auto"/>
            <w:vAlign w:val="center"/>
          </w:tcPr>
          <w:p w14:paraId="046160EF">
            <w:pPr>
              <w:keepNext w:val="0"/>
              <w:keepLines w:val="0"/>
              <w:pageBreakBefore w:val="0"/>
              <w:widowControl/>
              <w:suppressLineNumbers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塔式电源盒</w:t>
            </w:r>
          </w:p>
        </w:tc>
        <w:tc>
          <w:tcPr>
            <w:tcW w:w="3861" w:type="pct"/>
            <w:shd w:val="clear" w:color="auto" w:fill="auto"/>
            <w:vAlign w:val="center"/>
          </w:tcPr>
          <w:p w14:paraId="1040FE85">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kern w:val="2"/>
                <w:sz w:val="21"/>
                <w:szCs w:val="21"/>
                <w:vertAlign w:val="baseline"/>
                <w:lang w:val="en-US" w:eastAsia="zh-CN" w:bidi="ar-SA"/>
              </w:rPr>
              <w:t>1、</w:t>
            </w:r>
            <w:r>
              <w:rPr>
                <w:rFonts w:hint="eastAsia" w:ascii="宋体" w:hAnsi="宋体" w:eastAsia="宋体" w:cs="宋体"/>
                <w:sz w:val="21"/>
                <w:szCs w:val="21"/>
                <w:vertAlign w:val="baseline"/>
                <w:lang w:val="en-US" w:eastAsia="zh-CN"/>
              </w:rPr>
              <w:t>采用国标五口10A插座面板配国标BV2.5；</w:t>
            </w:r>
          </w:p>
          <w:p w14:paraId="0FC12A5D">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2、</w:t>
            </w:r>
            <w:r>
              <w:rPr>
                <w:rFonts w:hint="eastAsia" w:ascii="宋体" w:hAnsi="宋体" w:eastAsia="宋体" w:cs="宋体"/>
                <w:sz w:val="21"/>
                <w:szCs w:val="21"/>
                <w:vertAlign w:val="baseline"/>
                <w:lang w:val="en-US" w:eastAsia="zh-CN"/>
              </w:rPr>
              <w:t>绝缘材质，防酸防腐，耐划痕；</w:t>
            </w:r>
          </w:p>
          <w:p w14:paraId="13652077">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3、</w:t>
            </w:r>
            <w:r>
              <w:rPr>
                <w:rFonts w:hint="eastAsia" w:ascii="宋体" w:hAnsi="宋体" w:eastAsia="宋体" w:cs="宋体"/>
                <w:sz w:val="21"/>
                <w:szCs w:val="21"/>
                <w:vertAlign w:val="baseline"/>
                <w:lang w:val="en-US" w:eastAsia="zh-CN"/>
              </w:rPr>
              <w:t>配置于操作台上；</w:t>
            </w:r>
          </w:p>
          <w:p w14:paraId="47F9E4ED">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4、</w:t>
            </w:r>
            <w:r>
              <w:rPr>
                <w:rFonts w:hint="eastAsia" w:ascii="宋体" w:hAnsi="宋体" w:eastAsia="宋体" w:cs="宋体"/>
                <w:sz w:val="21"/>
                <w:szCs w:val="21"/>
                <w:vertAlign w:val="baseline"/>
                <w:lang w:val="en-US" w:eastAsia="zh-CN"/>
              </w:rPr>
              <w:t>一组电源盒内含两个五口电源插座；</w:t>
            </w:r>
          </w:p>
          <w:p w14:paraId="69D686F3">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kern w:val="2"/>
                <w:sz w:val="21"/>
                <w:szCs w:val="21"/>
                <w:vertAlign w:val="baseline"/>
                <w:lang w:val="en-US" w:eastAsia="zh-CN" w:bidi="ar-SA"/>
              </w:rPr>
              <w:t>5、</w:t>
            </w:r>
            <w:r>
              <w:rPr>
                <w:rFonts w:hint="eastAsia" w:ascii="宋体" w:hAnsi="宋体" w:eastAsia="宋体" w:cs="宋体"/>
                <w:sz w:val="21"/>
                <w:szCs w:val="21"/>
                <w:vertAlign w:val="baseline"/>
                <w:lang w:val="en-US" w:eastAsia="zh-CN"/>
              </w:rPr>
              <w:t>包含台面开孔。</w:t>
            </w:r>
          </w:p>
        </w:tc>
      </w:tr>
      <w:tr w14:paraId="2B48D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432" w:type="pct"/>
            <w:vAlign w:val="center"/>
          </w:tcPr>
          <w:p w14:paraId="2F53A0F9">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705" w:type="pct"/>
            <w:shd w:val="clear" w:color="auto" w:fill="auto"/>
            <w:vAlign w:val="center"/>
          </w:tcPr>
          <w:p w14:paraId="4AD3F107">
            <w:pPr>
              <w:keepNext w:val="0"/>
              <w:keepLines w:val="0"/>
              <w:pageBreakBefore w:val="0"/>
              <w:widowControl/>
              <w:suppressLineNumbers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成品盥洗台</w:t>
            </w:r>
          </w:p>
        </w:tc>
        <w:tc>
          <w:tcPr>
            <w:tcW w:w="3861" w:type="pct"/>
            <w:shd w:val="clear" w:color="auto" w:fill="auto"/>
            <w:vAlign w:val="center"/>
          </w:tcPr>
          <w:p w14:paraId="49DCD47F">
            <w:pPr>
              <w:keepNext w:val="0"/>
              <w:keepLines w:val="0"/>
              <w:pageBreakBefore w:val="0"/>
              <w:numPr>
                <w:ilvl w:val="0"/>
                <w:numId w:val="4"/>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台面：采用≥12mm厚黑色岩板台面；</w:t>
            </w:r>
          </w:p>
          <w:p w14:paraId="1F86E71C">
            <w:pPr>
              <w:keepNext w:val="0"/>
              <w:keepLines w:val="0"/>
              <w:pageBreakBefore w:val="0"/>
              <w:numPr>
                <w:ilvl w:val="0"/>
                <w:numId w:val="4"/>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水盆：采用一体烧制陶瓷水盆。与岩板台面牢固结合防止以外脱落；</w:t>
            </w:r>
          </w:p>
          <w:p w14:paraId="2C72F81B">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3、柜体、柜门：采用≥17mm厚E1级或E1级以上环保优质生态板；</w:t>
            </w:r>
          </w:p>
          <w:p w14:paraId="31C500CA">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4、五金配件：</w:t>
            </w:r>
          </w:p>
          <w:p w14:paraId="5141BC8F">
            <w:pPr>
              <w:keepNext w:val="0"/>
              <w:keepLines w:val="0"/>
              <w:pageBreakBefore w:val="0"/>
              <w:numPr>
                <w:ilvl w:val="0"/>
                <w:numId w:val="0"/>
              </w:numPr>
              <w:kinsoku/>
              <w:wordWrap/>
              <w:overflowPunct/>
              <w:topLinePunct w:val="0"/>
              <w:autoSpaceDE/>
              <w:autoSpaceDN/>
              <w:bidi w:val="0"/>
              <w:adjustRightInd/>
              <w:snapToGrid w:val="0"/>
              <w:spacing w:line="300" w:lineRule="auto"/>
              <w:jc w:val="both"/>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（1）轨道：钢制滑轨，表面防锈漆处理，静音、耐腐蚀；</w:t>
            </w:r>
          </w:p>
          <w:p w14:paraId="62139668">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jc w:val="both"/>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 xml:space="preserve">（2）铰链：不锈钢材质铰链。 </w:t>
            </w:r>
          </w:p>
        </w:tc>
      </w:tr>
      <w:bookmarkEnd w:id="6"/>
      <w:bookmarkEnd w:id="7"/>
    </w:tbl>
    <w:p w14:paraId="591D9B59">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12" w:name="_Toc22795"/>
      <w:r>
        <w:rPr>
          <w:rFonts w:hint="eastAsia" w:ascii="宋体" w:hAnsi="宋体" w:eastAsia="宋体"/>
          <w:b/>
          <w:bCs/>
          <w:color w:val="auto"/>
          <w:sz w:val="24"/>
          <w:szCs w:val="18"/>
          <w:highlight w:val="none"/>
          <w:lang w:val="en-US" w:eastAsia="zh-CN"/>
        </w:rPr>
        <w:t>三、</w:t>
      </w:r>
      <w:r>
        <w:rPr>
          <w:rFonts w:hint="eastAsia" w:ascii="宋体" w:hAnsi="宋体" w:eastAsia="宋体"/>
          <w:b/>
          <w:bCs/>
          <w:color w:val="auto"/>
          <w:sz w:val="21"/>
          <w:szCs w:val="21"/>
          <w:highlight w:val="none"/>
        </w:rPr>
        <w:t>备品备件及专用工具</w:t>
      </w:r>
      <w:bookmarkEnd w:id="12"/>
    </w:p>
    <w:p w14:paraId="4FFF762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13" w:name="_Toc30350"/>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备品备件：中标人提供能够满足质量保证期内的设备维修要求的备品备件，备品备件应是新品。</w:t>
      </w:r>
      <w:bookmarkEnd w:id="13"/>
    </w:p>
    <w:p w14:paraId="0B6D437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14" w:name="_Toc2080"/>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专用工具：中标人提供设备安装、调试、验收、维修、保养所必要的专用工具、仪器、仪表等工具。</w:t>
      </w:r>
      <w:bookmarkEnd w:id="14"/>
    </w:p>
    <w:p w14:paraId="74EE5FA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15" w:name="_Toc30727"/>
      <w:r>
        <w:rPr>
          <w:rFonts w:hint="eastAsia" w:ascii="宋体" w:hAnsi="宋体" w:eastAsia="宋体"/>
          <w:b/>
          <w:bCs/>
          <w:color w:val="auto"/>
          <w:sz w:val="21"/>
          <w:szCs w:val="21"/>
          <w:highlight w:val="none"/>
          <w:lang w:val="en-US" w:eastAsia="zh-CN"/>
        </w:rPr>
        <w:t>四</w:t>
      </w:r>
      <w:r>
        <w:rPr>
          <w:rFonts w:hint="eastAsia" w:ascii="宋体" w:hAnsi="宋体" w:eastAsia="宋体"/>
          <w:b/>
          <w:bCs/>
          <w:color w:val="auto"/>
          <w:sz w:val="21"/>
          <w:szCs w:val="21"/>
          <w:highlight w:val="none"/>
        </w:rPr>
        <w:t>、安装调试、验收试验及质量保证</w:t>
      </w:r>
      <w:bookmarkEnd w:id="15"/>
    </w:p>
    <w:p w14:paraId="4D2E5D6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16" w:name="_Toc20909"/>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中标人在设备安装地点负责安装、调试。</w:t>
      </w:r>
      <w:bookmarkEnd w:id="16"/>
    </w:p>
    <w:p w14:paraId="4EF24876">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17" w:name="_Toc17177"/>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具体设备验收标准和程序按采购人要求执行，下列验收程序可参照执行：</w:t>
      </w:r>
      <w:bookmarkEnd w:id="17"/>
    </w:p>
    <w:p w14:paraId="2AAA15F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18" w:name="_Toc17518"/>
      <w:r>
        <w:rPr>
          <w:rFonts w:ascii="宋体" w:hAnsi="宋体" w:eastAsia="宋体"/>
          <w:bCs/>
          <w:color w:val="auto"/>
          <w:sz w:val="21"/>
          <w:szCs w:val="21"/>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涉及需要由质检或行业主管部门验收的项目，采购人须约请相关部门和专家参加项目验收。</w:t>
      </w:r>
      <w:bookmarkEnd w:id="18"/>
    </w:p>
    <w:p w14:paraId="4E91C33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19" w:name="_Toc3473"/>
      <w:r>
        <w:rPr>
          <w:rFonts w:ascii="宋体" w:hAnsi="宋体" w:eastAsia="宋体"/>
          <w:bCs/>
          <w:color w:val="auto"/>
          <w:sz w:val="21"/>
          <w:szCs w:val="21"/>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19"/>
    </w:p>
    <w:p w14:paraId="37B7E14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0" w:name="_Toc8441"/>
      <w:r>
        <w:rPr>
          <w:rFonts w:ascii="宋体" w:hAnsi="宋体" w:eastAsia="宋体"/>
          <w:bCs/>
          <w:color w:val="auto"/>
          <w:sz w:val="21"/>
          <w:szCs w:val="21"/>
          <w:highlight w:val="none"/>
        </w:rPr>
        <w:t>2.3 中标人应根据采购人使用单位的技术要求提供相应的产品。由中标人所提供的设备部件间的连线和插接件均应视为设备内部器件，包含在相应的设备之中。</w:t>
      </w:r>
      <w:bookmarkEnd w:id="20"/>
    </w:p>
    <w:p w14:paraId="1B9B2F6D">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1" w:name="_Toc22463"/>
      <w:r>
        <w:rPr>
          <w:rFonts w:ascii="宋体" w:hAnsi="宋体" w:eastAsia="宋体"/>
          <w:bCs/>
          <w:color w:val="auto"/>
          <w:sz w:val="21"/>
          <w:szCs w:val="21"/>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1"/>
    </w:p>
    <w:p w14:paraId="29703B8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2" w:name="_Toc26657"/>
      <w:r>
        <w:rPr>
          <w:rFonts w:ascii="宋体" w:hAnsi="宋体" w:eastAsia="宋体"/>
          <w:bCs/>
          <w:color w:val="auto"/>
          <w:sz w:val="21"/>
          <w:szCs w:val="21"/>
          <w:highlight w:val="none"/>
        </w:rPr>
        <w:t>2.5 中标人应向采购人提供安装调试过程中的各种文档资料,以便采购人今后能掌握操作和维护方法。依据合同与合同有关条件、本招标文件的技术规范、系统配置要求、设备技术文件和系统说明书，以及国家和省部级等要求进行验收，验收分为预验收和竣工验收。</w:t>
      </w:r>
      <w:bookmarkEnd w:id="22"/>
    </w:p>
    <w:p w14:paraId="18686C4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3" w:name="_Toc16841"/>
      <w:r>
        <w:rPr>
          <w:rFonts w:ascii="宋体" w:hAnsi="宋体" w:eastAsia="宋体"/>
          <w:bCs/>
          <w:color w:val="auto"/>
          <w:sz w:val="21"/>
          <w:szCs w:val="21"/>
          <w:highlight w:val="none"/>
        </w:rPr>
        <w:t>3</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如设备在验收时有一个或多个指标未能达到要求而属于中标人责任时，则中标人自费采取有效措施，在规定时间内使之达到保证指标。如在规定的时间内仍达不到合格标准时，则中标人应向采购人赔偿。</w:t>
      </w:r>
      <w:bookmarkEnd w:id="23"/>
    </w:p>
    <w:p w14:paraId="0678A0D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24" w:name="_Toc22930"/>
      <w:r>
        <w:rPr>
          <w:rFonts w:hint="eastAsia" w:ascii="宋体" w:hAnsi="宋体" w:eastAsia="宋体"/>
          <w:b/>
          <w:bCs/>
          <w:color w:val="auto"/>
          <w:sz w:val="21"/>
          <w:szCs w:val="21"/>
          <w:highlight w:val="none"/>
          <w:lang w:val="en-US" w:eastAsia="zh-CN"/>
        </w:rPr>
        <w:t>五</w:t>
      </w:r>
      <w:r>
        <w:rPr>
          <w:rFonts w:hint="eastAsia" w:ascii="宋体" w:hAnsi="宋体" w:eastAsia="宋体"/>
          <w:b/>
          <w:bCs/>
          <w:color w:val="auto"/>
          <w:sz w:val="21"/>
          <w:szCs w:val="21"/>
          <w:highlight w:val="none"/>
        </w:rPr>
        <w:t>、包装运输</w:t>
      </w:r>
      <w:bookmarkEnd w:id="24"/>
    </w:p>
    <w:p w14:paraId="120218EA">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5" w:name="_Toc5220"/>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中标人负责设备包装、办理运输和保险，将设备安全运抵交货地点。</w:t>
      </w:r>
      <w:bookmarkEnd w:id="25"/>
    </w:p>
    <w:p w14:paraId="0B016C1A">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6" w:name="_Toc19484"/>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设备制造完成并通过试验后应及时包装，否则应得到切实的保护，确保其不受污损。</w:t>
      </w:r>
      <w:bookmarkEnd w:id="26"/>
    </w:p>
    <w:p w14:paraId="7182456D">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7" w:name="_Toc24670"/>
      <w:r>
        <w:rPr>
          <w:rFonts w:ascii="宋体" w:hAnsi="宋体" w:eastAsia="宋体"/>
          <w:bCs/>
          <w:color w:val="auto"/>
          <w:sz w:val="21"/>
          <w:szCs w:val="21"/>
          <w:highlight w:val="none"/>
        </w:rPr>
        <w:t>3</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在包装箱外应标明采购人的订货号、发货号。</w:t>
      </w:r>
      <w:bookmarkEnd w:id="27"/>
    </w:p>
    <w:p w14:paraId="1D5B7850">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8" w:name="_Toc21894"/>
      <w:r>
        <w:rPr>
          <w:rFonts w:ascii="宋体" w:hAnsi="宋体" w:eastAsia="宋体"/>
          <w:bCs/>
          <w:color w:val="auto"/>
          <w:sz w:val="21"/>
          <w:szCs w:val="21"/>
          <w:highlight w:val="none"/>
        </w:rPr>
        <w:t>4</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各种包装应能确保各零部件在运输过程中不致遭到损坏、丢失、变形、受潮和腐蚀。</w:t>
      </w:r>
      <w:bookmarkEnd w:id="28"/>
    </w:p>
    <w:p w14:paraId="5D4D01F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29" w:name="_Toc29620"/>
      <w:r>
        <w:rPr>
          <w:rFonts w:ascii="宋体" w:hAnsi="宋体" w:eastAsia="宋体"/>
          <w:bCs/>
          <w:color w:val="auto"/>
          <w:sz w:val="21"/>
          <w:szCs w:val="21"/>
          <w:highlight w:val="none"/>
        </w:rPr>
        <w:t>5</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包装箱上应有明显的包装储运图示标志。</w:t>
      </w:r>
      <w:bookmarkEnd w:id="29"/>
    </w:p>
    <w:p w14:paraId="44CDB5A7">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0" w:name="_Toc9705"/>
      <w:r>
        <w:rPr>
          <w:rFonts w:ascii="宋体" w:hAnsi="宋体" w:eastAsia="宋体"/>
          <w:bCs/>
          <w:color w:val="auto"/>
          <w:sz w:val="21"/>
          <w:szCs w:val="21"/>
          <w:highlight w:val="none"/>
        </w:rPr>
        <w:t>6</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整体产品或分别运输的部件都要适应运输和装载的要求。</w:t>
      </w:r>
      <w:bookmarkEnd w:id="30"/>
    </w:p>
    <w:p w14:paraId="70053F1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1" w:name="_Toc6140"/>
      <w:r>
        <w:rPr>
          <w:rFonts w:ascii="宋体" w:hAnsi="宋体" w:eastAsia="宋体"/>
          <w:bCs/>
          <w:color w:val="auto"/>
          <w:sz w:val="21"/>
          <w:szCs w:val="21"/>
          <w:highlight w:val="none"/>
        </w:rPr>
        <w:t>7</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随产品提供的技术资料应完整无缺。</w:t>
      </w:r>
      <w:bookmarkEnd w:id="31"/>
    </w:p>
    <w:p w14:paraId="63EB4F15">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32" w:name="_Toc23260"/>
      <w:r>
        <w:rPr>
          <w:rFonts w:hint="eastAsia" w:ascii="宋体" w:hAnsi="宋体" w:eastAsia="宋体"/>
          <w:b/>
          <w:bCs/>
          <w:color w:val="auto"/>
          <w:sz w:val="21"/>
          <w:szCs w:val="21"/>
          <w:highlight w:val="none"/>
          <w:lang w:val="en-US" w:eastAsia="zh-CN"/>
        </w:rPr>
        <w:t>六</w:t>
      </w:r>
      <w:r>
        <w:rPr>
          <w:rFonts w:hint="eastAsia" w:ascii="宋体" w:hAnsi="宋体" w:eastAsia="宋体"/>
          <w:b/>
          <w:bCs/>
          <w:color w:val="auto"/>
          <w:sz w:val="21"/>
          <w:szCs w:val="21"/>
          <w:highlight w:val="none"/>
        </w:rPr>
        <w:t>、技术培训</w:t>
      </w:r>
      <w:bookmarkEnd w:id="32"/>
    </w:p>
    <w:p w14:paraId="42643F1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3" w:name="_Toc28007"/>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为使合同设备能正常安装和运行，由中标人提供相应的技术培训，并免收采购人培训费用。培训内容应与工程进度相一致。</w:t>
      </w:r>
      <w:bookmarkEnd w:id="33"/>
    </w:p>
    <w:p w14:paraId="0F15B1F4">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4" w:name="_Toc28915"/>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培训的时间、人数、地点等具体内容由买卖双方商定，内容至少包括：设备原理、使用、维护、运行操作、常见故障处理等。</w:t>
      </w:r>
      <w:bookmarkEnd w:id="34"/>
    </w:p>
    <w:p w14:paraId="2DF54430">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color w:val="auto"/>
          <w:sz w:val="21"/>
          <w:szCs w:val="21"/>
          <w:highlight w:val="none"/>
        </w:rPr>
      </w:pPr>
      <w:bookmarkStart w:id="35" w:name="_Toc3765"/>
      <w:r>
        <w:rPr>
          <w:rFonts w:hint="eastAsia" w:ascii="宋体" w:hAnsi="宋体" w:eastAsia="宋体"/>
          <w:b/>
          <w:bCs/>
          <w:color w:val="auto"/>
          <w:sz w:val="21"/>
          <w:szCs w:val="21"/>
          <w:highlight w:val="none"/>
          <w:lang w:val="en-US" w:eastAsia="zh-CN"/>
        </w:rPr>
        <w:t>七</w:t>
      </w:r>
      <w:r>
        <w:rPr>
          <w:rFonts w:hint="eastAsia" w:ascii="宋体" w:hAnsi="宋体" w:eastAsia="宋体"/>
          <w:b/>
          <w:bCs/>
          <w:color w:val="auto"/>
          <w:sz w:val="21"/>
          <w:szCs w:val="21"/>
          <w:highlight w:val="none"/>
        </w:rPr>
        <w:t>、质保及售后服务</w:t>
      </w:r>
      <w:bookmarkEnd w:id="35"/>
    </w:p>
    <w:p w14:paraId="62F842BE">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6" w:name="_Toc28268"/>
      <w:r>
        <w:rPr>
          <w:rFonts w:ascii="宋体" w:hAnsi="宋体" w:eastAsia="宋体"/>
          <w:bCs/>
          <w:color w:val="auto"/>
          <w:sz w:val="21"/>
          <w:szCs w:val="21"/>
          <w:highlight w:val="none"/>
        </w:rPr>
        <w:t>1</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自双方签订《验收报告》起进入免费质保期。</w:t>
      </w:r>
      <w:bookmarkEnd w:id="36"/>
    </w:p>
    <w:p w14:paraId="334EC3D3">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ascii="宋体" w:hAnsi="宋体" w:eastAsia="宋体"/>
          <w:bCs/>
          <w:color w:val="auto"/>
          <w:sz w:val="21"/>
          <w:szCs w:val="21"/>
          <w:highlight w:val="none"/>
        </w:rPr>
      </w:pPr>
      <w:bookmarkStart w:id="37" w:name="_Toc19907"/>
      <w:r>
        <w:rPr>
          <w:rFonts w:ascii="宋体" w:hAnsi="宋体" w:eastAsia="宋体"/>
          <w:bCs/>
          <w:color w:val="auto"/>
          <w:sz w:val="21"/>
          <w:szCs w:val="21"/>
          <w:highlight w:val="none"/>
        </w:rPr>
        <w:t>2</w:t>
      </w:r>
      <w:r>
        <w:rPr>
          <w:rFonts w:hint="eastAsia" w:ascii="宋体" w:hAnsi="宋体" w:eastAsia="宋体"/>
          <w:bCs/>
          <w:color w:val="auto"/>
          <w:sz w:val="21"/>
          <w:szCs w:val="21"/>
          <w:highlight w:val="none"/>
          <w:lang w:eastAsia="zh-CN"/>
        </w:rPr>
        <w:t>.</w:t>
      </w:r>
      <w:r>
        <w:rPr>
          <w:rFonts w:ascii="宋体" w:hAnsi="宋体" w:eastAsia="宋体"/>
          <w:bCs/>
          <w:color w:val="auto"/>
          <w:sz w:val="21"/>
          <w:szCs w:val="21"/>
          <w:highlight w:val="none"/>
        </w:rPr>
        <w:t>在质保期间内，非采购人过失和故意并且在正常使用的情况下发现商品有缺陷，中标人将免费修理或替换该设备；在质保期间内，非采购人过失和故意并且在正常使用的情况下设备发生故障，中标人应及时提供服务。</w:t>
      </w:r>
      <w:bookmarkEnd w:id="37"/>
    </w:p>
    <w:p w14:paraId="46A760AC">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rPr>
          <w:rFonts w:hint="eastAsia" w:ascii="宋体" w:hAnsi="宋体" w:eastAsia="宋体"/>
          <w:b/>
          <w:bCs w:val="0"/>
          <w:color w:val="auto"/>
          <w:sz w:val="21"/>
          <w:szCs w:val="21"/>
          <w:highlight w:val="none"/>
          <w:lang w:val="en-US" w:eastAsia="zh-CN"/>
        </w:rPr>
      </w:pPr>
      <w:bookmarkStart w:id="38" w:name="_Toc30710"/>
      <w:r>
        <w:rPr>
          <w:rFonts w:hint="eastAsia" w:ascii="宋体" w:hAnsi="宋体" w:eastAsia="宋体"/>
          <w:b/>
          <w:bCs w:val="0"/>
          <w:color w:val="auto"/>
          <w:sz w:val="21"/>
          <w:szCs w:val="21"/>
          <w:highlight w:val="none"/>
          <w:lang w:val="en-US" w:eastAsia="zh-CN"/>
        </w:rPr>
        <w:t>八、报价要求</w:t>
      </w:r>
      <w:bookmarkEnd w:id="38"/>
    </w:p>
    <w:p w14:paraId="31C597A8">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outlineLvl w:val="1"/>
      </w:pPr>
      <w:bookmarkStart w:id="39" w:name="_Toc5541"/>
      <w:r>
        <w:rPr>
          <w:rFonts w:hint="eastAsia" w:ascii="宋体" w:hAnsi="宋体" w:eastAsia="宋体"/>
          <w:bCs/>
          <w:color w:val="auto"/>
          <w:sz w:val="21"/>
          <w:szCs w:val="21"/>
          <w:highlight w:val="none"/>
          <w:lang w:val="en-US" w:eastAsia="zh-CN"/>
        </w:rPr>
        <w:t>本项目报总价，投标报价包括本项目需求的全部货物及所需附件购置费、包装费、运输费、人工费、安装调试费、各种税费、资料费、售后服务费及完成项目应有的全部费用。</w:t>
      </w:r>
      <w:bookmarkEnd w:id="39"/>
      <w:bookmarkStart w:id="40" w:name="_GoBack"/>
      <w:bookmarkEnd w:id="4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A12401"/>
    <w:multiLevelType w:val="singleLevel"/>
    <w:tmpl w:val="83A12401"/>
    <w:lvl w:ilvl="0" w:tentative="0">
      <w:start w:val="1"/>
      <w:numFmt w:val="decimal"/>
      <w:suff w:val="nothing"/>
      <w:lvlText w:val="%1、"/>
      <w:lvlJc w:val="left"/>
    </w:lvl>
  </w:abstractNum>
  <w:abstractNum w:abstractNumId="1">
    <w:nsid w:val="B68CD43D"/>
    <w:multiLevelType w:val="singleLevel"/>
    <w:tmpl w:val="B68CD43D"/>
    <w:lvl w:ilvl="0" w:tentative="0">
      <w:start w:val="1"/>
      <w:numFmt w:val="decimal"/>
      <w:suff w:val="nothing"/>
      <w:lvlText w:val="%1、"/>
      <w:lvlJc w:val="left"/>
    </w:lvl>
  </w:abstractNum>
  <w:abstractNum w:abstractNumId="2">
    <w:nsid w:val="C89C5BC8"/>
    <w:multiLevelType w:val="singleLevel"/>
    <w:tmpl w:val="C89C5BC8"/>
    <w:lvl w:ilvl="0" w:tentative="0">
      <w:start w:val="1"/>
      <w:numFmt w:val="decimal"/>
      <w:suff w:val="nothing"/>
      <w:lvlText w:val="（%1）"/>
      <w:lvlJc w:val="left"/>
    </w:lvl>
  </w:abstractNum>
  <w:abstractNum w:abstractNumId="3">
    <w:nsid w:val="52940A4C"/>
    <w:multiLevelType w:val="singleLevel"/>
    <w:tmpl w:val="52940A4C"/>
    <w:lvl w:ilvl="0" w:tentative="0">
      <w:start w:val="1"/>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C17AE"/>
    <w:rsid w:val="02DC2156"/>
    <w:rsid w:val="098E3BB6"/>
    <w:rsid w:val="0CAC17AE"/>
    <w:rsid w:val="70C45467"/>
    <w:rsid w:val="73104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微软简标宋" w:hAnsi="@微软简标宋" w:eastAsia="@微软简标宋" w:cs="@微软简标宋"/>
      <w:szCs w:val="24"/>
      <w:lang w:val="zh-CN"/>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amp;L"/>
    <w:basedOn w:val="3"/>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7">
    <w:name w:val="xl31"/>
    <w:basedOn w:val="1"/>
    <w:autoRedefine/>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2026-05-20T09:32:00Z</dcterms:created>
  <dc:creator>省招</dc:creator>
  <cp:lastModifiedBy>省招</cp:lastModifiedBy>
  <dcterms:modified xsi:type="dcterms:W3CDTF">2026-05-20T12:08:24Z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E9FA8CBB887443AA9559F917007CCFA9_11</vt:lpwstr>
  </property>
  <property fmtid="{D5CDD505-2E9C-101B-9397-08002B2CF9AE}" pid="4" name="KSOTemplateDocerSaveRecord">
    <vt:lpwstr>eyJoZGlkIjoiMjFlNDcxMzhjZTVlNDBjMzBjMjM4MDQwMDM2MDcyZTEiLCJ1c2VySWQiOiI4ODgyMDUxMzUifQ==</vt:lpwstr>
  </property>
</Properties>
</file>