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25645">
      <w:pPr>
        <w:pStyle w:val="2"/>
        <w:widowControl/>
        <w:snapToGrid w:val="0"/>
        <w:spacing w:before="0" w:after="0" w:line="360" w:lineRule="auto"/>
        <w:jc w:val="center"/>
        <w:rPr>
          <w:rFonts w:hint="eastAsia" w:ascii="宋体" w:hAnsi="宋体"/>
          <w:color w:val="000000"/>
        </w:rPr>
      </w:pPr>
      <w:bookmarkStart w:id="0" w:name="_Toc23330"/>
      <w:r>
        <w:rPr>
          <w:rFonts w:hint="eastAsia" w:ascii="宋体" w:hAnsi="宋体"/>
          <w:color w:val="000000"/>
        </w:rPr>
        <w:t>第三章  采购需求及技术规格要求</w:t>
      </w:r>
      <w:bookmarkEnd w:id="0"/>
    </w:p>
    <w:p w14:paraId="75F3DE33">
      <w:pPr>
        <w:pStyle w:val="3"/>
        <w:spacing w:before="0" w:after="0" w:line="360" w:lineRule="auto"/>
        <w:rPr>
          <w:rStyle w:val="12"/>
          <w:rFonts w:ascii="宋体" w:hAnsi="宋体" w:eastAsia="仿宋"/>
          <w:b/>
          <w:bCs/>
          <w:sz w:val="24"/>
          <w:szCs w:val="24"/>
        </w:rPr>
      </w:pPr>
      <w:bookmarkStart w:id="1" w:name="_Toc455587089"/>
      <w:bookmarkStart w:id="2" w:name="_Toc466024556"/>
      <w:bookmarkStart w:id="3" w:name="_Toc455587273"/>
      <w:r>
        <w:rPr>
          <w:rStyle w:val="12"/>
          <w:rFonts w:hint="eastAsia" w:ascii="仿宋" w:hAnsi="仿宋" w:eastAsia="仿宋" w:cs="仿宋"/>
          <w:b/>
          <w:bCs/>
          <w:sz w:val="24"/>
          <w:szCs w:val="24"/>
        </w:rPr>
        <w:t xml:space="preserve">1. </w:t>
      </w:r>
      <w:bookmarkEnd w:id="1"/>
      <w:bookmarkEnd w:id="2"/>
      <w:bookmarkEnd w:id="3"/>
      <w:r>
        <w:rPr>
          <w:rStyle w:val="12"/>
          <w:rFonts w:hint="eastAsia" w:ascii="仿宋" w:hAnsi="仿宋" w:eastAsia="仿宋" w:cs="仿宋"/>
          <w:b/>
          <w:bCs/>
          <w:sz w:val="24"/>
          <w:szCs w:val="24"/>
        </w:rPr>
        <w:t>总</w:t>
      </w:r>
      <w:r>
        <w:rPr>
          <w:rStyle w:val="12"/>
          <w:rFonts w:hint="eastAsia" w:ascii="宋体" w:hAnsi="宋体" w:eastAsia="仿宋"/>
          <w:b/>
          <w:bCs/>
          <w:sz w:val="24"/>
          <w:szCs w:val="24"/>
        </w:rPr>
        <w:t>体说明</w:t>
      </w:r>
    </w:p>
    <w:p w14:paraId="06C7E3D1">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1A78CC10">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1.2 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仿宋" w:hAnsi="仿宋" w:eastAsia="仿宋" w:cs="仿宋"/>
          <w:color w:val="000000"/>
          <w:sz w:val="24"/>
        </w:rPr>
        <w:cr/>
      </w:r>
      <w:r>
        <w:rPr>
          <w:rFonts w:hint="eastAsia" w:ascii="仿宋" w:hAnsi="仿宋" w:eastAsia="仿宋" w:cs="仿宋"/>
          <w:color w:val="000000"/>
          <w:sz w:val="24"/>
        </w:rPr>
        <w:t xml:space="preserve">   1.3 投标供应商应当在投标文件中列出完成本项目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45F53A13">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1.4 本章中提及的工艺、材料、设备的标准及品牌或型号（如有）仅起说明作用，并没有强制性。投标人在投标中可以用替代工艺、材料、设备的标准及品牌或型号，但这种替代须实质上满足、等同或优于本章技术要求，同时须提供相关证明材料，否则可能被评标委员会认定为负偏离。</w:t>
      </w:r>
    </w:p>
    <w:p w14:paraId="2A031DD8">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1.6 除非有特别说明，本章中所列的具体参数或参数范围，均理解为采购人可接受的最低要求。</w:t>
      </w:r>
    </w:p>
    <w:p w14:paraId="66CD0F3F">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1.7采购需求如包含属于《节能产品政府采购品目清单》中政府强制采购的节能产品， 则投标人所投产品须具有市场监管总局公布的《参与实施政府采购节能产品认证机构目录》中的认证机构出具的、处于有效期内的节能（节水）产品认证证书。</w:t>
      </w:r>
    </w:p>
    <w:p w14:paraId="357900BE">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1.8 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B1E0F38">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1.9标注“▲”的产品为主要标的（包括核心产品），核心产品的名称、品牌、规格型号、数量、单价等将予以公布。</w:t>
      </w:r>
    </w:p>
    <w:p w14:paraId="1AB87EDF">
      <w:pPr>
        <w:widowControl/>
        <w:tabs>
          <w:tab w:val="left" w:pos="1406"/>
        </w:tabs>
        <w:snapToGrid w:val="0"/>
        <w:spacing w:line="360" w:lineRule="auto"/>
        <w:rPr>
          <w:rFonts w:hint="eastAsia" w:ascii="仿宋" w:hAnsi="仿宋" w:eastAsia="仿宋" w:cs="仿宋"/>
          <w:color w:val="000000"/>
          <w:sz w:val="24"/>
        </w:rPr>
      </w:pPr>
    </w:p>
    <w:p w14:paraId="6526DB2A">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2. 采购内容及范围</w:t>
      </w:r>
    </w:p>
    <w:p w14:paraId="46F4FC50">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2.1 采购内容</w:t>
      </w:r>
    </w:p>
    <w:tbl>
      <w:tblPr>
        <w:tblStyle w:val="10"/>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579"/>
        <w:gridCol w:w="981"/>
        <w:gridCol w:w="1060"/>
        <w:gridCol w:w="1173"/>
        <w:gridCol w:w="1218"/>
      </w:tblGrid>
      <w:tr w14:paraId="390B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1" w:type="dxa"/>
            <w:noWrap w:val="0"/>
            <w:vAlign w:val="center"/>
          </w:tcPr>
          <w:p w14:paraId="48F0E37F">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包号</w:t>
            </w:r>
          </w:p>
        </w:tc>
        <w:tc>
          <w:tcPr>
            <w:tcW w:w="4579" w:type="dxa"/>
            <w:noWrap w:val="0"/>
            <w:vAlign w:val="center"/>
          </w:tcPr>
          <w:p w14:paraId="4F32FA19">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标的名称</w:t>
            </w:r>
          </w:p>
        </w:tc>
        <w:tc>
          <w:tcPr>
            <w:tcW w:w="981" w:type="dxa"/>
            <w:noWrap w:val="0"/>
            <w:vAlign w:val="center"/>
          </w:tcPr>
          <w:p w14:paraId="2FB01F45">
            <w:pPr>
              <w:widowControl/>
              <w:jc w:val="center"/>
              <w:rPr>
                <w:rFonts w:hint="eastAsia" w:ascii="仿宋" w:hAnsi="仿宋" w:eastAsia="仿宋" w:cs="仿宋"/>
                <w:color w:val="000000"/>
                <w:sz w:val="24"/>
              </w:rPr>
            </w:pPr>
            <w:r>
              <w:rPr>
                <w:rFonts w:ascii="仿宋" w:hAnsi="仿宋" w:eastAsia="仿宋" w:cs="仿宋"/>
                <w:color w:val="000000"/>
                <w:kern w:val="0"/>
                <w:sz w:val="24"/>
                <w:lang w:bidi="ar"/>
              </w:rPr>
              <w:t>单位</w:t>
            </w:r>
          </w:p>
        </w:tc>
        <w:tc>
          <w:tcPr>
            <w:tcW w:w="1060" w:type="dxa"/>
            <w:noWrap w:val="0"/>
            <w:vAlign w:val="center"/>
          </w:tcPr>
          <w:p w14:paraId="489D6672">
            <w:pPr>
              <w:widowControl/>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kern w:val="0"/>
                <w:sz w:val="24"/>
                <w:lang w:bidi="ar"/>
              </w:rPr>
              <w:t>数量</w:t>
            </w:r>
          </w:p>
        </w:tc>
        <w:tc>
          <w:tcPr>
            <w:tcW w:w="1173" w:type="dxa"/>
            <w:noWrap w:val="0"/>
            <w:vAlign w:val="center"/>
          </w:tcPr>
          <w:p w14:paraId="549151D6">
            <w:pPr>
              <w:widowControl/>
              <w:spacing w:line="360" w:lineRule="auto"/>
              <w:jc w:val="center"/>
              <w:outlineLvl w:val="1"/>
              <w:rPr>
                <w:rFonts w:hint="eastAsia" w:ascii="仿宋" w:hAnsi="仿宋" w:eastAsia="仿宋" w:cs="仿宋"/>
                <w:color w:val="000000"/>
                <w:sz w:val="24"/>
              </w:rPr>
            </w:pPr>
            <w:r>
              <w:rPr>
                <w:rFonts w:ascii="仿宋" w:hAnsi="仿宋" w:eastAsia="仿宋" w:cs="仿宋"/>
                <w:color w:val="000000"/>
                <w:kern w:val="0"/>
                <w:sz w:val="24"/>
                <w:lang w:bidi="ar"/>
              </w:rPr>
              <w:t>所属行业</w:t>
            </w:r>
          </w:p>
        </w:tc>
        <w:tc>
          <w:tcPr>
            <w:tcW w:w="1218" w:type="dxa"/>
            <w:noWrap w:val="0"/>
            <w:vAlign w:val="center"/>
          </w:tcPr>
          <w:p w14:paraId="6CCFF850">
            <w:pPr>
              <w:widowControl/>
              <w:spacing w:line="360" w:lineRule="auto"/>
              <w:jc w:val="center"/>
              <w:outlineLvl w:val="1"/>
              <w:rPr>
                <w:rFonts w:ascii="仿宋" w:hAnsi="仿宋" w:eastAsia="仿宋" w:cs="仿宋"/>
                <w:color w:val="000000"/>
                <w:kern w:val="0"/>
                <w:sz w:val="24"/>
                <w:lang w:bidi="ar"/>
              </w:rPr>
            </w:pPr>
            <w:r>
              <w:rPr>
                <w:rFonts w:ascii="仿宋" w:hAnsi="仿宋" w:eastAsia="仿宋" w:cs="仿宋"/>
                <w:color w:val="000000"/>
                <w:kern w:val="0"/>
                <w:sz w:val="24"/>
                <w:lang w:bidi="ar"/>
              </w:rPr>
              <w:t>是否接受进口</w:t>
            </w:r>
          </w:p>
        </w:tc>
      </w:tr>
      <w:tr w14:paraId="40A0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41" w:type="dxa"/>
            <w:noWrap w:val="0"/>
            <w:vAlign w:val="center"/>
          </w:tcPr>
          <w:p w14:paraId="09E0740F">
            <w:pPr>
              <w:keepNext/>
              <w:keepLines/>
              <w:spacing w:line="360" w:lineRule="auto"/>
              <w:jc w:val="center"/>
              <w:outlineLvl w:val="1"/>
              <w:rPr>
                <w:rFonts w:ascii="仿宋" w:hAnsi="仿宋" w:eastAsia="仿宋" w:cs="仿宋"/>
                <w:color w:val="000000"/>
                <w:sz w:val="24"/>
              </w:rPr>
            </w:pPr>
            <w:r>
              <w:rPr>
                <w:rFonts w:hint="eastAsia" w:ascii="仿宋" w:hAnsi="仿宋" w:eastAsia="仿宋" w:cs="仿宋"/>
                <w:color w:val="000000"/>
                <w:sz w:val="24"/>
              </w:rPr>
              <w:t>7</w:t>
            </w:r>
          </w:p>
        </w:tc>
        <w:tc>
          <w:tcPr>
            <w:tcW w:w="4579" w:type="dxa"/>
            <w:noWrap w:val="0"/>
            <w:vAlign w:val="center"/>
          </w:tcPr>
          <w:p w14:paraId="40D1D5A3">
            <w:pPr>
              <w:keepNext/>
              <w:keepLines/>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sz w:val="24"/>
              </w:rPr>
              <w:t>▲便携式B超机</w:t>
            </w:r>
          </w:p>
        </w:tc>
        <w:tc>
          <w:tcPr>
            <w:tcW w:w="981" w:type="dxa"/>
            <w:noWrap w:val="0"/>
            <w:vAlign w:val="center"/>
          </w:tcPr>
          <w:p w14:paraId="3ED524D5">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台</w:t>
            </w:r>
          </w:p>
        </w:tc>
        <w:tc>
          <w:tcPr>
            <w:tcW w:w="1060" w:type="dxa"/>
            <w:noWrap w:val="0"/>
            <w:vAlign w:val="center"/>
          </w:tcPr>
          <w:p w14:paraId="02E6CE1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w:t>
            </w:r>
          </w:p>
        </w:tc>
        <w:tc>
          <w:tcPr>
            <w:tcW w:w="1173" w:type="dxa"/>
            <w:noWrap w:val="0"/>
            <w:vAlign w:val="center"/>
          </w:tcPr>
          <w:p w14:paraId="48DD59DE">
            <w:pPr>
              <w:keepNext/>
              <w:keepLines/>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1218" w:type="dxa"/>
            <w:noWrap w:val="0"/>
            <w:vAlign w:val="center"/>
          </w:tcPr>
          <w:p w14:paraId="28D16471">
            <w:pPr>
              <w:keepNext/>
              <w:keepLines/>
              <w:spacing w:line="360" w:lineRule="auto"/>
              <w:jc w:val="center"/>
              <w:outlineLvl w:val="1"/>
              <w:rPr>
                <w:rFonts w:hint="eastAsia" w:ascii="仿宋" w:hAnsi="仿宋" w:eastAsia="仿宋" w:cs="仿宋"/>
                <w:color w:val="000000"/>
                <w:sz w:val="24"/>
              </w:rPr>
            </w:pPr>
            <w:r>
              <w:rPr>
                <w:rFonts w:hint="eastAsia" w:ascii="仿宋" w:hAnsi="仿宋" w:eastAsia="仿宋" w:cs="仿宋"/>
                <w:color w:val="000000"/>
                <w:sz w:val="24"/>
              </w:rPr>
              <w:t>否</w:t>
            </w:r>
          </w:p>
        </w:tc>
      </w:tr>
    </w:tbl>
    <w:p w14:paraId="6EF08321">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2.2 采购范围</w:t>
      </w:r>
    </w:p>
    <w:p w14:paraId="0CC70137">
      <w:pPr>
        <w:keepNext/>
        <w:keepLines/>
        <w:spacing w:line="360" w:lineRule="auto"/>
        <w:ind w:firstLine="480" w:firstLineChars="200"/>
        <w:outlineLvl w:val="1"/>
        <w:rPr>
          <w:rFonts w:hint="eastAsia" w:ascii="仿宋" w:hAnsi="仿宋" w:eastAsia="仿宋"/>
          <w:sz w:val="24"/>
        </w:rPr>
      </w:pPr>
      <w:r>
        <w:rPr>
          <w:rFonts w:hint="eastAsia" w:ascii="仿宋" w:hAnsi="仿宋" w:eastAsia="仿宋"/>
          <w:sz w:val="24"/>
        </w:rPr>
        <w:t>包括所有货物的供货、包装运输（包括卸车及就位至采购人指定的安装地点）、安装、调试、技术服务、培训、售后服务等所有内容。</w:t>
      </w:r>
    </w:p>
    <w:p w14:paraId="48119EC9">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3.商务条款</w:t>
      </w:r>
    </w:p>
    <w:p w14:paraId="761465B3">
      <w:pPr>
        <w:spacing w:line="360" w:lineRule="auto"/>
        <w:rPr>
          <w:rFonts w:hint="eastAsia" w:ascii="仿宋" w:hAnsi="仿宋" w:eastAsia="仿宋" w:cs="仿宋"/>
          <w:b/>
          <w:bCs/>
          <w:sz w:val="24"/>
          <w:szCs w:val="32"/>
        </w:rPr>
      </w:pPr>
      <w:r>
        <w:rPr>
          <w:rFonts w:hint="eastAsia" w:ascii="仿宋" w:hAnsi="仿宋" w:eastAsia="仿宋" w:cs="仿宋"/>
          <w:b/>
          <w:bCs/>
          <w:sz w:val="24"/>
          <w:szCs w:val="32"/>
        </w:rPr>
        <w:t>除非有特别说明，本条为实质性要求。</w:t>
      </w:r>
    </w:p>
    <w:tbl>
      <w:tblPr>
        <w:tblStyle w:val="10"/>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20"/>
        <w:gridCol w:w="8480"/>
      </w:tblGrid>
      <w:tr w14:paraId="6CF6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57" w:type="dxa"/>
            <w:noWrap w:val="0"/>
            <w:vAlign w:val="center"/>
          </w:tcPr>
          <w:p w14:paraId="74153D52">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序号</w:t>
            </w:r>
          </w:p>
        </w:tc>
        <w:tc>
          <w:tcPr>
            <w:tcW w:w="9300" w:type="dxa"/>
            <w:gridSpan w:val="2"/>
            <w:noWrap w:val="0"/>
            <w:vAlign w:val="center"/>
          </w:tcPr>
          <w:p w14:paraId="1155A2A1">
            <w:pPr>
              <w:wordWrap w:val="0"/>
              <w:spacing w:line="360" w:lineRule="auto"/>
              <w:ind w:firstLine="2891" w:firstLineChars="1200"/>
              <w:jc w:val="left"/>
              <w:rPr>
                <w:rFonts w:hint="eastAsia" w:ascii="仿宋" w:hAnsi="仿宋" w:eastAsia="仿宋" w:cs="仿宋"/>
                <w:b/>
                <w:color w:val="000000"/>
                <w:sz w:val="24"/>
              </w:rPr>
            </w:pPr>
            <w:r>
              <w:rPr>
                <w:rFonts w:hint="eastAsia" w:ascii="仿宋" w:hAnsi="仿宋" w:eastAsia="仿宋" w:cs="仿宋"/>
                <w:b/>
                <w:color w:val="000000"/>
                <w:sz w:val="24"/>
              </w:rPr>
              <w:t>商务条款内容</w:t>
            </w:r>
          </w:p>
        </w:tc>
      </w:tr>
      <w:tr w14:paraId="19C6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57" w:type="dxa"/>
            <w:noWrap w:val="0"/>
            <w:vAlign w:val="center"/>
          </w:tcPr>
          <w:p w14:paraId="03630A62">
            <w:pPr>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1</w:t>
            </w:r>
          </w:p>
        </w:tc>
        <w:tc>
          <w:tcPr>
            <w:tcW w:w="820" w:type="dxa"/>
            <w:noWrap w:val="0"/>
            <w:vAlign w:val="center"/>
          </w:tcPr>
          <w:p w14:paraId="1AE90441">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交付（实施）的时间（期限）</w:t>
            </w:r>
          </w:p>
        </w:tc>
        <w:tc>
          <w:tcPr>
            <w:tcW w:w="8480" w:type="dxa"/>
            <w:noWrap w:val="0"/>
            <w:vAlign w:val="center"/>
          </w:tcPr>
          <w:p w14:paraId="74AD3C7F">
            <w:pPr>
              <w:widowControl/>
              <w:adjustRightInd w:val="0"/>
              <w:snapToGrid w:val="0"/>
              <w:spacing w:line="288" w:lineRule="auto"/>
              <w:rPr>
                <w:rFonts w:ascii="仿宋" w:hAnsi="仿宋" w:eastAsia="仿宋" w:cs="仿宋"/>
                <w:bCs/>
                <w:color w:val="000000"/>
                <w:sz w:val="24"/>
              </w:rPr>
            </w:pPr>
            <w:r>
              <w:rPr>
                <w:rFonts w:hint="eastAsia" w:ascii="仿宋" w:hAnsi="仿宋" w:eastAsia="仿宋" w:cs="仿宋"/>
                <w:bCs/>
                <w:color w:val="000000"/>
                <w:sz w:val="24"/>
              </w:rPr>
              <w:t>合同签订生效后，接采购人通知后</w:t>
            </w:r>
            <w:r>
              <w:rPr>
                <w:rFonts w:hint="eastAsia" w:ascii="仿宋" w:hAnsi="仿宋" w:eastAsia="仿宋" w:cs="仿宋"/>
                <w:bCs/>
                <w:color w:val="000000"/>
                <w:sz w:val="24"/>
                <w:lang w:val="en-US" w:eastAsia="zh-CN"/>
              </w:rPr>
              <w:t>30</w:t>
            </w:r>
            <w:r>
              <w:rPr>
                <w:rFonts w:hint="eastAsia" w:ascii="仿宋" w:hAnsi="仿宋" w:eastAsia="仿宋" w:cs="仿宋"/>
                <w:bCs/>
                <w:color w:val="000000"/>
                <w:sz w:val="24"/>
              </w:rPr>
              <w:t>个日历天内完成供货安装调试。</w:t>
            </w:r>
          </w:p>
          <w:p w14:paraId="47820748">
            <w:pPr>
              <w:widowControl/>
              <w:adjustRightInd w:val="0"/>
              <w:snapToGrid w:val="0"/>
              <w:spacing w:line="288" w:lineRule="auto"/>
              <w:rPr>
                <w:rFonts w:hint="eastAsia" w:ascii="仿宋" w:hAnsi="仿宋" w:eastAsia="仿宋" w:cs="仿宋"/>
                <w:bCs/>
                <w:color w:val="000000"/>
                <w:sz w:val="24"/>
              </w:rPr>
            </w:pPr>
            <w:r>
              <w:rPr>
                <w:rFonts w:hint="eastAsia" w:ascii="仿宋" w:hAnsi="仿宋" w:eastAsia="仿宋" w:cs="仿宋"/>
                <w:bCs/>
                <w:color w:val="000000"/>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514E1C01">
            <w:pPr>
              <w:pStyle w:val="13"/>
              <w:ind w:firstLine="480"/>
              <w:rPr>
                <w:rFonts w:hint="eastAsia" w:ascii="仿宋" w:hAnsi="仿宋" w:eastAsia="仿宋" w:cs="仿宋"/>
                <w:bCs/>
                <w:color w:val="000000"/>
                <w:sz w:val="24"/>
              </w:rPr>
            </w:pPr>
            <w:r>
              <w:rPr>
                <w:rFonts w:hint="eastAsia" w:ascii="仿宋" w:hAnsi="仿宋" w:eastAsia="仿宋" w:cs="仿宋"/>
                <w:bCs/>
                <w:color w:val="000000"/>
                <w:sz w:val="24"/>
              </w:rPr>
              <w:t>□接受：</w:t>
            </w:r>
          </w:p>
          <w:p w14:paraId="0E4E7B40">
            <w:pPr>
              <w:wordWrap w:val="0"/>
              <w:spacing w:line="360" w:lineRule="auto"/>
              <w:rPr>
                <w:rFonts w:hint="eastAsia" w:ascii="仿宋" w:hAnsi="仿宋" w:eastAsia="仿宋" w:cs="仿宋"/>
                <w:bCs/>
                <w:color w:val="000000"/>
                <w:sz w:val="24"/>
              </w:rPr>
            </w:pPr>
            <w:r>
              <w:rPr>
                <w:rFonts w:hint="eastAsia" w:ascii="仿宋" w:hAnsi="仿宋" w:eastAsia="仿宋" w:cs="仿宋"/>
                <w:bCs/>
                <w:color w:val="000000"/>
                <w:sz w:val="24"/>
              </w:rPr>
              <w:t>允许偏离的幅度：/</w:t>
            </w:r>
          </w:p>
        </w:tc>
      </w:tr>
      <w:tr w14:paraId="2B19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57" w:type="dxa"/>
            <w:noWrap w:val="0"/>
            <w:vAlign w:val="center"/>
          </w:tcPr>
          <w:p w14:paraId="6BFB9BB0">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2</w:t>
            </w:r>
          </w:p>
        </w:tc>
        <w:tc>
          <w:tcPr>
            <w:tcW w:w="820" w:type="dxa"/>
            <w:noWrap w:val="0"/>
            <w:vAlign w:val="center"/>
          </w:tcPr>
          <w:p w14:paraId="4D55D56D">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交付（实施）的地点（范围）</w:t>
            </w:r>
          </w:p>
        </w:tc>
        <w:tc>
          <w:tcPr>
            <w:tcW w:w="8480" w:type="dxa"/>
            <w:noWrap w:val="0"/>
            <w:vAlign w:val="center"/>
          </w:tcPr>
          <w:p w14:paraId="1CCF09E0">
            <w:pPr>
              <w:wordWrap w:val="0"/>
              <w:spacing w:line="360" w:lineRule="auto"/>
              <w:jc w:val="center"/>
              <w:rPr>
                <w:rFonts w:hint="eastAsia" w:ascii="仿宋" w:hAnsi="仿宋" w:eastAsia="仿宋" w:cs="仿宋"/>
                <w:b/>
                <w:bCs w:val="0"/>
                <w:color w:val="000000"/>
                <w:sz w:val="24"/>
                <w:lang w:val="en-US" w:eastAsia="zh-CN"/>
              </w:rPr>
            </w:pPr>
            <w:r>
              <w:rPr>
                <w:rFonts w:hint="eastAsia" w:ascii="仿宋" w:hAnsi="仿宋" w:eastAsia="仿宋" w:cs="仿宋"/>
                <w:b/>
                <w:bCs w:val="0"/>
                <w:color w:val="000000"/>
                <w:sz w:val="24"/>
                <w:lang w:val="en-US" w:eastAsia="zh-CN"/>
              </w:rPr>
              <w:t>07包：上海市第六人民医院安徽医院</w:t>
            </w:r>
          </w:p>
          <w:p w14:paraId="272983FB">
            <w:pPr>
              <w:wordWrap w:val="0"/>
              <w:spacing w:line="360" w:lineRule="auto"/>
              <w:rPr>
                <w:rFonts w:hint="default" w:ascii="仿宋" w:hAnsi="仿宋" w:eastAsia="仿宋" w:cs="仿宋"/>
                <w:bCs/>
                <w:color w:val="000000"/>
                <w:sz w:val="24"/>
                <w:lang w:val="en-US" w:eastAsia="zh-CN"/>
              </w:rPr>
            </w:pPr>
          </w:p>
        </w:tc>
      </w:tr>
      <w:tr w14:paraId="518B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57" w:type="dxa"/>
            <w:noWrap w:val="0"/>
            <w:vAlign w:val="center"/>
          </w:tcPr>
          <w:p w14:paraId="21377942">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3</w:t>
            </w:r>
          </w:p>
        </w:tc>
        <w:tc>
          <w:tcPr>
            <w:tcW w:w="820" w:type="dxa"/>
            <w:noWrap w:val="0"/>
            <w:vAlign w:val="center"/>
          </w:tcPr>
          <w:p w14:paraId="0C91F8A7">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付款方式</w:t>
            </w:r>
          </w:p>
        </w:tc>
        <w:tc>
          <w:tcPr>
            <w:tcW w:w="8480" w:type="dxa"/>
            <w:noWrap w:val="0"/>
            <w:vAlign w:val="center"/>
          </w:tcPr>
          <w:p w14:paraId="3EF83042">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xml:space="preserve">本项目货到安装验收合格，提供产品的使用、操作及维修人员的培训， 并能独立操作且使用部门签字确认后，采购人支付全部货款。 </w:t>
            </w:r>
          </w:p>
          <w:p w14:paraId="631EE31C">
            <w:pPr>
              <w:wordWrap w:val="0"/>
              <w:spacing w:line="360" w:lineRule="auto"/>
              <w:rPr>
                <w:rFonts w:hint="eastAsia" w:ascii="仿宋" w:hAnsi="仿宋" w:eastAsia="仿宋" w:cs="仿宋"/>
                <w:b/>
                <w:color w:val="000000"/>
                <w:sz w:val="24"/>
              </w:rPr>
            </w:pPr>
            <w:r>
              <w:rPr>
                <w:rFonts w:hint="eastAsia" w:ascii="仿宋" w:hAnsi="仿宋" w:eastAsia="仿宋" w:cs="仿宋"/>
                <w:color w:val="000000"/>
                <w:sz w:val="24"/>
              </w:rPr>
              <w:t>是否接受负偏离：</w:t>
            </w:r>
            <w:r>
              <w:rPr>
                <w:rFonts w:hint="eastAsia" w:ascii="仿宋" w:hAnsi="仿宋" w:eastAsia="仿宋" w:cs="仿宋"/>
                <w:color w:val="000000"/>
                <w:sz w:val="24"/>
              </w:rPr>
              <w:sym w:font="Wingdings 2" w:char="0052"/>
            </w:r>
            <w:r>
              <w:rPr>
                <w:rFonts w:hint="eastAsia" w:ascii="仿宋" w:hAnsi="仿宋" w:eastAsia="仿宋" w:cs="仿宋"/>
                <w:color w:val="000000"/>
                <w:sz w:val="24"/>
              </w:rPr>
              <w:t xml:space="preserve">不接受  </w:t>
            </w:r>
          </w:p>
        </w:tc>
      </w:tr>
      <w:tr w14:paraId="2E4B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57" w:type="dxa"/>
            <w:noWrap w:val="0"/>
            <w:vAlign w:val="center"/>
          </w:tcPr>
          <w:p w14:paraId="7D18C30F">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4</w:t>
            </w:r>
          </w:p>
        </w:tc>
        <w:tc>
          <w:tcPr>
            <w:tcW w:w="820" w:type="dxa"/>
            <w:noWrap w:val="0"/>
            <w:vAlign w:val="center"/>
          </w:tcPr>
          <w:p w14:paraId="1D0A3678">
            <w:pPr>
              <w:wordWrap w:val="0"/>
              <w:spacing w:line="360" w:lineRule="auto"/>
              <w:jc w:val="center"/>
              <w:rPr>
                <w:rFonts w:hint="eastAsia" w:ascii="仿宋" w:hAnsi="仿宋" w:eastAsia="仿宋" w:cs="仿宋"/>
                <w:b/>
                <w:bCs/>
                <w:color w:val="000000"/>
                <w:sz w:val="24"/>
              </w:rPr>
            </w:pPr>
            <w:r>
              <w:rPr>
                <w:rFonts w:hint="eastAsia" w:ascii="宋体" w:hAnsi="宋体" w:eastAsia="仿宋" w:cs="Calibri"/>
                <w:b/>
                <w:bCs/>
                <w:sz w:val="24"/>
              </w:rPr>
              <w:t>质量保证期</w:t>
            </w:r>
          </w:p>
        </w:tc>
        <w:tc>
          <w:tcPr>
            <w:tcW w:w="8480" w:type="dxa"/>
            <w:noWrap w:val="0"/>
            <w:vAlign w:val="top"/>
          </w:tcPr>
          <w:p w14:paraId="7196BD80">
            <w:pPr>
              <w:widowControl/>
              <w:adjustRightInd w:val="0"/>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自验收合格之日起整体（主机+配套产品）原厂质保不少于</w:t>
            </w:r>
            <w:r>
              <w:rPr>
                <w:rFonts w:hint="eastAsia" w:ascii="仿宋" w:hAnsi="仿宋" w:eastAsia="仿宋" w:cs="仿宋"/>
                <w:color w:val="000000"/>
                <w:sz w:val="24"/>
                <w:lang w:val="en-US" w:eastAsia="zh-CN"/>
              </w:rPr>
              <w:t>72</w:t>
            </w:r>
            <w:r>
              <w:rPr>
                <w:rFonts w:hint="eastAsia" w:ascii="仿宋" w:hAnsi="仿宋" w:eastAsia="仿宋" w:cs="仿宋"/>
                <w:color w:val="000000"/>
                <w:sz w:val="24"/>
              </w:rPr>
              <w:t>个月。</w:t>
            </w:r>
          </w:p>
          <w:p w14:paraId="484C7E75">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5A469BD3">
            <w:pPr>
              <w:pStyle w:val="13"/>
              <w:ind w:firstLine="480"/>
              <w:rPr>
                <w:rFonts w:hint="eastAsia" w:ascii="楷体" w:hAnsi="楷体" w:eastAsia="仿宋" w:cs="Calibri"/>
                <w:sz w:val="24"/>
              </w:rPr>
            </w:pPr>
            <w:r>
              <w:rPr>
                <w:rFonts w:hint="eastAsia" w:ascii="楷体" w:hAnsi="楷体" w:eastAsia="仿宋" w:cs="Calibri"/>
                <w:sz w:val="24"/>
              </w:rPr>
              <w:t xml:space="preserve">            □接受：</w:t>
            </w:r>
          </w:p>
          <w:p w14:paraId="3F5A97BE">
            <w:pPr>
              <w:wordWrap w:val="0"/>
              <w:spacing w:line="360" w:lineRule="auto"/>
              <w:jc w:val="left"/>
              <w:rPr>
                <w:rFonts w:hint="eastAsia" w:ascii="仿宋" w:hAnsi="仿宋" w:eastAsia="仿宋" w:cs="仿宋"/>
                <w:b/>
                <w:color w:val="000000"/>
                <w:sz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431B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57" w:type="dxa"/>
            <w:noWrap w:val="0"/>
            <w:vAlign w:val="center"/>
          </w:tcPr>
          <w:p w14:paraId="175D444A">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6</w:t>
            </w:r>
          </w:p>
        </w:tc>
        <w:tc>
          <w:tcPr>
            <w:tcW w:w="820" w:type="dxa"/>
            <w:noWrap w:val="0"/>
            <w:vAlign w:val="center"/>
          </w:tcPr>
          <w:p w14:paraId="67E1DA4A">
            <w:pPr>
              <w:wordWrap w:val="0"/>
              <w:spacing w:line="360" w:lineRule="auto"/>
              <w:jc w:val="center"/>
              <w:rPr>
                <w:rFonts w:ascii="仿宋" w:hAnsi="仿宋" w:eastAsia="仿宋" w:cs="仿宋"/>
                <w:b/>
                <w:color w:val="000000"/>
                <w:sz w:val="24"/>
              </w:rPr>
            </w:pPr>
            <w:r>
              <w:rPr>
                <w:rFonts w:hint="eastAsia" w:ascii="仿宋" w:hAnsi="仿宋" w:eastAsia="仿宋" w:cs="仿宋"/>
                <w:b/>
                <w:color w:val="000000"/>
                <w:sz w:val="24"/>
              </w:rPr>
              <w:t>信息化要求</w:t>
            </w:r>
          </w:p>
        </w:tc>
        <w:tc>
          <w:tcPr>
            <w:tcW w:w="8480" w:type="dxa"/>
            <w:noWrap w:val="0"/>
            <w:vAlign w:val="center"/>
          </w:tcPr>
          <w:p w14:paraId="0DADA94F">
            <w:pPr>
              <w:pStyle w:val="9"/>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投标人所投设备须与医院信息系统连接，由此产生的费用包含在投标总报价中，采购人不另行支付。</w:t>
            </w:r>
          </w:p>
          <w:p w14:paraId="12695F5C">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6024C803">
            <w:pPr>
              <w:pStyle w:val="13"/>
              <w:ind w:firstLine="480"/>
              <w:rPr>
                <w:rFonts w:hint="eastAsia" w:ascii="楷体" w:hAnsi="楷体" w:eastAsia="仿宋" w:cs="Calibri"/>
                <w:sz w:val="24"/>
              </w:rPr>
            </w:pPr>
            <w:r>
              <w:rPr>
                <w:rFonts w:hint="eastAsia" w:ascii="楷体" w:hAnsi="楷体" w:eastAsia="仿宋" w:cs="Calibri"/>
                <w:sz w:val="24"/>
              </w:rPr>
              <w:t xml:space="preserve">            □接受：</w:t>
            </w:r>
          </w:p>
          <w:p w14:paraId="3455A3C8">
            <w:pPr>
              <w:pStyle w:val="9"/>
              <w:spacing w:before="0" w:beforeAutospacing="0" w:after="0" w:afterAutospacing="0" w:line="360" w:lineRule="auto"/>
              <w:rPr>
                <w:rFonts w:hint="eastAsia" w:ascii="仿宋" w:hAnsi="仿宋" w:eastAsia="仿宋" w:cs="仿宋"/>
                <w:color w:val="auto"/>
              </w:rPr>
            </w:pPr>
            <w:r>
              <w:rPr>
                <w:rFonts w:hint="eastAsia" w:ascii="楷体" w:hAnsi="楷体" w:eastAsia="仿宋" w:cs="Calibri"/>
              </w:rPr>
              <w:t>允许偏离的幅度：</w:t>
            </w:r>
            <w:r>
              <w:rPr>
                <w:rFonts w:hint="eastAsia" w:eastAsia="仿宋" w:cs="Calibri"/>
              </w:rPr>
              <w:t>/</w:t>
            </w:r>
          </w:p>
        </w:tc>
      </w:tr>
      <w:tr w14:paraId="5EAC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457" w:type="dxa"/>
            <w:noWrap w:val="0"/>
            <w:vAlign w:val="center"/>
          </w:tcPr>
          <w:p w14:paraId="43FFCAA9">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7</w:t>
            </w:r>
          </w:p>
        </w:tc>
        <w:tc>
          <w:tcPr>
            <w:tcW w:w="820" w:type="dxa"/>
            <w:noWrap w:val="0"/>
            <w:vAlign w:val="center"/>
          </w:tcPr>
          <w:p w14:paraId="2A2BB783">
            <w:pPr>
              <w:wordWrap w:val="0"/>
              <w:spacing w:line="360" w:lineRule="auto"/>
              <w:jc w:val="center"/>
              <w:rPr>
                <w:rFonts w:ascii="仿宋" w:hAnsi="仿宋" w:eastAsia="仿宋" w:cs="仿宋"/>
                <w:b/>
                <w:bCs/>
                <w:kern w:val="0"/>
                <w:sz w:val="24"/>
              </w:rPr>
            </w:pPr>
            <w:r>
              <w:rPr>
                <w:rFonts w:hint="eastAsia" w:ascii="仿宋" w:hAnsi="仿宋" w:eastAsia="仿宋" w:cs="仿宋"/>
                <w:b/>
                <w:bCs/>
                <w:kern w:val="0"/>
                <w:sz w:val="24"/>
              </w:rPr>
              <w:t>售后要求</w:t>
            </w:r>
          </w:p>
        </w:tc>
        <w:tc>
          <w:tcPr>
            <w:tcW w:w="8480" w:type="dxa"/>
            <w:noWrap w:val="0"/>
            <w:vAlign w:val="top"/>
          </w:tcPr>
          <w:p w14:paraId="48FCDAB7">
            <w:pPr>
              <w:pStyle w:val="14"/>
              <w:spacing w:line="360" w:lineRule="auto"/>
              <w:jc w:val="left"/>
              <w:rPr>
                <w:rFonts w:hint="eastAsia" w:ascii="仿宋" w:hAnsi="仿宋" w:eastAsia="仿宋" w:cs="仿宋"/>
                <w:sz w:val="24"/>
                <w:szCs w:val="24"/>
              </w:rPr>
            </w:pPr>
            <w:r>
              <w:rPr>
                <w:rFonts w:hint="eastAsia" w:ascii="仿宋" w:hAnsi="仿宋" w:eastAsia="仿宋" w:cs="仿宋"/>
                <w:sz w:val="24"/>
                <w:szCs w:val="24"/>
              </w:rPr>
              <w:t>中标人须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p w14:paraId="45514E4D">
            <w:pPr>
              <w:widowControl/>
              <w:adjustRightInd w:val="0"/>
              <w:snapToGrid w:val="0"/>
              <w:spacing w:line="288" w:lineRule="auto"/>
              <w:rPr>
                <w:rFonts w:hint="eastAsia" w:ascii="仿宋" w:hAnsi="仿宋" w:eastAsia="仿宋" w:cs="仿宋"/>
                <w:bCs/>
                <w:color w:val="000000"/>
                <w:sz w:val="24"/>
              </w:rPr>
            </w:pPr>
            <w:r>
              <w:rPr>
                <w:rFonts w:hint="eastAsia" w:ascii="宋体" w:hAnsi="宋体" w:eastAsia="仿宋" w:cs="Calibri"/>
                <w:sz w:val="24"/>
              </w:rPr>
              <w:t>是否接受负偏离：</w:t>
            </w:r>
            <w:r>
              <w:rPr>
                <w:rFonts w:hint="eastAsia" w:ascii="宋体" w:hAnsi="宋体" w:eastAsia="仿宋"/>
                <w:bCs/>
                <w:sz w:val="24"/>
              </w:rPr>
              <w:sym w:font="Wingdings" w:char="F0FE"/>
            </w:r>
            <w:r>
              <w:rPr>
                <w:rFonts w:hint="eastAsia" w:ascii="仿宋" w:hAnsi="仿宋" w:eastAsia="仿宋" w:cs="仿宋"/>
                <w:bCs/>
                <w:color w:val="000000"/>
                <w:sz w:val="24"/>
              </w:rPr>
              <w:t>不接受</w:t>
            </w:r>
          </w:p>
          <w:p w14:paraId="5E29AF15">
            <w:pPr>
              <w:pStyle w:val="13"/>
              <w:ind w:firstLine="480"/>
              <w:rPr>
                <w:rFonts w:hint="eastAsia" w:ascii="楷体" w:hAnsi="楷体" w:eastAsia="仿宋" w:cs="Calibri"/>
                <w:sz w:val="24"/>
              </w:rPr>
            </w:pPr>
            <w:r>
              <w:rPr>
                <w:rFonts w:hint="eastAsia" w:ascii="楷体" w:hAnsi="楷体" w:eastAsia="仿宋" w:cs="Calibri"/>
                <w:sz w:val="24"/>
              </w:rPr>
              <w:t xml:space="preserve">            □接受：</w:t>
            </w:r>
          </w:p>
          <w:p w14:paraId="0967D9D0">
            <w:pPr>
              <w:pStyle w:val="14"/>
              <w:spacing w:line="360" w:lineRule="auto"/>
              <w:jc w:val="left"/>
              <w:rPr>
                <w:rFonts w:hint="eastAsia" w:ascii="仿宋" w:hAnsi="仿宋" w:eastAsia="仿宋" w:cs="仿宋"/>
                <w:sz w:val="24"/>
                <w:szCs w:val="24"/>
              </w:rPr>
            </w:pPr>
            <w:r>
              <w:rPr>
                <w:rFonts w:hint="eastAsia" w:ascii="楷体" w:hAnsi="楷体" w:eastAsia="仿宋" w:cs="Calibri"/>
                <w:sz w:val="24"/>
              </w:rPr>
              <w:t>允许偏离的幅</w:t>
            </w:r>
            <w:r>
              <w:rPr>
                <w:rFonts w:hint="eastAsia" w:ascii="楷体" w:hAnsi="楷体" w:eastAsia="仿宋" w:cs="Calibri"/>
                <w:color w:val="000000"/>
                <w:sz w:val="24"/>
              </w:rPr>
              <w:t>度：</w:t>
            </w:r>
            <w:r>
              <w:rPr>
                <w:rFonts w:hint="eastAsia" w:ascii="宋体" w:hAnsi="宋体" w:eastAsia="仿宋" w:cs="Calibri"/>
                <w:color w:val="000000"/>
                <w:sz w:val="24"/>
              </w:rPr>
              <w:t>/</w:t>
            </w:r>
          </w:p>
        </w:tc>
      </w:tr>
      <w:tr w14:paraId="5C00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7" w:type="dxa"/>
            <w:noWrap w:val="0"/>
            <w:vAlign w:val="center"/>
          </w:tcPr>
          <w:p w14:paraId="0534F3CB">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8</w:t>
            </w:r>
          </w:p>
        </w:tc>
        <w:tc>
          <w:tcPr>
            <w:tcW w:w="820" w:type="dxa"/>
            <w:noWrap w:val="0"/>
            <w:vAlign w:val="center"/>
          </w:tcPr>
          <w:p w14:paraId="041F116A">
            <w:pPr>
              <w:wordWrap w:val="0"/>
              <w:spacing w:line="360" w:lineRule="auto"/>
              <w:jc w:val="center"/>
              <w:rPr>
                <w:rFonts w:hint="eastAsia" w:ascii="仿宋" w:hAnsi="仿宋" w:eastAsia="仿宋" w:cs="仿宋"/>
                <w:b/>
                <w:bCs/>
                <w:kern w:val="0"/>
                <w:sz w:val="24"/>
              </w:rPr>
            </w:pPr>
            <w:r>
              <w:rPr>
                <w:rFonts w:hint="eastAsia" w:ascii="仿宋" w:hAnsi="仿宋" w:eastAsia="仿宋" w:cs="仿宋"/>
                <w:b/>
                <w:color w:val="000000"/>
                <w:sz w:val="24"/>
              </w:rPr>
              <w:t>如是依法纳入医疗器械管理的须具有：</w:t>
            </w:r>
          </w:p>
        </w:tc>
        <w:tc>
          <w:tcPr>
            <w:tcW w:w="8480" w:type="dxa"/>
            <w:noWrap w:val="0"/>
            <w:vAlign w:val="center"/>
          </w:tcPr>
          <w:p w14:paraId="777EDC2E">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lang w:val="en-US" w:eastAsia="zh-CN"/>
              </w:rPr>
              <w:t>8.1</w:t>
            </w:r>
            <w:r>
              <w:rPr>
                <w:rFonts w:hint="eastAsia" w:ascii="仿宋" w:hAnsi="仿宋" w:eastAsia="仿宋" w:cs="仿宋"/>
                <w:b/>
                <w:color w:val="000000"/>
                <w:sz w:val="24"/>
              </w:rPr>
              <w:t>投标人为制造商的，须具有相应的医疗器械生产备案获取的备案编号（属于一类时）。</w:t>
            </w:r>
          </w:p>
          <w:p w14:paraId="45D28CBE">
            <w:pPr>
              <w:pStyle w:val="14"/>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8.2</w:t>
            </w:r>
            <w:r>
              <w:rPr>
                <w:rFonts w:hint="eastAsia" w:ascii="仿宋" w:hAnsi="仿宋" w:eastAsia="仿宋" w:cs="仿宋"/>
                <w:b/>
                <w:bCs/>
                <w:sz w:val="24"/>
                <w:szCs w:val="24"/>
              </w:rPr>
              <w:t>投标人须具有与投标产品相应的有效经营备案编号（属于二类时）；（如本次投标产品的注册人、备案人在其住所或者生产地址销售的，无需再办理医疗器械经营许可或备案。）。</w:t>
            </w:r>
          </w:p>
          <w:p w14:paraId="07544E64">
            <w:pPr>
              <w:pStyle w:val="9"/>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lang w:val="en-US" w:eastAsia="zh-CN"/>
              </w:rPr>
              <w:t>8.3</w:t>
            </w:r>
            <w:r>
              <w:rPr>
                <w:rFonts w:hint="eastAsia" w:ascii="仿宋" w:hAnsi="仿宋" w:eastAsia="仿宋" w:cs="仿宋"/>
                <w:b/>
                <w:bCs/>
                <w:color w:val="auto"/>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00131464">
      <w:pPr>
        <w:spacing w:line="360" w:lineRule="auto"/>
        <w:rPr>
          <w:rFonts w:hint="eastAsia" w:ascii="仿宋" w:hAnsi="仿宋" w:eastAsia="仿宋" w:cs="仿宋"/>
          <w:b/>
          <w:bCs/>
          <w:sz w:val="24"/>
          <w:szCs w:val="32"/>
        </w:rPr>
      </w:pPr>
      <w:r>
        <w:rPr>
          <w:rFonts w:hint="eastAsia" w:ascii="仿宋" w:hAnsi="仿宋" w:eastAsia="仿宋" w:cs="仿宋"/>
          <w:b/>
          <w:color w:val="000000"/>
          <w:sz w:val="24"/>
        </w:rPr>
        <w:t>注：上述</w:t>
      </w:r>
      <w:r>
        <w:rPr>
          <w:rFonts w:hint="eastAsia" w:ascii="仿宋" w:hAnsi="仿宋" w:eastAsia="仿宋" w:cs="仿宋"/>
          <w:b/>
          <w:sz w:val="24"/>
        </w:rPr>
        <w:t>商务条款必须全部满足，否则做无效投标处理。</w:t>
      </w:r>
    </w:p>
    <w:p w14:paraId="2B53BAA3">
      <w:pPr>
        <w:pStyle w:val="2"/>
        <w:widowControl/>
        <w:spacing w:line="360" w:lineRule="auto"/>
        <w:rPr>
          <w:rFonts w:hint="eastAsia" w:ascii="仿宋" w:hAnsi="仿宋" w:eastAsia="仿宋" w:cs="仿宋"/>
          <w:sz w:val="24"/>
          <w:szCs w:val="24"/>
        </w:rPr>
        <w:sectPr>
          <w:footnotePr>
            <w:numFmt w:val="decimalEnclosedCircleChinese"/>
            <w:numRestart w:val="eachPage"/>
          </w:footnotePr>
          <w:pgSz w:w="11906" w:h="16838"/>
          <w:pgMar w:top="1134" w:right="1134" w:bottom="1134" w:left="1134" w:header="851" w:footer="851" w:gutter="0"/>
          <w:cols w:space="720" w:num="1"/>
          <w:docGrid w:linePitch="312" w:charSpace="0"/>
        </w:sectPr>
      </w:pPr>
    </w:p>
    <w:p w14:paraId="7B355423">
      <w:pPr>
        <w:pStyle w:val="4"/>
        <w:ind w:firstLine="0" w:firstLineChars="0"/>
        <w:rPr>
          <w:rFonts w:hint="eastAsia" w:ascii="仿宋_GB2312" w:hAnsi="仿宋_GB2312" w:eastAsia="仿宋_GB2312" w:cs="仿宋_GB2312"/>
          <w:b/>
          <w:color w:val="000000"/>
          <w:sz w:val="24"/>
        </w:rPr>
      </w:pPr>
      <w:r>
        <w:rPr>
          <w:rFonts w:hint="eastAsia" w:ascii="仿宋" w:hAnsi="仿宋" w:eastAsia="仿宋" w:cs="仿宋"/>
          <w:b/>
          <w:bCs/>
          <w:kern w:val="44"/>
          <w:sz w:val="24"/>
        </w:rPr>
        <w:t>（一）第7包：技术</w:t>
      </w:r>
      <w:r>
        <w:rPr>
          <w:rFonts w:hint="eastAsia" w:ascii="仿宋" w:hAnsi="仿宋" w:eastAsia="仿宋" w:cs="仿宋"/>
          <w:b/>
          <w:bCs/>
          <w:kern w:val="44"/>
          <w:sz w:val="24"/>
          <w:lang w:val="zh-CN"/>
        </w:rPr>
        <w:t>需求</w:t>
      </w:r>
      <w:r>
        <w:rPr>
          <w:rFonts w:hint="eastAsia" w:ascii="仿宋_GB2312" w:hAnsi="仿宋_GB2312" w:eastAsia="仿宋_GB2312" w:cs="仿宋_GB2312"/>
          <w:b/>
          <w:color w:val="000000"/>
          <w:sz w:val="24"/>
        </w:rPr>
        <w:t>重要性表述</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1902"/>
        <w:gridCol w:w="4693"/>
      </w:tblGrid>
      <w:tr w14:paraId="2B18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211" w:type="dxa"/>
            <w:noWrap w:val="0"/>
            <w:vAlign w:val="center"/>
          </w:tcPr>
          <w:p w14:paraId="25B3488F">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标识重要性</w:t>
            </w:r>
          </w:p>
        </w:tc>
        <w:tc>
          <w:tcPr>
            <w:tcW w:w="2180" w:type="dxa"/>
            <w:noWrap w:val="0"/>
            <w:vAlign w:val="center"/>
          </w:tcPr>
          <w:p w14:paraId="36F53EB2">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标识符号</w:t>
            </w:r>
          </w:p>
        </w:tc>
        <w:tc>
          <w:tcPr>
            <w:tcW w:w="5463" w:type="dxa"/>
            <w:noWrap w:val="0"/>
            <w:vAlign w:val="center"/>
          </w:tcPr>
          <w:p w14:paraId="2208DD76">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代表意思</w:t>
            </w:r>
          </w:p>
        </w:tc>
      </w:tr>
      <w:tr w14:paraId="7B27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6926F79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重点指标项</w:t>
            </w:r>
          </w:p>
        </w:tc>
        <w:tc>
          <w:tcPr>
            <w:tcW w:w="2180" w:type="dxa"/>
            <w:noWrap w:val="0"/>
            <w:vAlign w:val="center"/>
          </w:tcPr>
          <w:p w14:paraId="225B828F">
            <w:pPr>
              <w:widowControl/>
              <w:spacing w:line="360" w:lineRule="auto"/>
              <w:jc w:val="center"/>
              <w:rPr>
                <w:rFonts w:hint="eastAsia" w:ascii="宋体" w:hAnsi="宋体" w:cs="宋体"/>
              </w:rPr>
            </w:pPr>
            <w:r>
              <w:rPr>
                <w:rFonts w:hint="eastAsia" w:ascii="宋体" w:hAnsi="宋体" w:cs="宋体"/>
                <w:b/>
                <w:szCs w:val="21"/>
              </w:rPr>
              <w:t>■</w:t>
            </w:r>
          </w:p>
        </w:tc>
        <w:tc>
          <w:tcPr>
            <w:tcW w:w="5463" w:type="dxa"/>
            <w:noWrap w:val="0"/>
            <w:vAlign w:val="center"/>
          </w:tcPr>
          <w:p w14:paraId="7AC86FB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3F8D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78DE2E74">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一般指标项</w:t>
            </w:r>
          </w:p>
        </w:tc>
        <w:tc>
          <w:tcPr>
            <w:tcW w:w="2180" w:type="dxa"/>
            <w:noWrap w:val="0"/>
            <w:vAlign w:val="center"/>
          </w:tcPr>
          <w:p w14:paraId="4AA12D95">
            <w:pPr>
              <w:spacing w:line="360" w:lineRule="auto"/>
              <w:jc w:val="center"/>
              <w:rPr>
                <w:rFonts w:hint="eastAsia" w:ascii="仿宋" w:hAnsi="仿宋" w:eastAsia="仿宋" w:cs="仿宋"/>
                <w:sz w:val="24"/>
              </w:rPr>
            </w:pPr>
            <w:r>
              <w:rPr>
                <w:rFonts w:hint="eastAsia" w:ascii="仿宋" w:hAnsi="仿宋" w:eastAsia="仿宋" w:cs="仿宋"/>
                <w:sz w:val="24"/>
              </w:rPr>
              <w:t>无标识项</w:t>
            </w:r>
          </w:p>
        </w:tc>
        <w:tc>
          <w:tcPr>
            <w:tcW w:w="5463" w:type="dxa"/>
            <w:noWrap w:val="0"/>
            <w:vAlign w:val="center"/>
          </w:tcPr>
          <w:p w14:paraId="55BDBE5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2E6A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1E146A97">
            <w:pPr>
              <w:spacing w:line="360" w:lineRule="auto"/>
              <w:jc w:val="left"/>
              <w:rPr>
                <w:rFonts w:hint="eastAsia" w:ascii="仿宋" w:hAnsi="仿宋" w:eastAsia="仿宋" w:cs="仿宋"/>
                <w:color w:val="000000"/>
                <w:kern w:val="0"/>
                <w:sz w:val="24"/>
                <w:lang w:bidi="ar"/>
              </w:rPr>
            </w:pPr>
            <w:r>
              <w:rPr>
                <w:rFonts w:hint="eastAsia" w:ascii="仿宋" w:hAnsi="仿宋" w:eastAsia="仿宋" w:cs="仿宋"/>
                <w:b/>
                <w:bCs/>
                <w:color w:val="000000"/>
                <w:kern w:val="0"/>
                <w:sz w:val="24"/>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4E5BEA5F">
      <w:pPr>
        <w:spacing w:line="360" w:lineRule="auto"/>
        <w:rPr>
          <w:rFonts w:ascii="仿宋" w:hAnsi="仿宋" w:eastAsia="仿宋" w:cs="仿宋"/>
          <w:b/>
          <w:bCs/>
          <w:sz w:val="24"/>
        </w:rPr>
      </w:pPr>
      <w:r>
        <w:rPr>
          <w:rFonts w:hint="eastAsia" w:ascii="仿宋" w:hAnsi="仿宋" w:eastAsia="仿宋" w:cs="仿宋"/>
          <w:b/>
          <w:bCs/>
          <w:color w:val="000000"/>
          <w:kern w:val="0"/>
          <w:sz w:val="24"/>
          <w:lang w:bidi="ar"/>
        </w:rPr>
        <w:t>（二）技术要求</w:t>
      </w:r>
    </w:p>
    <w:tbl>
      <w:tblPr>
        <w:tblStyle w:val="10"/>
        <w:tblW w:w="9751" w:type="dxa"/>
        <w:tblInd w:w="91" w:type="dxa"/>
        <w:shd w:val="clear" w:color="auto" w:fill="FFFFFF" w:themeFill="background1"/>
        <w:tblLayout w:type="autofit"/>
        <w:tblCellMar>
          <w:top w:w="0" w:type="dxa"/>
          <w:left w:w="108" w:type="dxa"/>
          <w:bottom w:w="0" w:type="dxa"/>
          <w:right w:w="108" w:type="dxa"/>
        </w:tblCellMar>
      </w:tblPr>
      <w:tblGrid>
        <w:gridCol w:w="1151"/>
        <w:gridCol w:w="8600"/>
      </w:tblGrid>
      <w:tr w14:paraId="38712FDB">
        <w:tblPrEx>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DBC64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一</w:t>
            </w:r>
            <w:r>
              <w:rPr>
                <w:rFonts w:hint="eastAsia" w:ascii="仿宋" w:hAnsi="仿宋" w:eastAsia="仿宋" w:cs="仿宋"/>
                <w:color w:val="000000"/>
                <w:kern w:val="0"/>
                <w:sz w:val="24"/>
                <w:lang w:bidi="ar"/>
              </w:rPr>
              <w:t>、</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67261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设备用途说明：</w:t>
            </w:r>
          </w:p>
        </w:tc>
      </w:tr>
      <w:tr w14:paraId="65D8D8ED">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5252A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1</w:t>
            </w:r>
            <w:r>
              <w:rPr>
                <w:rFonts w:hint="eastAsia" w:ascii="仿宋" w:hAnsi="仿宋" w:eastAsia="仿宋" w:cs="仿宋"/>
                <w:color w:val="000000"/>
                <w:kern w:val="0"/>
                <w:sz w:val="24"/>
                <w:lang w:bidi="ar"/>
              </w:rPr>
              <w:t>.1</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73616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主要用于腹部、妇产科、心脏、儿科、新生儿、腔内、泌尿科、小器官、浅表脏器、外周血管及 ICU、麻醉科、疼痛科、泌尿外科、肾内科等临床科室。</w:t>
            </w:r>
          </w:p>
        </w:tc>
      </w:tr>
      <w:tr w14:paraId="0482C65B">
        <w:tblPrEx>
          <w:shd w:val="clear" w:color="auto" w:fill="FFFFFF" w:themeFill="background1"/>
          <w:tblCellMar>
            <w:top w:w="0" w:type="dxa"/>
            <w:left w:w="108" w:type="dxa"/>
            <w:bottom w:w="0" w:type="dxa"/>
            <w:right w:w="108" w:type="dxa"/>
          </w:tblCellMar>
        </w:tblPrEx>
        <w:trPr>
          <w:trHeight w:val="90"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DC3F6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二</w:t>
            </w:r>
            <w:r>
              <w:rPr>
                <w:rFonts w:hint="eastAsia" w:ascii="仿宋" w:hAnsi="仿宋" w:eastAsia="仿宋" w:cs="仿宋"/>
                <w:color w:val="000000"/>
                <w:kern w:val="0"/>
                <w:sz w:val="24"/>
                <w:lang w:bidi="ar"/>
              </w:rPr>
              <w:t>、</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C14E4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主要规格及系统概述：</w:t>
            </w:r>
          </w:p>
        </w:tc>
      </w:tr>
      <w:tr w14:paraId="7208FA40">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943AD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 xml:space="preserve">.1.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09A90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彩色多普勒超声波诊断系统包括</w:t>
            </w:r>
          </w:p>
        </w:tc>
      </w:tr>
      <w:tr w14:paraId="58DADDA1">
        <w:tblPrEx>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D7825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.1.1</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03444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高分辨率医用LCD显示器≥15英寸，显示器开合角度≥170°</w:t>
            </w:r>
          </w:p>
        </w:tc>
      </w:tr>
      <w:tr w14:paraId="5BBB5A07">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3A6C74">
            <w:pPr>
              <w:widowControl/>
              <w:spacing w:line="360" w:lineRule="auto"/>
              <w:jc w:val="center"/>
              <w:rPr>
                <w:rFonts w:hint="eastAsia" w:ascii="仿宋" w:hAnsi="仿宋" w:eastAsia="仿宋" w:cs="仿宋"/>
                <w:b/>
                <w:bCs/>
                <w:color w:val="000000"/>
                <w:kern w:val="0"/>
                <w:sz w:val="24"/>
                <w:lang w:eastAsia="zh-CN"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2</w:t>
            </w:r>
            <w:r>
              <w:rPr>
                <w:rFonts w:hint="eastAsia" w:ascii="仿宋" w:hAnsi="仿宋" w:eastAsia="仿宋" w:cs="仿宋"/>
                <w:b/>
                <w:bCs/>
                <w:color w:val="000000"/>
                <w:kern w:val="0"/>
                <w:sz w:val="24"/>
                <w:lang w:bidi="ar"/>
              </w:rPr>
              <w:t>.1.</w:t>
            </w:r>
            <w:r>
              <w:rPr>
                <w:rFonts w:hint="eastAsia" w:ascii="仿宋" w:hAnsi="仿宋" w:eastAsia="仿宋" w:cs="仿宋"/>
                <w:b/>
                <w:bCs/>
                <w:color w:val="000000"/>
                <w:kern w:val="0"/>
                <w:sz w:val="24"/>
                <w:lang w:val="en-US" w:eastAsia="zh-CN" w:bidi="ar"/>
              </w:rPr>
              <w:t>2</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668364">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主机内置探头接口（无针式）≥1个，可扩展（无针式）至3个</w:t>
            </w:r>
          </w:p>
        </w:tc>
      </w:tr>
      <w:tr w14:paraId="5679792E">
        <w:tblPrEx>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A48E54">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3</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68817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数字化高分辨率二维灰阶成像单元</w:t>
            </w:r>
          </w:p>
        </w:tc>
      </w:tr>
      <w:tr w14:paraId="31C43A25">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FC9F4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4</w:t>
            </w:r>
            <w:r>
              <w:rPr>
                <w:rFonts w:hint="eastAsia" w:ascii="仿宋" w:hAnsi="仿宋" w:eastAsia="仿宋" w:cs="仿宋"/>
                <w:color w:val="000000"/>
                <w:kern w:val="0"/>
                <w:sz w:val="24"/>
                <w:lang w:bidi="ar"/>
              </w:rPr>
              <w:t xml:space="preserve">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5A153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M型及彩色M型成像单元</w:t>
            </w:r>
          </w:p>
        </w:tc>
      </w:tr>
      <w:tr w14:paraId="705DA2CE">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DD7616">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5</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6656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彩色多普勒血流成像单元</w:t>
            </w:r>
          </w:p>
        </w:tc>
      </w:tr>
      <w:tr w14:paraId="726CF6BA">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F4B3F6">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6</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1E6D7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彩色多普勒能量图及方向性能量图</w:t>
            </w:r>
          </w:p>
        </w:tc>
      </w:tr>
      <w:tr w14:paraId="267E7D04">
        <w:tblPrEx>
          <w:tblCellMar>
            <w:top w:w="0" w:type="dxa"/>
            <w:left w:w="108" w:type="dxa"/>
            <w:bottom w:w="0" w:type="dxa"/>
            <w:right w:w="108" w:type="dxa"/>
          </w:tblCellMar>
        </w:tblPrEx>
        <w:trPr>
          <w:trHeight w:val="491"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A65C9C">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7</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6A168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频谱多普勒成像单元（含脉冲多普勒模式和连续多普勒模式）</w:t>
            </w:r>
          </w:p>
        </w:tc>
      </w:tr>
      <w:tr w14:paraId="10CE9C4A">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C3B0CA">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8</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F4673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空间复合成像技术</w:t>
            </w:r>
          </w:p>
        </w:tc>
      </w:tr>
      <w:tr w14:paraId="6623381A">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811510">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9</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38F4F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斑点噪声降低抑制技术</w:t>
            </w:r>
          </w:p>
        </w:tc>
      </w:tr>
      <w:tr w14:paraId="1AE73289">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7835D2">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.1.1</w:t>
            </w:r>
            <w:r>
              <w:rPr>
                <w:rFonts w:hint="eastAsia" w:ascii="仿宋" w:hAnsi="仿宋" w:eastAsia="仿宋" w:cs="仿宋"/>
                <w:color w:val="000000"/>
                <w:kern w:val="0"/>
                <w:sz w:val="24"/>
                <w:lang w:val="en-US" w:eastAsia="zh-CN" w:bidi="ar"/>
              </w:rPr>
              <w:t>0</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46800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一键图像优化技术</w:t>
            </w:r>
          </w:p>
        </w:tc>
      </w:tr>
      <w:tr w14:paraId="225B9959">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47F521">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.1.1</w:t>
            </w:r>
            <w:r>
              <w:rPr>
                <w:rFonts w:hint="eastAsia" w:ascii="仿宋" w:hAnsi="仿宋" w:eastAsia="仿宋" w:cs="仿宋"/>
                <w:color w:val="000000"/>
                <w:kern w:val="0"/>
                <w:sz w:val="24"/>
                <w:lang w:val="en-US" w:eastAsia="zh-CN" w:bidi="ar"/>
              </w:rPr>
              <w:t>1</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C5523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穿刺增强技术</w:t>
            </w:r>
          </w:p>
        </w:tc>
      </w:tr>
      <w:tr w14:paraId="2716BC39">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C25BE6">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.1.1</w:t>
            </w:r>
            <w:r>
              <w:rPr>
                <w:rFonts w:hint="eastAsia" w:ascii="仿宋" w:hAnsi="仿宋" w:eastAsia="仿宋" w:cs="仿宋"/>
                <w:color w:val="000000"/>
                <w:kern w:val="0"/>
                <w:sz w:val="24"/>
                <w:lang w:val="en-US" w:eastAsia="zh-CN" w:bidi="ar"/>
              </w:rPr>
              <w:t>2</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86FA2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具备梯形成像技术</w:t>
            </w:r>
          </w:p>
        </w:tc>
      </w:tr>
      <w:tr w14:paraId="57A2B332">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CC171F">
            <w:pPr>
              <w:widowControl/>
              <w:spacing w:line="360" w:lineRule="auto"/>
              <w:jc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13</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AB8449">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组织特异性成像</w:t>
            </w:r>
          </w:p>
        </w:tc>
      </w:tr>
      <w:tr w14:paraId="189F49F1">
        <w:tblPrEx>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8CFDA9">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.1.1</w:t>
            </w:r>
            <w:r>
              <w:rPr>
                <w:rFonts w:hint="eastAsia" w:ascii="仿宋" w:hAnsi="仿宋" w:eastAsia="仿宋" w:cs="仿宋"/>
                <w:color w:val="000000"/>
                <w:kern w:val="0"/>
                <w:sz w:val="24"/>
                <w:lang w:val="en-US" w:eastAsia="zh-CN" w:bidi="ar"/>
              </w:rPr>
              <w:t>4</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F69345">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支持图像放大，可放大至全屏</w:t>
            </w:r>
          </w:p>
        </w:tc>
      </w:tr>
      <w:tr w14:paraId="53087853">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9A29B0">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.1.1</w:t>
            </w:r>
            <w:r>
              <w:rPr>
                <w:rFonts w:hint="eastAsia" w:ascii="仿宋" w:hAnsi="仿宋" w:eastAsia="仿宋" w:cs="仿宋"/>
                <w:color w:val="000000"/>
                <w:kern w:val="0"/>
                <w:sz w:val="24"/>
                <w:lang w:val="en-US" w:eastAsia="zh-CN" w:bidi="ar"/>
              </w:rPr>
              <w:t>5</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40710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支持中文操作界面（系统）</w:t>
            </w:r>
          </w:p>
        </w:tc>
      </w:tr>
      <w:tr w14:paraId="43DADA3D">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16E6FE">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.1.1</w:t>
            </w:r>
            <w:r>
              <w:rPr>
                <w:rFonts w:hint="eastAsia" w:ascii="仿宋" w:hAnsi="仿宋" w:eastAsia="仿宋" w:cs="仿宋"/>
                <w:color w:val="000000"/>
                <w:kern w:val="0"/>
                <w:sz w:val="24"/>
                <w:lang w:val="en-US" w:eastAsia="zh-CN" w:bidi="ar"/>
              </w:rPr>
              <w:t>6</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4F0AF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具备教学助手功能，可提供扫查手法视图、扫查方法描述、标准超声示意图、解剖示意图、穿刺引导示意图、穿刺引导技巧、提示语</w:t>
            </w:r>
          </w:p>
        </w:tc>
      </w:tr>
      <w:tr w14:paraId="05660ECE">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D96ED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 xml:space="preserve">.2.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D2445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测量和分析：(B型、M型、频谱多普勒、彩色多普勒)</w:t>
            </w:r>
          </w:p>
        </w:tc>
      </w:tr>
      <w:tr w14:paraId="097E6759">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56F9B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.2.1</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054C4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 基础测量软件包（具有深度，角度，周长，面积和体积测量）</w:t>
            </w:r>
          </w:p>
        </w:tc>
      </w:tr>
      <w:tr w14:paraId="2B683C39">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34CD7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 xml:space="preserve">.2.2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050FC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腹部测量软件包</w:t>
            </w:r>
          </w:p>
        </w:tc>
      </w:tr>
      <w:tr w14:paraId="34A2231B">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56BDB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.2.3</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B2156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 妇科测量软件包</w:t>
            </w:r>
          </w:p>
        </w:tc>
      </w:tr>
      <w:tr w14:paraId="3FACDA12">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867439">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 xml:space="preserve">.2.4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D899A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产科测量软件包</w:t>
            </w:r>
          </w:p>
        </w:tc>
      </w:tr>
      <w:tr w14:paraId="0238EEED">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2BBD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.2.5</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D2907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小器官测量软件包</w:t>
            </w:r>
          </w:p>
        </w:tc>
      </w:tr>
      <w:tr w14:paraId="32A0989F">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E099A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.2.6</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D6C0B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泌尿测量软件包</w:t>
            </w:r>
          </w:p>
        </w:tc>
      </w:tr>
      <w:tr w14:paraId="5E0DC4CD">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50D79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.2.7</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B8A4F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血管测量软件包</w:t>
            </w:r>
          </w:p>
        </w:tc>
      </w:tr>
      <w:tr w14:paraId="4B241BB9">
        <w:tblPrEx>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8721C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.2.8</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CC399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心脏测量软件包</w:t>
            </w:r>
          </w:p>
        </w:tc>
      </w:tr>
      <w:tr w14:paraId="32079329">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1F081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2</w:t>
            </w:r>
            <w:r>
              <w:rPr>
                <w:rFonts w:hint="eastAsia" w:ascii="仿宋" w:hAnsi="仿宋" w:eastAsia="仿宋" w:cs="仿宋"/>
                <w:color w:val="000000"/>
                <w:kern w:val="0"/>
                <w:sz w:val="24"/>
                <w:lang w:bidi="ar"/>
              </w:rPr>
              <w:t>.2.9</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849C2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儿科测量软件包</w:t>
            </w:r>
          </w:p>
        </w:tc>
      </w:tr>
      <w:tr w14:paraId="3BDF70F8">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DB128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三</w:t>
            </w:r>
            <w:r>
              <w:rPr>
                <w:rFonts w:hint="eastAsia" w:ascii="仿宋" w:hAnsi="仿宋" w:eastAsia="仿宋" w:cs="仿宋"/>
                <w:color w:val="000000"/>
                <w:kern w:val="0"/>
                <w:sz w:val="24"/>
                <w:lang w:bidi="ar"/>
              </w:rPr>
              <w:t>、</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D77EE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技术参数及要求</w:t>
            </w:r>
          </w:p>
        </w:tc>
      </w:tr>
      <w:tr w14:paraId="2BE33979">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AD576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 xml:space="preserve">.1.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3ABFA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系统通用功能</w:t>
            </w:r>
          </w:p>
        </w:tc>
      </w:tr>
      <w:tr w14:paraId="618355B6">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437B8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 xml:space="preserve">.1.1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FF8871">
            <w:pPr>
              <w:pStyle w:val="8"/>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固态硬盘</w:t>
            </w:r>
            <w:r>
              <w:rPr>
                <w:rFonts w:hint="eastAsia"/>
                <w:lang w:val="en-US" w:eastAsia="zh-CN"/>
              </w:rPr>
              <w:t>≥</w:t>
            </w:r>
            <w:r>
              <w:rPr>
                <w:rFonts w:hint="eastAsia" w:ascii="仿宋" w:hAnsi="仿宋" w:eastAsia="仿宋" w:cs="仿宋"/>
                <w:color w:val="000000"/>
                <w:kern w:val="0"/>
                <w:sz w:val="24"/>
                <w:lang w:bidi="ar"/>
              </w:rPr>
              <w:t>120G</w:t>
            </w:r>
          </w:p>
        </w:tc>
      </w:tr>
      <w:tr w14:paraId="10B011F6">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980A45">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2</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EA6AD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主机内置USB3.0接口</w:t>
            </w:r>
          </w:p>
        </w:tc>
      </w:tr>
      <w:tr w14:paraId="5E366E21">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21B8E9">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3</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5C654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可支持无线网络连接</w:t>
            </w:r>
          </w:p>
        </w:tc>
      </w:tr>
      <w:tr w14:paraId="0050A75B">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831B68">
            <w:pPr>
              <w:widowControl/>
              <w:spacing w:line="360" w:lineRule="auto"/>
              <w:jc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.1.</w:t>
            </w:r>
            <w:r>
              <w:rPr>
                <w:rFonts w:hint="eastAsia" w:ascii="仿宋" w:hAnsi="仿宋" w:eastAsia="仿宋" w:cs="仿宋"/>
                <w:color w:val="000000"/>
                <w:kern w:val="0"/>
                <w:sz w:val="24"/>
                <w:lang w:val="en-US" w:eastAsia="zh-CN" w:bidi="ar"/>
              </w:rPr>
              <w:t>4</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CB421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内置锂电池，可扩充至两块电池容量</w:t>
            </w:r>
          </w:p>
        </w:tc>
      </w:tr>
      <w:tr w14:paraId="64118BA4">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FD6BD9">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.2.</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3126A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 xml:space="preserve"> 探头规格</w:t>
            </w:r>
          </w:p>
        </w:tc>
      </w:tr>
      <w:tr w14:paraId="31716EAD">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B87CA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.2.1</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C2F63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性能：超宽频带变频探头，3档基波可调，2档谐波可调</w:t>
            </w:r>
          </w:p>
        </w:tc>
      </w:tr>
      <w:tr w14:paraId="7289398F">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72AB7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.2.2</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06C9CB">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腹部凸阵探头，探头频率：2-5MHz</w:t>
            </w:r>
          </w:p>
        </w:tc>
      </w:tr>
      <w:tr w14:paraId="77E983A3">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3E7EB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.2.3</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F977E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浅表探头：探头频率：5-12MHz</w:t>
            </w:r>
          </w:p>
        </w:tc>
      </w:tr>
      <w:tr w14:paraId="32E4CF6F">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62B48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.2.4</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E930D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可实时显示穿刺进针深度</w:t>
            </w:r>
          </w:p>
        </w:tc>
      </w:tr>
      <w:tr w14:paraId="2E65729C">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E91F2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 xml:space="preserve">.3.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C4C0F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二维灰阶显像主要参数</w:t>
            </w:r>
          </w:p>
        </w:tc>
      </w:tr>
      <w:tr w14:paraId="5ED76B8D">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47A41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.3.1</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0F8DF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数字化波束形成器：全程动态聚焦</w:t>
            </w:r>
          </w:p>
        </w:tc>
      </w:tr>
      <w:tr w14:paraId="1C17D48F">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35EE55">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.3.2</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718CD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预设条件：针对不同的检查脏器，具备最佳化图像的出场设置检查条件，减少操作时的调节，及常用所需的外部调节及组合调节</w:t>
            </w:r>
          </w:p>
        </w:tc>
      </w:tr>
      <w:tr w14:paraId="27BDE014">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E7C93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.3.3</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7F160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支持TGC调节，TGC≥8段</w:t>
            </w:r>
          </w:p>
        </w:tc>
      </w:tr>
      <w:tr w14:paraId="02A1BB15">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CFB9B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.3.4</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2F2F2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支持LGC调节，LGC≥4段</w:t>
            </w:r>
          </w:p>
        </w:tc>
      </w:tr>
      <w:tr w14:paraId="2EA66824">
        <w:tblPrEx>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E2D91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.3.5</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D29B0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后处理，包括：增益、TGC、LGC、放大、动态范围、斑点噪声抑制SRI、伪彩、灰阶图谱、上下翻转、左右翻转</w:t>
            </w:r>
          </w:p>
        </w:tc>
      </w:tr>
      <w:tr w14:paraId="0867E5DE">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4C39A1">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3</w:t>
            </w:r>
            <w:r>
              <w:rPr>
                <w:rFonts w:hint="eastAsia" w:ascii="仿宋" w:hAnsi="仿宋" w:eastAsia="仿宋" w:cs="仿宋"/>
                <w:b/>
                <w:bCs/>
                <w:color w:val="000000"/>
                <w:kern w:val="0"/>
                <w:sz w:val="24"/>
                <w:lang w:bidi="ar"/>
              </w:rPr>
              <w:t xml:space="preserve">.3.6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3F2865">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显示深度≥40cm</w:t>
            </w:r>
          </w:p>
        </w:tc>
      </w:tr>
      <w:tr w14:paraId="7542EBA3">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AAFCC5">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 xml:space="preserve">.4.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F5836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频谱多普勒：</w:t>
            </w:r>
          </w:p>
        </w:tc>
      </w:tr>
      <w:tr w14:paraId="08F6A238">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6E716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.4.1</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76EB31">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成像模式：脉冲多普勒PW、连续多普勒CW</w:t>
            </w:r>
          </w:p>
        </w:tc>
      </w:tr>
      <w:tr w14:paraId="41B14695">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2D03D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.4.2</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E4ADD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实时动态频谱多普勒显示及多参数分析系统，实现频率自动描记</w:t>
            </w:r>
          </w:p>
        </w:tc>
      </w:tr>
      <w:tr w14:paraId="231B462D">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06EC0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.4.3</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70B789">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后处理：包括增益、动态范围、伪彩、灰阶图谱、基线、角度校正、翻转、自动包络</w:t>
            </w:r>
          </w:p>
        </w:tc>
      </w:tr>
      <w:tr w14:paraId="6E9B9854">
        <w:tblPrEx>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D6289B">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val="en-US" w:eastAsia="zh-CN" w:bidi="ar"/>
              </w:rPr>
              <w:t>3</w:t>
            </w:r>
            <w:r>
              <w:rPr>
                <w:rFonts w:hint="eastAsia" w:ascii="仿宋" w:hAnsi="仿宋" w:eastAsia="仿宋" w:cs="仿宋"/>
                <w:b/>
                <w:bCs/>
                <w:color w:val="000000"/>
                <w:kern w:val="0"/>
                <w:sz w:val="24"/>
                <w:lang w:bidi="ar"/>
              </w:rPr>
              <w:t>.4.4</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C6506A">
            <w:pPr>
              <w:widowControl/>
              <w:spacing w:line="360" w:lineRule="auto"/>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取样宽度及位置范围：宽度0.5 –3 cm</w:t>
            </w:r>
          </w:p>
        </w:tc>
      </w:tr>
      <w:tr w14:paraId="0B3ACA8B">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94A0BCC">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.4.5</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33ADEA">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最大测量速度：PW：≥8m/s；CW：≥38m/s；最小测量速度：≤1mm/s</w:t>
            </w:r>
          </w:p>
        </w:tc>
      </w:tr>
      <w:tr w14:paraId="0CBA7A61">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C50083">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 xml:space="preserve">.5.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9986A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彩色多普勒</w:t>
            </w:r>
          </w:p>
        </w:tc>
      </w:tr>
      <w:tr w14:paraId="1368ECE3">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D694C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.5.1</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C52DA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彩色增强功能：能量图PDI、方向性能量图 DPDI</w:t>
            </w:r>
          </w:p>
        </w:tc>
      </w:tr>
      <w:tr w14:paraId="488B53FF">
        <w:tblPrEx>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B2F7D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.5.2</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A6C9E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B/C双实时模式</w:t>
            </w:r>
          </w:p>
        </w:tc>
      </w:tr>
      <w:tr w14:paraId="31158FC3">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63CE8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.5.3</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E957A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支持三同步功能</w:t>
            </w:r>
          </w:p>
        </w:tc>
      </w:tr>
      <w:tr w14:paraId="3467E10E">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4225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.5.4</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717881">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增益0-90dB，步进1dB</w:t>
            </w:r>
          </w:p>
        </w:tc>
      </w:tr>
      <w:tr w14:paraId="6909517A">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C9E856">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.5.5</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10683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线阵探头彩色取样框偏转≥±20°</w:t>
            </w:r>
          </w:p>
        </w:tc>
      </w:tr>
      <w:tr w14:paraId="53B6EE9B">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2B0B97">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.5.6</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CEE7D8">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平滑≥3档，可视可调</w:t>
            </w:r>
          </w:p>
        </w:tc>
      </w:tr>
      <w:tr w14:paraId="43C417E5">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581302">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 xml:space="preserve">.6.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5F72B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浏览和后处理功能</w:t>
            </w:r>
          </w:p>
        </w:tc>
      </w:tr>
      <w:tr w14:paraId="51707D5A">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B7E5D9">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 xml:space="preserve">.6.1 </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AA6D8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支持多档速度自动播放</w:t>
            </w:r>
          </w:p>
        </w:tc>
      </w:tr>
      <w:tr w14:paraId="7B0D2335">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BEAB44">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.6.2</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89C4D0">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自定义回放范围（选择回放的起始帧和结束帧）</w:t>
            </w:r>
          </w:p>
        </w:tc>
      </w:tr>
      <w:tr w14:paraId="6F9E8089">
        <w:tblPrEx>
          <w:shd w:val="clear" w:color="auto" w:fill="FFFFFF" w:themeFill="background1"/>
          <w:tblCellMar>
            <w:top w:w="0" w:type="dxa"/>
            <w:left w:w="108" w:type="dxa"/>
            <w:bottom w:w="0" w:type="dxa"/>
            <w:right w:w="108" w:type="dxa"/>
          </w:tblCellMar>
        </w:tblPrEx>
        <w:trPr>
          <w:trHeight w:val="283" w:hRule="atLeast"/>
        </w:trPr>
        <w:tc>
          <w:tcPr>
            <w:tcW w:w="115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D4921E">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3</w:t>
            </w:r>
            <w:r>
              <w:rPr>
                <w:rFonts w:hint="eastAsia" w:ascii="仿宋" w:hAnsi="仿宋" w:eastAsia="仿宋" w:cs="仿宋"/>
                <w:color w:val="000000"/>
                <w:kern w:val="0"/>
                <w:sz w:val="24"/>
                <w:lang w:bidi="ar"/>
              </w:rPr>
              <w:t>.6.3</w:t>
            </w:r>
          </w:p>
        </w:tc>
        <w:tc>
          <w:tcPr>
            <w:tcW w:w="860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CE3CDF">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所有图像和电影以原始数据格式存储在本地磁盘，浏览状态下，支持以下后处理功能：调节图像参数、测量、注释、体标、存储静态图片/电影片段</w:t>
            </w:r>
          </w:p>
        </w:tc>
      </w:tr>
    </w:tbl>
    <w:p w14:paraId="0FC03C91">
      <w:pPr>
        <w:widowControl/>
        <w:spacing w:line="360" w:lineRule="auto"/>
        <w:jc w:val="left"/>
        <w:rPr>
          <w:rFonts w:hint="eastAsia" w:ascii="仿宋" w:hAnsi="仿宋" w:eastAsia="仿宋" w:cs="仿宋"/>
          <w:b/>
          <w:bCs/>
          <w:i w:val="0"/>
          <w:iCs w:val="0"/>
          <w:caps w:val="0"/>
          <w:color w:val="auto"/>
          <w:spacing w:val="0"/>
          <w:sz w:val="24"/>
          <w:szCs w:val="24"/>
          <w:lang w:val="en-US" w:eastAsia="zh-CN" w:bidi="ar"/>
        </w:rPr>
      </w:pPr>
    </w:p>
    <w:p w14:paraId="1C1A915C">
      <w:pPr>
        <w:pStyle w:val="4"/>
        <w:numPr>
          <w:ilvl w:val="0"/>
          <w:numId w:val="1"/>
        </w:numPr>
        <w:spacing w:line="360" w:lineRule="auto"/>
        <w:ind w:firstLine="0" w:firstLineChars="0"/>
        <w:rPr>
          <w:rFonts w:hint="eastAsia" w:ascii="仿宋" w:hAnsi="仿宋" w:eastAsia="仿宋" w:cs="仿宋"/>
          <w:b/>
          <w:color w:val="000000"/>
          <w:sz w:val="24"/>
        </w:rPr>
      </w:pPr>
      <w:r>
        <w:rPr>
          <w:rFonts w:hint="eastAsia" w:ascii="仿宋" w:hAnsi="仿宋" w:eastAsia="仿宋" w:cs="仿宋"/>
          <w:b/>
          <w:color w:val="000000"/>
          <w:sz w:val="24"/>
        </w:rPr>
        <w:t>其他配套要求：</w:t>
      </w:r>
    </w:p>
    <w:p w14:paraId="084E4890">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（一）应急服务要求</w:t>
      </w:r>
    </w:p>
    <w:p w14:paraId="70A4101C">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1.备品备件：中标人提供能够满足质量保证期内的设备维修要求的备品备件，备品备件应是新品。中标人应保证10年以上零部件供应期，并对设备故障等突发状况及时响应。</w:t>
      </w:r>
    </w:p>
    <w:p w14:paraId="2489ADC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2.专用工具：中标人提供设备安装、调试、验收、维修、保养所必要的专用工具、仪器、仪表等工具。</w:t>
      </w:r>
    </w:p>
    <w:p w14:paraId="05B4087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 接到报修后应及时响应，若未及时修复设备故障，应提供备用设备供院方使用。</w:t>
      </w:r>
    </w:p>
    <w:p w14:paraId="7B3D8FE9">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（二）安装调试、验收试验及质量保证</w:t>
      </w:r>
    </w:p>
    <w:p w14:paraId="3DAC9AA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1.中标人在设备安装地点负责安装、调试。</w:t>
      </w:r>
    </w:p>
    <w:p w14:paraId="158674C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2.具体设备验收标准和程序按采购人要求执行，下列验收程序可参照执行：</w:t>
      </w:r>
    </w:p>
    <w:p w14:paraId="1082648B">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32F0CF1E">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4D232CE3">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2.3中标人应根据采购人使用单位的技术要求提供相应的产品。由中标人所提供的设备部件间的连线和插接件均应视为设备内部器件，包含在相应的设备之中；</w:t>
      </w:r>
    </w:p>
    <w:p w14:paraId="3A79985E">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1B367C86">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593654DB">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5745143D">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（三）包装运输</w:t>
      </w:r>
    </w:p>
    <w:p w14:paraId="564D79B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1.中标人负责设备包装、办理运输和保险，将设备安全运抵交货地点。</w:t>
      </w:r>
    </w:p>
    <w:p w14:paraId="1F1E0D0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2.设备制造完成并通过试验后应及时包装，否则应得到切实的保护，确保其不受污损。</w:t>
      </w:r>
    </w:p>
    <w:p w14:paraId="1FFA6FD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3.在包装箱外应标明采购人的订货号、发货号。</w:t>
      </w:r>
    </w:p>
    <w:p w14:paraId="00EF4D2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4.各种包装应能确保各零部件在运输过程中不致遭到损坏、丢失、变形、受潮和腐蚀。</w:t>
      </w:r>
    </w:p>
    <w:p w14:paraId="372BA94D">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5.包装箱上应有明显的包装储运图示标志。</w:t>
      </w:r>
    </w:p>
    <w:p w14:paraId="579DDB7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6.整体产品或分别运输的部件都要适应运输和装载的要求。</w:t>
      </w:r>
    </w:p>
    <w:p w14:paraId="2F3DCD7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7.随产品提供的技术资料应完整无缺。</w:t>
      </w:r>
    </w:p>
    <w:p w14:paraId="33C63EBF">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（四）培训要求</w:t>
      </w:r>
    </w:p>
    <w:p w14:paraId="376C2575">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技术人员厂方培训：维修维护不少于1人，设备培训时间不低于3天，有详细的技术培训方案和完整规范的培训资料，培训结束获得厂方授权或资质许可，交通、食宿、资料、工具材料等所有与培训相关的费用包含在投标报价中。设备使用培训：不少于2-4人，直至完全掌握设备应用技术，并获厂方资质许可；交通、食宿、资料、工具材料等所有与培训相关的费用包含在投标报价中。</w:t>
      </w:r>
    </w:p>
    <w:p w14:paraId="0D455E3C">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（五）质保及售后服务</w:t>
      </w:r>
    </w:p>
    <w:p w14:paraId="3BB909D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1.自双方签订《验收报告》起进入免费质保期。</w:t>
      </w:r>
    </w:p>
    <w:p w14:paraId="3554031F">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734AC295">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（六）其他</w:t>
      </w:r>
    </w:p>
    <w:p w14:paraId="3F9BB644">
      <w:pPr>
        <w:rPr>
          <w:rFonts w:hint="default" w:eastAsiaTheme="minorEastAsia"/>
          <w:lang w:val="en-US" w:eastAsia="zh-CN"/>
        </w:rPr>
      </w:pPr>
      <w:r>
        <w:rPr>
          <w:rFonts w:hint="eastAsia" w:ascii="仿宋" w:hAnsi="仿宋" w:eastAsia="仿宋" w:cs="仿宋"/>
          <w:color w:val="000000"/>
          <w:kern w:val="0"/>
          <w:sz w:val="24"/>
          <w:lang w:bidi="ar"/>
        </w:rPr>
        <w:t>1.投标人所投产品应为性能稳定、安全的成熟设备，故障率低、维修便利，并在投标文件中针对所投产品技术先进性、设备性能、配置情况、设计等方面进行阐述说明，提供相应证明材料。</w:t>
      </w:r>
      <w:r>
        <w:rPr>
          <w:rFonts w:hint="eastAsia" w:ascii="宋体" w:hAnsi="宋体"/>
          <w:color w:val="000000"/>
        </w:rPr>
        <w:br w:type="page"/>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1AB2AC"/>
    <w:multiLevelType w:val="singleLevel"/>
    <w:tmpl w:val="FE1AB2AC"/>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D6D30"/>
    <w:rsid w:val="05587D01"/>
    <w:rsid w:val="20C0110B"/>
    <w:rsid w:val="2C251F93"/>
    <w:rsid w:val="62E94978"/>
    <w:rsid w:val="73233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5"/>
    <w:uiPriority w:val="0"/>
    <w:pPr>
      <w:ind w:firstLine="420" w:firstLineChars="200"/>
    </w:pPr>
  </w:style>
  <w:style w:type="paragraph" w:styleId="5">
    <w:name w:val="Body Text First Indent 2"/>
    <w:basedOn w:val="6"/>
    <w:qFormat/>
    <w:uiPriority w:val="99"/>
    <w:pPr>
      <w:spacing w:after="0"/>
      <w:ind w:left="0" w:leftChars="0" w:firstLine="420"/>
    </w:pPr>
    <w:rPr>
      <w:rFonts w:ascii="楷体_GB2312" w:eastAsia="楷体_GB2312"/>
      <w:sz w:val="32"/>
    </w:rPr>
  </w:style>
  <w:style w:type="paragraph" w:styleId="6">
    <w:name w:val="Body Text Indent"/>
    <w:basedOn w:val="1"/>
    <w:next w:val="7"/>
    <w:qFormat/>
    <w:uiPriority w:val="99"/>
    <w:pPr>
      <w:spacing w:after="120" w:afterLines="0"/>
      <w:ind w:left="420" w:leftChars="200"/>
    </w:pPr>
  </w:style>
  <w:style w:type="paragraph" w:styleId="7">
    <w:name w:val="envelope return"/>
    <w:basedOn w:val="1"/>
    <w:qFormat/>
    <w:uiPriority w:val="99"/>
    <w:pPr>
      <w:snapToGrid w:val="0"/>
    </w:pPr>
    <w:rPr>
      <w:rFonts w:ascii="Arial" w:hAnsi="Arial"/>
    </w:rPr>
  </w:style>
  <w:style w:type="paragraph" w:styleId="8">
    <w:name w:val="annotation text"/>
    <w:basedOn w:val="1"/>
    <w:uiPriority w:val="0"/>
    <w:pPr>
      <w:jc w:val="left"/>
    </w:pPr>
  </w:style>
  <w:style w:type="paragraph" w:styleId="9">
    <w:name w:val="Normal (Web)"/>
    <w:basedOn w:val="1"/>
    <w:uiPriority w:val="0"/>
    <w:pPr>
      <w:widowControl/>
      <w:spacing w:before="100" w:beforeLines="0" w:beforeAutospacing="1" w:after="100" w:afterLines="0" w:afterAutospacing="1"/>
      <w:jc w:val="left"/>
    </w:pPr>
    <w:rPr>
      <w:rFonts w:ascii="宋体" w:hAnsi="宋体"/>
      <w:color w:val="000000"/>
      <w:kern w:val="0"/>
      <w:sz w:val="24"/>
    </w:rPr>
  </w:style>
  <w:style w:type="character" w:customStyle="1" w:styleId="12">
    <w:name w:val="标题 2 Char Char"/>
    <w:qFormat/>
    <w:uiPriority w:val="0"/>
    <w:rPr>
      <w:rFonts w:ascii="Arial" w:hAnsi="Arial" w:eastAsia="黑体" w:cs="Times New Roman"/>
      <w:b/>
      <w:bCs/>
      <w:kern w:val="2"/>
      <w:sz w:val="32"/>
      <w:szCs w:val="32"/>
      <w:lang w:val="en-US" w:eastAsia="zh-CN" w:bidi="ar-SA"/>
    </w:rPr>
  </w:style>
  <w:style w:type="paragraph" w:customStyle="1" w:styleId="13">
    <w:name w:val="列出段落1"/>
    <w:basedOn w:val="1"/>
    <w:qFormat/>
    <w:uiPriority w:val="0"/>
    <w:pPr>
      <w:ind w:firstLine="420" w:firstLineChars="200"/>
    </w:pPr>
  </w:style>
  <w:style w:type="paragraph" w:customStyle="1" w:styleId="1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4494</Words>
  <Characters>4625</Characters>
  <Lines>0</Lines>
  <Paragraphs>0</Paragraphs>
  <TotalTime>0</TotalTime>
  <ScaleCrop>false</ScaleCrop>
  <LinksUpToDate>false</LinksUpToDate>
  <CharactersWithSpaces>4685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2026-08-31T09:44:00Z</dcterms:created>
  <dc:creator>admin</dc:creator>
  <cp:lastModifiedBy>豆奶是个小胖子</cp:lastModifiedBy>
  <dcterms:modified xsi:type="dcterms:W3CDTF">2026-09-01T03:27:08Z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eyJoZGlkIjoiNmExMjc1NzQ3NWFiZTgzMjNiYTYxNmEzOTMwZTVjYjAiLCJ1c2VySWQiOiIzMDI3OTc1ODcifQ==</vt:lpwstr>
  </property>
  <property fmtid="{D5CDD505-2E9C-101B-9397-08002B2CF9AE}" pid="4" name="ICV">
    <vt:lpwstr>7BEBEF604DB34D05B6687F3D6AD5D038_12</vt:lpwstr>
  </property>
</Properties>
</file>