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25B2C">
      <w:pPr>
        <w:pStyle w:val="2"/>
        <w:widowControl/>
        <w:snapToGrid w:val="0"/>
        <w:spacing w:before="0" w:after="0" w:line="360" w:lineRule="auto"/>
        <w:jc w:val="center"/>
        <w:rPr>
          <w:rFonts w:hint="eastAsia" w:ascii="宋体" w:hAnsi="宋体" w:eastAsia="仿宋"/>
          <w:color w:val="auto"/>
          <w:highlight w:val="none"/>
        </w:rPr>
      </w:pPr>
      <w:bookmarkStart w:id="0" w:name="_Toc445554746"/>
      <w:bookmarkStart w:id="1" w:name="_Toc24366"/>
      <w:bookmarkStart w:id="2" w:name="_Toc466024555"/>
      <w:r>
        <w:rPr>
          <w:rFonts w:hint="eastAsia" w:ascii="宋体" w:hAnsi="宋体" w:eastAsia="仿宋"/>
          <w:color w:val="auto"/>
          <w:highlight w:val="none"/>
        </w:rPr>
        <w:t>采购需求</w:t>
      </w:r>
      <w:bookmarkEnd w:id="0"/>
      <w:bookmarkEnd w:id="1"/>
      <w:bookmarkEnd w:id="2"/>
      <w:bookmarkStart w:id="32" w:name="_GoBack"/>
      <w:bookmarkEnd w:id="32"/>
    </w:p>
    <w:p w14:paraId="63A1604C">
      <w:pPr>
        <w:pStyle w:val="3"/>
        <w:rPr>
          <w:rStyle w:val="7"/>
          <w:rFonts w:ascii="宋体" w:hAnsi="宋体" w:eastAsia="仿宋"/>
          <w:b/>
          <w:bCs/>
          <w:color w:val="auto"/>
          <w:sz w:val="24"/>
          <w:szCs w:val="24"/>
          <w:highlight w:val="none"/>
        </w:rPr>
      </w:pPr>
      <w:bookmarkStart w:id="3" w:name="_Toc455587089"/>
      <w:bookmarkStart w:id="4" w:name="_Toc466024556"/>
      <w:bookmarkStart w:id="5" w:name="_Toc455587273"/>
      <w:bookmarkStart w:id="6" w:name="_Toc445554747"/>
      <w:r>
        <w:rPr>
          <w:rStyle w:val="7"/>
          <w:rFonts w:hint="eastAsia" w:ascii="宋体" w:hAnsi="宋体" w:eastAsia="仿宋"/>
          <w:b/>
          <w:bCs/>
          <w:color w:val="auto"/>
          <w:sz w:val="24"/>
          <w:szCs w:val="24"/>
          <w:highlight w:val="none"/>
        </w:rPr>
        <w:t xml:space="preserve">1. </w:t>
      </w:r>
      <w:bookmarkEnd w:id="3"/>
      <w:bookmarkEnd w:id="4"/>
      <w:bookmarkEnd w:id="5"/>
      <w:r>
        <w:rPr>
          <w:rStyle w:val="7"/>
          <w:rFonts w:hint="eastAsia" w:ascii="宋体" w:hAnsi="宋体" w:eastAsia="仿宋"/>
          <w:b/>
          <w:bCs/>
          <w:color w:val="auto"/>
          <w:sz w:val="24"/>
          <w:szCs w:val="24"/>
          <w:highlight w:val="none"/>
        </w:rPr>
        <w:t>总体说明</w:t>
      </w:r>
    </w:p>
    <w:p w14:paraId="69D74ACC">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1.1 本章所提出的技术要求是对本次招标货物及伴随服务的基本要求，并未涉及所有技术细节，也未充分引述有关标准、规范的全部条款。投标人应保证其提供的货物及伴随服务除了满足本技术要求外，还应符合中国国家、行业、地方或设备制造商所在国的有关强制性标准、规范。当上述标准、规范的有关规定之间存在差异时，应以要求高的为准。</w:t>
      </w:r>
    </w:p>
    <w:p w14:paraId="679036B2">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1.2 本章中提及的工艺、材料、设备的标准及品牌或型号（如有）仅起说明作用，并没有强制性。投标人在投标中可以用替代工艺、材料、设备的标准及品牌或型号，但这种替代须实质上满足、等同或优于本章技术要求，同时须提供相关证明材料，否则可能被评标委员会认定为负偏离。</w:t>
      </w:r>
    </w:p>
    <w:p w14:paraId="4D459715">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1.3 除非有特别说明，本章中所列的具体参数或参数范围，均理解为采购人可接受的最低要求。</w:t>
      </w:r>
    </w:p>
    <w:p w14:paraId="28C1F9D4">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1.4 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r>
        <w:rPr>
          <w:rFonts w:hint="eastAsia" w:ascii="宋体" w:hAnsi="宋体" w:eastAsia="仿宋" w:cs="Calibri"/>
          <w:color w:val="auto"/>
          <w:sz w:val="24"/>
          <w:highlight w:val="none"/>
        </w:rPr>
        <w:t>进口产品的认定按照财政部文件《关于政府采购进口产品管理有关问题的通知》（财办库〔2008〕248号）规定，整机设备内元器件不做限制。</w:t>
      </w:r>
    </w:p>
    <w:p w14:paraId="52B1ABD0">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1.5 采购需求如包含属于《节能产品政府采购品目清单》中政府强制采购的节能产品，则投标人所投产品须具有市场监管总局公布的《参与实施政府采购节能产品认证机构目录》中的认证机构出具的、处于有效期内的节能（节水）产品认证证书。</w:t>
      </w:r>
    </w:p>
    <w:p w14:paraId="12C65746">
      <w:pPr>
        <w:pStyle w:val="3"/>
        <w:rPr>
          <w:rStyle w:val="7"/>
          <w:rFonts w:hint="eastAsia" w:ascii="宋体" w:hAnsi="宋体" w:eastAsia="仿宋"/>
          <w:b/>
          <w:bCs/>
          <w:color w:val="auto"/>
          <w:sz w:val="24"/>
          <w:szCs w:val="24"/>
          <w:highlight w:val="none"/>
        </w:rPr>
      </w:pPr>
      <w:bookmarkStart w:id="7" w:name="_Toc455587090"/>
      <w:bookmarkStart w:id="8" w:name="_Toc455587274"/>
      <w:bookmarkStart w:id="9" w:name="_Toc466024557"/>
      <w:r>
        <w:rPr>
          <w:rStyle w:val="7"/>
          <w:rFonts w:hint="eastAsia" w:ascii="宋体" w:hAnsi="宋体" w:eastAsia="仿宋"/>
          <w:b/>
          <w:bCs/>
          <w:color w:val="auto"/>
          <w:sz w:val="24"/>
          <w:szCs w:val="24"/>
          <w:highlight w:val="none"/>
        </w:rPr>
        <w:t>2. 采购内容及范围</w:t>
      </w:r>
      <w:bookmarkEnd w:id="7"/>
      <w:bookmarkEnd w:id="8"/>
      <w:bookmarkEnd w:id="9"/>
    </w:p>
    <w:p w14:paraId="21D19F64">
      <w:pPr>
        <w:widowControl/>
        <w:tabs>
          <w:tab w:val="left" w:pos="1406"/>
        </w:tabs>
        <w:snapToGrid w:val="0"/>
        <w:spacing w:line="360" w:lineRule="auto"/>
        <w:ind w:firstLine="412" w:firstLineChars="171"/>
        <w:rPr>
          <w:rFonts w:hint="eastAsia" w:ascii="宋体" w:hAnsi="宋体"/>
          <w:b/>
          <w:color w:val="auto"/>
          <w:sz w:val="24"/>
          <w:highlight w:val="none"/>
        </w:rPr>
      </w:pPr>
      <w:r>
        <w:rPr>
          <w:rFonts w:hint="eastAsia" w:ascii="宋体" w:hAnsi="宋体" w:eastAsia="仿宋"/>
          <w:b/>
          <w:color w:val="auto"/>
          <w:sz w:val="24"/>
          <w:highlight w:val="none"/>
        </w:rPr>
        <w:t>2.1 采购内容</w:t>
      </w:r>
    </w:p>
    <w:tbl>
      <w:tblPr>
        <w:tblStyle w:val="5"/>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50"/>
        <w:gridCol w:w="1379"/>
        <w:gridCol w:w="825"/>
        <w:gridCol w:w="1935"/>
        <w:gridCol w:w="1228"/>
        <w:gridCol w:w="1725"/>
        <w:gridCol w:w="1213"/>
      </w:tblGrid>
      <w:tr w14:paraId="6AE6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2BB1B0B9">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包号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6E2F8FD">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品目号</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11693748">
            <w:pPr>
              <w:jc w:val="center"/>
              <w:rPr>
                <w:rFonts w:ascii="仿宋" w:hAnsi="仿宋" w:eastAsia="仿宋" w:cs="宋体"/>
                <w:color w:val="auto"/>
                <w:sz w:val="24"/>
                <w:highlight w:val="none"/>
              </w:rPr>
            </w:pPr>
            <w:r>
              <w:rPr>
                <w:rFonts w:hint="eastAsia" w:ascii="仿宋" w:hAnsi="仿宋" w:eastAsia="仿宋" w:cs="宋体"/>
                <w:color w:val="auto"/>
                <w:sz w:val="24"/>
                <w:highlight w:val="none"/>
              </w:rPr>
              <w:t>货物名称</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02BCA12">
            <w:pPr>
              <w:jc w:val="center"/>
              <w:rPr>
                <w:rFonts w:ascii="仿宋" w:hAnsi="仿宋" w:eastAsia="仿宋" w:cs="宋体"/>
                <w:color w:val="auto"/>
                <w:sz w:val="24"/>
                <w:highlight w:val="none"/>
              </w:rPr>
            </w:pPr>
            <w:r>
              <w:rPr>
                <w:rFonts w:hint="eastAsia" w:ascii="仿宋" w:hAnsi="仿宋" w:eastAsia="仿宋" w:cs="宋体"/>
                <w:color w:val="auto"/>
                <w:sz w:val="24"/>
                <w:highlight w:val="none"/>
              </w:rPr>
              <w:t>数量</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A6C712F">
            <w:pPr>
              <w:jc w:val="center"/>
              <w:rPr>
                <w:rFonts w:ascii="仿宋" w:hAnsi="仿宋" w:eastAsia="仿宋" w:cs="宋体"/>
                <w:color w:val="auto"/>
                <w:sz w:val="24"/>
                <w:highlight w:val="none"/>
              </w:rPr>
            </w:pPr>
            <w:r>
              <w:rPr>
                <w:rFonts w:hint="eastAsia" w:ascii="仿宋" w:hAnsi="仿宋" w:eastAsia="仿宋" w:cs="宋体"/>
                <w:color w:val="auto"/>
                <w:sz w:val="24"/>
                <w:highlight w:val="none"/>
              </w:rPr>
              <w:t>总预算/最高投标限价（万元）</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66EE118C">
            <w:pPr>
              <w:jc w:val="center"/>
              <w:rPr>
                <w:rFonts w:hint="eastAsia" w:ascii="仿宋" w:hAnsi="仿宋" w:eastAsia="仿宋" w:cs="宋体"/>
                <w:color w:val="auto"/>
                <w:sz w:val="24"/>
                <w:highlight w:val="none"/>
              </w:rPr>
            </w:pPr>
            <w:r>
              <w:rPr>
                <w:rFonts w:hint="eastAsia" w:hAnsi="宋体" w:eastAsia="仿宋"/>
                <w:color w:val="auto"/>
                <w:sz w:val="24"/>
                <w:highlight w:val="none"/>
              </w:rPr>
              <w:t>所属行业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201B94B">
            <w:pPr>
              <w:jc w:val="center"/>
              <w:rPr>
                <w:rFonts w:hint="eastAsia" w:ascii="仿宋" w:hAnsi="仿宋" w:eastAsia="仿宋" w:cs="宋体"/>
                <w:color w:val="auto"/>
                <w:sz w:val="24"/>
                <w:highlight w:val="none"/>
              </w:rPr>
            </w:pPr>
            <w:r>
              <w:rPr>
                <w:rFonts w:hint="eastAsia" w:hAnsi="宋体" w:eastAsia="仿宋"/>
                <w:color w:val="auto"/>
                <w:sz w:val="24"/>
                <w:highlight w:val="none"/>
              </w:rPr>
              <w:t>是否接受进口</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5B2DF5F">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备注</w:t>
            </w:r>
          </w:p>
        </w:tc>
      </w:tr>
      <w:tr w14:paraId="3B22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2" w:type="dxa"/>
            <w:tcBorders>
              <w:top w:val="single" w:color="auto" w:sz="4" w:space="0"/>
              <w:left w:val="single" w:color="auto" w:sz="4" w:space="0"/>
              <w:right w:val="single" w:color="auto" w:sz="4" w:space="0"/>
            </w:tcBorders>
            <w:noWrap w:val="0"/>
            <w:vAlign w:val="center"/>
          </w:tcPr>
          <w:p w14:paraId="5DD40437">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AE23B1E">
            <w:pPr>
              <w:widowControl/>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1</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797C17CE">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eastAsia="zh-CN" w:bidi="ar"/>
              </w:rPr>
              <w:t>高端全身超声一体机</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8890C3C">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val="en-US" w:eastAsia="zh-CN" w:bidi="ar"/>
              </w:rPr>
              <w:t>1台</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57DB629">
            <w:pPr>
              <w:widowControl/>
              <w:jc w:val="center"/>
              <w:textAlignment w:val="center"/>
              <w:rPr>
                <w:rFonts w:hint="default"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val="en-US" w:eastAsia="zh-CN" w:bidi="ar"/>
              </w:rPr>
              <w:t>170</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217D1280">
            <w:pPr>
              <w:widowControl/>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工业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AB5A5C0">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val="en-US" w:eastAsia="zh-CN" w:bidi="ar"/>
              </w:rPr>
              <w:t>否</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37AC7D9">
            <w:pPr>
              <w:widowControl/>
              <w:jc w:val="center"/>
              <w:textAlignment w:val="center"/>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医疗器械</w:t>
            </w:r>
          </w:p>
        </w:tc>
      </w:tr>
    </w:tbl>
    <w:p w14:paraId="1FE0A5EF">
      <w:pPr>
        <w:widowControl/>
        <w:tabs>
          <w:tab w:val="left" w:pos="1406"/>
        </w:tabs>
        <w:snapToGrid w:val="0"/>
        <w:spacing w:line="360" w:lineRule="auto"/>
        <w:ind w:firstLine="412" w:firstLineChars="171"/>
        <w:rPr>
          <w:rFonts w:hint="eastAsia" w:ascii="宋体" w:hAnsi="宋体" w:eastAsia="仿宋"/>
          <w:b/>
          <w:color w:val="auto"/>
          <w:sz w:val="24"/>
          <w:highlight w:val="none"/>
          <w:lang w:val="en-US" w:eastAsia="zh-CN"/>
        </w:rPr>
      </w:pPr>
    </w:p>
    <w:p w14:paraId="49FBEA69">
      <w:pPr>
        <w:widowControl/>
        <w:tabs>
          <w:tab w:val="left" w:pos="1406"/>
        </w:tabs>
        <w:snapToGrid w:val="0"/>
        <w:spacing w:line="360" w:lineRule="auto"/>
        <w:ind w:firstLine="412" w:firstLineChars="171"/>
        <w:rPr>
          <w:rFonts w:hint="eastAsia" w:ascii="宋体" w:hAnsi="宋体" w:eastAsia="仿宋"/>
          <w:b/>
          <w:color w:val="auto"/>
          <w:sz w:val="24"/>
          <w:highlight w:val="none"/>
          <w:lang w:val="en-US" w:eastAsia="zh-CN"/>
        </w:rPr>
      </w:pPr>
    </w:p>
    <w:p w14:paraId="41A90F9B">
      <w:pPr>
        <w:widowControl/>
        <w:tabs>
          <w:tab w:val="left" w:pos="1406"/>
        </w:tabs>
        <w:snapToGrid w:val="0"/>
        <w:spacing w:line="360" w:lineRule="auto"/>
        <w:ind w:firstLine="412" w:firstLineChars="171"/>
        <w:rPr>
          <w:rFonts w:hint="eastAsia" w:ascii="宋体" w:hAnsi="宋体" w:eastAsia="仿宋"/>
          <w:b/>
          <w:color w:val="auto"/>
          <w:sz w:val="24"/>
          <w:highlight w:val="none"/>
          <w:lang w:val="en-US" w:eastAsia="zh-CN"/>
        </w:rPr>
      </w:pPr>
      <w:r>
        <w:rPr>
          <w:rFonts w:hint="eastAsia" w:ascii="宋体" w:hAnsi="宋体" w:eastAsia="仿宋"/>
          <w:b/>
          <w:color w:val="auto"/>
          <w:sz w:val="24"/>
          <w:highlight w:val="none"/>
          <w:lang w:val="en-US" w:eastAsia="zh-CN"/>
        </w:rPr>
        <w:t>2.2 用途说明</w:t>
      </w:r>
    </w:p>
    <w:p w14:paraId="57D043E2">
      <w:pPr>
        <w:widowControl/>
        <w:tabs>
          <w:tab w:val="left" w:pos="1406"/>
        </w:tabs>
        <w:snapToGrid w:val="0"/>
        <w:spacing w:line="360" w:lineRule="auto"/>
        <w:ind w:firstLine="410" w:firstLineChars="171"/>
        <w:rPr>
          <w:rFonts w:hint="default" w:ascii="宋体" w:hAnsi="宋体" w:eastAsia="仿宋" w:cs="Times New Roman"/>
          <w:color w:val="auto"/>
          <w:kern w:val="2"/>
          <w:sz w:val="24"/>
          <w:szCs w:val="24"/>
          <w:highlight w:val="none"/>
          <w:lang w:val="en-US" w:eastAsia="zh-CN" w:bidi="ar-SA"/>
        </w:rPr>
      </w:pPr>
      <w:r>
        <w:rPr>
          <w:rFonts w:hint="eastAsia" w:ascii="宋体" w:hAnsi="宋体" w:eastAsia="仿宋" w:cs="Times New Roman"/>
          <w:color w:val="auto"/>
          <w:kern w:val="2"/>
          <w:sz w:val="24"/>
          <w:szCs w:val="24"/>
          <w:highlight w:val="none"/>
          <w:lang w:val="en-US" w:eastAsia="zh-CN" w:bidi="ar-SA"/>
        </w:rPr>
        <w:t>主要用于腹部、心脏、妇产、经食道心脏、泌尿、新生儿、小儿、血管（外周、颅脑、腹部）、小器官、骨骼肌肉、神经、术中、造影、介入等方面的临床诊断和科研教学工作，具备AI或辅助自动测量功能，能满足开展新的临床应用需求。</w:t>
      </w:r>
    </w:p>
    <w:p w14:paraId="1478D246">
      <w:pPr>
        <w:widowControl/>
        <w:tabs>
          <w:tab w:val="left" w:pos="1406"/>
        </w:tabs>
        <w:snapToGrid w:val="0"/>
        <w:spacing w:line="360" w:lineRule="auto"/>
        <w:ind w:firstLine="412" w:firstLineChars="171"/>
        <w:rPr>
          <w:rFonts w:hint="eastAsia" w:ascii="宋体" w:hAnsi="宋体" w:eastAsia="仿宋"/>
          <w:b/>
          <w:color w:val="auto"/>
          <w:sz w:val="24"/>
          <w:highlight w:val="none"/>
        </w:rPr>
      </w:pPr>
    </w:p>
    <w:p w14:paraId="1309C1E7">
      <w:pPr>
        <w:widowControl/>
        <w:tabs>
          <w:tab w:val="left" w:pos="1406"/>
        </w:tabs>
        <w:snapToGrid w:val="0"/>
        <w:spacing w:line="360" w:lineRule="auto"/>
        <w:ind w:firstLine="412" w:firstLineChars="171"/>
        <w:rPr>
          <w:rFonts w:hint="eastAsia" w:ascii="宋体" w:hAnsi="宋体" w:eastAsia="仿宋"/>
          <w:b/>
          <w:color w:val="auto"/>
          <w:sz w:val="24"/>
          <w:highlight w:val="none"/>
        </w:rPr>
      </w:pPr>
      <w:r>
        <w:rPr>
          <w:rFonts w:hint="eastAsia" w:ascii="宋体" w:hAnsi="宋体" w:eastAsia="仿宋"/>
          <w:b/>
          <w:color w:val="auto"/>
          <w:sz w:val="24"/>
          <w:highlight w:val="none"/>
        </w:rPr>
        <w:t>2.</w:t>
      </w:r>
      <w:r>
        <w:rPr>
          <w:rFonts w:hint="eastAsia" w:ascii="宋体" w:hAnsi="宋体" w:eastAsia="仿宋"/>
          <w:b/>
          <w:color w:val="auto"/>
          <w:sz w:val="24"/>
          <w:highlight w:val="none"/>
          <w:lang w:val="en-US" w:eastAsia="zh-CN"/>
        </w:rPr>
        <w:t>3</w:t>
      </w:r>
      <w:r>
        <w:rPr>
          <w:rFonts w:hint="eastAsia" w:ascii="宋体" w:hAnsi="宋体" w:eastAsia="仿宋"/>
          <w:b/>
          <w:color w:val="auto"/>
          <w:sz w:val="24"/>
          <w:highlight w:val="none"/>
        </w:rPr>
        <w:t xml:space="preserve"> 采购范围</w:t>
      </w:r>
    </w:p>
    <w:p w14:paraId="179CE489">
      <w:pPr>
        <w:pStyle w:val="4"/>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hAnsi="宋体" w:eastAsia="仿宋"/>
          <w:color w:val="auto"/>
          <w:sz w:val="24"/>
          <w:szCs w:val="24"/>
          <w:highlight w:val="none"/>
        </w:rPr>
        <w:t>包括所有货物的供货、包装运输（包括卸车及就位至采购人指定的安装</w:t>
      </w:r>
      <w:r>
        <w:rPr>
          <w:rFonts w:hint="eastAsia" w:ascii="仿宋" w:hAnsi="仿宋" w:eastAsia="仿宋" w:cs="仿宋"/>
          <w:color w:val="auto"/>
          <w:sz w:val="24"/>
          <w:szCs w:val="24"/>
          <w:highlight w:val="none"/>
        </w:rPr>
        <w:t>地</w:t>
      </w:r>
      <w:r>
        <w:rPr>
          <w:rFonts w:hint="eastAsia" w:ascii="仿宋" w:hAnsi="仿宋" w:eastAsia="仿宋" w:cs="仿宋"/>
          <w:b w:val="0"/>
          <w:bCs w:val="0"/>
          <w:color w:val="auto"/>
          <w:sz w:val="24"/>
          <w:szCs w:val="24"/>
          <w:highlight w:val="none"/>
        </w:rPr>
        <w:t>点）、</w:t>
      </w:r>
      <w:r>
        <w:rPr>
          <w:rFonts w:hint="eastAsia" w:ascii="仿宋" w:hAnsi="仿宋" w:eastAsia="仿宋" w:cs="仿宋"/>
          <w:b w:val="0"/>
          <w:bCs w:val="0"/>
          <w:color w:val="auto"/>
          <w:sz w:val="24"/>
          <w:szCs w:val="24"/>
          <w:highlight w:val="none"/>
          <w:lang w:val="en-US" w:eastAsia="zh-CN"/>
        </w:rPr>
        <w:t>安装、</w:t>
      </w:r>
      <w:r>
        <w:rPr>
          <w:rFonts w:hint="eastAsia" w:ascii="仿宋" w:hAnsi="仿宋" w:eastAsia="仿宋" w:cs="仿宋"/>
          <w:b w:val="0"/>
          <w:bCs w:val="0"/>
          <w:color w:val="auto"/>
          <w:sz w:val="24"/>
          <w:szCs w:val="24"/>
          <w:highlight w:val="none"/>
        </w:rPr>
        <w:t>调</w:t>
      </w:r>
      <w:r>
        <w:rPr>
          <w:rFonts w:hint="eastAsia" w:ascii="仿宋" w:hAnsi="仿宋" w:eastAsia="仿宋" w:cs="仿宋"/>
          <w:color w:val="auto"/>
          <w:sz w:val="24"/>
          <w:szCs w:val="24"/>
          <w:highlight w:val="none"/>
        </w:rPr>
        <w:t>试、技术服务、培训、售后服务等所有内容。</w:t>
      </w:r>
    </w:p>
    <w:p w14:paraId="68F06E1A">
      <w:pPr>
        <w:pStyle w:val="3"/>
        <w:rPr>
          <w:rFonts w:ascii="宋体" w:hAnsi="宋体" w:eastAsia="仿宋"/>
          <w:color w:val="auto"/>
          <w:sz w:val="24"/>
          <w:highlight w:val="none"/>
        </w:rPr>
      </w:pPr>
      <w:r>
        <w:rPr>
          <w:rFonts w:hint="eastAsia" w:ascii="宋体" w:hAnsi="宋体" w:eastAsia="仿宋"/>
          <w:color w:val="auto"/>
          <w:sz w:val="24"/>
          <w:highlight w:val="none"/>
        </w:rPr>
        <w:t>3</w:t>
      </w:r>
      <w:r>
        <w:rPr>
          <w:rFonts w:ascii="宋体" w:hAnsi="宋体" w:eastAsia="仿宋"/>
          <w:color w:val="auto"/>
          <w:sz w:val="24"/>
          <w:highlight w:val="none"/>
        </w:rPr>
        <w:t>. 商务要求</w:t>
      </w:r>
    </w:p>
    <w:p w14:paraId="35002AF2">
      <w:pP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除非有特别说明，本条为实质性要求。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6475"/>
      </w:tblGrid>
      <w:tr w14:paraId="6E59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5" w:type="dxa"/>
            <w:noWrap w:val="0"/>
            <w:vAlign w:val="top"/>
          </w:tcPr>
          <w:p w14:paraId="72C0B1D6">
            <w:pPr>
              <w:widowControl/>
              <w:jc w:val="left"/>
              <w:rPr>
                <w:rFonts w:hint="eastAsia" w:ascii="宋体" w:hAnsi="宋体" w:eastAsia="仿宋"/>
                <w:color w:val="auto"/>
                <w:sz w:val="24"/>
                <w:highlight w:val="none"/>
              </w:rPr>
            </w:pPr>
            <w:r>
              <w:rPr>
                <w:rFonts w:hint="eastAsia" w:ascii="宋体" w:hAnsi="宋体" w:eastAsia="仿宋"/>
                <w:color w:val="auto"/>
                <w:sz w:val="24"/>
                <w:highlight w:val="none"/>
              </w:rPr>
              <w:t>交付（实施）的时间（期限）</w:t>
            </w:r>
          </w:p>
        </w:tc>
        <w:tc>
          <w:tcPr>
            <w:tcW w:w="7479" w:type="dxa"/>
            <w:noWrap w:val="0"/>
            <w:vAlign w:val="top"/>
          </w:tcPr>
          <w:p w14:paraId="0F571BDC">
            <w:pPr>
              <w:widowControl/>
              <w:adjustRightInd w:val="0"/>
              <w:snapToGrid w:val="0"/>
              <w:spacing w:line="288"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交货期为合同签订后接院方供货通知后30天内。</w:t>
            </w:r>
          </w:p>
          <w:p w14:paraId="098ED8A1">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4D9B57E3">
            <w:pPr>
              <w:pStyle w:val="8"/>
              <w:ind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4CB66497">
            <w:pPr>
              <w:pStyle w:val="8"/>
              <w:ind w:firstLine="2160" w:firstLineChars="900"/>
              <w:rPr>
                <w:rFonts w:hint="eastAsia" w:ascii="宋体" w:hAnsi="宋体" w:eastAsia="仿宋"/>
                <w:color w:val="auto"/>
                <w:sz w:val="24"/>
                <w:highlight w:val="none"/>
              </w:rPr>
            </w:pPr>
            <w:r>
              <w:rPr>
                <w:rFonts w:hint="eastAsia" w:ascii="楷体" w:hAnsi="楷体" w:eastAsia="仿宋" w:cs="Calibri"/>
                <w:color w:val="auto"/>
                <w:sz w:val="24"/>
                <w:highlight w:val="none"/>
              </w:rPr>
              <w:t>允许偏离的幅度：</w:t>
            </w:r>
            <w:r>
              <w:rPr>
                <w:rFonts w:hint="eastAsia" w:ascii="宋体" w:hAnsi="宋体" w:eastAsia="仿宋" w:cs="Calibri"/>
                <w:color w:val="auto"/>
                <w:sz w:val="24"/>
                <w:highlight w:val="none"/>
              </w:rPr>
              <w:t>/</w:t>
            </w:r>
          </w:p>
        </w:tc>
      </w:tr>
      <w:tr w14:paraId="2BD9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375" w:type="dxa"/>
            <w:noWrap w:val="0"/>
            <w:vAlign w:val="center"/>
          </w:tcPr>
          <w:p w14:paraId="2FB9A834">
            <w:pPr>
              <w:widowControl/>
              <w:jc w:val="center"/>
              <w:rPr>
                <w:rFonts w:hint="eastAsia" w:ascii="宋体" w:hAnsi="宋体" w:eastAsia="仿宋"/>
                <w:color w:val="auto"/>
                <w:sz w:val="24"/>
                <w:highlight w:val="none"/>
              </w:rPr>
            </w:pPr>
            <w:r>
              <w:rPr>
                <w:rFonts w:hint="eastAsia" w:ascii="宋体" w:hAnsi="宋体" w:eastAsia="仿宋"/>
                <w:color w:val="auto"/>
                <w:sz w:val="24"/>
                <w:highlight w:val="none"/>
              </w:rPr>
              <w:t>交付（实施）的地点（范围）</w:t>
            </w:r>
          </w:p>
        </w:tc>
        <w:tc>
          <w:tcPr>
            <w:tcW w:w="7479" w:type="dxa"/>
            <w:noWrap w:val="0"/>
            <w:vAlign w:val="center"/>
          </w:tcPr>
          <w:p w14:paraId="1AC16658">
            <w:pPr>
              <w:pStyle w:val="8"/>
              <w:ind w:firstLine="0" w:firstLineChars="0"/>
              <w:jc w:val="both"/>
              <w:rPr>
                <w:rFonts w:ascii="宋体" w:hAnsi="宋体" w:eastAsia="仿宋"/>
                <w:color w:val="auto"/>
                <w:sz w:val="24"/>
                <w:highlight w:val="none"/>
              </w:rPr>
            </w:pPr>
            <w:r>
              <w:rPr>
                <w:rFonts w:hint="eastAsia" w:ascii="宋体" w:hAnsi="宋体" w:eastAsia="仿宋"/>
                <w:color w:val="auto"/>
                <w:sz w:val="24"/>
                <w:highlight w:val="none"/>
                <w:lang w:eastAsia="zh-CN"/>
              </w:rPr>
              <w:t>安徽医科大学第一附属医院，招标人指定地点</w:t>
            </w:r>
          </w:p>
        </w:tc>
      </w:tr>
      <w:tr w14:paraId="0F55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4E522B43">
            <w:pPr>
              <w:pStyle w:val="8"/>
              <w:ind w:firstLine="0" w:firstLineChars="0"/>
              <w:rPr>
                <w:rFonts w:ascii="宋体" w:hAnsi="宋体" w:eastAsia="仿宋"/>
                <w:color w:val="auto"/>
                <w:sz w:val="24"/>
                <w:highlight w:val="none"/>
              </w:rPr>
            </w:pPr>
            <w:r>
              <w:rPr>
                <w:rFonts w:hint="eastAsia" w:ascii="宋体" w:hAnsi="宋体" w:eastAsia="仿宋"/>
                <w:color w:val="auto"/>
                <w:sz w:val="24"/>
                <w:highlight w:val="none"/>
                <w:vertAlign w:val="baseline"/>
                <w:lang w:val="en-US" w:eastAsia="zh-CN"/>
              </w:rPr>
              <w:t>付款方式</w:t>
            </w:r>
          </w:p>
        </w:tc>
        <w:tc>
          <w:tcPr>
            <w:tcW w:w="7479" w:type="dxa"/>
            <w:noWrap w:val="0"/>
            <w:vAlign w:val="top"/>
          </w:tcPr>
          <w:p w14:paraId="50A864B9">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（1）所投产品制造商为中小企业的，合同生效后，预付合同款的 40%(中标人向采购人提交等额的预付款保函或其他担保措施后，见索即付，担保期限不少于合同履约期限）。本项目全部货到安装验收合格，中标人开具金额为合同总金额的增值税专用发票后支付剩余合同款。</w:t>
            </w:r>
          </w:p>
          <w:p w14:paraId="017768D4">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（2）如不符合上述（1）的要求，本项目全部货到安装验收合格，中标人开具金额为合同总金额的增值税专用发票后按照合同价款一次性付清。</w:t>
            </w:r>
          </w:p>
          <w:p w14:paraId="762077DA">
            <w:pPr>
              <w:widowControl/>
              <w:adjustRightInd w:val="0"/>
              <w:snapToGrid w:val="0"/>
              <w:spacing w:line="288" w:lineRule="auto"/>
              <w:rPr>
                <w:rFonts w:hint="eastAsia" w:ascii="宋体" w:hAnsi="宋体" w:eastAsia="仿宋" w:cs="Calibri"/>
                <w:color w:val="auto"/>
                <w:sz w:val="24"/>
                <w:highlight w:val="none"/>
                <w:lang w:val="en-US" w:eastAsia="zh-CN"/>
              </w:rPr>
            </w:pPr>
          </w:p>
          <w:p w14:paraId="552C7DCF">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lang w:val="en-US" w:eastAsia="zh-CN"/>
              </w:rPr>
              <w:t>预付款保函</w:t>
            </w:r>
            <w:r>
              <w:rPr>
                <w:rFonts w:hint="eastAsia" w:ascii="宋体" w:hAnsi="宋体" w:eastAsia="仿宋" w:cs="Calibri"/>
                <w:color w:val="auto"/>
                <w:sz w:val="24"/>
                <w:highlight w:val="none"/>
              </w:rPr>
              <w:t>要求：</w:t>
            </w:r>
          </w:p>
          <w:p w14:paraId="1F99A08B">
            <w:pPr>
              <w:widowControl/>
              <w:adjustRightInd w:val="0"/>
              <w:snapToGrid w:val="0"/>
              <w:spacing w:line="288" w:lineRule="auto"/>
              <w:rPr>
                <w:rFonts w:ascii="宋体" w:hAnsi="宋体" w:eastAsia="仿宋" w:cs="Calibri"/>
                <w:color w:val="auto"/>
                <w:sz w:val="24"/>
                <w:highlight w:val="none"/>
              </w:rPr>
            </w:pPr>
            <w:r>
              <w:rPr>
                <w:rFonts w:hint="eastAsia" w:ascii="宋体" w:hAnsi="宋体" w:eastAsia="仿宋" w:cs="Calibri"/>
                <w:color w:val="auto"/>
                <w:sz w:val="24"/>
                <w:highlight w:val="none"/>
              </w:rPr>
              <w:t>（1）中标人提供保函的受益人和收取单位须为采购人，担保期限不少于合同履约期限。</w:t>
            </w:r>
          </w:p>
          <w:p w14:paraId="204D81DD">
            <w:pPr>
              <w:widowControl/>
              <w:adjustRightInd w:val="0"/>
              <w:snapToGrid w:val="0"/>
              <w:spacing w:line="288" w:lineRule="auto"/>
              <w:rPr>
                <w:rFonts w:hint="default" w:ascii="宋体" w:hAnsi="宋体" w:eastAsia="宋体" w:cs="Calibri"/>
                <w:color w:val="auto"/>
                <w:sz w:val="24"/>
                <w:highlight w:val="none"/>
                <w:lang w:val="en-US" w:eastAsia="zh-CN"/>
              </w:rPr>
            </w:pPr>
            <w:r>
              <w:rPr>
                <w:rFonts w:hint="eastAsia" w:ascii="宋体" w:hAnsi="宋体" w:eastAsia="仿宋" w:cs="Calibri"/>
                <w:color w:val="auto"/>
                <w:sz w:val="24"/>
                <w:highlight w:val="none"/>
              </w:rPr>
              <w:t>（2）保函形式：☑银行保函☑担保机构担保</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rPr>
              <w:t>保证保险</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lang w:val="en-US" w:eastAsia="zh-CN"/>
              </w:rPr>
              <w:t>电子保函</w:t>
            </w:r>
          </w:p>
          <w:p w14:paraId="1BEC024D">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（3）保函递交要求：</w:t>
            </w:r>
          </w:p>
          <w:p w14:paraId="075F83DE">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①如采用银行保函，银行保函应为见索即付无条件独立保函，且应将原件交至</w:t>
            </w:r>
            <w:r>
              <w:rPr>
                <w:rFonts w:hint="eastAsia" w:ascii="宋体" w:hAnsi="宋体" w:eastAsia="仿宋" w:cs="Calibri"/>
                <w:color w:val="auto"/>
                <w:sz w:val="24"/>
                <w:highlight w:val="none"/>
                <w:lang w:eastAsia="zh-CN"/>
              </w:rPr>
              <w:t>采购人</w:t>
            </w:r>
            <w:r>
              <w:rPr>
                <w:rFonts w:hint="eastAsia" w:ascii="宋体" w:hAnsi="宋体" w:eastAsia="仿宋" w:cs="Calibri"/>
                <w:color w:val="auto"/>
                <w:sz w:val="24"/>
                <w:highlight w:val="none"/>
              </w:rPr>
              <w:t>保管。</w:t>
            </w:r>
          </w:p>
          <w:p w14:paraId="6D7FF69E">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②采用担保机构担保的，应为依法取得融资担保业务经营许可证的融资担保机构出具的不可撤销、不可转让的见索即付独立保函。</w:t>
            </w:r>
          </w:p>
          <w:p w14:paraId="41DAF835">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③采用保证保险的，应为保险公司出具的不可撤销、不可转让的见索即付保证保险。</w:t>
            </w:r>
          </w:p>
          <w:p w14:paraId="0505A3D2">
            <w:pPr>
              <w:widowControl/>
              <w:adjustRightInd w:val="0"/>
              <w:snapToGrid w:val="0"/>
              <w:spacing w:line="288" w:lineRule="auto"/>
              <w:rPr>
                <w:rFonts w:hint="eastAsia" w:ascii="宋体" w:hAnsi="宋体" w:eastAsia="仿宋" w:cs="Times New Roman"/>
                <w:i w:val="0"/>
                <w:iCs w:val="0"/>
                <w:color w:val="auto"/>
                <w:sz w:val="24"/>
                <w:highlight w:val="none"/>
                <w:lang w:eastAsia="zh-CN"/>
              </w:rPr>
            </w:pPr>
            <w:r>
              <w:rPr>
                <w:rFonts w:hint="eastAsia" w:ascii="仿宋" w:hAnsi="仿宋" w:eastAsia="仿宋" w:cs="仿宋"/>
                <w:bCs w:val="0"/>
                <w:color w:val="auto"/>
                <w:sz w:val="24"/>
                <w:szCs w:val="24"/>
                <w:highlight w:val="none"/>
                <w:lang w:val="en-US" w:eastAsia="zh-CN" w:bidi="ar"/>
              </w:rPr>
              <w:t>④</w:t>
            </w:r>
            <w:r>
              <w:rPr>
                <w:rFonts w:hint="eastAsia" w:ascii="宋体" w:hAnsi="宋体" w:eastAsia="仿宋" w:cs="Calibri"/>
                <w:bCs w:val="0"/>
                <w:color w:val="auto"/>
                <w:sz w:val="24"/>
                <w:szCs w:val="24"/>
                <w:highlight w:val="none"/>
                <w:lang w:val="en-US" w:eastAsia="zh-CN" w:bidi="ar"/>
              </w:rPr>
              <w:t>采用电子保函的，</w:t>
            </w:r>
            <w:r>
              <w:rPr>
                <w:rFonts w:hint="eastAsia" w:ascii="宋体" w:hAnsi="宋体" w:eastAsia="仿宋" w:cs="Times New Roman"/>
                <w:i w:val="0"/>
                <w:iCs w:val="0"/>
                <w:color w:val="auto"/>
                <w:sz w:val="24"/>
                <w:highlight w:val="none"/>
              </w:rPr>
              <w:t>可访问安徽省政府采购网“融资/保函”</w:t>
            </w:r>
            <w:r>
              <w:rPr>
                <w:rFonts w:hint="eastAsia" w:ascii="宋体" w:hAnsi="宋体" w:eastAsia="仿宋" w:cs="Times New Roman"/>
                <w:i w:val="0"/>
                <w:iCs w:val="0"/>
                <w:color w:val="auto"/>
                <w:sz w:val="24"/>
                <w:highlight w:val="none"/>
                <w:lang w:val="en-US" w:eastAsia="zh-CN"/>
              </w:rPr>
              <w:t>栏目</w:t>
            </w:r>
            <w:r>
              <w:rPr>
                <w:rFonts w:hint="eastAsia" w:ascii="宋体" w:hAnsi="宋体" w:eastAsia="仿宋" w:cs="Times New Roman"/>
                <w:i w:val="0"/>
                <w:iCs w:val="0"/>
                <w:color w:val="auto"/>
                <w:sz w:val="24"/>
                <w:highlight w:val="none"/>
              </w:rPr>
              <w:t>进行申请</w:t>
            </w:r>
            <w:r>
              <w:rPr>
                <w:rFonts w:hint="eastAsia" w:ascii="宋体" w:hAnsi="宋体" w:eastAsia="仿宋" w:cs="Times New Roman"/>
                <w:i w:val="0"/>
                <w:iCs w:val="0"/>
                <w:color w:val="auto"/>
                <w:sz w:val="24"/>
                <w:highlight w:val="none"/>
                <w:lang w:eastAsia="zh-CN"/>
              </w:rPr>
              <w:t>。</w:t>
            </w:r>
          </w:p>
          <w:p w14:paraId="62B281C5">
            <w:pPr>
              <w:rPr>
                <w:color w:val="auto"/>
                <w:highlight w:val="none"/>
              </w:rPr>
            </w:pPr>
          </w:p>
          <w:p w14:paraId="3A59678E">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lang w:eastAsia="zh-CN"/>
              </w:rPr>
              <w:t>☑</w:t>
            </w:r>
            <w:r>
              <w:rPr>
                <w:rFonts w:hint="eastAsia" w:ascii="楷体" w:hAnsi="楷体" w:eastAsia="仿宋" w:cs="Calibri"/>
                <w:color w:val="auto"/>
                <w:sz w:val="24"/>
                <w:highlight w:val="none"/>
              </w:rPr>
              <w:t>不接受</w:t>
            </w:r>
          </w:p>
          <w:p w14:paraId="3F5F56E5">
            <w:pPr>
              <w:widowControl/>
              <w:adjustRightInd w:val="0"/>
              <w:snapToGrid w:val="0"/>
              <w:spacing w:line="288"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0FCC2BF8">
            <w:pPr>
              <w:widowControl/>
              <w:adjustRightInd w:val="0"/>
              <w:snapToGrid w:val="0"/>
              <w:spacing w:line="288" w:lineRule="auto"/>
              <w:ind w:firstLine="1920" w:firstLineChars="800"/>
              <w:rPr>
                <w:rFonts w:ascii="宋体" w:hAnsi="宋体" w:eastAsia="仿宋"/>
                <w:color w:val="auto"/>
                <w:sz w:val="24"/>
                <w:highlight w:val="none"/>
              </w:rPr>
            </w:pPr>
            <w:r>
              <w:rPr>
                <w:rFonts w:hint="eastAsia" w:ascii="楷体" w:hAnsi="楷体" w:eastAsia="仿宋" w:cs="Calibri"/>
                <w:color w:val="auto"/>
                <w:sz w:val="24"/>
                <w:highlight w:val="none"/>
              </w:rPr>
              <w:t>允许偏离的幅度：</w:t>
            </w:r>
          </w:p>
        </w:tc>
      </w:tr>
      <w:tr w14:paraId="7434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63897167">
            <w:pPr>
              <w:pStyle w:val="8"/>
              <w:ind w:firstLine="0" w:firstLineChars="0"/>
              <w:rPr>
                <w:rFonts w:hint="eastAsia" w:ascii="宋体" w:hAnsi="宋体" w:eastAsia="仿宋"/>
                <w:color w:val="auto"/>
                <w:sz w:val="24"/>
                <w:highlight w:val="none"/>
                <w:lang w:val="en-US" w:eastAsia="zh-CN"/>
              </w:rPr>
            </w:pPr>
            <w:r>
              <w:rPr>
                <w:rFonts w:hint="eastAsia" w:ascii="宋体" w:hAnsi="宋体" w:eastAsia="仿宋"/>
                <w:color w:val="auto"/>
                <w:sz w:val="24"/>
                <w:highlight w:val="none"/>
                <w:lang w:val="en-US" w:eastAsia="zh-CN"/>
              </w:rPr>
              <w:t>免费质保期</w:t>
            </w:r>
          </w:p>
        </w:tc>
        <w:tc>
          <w:tcPr>
            <w:tcW w:w="7479" w:type="dxa"/>
            <w:noWrap w:val="0"/>
            <w:vAlign w:val="top"/>
          </w:tcPr>
          <w:p w14:paraId="2EE27D00">
            <w:pPr>
              <w:widowControl/>
              <w:adjustRightInd w:val="0"/>
              <w:snapToGrid w:val="0"/>
              <w:spacing w:line="288" w:lineRule="auto"/>
              <w:rPr>
                <w:rFonts w:hint="eastAsia" w:ascii="仿宋" w:hAnsi="仿宋" w:eastAsia="仿宋" w:cs="仿宋"/>
                <w:iCs/>
                <w:color w:val="auto"/>
                <w:sz w:val="24"/>
                <w:highlight w:val="none"/>
              </w:rPr>
            </w:pPr>
            <w:r>
              <w:rPr>
                <w:rFonts w:hint="eastAsia" w:ascii="宋体" w:hAnsi="宋体" w:eastAsia="仿宋"/>
                <w:color w:val="auto"/>
                <w:sz w:val="24"/>
                <w:highlight w:val="none"/>
                <w:lang w:val="en-US" w:eastAsia="zh-CN"/>
              </w:rPr>
              <w:t>免费质保期</w:t>
            </w:r>
            <w:r>
              <w:rPr>
                <w:rFonts w:hint="eastAsia" w:ascii="宋体" w:hAnsi="宋体" w:eastAsia="仿宋" w:cs="Calibri"/>
                <w:color w:val="auto"/>
                <w:sz w:val="24"/>
                <w:highlight w:val="none"/>
              </w:rPr>
              <w:t>：</w:t>
            </w:r>
            <w:r>
              <w:rPr>
                <w:rFonts w:hint="eastAsia" w:ascii="宋体" w:hAnsi="宋体" w:eastAsia="仿宋" w:cs="Calibri"/>
                <w:color w:val="auto"/>
                <w:sz w:val="24"/>
                <w:highlight w:val="none"/>
                <w:lang w:val="en-US" w:eastAsia="zh-CN"/>
              </w:rPr>
              <w:t>整机（含探头）</w:t>
            </w:r>
            <w:r>
              <w:rPr>
                <w:rFonts w:hint="eastAsia" w:ascii="宋体" w:hAnsi="宋体" w:eastAsia="仿宋" w:cs="Calibri"/>
                <w:color w:val="auto"/>
                <w:sz w:val="24"/>
                <w:highlight w:val="none"/>
              </w:rPr>
              <w:t>自验收合格之日起</w:t>
            </w:r>
            <w:r>
              <w:rPr>
                <w:rFonts w:hint="eastAsia" w:ascii="仿宋" w:hAnsi="仿宋" w:eastAsia="仿宋" w:cs="仿宋"/>
                <w:i w:val="0"/>
                <w:iCs/>
                <w:color w:val="auto"/>
                <w:kern w:val="2"/>
                <w:sz w:val="24"/>
                <w:szCs w:val="24"/>
                <w:highlight w:val="none"/>
                <w:lang w:val="en-US" w:eastAsia="zh-CN" w:bidi="ar-SA"/>
              </w:rPr>
              <w:t>2年</w:t>
            </w:r>
            <w:r>
              <w:rPr>
                <w:rFonts w:hint="eastAsia" w:ascii="宋体" w:hAnsi="宋体" w:eastAsia="仿宋" w:cs="Calibri"/>
                <w:color w:val="auto"/>
                <w:sz w:val="24"/>
                <w:highlight w:val="none"/>
              </w:rPr>
              <w:t>，更换后的零部件质保期从更换之日起计算。</w:t>
            </w:r>
          </w:p>
          <w:p w14:paraId="3EA08AC5">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416945D4">
            <w:pPr>
              <w:pStyle w:val="8"/>
              <w:ind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178D2C0C">
            <w:pPr>
              <w:pStyle w:val="8"/>
              <w:ind w:firstLine="1920" w:firstLineChars="800"/>
              <w:rPr>
                <w:rFonts w:ascii="宋体" w:hAnsi="宋体" w:eastAsia="仿宋"/>
                <w:color w:val="auto"/>
                <w:sz w:val="24"/>
                <w:highlight w:val="none"/>
              </w:rPr>
            </w:pPr>
            <w:r>
              <w:rPr>
                <w:rFonts w:hint="eastAsia" w:ascii="楷体" w:hAnsi="楷体" w:eastAsia="仿宋" w:cs="Calibri"/>
                <w:color w:val="auto"/>
                <w:sz w:val="24"/>
                <w:highlight w:val="none"/>
              </w:rPr>
              <w:t>允许偏离的幅度：</w:t>
            </w:r>
            <w:r>
              <w:rPr>
                <w:rFonts w:hint="eastAsia" w:ascii="仿宋" w:hAnsi="仿宋" w:eastAsia="仿宋" w:cs="仿宋"/>
                <w:iCs/>
                <w:color w:val="auto"/>
                <w:sz w:val="24"/>
                <w:highlight w:val="none"/>
              </w:rPr>
              <w:t>/</w:t>
            </w:r>
          </w:p>
        </w:tc>
      </w:tr>
    </w:tbl>
    <w:p w14:paraId="551431B7">
      <w:pPr>
        <w:pStyle w:val="8"/>
        <w:ind w:firstLine="480"/>
        <w:rPr>
          <w:rFonts w:ascii="宋体" w:hAnsi="宋体" w:eastAsia="仿宋"/>
          <w:color w:val="auto"/>
          <w:sz w:val="24"/>
          <w:highlight w:val="none"/>
        </w:rPr>
      </w:pPr>
    </w:p>
    <w:bookmarkEnd w:id="6"/>
    <w:p w14:paraId="34A467BB">
      <w:pPr>
        <w:pStyle w:val="4"/>
        <w:widowControl/>
        <w:snapToGrid w:val="0"/>
        <w:spacing w:line="360" w:lineRule="auto"/>
        <w:outlineLvl w:val="1"/>
        <w:rPr>
          <w:rStyle w:val="7"/>
          <w:rFonts w:hint="eastAsia" w:ascii="宋体" w:hAnsi="宋体" w:eastAsia="仿宋"/>
          <w:color w:val="auto"/>
          <w:sz w:val="24"/>
          <w:szCs w:val="24"/>
          <w:highlight w:val="none"/>
        </w:rPr>
      </w:pPr>
      <w:r>
        <w:rPr>
          <w:rFonts w:hint="eastAsia" w:hAnsi="宋体" w:eastAsia="仿宋"/>
          <w:color w:val="auto"/>
          <w:sz w:val="24"/>
          <w:szCs w:val="24"/>
          <w:highlight w:val="none"/>
        </w:rPr>
        <w:br w:type="page"/>
      </w:r>
      <w:bookmarkStart w:id="10" w:name="_Toc455587091"/>
      <w:bookmarkStart w:id="11" w:name="_Toc445554749"/>
      <w:bookmarkStart w:id="12" w:name="_Toc466024558"/>
      <w:bookmarkStart w:id="13" w:name="_Toc455587275"/>
      <w:r>
        <w:rPr>
          <w:rStyle w:val="7"/>
          <w:rFonts w:hint="eastAsia" w:ascii="宋体" w:hAnsi="宋体" w:eastAsia="仿宋"/>
          <w:color w:val="auto"/>
          <w:sz w:val="24"/>
          <w:szCs w:val="24"/>
          <w:highlight w:val="none"/>
        </w:rPr>
        <w:t>4. 技术要求</w:t>
      </w:r>
      <w:bookmarkEnd w:id="10"/>
      <w:bookmarkEnd w:id="11"/>
      <w:bookmarkEnd w:id="12"/>
      <w:bookmarkEnd w:id="13"/>
    </w:p>
    <w:p w14:paraId="297E5F3D">
      <w:pPr>
        <w:pStyle w:val="4"/>
        <w:widowControl/>
        <w:snapToGrid w:val="0"/>
        <w:spacing w:line="360" w:lineRule="auto"/>
        <w:ind w:firstLine="482" w:firstLineChars="200"/>
        <w:outlineLvl w:val="2"/>
        <w:rPr>
          <w:rFonts w:hint="eastAsia" w:hAnsi="宋体" w:eastAsia="仿宋"/>
          <w:b/>
          <w:bCs/>
          <w:color w:val="auto"/>
          <w:sz w:val="24"/>
          <w:szCs w:val="24"/>
          <w:highlight w:val="none"/>
        </w:rPr>
      </w:pPr>
      <w:r>
        <w:rPr>
          <w:rFonts w:hint="eastAsia" w:hAnsi="宋体" w:eastAsia="仿宋"/>
          <w:b/>
          <w:bCs/>
          <w:color w:val="auto"/>
          <w:sz w:val="24"/>
          <w:szCs w:val="24"/>
          <w:highlight w:val="none"/>
        </w:rPr>
        <w:t>4.1标识符号</w:t>
      </w:r>
    </w:p>
    <w:tbl>
      <w:tblPr>
        <w:tblStyle w:val="5"/>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323"/>
        <w:gridCol w:w="5349"/>
      </w:tblGrid>
      <w:tr w14:paraId="6587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41" w:type="pct"/>
            <w:noWrap w:val="0"/>
            <w:vAlign w:val="center"/>
          </w:tcPr>
          <w:p w14:paraId="690FC3CA">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标识类型</w:t>
            </w:r>
          </w:p>
        </w:tc>
        <w:tc>
          <w:tcPr>
            <w:tcW w:w="785" w:type="pct"/>
            <w:noWrap w:val="0"/>
            <w:vAlign w:val="center"/>
          </w:tcPr>
          <w:p w14:paraId="461C4A9D">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标识符号</w:t>
            </w:r>
          </w:p>
        </w:tc>
        <w:tc>
          <w:tcPr>
            <w:tcW w:w="3173" w:type="pct"/>
            <w:noWrap w:val="0"/>
            <w:vAlign w:val="center"/>
          </w:tcPr>
          <w:p w14:paraId="3E80AC1E">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标识符号含义</w:t>
            </w:r>
          </w:p>
        </w:tc>
      </w:tr>
      <w:tr w14:paraId="6613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685B877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核心产品</w:t>
            </w:r>
          </w:p>
        </w:tc>
        <w:tc>
          <w:tcPr>
            <w:tcW w:w="785" w:type="pct"/>
            <w:noWrap w:val="0"/>
            <w:vAlign w:val="center"/>
          </w:tcPr>
          <w:p w14:paraId="1D56BD6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73" w:type="pct"/>
            <w:noWrap w:val="0"/>
            <w:vAlign w:val="center"/>
          </w:tcPr>
          <w:p w14:paraId="1E369C3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标的属于核心产品</w:t>
            </w:r>
          </w:p>
        </w:tc>
      </w:tr>
      <w:tr w14:paraId="7975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311EF12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实质性参数</w:t>
            </w:r>
          </w:p>
        </w:tc>
        <w:tc>
          <w:tcPr>
            <w:tcW w:w="785" w:type="pct"/>
            <w:noWrap w:val="0"/>
            <w:vAlign w:val="center"/>
          </w:tcPr>
          <w:p w14:paraId="64C4F024">
            <w:pPr>
              <w:jc w:val="center"/>
              <w:rPr>
                <w:rFonts w:hint="eastAsia" w:ascii="仿宋" w:hAnsi="仿宋" w:eastAsia="仿宋" w:cs="仿宋"/>
                <w:color w:val="auto"/>
                <w:sz w:val="24"/>
                <w:highlight w:val="none"/>
              </w:rPr>
            </w:pPr>
            <w:r>
              <w:rPr>
                <w:rFonts w:hint="eastAsia" w:ascii="宋体" w:hAnsi="宋体" w:cs="宋体"/>
                <w:color w:val="auto"/>
                <w:kern w:val="0"/>
                <w:sz w:val="22"/>
                <w:szCs w:val="22"/>
                <w:highlight w:val="none"/>
                <w:lang w:bidi="ar"/>
              </w:rPr>
              <w:t>*</w:t>
            </w:r>
          </w:p>
        </w:tc>
        <w:tc>
          <w:tcPr>
            <w:tcW w:w="3173" w:type="pct"/>
            <w:noWrap w:val="0"/>
            <w:vAlign w:val="center"/>
          </w:tcPr>
          <w:p w14:paraId="121FAA2A">
            <w:pPr>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负偏离或未响应视为实质性不响应招标文件要求</w:t>
            </w:r>
          </w:p>
        </w:tc>
      </w:tr>
      <w:tr w14:paraId="0542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41" w:type="pct"/>
            <w:noWrap w:val="0"/>
            <w:vAlign w:val="center"/>
          </w:tcPr>
          <w:p w14:paraId="053755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核心参数</w:t>
            </w:r>
          </w:p>
        </w:tc>
        <w:tc>
          <w:tcPr>
            <w:tcW w:w="785" w:type="pct"/>
            <w:noWrap w:val="0"/>
            <w:vAlign w:val="center"/>
          </w:tcPr>
          <w:p w14:paraId="007B4308">
            <w:pPr>
              <w:jc w:val="center"/>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w:t>
            </w:r>
          </w:p>
        </w:tc>
        <w:tc>
          <w:tcPr>
            <w:tcW w:w="3173" w:type="pct"/>
            <w:noWrap w:val="0"/>
            <w:vAlign w:val="center"/>
          </w:tcPr>
          <w:p w14:paraId="03437F9D">
            <w:pPr>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评分项</w:t>
            </w:r>
          </w:p>
        </w:tc>
      </w:tr>
      <w:tr w14:paraId="7626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41" w:type="pct"/>
            <w:noWrap w:val="0"/>
            <w:vAlign w:val="center"/>
          </w:tcPr>
          <w:p w14:paraId="7F8A57C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一般参数</w:t>
            </w:r>
          </w:p>
        </w:tc>
        <w:tc>
          <w:tcPr>
            <w:tcW w:w="785" w:type="pct"/>
            <w:noWrap w:val="0"/>
            <w:vAlign w:val="center"/>
          </w:tcPr>
          <w:p w14:paraId="1D2D597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无标识</w:t>
            </w:r>
          </w:p>
        </w:tc>
        <w:tc>
          <w:tcPr>
            <w:tcW w:w="3173" w:type="pct"/>
            <w:noWrap w:val="0"/>
            <w:vAlign w:val="center"/>
          </w:tcPr>
          <w:p w14:paraId="72952EBF">
            <w:pPr>
              <w:jc w:val="center"/>
              <w:rPr>
                <w:rFonts w:hint="default" w:ascii="Times New Roman" w:hAnsi="Times New Roman" w:eastAsia="宋体"/>
                <w:color w:val="auto"/>
                <w:highlight w:val="none"/>
                <w:lang w:val="en-US" w:eastAsia="zh-CN"/>
              </w:rPr>
            </w:pPr>
            <w:r>
              <w:rPr>
                <w:rFonts w:hint="eastAsia" w:ascii="仿宋" w:hAnsi="仿宋" w:eastAsia="仿宋" w:cs="仿宋"/>
                <w:color w:val="auto"/>
                <w:sz w:val="24"/>
                <w:highlight w:val="none"/>
              </w:rPr>
              <w:t>评分项</w:t>
            </w:r>
          </w:p>
        </w:tc>
      </w:tr>
      <w:tr w14:paraId="26D4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00" w:type="pct"/>
            <w:gridSpan w:val="3"/>
            <w:noWrap w:val="0"/>
            <w:vAlign w:val="center"/>
          </w:tcPr>
          <w:p w14:paraId="6C731FA1">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6BEEEB8C">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（1）标识条款中如包含多条子项技术参数或要求，则需满足或优于该标识条款内所有子项技术参数或要求方能得分。</w:t>
            </w:r>
          </w:p>
          <w:p w14:paraId="2B39A0FA">
            <w:pPr>
              <w:jc w:val="left"/>
              <w:rPr>
                <w:rFonts w:hint="eastAsia" w:ascii="仿宋" w:hAnsi="仿宋" w:cs="仿宋"/>
                <w:color w:val="auto"/>
                <w:sz w:val="24"/>
                <w:highlight w:val="none"/>
              </w:rPr>
            </w:pPr>
            <w:r>
              <w:rPr>
                <w:rFonts w:hint="eastAsia" w:ascii="仿宋" w:hAnsi="仿宋" w:eastAsia="仿宋" w:cs="仿宋"/>
                <w:color w:val="auto"/>
                <w:sz w:val="22"/>
                <w:szCs w:val="22"/>
                <w:highlight w:val="none"/>
              </w:rPr>
              <w:t>（2）须按照第六章投标文件格式十，提供技术要求偏离表和技术响应资料，如不提供视为投标无效。</w:t>
            </w:r>
          </w:p>
        </w:tc>
      </w:tr>
    </w:tbl>
    <w:p w14:paraId="12A8DF81">
      <w:pPr>
        <w:pStyle w:val="4"/>
        <w:widowControl/>
        <w:snapToGrid w:val="0"/>
        <w:spacing w:line="360" w:lineRule="auto"/>
        <w:ind w:firstLine="480" w:firstLineChars="200"/>
        <w:rPr>
          <w:rFonts w:hint="eastAsia" w:hAnsi="宋体" w:eastAsia="仿宋"/>
          <w:color w:val="auto"/>
          <w:sz w:val="24"/>
          <w:szCs w:val="24"/>
          <w:highlight w:val="none"/>
        </w:rPr>
      </w:pPr>
    </w:p>
    <w:p w14:paraId="65DCF522">
      <w:pPr>
        <w:pStyle w:val="4"/>
        <w:widowControl/>
        <w:snapToGrid w:val="0"/>
        <w:spacing w:line="360" w:lineRule="auto"/>
        <w:ind w:firstLine="482" w:firstLineChars="200"/>
        <w:outlineLvl w:val="2"/>
        <w:rPr>
          <w:rFonts w:hint="eastAsia" w:hAnsi="宋体" w:eastAsia="仿宋"/>
          <w:b/>
          <w:bCs/>
          <w:color w:val="auto"/>
          <w:sz w:val="24"/>
          <w:szCs w:val="24"/>
          <w:highlight w:val="none"/>
        </w:rPr>
      </w:pPr>
      <w:r>
        <w:rPr>
          <w:rFonts w:hint="eastAsia" w:hAnsi="宋体" w:eastAsia="仿宋"/>
          <w:b/>
          <w:bCs/>
          <w:color w:val="auto"/>
          <w:sz w:val="24"/>
          <w:szCs w:val="24"/>
          <w:highlight w:val="none"/>
        </w:rPr>
        <w:t>4.2技术要求表</w:t>
      </w:r>
    </w:p>
    <w:p w14:paraId="4E6E35B4">
      <w:pPr>
        <w:numPr>
          <w:ilvl w:val="0"/>
          <w:numId w:val="0"/>
        </w:numPr>
        <w:spacing w:line="360" w:lineRule="auto"/>
        <w:jc w:val="center"/>
        <w:rPr>
          <w:rFonts w:hint="eastAsia" w:ascii="Times New Roman" w:hAnsi="Times New Roman" w:eastAsia="宋体" w:cs="Times New Roman"/>
          <w:b/>
          <w:bCs/>
          <w:color w:val="auto"/>
          <w:sz w:val="24"/>
          <w:szCs w:val="24"/>
          <w:highlight w:val="none"/>
          <w:lang w:val="en-US" w:eastAsia="zh-CN"/>
        </w:rPr>
      </w:pPr>
      <w:r>
        <w:rPr>
          <w:rFonts w:hint="eastAsia" w:ascii="仿宋" w:hAnsi="仿宋" w:eastAsia="仿宋" w:cs="仿宋"/>
          <w:color w:val="auto"/>
          <w:sz w:val="24"/>
          <w:highlight w:val="none"/>
        </w:rPr>
        <w:t>▲</w:t>
      </w:r>
      <w:r>
        <w:rPr>
          <w:rFonts w:hint="eastAsia" w:cs="Times New Roman"/>
          <w:b/>
          <w:bCs/>
          <w:color w:val="auto"/>
          <w:sz w:val="24"/>
          <w:szCs w:val="24"/>
          <w:highlight w:val="none"/>
          <w:lang w:val="en-US" w:eastAsia="zh-CN"/>
        </w:rPr>
        <w:t>高端全身超声一体机</w:t>
      </w:r>
    </w:p>
    <w:p w14:paraId="4855007B">
      <w:pPr>
        <w:pStyle w:val="4"/>
        <w:widowControl/>
        <w:snapToGrid w:val="0"/>
        <w:spacing w:line="360" w:lineRule="auto"/>
        <w:ind w:firstLine="482" w:firstLineChars="200"/>
        <w:outlineLvl w:val="9"/>
        <w:rPr>
          <w:rFonts w:hint="eastAsia" w:hAnsi="宋体" w:eastAsia="仿宋"/>
          <w:b/>
          <w:bCs/>
          <w:color w:val="auto"/>
          <w:sz w:val="24"/>
          <w:szCs w:val="24"/>
          <w:highlight w:val="none"/>
        </w:rPr>
      </w:pPr>
    </w:p>
    <w:p w14:paraId="07946FA3">
      <w:pPr>
        <w:keepNext w:val="0"/>
        <w:keepLines w:val="0"/>
        <w:pageBreakBefore w:val="0"/>
        <w:widowControl/>
        <w:kinsoku/>
        <w:wordWrap/>
        <w:topLinePunct w:val="0"/>
        <w:bidi w:val="0"/>
        <w:snapToGrid/>
        <w:spacing w:line="360" w:lineRule="auto"/>
        <w:ind w:left="0" w:right="0" w:firstLine="482" w:firstLineChars="200"/>
        <w:jc w:val="lef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一</w:t>
      </w:r>
      <w:r>
        <w:rPr>
          <w:rFonts w:hint="eastAsia" w:ascii="仿宋" w:hAnsi="仿宋" w:eastAsia="仿宋" w:cs="仿宋"/>
          <w:b/>
          <w:bCs/>
          <w:color w:val="000000" w:themeColor="text1"/>
          <w:kern w:val="0"/>
          <w:sz w:val="24"/>
          <w:highlight w:val="none"/>
          <w14:textFill>
            <w14:solidFill>
              <w14:schemeClr w14:val="tx1"/>
            </w14:solidFill>
          </w14:textFill>
        </w:rPr>
        <w:t>、投标要求</w:t>
      </w:r>
    </w:p>
    <w:p w14:paraId="28224916">
      <w:pPr>
        <w:keepNext w:val="0"/>
        <w:keepLines w:val="0"/>
        <w:pageBreakBefore w:val="0"/>
        <w:widowControl/>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投标机型要求：</w:t>
      </w:r>
      <w:r>
        <w:rPr>
          <w:rFonts w:hint="eastAsia" w:ascii="仿宋" w:hAnsi="仿宋" w:eastAsia="仿宋" w:cs="仿宋"/>
          <w:color w:val="0D0D0D" w:themeColor="text1" w:themeTint="F2"/>
          <w:sz w:val="24"/>
          <w:highlight w:val="none"/>
          <w14:textFill>
            <w14:solidFill>
              <w14:schemeClr w14:val="tx1">
                <w14:lumMod w14:val="95000"/>
                <w14:lumOff w14:val="5000"/>
              </w14:schemeClr>
            </w14:solidFill>
          </w14:textFill>
        </w:rPr>
        <w:t>要求所投机型不得低于</w:t>
      </w:r>
      <w:r>
        <w:rPr>
          <w:rFonts w:hint="eastAsia" w:ascii="仿宋" w:hAnsi="仿宋" w:eastAsia="仿宋" w:cs="仿宋"/>
          <w:color w:val="000000"/>
          <w:kern w:val="0"/>
          <w:sz w:val="24"/>
          <w:highlight w:val="none"/>
        </w:rPr>
        <w:t>LOGIQ</w:t>
      </w:r>
      <w:r>
        <w:rPr>
          <w:rFonts w:hint="eastAsia" w:ascii="仿宋" w:hAnsi="仿宋" w:eastAsia="仿宋" w:cs="仿宋"/>
          <w:color w:val="0D0D0D" w:themeColor="text1" w:themeTint="F2"/>
          <w:sz w:val="24"/>
          <w:highlight w:val="none"/>
          <w14:textFill>
            <w14:solidFill>
              <w14:schemeClr w14:val="tx1">
                <w14:lumMod w14:val="95000"/>
                <w14:lumOff w14:val="5000"/>
              </w14:schemeClr>
            </w14:solidFill>
          </w14:textFill>
        </w:rPr>
        <w:t xml:space="preserve"> E20, </w:t>
      </w:r>
      <w:r>
        <w:rPr>
          <w:rFonts w:hint="eastAsia" w:ascii="仿宋" w:hAnsi="仿宋" w:eastAsia="仿宋" w:cs="仿宋"/>
          <w:color w:val="000000"/>
          <w:kern w:val="0"/>
          <w:sz w:val="24"/>
          <w:highlight w:val="none"/>
        </w:rPr>
        <w:t>EPIQ Elite, Aplio i900   Tus-Ai900, ACUSON  Sequoia SiLver M 等,其它品牌性能不低于以上机型</w:t>
      </w:r>
    </w:p>
    <w:p w14:paraId="6C14285C">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 物理规格：</w:t>
      </w:r>
    </w:p>
    <w:p w14:paraId="4E0D8820">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1.1超声主机具备:全聚焦相干成像技术或软件波束成像技术或Elevate技术或无极声学智慧技术</w:t>
      </w:r>
    </w:p>
    <w:p w14:paraId="19C13C21">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█1.2显示器要求：≥23英寸OLED/HDU/HD Max显示器，分辨率1920×1080 </w:t>
      </w:r>
    </w:p>
    <w:p w14:paraId="2E56A168">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1.3液晶触摸屏≥12英寸，分辨率1920×1080   </w:t>
      </w:r>
    </w:p>
    <w:p w14:paraId="59E1F052">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1.4操作面板（键盘）可电动上下升降、左右旋转和前后调节。</w:t>
      </w:r>
    </w:p>
    <w:p w14:paraId="61E79A1C">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1.5成像探头接口数量≥4个,激活并相互通用  </w:t>
      </w:r>
    </w:p>
    <w:p w14:paraId="3830ACBD">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2.系统成像</w:t>
      </w:r>
    </w:p>
    <w:p w14:paraId="179E7048">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2.1具备二维灰阶成像、M型模式、彩色多普勒成像、频谱多普勒成像，连续多普勒成像、能量多普勒成像、方向性能量多普勒成像、谐波成像。</w:t>
      </w:r>
    </w:p>
    <w:p w14:paraId="0CAF9BD4">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宽频可变频成像技术：灰阶、谐波、彩色、频谱支持独立变频，中心频率可视可调并显示具体数值。</w:t>
      </w:r>
    </w:p>
    <w:p w14:paraId="22696A9D">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 xml:space="preserve"> 系统动态范围≥380dB  </w:t>
      </w:r>
    </w:p>
    <w:p w14:paraId="66C48A5E">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 xml:space="preserve"> 脉冲优化处理技术或智能像素优化技术。</w:t>
      </w:r>
    </w:p>
    <w:p w14:paraId="3706573A">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 智能图像优化技术或连续组织优化技术。</w:t>
      </w:r>
    </w:p>
    <w:p w14:paraId="5A4D784C">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 xml:space="preserve"> 空间复合成像技术，支持所有凸阵、线阵及容积探头。</w:t>
      </w:r>
    </w:p>
    <w:p w14:paraId="690320BB">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 xml:space="preserve"> 自适应核磁像素优化技术或类似技术，支持所有成像探头。</w:t>
      </w:r>
    </w:p>
    <w:p w14:paraId="42774730">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 xml:space="preserve"> 宽景成像或全景成像，支持所有二维成像探头。</w:t>
      </w:r>
    </w:p>
    <w:p w14:paraId="0B9A65FD">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 xml:space="preserve"> 具备超声声速自动校正技术或者类似技术，可显示具体数值。</w:t>
      </w:r>
    </w:p>
    <w:p w14:paraId="3A15E349">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 xml:space="preserve"> 相干成像或类似技术，仪器无任何实体和触摸按键可调节焦点位置和数目，图像区域无聚焦点或聚焦带 </w:t>
      </w:r>
    </w:p>
    <w:p w14:paraId="4787CB72">
      <w:pPr>
        <w:keepNext w:val="0"/>
        <w:keepLines w:val="0"/>
        <w:pageBreakBefore w:val="0"/>
        <w:kinsoku/>
        <w:wordWrap/>
        <w:overflowPunct w:val="0"/>
        <w:topLinePunct w:val="0"/>
        <w:autoSpaceDE w:val="0"/>
        <w:autoSpaceDN w:val="0"/>
        <w:bidi w:val="0"/>
        <w:adjustRightInd w:val="0"/>
        <w:snapToGrid/>
        <w:spacing w:line="360" w:lineRule="auto"/>
        <w:ind w:left="0" w:right="0" w:firstLine="480" w:firstLineChars="200"/>
        <w:jc w:val="left"/>
        <w:textAlignment w:val="baseline"/>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 xml:space="preserve"> 高清放大功能，可对局部图像进行高清放大。</w:t>
      </w:r>
    </w:p>
    <w:p w14:paraId="01846EA9">
      <w:pPr>
        <w:keepNext w:val="0"/>
        <w:keepLines w:val="0"/>
        <w:pageBreakBefore w:val="0"/>
        <w:kinsoku/>
        <w:wordWrap/>
        <w:overflowPunct w:val="0"/>
        <w:topLinePunct w:val="0"/>
        <w:autoSpaceDE w:val="0"/>
        <w:autoSpaceDN w:val="0"/>
        <w:bidi w:val="0"/>
        <w:adjustRightInd w:val="0"/>
        <w:snapToGrid/>
        <w:spacing w:line="360" w:lineRule="auto"/>
        <w:ind w:left="0" w:right="0" w:firstLine="480" w:firstLineChars="200"/>
        <w:jc w:val="left"/>
        <w:textAlignment w:val="baseline"/>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 xml:space="preserve"> 自适应预设，系统自动识别当前扫查器官，并自动切换当前扫描脏器的成像预设，减少多个按键调节，快速获得优质图像。</w:t>
      </w:r>
    </w:p>
    <w:p w14:paraId="2B8A91D3">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 xml:space="preserve"> 多影像实时对比联合诊断技术或多模态对比技术。 </w:t>
      </w:r>
    </w:p>
    <w:p w14:paraId="2DA966C1">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 xml:space="preserve"> 具备数据防御系统，可对不同人群设置数据开放度及访问权限。</w:t>
      </w:r>
    </w:p>
    <w:p w14:paraId="38706CB0">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 主机具备内置耦合剂加热装置，加热温度分级可控。</w:t>
      </w:r>
    </w:p>
    <w:p w14:paraId="1A2F70F3">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 xml:space="preserve"> 扫描助手，系统可依据操作者自定义工作流程自动完成每一步操作，减少按键操作及检查时间。</w:t>
      </w:r>
    </w:p>
    <w:p w14:paraId="6CB18968">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 心脏成像或功能</w:t>
      </w:r>
    </w:p>
    <w:p w14:paraId="7A16274C">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具备单晶体矩阵心脏容积探头</w:t>
      </w:r>
    </w:p>
    <w:p w14:paraId="290A4361">
      <w:pPr>
        <w:keepNext w:val="0"/>
        <w:keepLines w:val="0"/>
        <w:pageBreakBefore w:val="0"/>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相控阵探头最大显示扫描角度≥120°或扇扩</w:t>
      </w:r>
    </w:p>
    <w:p w14:paraId="68E34583">
      <w:pPr>
        <w:keepNext w:val="0"/>
        <w:keepLines w:val="0"/>
        <w:pageBreakBefore w:val="0"/>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 具备心肌定量分析心肌组织多普勒定量分析，支持多节段分析</w:t>
      </w:r>
    </w:p>
    <w:p w14:paraId="5CCE93CE">
      <w:pPr>
        <w:keepNext w:val="0"/>
        <w:keepLines w:val="0"/>
        <w:pageBreakBefore w:val="0"/>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3.4 智能像素优化技术或心肌纹理成像或类似成像，支持心脏二维成像，分级可调，增强组织显示 </w:t>
      </w:r>
    </w:p>
    <w:p w14:paraId="04C53E88">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 支持心肌组织多普勒速度成像，同时支持解剖 M 型和曲线解剖 M 型</w:t>
      </w:r>
    </w:p>
    <w:p w14:paraId="70391EF5">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3.6 心肌二维斑点追踪技术，心肌应变和应变率分析，自动评估多节段心肌功能，以牛眼图形式直观显示  </w:t>
      </w:r>
    </w:p>
    <w:p w14:paraId="52754F9D">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 心功能自动计算功能，自动得到 EF、CO、SV 等心功能数据。</w:t>
      </w:r>
    </w:p>
    <w:p w14:paraId="2ED2D62E">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3.8 具备负荷超声</w:t>
      </w:r>
    </w:p>
    <w:p w14:paraId="41A7FCEA">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3.9 具备心腔及心肌造影</w:t>
      </w:r>
    </w:p>
    <w:p w14:paraId="43F1987B">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3.10 相控阵探头最大显示扫描深度≥35cm(技术白皮书证明）</w:t>
      </w:r>
    </w:p>
    <w:p w14:paraId="4D5B22BB">
      <w:pPr>
        <w:keepNext w:val="0"/>
        <w:keepLines w:val="0"/>
        <w:pageBreakBefore w:val="0"/>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 内置ECG 心电安装组件。</w:t>
      </w:r>
    </w:p>
    <w:p w14:paraId="350A4DC9">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4.血流血管成像</w:t>
      </w:r>
    </w:p>
    <w:p w14:paraId="4459098A">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 具备血管增强技术或类似技术，有效增强深部血管和微小血管管壁、管腔、血管内膜等结构的显示能力。</w:t>
      </w:r>
    </w:p>
    <w:p w14:paraId="06653C71">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 具有微细血流成像，可捕捉超微细血流及超低速血流信号，可进行血流速度测量，支持立体显示模式和造影模式。(技术白皮书证明）</w:t>
      </w:r>
    </w:p>
    <w:p w14:paraId="07E5224D">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 立体血流成像，二维血流显示达到三维显示效果，立体程度可调节，支持测速（技术白皮书证明）</w:t>
      </w:r>
    </w:p>
    <w:p w14:paraId="5D7540BD">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 多普勒血流定量或类似技术，通过对组织感兴趣区的多普勒血流信号计算分析，获得定量数据，可以数据活曲线显示</w:t>
      </w:r>
    </w:p>
    <w:p w14:paraId="3C105DE9">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 自适应血流优化或类似技术，系统自动识别当前扫描血管的</w:t>
      </w:r>
      <w:r>
        <w:rPr>
          <w:rFonts w:hint="eastAsia" w:ascii="仿宋" w:hAnsi="仿宋" w:eastAsia="仿宋" w:cs="仿宋"/>
          <w:color w:val="000000" w:themeColor="text1"/>
          <w:kern w:val="0"/>
          <w:sz w:val="24"/>
          <w:highlight w:val="none"/>
          <w14:textFill>
            <w14:solidFill>
              <w14:schemeClr w14:val="tx1"/>
            </w14:solidFill>
          </w14:textFill>
        </w:rPr>
        <w:t>特征，自动调节血流成像参数，以获得最佳血流图像，减少操作，提高工作效率。</w:t>
      </w:r>
    </w:p>
    <w:p w14:paraId="490A11F0">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4.6 智能多普勒血管检查技术，</w:t>
      </w:r>
      <w:r>
        <w:rPr>
          <w:rFonts w:hint="eastAsia" w:ascii="仿宋" w:hAnsi="仿宋" w:eastAsia="仿宋" w:cs="仿宋"/>
          <w:color w:val="000000" w:themeColor="text1"/>
          <w:sz w:val="24"/>
          <w:highlight w:val="none"/>
          <w14:textFill>
            <w14:solidFill>
              <w14:schemeClr w14:val="tx1"/>
            </w14:solidFill>
          </w14:textFill>
        </w:rPr>
        <w:t>一键完成整个血管检查，包含自动实时识别血管位置、自动调整彩色取样框位置、角度，自动启动频谱多普勒、调整频谱取样容积及角度、自动优化频谱并自动测</w:t>
      </w:r>
      <w:r>
        <w:rPr>
          <w:rFonts w:hint="eastAsia" w:ascii="仿宋" w:hAnsi="仿宋" w:eastAsia="仿宋" w:cs="仿宋"/>
          <w:color w:val="000000" w:themeColor="text1"/>
          <w:kern w:val="0"/>
          <w:sz w:val="24"/>
          <w:highlight w:val="none"/>
          <w14:textFill>
            <w14:solidFill>
              <w14:schemeClr w14:val="tx1"/>
            </w14:solidFill>
          </w14:textFill>
        </w:rPr>
        <w:t>量。(提供技术白皮书证明）</w:t>
      </w:r>
    </w:p>
    <w:p w14:paraId="073FBD9D">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4.7 血管内中膜厚度自动测量</w:t>
      </w:r>
      <w:r>
        <w:rPr>
          <w:rFonts w:hint="eastAsia" w:ascii="仿宋" w:hAnsi="仿宋" w:eastAsia="仿宋" w:cs="仿宋"/>
          <w:color w:val="000000" w:themeColor="text1"/>
          <w:kern w:val="0"/>
          <w:sz w:val="24"/>
          <w:highlight w:val="none"/>
          <w:lang w:val="it-IT"/>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可在同一切面内同时测量前壁和后壁血管内中膜厚度，自动得出多组参数。</w:t>
      </w:r>
    </w:p>
    <w:p w14:paraId="29345DBE">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5. 先进成像及功能</w:t>
      </w:r>
    </w:p>
    <w:p w14:paraId="202C9A35">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 造影成像，支持凸阵、线阵、相控阵、微凸阵、腔内、术中、凸阵容积和腔内容积探头等，具备在机及离机造影时间强度曲线定量分析，高帧率造影（凸阵10cm，45°，帧率≥40帧/秒；线阵4cm，帧率FR≥90帧/秒）(提供技术白皮书证明 )。</w:t>
      </w:r>
    </w:p>
    <w:p w14:paraId="12C6890F">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 具备造影到达时间成像或造影时序分析功能或参量成像功能，使用不同颜色标记造影剂到达时间，方便观察并比较病灶及组织的造影剂灌注特点。</w:t>
      </w:r>
    </w:p>
    <w:p w14:paraId="0EDCC94E">
      <w:pPr>
        <w:keepNext w:val="0"/>
        <w:keepLines w:val="0"/>
        <w:pageBreakBefore w:val="0"/>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5.3 应变弹性成像，支持凸阵、线阵、腔内、术中等多种探头，具备弹性量化分析</w:t>
      </w:r>
    </w:p>
    <w:p w14:paraId="580911A4">
      <w:pPr>
        <w:keepNext w:val="0"/>
        <w:keepLines w:val="0"/>
        <w:pageBreakBefore w:val="0"/>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5.4 剪切波弹性成像，支持凸阵、线阵、腔内、术中等多种探头，具备弹性量化分析</w:t>
      </w:r>
    </w:p>
    <w:p w14:paraId="730D1FFF">
      <w:pPr>
        <w:keepNext w:val="0"/>
        <w:keepLines w:val="0"/>
        <w:pageBreakBefore w:val="0"/>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5.5 剪切波频散成像或粘弹性成像  （提供证明）</w:t>
      </w:r>
    </w:p>
    <w:p w14:paraId="4EEFCEBA">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5.6</w:t>
      </w:r>
      <w:r>
        <w:rPr>
          <w:rFonts w:hint="eastAsia" w:ascii="仿宋" w:hAnsi="仿宋" w:eastAsia="仿宋" w:cs="仿宋"/>
          <w:color w:val="000000" w:themeColor="text1"/>
          <w:kern w:val="0"/>
          <w:sz w:val="24"/>
          <w:highlight w:val="none"/>
          <w14:textFill>
            <w14:solidFill>
              <w14:schemeClr w14:val="tx1"/>
            </w14:solidFill>
          </w14:textFill>
        </w:rPr>
        <w:t>肝脏脂肪定量或肝脏衍生脂肪分数测量或衰减成像，用于代谢相关性脂肪性肝病的早期发现、定量、分级及检测</w:t>
      </w:r>
      <w:r>
        <w:rPr>
          <w:rFonts w:hint="eastAsia" w:ascii="仿宋" w:hAnsi="仿宋" w:eastAsia="仿宋" w:cs="仿宋"/>
          <w:color w:val="000000" w:themeColor="text1"/>
          <w:sz w:val="24"/>
          <w:highlight w:val="none"/>
          <w14:textFill>
            <w14:solidFill>
              <w14:schemeClr w14:val="tx1"/>
            </w14:solidFill>
          </w14:textFill>
        </w:rPr>
        <w:t>。</w:t>
      </w:r>
    </w:p>
    <w:p w14:paraId="5CE56C61">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5.7多参数成像或类似技术，整合衰减成像与剪切波弹性成像等，在同一切面及位置同时获取组织衰减系数及弹性系数，提高定量的准确性。</w:t>
      </w:r>
    </w:p>
    <w:p w14:paraId="62D0672B">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5.8 内置乳腺AI或乳腺自动测量功能，根据回声信号自动识别病灶、自动包络病灶边界，并进行自动测量，自动获取病灶长、宽、高、周长、面积等数值。 (技术白皮书证明)</w:t>
      </w:r>
    </w:p>
    <w:p w14:paraId="79218EA8">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5.9 内置乳腺甲状腺AI或甲状腺自动测量功能，根据回声信号自动识别病灶、自动包络病灶边界，并进行自动测量，自动获取病灶长、宽、高、周长、面积等数值。(技术白皮书证明)</w:t>
      </w:r>
    </w:p>
    <w:p w14:paraId="25CD1029">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5.10 穿刺针增强显示功能：可独立调节穿刺针增益、具体穿刺针增益数值可显示或具备穿刺针增强技术，支持增强前后双幅对比或支持中央开槽凸阵介入探头。</w:t>
      </w:r>
    </w:p>
    <w:p w14:paraId="46B7CCAF">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5.11 </w:t>
      </w:r>
      <w:r>
        <w:rPr>
          <w:rFonts w:hint="eastAsia" w:ascii="仿宋" w:hAnsi="仿宋" w:eastAsia="仿宋" w:cs="仿宋"/>
          <w:color w:val="000000" w:themeColor="text1"/>
          <w:kern w:val="0"/>
          <w:sz w:val="24"/>
          <w:highlight w:val="none"/>
          <w14:textFill>
            <w14:solidFill>
              <w14:schemeClr w14:val="tx1"/>
            </w14:solidFill>
          </w14:textFill>
        </w:rPr>
        <w:t>智能结构甄别技术或类似技术，</w:t>
      </w:r>
      <w:r>
        <w:rPr>
          <w:rFonts w:hint="eastAsia" w:ascii="仿宋" w:hAnsi="仿宋" w:eastAsia="仿宋" w:cs="仿宋"/>
          <w:color w:val="000000" w:themeColor="text1"/>
          <w:sz w:val="24"/>
          <w:highlight w:val="none"/>
          <w14:textFill>
            <w14:solidFill>
              <w14:schemeClr w14:val="tx1"/>
            </w14:solidFill>
          </w14:textFill>
        </w:rPr>
        <w:t>组织边界识别肝脏等组织，在用户标定ROI区域自动识别病灶、自动包络病灶边界，对追踪边界进行细微调整校对</w:t>
      </w:r>
      <w:r>
        <w:rPr>
          <w:rFonts w:hint="eastAsia" w:ascii="仿宋" w:hAnsi="仿宋" w:eastAsia="仿宋" w:cs="仿宋"/>
          <w:color w:val="000000" w:themeColor="text1"/>
          <w:kern w:val="0"/>
          <w:sz w:val="24"/>
          <w:highlight w:val="none"/>
          <w14:textFill>
            <w14:solidFill>
              <w14:schemeClr w14:val="tx1"/>
            </w14:solidFill>
          </w14:textFill>
        </w:rPr>
        <w:t>。</w:t>
      </w:r>
    </w:p>
    <w:p w14:paraId="51F86441">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6.测量分析和报告</w:t>
      </w:r>
    </w:p>
    <w:p w14:paraId="32EEBE2B">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6.1具备全科测量软件包（包括腹部，浅表，心脏，妇儿等全套软件）。</w:t>
      </w:r>
    </w:p>
    <w:p w14:paraId="71BE9B67">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 血管内中膜自动测量。</w:t>
      </w:r>
    </w:p>
    <w:p w14:paraId="06FC055E">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6.3 小儿髋关节测量功能</w:t>
      </w:r>
    </w:p>
    <w:p w14:paraId="364CD71D">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6.4 </w:t>
      </w:r>
      <w:r>
        <w:rPr>
          <w:rFonts w:hint="eastAsia" w:ascii="仿宋" w:hAnsi="仿宋" w:eastAsia="仿宋" w:cs="仿宋"/>
          <w:color w:val="000000" w:themeColor="text1"/>
          <w:kern w:val="0"/>
          <w:sz w:val="24"/>
          <w:highlight w:val="none"/>
          <w14:textFill>
            <w14:solidFill>
              <w14:schemeClr w14:val="tx1"/>
            </w14:solidFill>
          </w14:textFill>
        </w:rPr>
        <w:t>多普勒频谱自动包络、测量与计算，参数由客户自由选择。</w:t>
      </w:r>
    </w:p>
    <w:p w14:paraId="1C13BAEE">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6.5 具备肾脏自动测量技术，系统自动测量肾脏长径、前后径、短径  </w:t>
      </w:r>
    </w:p>
    <w:p w14:paraId="4E7DDD5E">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7.电影回放、原始数据处理和检查存储管理系统:</w:t>
      </w:r>
    </w:p>
    <w:p w14:paraId="490B4542">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7.1 原始数据处理，支持存储图像多参数调节，最大可调节参数≥30项。</w:t>
      </w:r>
    </w:p>
    <w:p w14:paraId="4A7EA7C5">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7.2主机内置固态硬盘容量≥1TB </w:t>
      </w:r>
    </w:p>
    <w:p w14:paraId="20577F2F">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7.3 USB 3.0接口≥4个，用于图像传输</w:t>
      </w:r>
    </w:p>
    <w:p w14:paraId="0EB5217E">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7.4 在屏剪帖板和多画面同屏回放功能，不同检查日期所存的图像可以回放至同一屏幕比较分析。</w:t>
      </w:r>
    </w:p>
    <w:p w14:paraId="62795E19">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8.连通性</w:t>
      </w:r>
    </w:p>
    <w:p w14:paraId="6AD56333">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8.1 输入/输出信号：HDMI、USB等</w:t>
      </w:r>
    </w:p>
    <w:p w14:paraId="684CAD55">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 影像互联功能：由移动端（手机或平板电脑）所拍摄的图片可瞬时上传至超声设备，单幅显示或与超声、超声动态图像同屏对照显示。</w:t>
      </w:r>
      <w:r>
        <w:rPr>
          <w:rFonts w:hint="eastAsia" w:ascii="仿宋" w:hAnsi="仿宋" w:eastAsia="仿宋" w:cs="仿宋"/>
          <w:color w:val="000000" w:themeColor="text1"/>
          <w:kern w:val="0"/>
          <w:sz w:val="24"/>
          <w:highlight w:val="none"/>
          <w14:textFill>
            <w14:solidFill>
              <w14:schemeClr w14:val="tx1"/>
            </w14:solidFill>
          </w14:textFill>
        </w:rPr>
        <w:t>适用于介入穿刺、手术、MDT、多人带教等临床场景</w:t>
      </w:r>
    </w:p>
    <w:p w14:paraId="56F1CC5A">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9.系统技术参数及要求</w:t>
      </w:r>
    </w:p>
    <w:p w14:paraId="27803D76">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9.1</w:t>
      </w:r>
      <w:r>
        <w:rPr>
          <w:rFonts w:hint="eastAsia" w:ascii="仿宋" w:hAnsi="仿宋" w:eastAsia="仿宋" w:cs="仿宋"/>
          <w:color w:val="000000" w:themeColor="text1"/>
          <w:kern w:val="0"/>
          <w:sz w:val="24"/>
          <w:highlight w:val="none"/>
          <w14:textFill>
            <w14:solidFill>
              <w14:schemeClr w14:val="tx1"/>
            </w14:solidFill>
          </w14:textFill>
        </w:rPr>
        <w:t>频率：无针触点式宽频变频探头，所有探头及所有检查模式要有明确的中心频率显示，实现二维、谐波、彩色、多普勒频率独立可调并显示具体数值。有针</w:t>
      </w:r>
    </w:p>
    <w:p w14:paraId="7A10CF4E">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9.2探头最大物理阵元数</w:t>
      </w:r>
      <w:r>
        <w:rPr>
          <w:rFonts w:hint="eastAsia" w:ascii="仿宋" w:hAnsi="仿宋" w:eastAsia="仿宋" w:cs="仿宋"/>
          <w:bCs/>
          <w:snapToGrid w:val="0"/>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1000（提供证明材料）</w:t>
      </w:r>
    </w:p>
    <w:p w14:paraId="4084A541">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9.3探头频率:  线阵探头最高支持频率 ≥23MHz</w:t>
      </w:r>
    </w:p>
    <w:p w14:paraId="026EBF52">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9.4</w:t>
      </w:r>
      <w:r>
        <w:rPr>
          <w:rFonts w:hint="eastAsia" w:ascii="仿宋" w:hAnsi="仿宋" w:eastAsia="仿宋" w:cs="仿宋"/>
          <w:bCs/>
          <w:snapToGrid w:val="0"/>
          <w:color w:val="000000" w:themeColor="text1"/>
          <w:kern w:val="0"/>
          <w:sz w:val="24"/>
          <w:highlight w:val="none"/>
          <w14:textFill>
            <w14:solidFill>
              <w14:schemeClr w14:val="tx1"/>
            </w14:solidFill>
          </w14:textFill>
        </w:rPr>
        <w:t xml:space="preserve">标配凸阵探头最大显示扫描深度≥45cm   </w:t>
      </w:r>
    </w:p>
    <w:p w14:paraId="204E56E9">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9.5标配</w:t>
      </w:r>
      <w:r>
        <w:rPr>
          <w:rFonts w:hint="eastAsia" w:ascii="仿宋" w:hAnsi="仿宋" w:eastAsia="仿宋" w:cs="仿宋"/>
          <w:color w:val="000000" w:themeColor="text1"/>
          <w:sz w:val="24"/>
          <w:highlight w:val="none"/>
          <w14:textFill>
            <w14:solidFill>
              <w14:schemeClr w14:val="tx1"/>
            </w14:solidFill>
          </w14:textFill>
        </w:rPr>
        <w:t>单晶体</w:t>
      </w:r>
      <w:r>
        <w:rPr>
          <w:rFonts w:hint="eastAsia" w:ascii="仿宋" w:hAnsi="仿宋" w:eastAsia="仿宋" w:cs="仿宋"/>
          <w:color w:val="000000" w:themeColor="text1"/>
          <w:kern w:val="0"/>
          <w:sz w:val="24"/>
          <w:highlight w:val="none"/>
          <w14:textFill>
            <w14:solidFill>
              <w14:schemeClr w14:val="tx1"/>
            </w14:solidFill>
          </w14:textFill>
        </w:rPr>
        <w:t>凸阵探头，1把：支持应变弹性成像、剪切波弹性成像、衰减成像和造影成像 不支持应变</w:t>
      </w:r>
    </w:p>
    <w:p w14:paraId="3FD646CB">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9.6标配腔内探头，1把：</w:t>
      </w:r>
      <w:r>
        <w:rPr>
          <w:rFonts w:hint="eastAsia" w:ascii="仿宋" w:hAnsi="仿宋" w:eastAsia="仿宋" w:cs="仿宋"/>
          <w:color w:val="000000" w:themeColor="text1"/>
          <w:sz w:val="24"/>
          <w:highlight w:val="none"/>
          <w14:textFill>
            <w14:solidFill>
              <w14:schemeClr w14:val="tx1"/>
            </w14:solidFill>
          </w14:textFill>
        </w:rPr>
        <w:t>成像角度≥180°，</w:t>
      </w:r>
      <w:r>
        <w:rPr>
          <w:rFonts w:hint="eastAsia" w:ascii="仿宋" w:hAnsi="仿宋" w:eastAsia="仿宋" w:cs="仿宋"/>
          <w:color w:val="000000" w:themeColor="text1"/>
          <w:kern w:val="0"/>
          <w:sz w:val="24"/>
          <w:highlight w:val="none"/>
          <w14:textFill>
            <w14:solidFill>
              <w14:schemeClr w14:val="tx1"/>
            </w14:solidFill>
          </w14:textFill>
        </w:rPr>
        <w:t>支持应变弹性成像、剪切波弹性成像和造影成像</w:t>
      </w:r>
    </w:p>
    <w:p w14:paraId="4269D9B5">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9.7标配线阵探头，1把：支持应变弹性成像、剪切波弹性成像和造影成像</w:t>
      </w:r>
    </w:p>
    <w:p w14:paraId="76E610EB">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9.8标配单晶体超高频线阵探头，1把：支持应变弹性成像、剪切波弹性成像和造影成像</w:t>
      </w:r>
    </w:p>
    <w:p w14:paraId="5F84A39D">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9.9标配单晶体相控阵探头，1把：支持造影成像</w:t>
      </w:r>
    </w:p>
    <w:p w14:paraId="0BD8746A">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9.10</w:t>
      </w:r>
      <w:r>
        <w:rPr>
          <w:rFonts w:hint="eastAsia" w:ascii="仿宋" w:hAnsi="仿宋" w:eastAsia="仿宋" w:cs="仿宋"/>
          <w:color w:val="000000" w:themeColor="text1"/>
          <w:sz w:val="24"/>
          <w:highlight w:val="none"/>
          <w14:textFill>
            <w14:solidFill>
              <w14:schemeClr w14:val="tx1"/>
            </w14:solidFill>
          </w14:textFill>
        </w:rPr>
        <w:t>二维灰阶成像≥256 灰阶</w:t>
      </w:r>
    </w:p>
    <w:p w14:paraId="28F2D9C3">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9.11</w:t>
      </w:r>
      <w:r>
        <w:rPr>
          <w:rFonts w:hint="eastAsia" w:ascii="仿宋" w:hAnsi="仿宋" w:eastAsia="仿宋" w:cs="仿宋"/>
          <w:color w:val="000000" w:themeColor="text1"/>
          <w:sz w:val="24"/>
          <w:highlight w:val="none"/>
          <w14:textFill>
            <w14:solidFill>
              <w14:schemeClr w14:val="tx1"/>
            </w14:solidFill>
          </w14:textFill>
        </w:rPr>
        <w:t>增益调节：TGC增益补偿≥8 段，B/M 可独立调节</w:t>
      </w:r>
    </w:p>
    <w:p w14:paraId="0B62FED9">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9.12</w:t>
      </w:r>
      <w:r>
        <w:rPr>
          <w:rFonts w:hint="eastAsia" w:ascii="仿宋" w:hAnsi="仿宋" w:eastAsia="仿宋" w:cs="仿宋"/>
          <w:color w:val="000000" w:themeColor="text1"/>
          <w:sz w:val="24"/>
          <w:highlight w:val="none"/>
          <w14:textFill>
            <w14:solidFill>
              <w14:schemeClr w14:val="tx1"/>
            </w14:solidFill>
          </w14:textFill>
        </w:rPr>
        <w:t>显示模式：脉冲多普勒、高脉冲重复频率、连续波多普勒</w:t>
      </w:r>
    </w:p>
    <w:p w14:paraId="18B373A1">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9.13</w:t>
      </w:r>
      <w:r>
        <w:rPr>
          <w:rFonts w:hint="eastAsia" w:ascii="仿宋" w:hAnsi="仿宋" w:eastAsia="仿宋" w:cs="仿宋"/>
          <w:color w:val="000000" w:themeColor="text1"/>
          <w:sz w:val="24"/>
          <w:highlight w:val="none"/>
          <w14:textFill>
            <w14:solidFill>
              <w14:schemeClr w14:val="tx1"/>
            </w14:solidFill>
          </w14:textFill>
        </w:rPr>
        <w:t>显示方式：速度图 、能量图、方向性能量图</w:t>
      </w:r>
    </w:p>
    <w:p w14:paraId="213B24B2">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9.14</w:t>
      </w:r>
      <w:r>
        <w:rPr>
          <w:rFonts w:hint="eastAsia" w:ascii="仿宋" w:hAnsi="仿宋" w:eastAsia="仿宋" w:cs="仿宋"/>
          <w:color w:val="000000" w:themeColor="text1"/>
          <w:sz w:val="24"/>
          <w:highlight w:val="none"/>
          <w14:textFill>
            <w14:solidFill>
              <w14:schemeClr w14:val="tx1"/>
            </w14:solidFill>
          </w14:textFill>
        </w:rPr>
        <w:t>最大测量速度：</w:t>
      </w:r>
      <w:r>
        <w:rPr>
          <w:rFonts w:hint="eastAsia" w:ascii="仿宋" w:hAnsi="仿宋" w:eastAsia="仿宋" w:cs="仿宋"/>
          <w:color w:val="000000" w:themeColor="text1"/>
          <w:kern w:val="0"/>
          <w:sz w:val="24"/>
          <w:highlight w:val="none"/>
          <w14:textFill>
            <w14:solidFill>
              <w14:schemeClr w14:val="tx1"/>
            </w14:solidFill>
          </w14:textFill>
        </w:rPr>
        <w:t>PWD血流速度≥10m/s；CWD血流速度≥20m/s。PWD≥16m/s CWD血流速度≥21m/s</w:t>
      </w:r>
    </w:p>
    <w:p w14:paraId="29D09B9F">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9.15</w:t>
      </w:r>
      <w:r>
        <w:rPr>
          <w:rFonts w:hint="eastAsia" w:ascii="仿宋" w:hAnsi="仿宋" w:eastAsia="仿宋" w:cs="仿宋"/>
          <w:color w:val="000000" w:themeColor="text1"/>
          <w:sz w:val="24"/>
          <w:highlight w:val="none"/>
          <w14:textFill>
            <w14:solidFill>
              <w14:schemeClr w14:val="tx1"/>
            </w14:solidFill>
          </w14:textFill>
        </w:rPr>
        <w:t>最低测量速度：≤0.3mm/s (非噪音信号)</w:t>
      </w:r>
    </w:p>
    <w:p w14:paraId="3ABEB05A">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9.16</w:t>
      </w:r>
      <w:r>
        <w:rPr>
          <w:rFonts w:hint="eastAsia" w:ascii="仿宋" w:hAnsi="仿宋" w:eastAsia="仿宋" w:cs="仿宋"/>
          <w:color w:val="000000" w:themeColor="text1"/>
          <w:sz w:val="24"/>
          <w:highlight w:val="none"/>
          <w14:textFill>
            <w14:solidFill>
              <w14:schemeClr w14:val="tx1"/>
            </w14:solidFill>
          </w14:textFill>
        </w:rPr>
        <w:t>取样宽度及位置范围：宽度 0.5mm至20mm多级可调</w:t>
      </w:r>
    </w:p>
    <w:p w14:paraId="52DFA826">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i/>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9.17</w:t>
      </w:r>
      <w:r>
        <w:rPr>
          <w:rFonts w:hint="eastAsia" w:ascii="仿宋" w:hAnsi="仿宋" w:eastAsia="仿宋" w:cs="仿宋"/>
          <w:color w:val="000000" w:themeColor="text1"/>
          <w:sz w:val="24"/>
          <w:highlight w:val="none"/>
          <w14:textFill>
            <w14:solidFill>
              <w14:schemeClr w14:val="tx1"/>
            </w14:solidFill>
          </w14:textFill>
        </w:rPr>
        <w:t>频谱基线零位移动：</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10级</w:t>
      </w:r>
    </w:p>
    <w:p w14:paraId="59794571">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9.18具有双同步/三同步显示。</w:t>
      </w:r>
    </w:p>
    <w:p w14:paraId="44B0BA0C">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9.19二维成像速度：凸阵探头, 80°角,18CM深度时,帧速度≥50帧/秒；相控阵探头，18cm 深度，扫描角度90°，最高线密度下，二维帧频≥50帧/秒</w:t>
      </w:r>
    </w:p>
    <w:p w14:paraId="469C443E">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9.20彩色多普勒扫描速率：凸阵探头，80°角，18cm深时，彩色显示帧频≥11帧/s；相控阵探头，90°角，18cm深时，彩色显示帧频≥11 帧/s</w:t>
      </w:r>
    </w:p>
    <w:p w14:paraId="59F054E8">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9.21显示位置调整：线阵扫描感兴趣的图像范围：-20°～ +20°</w:t>
      </w:r>
    </w:p>
    <w:p w14:paraId="6458039F">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9.22超声功率输出调节：B/M、PWD、Color Doppler输出功率可调</w:t>
      </w:r>
    </w:p>
    <w:p w14:paraId="1D24F028">
      <w:pPr>
        <w:pStyle w:val="9"/>
        <w:keepNext w:val="0"/>
        <w:keepLines w:val="0"/>
        <w:pageBreakBefore w:val="0"/>
        <w:numPr>
          <w:ilvl w:val="0"/>
          <w:numId w:val="0"/>
        </w:numPr>
        <w:tabs>
          <w:tab w:val="left" w:pos="426"/>
        </w:tabs>
        <w:kinsoku/>
        <w:wordWrap/>
        <w:topLinePunct w:val="0"/>
        <w:bidi w:val="0"/>
        <w:snapToGrid/>
        <w:spacing w:line="360" w:lineRule="auto"/>
        <w:ind w:left="0" w:leftChars="0" w:right="0" w:rightChars="0" w:firstLine="482" w:firstLineChars="200"/>
        <w:jc w:val="left"/>
        <w:rPr>
          <w:rFonts w:hint="eastAsia" w:ascii="仿宋" w:hAnsi="仿宋" w:eastAsia="仿宋" w:cs="仿宋"/>
          <w:bCs/>
          <w:color w:val="auto"/>
          <w:sz w:val="24"/>
          <w:highlight w:val="none"/>
        </w:rPr>
      </w:pPr>
      <w:r>
        <w:rPr>
          <w:rFonts w:hint="eastAsia" w:ascii="仿宋" w:hAnsi="仿宋" w:eastAsia="仿宋" w:cs="仿宋"/>
          <w:b/>
          <w:bCs w:val="0"/>
          <w:color w:val="auto"/>
          <w:kern w:val="2"/>
          <w:sz w:val="24"/>
          <w:szCs w:val="24"/>
          <w:highlight w:val="none"/>
          <w:lang w:val="en-US" w:eastAsia="zh-CN" w:bidi="ar-SA"/>
        </w:rPr>
        <w:t>10.</w:t>
      </w:r>
      <w:r>
        <w:rPr>
          <w:rFonts w:hint="eastAsia" w:ascii="仿宋" w:hAnsi="仿宋" w:eastAsia="仿宋" w:cs="仿宋"/>
          <w:b/>
          <w:bCs w:val="0"/>
          <w:color w:val="auto"/>
          <w:sz w:val="24"/>
          <w:highlight w:val="none"/>
        </w:rPr>
        <w:t>提供医生座椅 2套</w:t>
      </w:r>
    </w:p>
    <w:p w14:paraId="6D339061">
      <w:pPr>
        <w:pStyle w:val="9"/>
        <w:keepNext w:val="0"/>
        <w:keepLines w:val="0"/>
        <w:pageBreakBefore w:val="0"/>
        <w:widowControl w:val="0"/>
        <w:numPr>
          <w:ilvl w:val="0"/>
          <w:numId w:val="0"/>
        </w:numPr>
        <w:tabs>
          <w:tab w:val="left" w:pos="426"/>
        </w:tabs>
        <w:kinsoku/>
        <w:wordWrap/>
        <w:topLinePunct w:val="0"/>
        <w:bidi w:val="0"/>
        <w:snapToGrid/>
        <w:spacing w:line="360" w:lineRule="auto"/>
        <w:ind w:right="0" w:rightChars="0"/>
        <w:jc w:val="left"/>
        <w:rPr>
          <w:rFonts w:hint="default" w:ascii="仿宋" w:hAnsi="仿宋" w:eastAsia="仿宋" w:cs="仿宋"/>
          <w:bCs/>
          <w:color w:val="auto"/>
          <w:sz w:val="24"/>
          <w:highlight w:val="none"/>
          <w:lang w:val="en-US" w:eastAsia="zh-CN"/>
        </w:rPr>
      </w:pPr>
    </w:p>
    <w:p w14:paraId="662E0A1B">
      <w:pPr>
        <w:pStyle w:val="9"/>
        <w:keepNext w:val="0"/>
        <w:keepLines w:val="0"/>
        <w:pageBreakBefore w:val="0"/>
        <w:widowControl w:val="0"/>
        <w:numPr>
          <w:ilvl w:val="0"/>
          <w:numId w:val="0"/>
        </w:numPr>
        <w:tabs>
          <w:tab w:val="left" w:pos="426"/>
        </w:tabs>
        <w:kinsoku/>
        <w:wordWrap/>
        <w:topLinePunct w:val="0"/>
        <w:bidi w:val="0"/>
        <w:snapToGrid/>
        <w:spacing w:line="360" w:lineRule="auto"/>
        <w:ind w:right="0" w:rightChars="0"/>
        <w:jc w:val="left"/>
        <w:rPr>
          <w:rFonts w:hint="default" w:ascii="仿宋" w:hAnsi="仿宋" w:eastAsia="仿宋" w:cs="仿宋"/>
          <w:bCs/>
          <w:color w:val="auto"/>
          <w:sz w:val="24"/>
          <w:highlight w:val="none"/>
          <w:lang w:val="en-US" w:eastAsia="zh-CN"/>
        </w:rPr>
      </w:pPr>
    </w:p>
    <w:p w14:paraId="72540685">
      <w:pPr>
        <w:pStyle w:val="4"/>
        <w:widowControl/>
        <w:snapToGrid w:val="0"/>
        <w:spacing w:line="360" w:lineRule="auto"/>
        <w:outlineLvl w:val="1"/>
        <w:rPr>
          <w:rFonts w:hint="eastAsia" w:ascii="仿宋" w:hAnsi="仿宋" w:eastAsia="仿宋" w:cs="仿宋"/>
          <w:b/>
          <w:bCs/>
          <w:color w:val="000000" w:themeColor="text1"/>
          <w:sz w:val="24"/>
          <w:highlight w:val="none"/>
          <w14:textFill>
            <w14:solidFill>
              <w14:schemeClr w14:val="tx1"/>
            </w14:solidFill>
          </w14:textFill>
        </w:rPr>
      </w:pPr>
      <w:r>
        <w:rPr>
          <w:rStyle w:val="7"/>
          <w:rFonts w:hint="eastAsia" w:ascii="宋体" w:hAnsi="宋体" w:eastAsia="仿宋"/>
          <w:color w:val="auto"/>
          <w:sz w:val="24"/>
          <w:szCs w:val="24"/>
          <w:highlight w:val="none"/>
          <w:lang w:val="en-US" w:eastAsia="zh-CN"/>
        </w:rPr>
        <w:t>5、</w:t>
      </w:r>
      <w:r>
        <w:rPr>
          <w:rStyle w:val="7"/>
          <w:rFonts w:hint="eastAsia" w:ascii="宋体" w:hAnsi="宋体" w:eastAsia="仿宋"/>
          <w:color w:val="auto"/>
          <w:sz w:val="24"/>
          <w:szCs w:val="24"/>
          <w:highlight w:val="none"/>
        </w:rPr>
        <w:t>售后</w:t>
      </w:r>
      <w:r>
        <w:rPr>
          <w:rStyle w:val="7"/>
          <w:rFonts w:hint="eastAsia" w:ascii="宋体" w:hAnsi="宋体" w:eastAsia="仿宋"/>
          <w:color w:val="auto"/>
          <w:sz w:val="24"/>
          <w:szCs w:val="24"/>
          <w:highlight w:val="none"/>
          <w:lang w:val="en-US" w:eastAsia="zh-CN"/>
        </w:rPr>
        <w:t>要求</w:t>
      </w:r>
      <w:r>
        <w:rPr>
          <w:rStyle w:val="7"/>
          <w:rFonts w:hint="eastAsia" w:ascii="宋体" w:hAnsi="宋体" w:eastAsia="仿宋"/>
          <w:color w:val="auto"/>
          <w:sz w:val="24"/>
          <w:szCs w:val="24"/>
          <w:highlight w:val="none"/>
        </w:rPr>
        <w:t>：</w:t>
      </w:r>
    </w:p>
    <w:p w14:paraId="281DD33A">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5.1.</w:t>
      </w:r>
      <w:r>
        <w:rPr>
          <w:rFonts w:hint="eastAsia" w:ascii="仿宋" w:hAnsi="仿宋" w:eastAsia="仿宋" w:cs="仿宋"/>
          <w:bCs/>
          <w:color w:val="000000" w:themeColor="text1"/>
          <w:sz w:val="24"/>
          <w:highlight w:val="none"/>
          <w14:textFill>
            <w14:solidFill>
              <w14:schemeClr w14:val="tx1"/>
            </w14:solidFill>
          </w14:textFill>
        </w:rPr>
        <w:t>整机及探头原厂质保≥2年，所配探头分项报价</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合同签订前，中标人须提供所投产品制造商出具的质保承诺函（承诺函格式内容须与投标文件中一致），并加盖所投产品制造商公章，否则，取消其中标资格。</w:t>
      </w:r>
    </w:p>
    <w:p w14:paraId="7FF0946F">
      <w:pPr>
        <w:pStyle w:val="4"/>
        <w:widowControl/>
        <w:numPr>
          <w:ilvl w:val="-1"/>
          <w:numId w:val="0"/>
        </w:numPr>
        <w:snapToGrid w:val="0"/>
        <w:spacing w:line="360" w:lineRule="auto"/>
        <w:ind w:firstLine="482" w:firstLineChars="200"/>
        <w:outlineLvl w:val="2"/>
        <w:rPr>
          <w:rFonts w:hint="eastAsia" w:hAnsi="宋体" w:eastAsia="仿宋"/>
          <w:b/>
          <w:bCs/>
          <w:sz w:val="24"/>
          <w:szCs w:val="24"/>
          <w:highlight w:val="none"/>
        </w:rPr>
      </w:pPr>
      <w:bookmarkStart w:id="14" w:name="_Toc512611689"/>
      <w:bookmarkStart w:id="15" w:name="_Toc493432670"/>
      <w:bookmarkStart w:id="16" w:name="_Toc493440807"/>
      <w:bookmarkStart w:id="17" w:name="_Toc526265691"/>
      <w:bookmarkStart w:id="18" w:name="_Toc517011814"/>
      <w:bookmarkStart w:id="19" w:name="_Toc493440975"/>
      <w:bookmarkStart w:id="20" w:name="_Toc512544434"/>
      <w:bookmarkStart w:id="21" w:name="_Toc525819967"/>
      <w:bookmarkStart w:id="22" w:name="_Toc515539872"/>
      <w:r>
        <w:rPr>
          <w:rFonts w:hint="eastAsia" w:hAnsi="宋体" w:eastAsia="仿宋"/>
          <w:b/>
          <w:bCs/>
          <w:sz w:val="24"/>
          <w:szCs w:val="24"/>
          <w:highlight w:val="none"/>
          <w:lang w:val="en-US" w:eastAsia="zh-CN"/>
        </w:rPr>
        <w:t>5.2.</w:t>
      </w:r>
      <w:r>
        <w:rPr>
          <w:rFonts w:hint="eastAsia" w:hAnsi="宋体" w:eastAsia="仿宋"/>
          <w:b/>
          <w:bCs/>
          <w:sz w:val="24"/>
          <w:szCs w:val="24"/>
          <w:highlight w:val="none"/>
        </w:rPr>
        <w:t>质量要求与验收标准</w:t>
      </w:r>
      <w:bookmarkEnd w:id="14"/>
      <w:bookmarkEnd w:id="15"/>
      <w:bookmarkEnd w:id="16"/>
      <w:bookmarkEnd w:id="17"/>
      <w:bookmarkEnd w:id="18"/>
      <w:bookmarkEnd w:id="19"/>
      <w:bookmarkEnd w:id="20"/>
      <w:bookmarkEnd w:id="21"/>
      <w:bookmarkEnd w:id="22"/>
    </w:p>
    <w:p w14:paraId="5B7653E7">
      <w:pPr>
        <w:adjustRightInd w:val="0"/>
        <w:snapToGrid w:val="0"/>
        <w:spacing w:before="120" w:after="120" w:line="360" w:lineRule="auto"/>
        <w:ind w:firstLine="480" w:firstLineChars="200"/>
        <w:rPr>
          <w:rFonts w:eastAsia="仿宋"/>
          <w:sz w:val="24"/>
          <w:highlight w:val="none"/>
        </w:rPr>
      </w:pPr>
      <w:r>
        <w:rPr>
          <w:rFonts w:hint="eastAsia" w:eastAsia="仿宋"/>
          <w:sz w:val="24"/>
          <w:highlight w:val="none"/>
        </w:rPr>
        <w:t>符合国家、省、市法律法规及行业标准。</w:t>
      </w:r>
    </w:p>
    <w:p w14:paraId="7B86A939">
      <w:pPr>
        <w:pStyle w:val="4"/>
        <w:widowControl/>
        <w:snapToGrid w:val="0"/>
        <w:spacing w:line="360" w:lineRule="auto"/>
        <w:ind w:firstLine="482" w:firstLineChars="200"/>
        <w:outlineLvl w:val="2"/>
        <w:rPr>
          <w:rFonts w:hint="eastAsia" w:hAnsi="宋体" w:eastAsia="仿宋"/>
          <w:b/>
          <w:bCs/>
          <w:sz w:val="24"/>
          <w:szCs w:val="24"/>
          <w:highlight w:val="none"/>
        </w:rPr>
      </w:pPr>
      <w:bookmarkStart w:id="23" w:name="_Toc493440809"/>
      <w:bookmarkStart w:id="24" w:name="_Toc493440977"/>
      <w:bookmarkStart w:id="25" w:name="_Toc512611691"/>
      <w:bookmarkStart w:id="26" w:name="_Toc517011816"/>
      <w:bookmarkStart w:id="27" w:name="_Toc526265693"/>
      <w:bookmarkStart w:id="28" w:name="_Toc493432672"/>
      <w:bookmarkStart w:id="29" w:name="_Toc512544436"/>
      <w:bookmarkStart w:id="30" w:name="_Toc525819969"/>
      <w:bookmarkStart w:id="31" w:name="_Toc515539874"/>
      <w:r>
        <w:rPr>
          <w:rFonts w:hint="eastAsia" w:hAnsi="宋体" w:eastAsia="仿宋"/>
          <w:b/>
          <w:bCs/>
          <w:sz w:val="24"/>
          <w:szCs w:val="24"/>
          <w:highlight w:val="none"/>
          <w:lang w:val="en-US" w:eastAsia="zh-CN"/>
        </w:rPr>
        <w:t>5.3.</w:t>
      </w:r>
      <w:r>
        <w:rPr>
          <w:rFonts w:hint="eastAsia" w:hAnsi="宋体" w:eastAsia="仿宋"/>
          <w:b/>
          <w:bCs/>
          <w:sz w:val="24"/>
          <w:szCs w:val="24"/>
          <w:highlight w:val="none"/>
        </w:rPr>
        <w:t xml:space="preserve"> 质量保证期服务要求</w:t>
      </w:r>
      <w:bookmarkEnd w:id="23"/>
      <w:bookmarkEnd w:id="24"/>
      <w:bookmarkEnd w:id="25"/>
      <w:bookmarkEnd w:id="26"/>
      <w:bookmarkEnd w:id="27"/>
      <w:bookmarkEnd w:id="28"/>
      <w:bookmarkEnd w:id="29"/>
      <w:bookmarkEnd w:id="30"/>
      <w:bookmarkEnd w:id="31"/>
    </w:p>
    <w:p w14:paraId="11739137">
      <w:pPr>
        <w:adjustRightInd w:val="0"/>
        <w:snapToGrid w:val="0"/>
        <w:spacing w:line="360" w:lineRule="auto"/>
        <w:ind w:firstLine="480" w:firstLineChars="200"/>
        <w:rPr>
          <w:rFonts w:hint="eastAsia" w:ascii="Times New Roman" w:hAnsi="Times New Roman" w:eastAsia="仿宋" w:cs="Times New Roman"/>
          <w:sz w:val="24"/>
          <w:highlight w:val="none"/>
          <w:lang w:val="en-US" w:eastAsia="zh-CN"/>
        </w:rPr>
      </w:pPr>
      <w:r>
        <w:rPr>
          <w:rFonts w:hint="eastAsia" w:eastAsia="仿宋"/>
          <w:sz w:val="24"/>
          <w:highlight w:val="none"/>
        </w:rPr>
        <w:t>中标人</w:t>
      </w:r>
      <w:r>
        <w:rPr>
          <w:rFonts w:eastAsia="仿宋"/>
          <w:sz w:val="24"/>
          <w:highlight w:val="none"/>
        </w:rPr>
        <w:t>提供的技术人员、工具、备件和联系方式，质量保证期服务响应、到达现场和解决问题的时限</w:t>
      </w:r>
      <w:r>
        <w:rPr>
          <w:rFonts w:ascii="Times New Roman" w:hAnsi="Times New Roman" w:eastAsia="仿宋" w:cs="Times New Roman"/>
          <w:sz w:val="24"/>
          <w:highlight w:val="none"/>
        </w:rPr>
        <w:t>，</w:t>
      </w:r>
      <w:r>
        <w:rPr>
          <w:rFonts w:hint="eastAsia" w:ascii="Times New Roman" w:hAnsi="Times New Roman" w:eastAsia="仿宋" w:cs="Times New Roman"/>
          <w:sz w:val="24"/>
          <w:highlight w:val="none"/>
        </w:rPr>
        <w:t>中标人</w:t>
      </w:r>
      <w:r>
        <w:rPr>
          <w:rFonts w:ascii="Times New Roman" w:hAnsi="Times New Roman" w:eastAsia="仿宋" w:cs="Times New Roman"/>
          <w:sz w:val="24"/>
          <w:highlight w:val="none"/>
        </w:rPr>
        <w:t>技术人员的交通、食宿费用承担主体，</w:t>
      </w:r>
      <w:r>
        <w:rPr>
          <w:rFonts w:hint="eastAsia" w:ascii="Times New Roman" w:hAnsi="Times New Roman" w:eastAsia="仿宋" w:cs="Times New Roman"/>
          <w:sz w:val="24"/>
          <w:highlight w:val="none"/>
        </w:rPr>
        <w:t>中标人</w:t>
      </w:r>
      <w:r>
        <w:rPr>
          <w:rFonts w:ascii="Times New Roman" w:hAnsi="Times New Roman" w:eastAsia="仿宋" w:cs="Times New Roman"/>
          <w:sz w:val="24"/>
          <w:highlight w:val="none"/>
        </w:rPr>
        <w:t>技术人员撤换费用承担主体，质量保证期服务情况记录要求等。</w:t>
      </w:r>
    </w:p>
    <w:p w14:paraId="2A3B192F">
      <w:pPr>
        <w:adjustRightInd w:val="0"/>
        <w:snapToGrid w:val="0"/>
        <w:spacing w:line="360" w:lineRule="auto"/>
        <w:ind w:firstLine="482" w:firstLineChars="200"/>
        <w:rPr>
          <w:rFonts w:hint="default" w:ascii="宋体" w:hAnsi="宋体" w:eastAsia="仿宋" w:cs="Times New Roman"/>
          <w:b w:val="0"/>
          <w:bCs w:val="0"/>
          <w:sz w:val="24"/>
          <w:szCs w:val="24"/>
          <w:highlight w:val="none"/>
          <w:lang w:val="en-US" w:eastAsia="zh-CN"/>
        </w:rPr>
      </w:pPr>
      <w:r>
        <w:rPr>
          <w:rFonts w:hint="eastAsia" w:ascii="宋体" w:hAnsi="宋体" w:eastAsia="仿宋" w:cs="Times New Roman"/>
          <w:b/>
          <w:bCs/>
          <w:sz w:val="24"/>
          <w:szCs w:val="24"/>
          <w:highlight w:val="none"/>
          <w:lang w:val="en-US" w:eastAsia="zh-CN"/>
        </w:rPr>
        <w:t>5.4.</w:t>
      </w:r>
      <w:r>
        <w:rPr>
          <w:rFonts w:hint="eastAsia" w:ascii="宋体" w:hAnsi="宋体" w:eastAsia="仿宋" w:cs="Times New Roman"/>
          <w:b/>
          <w:bCs/>
          <w:sz w:val="24"/>
          <w:szCs w:val="24"/>
          <w:highlight w:val="none"/>
        </w:rPr>
        <w:t xml:space="preserve"> </w:t>
      </w:r>
      <w:r>
        <w:rPr>
          <w:rFonts w:hint="eastAsia" w:ascii="宋体" w:hAnsi="宋体" w:eastAsia="仿宋" w:cs="Times New Roman"/>
          <w:b/>
          <w:bCs/>
          <w:sz w:val="24"/>
          <w:szCs w:val="24"/>
          <w:highlight w:val="none"/>
          <w:lang w:val="en-US" w:eastAsia="zh-CN"/>
        </w:rPr>
        <w:t>技术培训</w:t>
      </w:r>
      <w:r>
        <w:rPr>
          <w:rFonts w:hint="eastAsia" w:ascii="宋体" w:hAnsi="宋体" w:eastAsia="仿宋" w:cs="Times New Roman"/>
          <w:b/>
          <w:bCs/>
          <w:sz w:val="24"/>
          <w:szCs w:val="24"/>
          <w:highlight w:val="none"/>
        </w:rPr>
        <w:t>要求</w:t>
      </w:r>
    </w:p>
    <w:p w14:paraId="46C42BF8">
      <w:pPr>
        <w:adjustRightInd w:val="0"/>
        <w:snapToGrid w:val="0"/>
        <w:spacing w:line="360" w:lineRule="auto"/>
        <w:ind w:firstLine="480" w:firstLineChars="200"/>
        <w:rPr>
          <w:rFonts w:hint="default"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中标人应提供现场技术培训，及远程技术支持等，为使用人员提供技术指导，保证使用人员正常操作设备各种功能。</w:t>
      </w:r>
    </w:p>
    <w:p w14:paraId="290BDBC0">
      <w:pPr>
        <w:pStyle w:val="4"/>
        <w:widowControl/>
        <w:snapToGrid w:val="0"/>
        <w:spacing w:line="360" w:lineRule="auto"/>
        <w:outlineLvl w:val="1"/>
        <w:rPr>
          <w:rStyle w:val="7"/>
          <w:rFonts w:hint="eastAsia" w:ascii="宋体" w:hAnsi="宋体" w:eastAsia="仿宋"/>
          <w:color w:val="auto"/>
          <w:sz w:val="24"/>
          <w:szCs w:val="24"/>
          <w:highlight w:val="none"/>
          <w:lang w:val="en-US" w:eastAsia="zh-CN"/>
        </w:rPr>
      </w:pPr>
      <w:r>
        <w:rPr>
          <w:rStyle w:val="7"/>
          <w:rFonts w:hint="eastAsia" w:ascii="宋体" w:hAnsi="宋体" w:eastAsia="仿宋"/>
          <w:color w:val="auto"/>
          <w:sz w:val="24"/>
          <w:szCs w:val="24"/>
          <w:highlight w:val="none"/>
          <w:lang w:val="en-US" w:eastAsia="zh-CN"/>
        </w:rPr>
        <w:t>6、其他要求：</w:t>
      </w:r>
    </w:p>
    <w:p w14:paraId="5820C0ED">
      <w:pPr>
        <w:spacing w:line="360" w:lineRule="auto"/>
        <w:ind w:firstLine="480" w:firstLineChars="200"/>
        <w:jc w:val="left"/>
        <w:rPr>
          <w:rFonts w:eastAsia="仿宋"/>
          <w:sz w:val="24"/>
          <w:highlight w:val="none"/>
        </w:rPr>
      </w:pPr>
      <w:r>
        <w:rPr>
          <w:rFonts w:hint="eastAsia" w:eastAsia="仿宋"/>
          <w:sz w:val="24"/>
          <w:highlight w:val="none"/>
          <w:lang w:val="en-US" w:eastAsia="zh-CN"/>
        </w:rPr>
        <w:t>6.1.</w:t>
      </w:r>
      <w:r>
        <w:rPr>
          <w:rFonts w:hint="eastAsia" w:eastAsia="仿宋"/>
          <w:sz w:val="24"/>
          <w:highlight w:val="none"/>
        </w:rPr>
        <w:t xml:space="preserve"> 本项目如涉及与</w:t>
      </w:r>
      <w:r>
        <w:rPr>
          <w:rFonts w:hint="eastAsia" w:eastAsia="仿宋"/>
          <w:sz w:val="24"/>
          <w:highlight w:val="none"/>
          <w:lang w:val="en-US" w:eastAsia="zh-CN"/>
        </w:rPr>
        <w:t>院方</w:t>
      </w:r>
      <w:r>
        <w:rPr>
          <w:rFonts w:hint="eastAsia" w:eastAsia="仿宋"/>
          <w:sz w:val="24"/>
          <w:highlight w:val="none"/>
        </w:rPr>
        <w:t>在用信息系统（包含但不限于：HIS系统、PACS系统、电子病例系统、远程影像平台、外联平台等，相关接口信息可现场踏勘获悉）与本项目设备接入需求产生的系统改造、第三方系统对接所需等费用均已包含在本项目投标报价中，由中标人与相关第三方协商，</w:t>
      </w:r>
      <w:r>
        <w:rPr>
          <w:rFonts w:hint="eastAsia" w:eastAsia="仿宋"/>
          <w:sz w:val="24"/>
          <w:highlight w:val="none"/>
          <w:lang w:val="en-US" w:eastAsia="zh-CN"/>
        </w:rPr>
        <w:t>院方</w:t>
      </w:r>
      <w:r>
        <w:rPr>
          <w:rFonts w:hint="eastAsia" w:eastAsia="仿宋"/>
          <w:sz w:val="24"/>
          <w:highlight w:val="none"/>
        </w:rPr>
        <w:t>不再为此支付任何费用。</w:t>
      </w:r>
    </w:p>
    <w:p w14:paraId="3C3BB827">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6.2.</w:t>
      </w:r>
      <w:r>
        <w:rPr>
          <w:rFonts w:hint="eastAsia" w:eastAsia="仿宋"/>
          <w:sz w:val="24"/>
          <w:highlight w:val="none"/>
        </w:rPr>
        <w:t xml:space="preserve"> 履约验收方式</w:t>
      </w:r>
    </w:p>
    <w:p w14:paraId="4A71A863">
      <w:pPr>
        <w:spacing w:line="360" w:lineRule="auto"/>
        <w:ind w:firstLine="480" w:firstLineChars="200"/>
        <w:jc w:val="left"/>
        <w:rPr>
          <w:rFonts w:eastAsia="仿宋"/>
          <w:sz w:val="24"/>
          <w:highlight w:val="none"/>
        </w:rPr>
      </w:pPr>
      <w:r>
        <w:rPr>
          <w:rFonts w:hint="eastAsia" w:eastAsia="仿宋"/>
          <w:sz w:val="24"/>
          <w:highlight w:val="none"/>
          <w:lang w:val="en-US" w:eastAsia="zh-CN"/>
        </w:rPr>
        <w:t>6.2.1</w:t>
      </w:r>
      <w:r>
        <w:rPr>
          <w:rFonts w:eastAsia="仿宋"/>
          <w:sz w:val="24"/>
          <w:highlight w:val="none"/>
        </w:rPr>
        <w:t>履约验收主体：设备使用</w:t>
      </w:r>
      <w:r>
        <w:rPr>
          <w:rFonts w:hint="eastAsia" w:eastAsia="仿宋"/>
          <w:sz w:val="24"/>
          <w:highlight w:val="none"/>
        </w:rPr>
        <w:t>单位</w:t>
      </w:r>
      <w:r>
        <w:rPr>
          <w:rFonts w:eastAsia="仿宋"/>
          <w:sz w:val="24"/>
          <w:highlight w:val="none"/>
        </w:rPr>
        <w:t>、中标人。同时使用</w:t>
      </w:r>
      <w:r>
        <w:rPr>
          <w:rFonts w:hint="eastAsia" w:eastAsia="仿宋"/>
          <w:sz w:val="24"/>
          <w:highlight w:val="none"/>
        </w:rPr>
        <w:t>单位</w:t>
      </w:r>
      <w:r>
        <w:rPr>
          <w:rFonts w:eastAsia="仿宋"/>
          <w:sz w:val="24"/>
          <w:highlight w:val="none"/>
        </w:rPr>
        <w:t>可以视情况邀请参加本项目的其他投标人或者第三方专业机构及专家参与验收，相关验收意见作为验收的参考资料。</w:t>
      </w:r>
    </w:p>
    <w:p w14:paraId="0EBB7DCD">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.2</w:t>
      </w:r>
      <w:r>
        <w:rPr>
          <w:rFonts w:eastAsia="仿宋"/>
          <w:sz w:val="24"/>
          <w:highlight w:val="none"/>
        </w:rPr>
        <w:t>履约验收时间及程序：</w:t>
      </w:r>
    </w:p>
    <w:p w14:paraId="307D7150">
      <w:pPr>
        <w:spacing w:line="360" w:lineRule="auto"/>
        <w:ind w:firstLine="480" w:firstLineChars="200"/>
        <w:jc w:val="left"/>
        <w:rPr>
          <w:rFonts w:eastAsia="仿宋"/>
          <w:sz w:val="24"/>
          <w:highlight w:val="none"/>
        </w:rPr>
      </w:pPr>
      <w:r>
        <w:rPr>
          <w:rFonts w:eastAsia="仿宋"/>
          <w:sz w:val="24"/>
          <w:highlight w:val="none"/>
        </w:rPr>
        <w:t>（1）到货检验：货物运抵使用</w:t>
      </w:r>
      <w:r>
        <w:rPr>
          <w:rFonts w:hint="eastAsia" w:eastAsia="仿宋"/>
          <w:sz w:val="24"/>
          <w:highlight w:val="none"/>
        </w:rPr>
        <w:t>单位所在地点或使用单位指定地点</w:t>
      </w:r>
      <w:r>
        <w:rPr>
          <w:rFonts w:eastAsia="仿宋"/>
          <w:sz w:val="24"/>
          <w:highlight w:val="none"/>
        </w:rPr>
        <w:t>后，由使用</w:t>
      </w:r>
      <w:r>
        <w:rPr>
          <w:rFonts w:hint="eastAsia" w:eastAsia="仿宋"/>
          <w:sz w:val="24"/>
          <w:highlight w:val="none"/>
        </w:rPr>
        <w:t>单位</w:t>
      </w:r>
      <w:r>
        <w:rPr>
          <w:rFonts w:eastAsia="仿宋"/>
          <w:sz w:val="24"/>
          <w:highlight w:val="none"/>
        </w:rPr>
        <w:t>及中标人共同开箱对照采购清单进行到货验收。</w:t>
      </w:r>
    </w:p>
    <w:p w14:paraId="6B76DCFD">
      <w:pPr>
        <w:spacing w:line="360" w:lineRule="auto"/>
        <w:ind w:firstLine="480" w:firstLineChars="200"/>
        <w:jc w:val="left"/>
        <w:rPr>
          <w:rFonts w:eastAsia="仿宋"/>
          <w:sz w:val="24"/>
          <w:highlight w:val="none"/>
        </w:rPr>
      </w:pPr>
      <w:r>
        <w:rPr>
          <w:rFonts w:eastAsia="仿宋"/>
          <w:sz w:val="24"/>
          <w:highlight w:val="none"/>
        </w:rPr>
        <w:t>（2）安装调试检验：中标人将设备安装、调试完成后，由使用</w:t>
      </w:r>
      <w:r>
        <w:rPr>
          <w:rFonts w:hint="eastAsia" w:eastAsia="仿宋"/>
          <w:sz w:val="24"/>
          <w:highlight w:val="none"/>
        </w:rPr>
        <w:t>单位</w:t>
      </w:r>
      <w:r>
        <w:rPr>
          <w:rFonts w:eastAsia="仿宋"/>
          <w:sz w:val="24"/>
          <w:highlight w:val="none"/>
        </w:rPr>
        <w:t>组织验收人员对安装调试情况进行验收。</w:t>
      </w:r>
    </w:p>
    <w:p w14:paraId="6DE51484">
      <w:pPr>
        <w:spacing w:line="360" w:lineRule="auto"/>
        <w:ind w:firstLine="480" w:firstLineChars="200"/>
        <w:jc w:val="left"/>
        <w:rPr>
          <w:rFonts w:eastAsia="仿宋"/>
          <w:sz w:val="24"/>
          <w:highlight w:val="none"/>
        </w:rPr>
      </w:pPr>
      <w:r>
        <w:rPr>
          <w:rFonts w:eastAsia="仿宋"/>
          <w:sz w:val="24"/>
          <w:highlight w:val="none"/>
        </w:rPr>
        <w:t>（3）最终验收：由使用</w:t>
      </w:r>
      <w:r>
        <w:rPr>
          <w:rFonts w:hint="eastAsia" w:eastAsia="仿宋"/>
          <w:sz w:val="24"/>
          <w:highlight w:val="none"/>
        </w:rPr>
        <w:t>单位</w:t>
      </w:r>
      <w:r>
        <w:rPr>
          <w:rFonts w:eastAsia="仿宋"/>
          <w:sz w:val="24"/>
          <w:highlight w:val="none"/>
        </w:rPr>
        <w:t>组织验收人员进行最终验收。</w:t>
      </w:r>
    </w:p>
    <w:p w14:paraId="541A0037">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.3</w:t>
      </w:r>
      <w:r>
        <w:rPr>
          <w:rFonts w:eastAsia="仿宋"/>
          <w:sz w:val="24"/>
          <w:highlight w:val="none"/>
        </w:rPr>
        <w:t>履约验收内容</w:t>
      </w:r>
    </w:p>
    <w:p w14:paraId="61F40DC6">
      <w:pPr>
        <w:spacing w:line="360" w:lineRule="auto"/>
        <w:ind w:firstLine="480" w:firstLineChars="200"/>
        <w:jc w:val="left"/>
        <w:rPr>
          <w:rFonts w:eastAsia="仿宋"/>
          <w:sz w:val="24"/>
          <w:highlight w:val="none"/>
        </w:rPr>
      </w:pPr>
      <w:r>
        <w:rPr>
          <w:rFonts w:eastAsia="仿宋"/>
          <w:sz w:val="24"/>
          <w:highlight w:val="none"/>
        </w:rPr>
        <w:t>验收内容包括招标文件中的每一项技术和商务要求的履约情况。</w:t>
      </w:r>
    </w:p>
    <w:p w14:paraId="46B31F9F">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.4</w:t>
      </w:r>
      <w:r>
        <w:rPr>
          <w:rFonts w:eastAsia="仿宋"/>
          <w:sz w:val="24"/>
          <w:highlight w:val="none"/>
        </w:rPr>
        <w:t>履约验收验收标准</w:t>
      </w:r>
    </w:p>
    <w:p w14:paraId="4D6FC694">
      <w:pPr>
        <w:spacing w:line="360" w:lineRule="auto"/>
        <w:ind w:firstLine="480" w:firstLineChars="200"/>
        <w:jc w:val="left"/>
        <w:rPr>
          <w:rFonts w:hint="eastAsia" w:eastAsia="仿宋"/>
          <w:sz w:val="24"/>
          <w:highlight w:val="none"/>
        </w:rPr>
      </w:pPr>
      <w:r>
        <w:rPr>
          <w:rFonts w:eastAsia="仿宋"/>
          <w:sz w:val="24"/>
          <w:highlight w:val="none"/>
        </w:rPr>
        <w:t>招标文件、中标人的投标文件、合同及国家有关的质量标准规定，均为验收标准及依据</w:t>
      </w:r>
      <w:r>
        <w:rPr>
          <w:rFonts w:hint="eastAsia" w:eastAsia="仿宋"/>
          <w:sz w:val="24"/>
          <w:highlight w:val="none"/>
        </w:rPr>
        <w:t>。</w:t>
      </w:r>
    </w:p>
    <w:p w14:paraId="47E9196E">
      <w:pPr>
        <w:spacing w:line="360" w:lineRule="auto"/>
        <w:ind w:firstLine="480" w:firstLineChars="200"/>
        <w:jc w:val="left"/>
        <w:rPr>
          <w:rFonts w:hint="default" w:eastAsia="仿宋"/>
          <w:sz w:val="24"/>
          <w:highlight w:val="none"/>
          <w:lang w:val="en-US" w:eastAsia="zh-CN"/>
        </w:rPr>
      </w:pPr>
      <w:r>
        <w:rPr>
          <w:rFonts w:hint="eastAsia" w:eastAsia="仿宋"/>
          <w:sz w:val="24"/>
          <w:highlight w:val="none"/>
          <w:lang w:val="en-US" w:eastAsia="zh-CN"/>
        </w:rPr>
        <w:t>6.3</w:t>
      </w:r>
      <w:r>
        <w:rPr>
          <w:rFonts w:hint="eastAsia" w:eastAsia="仿宋"/>
          <w:sz w:val="24"/>
          <w:highlight w:val="none"/>
          <w:lang w:eastAsia="zh-CN"/>
        </w:rPr>
        <w:t>.</w:t>
      </w:r>
      <w:r>
        <w:rPr>
          <w:rFonts w:hint="eastAsia" w:eastAsia="仿宋"/>
          <w:sz w:val="24"/>
          <w:highlight w:val="none"/>
          <w:lang w:val="en-US" w:eastAsia="zh-CN"/>
        </w:rPr>
        <w:t>应急服务要求：中标人</w:t>
      </w:r>
      <w:r>
        <w:rPr>
          <w:rFonts w:hint="eastAsia" w:eastAsia="仿宋"/>
          <w:sz w:val="24"/>
          <w:highlight w:val="none"/>
        </w:rPr>
        <w:t>应在中国境内方便的地点设置备件库，存入必须的备件，保证10年</w:t>
      </w:r>
      <w:r>
        <w:rPr>
          <w:rFonts w:hint="eastAsia" w:eastAsia="仿宋"/>
          <w:sz w:val="24"/>
          <w:highlight w:val="none"/>
          <w:lang w:val="en-US" w:eastAsia="zh-CN"/>
        </w:rPr>
        <w:t>以上</w:t>
      </w:r>
      <w:r>
        <w:rPr>
          <w:rFonts w:hint="eastAsia" w:eastAsia="仿宋"/>
          <w:sz w:val="24"/>
          <w:highlight w:val="none"/>
        </w:rPr>
        <w:t>零部件供应期</w:t>
      </w:r>
      <w:r>
        <w:rPr>
          <w:rFonts w:hint="eastAsia" w:eastAsia="仿宋"/>
          <w:sz w:val="24"/>
          <w:highlight w:val="none"/>
          <w:lang w:eastAsia="zh-CN"/>
        </w:rPr>
        <w:t>，</w:t>
      </w:r>
      <w:r>
        <w:rPr>
          <w:rFonts w:hint="eastAsia" w:eastAsia="仿宋"/>
          <w:sz w:val="24"/>
          <w:highlight w:val="none"/>
          <w:lang w:val="en-US" w:eastAsia="zh-CN"/>
        </w:rPr>
        <w:t>中标人应对设备故障等突发状况及时响应。</w:t>
      </w:r>
      <w:r>
        <w:rPr>
          <w:rFonts w:hint="eastAsia" w:ascii="Times New Roman" w:hAnsi="Times New Roman" w:eastAsia="仿宋" w:cs="Times New Roman"/>
          <w:sz w:val="24"/>
          <w:highlight w:val="none"/>
        </w:rPr>
        <w:t>若24小时内未修复设备故障，提供备用设备</w:t>
      </w:r>
      <w:r>
        <w:rPr>
          <w:rFonts w:hint="eastAsia" w:ascii="Times New Roman" w:hAnsi="Times New Roman" w:eastAsia="仿宋" w:cs="Times New Roman"/>
          <w:sz w:val="24"/>
          <w:highlight w:val="none"/>
          <w:lang w:val="en-US" w:eastAsia="zh-CN"/>
        </w:rPr>
        <w:t>供院方使用。</w:t>
      </w:r>
    </w:p>
    <w:p w14:paraId="6F5B6ED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 xml:space="preserve">6.4 </w:t>
      </w:r>
      <w:r>
        <w:rPr>
          <w:rFonts w:hint="eastAsia" w:eastAsia="仿宋"/>
          <w:sz w:val="24"/>
          <w:highlight w:val="none"/>
        </w:rPr>
        <w:t>安装调试、验收试验及质量保证</w:t>
      </w:r>
    </w:p>
    <w:p w14:paraId="661D6D14">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6.4.1</w:t>
      </w:r>
      <w:r>
        <w:rPr>
          <w:rFonts w:hint="eastAsia" w:eastAsia="仿宋"/>
          <w:sz w:val="24"/>
          <w:highlight w:val="none"/>
        </w:rPr>
        <w:t>中标人在设备安装地点负责安装、调试。</w:t>
      </w:r>
    </w:p>
    <w:p w14:paraId="0A8E27A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6.4.2</w:t>
      </w:r>
      <w:r>
        <w:rPr>
          <w:rFonts w:hint="eastAsia" w:eastAsia="仿宋"/>
          <w:sz w:val="24"/>
          <w:highlight w:val="none"/>
        </w:rPr>
        <w:t>具体设备验收标准和程序按采购人要求执行，下列验收程序可参照执行：</w:t>
      </w:r>
    </w:p>
    <w:p w14:paraId="043075AF">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1）</w:t>
      </w:r>
      <w:r>
        <w:rPr>
          <w:rFonts w:hint="eastAsia" w:eastAsia="仿宋"/>
          <w:sz w:val="24"/>
          <w:highlight w:val="none"/>
        </w:rPr>
        <w:t>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794086DF">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2）</w:t>
      </w:r>
      <w:r>
        <w:rPr>
          <w:rFonts w:hint="eastAsia" w:eastAsia="仿宋"/>
          <w:sz w:val="24"/>
          <w:highlight w:val="none"/>
        </w:rPr>
        <w:t>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31E18E0A">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3）</w:t>
      </w:r>
      <w:r>
        <w:rPr>
          <w:rFonts w:hint="eastAsia" w:eastAsia="仿宋"/>
          <w:sz w:val="24"/>
          <w:highlight w:val="none"/>
        </w:rPr>
        <w:t>中标人应根据采购人使用单位的技术要求提供相应的产品。由中标人所提供的设备部件间的连线和插接件均应视为设备内部器件，包含在相应的设备之中。</w:t>
      </w:r>
    </w:p>
    <w:p w14:paraId="442AC474">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4）</w:t>
      </w:r>
      <w:r>
        <w:rPr>
          <w:rFonts w:hint="eastAsia" w:eastAsia="仿宋"/>
          <w:sz w:val="24"/>
          <w:highlight w:val="none"/>
        </w:rPr>
        <w:t>运行测试及最终验收。在系统安装、调试结束后，采购人对其进行全面的测试，对测试中暴露出来的问题，中标人应及时进行整改，系统最终测试完毕经验收合格后，采购人应向中标人签发最终验收证明。</w:t>
      </w:r>
    </w:p>
    <w:p w14:paraId="14A2E991">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5）</w:t>
      </w:r>
      <w:r>
        <w:rPr>
          <w:rFonts w:hint="eastAsia" w:eastAsia="仿宋"/>
          <w:sz w:val="24"/>
          <w:highlight w:val="none"/>
        </w:rPr>
        <w:t>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3F69D35A">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6.4.3</w:t>
      </w:r>
      <w:r>
        <w:rPr>
          <w:rFonts w:hint="eastAsia" w:eastAsia="仿宋"/>
          <w:sz w:val="24"/>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73F41CD3">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 xml:space="preserve">6.5. </w:t>
      </w:r>
      <w:r>
        <w:rPr>
          <w:rFonts w:hint="eastAsia" w:eastAsia="仿宋"/>
          <w:sz w:val="24"/>
          <w:highlight w:val="none"/>
        </w:rPr>
        <w:t>包装运输</w:t>
      </w:r>
    </w:p>
    <w:p w14:paraId="273164D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6.5.1</w:t>
      </w:r>
      <w:r>
        <w:rPr>
          <w:rFonts w:hint="eastAsia" w:eastAsia="仿宋"/>
          <w:sz w:val="24"/>
          <w:highlight w:val="none"/>
        </w:rPr>
        <w:t>中标人负责设备包装、办理运输和保险，将设备安全运抵交货地点。</w:t>
      </w:r>
    </w:p>
    <w:p w14:paraId="4F479990">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6.5.2</w:t>
      </w:r>
      <w:r>
        <w:rPr>
          <w:rFonts w:hint="eastAsia" w:eastAsia="仿宋"/>
          <w:sz w:val="24"/>
          <w:highlight w:val="none"/>
        </w:rPr>
        <w:t>设备制造完成并通过试验后应及时包装，否则应得到切实的保护，确保其不受污损。</w:t>
      </w:r>
    </w:p>
    <w:p w14:paraId="66803C8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6.5.3</w:t>
      </w:r>
      <w:r>
        <w:rPr>
          <w:rFonts w:hint="eastAsia" w:eastAsia="仿宋"/>
          <w:sz w:val="24"/>
          <w:highlight w:val="none"/>
        </w:rPr>
        <w:t>在包装箱外应标明采购人的订货号、发货号。</w:t>
      </w:r>
    </w:p>
    <w:p w14:paraId="0BE10648">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6.5.4</w:t>
      </w:r>
      <w:r>
        <w:rPr>
          <w:rFonts w:hint="eastAsia" w:eastAsia="仿宋"/>
          <w:sz w:val="24"/>
          <w:highlight w:val="none"/>
        </w:rPr>
        <w:t>各种包装应能确保各零部件在运输过程中不致遭到损坏、丢失、变形、受潮和腐蚀。</w:t>
      </w:r>
    </w:p>
    <w:p w14:paraId="530DC53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6.5.5</w:t>
      </w:r>
      <w:r>
        <w:rPr>
          <w:rFonts w:hint="eastAsia" w:eastAsia="仿宋"/>
          <w:sz w:val="24"/>
          <w:highlight w:val="none"/>
        </w:rPr>
        <w:t>包装箱上应有明显的包装储运图示标志。</w:t>
      </w:r>
    </w:p>
    <w:p w14:paraId="28B526F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6.5.6</w:t>
      </w:r>
      <w:r>
        <w:rPr>
          <w:rFonts w:hint="eastAsia" w:eastAsia="仿宋"/>
          <w:sz w:val="24"/>
          <w:highlight w:val="none"/>
        </w:rPr>
        <w:t>整体产品或分别运输的部件都要适应运输和装载的要求。</w:t>
      </w:r>
    </w:p>
    <w:p w14:paraId="0D0F3561">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6.5.7</w:t>
      </w:r>
      <w:r>
        <w:rPr>
          <w:rFonts w:hint="eastAsia" w:eastAsia="仿宋"/>
          <w:sz w:val="24"/>
          <w:highlight w:val="none"/>
        </w:rPr>
        <w:t>随产品提供的技术资料应完整无缺。</w:t>
      </w:r>
    </w:p>
    <w:p w14:paraId="7AA39B5B">
      <w:pPr>
        <w:spacing w:line="360" w:lineRule="auto"/>
        <w:ind w:firstLine="480" w:firstLineChars="200"/>
        <w:jc w:val="left"/>
        <w:rPr>
          <w:rFonts w:hint="eastAsia" w:eastAsia="仿宋"/>
          <w:sz w:val="24"/>
          <w:highlight w:val="none"/>
          <w:lang w:val="en-US" w:eastAsia="zh-CN"/>
        </w:rPr>
      </w:pPr>
      <w:r>
        <w:rPr>
          <w:rFonts w:hint="eastAsia" w:eastAsia="仿宋"/>
          <w:sz w:val="24"/>
          <w:highlight w:val="none"/>
          <w:lang w:val="en-US" w:eastAsia="zh-CN"/>
        </w:rPr>
        <w:t>6.6. 投标人所投产品应为性能稳定、安全的成熟设备，故障率低、维修便利，并在投标文件中针对所投产品技术先进性、设备性能、配置情况、设计等方面进行阐述说明，提供相应证明材料。</w:t>
      </w:r>
    </w:p>
    <w:p w14:paraId="667E01A6">
      <w:pPr>
        <w:rPr>
          <w:rFonts w:hint="eastAsia" w:ascii="宋体" w:hAnsi="宋体" w:eastAsia="仿宋"/>
          <w:color w:val="auto"/>
          <w:highlight w:val="none"/>
        </w:rPr>
      </w:pPr>
    </w:p>
    <w:p w14:paraId="48C43922">
      <w:r>
        <w:rPr>
          <w:rFonts w:hint="eastAsia" w:ascii="宋体" w:hAnsi="宋体" w:eastAsia="仿宋"/>
          <w:color w:val="auto"/>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50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character" w:customStyle="1" w:styleId="7">
    <w:name w:val="标题 2 Char Char"/>
    <w:qFormat/>
    <w:uiPriority w:val="0"/>
    <w:rPr>
      <w:rFonts w:ascii="Arial" w:hAnsi="Arial" w:eastAsia="黑体" w:cs="Times New Roman"/>
      <w:b/>
      <w:bCs/>
      <w:kern w:val="2"/>
      <w:sz w:val="32"/>
      <w:szCs w:val="32"/>
      <w:lang w:val="en-US" w:eastAsia="zh-CN" w:bidi="ar-SA"/>
    </w:rPr>
  </w:style>
  <w:style w:type="paragraph" w:customStyle="1" w:styleId="8">
    <w:name w:val="列出段落1"/>
    <w:basedOn w:val="1"/>
    <w:qFormat/>
    <w:uiPriority w:val="0"/>
    <w:pPr>
      <w:ind w:firstLine="420" w:firstLineChars="200"/>
    </w:p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2025-09-15T08:47:52Z</dcterms:created>
  <dc:creator>Lenovo</dc:creator>
  <cp:lastModifiedBy>Mouns-J</cp:lastModifiedBy>
  <dcterms:modified xsi:type="dcterms:W3CDTF">2025-09-15T08:48:33Z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eyJoZGlkIjoiMmJiYzRlOGJmMGIyYjk3YjE2YTYxOTA5ZDBjZWRiM2UiLCJ1c2VySWQiOiIzMjIxNTQ2MDAifQ==</vt:lpwstr>
  </property>
  <property fmtid="{D5CDD505-2E9C-101B-9397-08002B2CF9AE}" pid="4" name="ICV">
    <vt:lpwstr>6510D378FD2A4ADFB227F0FEC811F5E9_12</vt:lpwstr>
  </property>
</Properties>
</file>