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A39FF0">
      <w:pPr>
        <w:pStyle w:val="2"/>
        <w:widowControl/>
        <w:snapToGrid w:val="0"/>
        <w:spacing w:before="0" w:after="0" w:line="360" w:lineRule="auto"/>
        <w:jc w:val="center"/>
        <w:rPr>
          <w:rFonts w:hint="eastAsia" w:ascii="宋体" w:hAnsi="宋体"/>
          <w:color w:val="000000"/>
        </w:rPr>
      </w:pPr>
      <w:bookmarkStart w:id="0" w:name="_Toc8946"/>
      <w:r>
        <w:rPr>
          <w:rFonts w:hint="eastAsia" w:ascii="宋体" w:hAnsi="宋体"/>
          <w:color w:val="000000"/>
        </w:rPr>
        <w:t>第三章  采购需求及技术规格要求</w:t>
      </w:r>
      <w:bookmarkEnd w:id="0"/>
    </w:p>
    <w:p w14:paraId="261AD124">
      <w:pPr>
        <w:pStyle w:val="3"/>
        <w:spacing w:before="0" w:after="0" w:line="360" w:lineRule="auto"/>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总则：</w:t>
      </w:r>
    </w:p>
    <w:p w14:paraId="4816B882">
      <w:pPr>
        <w:widowControl/>
        <w:tabs>
          <w:tab w:val="left" w:pos="1406"/>
        </w:tabs>
        <w:snapToGrid w:val="0"/>
        <w:spacing w:line="360" w:lineRule="auto"/>
        <w:ind w:firstLine="480" w:firstLineChars="200"/>
        <w:rPr>
          <w:rFonts w:hint="eastAsia" w:ascii="仿宋" w:hAnsi="仿宋" w:eastAsia="仿宋" w:cs="仿宋"/>
          <w:color w:val="000000"/>
          <w:sz w:val="24"/>
        </w:rPr>
      </w:pPr>
      <w:r>
        <w:rPr>
          <w:rFonts w:hint="eastAsia" w:ascii="仿宋" w:hAnsi="仿宋" w:eastAsia="仿宋" w:cs="仿宋"/>
          <w:color w:val="000000"/>
          <w:sz w:val="24"/>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6E5A071F">
      <w:pPr>
        <w:pStyle w:val="11"/>
        <w:spacing w:line="360" w:lineRule="auto"/>
        <w:ind w:firstLine="480" w:firstLineChars="200"/>
        <w:rPr>
          <w:rFonts w:hint="eastAsia" w:ascii="仿宋" w:hAnsi="仿宋" w:eastAsia="仿宋" w:cs="仿宋"/>
          <w:b/>
          <w:bCs/>
          <w:color w:val="000000"/>
          <w:sz w:val="24"/>
          <w:szCs w:val="24"/>
        </w:rPr>
      </w:pPr>
      <w:r>
        <w:rPr>
          <w:rFonts w:hint="eastAsia" w:ascii="仿宋" w:hAnsi="仿宋" w:eastAsia="仿宋" w:cs="仿宋"/>
          <w:color w:val="000000"/>
          <w:sz w:val="24"/>
          <w:szCs w:val="24"/>
        </w:rPr>
        <w:t>1.2 中标产品的名称、品牌、规格型号、数量、单价等将予以公布。</w:t>
      </w:r>
    </w:p>
    <w:p w14:paraId="07C97450">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一、商务条款：</w:t>
      </w:r>
    </w:p>
    <w:tbl>
      <w:tblPr>
        <w:tblStyle w:val="9"/>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7F016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74E55A3E">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序号</w:t>
            </w:r>
          </w:p>
        </w:tc>
        <w:tc>
          <w:tcPr>
            <w:tcW w:w="8745" w:type="dxa"/>
            <w:gridSpan w:val="2"/>
            <w:noWrap w:val="0"/>
            <w:vAlign w:val="center"/>
          </w:tcPr>
          <w:p w14:paraId="36197958">
            <w:pPr>
              <w:wordWrap w:val="0"/>
              <w:spacing w:line="360" w:lineRule="auto"/>
              <w:ind w:firstLine="2891" w:firstLineChars="1200"/>
              <w:jc w:val="left"/>
              <w:rPr>
                <w:rFonts w:hint="eastAsia" w:ascii="仿宋" w:hAnsi="仿宋" w:eastAsia="仿宋" w:cs="仿宋"/>
                <w:b/>
                <w:color w:val="000000"/>
                <w:sz w:val="24"/>
              </w:rPr>
            </w:pPr>
            <w:r>
              <w:rPr>
                <w:rFonts w:hint="eastAsia" w:ascii="仿宋" w:hAnsi="仿宋" w:eastAsia="仿宋" w:cs="仿宋"/>
                <w:b/>
                <w:color w:val="000000"/>
                <w:sz w:val="24"/>
              </w:rPr>
              <w:t>商务条款内容</w:t>
            </w:r>
          </w:p>
        </w:tc>
      </w:tr>
      <w:tr w14:paraId="11E1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68B92050">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1</w:t>
            </w:r>
          </w:p>
        </w:tc>
        <w:tc>
          <w:tcPr>
            <w:tcW w:w="1529" w:type="dxa"/>
            <w:vMerge w:val="restart"/>
            <w:noWrap w:val="0"/>
            <w:vAlign w:val="center"/>
          </w:tcPr>
          <w:p w14:paraId="60954522">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如是依法纳入医疗器械管理的须具有：</w:t>
            </w:r>
          </w:p>
        </w:tc>
        <w:tc>
          <w:tcPr>
            <w:tcW w:w="7216" w:type="dxa"/>
            <w:noWrap w:val="0"/>
            <w:vAlign w:val="center"/>
          </w:tcPr>
          <w:p w14:paraId="355088CC">
            <w:pPr>
              <w:wordWrap w:val="0"/>
              <w:spacing w:line="360" w:lineRule="auto"/>
              <w:jc w:val="left"/>
              <w:rPr>
                <w:rFonts w:hint="eastAsia" w:ascii="仿宋" w:hAnsi="仿宋" w:eastAsia="仿宋" w:cs="仿宋"/>
                <w:b/>
                <w:color w:val="000000"/>
                <w:sz w:val="24"/>
              </w:rPr>
            </w:pPr>
            <w:r>
              <w:rPr>
                <w:rFonts w:hint="eastAsia" w:ascii="仿宋" w:hAnsi="仿宋" w:eastAsia="仿宋" w:cs="仿宋"/>
                <w:b/>
                <w:color w:val="000000"/>
                <w:sz w:val="24"/>
              </w:rPr>
              <w:t>投标人为制造商的，须具有相应的医疗器械生产备案获取的备案编号（属于一类时）。</w:t>
            </w:r>
          </w:p>
        </w:tc>
      </w:tr>
      <w:tr w14:paraId="06C3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60ECC937">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2</w:t>
            </w:r>
          </w:p>
        </w:tc>
        <w:tc>
          <w:tcPr>
            <w:tcW w:w="1529" w:type="dxa"/>
            <w:vMerge w:val="continue"/>
            <w:noWrap w:val="0"/>
            <w:vAlign w:val="top"/>
          </w:tcPr>
          <w:p w14:paraId="6BC0813A">
            <w:pPr>
              <w:wordWrap w:val="0"/>
              <w:spacing w:line="360" w:lineRule="auto"/>
              <w:jc w:val="center"/>
              <w:rPr>
                <w:rFonts w:hint="eastAsia" w:ascii="仿宋" w:hAnsi="仿宋" w:eastAsia="仿宋" w:cs="仿宋"/>
                <w:b/>
                <w:bCs/>
                <w:kern w:val="0"/>
                <w:sz w:val="24"/>
              </w:rPr>
            </w:pPr>
          </w:p>
        </w:tc>
        <w:tc>
          <w:tcPr>
            <w:tcW w:w="7216" w:type="dxa"/>
            <w:noWrap w:val="0"/>
            <w:vAlign w:val="top"/>
          </w:tcPr>
          <w:p w14:paraId="5D9CA6AA">
            <w:pPr>
              <w:pStyle w:val="12"/>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投标人须具有与投标产品相应的有效经营备案编号（属于二类时）；（如本次投标产品的注册人、备案人在其住所或者生产地址销售的，无需再办理医疗器械经营许可或备案。）。</w:t>
            </w:r>
          </w:p>
        </w:tc>
      </w:tr>
      <w:tr w14:paraId="62B2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107D4C9">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3</w:t>
            </w:r>
          </w:p>
        </w:tc>
        <w:tc>
          <w:tcPr>
            <w:tcW w:w="1529" w:type="dxa"/>
            <w:vMerge w:val="continue"/>
            <w:noWrap w:val="0"/>
            <w:vAlign w:val="top"/>
          </w:tcPr>
          <w:p w14:paraId="13E57B55">
            <w:pPr>
              <w:wordWrap w:val="0"/>
              <w:spacing w:line="360" w:lineRule="auto"/>
              <w:jc w:val="center"/>
              <w:rPr>
                <w:rFonts w:hint="eastAsia" w:ascii="仿宋" w:hAnsi="仿宋" w:eastAsia="仿宋" w:cs="仿宋"/>
                <w:b/>
                <w:bCs/>
                <w:kern w:val="0"/>
                <w:sz w:val="24"/>
              </w:rPr>
            </w:pPr>
          </w:p>
        </w:tc>
        <w:tc>
          <w:tcPr>
            <w:tcW w:w="7216" w:type="dxa"/>
            <w:noWrap w:val="0"/>
            <w:vAlign w:val="top"/>
          </w:tcPr>
          <w:p w14:paraId="775033E5">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1A51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EAAB3DA">
            <w:pPr>
              <w:wordWrap w:val="0"/>
              <w:spacing w:line="360" w:lineRule="auto"/>
              <w:jc w:val="center"/>
              <w:rPr>
                <w:rFonts w:hint="eastAsia" w:ascii="仿宋" w:hAnsi="仿宋" w:eastAsia="仿宋" w:cs="仿宋"/>
                <w:b/>
                <w:color w:val="000000"/>
                <w:sz w:val="24"/>
              </w:rPr>
            </w:pPr>
            <w:r>
              <w:rPr>
                <w:rFonts w:hint="eastAsia" w:ascii="仿宋" w:hAnsi="仿宋" w:eastAsia="仿宋" w:cs="仿宋"/>
                <w:b/>
                <w:color w:val="000000"/>
                <w:sz w:val="24"/>
              </w:rPr>
              <w:t>4</w:t>
            </w:r>
          </w:p>
        </w:tc>
        <w:tc>
          <w:tcPr>
            <w:tcW w:w="8745" w:type="dxa"/>
            <w:gridSpan w:val="2"/>
            <w:noWrap w:val="0"/>
            <w:vAlign w:val="top"/>
          </w:tcPr>
          <w:p w14:paraId="5C2E17C4">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1、投标人所投设备须与医院信息系统连接，由此产生的费用包含在投标总报价中，采购人不另行支付。</w:t>
            </w:r>
          </w:p>
          <w:p w14:paraId="31A6C955">
            <w:pPr>
              <w:pStyle w:val="8"/>
              <w:spacing w:before="0" w:beforeAutospacing="0" w:after="0" w:afterAutospacing="0" w:line="360" w:lineRule="auto"/>
              <w:rPr>
                <w:rFonts w:hint="eastAsia" w:ascii="仿宋" w:hAnsi="仿宋" w:eastAsia="仿宋" w:cs="仿宋"/>
                <w:b/>
                <w:bCs/>
                <w:color w:val="auto"/>
              </w:rPr>
            </w:pPr>
            <w:r>
              <w:rPr>
                <w:rFonts w:hint="eastAsia" w:ascii="仿宋" w:hAnsi="仿宋" w:eastAsia="仿宋" w:cs="仿宋"/>
                <w:b/>
                <w:bCs/>
                <w:color w:val="auto"/>
              </w:rPr>
              <w:t>2、中标人需负责在项目安装地点进行所投设备的安装调试工作，并现场测试。在安装和调试期间，如发现设备或材料有缺陷或损坏，中标人应尽快更换，相关费用均包含在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bl>
    <w:p w14:paraId="207994B1">
      <w:pPr>
        <w:spacing w:line="360" w:lineRule="auto"/>
        <w:rPr>
          <w:rFonts w:hint="eastAsia" w:ascii="仿宋" w:hAnsi="仿宋" w:eastAsia="仿宋" w:cs="仿宋"/>
          <w:bCs/>
          <w:color w:val="000000"/>
          <w:sz w:val="24"/>
        </w:rPr>
      </w:pPr>
      <w:r>
        <w:rPr>
          <w:rFonts w:hint="eastAsia" w:ascii="仿宋" w:hAnsi="仿宋" w:eastAsia="仿宋" w:cs="仿宋"/>
          <w:b/>
          <w:color w:val="000000"/>
          <w:sz w:val="24"/>
        </w:rPr>
        <w:t>注：上述</w:t>
      </w:r>
      <w:r>
        <w:rPr>
          <w:rFonts w:hint="eastAsia" w:ascii="仿宋" w:hAnsi="仿宋" w:eastAsia="仿宋" w:cs="仿宋"/>
          <w:b/>
          <w:sz w:val="24"/>
        </w:rPr>
        <w:t>商务条款必须全部满足，否则做无效标处理。</w:t>
      </w:r>
    </w:p>
    <w:p w14:paraId="6C469129">
      <w:pPr>
        <w:pStyle w:val="4"/>
        <w:numPr>
          <w:ilvl w:val="0"/>
          <w:numId w:val="1"/>
        </w:numPr>
        <w:spacing w:line="360" w:lineRule="auto"/>
        <w:ind w:firstLine="0" w:firstLineChars="0"/>
        <w:rPr>
          <w:rFonts w:hint="eastAsia" w:ascii="仿宋" w:hAnsi="仿宋" w:eastAsia="仿宋" w:cs="仿宋"/>
          <w:b/>
          <w:bCs/>
          <w:kern w:val="44"/>
          <w:sz w:val="24"/>
          <w:lang w:val="zh-CN"/>
        </w:rPr>
      </w:pPr>
      <w:r>
        <w:rPr>
          <w:rFonts w:hint="eastAsia" w:ascii="仿宋" w:hAnsi="仿宋" w:eastAsia="仿宋" w:cs="仿宋"/>
          <w:b/>
          <w:bCs/>
          <w:kern w:val="44"/>
          <w:sz w:val="24"/>
        </w:rPr>
        <w:t>项目技术</w:t>
      </w:r>
      <w:r>
        <w:rPr>
          <w:rFonts w:hint="eastAsia" w:ascii="仿宋" w:hAnsi="仿宋" w:eastAsia="仿宋" w:cs="仿宋"/>
          <w:b/>
          <w:bCs/>
          <w:kern w:val="44"/>
          <w:sz w:val="24"/>
          <w:lang w:val="zh-CN"/>
        </w:rPr>
        <w:t>需求：</w:t>
      </w:r>
    </w:p>
    <w:p w14:paraId="6287A7AF">
      <w:pPr>
        <w:pStyle w:val="4"/>
        <w:ind w:firstLine="0" w:firstLineChars="0"/>
        <w:rPr>
          <w:rFonts w:hint="eastAsia" w:ascii="仿宋_GB2312" w:hAnsi="仿宋_GB2312" w:eastAsia="仿宋_GB2312" w:cs="仿宋_GB2312"/>
          <w:b/>
          <w:color w:val="000000"/>
          <w:sz w:val="24"/>
        </w:rPr>
      </w:pPr>
      <w:r>
        <w:rPr>
          <w:rFonts w:hint="eastAsia" w:ascii="仿宋" w:hAnsi="仿宋" w:eastAsia="仿宋" w:cs="仿宋"/>
          <w:b/>
          <w:bCs/>
          <w:sz w:val="24"/>
        </w:rPr>
        <w:br w:type="page"/>
      </w:r>
      <w:r>
        <w:rPr>
          <w:rFonts w:hint="eastAsia" w:ascii="仿宋" w:hAnsi="仿宋" w:eastAsia="仿宋" w:cs="仿宋"/>
          <w:b/>
          <w:bCs/>
          <w:kern w:val="44"/>
          <w:sz w:val="24"/>
        </w:rPr>
        <w:t>第3包：技术</w:t>
      </w:r>
      <w:r>
        <w:rPr>
          <w:rFonts w:hint="eastAsia" w:ascii="仿宋" w:hAnsi="仿宋" w:eastAsia="仿宋" w:cs="仿宋"/>
          <w:b/>
          <w:bCs/>
          <w:kern w:val="44"/>
          <w:sz w:val="24"/>
          <w:lang w:val="zh-CN"/>
        </w:rPr>
        <w:t>需求</w:t>
      </w:r>
      <w:r>
        <w:rPr>
          <w:rFonts w:hint="eastAsia" w:ascii="仿宋_GB2312" w:hAnsi="仿宋_GB2312" w:eastAsia="仿宋_GB2312" w:cs="仿宋_GB2312"/>
          <w:b/>
          <w:color w:val="000000"/>
          <w:sz w:val="24"/>
        </w:rPr>
        <w:t>重要性表述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5D7D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41CC0A93">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标识重要性</w:t>
            </w:r>
          </w:p>
        </w:tc>
        <w:tc>
          <w:tcPr>
            <w:tcW w:w="2180" w:type="dxa"/>
            <w:noWrap w:val="0"/>
            <w:vAlign w:val="center"/>
          </w:tcPr>
          <w:p w14:paraId="2FCBEF0B">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标识符号</w:t>
            </w:r>
          </w:p>
        </w:tc>
        <w:tc>
          <w:tcPr>
            <w:tcW w:w="5463" w:type="dxa"/>
            <w:noWrap w:val="0"/>
            <w:vAlign w:val="center"/>
          </w:tcPr>
          <w:p w14:paraId="40AB63B7">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代表意思</w:t>
            </w:r>
          </w:p>
        </w:tc>
      </w:tr>
      <w:tr w14:paraId="32593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3C84E4FC">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关键指标项</w:t>
            </w:r>
          </w:p>
        </w:tc>
        <w:tc>
          <w:tcPr>
            <w:tcW w:w="2180" w:type="dxa"/>
            <w:noWrap w:val="0"/>
            <w:vAlign w:val="center"/>
          </w:tcPr>
          <w:p w14:paraId="0BE46149">
            <w:pPr>
              <w:widowControl/>
              <w:spacing w:line="360" w:lineRule="auto"/>
              <w:jc w:val="center"/>
              <w:rPr>
                <w:rFonts w:hint="eastAsia" w:ascii="仿宋" w:hAnsi="仿宋" w:eastAsia="仿宋" w:cs="仿宋"/>
                <w:b/>
                <w:bCs/>
                <w:color w:val="000000"/>
                <w:sz w:val="24"/>
              </w:rPr>
            </w:pPr>
            <w:r>
              <w:rPr>
                <w:rFonts w:hint="eastAsia" w:ascii="仿宋" w:hAnsi="仿宋" w:eastAsia="仿宋" w:cs="仿宋"/>
                <w:b/>
                <w:bCs/>
                <w:color w:val="000000"/>
                <w:sz w:val="24"/>
              </w:rPr>
              <w:t>★</w:t>
            </w:r>
          </w:p>
        </w:tc>
        <w:tc>
          <w:tcPr>
            <w:tcW w:w="5463" w:type="dxa"/>
            <w:noWrap w:val="0"/>
            <w:vAlign w:val="center"/>
          </w:tcPr>
          <w:p w14:paraId="3438D06E">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未响应或负偏离的，则作为无效标处理</w:t>
            </w:r>
          </w:p>
        </w:tc>
      </w:tr>
      <w:tr w14:paraId="205F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0BD6BACD">
            <w:pPr>
              <w:widowControl/>
              <w:spacing w:line="360" w:lineRule="auto"/>
              <w:jc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重要指标项</w:t>
            </w:r>
          </w:p>
        </w:tc>
        <w:tc>
          <w:tcPr>
            <w:tcW w:w="2180" w:type="dxa"/>
            <w:noWrap w:val="0"/>
            <w:vAlign w:val="center"/>
          </w:tcPr>
          <w:p w14:paraId="53A24B08">
            <w:pPr>
              <w:widowControl/>
              <w:spacing w:line="360" w:lineRule="auto"/>
              <w:jc w:val="center"/>
              <w:rPr>
                <w:rFonts w:hint="eastAsia" w:ascii="仿宋" w:hAnsi="仿宋" w:eastAsia="仿宋" w:cs="仿宋"/>
                <w:b/>
                <w:bCs/>
                <w:color w:val="000000"/>
                <w:sz w:val="24"/>
              </w:rPr>
            </w:pPr>
            <w:r>
              <w:rPr>
                <w:rFonts w:hint="eastAsia" w:ascii="仿宋" w:hAnsi="仿宋" w:eastAsia="仿宋" w:cs="仿宋"/>
              </w:rPr>
              <w:t>▲</w:t>
            </w:r>
          </w:p>
        </w:tc>
        <w:tc>
          <w:tcPr>
            <w:tcW w:w="5463" w:type="dxa"/>
            <w:noWrap w:val="0"/>
            <w:vAlign w:val="center"/>
          </w:tcPr>
          <w:p w14:paraId="1CB2B9D0">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7378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4501B5E7">
            <w:pPr>
              <w:widowControl/>
              <w:spacing w:line="360" w:lineRule="auto"/>
              <w:jc w:val="center"/>
              <w:rPr>
                <w:rFonts w:hint="eastAsia" w:ascii="仿宋" w:hAnsi="仿宋" w:eastAsia="仿宋" w:cs="仿宋"/>
                <w:sz w:val="24"/>
              </w:rPr>
            </w:pPr>
            <w:r>
              <w:rPr>
                <w:rFonts w:hint="eastAsia" w:ascii="仿宋" w:hAnsi="仿宋" w:eastAsia="仿宋" w:cs="仿宋"/>
                <w:color w:val="000000"/>
                <w:kern w:val="0"/>
                <w:sz w:val="24"/>
                <w:lang w:bidi="ar"/>
              </w:rPr>
              <w:t>一般指标项</w:t>
            </w:r>
          </w:p>
        </w:tc>
        <w:tc>
          <w:tcPr>
            <w:tcW w:w="2180" w:type="dxa"/>
            <w:noWrap w:val="0"/>
            <w:vAlign w:val="center"/>
          </w:tcPr>
          <w:p w14:paraId="5C69B11E">
            <w:pPr>
              <w:spacing w:line="360" w:lineRule="auto"/>
              <w:jc w:val="center"/>
              <w:rPr>
                <w:rFonts w:hint="eastAsia" w:ascii="仿宋" w:hAnsi="仿宋" w:eastAsia="仿宋" w:cs="仿宋"/>
                <w:sz w:val="24"/>
              </w:rPr>
            </w:pPr>
            <w:r>
              <w:rPr>
                <w:rFonts w:hint="eastAsia" w:ascii="仿宋" w:hAnsi="仿宋" w:eastAsia="仿宋" w:cs="仿宋"/>
                <w:sz w:val="24"/>
              </w:rPr>
              <w:t>无标识项</w:t>
            </w:r>
          </w:p>
        </w:tc>
        <w:tc>
          <w:tcPr>
            <w:tcW w:w="5463" w:type="dxa"/>
            <w:noWrap w:val="0"/>
            <w:vAlign w:val="center"/>
          </w:tcPr>
          <w:p w14:paraId="5843E2B2">
            <w:pPr>
              <w:widowControl/>
              <w:spacing w:line="360" w:lineRule="auto"/>
              <w:jc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评分项，详见第四章评分细则</w:t>
            </w:r>
          </w:p>
        </w:tc>
      </w:tr>
      <w:tr w14:paraId="644C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0179F6C6">
            <w:pPr>
              <w:spacing w:line="360" w:lineRule="auto"/>
              <w:jc w:val="left"/>
              <w:rPr>
                <w:rFonts w:hint="eastAsia" w:ascii="仿宋" w:hAnsi="仿宋" w:eastAsia="仿宋" w:cs="仿宋"/>
                <w:color w:val="000000"/>
                <w:kern w:val="0"/>
                <w:sz w:val="24"/>
                <w:lang w:bidi="ar"/>
              </w:rPr>
            </w:pPr>
            <w:r>
              <w:rPr>
                <w:rFonts w:hint="eastAsia" w:ascii="仿宋" w:hAnsi="仿宋" w:eastAsia="仿宋" w:cs="仿宋"/>
                <w:b/>
                <w:bCs/>
                <w:color w:val="000000"/>
                <w:kern w:val="0"/>
                <w:sz w:val="24"/>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056A61D6">
      <w:pPr>
        <w:numPr>
          <w:ilvl w:val="0"/>
          <w:numId w:val="2"/>
        </w:numPr>
        <w:wordWrap w:val="0"/>
        <w:spacing w:line="360" w:lineRule="auto"/>
        <w:rPr>
          <w:rFonts w:hint="eastAsia" w:ascii="仿宋" w:hAnsi="仿宋" w:eastAsia="仿宋" w:cs="仿宋"/>
          <w:b/>
          <w:bCs/>
          <w:sz w:val="24"/>
        </w:rPr>
      </w:pPr>
      <w:r>
        <w:rPr>
          <w:rFonts w:hint="eastAsia" w:ascii="仿宋" w:hAnsi="仿宋" w:eastAsia="仿宋" w:cs="仿宋"/>
          <w:b/>
          <w:bCs/>
          <w:sz w:val="24"/>
        </w:rPr>
        <w:t>技术要求</w:t>
      </w:r>
    </w:p>
    <w:p w14:paraId="0C66F0A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  ★实质性响应条款：要求所投机型不得低于E95、Acuson origin I、CVX等,其它品牌性能不低于以上机型，投标文件中提供证明材料评委认可。</w:t>
      </w:r>
    </w:p>
    <w:tbl>
      <w:tblPr>
        <w:tblStyle w:val="9"/>
        <w:tblW w:w="9761" w:type="dxa"/>
        <w:tblInd w:w="91" w:type="dxa"/>
        <w:tblLayout w:type="fixed"/>
        <w:tblCellMar>
          <w:top w:w="0" w:type="dxa"/>
          <w:left w:w="108" w:type="dxa"/>
          <w:bottom w:w="0" w:type="dxa"/>
          <w:right w:w="108" w:type="dxa"/>
        </w:tblCellMar>
      </w:tblPr>
      <w:tblGrid>
        <w:gridCol w:w="837"/>
        <w:gridCol w:w="8924"/>
      </w:tblGrid>
      <w:tr w14:paraId="04CFBFFE">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599F0AA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w:t>
            </w:r>
          </w:p>
        </w:tc>
        <w:tc>
          <w:tcPr>
            <w:tcW w:w="8924" w:type="dxa"/>
            <w:tcBorders>
              <w:top w:val="single" w:color="000000" w:sz="4" w:space="0"/>
              <w:left w:val="nil"/>
              <w:bottom w:val="single" w:color="000000" w:sz="4" w:space="0"/>
              <w:right w:val="single" w:color="000000" w:sz="4" w:space="0"/>
            </w:tcBorders>
            <w:noWrap/>
            <w:vAlign w:val="center"/>
          </w:tcPr>
          <w:p w14:paraId="5254B2E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设备用途及主要要求：主要用于腹部、心脏、血管、小器官肌肉骨骼、妇科、神经、术中、弹性、造影及介入等全方面的临床诊断和科研教学工作。具有世界最高端平台，具备持续升级能力，可满足临床开展新技术应用的需求。</w:t>
            </w:r>
          </w:p>
        </w:tc>
      </w:tr>
      <w:tr w14:paraId="365CECB9">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194E2E25">
            <w:pPr>
              <w:widowControl/>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2.</w:t>
            </w:r>
          </w:p>
        </w:tc>
        <w:tc>
          <w:tcPr>
            <w:tcW w:w="8924" w:type="dxa"/>
            <w:tcBorders>
              <w:top w:val="single" w:color="000000" w:sz="4" w:space="0"/>
              <w:left w:val="nil"/>
              <w:bottom w:val="single" w:color="000000" w:sz="4" w:space="0"/>
              <w:right w:val="single" w:color="000000" w:sz="4" w:space="0"/>
            </w:tcBorders>
            <w:noWrap/>
            <w:vAlign w:val="center"/>
          </w:tcPr>
          <w:p w14:paraId="79FEE75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全域聚焦成像技术或类似技术：二维灰阶图像和彩色多普勒图像模式下均支持全聚焦模式成像模式，全场无焦点成像。</w:t>
            </w:r>
          </w:p>
        </w:tc>
      </w:tr>
      <w:tr w14:paraId="34DE74CD">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06CABC4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w:t>
            </w:r>
          </w:p>
        </w:tc>
        <w:tc>
          <w:tcPr>
            <w:tcW w:w="8924" w:type="dxa"/>
            <w:tcBorders>
              <w:top w:val="single" w:color="000000" w:sz="4" w:space="0"/>
              <w:left w:val="nil"/>
              <w:bottom w:val="single" w:color="000000" w:sz="4" w:space="0"/>
              <w:right w:val="single" w:color="000000" w:sz="4" w:space="0"/>
            </w:tcBorders>
            <w:noWrap/>
            <w:vAlign w:val="center"/>
          </w:tcPr>
          <w:p w14:paraId="049C71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自动频谱多普勒优化技术</w:t>
            </w:r>
          </w:p>
        </w:tc>
      </w:tr>
      <w:tr w14:paraId="4AEB6C46">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2F76DD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w:t>
            </w:r>
          </w:p>
        </w:tc>
        <w:tc>
          <w:tcPr>
            <w:tcW w:w="8924" w:type="dxa"/>
            <w:tcBorders>
              <w:top w:val="single" w:color="000000" w:sz="4" w:space="0"/>
              <w:left w:val="nil"/>
              <w:bottom w:val="single" w:color="000000" w:sz="4" w:space="0"/>
              <w:right w:val="single" w:color="000000" w:sz="4" w:space="0"/>
            </w:tcBorders>
            <w:noWrap/>
            <w:vAlign w:val="center"/>
          </w:tcPr>
          <w:p w14:paraId="4F582FE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具备彩色多普勒成像技术。</w:t>
            </w:r>
          </w:p>
        </w:tc>
      </w:tr>
      <w:tr w14:paraId="57A188DD">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6D88E15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w:t>
            </w:r>
          </w:p>
        </w:tc>
        <w:tc>
          <w:tcPr>
            <w:tcW w:w="8924" w:type="dxa"/>
            <w:tcBorders>
              <w:top w:val="single" w:color="000000" w:sz="4" w:space="0"/>
              <w:left w:val="nil"/>
              <w:bottom w:val="single" w:color="000000" w:sz="4" w:space="0"/>
              <w:right w:val="single" w:color="000000" w:sz="4" w:space="0"/>
            </w:tcBorders>
            <w:noWrap/>
            <w:vAlign w:val="center"/>
          </w:tcPr>
          <w:p w14:paraId="47D6FA1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具备高清放大功能。</w:t>
            </w:r>
          </w:p>
        </w:tc>
      </w:tr>
      <w:tr w14:paraId="51CD1638">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noWrap/>
            <w:vAlign w:val="center"/>
          </w:tcPr>
          <w:p w14:paraId="32EC88C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w:t>
            </w:r>
          </w:p>
        </w:tc>
        <w:tc>
          <w:tcPr>
            <w:tcW w:w="8924" w:type="dxa"/>
            <w:tcBorders>
              <w:top w:val="single" w:color="000000" w:sz="4" w:space="0"/>
              <w:left w:val="nil"/>
              <w:bottom w:val="single" w:color="000000" w:sz="4" w:space="0"/>
              <w:right w:val="single" w:color="000000" w:sz="4" w:space="0"/>
            </w:tcBorders>
            <w:noWrap/>
            <w:vAlign w:val="center"/>
          </w:tcPr>
          <w:p w14:paraId="20C5239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具备高级空间复合成像技术。</w:t>
            </w:r>
          </w:p>
        </w:tc>
      </w:tr>
      <w:tr w14:paraId="772822A2">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58C2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w:t>
            </w:r>
          </w:p>
        </w:tc>
        <w:tc>
          <w:tcPr>
            <w:tcW w:w="8924" w:type="dxa"/>
            <w:tcBorders>
              <w:top w:val="single" w:color="000000" w:sz="4" w:space="0"/>
              <w:left w:val="nil"/>
              <w:bottom w:val="single" w:color="000000" w:sz="4" w:space="0"/>
              <w:right w:val="single" w:color="000000" w:sz="4" w:space="0"/>
            </w:tcBorders>
            <w:noWrap/>
            <w:vAlign w:val="center"/>
          </w:tcPr>
          <w:p w14:paraId="640F0A3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具备智能化组织均衡技术。或类似技术</w:t>
            </w:r>
          </w:p>
        </w:tc>
      </w:tr>
      <w:tr w14:paraId="7041BF75">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DA8DE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8.</w:t>
            </w:r>
          </w:p>
        </w:tc>
        <w:tc>
          <w:tcPr>
            <w:tcW w:w="8924" w:type="dxa"/>
            <w:tcBorders>
              <w:top w:val="single" w:color="000000" w:sz="4" w:space="0"/>
              <w:left w:val="nil"/>
              <w:bottom w:val="single" w:color="000000" w:sz="4" w:space="0"/>
              <w:right w:val="single" w:color="000000" w:sz="4" w:space="0"/>
            </w:tcBorders>
            <w:noWrap/>
            <w:vAlign w:val="center"/>
          </w:tcPr>
          <w:p w14:paraId="3382CB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主机内置或外置耦合剂加热装置</w:t>
            </w:r>
          </w:p>
        </w:tc>
      </w:tr>
      <w:tr w14:paraId="157242B3">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020B">
            <w:pPr>
              <w:widowControl/>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9</w:t>
            </w:r>
          </w:p>
        </w:tc>
        <w:tc>
          <w:tcPr>
            <w:tcW w:w="8924" w:type="dxa"/>
            <w:tcBorders>
              <w:top w:val="single" w:color="000000" w:sz="4" w:space="0"/>
              <w:left w:val="nil"/>
              <w:bottom w:val="single" w:color="000000" w:sz="4" w:space="0"/>
              <w:right w:val="single" w:color="000000" w:sz="4" w:space="0"/>
            </w:tcBorders>
            <w:shd w:val="clear" w:color="auto" w:fill="FFFFFF"/>
            <w:noWrap w:val="0"/>
            <w:vAlign w:val="center"/>
          </w:tcPr>
          <w:p w14:paraId="0C9D29C3">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具备手势感应探头技术，双击探头前端任何部位，即可激活探头进入扫查，无需在触摸屏上切换；或具备经食道电子矩阵探头技术，最大阵元数≥2000。</w:t>
            </w:r>
          </w:p>
        </w:tc>
      </w:tr>
      <w:tr w14:paraId="7BF25DB0">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7B3072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10.</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AA54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主机系统数字化通道数≥1100万。</w:t>
            </w:r>
          </w:p>
        </w:tc>
      </w:tr>
      <w:tr w14:paraId="5DE44792">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4FF946C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11.</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83B0E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动态范围≥380dB。</w:t>
            </w:r>
          </w:p>
        </w:tc>
      </w:tr>
      <w:tr w14:paraId="38F5C105">
        <w:tblPrEx>
          <w:tblCellMar>
            <w:top w:w="0" w:type="dxa"/>
            <w:left w:w="108" w:type="dxa"/>
            <w:bottom w:w="0" w:type="dxa"/>
            <w:right w:w="108" w:type="dxa"/>
          </w:tblCellMar>
        </w:tblPrEx>
        <w:trPr>
          <w:trHeight w:val="90"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5C28BC0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12.</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42D1FF6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智能动态变频技术（AI）或类似技术：基于ROI的深度可以改变彩色的频率，浅部频率较高，深度越深，频率越低，具备自动和手动两种模式，触摸屏按键可调。</w:t>
            </w:r>
          </w:p>
        </w:tc>
      </w:tr>
      <w:tr w14:paraId="7E97C499">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2F3B6FF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13.</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2451E9B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逐微血流成像技术或微细血流成像技术或非多普勒血流成像技术。</w:t>
            </w:r>
          </w:p>
        </w:tc>
      </w:tr>
      <w:tr w14:paraId="66A24408">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1A7FD4C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14.</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5F2C0EDF">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智能工作流程软件包或先进软件</w:t>
            </w:r>
          </w:p>
        </w:tc>
      </w:tr>
      <w:tr w14:paraId="08928409">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2ABDA90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 xml:space="preserve">15. </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49E3CC">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AI（人工智能）实时智能扫查助手，可自动进行切面识别，自动定位放置彩色取样框取样框和多普勒取样框，有效改善工作流程，减少按键次数和检查时间，减少重复运动，提高检查标准化和可重复性，支持经胸探头，≥12个标准切面；</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或术者模式或智能预设置模式：触摸屏可自动呈现≥4种不同风格优化后的图像，在实时状态下快速切换，且预设联动，医生可自定义选择其中一个作为最优检查条件，减少操作。</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或基于人工智能（AI），自动识别标准切面并选择图像质量最佳的心动周期进行心内膜运动轨迹的追踪，进行二维心功能测量，支持单平面和双平面计算。</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（投标文件中须提供医疗器械注册证）</w:t>
            </w:r>
          </w:p>
        </w:tc>
      </w:tr>
      <w:tr w14:paraId="292BA02B">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75A8D65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16</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CF3EB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自动左心测量功能：基于先进的人工智能技术，全自动探测左心室和左心房的边界，自动测量得到收缩末和舒张末容积的测量值以及射血分数。</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或基于人工智能（AI）的二维图像模式下的心脏腔室自动测量：智能识别心室收缩末和舒张末时间点，自动测量左室内径、室间隔及左室后壁厚度、EF值等信息，提高心脏腔室测量的准确率和重复性。</w:t>
            </w:r>
          </w:p>
        </w:tc>
      </w:tr>
      <w:tr w14:paraId="11019690">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356FFEB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17.</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FB26F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 xml:space="preserve">支持一键测量二维状态下四个心腔的心肌AI （人工智能）应变定量，支持一键四心腔同步应变分析； </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或具备形变函数预测左室功能不全：通过左心的形变不同，提前预测潜在心功能不全，提高对潜在性心功能不全的诊断。</w:t>
            </w:r>
            <w:r>
              <w:rPr>
                <w:rFonts w:hint="eastAsia" w:ascii="仿宋" w:hAnsi="仿宋" w:eastAsia="仿宋" w:cs="仿宋"/>
                <w:b/>
                <w:bCs/>
                <w:color w:val="000000"/>
                <w:kern w:val="0"/>
                <w:sz w:val="24"/>
                <w:lang w:bidi="ar"/>
              </w:rPr>
              <w:br w:type="textWrapping"/>
            </w:r>
            <w:r>
              <w:rPr>
                <w:rFonts w:hint="eastAsia" w:ascii="仿宋" w:hAnsi="仿宋" w:eastAsia="仿宋" w:cs="仿宋"/>
                <w:b/>
                <w:bCs/>
                <w:color w:val="000000"/>
                <w:kern w:val="0"/>
                <w:sz w:val="24"/>
                <w:lang w:bidi="ar"/>
              </w:rPr>
              <w:t>或基于人工智能（AI），可自动识别切面并选择三个质量最佳的心动周期进行心肌斑点信号的追踪，分析心肌收缩期长轴峰值应变、收缩后收缩指数、提供17和18节段牛眼图、曲线显示模式、曲线解剖M型显示模式等。并可同步显示双平面辛普森法EF值。</w:t>
            </w:r>
          </w:p>
        </w:tc>
      </w:tr>
      <w:tr w14:paraId="6F65FD1F">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5A80C57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303D8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具有测量和分析 ( B-型、M-型、频谱多普勒、彩色多普勒模式)</w:t>
            </w:r>
          </w:p>
        </w:tc>
      </w:tr>
      <w:tr w14:paraId="5D53CA37">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42CE7DA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18.1</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C5A7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具有一般测量：距离、面积、周长等；</w:t>
            </w:r>
          </w:p>
        </w:tc>
      </w:tr>
      <w:tr w14:paraId="014CDF85">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016A542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18.2</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B5F3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妇科测量和计算；</w:t>
            </w:r>
          </w:p>
        </w:tc>
      </w:tr>
      <w:tr w14:paraId="18FEBF4A">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570C0CB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18.3</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D58E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自动产科测量；</w:t>
            </w:r>
          </w:p>
        </w:tc>
      </w:tr>
      <w:tr w14:paraId="32E3ECB2">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1682A20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18.4</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F1C9A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外周血管测量和计算；</w:t>
            </w:r>
          </w:p>
        </w:tc>
      </w:tr>
      <w:tr w14:paraId="30225F87">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19158EF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18.5</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6DC37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心脏功能测量和计算：</w:t>
            </w:r>
          </w:p>
        </w:tc>
      </w:tr>
      <w:tr w14:paraId="557D4998">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605B400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18.6</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4BD3C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多普勒血流测量与分析；</w:t>
            </w:r>
          </w:p>
        </w:tc>
      </w:tr>
      <w:tr w14:paraId="7C8410B6">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11D8318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19.</w:t>
            </w:r>
          </w:p>
        </w:tc>
        <w:tc>
          <w:tcPr>
            <w:tcW w:w="8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C2CEA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具有自动描记功能。</w:t>
            </w:r>
          </w:p>
        </w:tc>
      </w:tr>
      <w:tr w14:paraId="521EB61C">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149C2E9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20.</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7A0031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内置固态硬盘容量≥1TB 。</w:t>
            </w:r>
          </w:p>
        </w:tc>
      </w:tr>
      <w:tr w14:paraId="00D309BD">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203FEFA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26415197">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USB接口≥4个。</w:t>
            </w:r>
          </w:p>
        </w:tc>
      </w:tr>
      <w:tr w14:paraId="0287EFB4">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77C091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396EDE9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显示器：高分辨率彩色液晶显示器≥22英寸，可上下左右任意旋转，可前后折叠。</w:t>
            </w:r>
          </w:p>
        </w:tc>
      </w:tr>
      <w:tr w14:paraId="6142E26C">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576BA0A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23.</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3178287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操作面板具备液晶触摸屏≥12英寸（不含边框）</w:t>
            </w:r>
          </w:p>
        </w:tc>
      </w:tr>
      <w:tr w14:paraId="1F48EB04">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2A1DCF9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2F01EDED">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≥4个探头接口</w:t>
            </w:r>
          </w:p>
        </w:tc>
      </w:tr>
      <w:tr w14:paraId="22A46561">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44ACF02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585F954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探头技术：具备单晶体或冰晶或透镜或纯净波或多排阵列探头技术。</w:t>
            </w:r>
          </w:p>
        </w:tc>
      </w:tr>
      <w:tr w14:paraId="19E1FA04">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57C82E68">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766DDC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最大扫描深度：腹部凸阵探头有效最大探测深度≥40cm，线阵探头有效最大探测深度≥12cm，相控阵探头有效最大探测深度≥30cm。</w:t>
            </w:r>
          </w:p>
        </w:tc>
      </w:tr>
      <w:tr w14:paraId="1469A7F7">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49742AD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27.</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2CD8103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标配探头及探头频率：单晶体或冰晶或透镜或纯净波相控阵心脏探头 1.0-5.0 MHz。</w:t>
            </w:r>
          </w:p>
        </w:tc>
      </w:tr>
      <w:tr w14:paraId="4932C276">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512EE6C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28.</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016D7A46">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标配相控阵心脏探头具备扇扩成像技术，可完整显示心尖部图像，有助于心尖病变诊断或具备矩阵探头技术</w:t>
            </w:r>
          </w:p>
        </w:tc>
      </w:tr>
      <w:tr w14:paraId="628CBF23">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36C1817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29.</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2A85FD2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声束发射聚焦：发射≥8段。</w:t>
            </w:r>
          </w:p>
        </w:tc>
      </w:tr>
      <w:tr w14:paraId="3F0282EE">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1C887E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30.</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4008A9F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回放重现：灰阶图像回放≥4000帧，回放时间≥350秒，并能进行测量和计算。</w:t>
            </w:r>
          </w:p>
        </w:tc>
      </w:tr>
      <w:tr w14:paraId="43675187">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6E031F8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31.</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3FAD603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显示模式：脉冲多普勒 PWD、连续多普勒 CWD和高脉冲重复频率 HPRF。</w:t>
            </w:r>
          </w:p>
        </w:tc>
      </w:tr>
      <w:tr w14:paraId="04747458">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6ACBB2B4">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rPr>
              <w:t>▲</w:t>
            </w:r>
            <w:r>
              <w:rPr>
                <w:rFonts w:hint="eastAsia" w:ascii="仿宋" w:hAnsi="仿宋" w:eastAsia="仿宋" w:cs="仿宋"/>
                <w:b/>
                <w:bCs/>
                <w:color w:val="000000"/>
                <w:kern w:val="0"/>
                <w:sz w:val="24"/>
                <w:lang w:bidi="ar"/>
              </w:rPr>
              <w:t>32.</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316DA86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频谱多普勒取样容积 0.05mm- 30mm。</w:t>
            </w:r>
          </w:p>
        </w:tc>
      </w:tr>
      <w:tr w14:paraId="5FBF5AB0">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16B94B6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33.</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6A8346B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连通性 医学数字图像和通信DICOM3.0版接口部件。</w:t>
            </w:r>
          </w:p>
        </w:tc>
      </w:tr>
      <w:tr w14:paraId="501FF6B3">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nil"/>
            </w:tcBorders>
            <w:shd w:val="clear" w:color="auto" w:fill="FFFFFF"/>
            <w:noWrap w:val="0"/>
            <w:vAlign w:val="center"/>
          </w:tcPr>
          <w:p w14:paraId="07EC58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34.</w:t>
            </w:r>
          </w:p>
        </w:tc>
        <w:tc>
          <w:tcPr>
            <w:tcW w:w="8924" w:type="dxa"/>
            <w:tcBorders>
              <w:top w:val="single" w:color="000000" w:sz="4" w:space="0"/>
              <w:left w:val="single" w:color="000000" w:sz="4" w:space="0"/>
              <w:bottom w:val="single" w:color="000000" w:sz="4" w:space="0"/>
              <w:right w:val="single" w:color="000000" w:sz="4" w:space="0"/>
            </w:tcBorders>
            <w:noWrap/>
            <w:vAlign w:val="center"/>
          </w:tcPr>
          <w:p w14:paraId="10A6B83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中文操作手册。</w:t>
            </w:r>
          </w:p>
        </w:tc>
      </w:tr>
      <w:tr w14:paraId="4EDC628E">
        <w:tblPrEx>
          <w:tblCellMar>
            <w:top w:w="0" w:type="dxa"/>
            <w:left w:w="108" w:type="dxa"/>
            <w:bottom w:w="0" w:type="dxa"/>
            <w:right w:w="108" w:type="dxa"/>
          </w:tblCellMar>
        </w:tblPrEx>
        <w:trPr>
          <w:trHeight w:val="283" w:hRule="atLeast"/>
        </w:trPr>
        <w:tc>
          <w:tcPr>
            <w:tcW w:w="83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637DB">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★35</w:t>
            </w:r>
          </w:p>
        </w:tc>
        <w:tc>
          <w:tcPr>
            <w:tcW w:w="8924" w:type="dxa"/>
            <w:tcBorders>
              <w:top w:val="single" w:color="000000" w:sz="4" w:space="0"/>
              <w:left w:val="nil"/>
              <w:bottom w:val="single" w:color="000000" w:sz="4" w:space="0"/>
              <w:right w:val="single" w:color="000000" w:sz="4" w:space="0"/>
            </w:tcBorders>
            <w:noWrap/>
            <w:vAlign w:val="center"/>
          </w:tcPr>
          <w:p w14:paraId="5F7CC78E">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免费质保期内升级到最新版本。</w:t>
            </w:r>
          </w:p>
        </w:tc>
      </w:tr>
    </w:tbl>
    <w:p w14:paraId="0F2259F0">
      <w:pPr>
        <w:pStyle w:val="2"/>
        <w:widowControl/>
        <w:numPr>
          <w:ilvl w:val="0"/>
          <w:numId w:val="1"/>
        </w:numPr>
        <w:spacing w:before="0" w:after="0" w:line="360" w:lineRule="auto"/>
        <w:rPr>
          <w:rFonts w:hint="eastAsia" w:ascii="仿宋" w:hAnsi="仿宋" w:eastAsia="仿宋" w:cs="仿宋"/>
          <w:sz w:val="24"/>
          <w:szCs w:val="24"/>
        </w:rPr>
      </w:pPr>
      <w:r>
        <w:rPr>
          <w:rFonts w:hint="eastAsia" w:ascii="仿宋" w:hAnsi="仿宋" w:eastAsia="仿宋" w:cs="仿宋"/>
          <w:color w:val="000000"/>
          <w:kern w:val="0"/>
          <w:sz w:val="24"/>
          <w:lang w:bidi="ar"/>
        </w:rPr>
        <w:t xml:space="preserve"> </w:t>
      </w:r>
      <w:r>
        <w:rPr>
          <w:rFonts w:hint="eastAsia" w:ascii="仿宋" w:hAnsi="仿宋" w:eastAsia="仿宋" w:cs="仿宋"/>
          <w:sz w:val="24"/>
          <w:szCs w:val="24"/>
        </w:rPr>
        <w:t>其他配套要求：</w:t>
      </w:r>
    </w:p>
    <w:p w14:paraId="61441F31">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（一）应急服务要求</w:t>
      </w:r>
    </w:p>
    <w:p w14:paraId="0A23114E">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1.备品备件：中标人提供能够满足质量保证期内的设备维修要求的备品备件，备品备件应是新品。中标人应保证10年以上零部件供应期，并对设备故障等突发状况及时响应。</w:t>
      </w:r>
    </w:p>
    <w:p w14:paraId="4676CA9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2.专用工具：中标人提供设备安装、调试、验收、维修、保养所必要的专用工具、仪器、仪表等工具。</w:t>
      </w:r>
    </w:p>
    <w:p w14:paraId="4F07EE4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 接到报修后应及时响应，若未及时修复设备故障，应提供备用设备供院方使用。</w:t>
      </w:r>
    </w:p>
    <w:p w14:paraId="7EF7E39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（二）安装调试、验收试验及质量保证</w:t>
      </w:r>
    </w:p>
    <w:p w14:paraId="4F0DB2B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1.中标人在设备安装地点负责安装、调试。</w:t>
      </w:r>
    </w:p>
    <w:p w14:paraId="18DFFAE3">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2.具体设备验收标准和程序按采购人要求执行，下列验收程序可参照执行：</w:t>
      </w:r>
    </w:p>
    <w:p w14:paraId="0C299FB7">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45A82EE8">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73C6AF60">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2.3中标人应根据采购人使用单位的技术要求提供相应的产品。由中标人所提供的设备部件间的连线和插接件均应视为设备内部器件，包含在相应的设备之中；</w:t>
      </w:r>
    </w:p>
    <w:p w14:paraId="41D0CBA2">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2.4运行测试及最终验收。在系统安装、调试结束后，采购人对其进行全面的测试，对测试中暴露出来的问题，中标人应及时进行整改，系统最终测试完毕经验收合格后，采购人应向中标人签发最终验收证明；</w:t>
      </w:r>
    </w:p>
    <w:p w14:paraId="38B9A96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77DCEA26">
      <w:pPr>
        <w:widowControl/>
        <w:spacing w:line="360" w:lineRule="auto"/>
        <w:ind w:firstLine="480" w:firstLineChars="200"/>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2.6如设备在验收时有一个或多个指标未能达到要求而属于中标人责任时，则中标人自费采取有效措施，在规定时间内使之达到保证指标。如在规定的时间内仍达不到合格标准时，则中标人应向采购人赔偿。</w:t>
      </w:r>
    </w:p>
    <w:p w14:paraId="2295A4CA">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（三）包装运输</w:t>
      </w:r>
    </w:p>
    <w:p w14:paraId="67875182">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1.中标人负责设备包装、办理运输和保险，将设备安全运抵交货地点。</w:t>
      </w:r>
    </w:p>
    <w:p w14:paraId="7B041B36">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2.设备制造完成并通过试验后应及时包装，否则应得到切实的保护，确保其不受污损。</w:t>
      </w:r>
    </w:p>
    <w:p w14:paraId="59E76D00">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3.在包装箱外应标明采购人的订货号、发货号。</w:t>
      </w:r>
    </w:p>
    <w:p w14:paraId="6B730FC1">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4.各种包装应能确保各零部件在运输过程中不致遭到损坏、丢失、变形、受潮和腐蚀。</w:t>
      </w:r>
    </w:p>
    <w:p w14:paraId="11C17C7A">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5.包装箱上应有明显的包装储运图示标志。</w:t>
      </w:r>
    </w:p>
    <w:p w14:paraId="300E3329">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6.整体产品或分别运输的部件都要适应运输和装载的要求。</w:t>
      </w:r>
    </w:p>
    <w:p w14:paraId="48F8958B">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7.随产品提供的技术资料应完整无缺。</w:t>
      </w:r>
    </w:p>
    <w:p w14:paraId="1C0B5CA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（四）培训要求</w:t>
      </w:r>
    </w:p>
    <w:p w14:paraId="37AB06EF">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099DFB7C">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2.设备使用培训：不少于2人，直至完全掌握设备应用技术，并获厂方资质许可；免一切费用(包含交通、食宿、资料、工具材料等所有与培训相关的费用)。</w:t>
      </w:r>
    </w:p>
    <w:p w14:paraId="340086C0">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（五）质保及售后服务</w:t>
      </w:r>
    </w:p>
    <w:p w14:paraId="4CF860B4">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1.自双方签订《验收报告》起进入免费质保期。</w:t>
      </w:r>
    </w:p>
    <w:p w14:paraId="7B3EC415">
      <w:pPr>
        <w:widowControl/>
        <w:spacing w:line="360" w:lineRule="auto"/>
        <w:jc w:val="left"/>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2.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39FF5B52">
      <w:pPr>
        <w:widowControl/>
        <w:spacing w:line="360" w:lineRule="auto"/>
        <w:jc w:val="left"/>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（六）其他</w:t>
      </w:r>
    </w:p>
    <w:p w14:paraId="0192796B">
      <w:r>
        <w:rPr>
          <w:rFonts w:hint="eastAsia" w:ascii="仿宋" w:hAnsi="仿宋" w:eastAsia="仿宋" w:cs="仿宋"/>
          <w:color w:val="000000"/>
          <w:kern w:val="0"/>
          <w:sz w:val="24"/>
          <w:lang w:bidi="ar"/>
        </w:rPr>
        <w:t>1.投标人所投产品应为性能稳定、安全的成熟设备，故障率低、维修便利，并在投标文件中针对所投产品技术先进性、设备性能、配置情况、设计等方面进行阐述说明，提供相应证明材料。</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A2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next w:val="7"/>
    <w:qFormat/>
    <w:uiPriority w:val="99"/>
    <w:pPr>
      <w:spacing w:after="120" w:afterLines="0"/>
      <w:ind w:left="420" w:leftChars="200"/>
    </w:pPr>
  </w:style>
  <w:style w:type="paragraph" w:styleId="7">
    <w:name w:val="envelope return"/>
    <w:basedOn w:val="1"/>
    <w:qFormat/>
    <w:uiPriority w:val="99"/>
    <w:pPr>
      <w:snapToGrid w:val="0"/>
    </w:pPr>
    <w:rPr>
      <w:rFonts w:ascii="Arial" w:hAnsi="Arial"/>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1">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2025-12-30T10:06:17Z</dcterms:created>
  <dc:creator>Administrator</dc:creator>
  <cp:lastModifiedBy>豆奶是个小胖子</cp:lastModifiedBy>
  <dcterms:modified xsi:type="dcterms:W3CDTF">2025-12-30T10:06:32Z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eyJoZGlkIjoiMWE4OWNmYjFhYzFiMzA2YTU1MGY4ZDI0NjFhZTMxZGQiLCJ1c2VySWQiOiIzMDI3OTc1ODcifQ==</vt:lpwstr>
  </property>
  <property fmtid="{D5CDD505-2E9C-101B-9397-08002B2CF9AE}" pid="4" name="ICV">
    <vt:lpwstr>A3940A274BCE46DABA6488939FAADFD8_12</vt:lpwstr>
  </property>
</Properties>
</file>