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9E74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  <w:highlight w:val="none"/>
        </w:rPr>
      </w:pPr>
      <w:bookmarkStart w:id="0" w:name="_Toc8946"/>
      <w:r>
        <w:rPr>
          <w:rFonts w:hint="eastAsia" w:ascii="宋体" w:hAnsi="宋体"/>
          <w:color w:val="000000"/>
          <w:highlight w:val="none"/>
        </w:rPr>
        <w:t>第三章  采购需求及技术规格要求</w:t>
      </w:r>
      <w:bookmarkEnd w:id="0"/>
    </w:p>
    <w:p w14:paraId="1B312756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总则：</w:t>
      </w:r>
    </w:p>
    <w:p w14:paraId="3F5A1F14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2550BD25">
      <w:pPr>
        <w:pStyle w:val="10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1.2 中标产品的名称、品牌、规格型号、数量、单价等将予以公布。</w:t>
      </w:r>
    </w:p>
    <w:p w14:paraId="12176E5B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一、商务条款：</w:t>
      </w:r>
    </w:p>
    <w:tbl>
      <w:tblPr>
        <w:tblStyle w:val="8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29"/>
        <w:gridCol w:w="7216"/>
      </w:tblGrid>
      <w:tr w14:paraId="7A9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1" w:type="dxa"/>
            <w:noWrap w:val="0"/>
            <w:vAlign w:val="center"/>
          </w:tcPr>
          <w:p w14:paraId="090DF3F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8745" w:type="dxa"/>
            <w:gridSpan w:val="2"/>
            <w:noWrap w:val="0"/>
            <w:vAlign w:val="center"/>
          </w:tcPr>
          <w:p w14:paraId="6D7F8FD3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商务条款内容</w:t>
            </w:r>
          </w:p>
        </w:tc>
      </w:tr>
      <w:tr w14:paraId="79A1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1" w:type="dxa"/>
            <w:noWrap w:val="0"/>
            <w:vAlign w:val="center"/>
          </w:tcPr>
          <w:p w14:paraId="306B2F3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529" w:type="dxa"/>
            <w:vMerge w:val="restart"/>
            <w:noWrap w:val="0"/>
            <w:vAlign w:val="center"/>
          </w:tcPr>
          <w:p w14:paraId="6B94842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3331227B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投标人为制造商的，须具有相应的医疗器械生产备案获取的备案编号（属于一类时）。</w:t>
            </w:r>
          </w:p>
        </w:tc>
      </w:tr>
      <w:tr w14:paraId="28AA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011" w:type="dxa"/>
            <w:noWrap w:val="0"/>
            <w:vAlign w:val="center"/>
          </w:tcPr>
          <w:p w14:paraId="7E4C139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7906711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216" w:type="dxa"/>
            <w:noWrap w:val="0"/>
            <w:vAlign w:val="top"/>
          </w:tcPr>
          <w:p w14:paraId="0171FF6D">
            <w:pPr>
              <w:pStyle w:val="11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1F20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2CC18A4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1529" w:type="dxa"/>
            <w:vMerge w:val="continue"/>
            <w:noWrap w:val="0"/>
            <w:vAlign w:val="top"/>
          </w:tcPr>
          <w:p w14:paraId="77AEF47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216" w:type="dxa"/>
            <w:noWrap w:val="0"/>
            <w:vAlign w:val="top"/>
          </w:tcPr>
          <w:p w14:paraId="5696C7A2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4499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6717181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8745" w:type="dxa"/>
            <w:gridSpan w:val="2"/>
            <w:noWrap w:val="0"/>
            <w:vAlign w:val="top"/>
          </w:tcPr>
          <w:p w14:paraId="1FB73390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1、投标人所投设备须与医院信息系统连接，由此产生的费用包含在投标总报价中，采购人不另行支付。</w:t>
            </w:r>
          </w:p>
          <w:p w14:paraId="3E8FD279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2、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  <w:tr w14:paraId="17F8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noWrap w:val="0"/>
            <w:vAlign w:val="center"/>
          </w:tcPr>
          <w:p w14:paraId="00E20CC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45" w:type="dxa"/>
            <w:gridSpan w:val="2"/>
            <w:noWrap w:val="0"/>
            <w:vAlign w:val="top"/>
          </w:tcPr>
          <w:p w14:paraId="1904255E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配置要求：</w:t>
            </w:r>
          </w:p>
          <w:p w14:paraId="654605C4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1图像处理装置1个</w:t>
            </w:r>
          </w:p>
          <w:p w14:paraId="71966CD5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2冷光源1个</w:t>
            </w:r>
          </w:p>
          <w:p w14:paraId="1355ECC9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3医用显示器1个</w:t>
            </w:r>
          </w:p>
          <w:p w14:paraId="6CBB27DF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4内窥镜送水泵1个</w:t>
            </w:r>
          </w:p>
          <w:p w14:paraId="2B2E9479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5二氧化碳送气装置1个</w:t>
            </w:r>
          </w:p>
          <w:p w14:paraId="05D91161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6超细胃镜1个</w:t>
            </w:r>
          </w:p>
          <w:p w14:paraId="16FBEDDB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7超细肠镜1个</w:t>
            </w:r>
          </w:p>
          <w:p w14:paraId="16B5C662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8医用台车1个</w:t>
            </w:r>
          </w:p>
          <w:p w14:paraId="5F0E3352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9图文工作站1个</w:t>
            </w:r>
          </w:p>
          <w:p w14:paraId="360A9CE5">
            <w:pPr>
              <w:pStyle w:val="7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10清洗工作站1个</w:t>
            </w:r>
          </w:p>
        </w:tc>
      </w:tr>
    </w:tbl>
    <w:p w14:paraId="3B0F76AF">
      <w:pPr>
        <w:spacing w:line="360" w:lineRule="auto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</w:p>
    <w:p w14:paraId="4D3E3B53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注：上述</w:t>
      </w:r>
      <w:r>
        <w:rPr>
          <w:rFonts w:hint="eastAsia" w:ascii="仿宋" w:hAnsi="仿宋" w:eastAsia="仿宋" w:cs="仿宋"/>
          <w:b/>
          <w:sz w:val="24"/>
          <w:highlight w:val="none"/>
        </w:rPr>
        <w:t>商务条款必须全部满足，否则做无效标处理。</w:t>
      </w:r>
    </w:p>
    <w:p w14:paraId="7B7AF66E">
      <w:pPr>
        <w:pStyle w:val="5"/>
        <w:rPr>
          <w:rFonts w:hint="eastAsia" w:ascii="仿宋" w:hAnsi="仿宋" w:eastAsia="仿宋" w:cs="仿宋"/>
          <w:b/>
          <w:sz w:val="24"/>
          <w:highlight w:val="none"/>
        </w:rPr>
      </w:pPr>
    </w:p>
    <w:p w14:paraId="21759407">
      <w:pPr>
        <w:pStyle w:val="5"/>
        <w:rPr>
          <w:rFonts w:hint="eastAsia" w:ascii="仿宋" w:hAnsi="仿宋" w:eastAsia="仿宋" w:cs="仿宋"/>
          <w:b/>
          <w:sz w:val="24"/>
          <w:highlight w:val="none"/>
        </w:rPr>
      </w:pPr>
    </w:p>
    <w:p w14:paraId="228F3276">
      <w:pPr>
        <w:pStyle w:val="5"/>
        <w:rPr>
          <w:rFonts w:hint="eastAsia" w:ascii="仿宋" w:hAnsi="仿宋" w:eastAsia="仿宋" w:cs="仿宋"/>
          <w:b/>
          <w:sz w:val="24"/>
          <w:highlight w:val="none"/>
        </w:rPr>
      </w:pPr>
    </w:p>
    <w:p w14:paraId="50685B73">
      <w:pPr>
        <w:pStyle w:val="4"/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</w:rPr>
        <w:t>项目技术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  <w:t>需求：</w:t>
      </w:r>
    </w:p>
    <w:p w14:paraId="14994497">
      <w:pPr>
        <w:pStyle w:val="4"/>
        <w:ind w:firstLine="0" w:firstLineChars="0"/>
        <w:rPr>
          <w:b/>
          <w:bCs/>
          <w:highlight w:val="none"/>
          <w:lang w:val="zh-CN"/>
        </w:rPr>
      </w:pPr>
    </w:p>
    <w:p w14:paraId="3EFE4632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highlight w:val="none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重要性表述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0792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11" w:type="dxa"/>
            <w:noWrap w:val="0"/>
            <w:vAlign w:val="center"/>
          </w:tcPr>
          <w:p w14:paraId="314632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41DAFD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620D460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代表意思</w:t>
            </w:r>
          </w:p>
        </w:tc>
      </w:tr>
      <w:tr w14:paraId="6DFF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5C94C9F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关键指标项</w:t>
            </w:r>
          </w:p>
        </w:tc>
        <w:tc>
          <w:tcPr>
            <w:tcW w:w="2180" w:type="dxa"/>
            <w:noWrap w:val="0"/>
            <w:vAlign w:val="center"/>
          </w:tcPr>
          <w:p w14:paraId="2E6F25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★</w:t>
            </w:r>
          </w:p>
        </w:tc>
        <w:tc>
          <w:tcPr>
            <w:tcW w:w="5463" w:type="dxa"/>
            <w:noWrap w:val="0"/>
            <w:vAlign w:val="center"/>
          </w:tcPr>
          <w:p w14:paraId="7654D5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评分项，详见第四章评分细则</w:t>
            </w:r>
          </w:p>
        </w:tc>
      </w:tr>
      <w:tr w14:paraId="2C17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noWrap w:val="0"/>
            <w:vAlign w:val="center"/>
          </w:tcPr>
          <w:p w14:paraId="3BEDFC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4A8073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2CC8BE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评分项，详见第四章评分细则</w:t>
            </w:r>
          </w:p>
        </w:tc>
      </w:tr>
      <w:tr w14:paraId="7D8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12ED1B1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4774528E">
      <w:pPr>
        <w:numPr>
          <w:ilvl w:val="0"/>
          <w:numId w:val="2"/>
        </w:numPr>
        <w:wordWrap w:val="0"/>
        <w:spacing w:line="36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技术要求</w:t>
      </w:r>
    </w:p>
    <w:p w14:paraId="0650B8B1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★总体要求：可兼容消化科电子胃肠镜、呼吸科电子支气管镜、耳鼻喉科电子鼻咽喉镜、 泌尿科电子膀胱镜、肝胆科电子胆道镜及电子肾盂镜等不同科室内镜应用</w:t>
      </w:r>
    </w:p>
    <w:p w14:paraId="6410AB3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1、图像处理装置</w:t>
      </w:r>
    </w:p>
    <w:p w14:paraId="2AC22ED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1.1、分体式内镜设计：主机光源采用分体式设计，图像处理性能强、运行稳定；</w:t>
      </w:r>
    </w:p>
    <w:p w14:paraId="3B0F391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1.2、图像输出：支持超高清≥3840*2160数字输出图像</w:t>
      </w:r>
    </w:p>
    <w:p w14:paraId="7D5B6A6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1.3、高清输出信号接口：具有高清输出端口＞4个,SDI、DVI接口</w:t>
      </w:r>
    </w:p>
    <w:p w14:paraId="357B3E9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1.4、输入信号接口：具有外部视频输入信号接口≥2个；</w:t>
      </w:r>
    </w:p>
    <w:p w14:paraId="2B52428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1.5、USB 端口：具有实时存储视频、图片、键盘连接等功能；</w:t>
      </w:r>
    </w:p>
    <w:p w14:paraId="1F4B7BD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1.6、图像传输方式：采用高速激光光学传输内镜图像，无线传输/高速率传输</w:t>
      </w:r>
    </w:p>
    <w:p w14:paraId="327FBF8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1.7、图像处理系统模式：封闭式FPGA硬件处理系统，信息安全性能稳定；</w:t>
      </w:r>
    </w:p>
    <w:p w14:paraId="4D7A73BE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★1.8、放大功能：具备电子放大≥4倍，六档可调，配合光学放大胃镜可以实现放大倍率≥140倍</w:t>
      </w:r>
    </w:p>
    <w:p w14:paraId="3482EF6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1.9、测光模式：具有平均测光/峰值测光/混合（自动)测光</w:t>
      </w:r>
    </w:p>
    <w:p w14:paraId="25E0A6C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★1.10、具有窄带成像光学或分光染色功能，具备CBI染色模式或DSI染色模式或MSI染色模式，非光电复合染色或非电子染色模式，用于癌前病变的诊断和观察。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1.11、色彩定制功能：红色、蓝色、色度饱和度调节；可自定义模式后存储个人模式；</w:t>
      </w:r>
    </w:p>
    <w:p w14:paraId="01A6A5D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1.12、血液强化功能：对内窥镜图像进行图像处理，强化显示血管组织，增强对比。</w:t>
      </w:r>
    </w:p>
    <w:p w14:paraId="02D8275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1.13、降噪功能：可降低图像的噪点，更好保证临床图像效果。</w:t>
      </w:r>
    </w:p>
    <w:p w14:paraId="2F6B58D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1.14、自动增益控制（AGC）：可自动进行电子增益，使图像明亮，并且可手动调节 AGC 亮度目标级别；</w:t>
      </w:r>
    </w:p>
    <w:p w14:paraId="19724B1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1.15、白平衡：具有白平衡功能，调试有显示信息反馈，携带白平衡帽并可360°旋转。</w:t>
      </w:r>
    </w:p>
    <w:p w14:paraId="24821D5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1.16、防抖功能：图像处理器可自行选择冻结前图像中最清晰的图像显示；</w:t>
      </w:r>
    </w:p>
    <w:p w14:paraId="0751FB0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1.17、图像冻结：图像可冻结，图像处理器系统，具有内镜按键、脚踏、图像处理器等至少3种冻结控制模式选择；在冻结时能并行显示冻结和实时图像。</w:t>
      </w:r>
    </w:p>
    <w:p w14:paraId="2972826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1.18、冻结及回放：可冻结图片和回放可再编辑，并支持实时存储U盘；支持图像回放。</w:t>
      </w:r>
    </w:p>
    <w:p w14:paraId="1BB0272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1.19、回放图像可以进行血红蛋白强调、结构强化、轮廓强化及数字放大等图像处理。</w:t>
      </w:r>
    </w:p>
    <w:p w14:paraId="70ABDB5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1.20、用户/自定义模式设置：支持用户自定义模式，用户数量至少10个；用户管理存储默认使用的图像输出颜色设置、强化参数、测光模式以及测光目标值设置、气泵等级、放大参数、默认的手柄按钮快捷功能等。医生操控简单无需日常调节参数性能。</w:t>
      </w:r>
    </w:p>
    <w:p w14:paraId="56333B3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1.21、双光/双画面模式：可动态实时同步显示白光与染色图像于同一画面同步实时显示，直观对比黏膜细节病灶；</w:t>
      </w:r>
    </w:p>
    <w:p w14:paraId="2D609C9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1.22、画中画视频输入：PIP按键，可切换画中画输入接口，便于科室大超、小超等内镜视频的接入。有“VIDEO”和“Y/C”等视频信号输入选项。</w:t>
      </w:r>
    </w:p>
    <w:p w14:paraId="104CED7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1.23、使用便捷：更换镜体无需开关机，内镜更换支持热插拔；</w:t>
      </w:r>
    </w:p>
    <w:p w14:paraId="7606BE3E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★1.24、设备兼容性：兼容电子胃肠镜 ，插入管外径≤2.8mm电子鼻咽喉镜，插入管外径≤2.8mm电子支气管镜 ，电子胆道镜 ，电子膀胱镜 ，十二指肠镜， 放大电子胃肠镜，5.4mm超细电子胃镜用于儿童胃镜检查。</w:t>
      </w:r>
    </w:p>
    <w:p w14:paraId="319F13A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2、内窥镜冷光源设备</w:t>
      </w:r>
    </w:p>
    <w:p w14:paraId="0B9ED95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2.1、光源：独立LED光源设备；</w:t>
      </w:r>
    </w:p>
    <w:p w14:paraId="1BC339E4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★2.2、多路LED光源：≥5 LED光源；</w:t>
      </w:r>
    </w:p>
    <w:p w14:paraId="0CE3AC3D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★2.3、照明模式：冷光源具备＞4种照明成像模式，1种白光≥4种及以上的染色照明模式；</w:t>
      </w:r>
    </w:p>
    <w:p w14:paraId="30A8576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2.4、光照强度/亮度：光照强度可调节，自动/手动调光，调光级别≥18级；</w:t>
      </w:r>
    </w:p>
    <w:p w14:paraId="628ED82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2.5、透光功能：具备透光闪光功能，可实现体外透视定位；</w:t>
      </w:r>
    </w:p>
    <w:p w14:paraId="6F83B45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2.6、气泵压力：气泵压力范围40-90kPa；</w:t>
      </w:r>
    </w:p>
    <w:p w14:paraId="6B7442F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2.7、气体大小选择：气泵流量：气泵流量具有OFF\ L\M\H（关闭、低、中、高）档可选；</w:t>
      </w:r>
    </w:p>
    <w:p w14:paraId="25B1069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2.8、气泵流量：流量范围：≥4L/min，≤7L/min；</w:t>
      </w:r>
    </w:p>
    <w:p w14:paraId="367DD19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2.9、内镜连接：内镜连接采用无线供电模式，无辅助电缆接头，且支持内镜热插拔。</w:t>
      </w:r>
    </w:p>
    <w:p w14:paraId="5E0D563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三、超细电子胃镜（1根）</w:t>
      </w:r>
    </w:p>
    <w:p w14:paraId="43158C4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1.有效工作长度≥1100mm；</w:t>
      </w:r>
    </w:p>
    <w:p w14:paraId="52D3687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2.导光部一键式拔插设计，支持内镜热插拔，全密封设计，无需防水帽，可直接浸泡消毒</w:t>
      </w:r>
    </w:p>
    <w:p w14:paraId="68021B3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3.视野角≥140°；</w:t>
      </w:r>
    </w:p>
    <w:p w14:paraId="3077D2F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4.景深：2-100mm；</w:t>
      </w:r>
    </w:p>
    <w:p w14:paraId="341723F1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5.头端部外径≤5.4mm；</w:t>
      </w:r>
    </w:p>
    <w:p w14:paraId="189B2121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6.插入部主软管外径≤5.8mm；</w:t>
      </w:r>
    </w:p>
    <w:p w14:paraId="05B988C3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7.钳道孔内径≥2.4mm；</w:t>
      </w:r>
    </w:p>
    <w:p w14:paraId="01E595E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8.弯曲角度：上≥210°，下≥120°，左右各≥100°；</w:t>
      </w:r>
    </w:p>
    <w:p w14:paraId="2E193CE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9.智能按键：操作手柄具有快捷按键，可自定义功能按键，且≥4个。</w:t>
      </w:r>
    </w:p>
    <w:p w14:paraId="35AEBA2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四、超细电子肠镜（1根）</w:t>
      </w:r>
    </w:p>
    <w:p w14:paraId="5B3DE1D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1、导光部一键式拔插设计，支持内镜热插拔，全密封设计，无需防水帽，可直接浸泡消毒</w:t>
      </w:r>
    </w:p>
    <w:p w14:paraId="73B86A6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2、视野角≥170°；</w:t>
      </w:r>
    </w:p>
    <w:p w14:paraId="07532D6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3、景深：2-100mm；</w:t>
      </w:r>
    </w:p>
    <w:p w14:paraId="49709C7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4、头端部外径≤9.8mm；</w:t>
      </w:r>
    </w:p>
    <w:p w14:paraId="1A72D4A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5、插入部主软管外径≤9.8mm；</w:t>
      </w:r>
    </w:p>
    <w:p w14:paraId="6D640D58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6、钳道孔内径：≥3.2mm；</w:t>
      </w:r>
    </w:p>
    <w:p w14:paraId="302A3499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7、弯曲角度：上≥210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vertAlign w:val="superscript"/>
          <w:lang w:bidi="ar"/>
        </w:rPr>
        <w:t>o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、下≥180°，左、右≥160°；</w:t>
      </w:r>
    </w:p>
    <w:p w14:paraId="3E736A6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8、有效工作长度≥1350mm；</w:t>
      </w:r>
    </w:p>
    <w:p w14:paraId="0C401CB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9、可变硬度：0-4档可调节</w:t>
      </w:r>
    </w:p>
    <w:p w14:paraId="48B1AD5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10、智能按键：操作手柄具有快捷按键，可自定义功能按键，且不少于4个；</w:t>
      </w:r>
    </w:p>
    <w:p w14:paraId="3030F7C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11.具备向前副送水功能。</w:t>
      </w:r>
    </w:p>
    <w:p w14:paraId="289DAD0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五、医用专业液晶显示器</w:t>
      </w:r>
    </w:p>
    <w:p w14:paraId="6766A69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1.尺寸≥32英寸；</w:t>
      </w:r>
    </w:p>
    <w:p w14:paraId="5C7ACE3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2.分辨率：≥3840 x 2160；</w:t>
      </w:r>
    </w:p>
    <w:p w14:paraId="45BB4B5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3.支持PIP模式：具有画中画/双屏模式/关；</w:t>
      </w:r>
    </w:p>
    <w:p w14:paraId="1C09DF6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4.屏幕工艺：彩色，液晶显示屏，防眩，硬涂层；</w:t>
      </w:r>
    </w:p>
    <w:p w14:paraId="5887D18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5.图像可调：具有亮度、对比度、饱和度、清晰度、比例缩放等调节功能。</w:t>
      </w:r>
    </w:p>
    <w:p w14:paraId="53D8956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7D95"/>
    <w:multiLevelType w:val="singleLevel"/>
    <w:tmpl w:val="8D217D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BEE5BA"/>
    <w:multiLevelType w:val="singleLevel"/>
    <w:tmpl w:val="B9BEE5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32D76"/>
    <w:rsid w:val="501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2025-10-30T10:24:27Z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