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2167D">
      <w:pPr>
        <w:spacing w:line="360" w:lineRule="auto"/>
        <w:jc w:val="center"/>
        <w:outlineLvl w:val="0"/>
        <w:rPr>
          <w:rFonts w:asciiTheme="minorEastAsia" w:hAnsiTheme="minorEastAsia" w:eastAsiaTheme="minorEastAsia"/>
          <w:b/>
          <w:color w:val="auto"/>
          <w:sz w:val="28"/>
        </w:rPr>
      </w:pPr>
      <w:bookmarkStart w:id="0" w:name="_Toc18642"/>
      <w:r>
        <w:rPr>
          <w:rFonts w:hint="eastAsia" w:asciiTheme="minorEastAsia" w:hAnsiTheme="minorEastAsia" w:eastAsiaTheme="minorEastAsia"/>
          <w:b/>
          <w:color w:val="auto"/>
          <w:sz w:val="28"/>
        </w:rPr>
        <w:t>第三章  采购需求</w:t>
      </w:r>
      <w:bookmarkEnd w:id="0"/>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50E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BF920FC">
            <w:pPr>
              <w:spacing w:line="360" w:lineRule="auto"/>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序号</w:t>
            </w:r>
          </w:p>
        </w:tc>
        <w:tc>
          <w:tcPr>
            <w:tcW w:w="1277" w:type="dxa"/>
            <w:vAlign w:val="center"/>
          </w:tcPr>
          <w:p w14:paraId="4DF928BF">
            <w:pPr>
              <w:spacing w:line="360" w:lineRule="auto"/>
              <w:ind w:firstLine="435"/>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内容</w:t>
            </w:r>
          </w:p>
        </w:tc>
        <w:tc>
          <w:tcPr>
            <w:tcW w:w="6287" w:type="dxa"/>
            <w:vAlign w:val="center"/>
          </w:tcPr>
          <w:p w14:paraId="58A9587F">
            <w:pPr>
              <w:spacing w:line="360" w:lineRule="auto"/>
              <w:ind w:firstLine="435"/>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说明和要求</w:t>
            </w:r>
          </w:p>
        </w:tc>
      </w:tr>
      <w:tr w14:paraId="08B4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E917DF9">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w:t>
            </w:r>
          </w:p>
        </w:tc>
        <w:tc>
          <w:tcPr>
            <w:tcW w:w="1277" w:type="dxa"/>
            <w:vAlign w:val="center"/>
          </w:tcPr>
          <w:p w14:paraId="2FAE25CE">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人员到岗及履约要求</w:t>
            </w:r>
          </w:p>
        </w:tc>
        <w:tc>
          <w:tcPr>
            <w:tcW w:w="6287" w:type="dxa"/>
            <w:vAlign w:val="center"/>
          </w:tcPr>
          <w:p w14:paraId="5518309C">
            <w:pPr>
              <w:spacing w:line="360" w:lineRule="auto"/>
              <w:rPr>
                <w:rFonts w:ascii="Times New Roman" w:hAnsi="Times New Roman"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1</w:t>
            </w:r>
            <w:r>
              <w:rPr>
                <w:rFonts w:ascii="Times New Roman" w:hAnsi="Times New Roman" w:eastAsiaTheme="minorEastAsia"/>
                <w:color w:val="auto"/>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25F0DC8E">
            <w:pPr>
              <w:spacing w:line="360" w:lineRule="auto"/>
              <w:rPr>
                <w:rFonts w:ascii="Times New Roman" w:hAnsi="Times New Roman"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2</w:t>
            </w:r>
            <w:r>
              <w:rPr>
                <w:rFonts w:ascii="Times New Roman" w:hAnsi="Times New Roman" w:eastAsiaTheme="minorEastAsia"/>
                <w:color w:val="auto"/>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9D866A6">
            <w:pPr>
              <w:spacing w:line="360" w:lineRule="auto"/>
              <w:rPr>
                <w:rFonts w:cs="@仿宋_GB2312" w:asciiTheme="minorEastAsia" w:hAnsiTheme="minorEastAsia"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3</w:t>
            </w:r>
            <w:r>
              <w:rPr>
                <w:rFonts w:ascii="Times New Roman" w:hAnsi="Times New Roman" w:eastAsiaTheme="minorEastAsia"/>
                <w:color w:val="auto"/>
                <w:kern w:val="2"/>
                <w:sz w:val="24"/>
                <w:szCs w:val="22"/>
              </w:rPr>
              <w:t>）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2687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DC954F8">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2</w:t>
            </w:r>
          </w:p>
        </w:tc>
        <w:tc>
          <w:tcPr>
            <w:tcW w:w="1277" w:type="dxa"/>
            <w:vAlign w:val="center"/>
          </w:tcPr>
          <w:p w14:paraId="0C4EDD6E">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材料要求</w:t>
            </w:r>
          </w:p>
        </w:tc>
        <w:tc>
          <w:tcPr>
            <w:tcW w:w="6287" w:type="dxa"/>
            <w:vAlign w:val="center"/>
          </w:tcPr>
          <w:p w14:paraId="179CEEC1">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576A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3FB47C6">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3</w:t>
            </w:r>
          </w:p>
        </w:tc>
        <w:tc>
          <w:tcPr>
            <w:tcW w:w="1277" w:type="dxa"/>
            <w:vAlign w:val="center"/>
          </w:tcPr>
          <w:p w14:paraId="070EFFAB">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工程施工重点难点</w:t>
            </w:r>
          </w:p>
        </w:tc>
        <w:tc>
          <w:tcPr>
            <w:tcW w:w="6287" w:type="dxa"/>
            <w:vAlign w:val="center"/>
          </w:tcPr>
          <w:p w14:paraId="3790A449">
            <w:pPr>
              <w:spacing w:line="360" w:lineRule="auto"/>
              <w:rPr>
                <w:rFonts w:hint="eastAsia" w:cs="@仿宋_GB2312" w:asciiTheme="minorEastAsia" w:hAnsiTheme="minorEastAsia" w:eastAsiaTheme="minorEastAsia"/>
                <w:color w:val="auto"/>
                <w:kern w:val="2"/>
                <w:sz w:val="24"/>
                <w:szCs w:val="22"/>
                <w:lang w:eastAsia="zh-CN"/>
              </w:rPr>
            </w:pPr>
            <w:r>
              <w:rPr>
                <w:rFonts w:hint="eastAsia" w:cs="@仿宋_GB2312" w:asciiTheme="minorEastAsia" w:hAnsiTheme="minorEastAsia" w:eastAsiaTheme="minorEastAsia"/>
                <w:color w:val="auto"/>
                <w:kern w:val="2"/>
                <w:sz w:val="24"/>
                <w:szCs w:val="22"/>
                <w:lang w:val="en-US" w:eastAsia="zh-CN"/>
              </w:rPr>
              <w:t>/</w:t>
            </w:r>
          </w:p>
        </w:tc>
      </w:tr>
      <w:tr w14:paraId="55EC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28C7750">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4</w:t>
            </w:r>
          </w:p>
        </w:tc>
        <w:tc>
          <w:tcPr>
            <w:tcW w:w="1277" w:type="dxa"/>
            <w:vAlign w:val="center"/>
          </w:tcPr>
          <w:p w14:paraId="3E8BA2EF">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报价须知</w:t>
            </w:r>
          </w:p>
        </w:tc>
        <w:tc>
          <w:tcPr>
            <w:tcW w:w="6287" w:type="dxa"/>
            <w:vAlign w:val="center"/>
          </w:tcPr>
          <w:p w14:paraId="373739F2">
            <w:pPr>
              <w:spacing w:line="360" w:lineRule="auto"/>
              <w:rPr>
                <w:rFonts w:eastAsia="@微软简标宋"/>
                <w:color w:val="auto"/>
                <w:kern w:val="2"/>
                <w:sz w:val="21"/>
                <w:szCs w:val="22"/>
              </w:rPr>
            </w:pPr>
            <w:r>
              <w:rPr>
                <w:rFonts w:hint="eastAsia" w:cs="@仿宋_GB2312" w:asciiTheme="minorEastAsia" w:hAnsiTheme="minorEastAsia" w:eastAsiaTheme="minorEastAsia"/>
                <w:color w:val="auto"/>
                <w:kern w:val="2"/>
                <w:sz w:val="24"/>
                <w:szCs w:val="22"/>
              </w:rPr>
              <w:t>供应商最后报价均不得高于磋商文件（公告）列明的项目预算、最高限价，否则其响应文件将被认定为响应无效。</w:t>
            </w:r>
          </w:p>
        </w:tc>
      </w:tr>
      <w:tr w14:paraId="3929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D34460A">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5</w:t>
            </w:r>
          </w:p>
        </w:tc>
        <w:tc>
          <w:tcPr>
            <w:tcW w:w="1277" w:type="dxa"/>
            <w:vAlign w:val="center"/>
          </w:tcPr>
          <w:p w14:paraId="69D8F96E">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重要说明</w:t>
            </w:r>
          </w:p>
        </w:tc>
        <w:tc>
          <w:tcPr>
            <w:tcW w:w="6287" w:type="dxa"/>
            <w:vAlign w:val="center"/>
          </w:tcPr>
          <w:p w14:paraId="78CD0FD0">
            <w:pPr>
              <w:spacing w:line="360" w:lineRule="auto"/>
              <w:rPr>
                <w:rFonts w:eastAsiaTheme="minorEastAsia"/>
                <w:color w:val="auto"/>
                <w:kern w:val="2"/>
                <w:sz w:val="24"/>
                <w:szCs w:val="18"/>
              </w:rPr>
            </w:pPr>
            <w:bookmarkStart w:id="1" w:name="OLE_LINK3"/>
            <w:r>
              <w:rPr>
                <w:rFonts w:cs="宋体" w:eastAsiaTheme="minorEastAsia"/>
                <w:color w:val="auto"/>
                <w:kern w:val="2"/>
                <w:sz w:val="24"/>
                <w:szCs w:val="24"/>
              </w:rPr>
              <w:t>政府采购政策（包括但不限于下列具体政策要求</w:t>
            </w:r>
            <w:r>
              <w:rPr>
                <w:rFonts w:hint="eastAsia" w:cs="宋体" w:eastAsiaTheme="minorEastAsia"/>
                <w:color w:val="auto"/>
                <w:kern w:val="2"/>
                <w:sz w:val="24"/>
                <w:szCs w:val="24"/>
              </w:rPr>
              <w:t>）</w:t>
            </w:r>
            <w:r>
              <w:rPr>
                <w:rFonts w:hint="eastAsia" w:eastAsiaTheme="minorEastAsia"/>
                <w:color w:val="auto"/>
                <w:kern w:val="2"/>
                <w:sz w:val="24"/>
                <w:szCs w:val="18"/>
              </w:rPr>
              <w:t>：</w:t>
            </w:r>
          </w:p>
          <w:p w14:paraId="39470393">
            <w:pPr>
              <w:spacing w:line="360" w:lineRule="auto"/>
              <w:rPr>
                <w:rFonts w:cs="宋体" w:eastAsiaTheme="minorEastAsia"/>
                <w:color w:val="auto"/>
                <w:kern w:val="2"/>
                <w:sz w:val="24"/>
                <w:szCs w:val="24"/>
              </w:rPr>
            </w:pPr>
            <w:r>
              <w:rPr>
                <w:rFonts w:hint="eastAsia" w:cs="宋体" w:eastAsiaTheme="minorEastAsia"/>
                <w:color w:val="auto"/>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91FA5B0">
            <w:pPr>
              <w:spacing w:line="360" w:lineRule="auto"/>
              <w:rPr>
                <w:rFonts w:hint="eastAsia" w:cs="宋体" w:eastAsiaTheme="minorEastAsia"/>
                <w:color w:val="auto"/>
                <w:kern w:val="2"/>
                <w:sz w:val="24"/>
                <w:szCs w:val="24"/>
              </w:rPr>
            </w:pPr>
            <w:r>
              <w:rPr>
                <w:rFonts w:hint="eastAsia" w:cs="宋体" w:eastAsiaTheme="minorEastAsia"/>
                <w:color w:val="auto"/>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357140">
            <w:pPr>
              <w:spacing w:line="360" w:lineRule="auto"/>
              <w:rPr>
                <w:rFonts w:hint="default" w:cs="@仿宋_GB2312" w:asciiTheme="minorEastAsia" w:hAnsiTheme="minorEastAsia" w:eastAsiaTheme="minorEastAsia"/>
                <w:color w:val="auto"/>
                <w:kern w:val="2"/>
                <w:sz w:val="24"/>
                <w:szCs w:val="22"/>
                <w:lang w:val="en-US" w:eastAsia="zh-CN"/>
              </w:rPr>
            </w:pPr>
            <w:bookmarkStart w:id="2" w:name="OLE_LINK5"/>
            <w:r>
              <w:rPr>
                <w:rFonts w:hint="eastAsia" w:cs="宋体" w:eastAsiaTheme="minorEastAsia"/>
                <w:color w:val="auto"/>
                <w:kern w:val="2"/>
                <w:sz w:val="24"/>
                <w:szCs w:val="24"/>
                <w:lang w:eastAsia="zh-CN"/>
              </w:rPr>
              <w:t>（</w:t>
            </w:r>
            <w:r>
              <w:rPr>
                <w:rFonts w:hint="eastAsia" w:cs="宋体" w:eastAsiaTheme="minorEastAsia"/>
                <w:color w:val="auto"/>
                <w:kern w:val="2"/>
                <w:sz w:val="24"/>
                <w:szCs w:val="24"/>
                <w:lang w:val="en-US" w:eastAsia="zh-CN"/>
              </w:rPr>
              <w:t>3</w:t>
            </w:r>
            <w:r>
              <w:rPr>
                <w:rFonts w:hint="eastAsia" w:cs="宋体" w:eastAsiaTheme="minorEastAsia"/>
                <w:color w:val="auto"/>
                <w:kern w:val="2"/>
                <w:sz w:val="24"/>
                <w:szCs w:val="24"/>
                <w:lang w:eastAsia="zh-CN"/>
              </w:rPr>
              <w:t>）</w:t>
            </w:r>
            <w:r>
              <w:rPr>
                <w:rFonts w:hint="eastAsia" w:cs="宋体" w:eastAsiaTheme="minorEastAsia"/>
                <w:color w:val="auto"/>
                <w:kern w:val="2"/>
                <w:sz w:val="24"/>
                <w:szCs w:val="24"/>
                <w:lang w:val="en-US" w:eastAsia="zh-CN"/>
              </w:rPr>
              <w:t>按照</w:t>
            </w:r>
            <w:bookmarkStart w:id="3" w:name="OLE_LINK4"/>
            <w:r>
              <w:rPr>
                <w:rFonts w:hint="eastAsia" w:cs="宋体" w:eastAsiaTheme="minorEastAsia"/>
                <w:color w:val="auto"/>
                <w:kern w:val="2"/>
                <w:sz w:val="24"/>
                <w:szCs w:val="24"/>
                <w:lang w:val="en-US" w:eastAsia="zh-CN"/>
              </w:rPr>
              <w:t>《财政部 住房城乡建设部 工业和信息化部关于进一步扩大政府采购支持绿色建材促进建筑品质提升政策实施范围的通知》（财库〔2024〕36号）</w:t>
            </w:r>
            <w:bookmarkEnd w:id="3"/>
            <w:r>
              <w:rPr>
                <w:rFonts w:hint="eastAsia" w:cs="宋体" w:eastAsiaTheme="minorEastAsia"/>
                <w:color w:val="auto"/>
                <w:kern w:val="2"/>
                <w:sz w:val="24"/>
                <w:szCs w:val="24"/>
                <w:lang w:val="en-US" w:eastAsia="zh-CN"/>
              </w:rPr>
              <w:t>，严格执行</w:t>
            </w:r>
            <w:bookmarkStart w:id="4" w:name="OLE_LINK1"/>
            <w:r>
              <w:rPr>
                <w:rFonts w:hint="eastAsia" w:cs="宋体" w:eastAsiaTheme="minorEastAsia"/>
                <w:color w:val="auto"/>
                <w:kern w:val="2"/>
                <w:sz w:val="24"/>
                <w:szCs w:val="24"/>
                <w:lang w:val="en-US" w:eastAsia="zh-CN"/>
              </w:rPr>
              <w:t>《绿色建筑和</w:t>
            </w:r>
            <w:bookmarkStart w:id="5" w:name="OLE_LINK2"/>
            <w:r>
              <w:rPr>
                <w:rFonts w:hint="eastAsia" w:cs="宋体" w:eastAsiaTheme="minorEastAsia"/>
                <w:color w:val="auto"/>
                <w:kern w:val="2"/>
                <w:sz w:val="24"/>
                <w:szCs w:val="24"/>
                <w:lang w:val="en-US" w:eastAsia="zh-CN"/>
              </w:rPr>
              <w:t>绿色建材</w:t>
            </w:r>
            <w:bookmarkEnd w:id="5"/>
            <w:r>
              <w:rPr>
                <w:rFonts w:hint="eastAsia" w:cs="宋体" w:eastAsiaTheme="minorEastAsia"/>
                <w:color w:val="auto"/>
                <w:kern w:val="2"/>
                <w:sz w:val="24"/>
                <w:szCs w:val="24"/>
                <w:lang w:val="en-US" w:eastAsia="zh-CN"/>
              </w:rPr>
              <w:t>政府采购需求标准(2025年版)》</w:t>
            </w:r>
            <w:bookmarkEnd w:id="4"/>
            <w:r>
              <w:rPr>
                <w:rFonts w:hint="eastAsia" w:cs="宋体" w:eastAsiaTheme="minorEastAsia"/>
                <w:color w:val="auto"/>
                <w:kern w:val="2"/>
                <w:sz w:val="24"/>
                <w:szCs w:val="24"/>
                <w:lang w:val="en-US" w:eastAsia="zh-CN"/>
              </w:rPr>
              <w:t>要求。</w:t>
            </w:r>
            <w:bookmarkEnd w:id="1"/>
            <w:bookmarkEnd w:id="2"/>
          </w:p>
        </w:tc>
      </w:tr>
      <w:tr w14:paraId="4FF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24545E9">
            <w:pPr>
              <w:spacing w:line="360" w:lineRule="auto"/>
              <w:jc w:val="center"/>
              <w:rPr>
                <w:rFonts w:cs="@仿宋_GB2312" w:asciiTheme="minorEastAsia" w:hAnsiTheme="minorEastAsia" w:eastAsiaTheme="minorEastAsia"/>
                <w:color w:val="auto"/>
                <w:kern w:val="2"/>
                <w:sz w:val="24"/>
                <w:szCs w:val="22"/>
              </w:rPr>
            </w:pPr>
            <w:r>
              <w:rPr>
                <w:rFonts w:cs="@仿宋_GB2312" w:asciiTheme="minorEastAsia" w:hAnsiTheme="minorEastAsia" w:eastAsiaTheme="minorEastAsia"/>
                <w:color w:val="auto"/>
                <w:kern w:val="2"/>
                <w:sz w:val="24"/>
                <w:szCs w:val="22"/>
              </w:rPr>
              <w:t>6</w:t>
            </w:r>
          </w:p>
        </w:tc>
        <w:tc>
          <w:tcPr>
            <w:tcW w:w="1277" w:type="dxa"/>
            <w:vAlign w:val="center"/>
          </w:tcPr>
          <w:p w14:paraId="6B4C6B19">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项目经理</w:t>
            </w:r>
          </w:p>
        </w:tc>
        <w:tc>
          <w:tcPr>
            <w:tcW w:w="6287" w:type="dxa"/>
            <w:vAlign w:val="center"/>
          </w:tcPr>
          <w:p w14:paraId="43A5E296">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符合竞争性磋商公告中“项目经理资格要求”。</w:t>
            </w:r>
          </w:p>
          <w:p w14:paraId="0BBE31C4">
            <w:pPr>
              <w:spacing w:line="360" w:lineRule="auto"/>
              <w:rPr>
                <w:rFonts w:cs="@仿宋_GB2312" w:asciiTheme="minorEastAsia" w:hAnsiTheme="minorEastAsia" w:eastAsiaTheme="minorEastAsia"/>
                <w:color w:val="auto"/>
                <w:kern w:val="2"/>
                <w:sz w:val="24"/>
                <w:szCs w:val="22"/>
              </w:rPr>
            </w:pPr>
            <w:bookmarkStart w:id="6" w:name="OLE_LINK9"/>
            <w:bookmarkStart w:id="7" w:name="OLE_LINK10"/>
            <w:r>
              <w:rPr>
                <w:rFonts w:hint="eastAsia" w:cs="@仿宋_GB2312" w:asciiTheme="minorEastAsia" w:hAnsiTheme="minorEastAsia" w:eastAsiaTheme="minorEastAsia"/>
                <w:color w:val="auto"/>
                <w:kern w:val="2"/>
                <w:sz w:val="24"/>
                <w:szCs w:val="22"/>
              </w:rPr>
              <w:t>注：</w:t>
            </w:r>
          </w:p>
          <w:p w14:paraId="02755A8F">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（1）拟派项目经理必须是本单位人员；</w:t>
            </w:r>
          </w:p>
          <w:p w14:paraId="61E7A75A">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（2）响应文件中提供证书扫描件。</w:t>
            </w:r>
            <w:bookmarkEnd w:id="6"/>
            <w:bookmarkEnd w:id="7"/>
          </w:p>
        </w:tc>
      </w:tr>
      <w:tr w14:paraId="426A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E925EE8">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7</w:t>
            </w:r>
          </w:p>
        </w:tc>
        <w:tc>
          <w:tcPr>
            <w:tcW w:w="1277" w:type="dxa"/>
            <w:vAlign w:val="center"/>
          </w:tcPr>
          <w:p w14:paraId="64CDB2C5">
            <w:pPr>
              <w:pStyle w:val="10"/>
              <w:widowControl w:val="0"/>
              <w:spacing w:before="0" w:beforeAutospacing="0" w:after="0" w:afterAutospacing="0" w:line="360" w:lineRule="auto"/>
              <w:rPr>
                <w:rFonts w:cs="@仿宋_GB2312" w:asciiTheme="minorEastAsia" w:hAnsiTheme="minorEastAsia" w:eastAsiaTheme="minorEastAsia"/>
                <w:color w:val="auto"/>
                <w:kern w:val="2"/>
                <w:sz w:val="24"/>
              </w:rPr>
            </w:pPr>
            <w:r>
              <w:rPr>
                <w:rFonts w:hint="eastAsia" w:asciiTheme="minorHAnsi" w:hAnsiTheme="minorHAnsi" w:eastAsiaTheme="minorEastAsia"/>
                <w:b w:val="0"/>
                <w:color w:val="auto"/>
                <w:kern w:val="2"/>
                <w:sz w:val="24"/>
              </w:rPr>
              <w:t>本项目采购标的名称及所属行业</w:t>
            </w:r>
          </w:p>
        </w:tc>
        <w:tc>
          <w:tcPr>
            <w:tcW w:w="6287" w:type="dxa"/>
            <w:vAlign w:val="center"/>
          </w:tcPr>
          <w:p w14:paraId="573C67F2">
            <w:pPr>
              <w:spacing w:line="360" w:lineRule="auto"/>
              <w:jc w:val="left"/>
              <w:rPr>
                <w:rFonts w:hint="eastAsia" w:asciiTheme="minorEastAsia" w:hAnsiTheme="minorEastAsia" w:eastAsiaTheme="minorEastAsia"/>
                <w:color w:val="auto"/>
                <w:kern w:val="2"/>
                <w:sz w:val="24"/>
                <w:szCs w:val="22"/>
                <w:lang w:eastAsia="zh-CN"/>
              </w:rPr>
            </w:pPr>
            <w:r>
              <w:rPr>
                <w:rFonts w:hint="eastAsia" w:asciiTheme="minorEastAsia" w:hAnsiTheme="minorEastAsia" w:eastAsiaTheme="minorEastAsia"/>
                <w:color w:val="auto"/>
                <w:kern w:val="2"/>
                <w:sz w:val="24"/>
                <w:szCs w:val="22"/>
              </w:rPr>
              <w:t>标的名称：</w:t>
            </w:r>
            <w:r>
              <w:rPr>
                <w:rFonts w:hint="eastAsia" w:eastAsiaTheme="minorEastAsia"/>
                <w:color w:val="auto"/>
                <w:kern w:val="2"/>
                <w:sz w:val="24"/>
                <w:szCs w:val="18"/>
                <w:lang w:eastAsia="zh-CN"/>
              </w:rPr>
              <w:t>安徽省药械检验检测业务技术用房建设电力增容项目</w:t>
            </w:r>
          </w:p>
          <w:p w14:paraId="103E5CBB">
            <w:pPr>
              <w:rPr>
                <w:rFonts w:asciiTheme="minorHAnsi" w:hAnsiTheme="minorHAnsi" w:eastAsiaTheme="minorEastAsia"/>
                <w:color w:val="auto"/>
                <w:kern w:val="2"/>
                <w:sz w:val="24"/>
                <w:szCs w:val="22"/>
              </w:rPr>
            </w:pPr>
            <w:r>
              <w:rPr>
                <w:rFonts w:hint="eastAsia" w:asciiTheme="minorEastAsia" w:hAnsiTheme="minorEastAsia" w:eastAsiaTheme="minorEastAsia"/>
                <w:color w:val="auto"/>
                <w:kern w:val="2"/>
                <w:sz w:val="24"/>
                <w:szCs w:val="22"/>
              </w:rPr>
              <w:t>所属行业：建筑业</w:t>
            </w:r>
          </w:p>
        </w:tc>
      </w:tr>
      <w:tr w14:paraId="6971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5353108">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8</w:t>
            </w:r>
          </w:p>
        </w:tc>
        <w:tc>
          <w:tcPr>
            <w:tcW w:w="1277" w:type="dxa"/>
            <w:vAlign w:val="center"/>
          </w:tcPr>
          <w:p w14:paraId="0B0A11C5">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工程地点</w:t>
            </w:r>
          </w:p>
        </w:tc>
        <w:tc>
          <w:tcPr>
            <w:tcW w:w="6287" w:type="dxa"/>
            <w:vAlign w:val="center"/>
          </w:tcPr>
          <w:p w14:paraId="1DE17212">
            <w:pPr>
              <w:spacing w:line="360" w:lineRule="auto"/>
              <w:jc w:val="left"/>
              <w:rPr>
                <w:rFonts w:hint="default" w:eastAsia="宋体" w:cs="@仿宋_GB2312" w:asciiTheme="minorEastAsia" w:hAnsiTheme="minorEastAsia"/>
                <w:color w:val="auto"/>
                <w:kern w:val="2"/>
                <w:sz w:val="24"/>
                <w:szCs w:val="22"/>
                <w:lang w:val="en-US" w:eastAsia="zh-CN"/>
              </w:rPr>
            </w:pPr>
            <w:r>
              <w:rPr>
                <w:rFonts w:hint="eastAsia" w:asciiTheme="minorEastAsia" w:hAnsiTheme="minorEastAsia" w:eastAsiaTheme="minorEastAsia"/>
                <w:color w:val="auto"/>
                <w:kern w:val="2"/>
                <w:sz w:val="24"/>
                <w:szCs w:val="22"/>
                <w:lang w:eastAsia="zh-CN"/>
              </w:rPr>
              <w:t>安徽省合肥市乌鲁木齐路15号</w:t>
            </w:r>
          </w:p>
        </w:tc>
      </w:tr>
      <w:tr w14:paraId="5F09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0BAC3E5">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9</w:t>
            </w:r>
          </w:p>
        </w:tc>
        <w:tc>
          <w:tcPr>
            <w:tcW w:w="1277" w:type="dxa"/>
            <w:vAlign w:val="center"/>
          </w:tcPr>
          <w:p w14:paraId="4D9CE9EE">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质量标准</w:t>
            </w:r>
          </w:p>
        </w:tc>
        <w:tc>
          <w:tcPr>
            <w:tcW w:w="6287" w:type="dxa"/>
            <w:vAlign w:val="center"/>
          </w:tcPr>
          <w:p w14:paraId="11557A1F">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达到合格标准</w:t>
            </w:r>
          </w:p>
        </w:tc>
      </w:tr>
      <w:tr w14:paraId="4DB3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0C5301B">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10</w:t>
            </w:r>
          </w:p>
        </w:tc>
        <w:tc>
          <w:tcPr>
            <w:tcW w:w="1277" w:type="dxa"/>
            <w:vAlign w:val="center"/>
          </w:tcPr>
          <w:p w14:paraId="716084E5">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计划工期</w:t>
            </w:r>
          </w:p>
        </w:tc>
        <w:tc>
          <w:tcPr>
            <w:tcW w:w="6287" w:type="dxa"/>
            <w:vAlign w:val="center"/>
          </w:tcPr>
          <w:p w14:paraId="35ED43F2">
            <w:pPr>
              <w:spacing w:line="360" w:lineRule="auto"/>
              <w:jc w:val="left"/>
              <w:rPr>
                <w:rFonts w:hint="eastAsia" w:cs="@仿宋_GB2312" w:asciiTheme="minorEastAsia" w:hAnsiTheme="minorEastAsia" w:eastAsiaTheme="minorEastAsia"/>
                <w:color w:val="auto"/>
                <w:kern w:val="2"/>
                <w:sz w:val="24"/>
                <w:szCs w:val="22"/>
                <w:lang w:eastAsia="zh-CN"/>
              </w:rPr>
            </w:pPr>
            <w:r>
              <w:rPr>
                <w:rFonts w:hint="eastAsia" w:cs="@仿宋_GB2312" w:asciiTheme="minorEastAsia" w:hAnsiTheme="minorEastAsia" w:eastAsiaTheme="minorEastAsia"/>
                <w:color w:val="auto"/>
                <w:kern w:val="2"/>
                <w:sz w:val="24"/>
                <w:szCs w:val="22"/>
                <w:lang w:eastAsia="zh-CN"/>
              </w:rPr>
              <w:t>自合同生效之日起，20个日历天。</w:t>
            </w:r>
          </w:p>
          <w:p w14:paraId="6A007FA9">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除上述总工期外，采购人还要求以下区段/节点工期：/</w:t>
            </w:r>
          </w:p>
        </w:tc>
      </w:tr>
    </w:tbl>
    <w:p w14:paraId="37115B3F">
      <w:pPr>
        <w:pStyle w:val="6"/>
        <w:widowControl/>
        <w:spacing w:line="360" w:lineRule="auto"/>
        <w:ind w:firstLine="480" w:firstLineChars="200"/>
        <w:rPr>
          <w:rFonts w:asciiTheme="minorEastAsia" w:hAnsiTheme="minorEastAsia" w:cstheme="minorEastAsia"/>
          <w:color w:val="auto"/>
          <w:sz w:val="24"/>
          <w:szCs w:val="24"/>
        </w:rPr>
      </w:pPr>
    </w:p>
    <w:p w14:paraId="0851D96E">
      <w:pPr>
        <w:pStyle w:val="5"/>
        <w:spacing w:before="0" w:after="0" w:line="360" w:lineRule="auto"/>
        <w:rPr>
          <w:rFonts w:asciiTheme="minorEastAsia" w:hAnsiTheme="minorEastAsia" w:eastAsiaTheme="minorEastAsia" w:cstheme="minorEastAsia"/>
          <w:color w:val="auto"/>
          <w:sz w:val="24"/>
          <w:szCs w:val="24"/>
        </w:rPr>
      </w:pPr>
      <w:bookmarkStart w:id="8" w:name="_Toc23730"/>
      <w:r>
        <w:rPr>
          <w:rFonts w:hint="eastAsia" w:asciiTheme="minorEastAsia" w:hAnsiTheme="minorEastAsia" w:eastAsiaTheme="minorEastAsia" w:cstheme="minorEastAsia"/>
          <w:color w:val="auto"/>
          <w:sz w:val="24"/>
          <w:szCs w:val="24"/>
          <w:lang w:val="en-US"/>
        </w:rPr>
        <w:t>一、</w:t>
      </w:r>
      <w:r>
        <w:rPr>
          <w:rFonts w:hint="eastAsia" w:asciiTheme="minorEastAsia" w:hAnsiTheme="minorEastAsia" w:eastAsiaTheme="minorEastAsia" w:cstheme="minorEastAsia"/>
          <w:color w:val="auto"/>
          <w:sz w:val="24"/>
          <w:szCs w:val="24"/>
        </w:rPr>
        <w:t>项目概况及总体要求</w:t>
      </w:r>
      <w:bookmarkEnd w:id="8"/>
    </w:p>
    <w:p w14:paraId="08C9CFA4">
      <w:pPr>
        <w:pStyle w:val="6"/>
        <w:widowControl/>
        <w:spacing w:line="360" w:lineRule="auto"/>
        <w:ind w:firstLine="480" w:firstLineChars="200"/>
        <w:outlineLvl w:val="1"/>
        <w:rPr>
          <w:rFonts w:hint="eastAsia" w:asciiTheme="minorEastAsia" w:hAnsiTheme="minorEastAsia" w:eastAsiaTheme="minorEastAsia" w:cstheme="minorEastAsia"/>
          <w:color w:val="auto"/>
          <w:sz w:val="24"/>
          <w:szCs w:val="24"/>
          <w:lang w:eastAsia="zh-CN"/>
        </w:rPr>
      </w:pPr>
      <w:bookmarkStart w:id="9" w:name="_Toc466024558"/>
      <w:bookmarkStart w:id="10" w:name="_Toc455587091"/>
      <w:bookmarkStart w:id="11" w:name="_Toc445554749"/>
      <w:bookmarkStart w:id="12" w:name="_Toc18199"/>
      <w:bookmarkStart w:id="13" w:name="_Toc455587275"/>
      <w:r>
        <w:rPr>
          <w:rFonts w:hint="eastAsia" w:asciiTheme="minorEastAsia" w:hAnsiTheme="minorEastAsia" w:eastAsiaTheme="minorEastAsia" w:cstheme="minorEastAsia"/>
          <w:color w:val="auto"/>
          <w:sz w:val="24"/>
          <w:szCs w:val="24"/>
          <w:lang w:eastAsia="zh-CN"/>
        </w:rPr>
        <w:t>本院新建一栋单体建筑，建筑面积约5170.5平方米，其中地下室建筑面积 371.3平方米，地上建筑面积 4799.2平方米。此次增容电气工程包括安装电力电缆、电力电缆头、电缆保护管、拆除路面、管道垫层、管道包封、挖沟槽士方、 回填方等工程施工内容，具体详见图纸及清单。</w:t>
      </w:r>
    </w:p>
    <w:p w14:paraId="29933C0E">
      <w:pPr>
        <w:pStyle w:val="6"/>
        <w:widowControl/>
        <w:spacing w:line="360" w:lineRule="auto"/>
        <w:outlineLvl w:val="1"/>
        <w:rPr>
          <w:rStyle w:val="11"/>
          <w:rFonts w:asciiTheme="minorEastAsia" w:hAnsiTheme="minorEastAsia" w:eastAsiaTheme="minorEastAsia" w:cstheme="minorEastAsia"/>
          <w:color w:val="auto"/>
          <w:sz w:val="24"/>
          <w:szCs w:val="24"/>
        </w:rPr>
      </w:pPr>
      <w:r>
        <w:rPr>
          <w:rStyle w:val="11"/>
          <w:rFonts w:hint="eastAsia" w:asciiTheme="minorEastAsia" w:hAnsiTheme="minorEastAsia" w:cstheme="minorEastAsia"/>
          <w:color w:val="auto"/>
          <w:sz w:val="24"/>
          <w:szCs w:val="24"/>
        </w:rPr>
        <w:t>二、</w:t>
      </w:r>
      <w:r>
        <w:rPr>
          <w:rStyle w:val="11"/>
          <w:rFonts w:hint="eastAsia" w:asciiTheme="minorEastAsia" w:hAnsiTheme="minorEastAsia" w:eastAsiaTheme="minorEastAsia" w:cstheme="minorEastAsia"/>
          <w:color w:val="auto"/>
          <w:sz w:val="24"/>
          <w:szCs w:val="24"/>
        </w:rPr>
        <w:t>技术要求</w:t>
      </w:r>
      <w:bookmarkEnd w:id="9"/>
      <w:bookmarkEnd w:id="10"/>
      <w:bookmarkEnd w:id="11"/>
      <w:bookmarkEnd w:id="12"/>
      <w:bookmarkEnd w:id="13"/>
    </w:p>
    <w:p w14:paraId="3ECD2303">
      <w:pPr>
        <w:pStyle w:val="6"/>
        <w:widowControl/>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按照图纸、工程量清单要求及最新国家相关标准、规范要求执行。</w:t>
      </w:r>
    </w:p>
    <w:p w14:paraId="6EE7F663">
      <w:pPr>
        <w:pStyle w:val="5"/>
        <w:spacing w:before="0" w:after="0" w:line="360" w:lineRule="auto"/>
        <w:rPr>
          <w:rFonts w:asciiTheme="minorEastAsia" w:hAnsiTheme="minorEastAsia" w:eastAsiaTheme="minorEastAsia" w:cstheme="minorEastAsia"/>
          <w:color w:val="auto"/>
          <w:sz w:val="24"/>
          <w:szCs w:val="24"/>
        </w:rPr>
      </w:pPr>
      <w:bookmarkStart w:id="14" w:name="_Toc29071"/>
      <w:bookmarkStart w:id="15" w:name="OLE_LINK7"/>
      <w:r>
        <w:rPr>
          <w:rFonts w:hint="eastAsia" w:asciiTheme="minorEastAsia" w:hAnsiTheme="minorEastAsia" w:eastAsiaTheme="minorEastAsia" w:cstheme="minorEastAsia"/>
          <w:color w:val="auto"/>
          <w:sz w:val="24"/>
          <w:szCs w:val="24"/>
          <w:lang w:val="en-US"/>
        </w:rPr>
        <w:t>三、</w:t>
      </w:r>
      <w:r>
        <w:rPr>
          <w:rFonts w:hint="eastAsia" w:asciiTheme="minorEastAsia" w:hAnsiTheme="minorEastAsia" w:eastAsiaTheme="minorEastAsia" w:cstheme="minorEastAsia"/>
          <w:color w:val="auto"/>
          <w:sz w:val="24"/>
          <w:szCs w:val="24"/>
        </w:rPr>
        <w:t>报价要求</w:t>
      </w:r>
      <w:bookmarkEnd w:id="14"/>
    </w:p>
    <w:p w14:paraId="1023F875">
      <w:pPr>
        <w:keepNext/>
        <w:keepLines/>
        <w:spacing w:line="360" w:lineRule="auto"/>
        <w:outlineLvl w:val="1"/>
        <w:rPr>
          <w:rFonts w:asciiTheme="minorEastAsia" w:hAnsiTheme="minorEastAsia" w:eastAsiaTheme="minorEastAsia" w:cstheme="minorEastAsia"/>
          <w:b/>
          <w:bCs/>
          <w:color w:val="auto"/>
          <w:sz w:val="24"/>
          <w:szCs w:val="24"/>
        </w:rPr>
      </w:pPr>
      <w:bookmarkStart w:id="16" w:name="_Toc28825"/>
      <w:bookmarkStart w:id="17" w:name="_Toc22767"/>
      <w:r>
        <w:rPr>
          <w:rFonts w:hint="eastAsia" w:asciiTheme="minorEastAsia" w:hAnsiTheme="minorEastAsia" w:eastAsiaTheme="minorEastAsia" w:cstheme="minorEastAsia"/>
          <w:b/>
          <w:bCs/>
          <w:color w:val="auto"/>
          <w:sz w:val="24"/>
          <w:szCs w:val="24"/>
        </w:rPr>
        <w:t>3.1计价依据</w:t>
      </w:r>
      <w:bookmarkEnd w:id="16"/>
      <w:bookmarkEnd w:id="17"/>
    </w:p>
    <w:p w14:paraId="16287C72">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 计价依据的确定符合国家法律法规、现行有关标准与规范，工程所在地的省、市工程定额和工程造价的规定以及工程造价信息要求。</w:t>
      </w:r>
    </w:p>
    <w:p w14:paraId="15062B3C">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3.1.2 </w:t>
      </w:r>
      <w:bookmarkStart w:id="18" w:name="OLE_LINK6"/>
      <w:r>
        <w:rPr>
          <w:rFonts w:hint="eastAsia" w:asciiTheme="minorEastAsia" w:hAnsiTheme="minorEastAsia" w:eastAsiaTheme="minorEastAsia" w:cstheme="minorEastAsia"/>
          <w:color w:val="auto"/>
          <w:sz w:val="24"/>
          <w:szCs w:val="24"/>
        </w:rPr>
        <w:t>安全文明施工费</w:t>
      </w:r>
      <w:bookmarkEnd w:id="18"/>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rPr>
        <w:t>安全文明施工费</w:t>
      </w:r>
      <w:r>
        <w:rPr>
          <w:rFonts w:hint="eastAsia" w:asciiTheme="minorEastAsia" w:hAnsiTheme="minorEastAsia" w:eastAsiaTheme="minorEastAsia" w:cstheme="minorEastAsia"/>
          <w:color w:val="auto"/>
          <w:sz w:val="24"/>
          <w:szCs w:val="24"/>
          <w:lang w:val="en-US" w:eastAsia="zh-CN"/>
        </w:rPr>
        <w:t>。</w:t>
      </w:r>
    </w:p>
    <w:p w14:paraId="12AC006C">
      <w:pPr>
        <w:keepNext/>
        <w:keepLines/>
        <w:spacing w:line="360" w:lineRule="auto"/>
        <w:outlineLvl w:val="1"/>
        <w:rPr>
          <w:rFonts w:asciiTheme="minorEastAsia" w:hAnsiTheme="minorEastAsia" w:eastAsiaTheme="minorEastAsia" w:cstheme="minorEastAsia"/>
          <w:b/>
          <w:bCs/>
          <w:color w:val="auto"/>
          <w:sz w:val="24"/>
          <w:szCs w:val="24"/>
        </w:rPr>
      </w:pPr>
      <w:bookmarkStart w:id="19" w:name="_Toc22790"/>
      <w:bookmarkStart w:id="20" w:name="_Toc4564"/>
      <w:r>
        <w:rPr>
          <w:rFonts w:hint="eastAsia" w:asciiTheme="minorEastAsia" w:hAnsiTheme="minorEastAsia" w:eastAsiaTheme="minorEastAsia" w:cstheme="minorEastAsia"/>
          <w:b/>
          <w:bCs/>
          <w:color w:val="auto"/>
          <w:sz w:val="24"/>
          <w:szCs w:val="24"/>
        </w:rPr>
        <w:t>3.2响应报价参考编制要求</w:t>
      </w:r>
      <w:bookmarkEnd w:id="19"/>
      <w:bookmarkEnd w:id="20"/>
    </w:p>
    <w:p w14:paraId="1059F04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 响应报价编制参考依据如下：</w:t>
      </w:r>
    </w:p>
    <w:p w14:paraId="68ACE60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（1）2018版安徽省建设工程计价依据及相关配套定额；</w:t>
      </w:r>
    </w:p>
    <w:p w14:paraId="41D571D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（2）关于发布《安徽省建设工程计价依据动态调整（第1期）》的公告（安徽省住房和城乡建设厅公告第51号）；</w:t>
      </w:r>
    </w:p>
    <w:p w14:paraId="568B362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（3）关于贯彻执行《2018版安徽省建设工程计价依据动态调整（第1期）》的通知（合建监管〔2024〕13号）； </w:t>
      </w:r>
    </w:p>
    <w:p w14:paraId="54C1DBC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（4）关于调整合肥市建设工程计价依据增值税税率的通知（合造价〔2019〕1号）；</w:t>
      </w:r>
    </w:p>
    <w:p w14:paraId="618342B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（5）关于合肥市建设工程人工价格信息发布及计价应用工作的通知(合造价〔2021〕8号)；</w:t>
      </w:r>
    </w:p>
    <w:p w14:paraId="26583DF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（6）建设工程设计文件及相关资料（如有）；</w:t>
      </w:r>
    </w:p>
    <w:p w14:paraId="69A0BD1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（7）与建设项目有关的标准、规范、技术资料；</w:t>
      </w:r>
    </w:p>
    <w:p w14:paraId="24577DD2">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（8）采购文件及工程量清单及其补充通知更正； </w:t>
      </w:r>
    </w:p>
    <w:p w14:paraId="09F44CA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（9）施工现场情况、工程特点及拟定的施工组织设计；</w:t>
      </w:r>
    </w:p>
    <w:p w14:paraId="14C0361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（10）市场价格信息或参照工程造价管理机构发布的工程造价信息；</w:t>
      </w:r>
    </w:p>
    <w:p w14:paraId="0195625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（11）合同执行期间由供应商承担的风险因素；</w:t>
      </w:r>
    </w:p>
    <w:p w14:paraId="473BF7A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（12）其他相关材料。</w:t>
      </w:r>
    </w:p>
    <w:p w14:paraId="749E3C4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3.2.2供应商应仔细阅读采购文件，了解全部工程内容。供应商的响应报价应是采购文件所确定的采购范围内全部工程内容的价格体现，但其响应报价不得低于供应商个别成本价。</w:t>
      </w:r>
    </w:p>
    <w:p w14:paraId="50B6372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3.2.3供应商应按采购人提供的工程量清单填报综合单价和合价，未填报的综合单价和合价，视为此项费用已合在工程量清单的其他综合单价和合价中。</w:t>
      </w:r>
    </w:p>
    <w:p w14:paraId="3E5B756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0E88D8A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3.2.5措施项目费依据第3.2.1项编制依据确定。</w:t>
      </w:r>
    </w:p>
    <w:p w14:paraId="4166156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3.2.6不可竞争费（含安全文明施工费、环境保护税）根据工程量清单不可竞争项目，结合第3.2.1项编制依据确定，安全文明施工费费率不得调整。</w:t>
      </w:r>
    </w:p>
    <w:p w14:paraId="669F8A3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3.2.7其他项目费用应按照下列规定计价：</w:t>
      </w:r>
    </w:p>
    <w:p w14:paraId="003B14D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（1）暂列金额按工程量清单中列出的金额填写，不得更改；</w:t>
      </w:r>
    </w:p>
    <w:p w14:paraId="2EAE71D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（2）专业工程暂估价按工程量清单中列出的金额填写，不得更改；</w:t>
      </w:r>
    </w:p>
    <w:p w14:paraId="6B81D06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（3）计日工按采购人列出项目和数量，结合第3.2.1项编制依据的要求确定综合单价并计算费用； </w:t>
      </w:r>
    </w:p>
    <w:p w14:paraId="73C9F55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（4）总承包服务费根据采购文件列出的内容和要求计算。</w:t>
      </w:r>
    </w:p>
    <w:p w14:paraId="0AAE746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3.2.8税金（增值税）按税金项目清单，结合第3.2.1项编制依据的要求编制，不得调整。</w:t>
      </w:r>
    </w:p>
    <w:p w14:paraId="01D6F06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3.2.9 响应报价编制注意事项</w:t>
      </w:r>
    </w:p>
    <w:p w14:paraId="44D70F4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（1）对于受施工现场场地限制，如需要另外寻找场地解决临时住宿、材料及设备堆放，由此所产生的费用应包含在响应报价范围内，采购人不再承担该费用；</w:t>
      </w:r>
    </w:p>
    <w:p w14:paraId="502155E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0B3FFAC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7CC9D0D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（4）除合同另有约定外，成交供应商在工程量清单报价书中所报的综合单价在施工图纸和合同约定范围一律不予调整；</w:t>
      </w:r>
    </w:p>
    <w:p w14:paraId="4829F33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（5）本项目不接受恶意不平衡报价</w:t>
      </w:r>
      <w:r>
        <w:rPr>
          <w:rFonts w:hint="eastAsia" w:asciiTheme="minorEastAsia" w:hAnsiTheme="minorEastAsia" w:eastAsiaTheme="minorEastAsia" w:cstheme="minorEastAsia"/>
          <w:bCs/>
          <w:color w:val="auto"/>
          <w:sz w:val="24"/>
          <w:szCs w:val="24"/>
        </w:rPr>
        <w:t>。</w:t>
      </w:r>
    </w:p>
    <w:bookmarkEnd w:id="15"/>
    <w:p w14:paraId="1E0C57BE">
      <w:pPr>
        <w:spacing w:line="360" w:lineRule="auto"/>
        <w:rPr>
          <w:rFonts w:hint="eastAsia" w:ascii="宋体" w:hAnsi="宋体" w:eastAsia="宋体" w:cs="宋体"/>
          <w:b/>
          <w:caps/>
          <w:color w:val="auto"/>
          <w:kern w:val="2"/>
          <w:sz w:val="21"/>
          <w:szCs w:val="21"/>
        </w:rPr>
      </w:pPr>
      <w:bookmarkStart w:id="21" w:name="_Toc25124"/>
      <w:bookmarkStart w:id="22" w:name="_Toc527541657"/>
      <w:r>
        <w:rPr>
          <w:rFonts w:hint="eastAsia" w:asciiTheme="minorEastAsia" w:hAnsiTheme="minorEastAsia" w:eastAsiaTheme="minorEastAsia" w:cstheme="minorEastAsia"/>
          <w:b/>
          <w:bCs/>
          <w:color w:val="auto"/>
          <w:sz w:val="24"/>
          <w:szCs w:val="24"/>
          <w:lang w:val="en-US"/>
        </w:rPr>
        <w:t>四</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b/>
          <w:color w:val="auto"/>
          <w:sz w:val="24"/>
          <w:szCs w:val="24"/>
          <w:lang w:val="en-US" w:eastAsia="zh-CN" w:bidi="ar-SA"/>
        </w:rPr>
        <w:t>其他管理人员和技术人员最低要求</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069"/>
        <w:gridCol w:w="5718"/>
      </w:tblGrid>
      <w:tr w14:paraId="6B1B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78E273A8">
            <w:pPr>
              <w:spacing w:line="360" w:lineRule="auto"/>
              <w:jc w:val="center"/>
              <w:rPr>
                <w:rFonts w:hint="eastAsia" w:asciiTheme="minorEastAsia" w:hAnsiTheme="minorEastAsia" w:eastAsiaTheme="minorEastAsia" w:cstheme="minorEastAsia"/>
                <w:b/>
                <w:color w:val="auto"/>
                <w:kern w:val="0"/>
                <w:sz w:val="24"/>
                <w:szCs w:val="24"/>
              </w:rPr>
            </w:pPr>
            <w:bookmarkStart w:id="23" w:name="_Toc460660067"/>
            <w:bookmarkStart w:id="24" w:name="_Toc460226994"/>
            <w:bookmarkStart w:id="25" w:name="_Toc460226725"/>
            <w:r>
              <w:rPr>
                <w:rFonts w:hint="eastAsia" w:asciiTheme="minorEastAsia" w:hAnsiTheme="minorEastAsia" w:eastAsiaTheme="minorEastAsia" w:cstheme="minorEastAsia"/>
                <w:b/>
                <w:color w:val="auto"/>
                <w:kern w:val="0"/>
                <w:sz w:val="24"/>
                <w:szCs w:val="24"/>
              </w:rPr>
              <w:t>人员岗位</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F28B806">
            <w:pPr>
              <w:spacing w:line="36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数量</w:t>
            </w:r>
          </w:p>
        </w:tc>
        <w:tc>
          <w:tcPr>
            <w:tcW w:w="5718" w:type="dxa"/>
            <w:tcBorders>
              <w:top w:val="single" w:color="auto" w:sz="4" w:space="0"/>
              <w:left w:val="single" w:color="auto" w:sz="4" w:space="0"/>
              <w:bottom w:val="single" w:color="auto" w:sz="4" w:space="0"/>
              <w:right w:val="single" w:color="auto" w:sz="4" w:space="0"/>
            </w:tcBorders>
            <w:noWrap w:val="0"/>
            <w:vAlign w:val="center"/>
          </w:tcPr>
          <w:p w14:paraId="2BAE5B67">
            <w:pPr>
              <w:spacing w:line="36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资格要求</w:t>
            </w:r>
          </w:p>
        </w:tc>
      </w:tr>
      <w:tr w14:paraId="13AF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49544D3E">
            <w:pPr>
              <w:autoSpaceDE w:val="0"/>
              <w:autoSpaceDN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施工员</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BFC4EAC">
            <w:pPr>
              <w:widowControl/>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w:t>
            </w:r>
          </w:p>
        </w:tc>
        <w:tc>
          <w:tcPr>
            <w:tcW w:w="5718" w:type="dxa"/>
            <w:vMerge w:val="restart"/>
            <w:tcBorders>
              <w:top w:val="single" w:color="auto" w:sz="4" w:space="0"/>
              <w:left w:val="single" w:color="auto" w:sz="4" w:space="0"/>
              <w:right w:val="single" w:color="auto" w:sz="4" w:space="0"/>
            </w:tcBorders>
            <w:noWrap w:val="0"/>
            <w:vAlign w:val="top"/>
          </w:tcPr>
          <w:p w14:paraId="25F1EB55">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根据安徽省住房和城乡建设厅《关于调整招标投标</w:t>
            </w:r>
          </w:p>
          <w:p w14:paraId="7DFC220D">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活动中有关住房城乡建设领域现场专业人员证书要</w:t>
            </w:r>
          </w:p>
          <w:p w14:paraId="47A38C62">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求的通知》（建市函〔2019〕1112 号）要求，不再</w:t>
            </w:r>
          </w:p>
          <w:p w14:paraId="345ADED5">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将住房城乡建设领域现场专业技术人员（包括施工</w:t>
            </w:r>
          </w:p>
          <w:p w14:paraId="3C0A76C0">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员、质量员、安全员、资料员、材料员、劳务员、</w:t>
            </w:r>
          </w:p>
          <w:p w14:paraId="5E15205C">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机械员、标准员）及取样员持证情况列入招标投标</w:t>
            </w:r>
          </w:p>
          <w:p w14:paraId="5BDD3FA2">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文件。</w:t>
            </w:r>
          </w:p>
        </w:tc>
      </w:tr>
      <w:tr w14:paraId="27E5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29181E49">
            <w:pPr>
              <w:autoSpaceDE w:val="0"/>
              <w:autoSpaceDN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质量员/质检员</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FFF6C52">
            <w:pPr>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w:t>
            </w:r>
          </w:p>
        </w:tc>
        <w:tc>
          <w:tcPr>
            <w:tcW w:w="5718" w:type="dxa"/>
            <w:vMerge w:val="continue"/>
            <w:tcBorders>
              <w:left w:val="single" w:color="auto" w:sz="4" w:space="0"/>
              <w:right w:val="single" w:color="auto" w:sz="4" w:space="0"/>
            </w:tcBorders>
            <w:noWrap w:val="0"/>
            <w:vAlign w:val="center"/>
          </w:tcPr>
          <w:p w14:paraId="42B41784">
            <w:pPr>
              <w:spacing w:line="360" w:lineRule="auto"/>
              <w:rPr>
                <w:rFonts w:hint="eastAsia" w:asciiTheme="minorEastAsia" w:hAnsiTheme="minorEastAsia" w:eastAsiaTheme="minorEastAsia" w:cstheme="minorEastAsia"/>
                <w:bCs/>
                <w:color w:val="auto"/>
                <w:kern w:val="0"/>
                <w:sz w:val="24"/>
                <w:szCs w:val="24"/>
              </w:rPr>
            </w:pPr>
          </w:p>
        </w:tc>
      </w:tr>
      <w:tr w14:paraId="27BB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323FE5EE">
            <w:pPr>
              <w:autoSpaceDE w:val="0"/>
              <w:autoSpaceDN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安全员</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1E20FE0">
            <w:pPr>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w:t>
            </w:r>
          </w:p>
        </w:tc>
        <w:tc>
          <w:tcPr>
            <w:tcW w:w="5718" w:type="dxa"/>
            <w:vMerge w:val="continue"/>
            <w:tcBorders>
              <w:left w:val="single" w:color="auto" w:sz="4" w:space="0"/>
              <w:right w:val="single" w:color="auto" w:sz="4" w:space="0"/>
            </w:tcBorders>
            <w:noWrap w:val="0"/>
            <w:vAlign w:val="center"/>
          </w:tcPr>
          <w:p w14:paraId="4192DD83">
            <w:pPr>
              <w:spacing w:line="360" w:lineRule="auto"/>
              <w:rPr>
                <w:rFonts w:hint="eastAsia" w:asciiTheme="minorEastAsia" w:hAnsiTheme="minorEastAsia" w:eastAsiaTheme="minorEastAsia" w:cstheme="minorEastAsia"/>
                <w:bCs/>
                <w:color w:val="auto"/>
                <w:kern w:val="0"/>
                <w:sz w:val="24"/>
                <w:szCs w:val="24"/>
              </w:rPr>
            </w:pPr>
          </w:p>
        </w:tc>
      </w:tr>
      <w:tr w14:paraId="515A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42D1853A">
            <w:pPr>
              <w:autoSpaceDE w:val="0"/>
              <w:autoSpaceDN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资料员</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BB4CE62">
            <w:pPr>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w:t>
            </w:r>
          </w:p>
        </w:tc>
        <w:tc>
          <w:tcPr>
            <w:tcW w:w="5718" w:type="dxa"/>
            <w:vMerge w:val="continue"/>
            <w:tcBorders>
              <w:left w:val="single" w:color="auto" w:sz="4" w:space="0"/>
              <w:right w:val="single" w:color="auto" w:sz="4" w:space="0"/>
            </w:tcBorders>
            <w:noWrap w:val="0"/>
            <w:vAlign w:val="center"/>
          </w:tcPr>
          <w:p w14:paraId="669114F0">
            <w:pPr>
              <w:spacing w:line="360" w:lineRule="auto"/>
              <w:rPr>
                <w:rFonts w:hint="eastAsia" w:asciiTheme="minorEastAsia" w:hAnsiTheme="minorEastAsia" w:eastAsiaTheme="minorEastAsia" w:cstheme="minorEastAsia"/>
                <w:bCs/>
                <w:color w:val="auto"/>
                <w:kern w:val="0"/>
                <w:sz w:val="24"/>
                <w:szCs w:val="24"/>
              </w:rPr>
            </w:pPr>
          </w:p>
        </w:tc>
      </w:tr>
      <w:tr w14:paraId="4C8D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14:paraId="63530E37">
            <w:pPr>
              <w:autoSpaceDE w:val="0"/>
              <w:autoSpaceDN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劳资专管员</w:t>
            </w:r>
          </w:p>
        </w:tc>
        <w:tc>
          <w:tcPr>
            <w:tcW w:w="6787" w:type="dxa"/>
            <w:gridSpan w:val="2"/>
            <w:tcBorders>
              <w:top w:val="single" w:color="auto" w:sz="4" w:space="0"/>
              <w:left w:val="single" w:color="auto" w:sz="4" w:space="0"/>
              <w:bottom w:val="single" w:color="auto" w:sz="4" w:space="0"/>
              <w:right w:val="single" w:color="auto" w:sz="4" w:space="0"/>
            </w:tcBorders>
            <w:noWrap w:val="0"/>
            <w:vAlign w:val="center"/>
          </w:tcPr>
          <w:p w14:paraId="0173F7CA">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劳资专管员按《关于加强建设领域劳资专管员管理工作的通</w:t>
            </w:r>
          </w:p>
          <w:p w14:paraId="1E1BD59B">
            <w:pPr>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知》（合治欠发〔2021〕6 号）配置。</w:t>
            </w:r>
          </w:p>
        </w:tc>
      </w:tr>
      <w:bookmarkEnd w:id="23"/>
      <w:bookmarkEnd w:id="24"/>
      <w:bookmarkEnd w:id="25"/>
    </w:tbl>
    <w:p w14:paraId="69586AE1">
      <w:pPr>
        <w:widowControl w:val="0"/>
        <w:spacing w:line="360" w:lineRule="auto"/>
        <w:ind w:firstLine="480" w:firstLineChars="200"/>
        <w:jc w:val="left"/>
        <w:rPr>
          <w:rFonts w:hint="eastAsia" w:asciiTheme="minorEastAsia" w:hAnsiTheme="minorEastAsia" w:eastAsiaTheme="minorEastAsia" w:cstheme="minorEastAsia"/>
          <w:bCs/>
          <w:snapToGrid w:val="0"/>
          <w:color w:val="auto"/>
          <w:kern w:val="0"/>
          <w:sz w:val="24"/>
          <w:szCs w:val="24"/>
          <w:lang w:val="en-US" w:eastAsia="zh-CN" w:bidi="ar-SA"/>
        </w:rPr>
      </w:pPr>
      <w:r>
        <w:rPr>
          <w:rFonts w:hint="eastAsia" w:asciiTheme="minorEastAsia" w:hAnsiTheme="minorEastAsia" w:eastAsiaTheme="minorEastAsia" w:cstheme="minorEastAsia"/>
          <w:bCs/>
          <w:snapToGrid w:val="0"/>
          <w:color w:val="auto"/>
          <w:kern w:val="0"/>
          <w:sz w:val="24"/>
          <w:szCs w:val="24"/>
          <w:lang w:val="en-US" w:eastAsia="zh-CN" w:bidi="ar-SA"/>
        </w:rPr>
        <w:t>注：</w:t>
      </w:r>
    </w:p>
    <w:p w14:paraId="3A96034A">
      <w:pPr>
        <w:widowControl w:val="0"/>
        <w:spacing w:line="360" w:lineRule="auto"/>
        <w:ind w:firstLine="480" w:firstLineChars="200"/>
        <w:jc w:val="left"/>
        <w:rPr>
          <w:rFonts w:hint="eastAsia" w:asciiTheme="minorEastAsia" w:hAnsiTheme="minorEastAsia" w:eastAsiaTheme="minorEastAsia" w:cstheme="minorEastAsia"/>
          <w:bCs/>
          <w:snapToGrid w:val="0"/>
          <w:color w:val="auto"/>
          <w:kern w:val="0"/>
          <w:sz w:val="24"/>
          <w:szCs w:val="24"/>
          <w:lang w:val="en-US" w:eastAsia="zh-CN" w:bidi="ar-SA"/>
        </w:rPr>
      </w:pPr>
      <w:r>
        <w:rPr>
          <w:rFonts w:hint="eastAsia" w:asciiTheme="minorEastAsia" w:hAnsiTheme="minorEastAsia" w:eastAsiaTheme="minorEastAsia" w:cstheme="minorEastAsia"/>
          <w:bCs/>
          <w:snapToGrid w:val="0"/>
          <w:color w:val="auto"/>
          <w:kern w:val="0"/>
          <w:sz w:val="24"/>
          <w:szCs w:val="24"/>
          <w:lang w:val="en-US" w:eastAsia="zh-CN" w:bidi="ar-SA"/>
        </w:rPr>
        <w:t>1.本表 中“施工员”、“质量员/质检员”、“安全员”、“资料员”、“劳资专管员”为采购人按照住房和城乡建设部及安徽省相关标准规定要求供应商成交后需要配备其他主要管理人员和技术人员数量的最低要求。</w:t>
      </w:r>
    </w:p>
    <w:p w14:paraId="6FBFB14A">
      <w:pPr>
        <w:widowControl w:val="0"/>
        <w:spacing w:line="360" w:lineRule="auto"/>
        <w:ind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snapToGrid w:val="0"/>
          <w:color w:val="auto"/>
          <w:kern w:val="0"/>
          <w:sz w:val="24"/>
          <w:szCs w:val="24"/>
          <w:lang w:val="en-US" w:eastAsia="zh-CN" w:bidi="ar-SA"/>
        </w:rPr>
        <w:t>2.项目实施时，成交供应商和采购人在签订合同时应按照不低于本表人员配置的要求填写承包人主要施工管理人员表（人员配置符合住房和城乡建设部及安徽省相关标准），并作为合同的附件之一。</w:t>
      </w:r>
    </w:p>
    <w:p w14:paraId="0A933436">
      <w:pPr>
        <w:pStyle w:val="5"/>
        <w:spacing w:before="0" w:after="0" w:line="360" w:lineRule="auto"/>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工程量清单</w:t>
      </w:r>
      <w:bookmarkEnd w:id="21"/>
    </w:p>
    <w:bookmarkEnd w:id="22"/>
    <w:p w14:paraId="3FB2EAEE">
      <w:pPr>
        <w:pStyle w:val="12"/>
        <w:adjustRightInd/>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另行发放。如工程量清单中涉及证明材料，供应商无须提供。如工程量清单中出现特定性、唯一性品牌的表述，该品牌仅作为参考，施工过程中不具有限定性。</w:t>
      </w:r>
    </w:p>
    <w:p w14:paraId="3F43D3B9">
      <w:pPr>
        <w:pStyle w:val="12"/>
        <w:adjustRightInd/>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六、图纸</w:t>
      </w:r>
    </w:p>
    <w:p w14:paraId="09FCC34D">
      <w:r>
        <w:rPr>
          <w:rFonts w:hint="eastAsia" w:asciiTheme="minorEastAsia" w:hAnsiTheme="minorEastAsia" w:eastAsiaTheme="minorEastAsia" w:cstheme="minorEastAsia"/>
          <w:color w:val="auto"/>
          <w:sz w:val="24"/>
          <w:szCs w:val="24"/>
        </w:rPr>
        <w:t>另行发放。如图纸中涉及证明材料，供应商无须提供。如图纸中出现特定性、唯一性品牌的表述，该品牌仅作为参考，施工过程中不具有限定性。</w:t>
      </w:r>
      <w:r>
        <w:rPr>
          <w:rFonts w:hint="eastAsia" w:asciiTheme="minorEastAsia" w:hAnsiTheme="minorEastAsia" w:eastAsiaTheme="minorEastAsia" w:cstheme="minorEastAsia"/>
          <w:color w:val="auto"/>
          <w:sz w:val="24"/>
          <w:szCs w:val="24"/>
        </w:rPr>
        <w:br w:type="page"/>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476A"/>
    <w:rsid w:val="0CAD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420"/>
      <w:jc w:val="both"/>
    </w:pPr>
    <w:rPr>
      <w:rFonts w:ascii="楷体_GB2312" w:hAnsi="Calibri" w:eastAsia="楷体_GB2312" w:cs="Times New Roman"/>
      <w:kern w:val="2"/>
      <w:sz w:val="32"/>
      <w:szCs w:val="22"/>
      <w:lang w:val="en-US" w:eastAsia="zh-CN" w:bidi="ar-SA"/>
    </w:rPr>
  </w:style>
  <w:style w:type="paragraph" w:styleId="3">
    <w:name w:val="Body Text Indent"/>
    <w:basedOn w:val="1"/>
    <w:unhideWhenUsed/>
    <w:qFormat/>
    <w:uiPriority w:val="0"/>
    <w:pPr>
      <w:spacing w:after="120"/>
      <w:ind w:left="420" w:leftChars="200"/>
    </w:pPr>
    <w:rPr>
      <w:rFonts w:asciiTheme="minorHAnsi" w:hAnsiTheme="minorHAnsi"/>
      <w:kern w:val="2"/>
      <w:sz w:val="21"/>
      <w:szCs w:val="22"/>
    </w:rPr>
  </w:style>
  <w:style w:type="paragraph" w:styleId="4">
    <w:name w:val="List"/>
    <w:basedOn w:val="1"/>
    <w:qFormat/>
    <w:uiPriority w:val="0"/>
    <w:pPr>
      <w:ind w:left="200" w:hanging="200" w:hangingChars="200"/>
    </w:pPr>
    <w:rPr>
      <w:rFonts w:ascii="Calibri" w:hAnsi="Calibri" w:cs="Times New Roman"/>
      <w:kern w:val="2"/>
      <w:sz w:val="21"/>
      <w:szCs w:val="22"/>
    </w:rPr>
  </w:style>
  <w:style w:type="paragraph" w:styleId="6">
    <w:name w:val="Plain Text"/>
    <w:basedOn w:val="1"/>
    <w:qFormat/>
    <w:uiPriority w:val="0"/>
    <w:rPr>
      <w:rFonts w:hAnsi="Courier New" w:eastAsiaTheme="minorEastAsia"/>
      <w:szCs w:val="22"/>
    </w:rPr>
  </w:style>
  <w:style w:type="table" w:customStyle="1" w:styleId="9">
    <w:name w:val="网格型2"/>
    <w:basedOn w:val="7"/>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xl31"/>
    <w:basedOn w:val="1"/>
    <w:qFormat/>
    <w:uiPriority w:val="0"/>
    <w:pPr>
      <w:widowControl/>
      <w:spacing w:before="100" w:beforeAutospacing="1" w:after="100" w:afterAutospacing="1"/>
      <w:jc w:val="center"/>
    </w:pPr>
    <w:rPr>
      <w:b/>
      <w:bCs/>
      <w:sz w:val="28"/>
      <w:szCs w:val="28"/>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2025-10-28T08:36:00Z</dcterms:created>
  <dc:creator>fn</dc:creator>
  <cp:lastModifiedBy>fn</cp:lastModifiedBy>
  <dcterms:modified xsi:type="dcterms:W3CDTF">2025-10-28T08:36:15Z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A9078FC6AC044266A692C7BC0A9ED98D_11</vt:lpwstr>
  </property>
  <property fmtid="{D5CDD505-2E9C-101B-9397-08002B2CF9AE}" pid="4" name="KSOTemplateDocerSaveRecord">
    <vt:lpwstr>eyJoZGlkIjoiZjUwYTQ2Yzc0MjllYjVjYjRmN2E5ZDQ3YjdkMmZhN2QiLCJ1c2VySWQiOiI4NzAxNTA3NTgifQ==</vt:lpwstr>
  </property>
</Properties>
</file>