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C2CD4">
      <w:pPr>
        <w:pStyle w:val="5"/>
        <w:wordWrap w:val="0"/>
        <w:rPr>
          <w:rFonts w:ascii="方正小标宋_GBK" w:hAnsi="方正小标宋_GBK" w:eastAsia="华文中宋" w:cs="方正小标宋_GBK"/>
          <w:color w:val="auto"/>
          <w:highlight w:val="none"/>
        </w:rPr>
      </w:pPr>
      <w:r>
        <w:rPr>
          <w:rFonts w:hint="eastAsia" w:ascii="方正小标宋_GBK" w:hAnsi="方正小标宋_GBK" w:eastAsia="华文中宋" w:cs="方正小标宋_GBK"/>
          <w:color w:val="auto"/>
          <w:highlight w:val="none"/>
        </w:rPr>
        <w:t>采购需求</w:t>
      </w:r>
    </w:p>
    <w:p w14:paraId="601808C0">
      <w:pPr>
        <w:wordWrap w:val="0"/>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2F2CB60A">
      <w:pPr>
        <w:wordWrap w:val="0"/>
        <w:spacing w:line="360" w:lineRule="auto"/>
        <w:ind w:firstLine="480" w:firstLineChars="200"/>
        <w:rPr>
          <w:rFonts w:ascii="宋体" w:hAnsi="宋体" w:eastAsia="宋体" w:cs="宋体"/>
          <w:color w:val="auto"/>
          <w:sz w:val="24"/>
          <w:szCs w:val="18"/>
          <w:highlight w:val="none"/>
        </w:rPr>
      </w:pPr>
      <w:bookmarkStart w:id="0" w:name="_Hlk16461016"/>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1026CF24">
      <w:pPr>
        <w:wordWrap w:val="0"/>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7343DB8F">
      <w:pPr>
        <w:wordWrap w:val="0"/>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8137AEA">
      <w:pPr>
        <w:wordWrap w:val="0"/>
        <w:spacing w:line="360" w:lineRule="auto"/>
        <w:ind w:firstLine="480" w:firstLineChars="200"/>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FAAC4FE">
      <w:pPr>
        <w:wordWrap w:val="0"/>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064E48A6">
      <w:pPr>
        <w:pStyle w:val="6"/>
        <w:wordWrap w:val="0"/>
        <w:ind w:firstLine="0" w:firstLineChars="0"/>
        <w:rPr>
          <w:rFonts w:eastAsia="黑体"/>
          <w:color w:val="auto"/>
          <w:highlight w:val="none"/>
        </w:rPr>
      </w:pPr>
      <w:bookmarkStart w:id="1" w:name="_Toc1899401549"/>
      <w:bookmarkStart w:id="2" w:name="_Toc1064185329"/>
      <w:bookmarkStart w:id="3" w:name="_Toc292361325"/>
      <w:bookmarkStart w:id="4" w:name="_Toc382548620"/>
      <w:bookmarkStart w:id="5" w:name="_Toc2025078090"/>
      <w:bookmarkStart w:id="6" w:name="_Toc337877615"/>
      <w:bookmarkStart w:id="7" w:name="_Toc1437377518_WPSOffice_Level2"/>
      <w:bookmarkStart w:id="8" w:name="_Toc1452677390"/>
      <w:r>
        <w:rPr>
          <w:rFonts w:hint="eastAsia" w:eastAsia="黑体"/>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DA9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06D8A1E">
            <w:pPr>
              <w:pStyle w:val="11"/>
              <w:pBdr>
                <w:bottom w:val="none" w:color="auto" w:sz="0" w:space="0"/>
              </w:pBdr>
              <w:tabs>
                <w:tab w:val="clear" w:pos="4153"/>
                <w:tab w:val="clear" w:pos="8306"/>
              </w:tabs>
              <w:wordWrap w:val="0"/>
              <w:adjustRightInd/>
              <w:spacing w:line="240" w:lineRule="auto"/>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054" w:type="dxa"/>
            <w:vAlign w:val="center"/>
          </w:tcPr>
          <w:p w14:paraId="16A6E882">
            <w:pPr>
              <w:pStyle w:val="12"/>
              <w:widowControl w:val="0"/>
              <w:wordWrap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544" w:type="dxa"/>
            <w:vAlign w:val="center"/>
          </w:tcPr>
          <w:p w14:paraId="062E08FF">
            <w:pPr>
              <w:pStyle w:val="12"/>
              <w:widowControl w:val="0"/>
              <w:wordWrap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875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4D3E85B">
            <w:pPr>
              <w:pStyle w:val="11"/>
              <w:pBdr>
                <w:bottom w:val="none" w:color="auto" w:sz="0" w:space="0"/>
              </w:pBdr>
              <w:tabs>
                <w:tab w:val="clear" w:pos="4153"/>
                <w:tab w:val="clear" w:pos="8306"/>
              </w:tabs>
              <w:wordWrap w:val="0"/>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054" w:type="dxa"/>
            <w:vAlign w:val="center"/>
          </w:tcPr>
          <w:p w14:paraId="24626B13">
            <w:pPr>
              <w:pStyle w:val="12"/>
              <w:widowControl w:val="0"/>
              <w:wordWrap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544" w:type="dxa"/>
            <w:vAlign w:val="center"/>
          </w:tcPr>
          <w:p w14:paraId="081FA7F4">
            <w:pPr>
              <w:pStyle w:val="12"/>
              <w:widowControl w:val="0"/>
              <w:wordWrap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1、本项目预付款为合同金额的60%，中标人须提供相应的预付款担保，预付款在本项目合同签订、相关担保措施生效以及具备实施条件后支付；</w:t>
            </w:r>
          </w:p>
          <w:p w14:paraId="1573EBF1">
            <w:pPr>
              <w:pStyle w:val="12"/>
              <w:widowControl w:val="0"/>
              <w:wordWrap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2、所有设备安装调试完毕且经过验收合格正常使用后一次性付清剩余合同价款。</w:t>
            </w:r>
          </w:p>
          <w:p w14:paraId="010AA94F">
            <w:pPr>
              <w:pStyle w:val="12"/>
              <w:widowControl w:val="0"/>
              <w:wordWrap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备注：</w:t>
            </w:r>
          </w:p>
          <w:p w14:paraId="3D6D7CAB">
            <w:pPr>
              <w:pStyle w:val="12"/>
              <w:widowControl w:val="0"/>
              <w:wordWrap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（1）预付款担保形式：银行保函、担保机构担保。</w:t>
            </w:r>
          </w:p>
          <w:p w14:paraId="550D0002">
            <w:pPr>
              <w:pStyle w:val="12"/>
              <w:widowControl w:val="0"/>
              <w:wordWrap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61709EE1">
            <w:pPr>
              <w:pStyle w:val="12"/>
              <w:widowControl w:val="0"/>
              <w:wordWrap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（3）在签订合同时，中标人书面明确表示无需预付款或者主动要求降低预付款比例的，采购人可不适用前述预付款规定。</w:t>
            </w:r>
          </w:p>
        </w:tc>
      </w:tr>
      <w:tr w14:paraId="0969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772413BC">
            <w:pPr>
              <w:pStyle w:val="11"/>
              <w:pBdr>
                <w:bottom w:val="none" w:color="auto" w:sz="0" w:space="0"/>
              </w:pBdr>
              <w:tabs>
                <w:tab w:val="clear" w:pos="4153"/>
                <w:tab w:val="clear" w:pos="8306"/>
              </w:tabs>
              <w:wordWrap w:val="0"/>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054" w:type="dxa"/>
            <w:vAlign w:val="center"/>
          </w:tcPr>
          <w:p w14:paraId="271DB397">
            <w:pPr>
              <w:pStyle w:val="12"/>
              <w:widowControl w:val="0"/>
              <w:wordWrap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5544" w:type="dxa"/>
            <w:vAlign w:val="center"/>
          </w:tcPr>
          <w:p w14:paraId="237922AE">
            <w:pPr>
              <w:pStyle w:val="12"/>
              <w:widowControl w:val="0"/>
              <w:wordWrap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铜陵学院，具体按采购人指定。</w:t>
            </w:r>
          </w:p>
        </w:tc>
      </w:tr>
      <w:tr w14:paraId="5BE0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6507325E">
            <w:pPr>
              <w:pStyle w:val="11"/>
              <w:pBdr>
                <w:bottom w:val="none" w:color="auto" w:sz="0" w:space="0"/>
              </w:pBdr>
              <w:tabs>
                <w:tab w:val="clear" w:pos="4153"/>
                <w:tab w:val="clear" w:pos="8306"/>
              </w:tabs>
              <w:wordWrap w:val="0"/>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054" w:type="dxa"/>
            <w:vAlign w:val="center"/>
          </w:tcPr>
          <w:p w14:paraId="3498F2D7">
            <w:pPr>
              <w:pStyle w:val="12"/>
              <w:widowControl w:val="0"/>
              <w:wordWrap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5544" w:type="dxa"/>
            <w:vAlign w:val="center"/>
          </w:tcPr>
          <w:p w14:paraId="693A35FE">
            <w:pPr>
              <w:pStyle w:val="12"/>
              <w:widowControl w:val="0"/>
              <w:wordWrap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合同签订后，60日历天内完成交货、安装、调试等内容。</w:t>
            </w:r>
          </w:p>
        </w:tc>
      </w:tr>
      <w:tr w14:paraId="343B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6B1D9FB">
            <w:pPr>
              <w:pStyle w:val="11"/>
              <w:pBdr>
                <w:bottom w:val="none" w:color="auto" w:sz="0" w:space="0"/>
              </w:pBdr>
              <w:tabs>
                <w:tab w:val="clear" w:pos="4153"/>
                <w:tab w:val="clear" w:pos="8306"/>
              </w:tabs>
              <w:wordWrap w:val="0"/>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054" w:type="dxa"/>
            <w:vAlign w:val="center"/>
          </w:tcPr>
          <w:p w14:paraId="756B313E">
            <w:pPr>
              <w:pStyle w:val="12"/>
              <w:widowControl w:val="0"/>
              <w:wordWrap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5544" w:type="dxa"/>
            <w:vAlign w:val="center"/>
          </w:tcPr>
          <w:p w14:paraId="601B84C5">
            <w:pPr>
              <w:pStyle w:val="12"/>
              <w:widowControl w:val="0"/>
              <w:wordWrap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自验收合格后3年。</w:t>
            </w:r>
          </w:p>
          <w:p w14:paraId="62A33B19">
            <w:pPr>
              <w:pStyle w:val="12"/>
              <w:widowControl w:val="0"/>
              <w:wordWrap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370EFAEC">
      <w:pPr>
        <w:pStyle w:val="6"/>
        <w:wordWrap w:val="0"/>
        <w:ind w:firstLine="0" w:firstLineChars="0"/>
        <w:rPr>
          <w:rFonts w:eastAsia="黑体"/>
          <w:color w:val="auto"/>
          <w:highlight w:val="none"/>
        </w:rPr>
      </w:pPr>
      <w:bookmarkStart w:id="9" w:name="_Toc626387511"/>
      <w:bookmarkStart w:id="10" w:name="_Toc302804901"/>
      <w:bookmarkStart w:id="11" w:name="_Toc1715351726"/>
      <w:bookmarkStart w:id="12" w:name="_Toc717369146"/>
      <w:bookmarkStart w:id="13" w:name="_Toc369119811"/>
      <w:bookmarkStart w:id="14" w:name="_Toc58935147"/>
      <w:bookmarkStart w:id="15" w:name="_Toc1191965283_WPSOffice_Level2"/>
      <w:bookmarkStart w:id="16" w:name="_Toc1693477008"/>
      <w:r>
        <w:rPr>
          <w:rFonts w:hint="eastAsia" w:eastAsia="黑体"/>
          <w:color w:val="auto"/>
          <w:highlight w:val="none"/>
        </w:rPr>
        <w:t>二、货物需求</w:t>
      </w:r>
      <w:bookmarkEnd w:id="9"/>
      <w:bookmarkEnd w:id="10"/>
      <w:bookmarkEnd w:id="11"/>
      <w:bookmarkEnd w:id="12"/>
      <w:bookmarkEnd w:id="13"/>
      <w:bookmarkEnd w:id="14"/>
      <w:bookmarkEnd w:id="15"/>
      <w:bookmarkEnd w:id="16"/>
    </w:p>
    <w:p w14:paraId="158867A8">
      <w:pPr>
        <w:widowControl/>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（一）标识符号</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45DD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ign w:val="center"/>
          </w:tcPr>
          <w:p w14:paraId="1C34E330">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标识类型</w:t>
            </w:r>
          </w:p>
        </w:tc>
        <w:tc>
          <w:tcPr>
            <w:tcW w:w="1365" w:type="dxa"/>
            <w:noWrap/>
            <w:vAlign w:val="center"/>
          </w:tcPr>
          <w:p w14:paraId="69E438EC">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w:t>
            </w:r>
          </w:p>
        </w:tc>
        <w:tc>
          <w:tcPr>
            <w:tcW w:w="5363" w:type="dxa"/>
            <w:noWrap/>
            <w:vAlign w:val="center"/>
          </w:tcPr>
          <w:p w14:paraId="623C399B">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标识符号含义</w:t>
            </w:r>
          </w:p>
        </w:tc>
      </w:tr>
      <w:tr w14:paraId="6AF3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94" w:type="dxa"/>
            <w:shd w:val="clear" w:color="auto" w:fill="auto"/>
            <w:noWrap/>
            <w:vAlign w:val="center"/>
          </w:tcPr>
          <w:p w14:paraId="3901FDE0">
            <w:pPr>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核心指标项</w:t>
            </w:r>
          </w:p>
        </w:tc>
        <w:tc>
          <w:tcPr>
            <w:tcW w:w="1365" w:type="dxa"/>
            <w:shd w:val="clear" w:color="auto" w:fill="auto"/>
            <w:noWrap/>
            <w:vAlign w:val="center"/>
          </w:tcPr>
          <w:p w14:paraId="7400AFC9">
            <w:pPr>
              <w:wordWrap w:val="0"/>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363" w:type="dxa"/>
            <w:shd w:val="clear" w:color="auto" w:fill="auto"/>
            <w:noWrap/>
            <w:vAlign w:val="center"/>
          </w:tcPr>
          <w:p w14:paraId="27542937">
            <w:pPr>
              <w:wordWrap w:val="0"/>
              <w:adjustRightInd w:val="0"/>
              <w:snapToGrid w:val="0"/>
              <w:spacing w:line="30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符合性审查项，该指标项负偏离或未响应的，</w:t>
            </w:r>
            <w:r>
              <w:rPr>
                <w:rFonts w:hint="eastAsia" w:ascii="宋体" w:hAnsi="宋体" w:eastAsia="宋体" w:cs="宋体"/>
                <w:b/>
                <w:color w:val="auto"/>
                <w:sz w:val="24"/>
                <w:szCs w:val="24"/>
                <w:highlight w:val="none"/>
              </w:rPr>
              <w:t>投标无效</w:t>
            </w:r>
            <w:r>
              <w:rPr>
                <w:rFonts w:hint="eastAsia" w:ascii="宋体" w:hAnsi="宋体" w:eastAsia="宋体" w:cs="宋体"/>
                <w:bCs/>
                <w:color w:val="auto"/>
                <w:sz w:val="24"/>
                <w:szCs w:val="24"/>
                <w:highlight w:val="none"/>
              </w:rPr>
              <w:t>。</w:t>
            </w:r>
          </w:p>
        </w:tc>
      </w:tr>
      <w:tr w14:paraId="6EBD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94" w:type="dxa"/>
            <w:shd w:val="clear" w:color="auto" w:fill="auto"/>
            <w:noWrap/>
            <w:vAlign w:val="center"/>
          </w:tcPr>
          <w:p w14:paraId="131AE6BE">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365" w:type="dxa"/>
            <w:shd w:val="clear" w:color="auto" w:fill="auto"/>
            <w:noWrap/>
            <w:vAlign w:val="center"/>
          </w:tcPr>
          <w:p w14:paraId="50D3CBD8">
            <w:pPr>
              <w:wordWrap w:val="0"/>
              <w:adjustRightInd w:val="0"/>
              <w:snapToGrid w:val="0"/>
              <w:spacing w:line="300" w:lineRule="auto"/>
              <w:jc w:val="center"/>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363" w:type="dxa"/>
            <w:shd w:val="clear" w:color="auto" w:fill="auto"/>
            <w:noWrap/>
            <w:vAlign w:val="center"/>
          </w:tcPr>
          <w:p w14:paraId="45C6E817">
            <w:pPr>
              <w:wordWrap w:val="0"/>
              <w:adjustRightInd w:val="0"/>
              <w:snapToGrid w:val="0"/>
              <w:spacing w:line="300" w:lineRule="auto"/>
              <w:jc w:val="lef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评分项，</w:t>
            </w:r>
            <w:r>
              <w:rPr>
                <w:rFonts w:hint="eastAsia" w:ascii="宋体" w:hAnsi="宋体" w:eastAsia="宋体" w:cs="宋体"/>
                <w:color w:val="auto"/>
                <w:sz w:val="24"/>
                <w:szCs w:val="24"/>
                <w:highlight w:val="none"/>
              </w:rPr>
              <w:t>详见评标办法和标准。</w:t>
            </w:r>
          </w:p>
        </w:tc>
      </w:tr>
      <w:tr w14:paraId="1CE0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94" w:type="dxa"/>
            <w:noWrap/>
            <w:vAlign w:val="center"/>
          </w:tcPr>
          <w:p w14:paraId="0E174EC0">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指标项</w:t>
            </w:r>
          </w:p>
        </w:tc>
        <w:tc>
          <w:tcPr>
            <w:tcW w:w="1365" w:type="dxa"/>
            <w:noWrap/>
            <w:vAlign w:val="center"/>
          </w:tcPr>
          <w:p w14:paraId="35582D81">
            <w:pPr>
              <w:wordWrap w:val="0"/>
              <w:adjustRightInd w:val="0"/>
              <w:snapToGrid w:val="0"/>
              <w:spacing w:line="300" w:lineRule="auto"/>
              <w:jc w:val="center"/>
              <w:rPr>
                <w:rFonts w:ascii="宋体" w:hAnsi="宋体" w:eastAsia="宋体" w:cs="宋体"/>
                <w:bCs/>
                <w:color w:val="auto"/>
                <w:sz w:val="24"/>
                <w:szCs w:val="24"/>
                <w:highlight w:val="none"/>
              </w:rPr>
            </w:pPr>
            <w:r>
              <w:rPr>
                <w:rFonts w:hint="eastAsia" w:ascii="宋体" w:hAnsi="宋体" w:eastAsia="宋体" w:cs="宋体"/>
                <w:color w:val="auto"/>
                <w:szCs w:val="21"/>
                <w:highlight w:val="none"/>
              </w:rPr>
              <w:t>█</w:t>
            </w:r>
          </w:p>
        </w:tc>
        <w:tc>
          <w:tcPr>
            <w:tcW w:w="5363" w:type="dxa"/>
            <w:noWrap/>
            <w:vAlign w:val="center"/>
          </w:tcPr>
          <w:p w14:paraId="7C13DC5A">
            <w:pPr>
              <w:adjustRightInd w:val="0"/>
              <w:snapToGrid w:val="0"/>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评分项，</w:t>
            </w:r>
            <w:r>
              <w:rPr>
                <w:rFonts w:hint="eastAsia" w:ascii="宋体" w:hAnsi="宋体" w:eastAsia="宋体" w:cs="宋体"/>
                <w:color w:val="auto"/>
                <w:sz w:val="24"/>
                <w:szCs w:val="24"/>
                <w:highlight w:val="none"/>
              </w:rPr>
              <w:t>详见评标办法和标准。</w:t>
            </w:r>
          </w:p>
        </w:tc>
      </w:tr>
      <w:tr w14:paraId="5D09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ign w:val="center"/>
          </w:tcPr>
          <w:p w14:paraId="37DB644F">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365" w:type="dxa"/>
            <w:noWrap/>
            <w:vAlign w:val="center"/>
          </w:tcPr>
          <w:p w14:paraId="0BEA369C">
            <w:pPr>
              <w:wordWrap w:val="0"/>
              <w:adjustRightInd w:val="0"/>
              <w:snapToGrid w:val="0"/>
              <w:spacing w:line="300" w:lineRule="auto"/>
              <w:jc w:val="center"/>
              <w:rPr>
                <w:rFonts w:ascii="宋体" w:hAnsi="宋体" w:eastAsia="宋体" w:cs="宋体"/>
                <w:bCs/>
                <w:color w:val="auto"/>
                <w:sz w:val="24"/>
                <w:szCs w:val="24"/>
                <w:highlight w:val="none"/>
              </w:rPr>
            </w:pPr>
          </w:p>
        </w:tc>
        <w:tc>
          <w:tcPr>
            <w:tcW w:w="5363" w:type="dxa"/>
            <w:noWrap/>
            <w:vAlign w:val="center"/>
          </w:tcPr>
          <w:p w14:paraId="5DB22404">
            <w:pPr>
              <w:adjustRightInd w:val="0"/>
              <w:snapToGrid w:val="0"/>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符合性审查项，该指标项最大允许负偏离</w:t>
            </w:r>
            <w:r>
              <w:rPr>
                <w:rFonts w:hint="eastAsia"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rPr>
              <w:t>项，超过最大允许负偏离项数的，</w:t>
            </w:r>
            <w:r>
              <w:rPr>
                <w:rFonts w:hint="eastAsia" w:ascii="宋体" w:hAnsi="宋体" w:eastAsia="宋体" w:cs="宋体"/>
                <w:b/>
                <w:color w:val="auto"/>
                <w:sz w:val="24"/>
                <w:szCs w:val="24"/>
                <w:highlight w:val="none"/>
              </w:rPr>
              <w:t>投标无效</w:t>
            </w:r>
            <w:r>
              <w:rPr>
                <w:rFonts w:hint="eastAsia" w:ascii="宋体" w:hAnsi="宋体" w:eastAsia="宋体" w:cs="宋体"/>
                <w:bCs/>
                <w:color w:val="auto"/>
                <w:sz w:val="24"/>
                <w:szCs w:val="24"/>
                <w:highlight w:val="none"/>
              </w:rPr>
              <w:t>。</w:t>
            </w:r>
          </w:p>
        </w:tc>
      </w:tr>
      <w:tr w14:paraId="6AAA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ign w:val="center"/>
          </w:tcPr>
          <w:p w14:paraId="7EF7B86A">
            <w:pPr>
              <w:spacing w:line="30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9B31C05">
            <w:pPr>
              <w:spacing w:line="30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（1）标识条款中如包含多条子项技术参数或要求，则需满足或优于该标识条款内所有子项技术参数或要求，否则不予认可。</w:t>
            </w:r>
          </w:p>
          <w:p w14:paraId="3E78F82C">
            <w:pPr>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下述技术参数所涉及的具体物理尺寸：货物需求清单中明确允许偏离范围的，按货物需求清单</w:t>
            </w:r>
            <w:r>
              <w:rPr>
                <w:rFonts w:hint="eastAsia" w:ascii="宋体" w:hAnsi="宋体" w:eastAsia="宋体" w:cs="宋体"/>
                <w:color w:val="auto"/>
                <w:sz w:val="24"/>
                <w:szCs w:val="24"/>
                <w:highlight w:val="none"/>
              </w:rPr>
              <w:t>要求</w:t>
            </w:r>
            <w:r>
              <w:rPr>
                <w:rFonts w:hint="eastAsia" w:ascii="宋体" w:hAnsi="宋体" w:eastAsia="宋体" w:cs="宋体"/>
                <w:color w:val="auto"/>
                <w:kern w:val="0"/>
                <w:sz w:val="24"/>
                <w:szCs w:val="24"/>
                <w:highlight w:val="none"/>
              </w:rPr>
              <w:t>执行；货物需求清单中未明确允许偏离范围的，允许±5%偏离</w:t>
            </w:r>
            <w:r>
              <w:rPr>
                <w:rFonts w:hint="eastAsia" w:ascii="宋体" w:hAnsi="宋体" w:eastAsia="宋体" w:cs="宋体"/>
                <w:color w:val="auto"/>
                <w:sz w:val="24"/>
                <w:szCs w:val="24"/>
                <w:highlight w:val="none"/>
              </w:rPr>
              <w:t>。</w:t>
            </w:r>
          </w:p>
          <w:p w14:paraId="794376A4">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（3）货物需求清单中</w:t>
            </w:r>
            <w:r>
              <w:rPr>
                <w:rFonts w:hint="eastAsia" w:ascii="宋体" w:hAnsi="宋体" w:eastAsia="宋体"/>
                <w:color w:val="auto"/>
                <w:sz w:val="24"/>
                <w:highlight w:val="none"/>
                <w:lang w:val="zh-CN"/>
              </w:rPr>
              <w:t>明确要求提供材料</w:t>
            </w:r>
            <w:r>
              <w:rPr>
                <w:rFonts w:hint="eastAsia" w:ascii="宋体" w:hAnsi="宋体" w:eastAsia="宋体"/>
                <w:color w:val="auto"/>
                <w:sz w:val="24"/>
                <w:highlight w:val="none"/>
              </w:rPr>
              <w:t>的</w:t>
            </w:r>
            <w:r>
              <w:rPr>
                <w:rFonts w:hint="eastAsia" w:ascii="宋体" w:hAnsi="宋体" w:eastAsia="宋体"/>
                <w:color w:val="auto"/>
                <w:sz w:val="24"/>
                <w:highlight w:val="none"/>
                <w:lang w:val="zh-CN"/>
              </w:rPr>
              <w:t>按货物需求清单要求提供以证明参数</w:t>
            </w:r>
            <w:r>
              <w:rPr>
                <w:rFonts w:hint="eastAsia" w:ascii="宋体" w:hAnsi="宋体" w:eastAsia="宋体"/>
                <w:color w:val="auto"/>
                <w:sz w:val="24"/>
                <w:highlight w:val="none"/>
              </w:rPr>
              <w:t>响应</w:t>
            </w:r>
            <w:r>
              <w:rPr>
                <w:rFonts w:hint="eastAsia" w:ascii="宋体" w:hAnsi="宋体" w:eastAsia="宋体"/>
                <w:color w:val="auto"/>
                <w:sz w:val="24"/>
                <w:highlight w:val="none"/>
                <w:lang w:val="zh-CN"/>
              </w:rPr>
              <w:t>性，不提供相关资料</w:t>
            </w:r>
            <w:r>
              <w:rPr>
                <w:rFonts w:hint="eastAsia" w:ascii="宋体" w:hAnsi="宋体" w:eastAsia="宋体"/>
                <w:color w:val="auto"/>
                <w:sz w:val="24"/>
                <w:highlight w:val="none"/>
              </w:rPr>
              <w:t>视为负偏离。</w:t>
            </w:r>
          </w:p>
          <w:p w14:paraId="7178063B">
            <w:pPr>
              <w:spacing w:line="30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（4）货物需求清单中</w:t>
            </w:r>
            <w:r>
              <w:rPr>
                <w:rFonts w:hint="eastAsia" w:ascii="宋体" w:hAnsi="宋体" w:eastAsia="宋体"/>
                <w:color w:val="auto"/>
                <w:sz w:val="24"/>
                <w:highlight w:val="none"/>
                <w:lang w:val="en-US" w:eastAsia="zh-CN"/>
              </w:rPr>
              <w:t>未明确要求提供材料的</w:t>
            </w:r>
            <w:r>
              <w:rPr>
                <w:rFonts w:hint="eastAsia" w:ascii="宋体" w:hAnsi="宋体" w:eastAsia="宋体"/>
                <w:color w:val="auto"/>
                <w:sz w:val="24"/>
                <w:highlight w:val="none"/>
              </w:rPr>
              <w:t>以投标响应表中的响应情况作为评审依据。</w:t>
            </w:r>
          </w:p>
        </w:tc>
      </w:tr>
    </w:tbl>
    <w:p w14:paraId="6F98FF60">
      <w:pPr>
        <w:widowControl/>
        <w:snapToGrid w:val="0"/>
        <w:spacing w:line="360" w:lineRule="auto"/>
        <w:ind w:firstLine="482" w:firstLineChars="200"/>
        <w:rPr>
          <w:rFonts w:ascii="宋体" w:hAnsi="宋体" w:eastAsia="宋体" w:cs="宋体"/>
          <w:b/>
          <w:bCs/>
          <w:color w:val="auto"/>
          <w:sz w:val="24"/>
          <w:szCs w:val="24"/>
          <w:highlight w:val="none"/>
        </w:rPr>
      </w:pPr>
    </w:p>
    <w:p w14:paraId="1ED1E78E">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8489324">
      <w:pPr>
        <w:widowControl/>
        <w:spacing w:line="480" w:lineRule="auto"/>
        <w:ind w:firstLine="482"/>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（二）货物需求一览表</w:t>
      </w:r>
    </w:p>
    <w:p w14:paraId="51541917">
      <w:pPr>
        <w:spacing w:line="360" w:lineRule="auto"/>
        <w:ind w:firstLine="48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本项目采购净化间及辅助配套设备1套，半导体材料生长系统相关设备1套，包含下列内容：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933"/>
        <w:gridCol w:w="1958"/>
        <w:gridCol w:w="1237"/>
        <w:gridCol w:w="905"/>
        <w:gridCol w:w="1616"/>
      </w:tblGrid>
      <w:tr w14:paraId="19CF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2DBC4A22">
            <w:pPr>
              <w:spacing w:line="360" w:lineRule="auto"/>
              <w:jc w:val="center"/>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960" w:type="dxa"/>
            <w:vAlign w:val="center"/>
          </w:tcPr>
          <w:p w14:paraId="1CEED246">
            <w:pPr>
              <w:spacing w:line="360" w:lineRule="auto"/>
              <w:jc w:val="center"/>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系统名称</w:t>
            </w:r>
          </w:p>
        </w:tc>
        <w:tc>
          <w:tcPr>
            <w:tcW w:w="1977" w:type="dxa"/>
            <w:vAlign w:val="center"/>
          </w:tcPr>
          <w:p w14:paraId="7FB0D395">
            <w:pPr>
              <w:spacing w:line="360" w:lineRule="auto"/>
              <w:ind w:firstLine="437"/>
              <w:jc w:val="center"/>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1248" w:type="dxa"/>
            <w:vAlign w:val="center"/>
          </w:tcPr>
          <w:p w14:paraId="3AC1113E">
            <w:pPr>
              <w:spacing w:line="360" w:lineRule="auto"/>
              <w:jc w:val="center"/>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3AA08F87">
            <w:pPr>
              <w:spacing w:line="360" w:lineRule="auto"/>
              <w:jc w:val="center"/>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913" w:type="dxa"/>
            <w:vAlign w:val="center"/>
          </w:tcPr>
          <w:p w14:paraId="11B85EE4">
            <w:pPr>
              <w:spacing w:line="360" w:lineRule="auto"/>
              <w:jc w:val="center"/>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c>
          <w:tcPr>
            <w:tcW w:w="1637" w:type="dxa"/>
            <w:vAlign w:val="center"/>
          </w:tcPr>
          <w:p w14:paraId="45EF8B78">
            <w:pPr>
              <w:spacing w:line="360" w:lineRule="auto"/>
              <w:jc w:val="center"/>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038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3BFC42F5">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960" w:type="dxa"/>
            <w:vAlign w:val="center"/>
          </w:tcPr>
          <w:p w14:paraId="210BF29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▲净化间及辅助配套设备</w:t>
            </w:r>
          </w:p>
        </w:tc>
        <w:tc>
          <w:tcPr>
            <w:tcW w:w="1977" w:type="dxa"/>
            <w:vAlign w:val="center"/>
          </w:tcPr>
          <w:p w14:paraId="0353F3F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净化间及辅助配套设备</w:t>
            </w:r>
          </w:p>
        </w:tc>
        <w:tc>
          <w:tcPr>
            <w:tcW w:w="1248" w:type="dxa"/>
            <w:vAlign w:val="center"/>
          </w:tcPr>
          <w:p w14:paraId="793C7CED">
            <w:pPr>
              <w:snapToGrid w:val="0"/>
              <w:spacing w:line="360" w:lineRule="auto"/>
              <w:jc w:val="center"/>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1套</w:t>
            </w:r>
          </w:p>
        </w:tc>
        <w:tc>
          <w:tcPr>
            <w:tcW w:w="913" w:type="dxa"/>
            <w:vAlign w:val="center"/>
          </w:tcPr>
          <w:p w14:paraId="6AEDFFBC">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551017EF">
            <w:pPr>
              <w:snapToGrid w:val="0"/>
              <w:spacing w:line="360" w:lineRule="auto"/>
              <w:jc w:val="center"/>
              <w:rPr>
                <w:rFonts w:ascii="宋体" w:hAnsi="宋体" w:eastAsia="宋体" w:cs="宋体"/>
                <w:bCs/>
                <w:color w:val="auto"/>
                <w:szCs w:val="21"/>
                <w:highlight w:val="none"/>
              </w:rPr>
            </w:pPr>
          </w:p>
        </w:tc>
      </w:tr>
      <w:tr w14:paraId="5B43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4754E281">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960" w:type="dxa"/>
            <w:vMerge w:val="restart"/>
            <w:vAlign w:val="center"/>
          </w:tcPr>
          <w:p w14:paraId="390444B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半导体材料生长系统</w:t>
            </w:r>
          </w:p>
        </w:tc>
        <w:tc>
          <w:tcPr>
            <w:tcW w:w="1977" w:type="dxa"/>
            <w:vAlign w:val="center"/>
          </w:tcPr>
          <w:p w14:paraId="22D48B1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化学气相沉积设备</w:t>
            </w:r>
          </w:p>
        </w:tc>
        <w:tc>
          <w:tcPr>
            <w:tcW w:w="1248" w:type="dxa"/>
            <w:vAlign w:val="center"/>
          </w:tcPr>
          <w:p w14:paraId="11D5E24C">
            <w:pPr>
              <w:snapToGrid w:val="0"/>
              <w:spacing w:line="360" w:lineRule="auto"/>
              <w:jc w:val="center"/>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1台</w:t>
            </w:r>
          </w:p>
        </w:tc>
        <w:tc>
          <w:tcPr>
            <w:tcW w:w="913" w:type="dxa"/>
            <w:vAlign w:val="center"/>
          </w:tcPr>
          <w:p w14:paraId="615037FE">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32715D70">
            <w:pPr>
              <w:snapToGrid w:val="0"/>
              <w:spacing w:line="360" w:lineRule="auto"/>
              <w:jc w:val="center"/>
              <w:rPr>
                <w:rFonts w:ascii="宋体" w:hAnsi="宋体" w:eastAsia="宋体" w:cs="宋体"/>
                <w:bCs/>
                <w:color w:val="auto"/>
                <w:szCs w:val="21"/>
                <w:highlight w:val="none"/>
              </w:rPr>
            </w:pPr>
          </w:p>
        </w:tc>
      </w:tr>
      <w:tr w14:paraId="17A4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50A97AA0">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960" w:type="dxa"/>
            <w:vMerge w:val="continue"/>
            <w:vAlign w:val="center"/>
          </w:tcPr>
          <w:p w14:paraId="36F9603B">
            <w:pPr>
              <w:snapToGrid w:val="0"/>
              <w:spacing w:line="360" w:lineRule="auto"/>
              <w:jc w:val="center"/>
              <w:rPr>
                <w:rFonts w:ascii="宋体" w:hAnsi="宋体" w:eastAsia="宋体" w:cs="宋体"/>
                <w:bCs/>
                <w:color w:val="auto"/>
                <w:szCs w:val="21"/>
                <w:highlight w:val="none"/>
              </w:rPr>
            </w:pPr>
          </w:p>
        </w:tc>
        <w:tc>
          <w:tcPr>
            <w:tcW w:w="1977" w:type="dxa"/>
            <w:vAlign w:val="center"/>
          </w:tcPr>
          <w:p w14:paraId="5A5616D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手套箱</w:t>
            </w:r>
          </w:p>
        </w:tc>
        <w:tc>
          <w:tcPr>
            <w:tcW w:w="1248" w:type="dxa"/>
            <w:vAlign w:val="center"/>
          </w:tcPr>
          <w:p w14:paraId="28386A40">
            <w:pPr>
              <w:snapToGrid w:val="0"/>
              <w:spacing w:line="360" w:lineRule="auto"/>
              <w:jc w:val="center"/>
              <w:rPr>
                <w:rFonts w:ascii="宋体" w:hAnsi="宋体" w:eastAsia="宋体" w:cs="宋体"/>
                <w:b/>
                <w:bCs w:val="0"/>
                <w:color w:val="auto"/>
                <w:szCs w:val="21"/>
                <w:highlight w:val="none"/>
              </w:rPr>
            </w:pPr>
            <w:r>
              <w:rPr>
                <w:rFonts w:ascii="宋体" w:hAnsi="宋体" w:eastAsia="宋体" w:cs="宋体"/>
                <w:b/>
                <w:bCs w:val="0"/>
                <w:color w:val="auto"/>
                <w:szCs w:val="21"/>
                <w:highlight w:val="none"/>
              </w:rPr>
              <w:t>2</w:t>
            </w:r>
            <w:r>
              <w:rPr>
                <w:rFonts w:hint="eastAsia" w:ascii="宋体" w:hAnsi="宋体" w:eastAsia="宋体" w:cs="宋体"/>
                <w:b/>
                <w:bCs w:val="0"/>
                <w:color w:val="auto"/>
                <w:szCs w:val="21"/>
                <w:highlight w:val="none"/>
              </w:rPr>
              <w:t>台</w:t>
            </w:r>
          </w:p>
        </w:tc>
        <w:tc>
          <w:tcPr>
            <w:tcW w:w="913" w:type="dxa"/>
            <w:vAlign w:val="center"/>
          </w:tcPr>
          <w:p w14:paraId="017449CF">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028D5FAD">
            <w:pPr>
              <w:snapToGrid w:val="0"/>
              <w:spacing w:line="360" w:lineRule="auto"/>
              <w:jc w:val="center"/>
              <w:rPr>
                <w:rFonts w:ascii="宋体" w:hAnsi="宋体" w:eastAsia="宋体" w:cs="宋体"/>
                <w:bCs/>
                <w:color w:val="auto"/>
                <w:szCs w:val="21"/>
                <w:highlight w:val="none"/>
              </w:rPr>
            </w:pPr>
          </w:p>
        </w:tc>
      </w:tr>
      <w:tr w14:paraId="01D2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31C951C5">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960" w:type="dxa"/>
            <w:vMerge w:val="continue"/>
            <w:vAlign w:val="center"/>
          </w:tcPr>
          <w:p w14:paraId="2BF899EB">
            <w:pPr>
              <w:spacing w:line="360" w:lineRule="auto"/>
              <w:rPr>
                <w:rFonts w:ascii="宋体" w:hAnsi="宋体" w:eastAsia="宋体" w:cs="宋体"/>
                <w:bCs/>
                <w:color w:val="auto"/>
                <w:szCs w:val="21"/>
                <w:highlight w:val="none"/>
              </w:rPr>
            </w:pPr>
          </w:p>
        </w:tc>
        <w:tc>
          <w:tcPr>
            <w:tcW w:w="1977" w:type="dxa"/>
            <w:vAlign w:val="center"/>
          </w:tcPr>
          <w:p w14:paraId="2F8B793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双温区管式炉</w:t>
            </w:r>
          </w:p>
        </w:tc>
        <w:tc>
          <w:tcPr>
            <w:tcW w:w="1248" w:type="dxa"/>
            <w:vAlign w:val="center"/>
          </w:tcPr>
          <w:p w14:paraId="5D58124E">
            <w:pPr>
              <w:snapToGrid w:val="0"/>
              <w:spacing w:line="360" w:lineRule="auto"/>
              <w:jc w:val="center"/>
              <w:rPr>
                <w:rFonts w:ascii="宋体" w:hAnsi="宋体" w:eastAsia="宋体" w:cs="宋体"/>
                <w:b/>
                <w:bCs w:val="0"/>
                <w:color w:val="auto"/>
                <w:szCs w:val="21"/>
                <w:highlight w:val="none"/>
              </w:rPr>
            </w:pPr>
            <w:r>
              <w:rPr>
                <w:rFonts w:ascii="宋体" w:hAnsi="宋体" w:eastAsia="宋体" w:cs="宋体"/>
                <w:b/>
                <w:bCs w:val="0"/>
                <w:color w:val="auto"/>
                <w:szCs w:val="21"/>
                <w:highlight w:val="none"/>
              </w:rPr>
              <w:t>1</w:t>
            </w:r>
            <w:r>
              <w:rPr>
                <w:rFonts w:hint="eastAsia" w:ascii="宋体" w:hAnsi="宋体" w:eastAsia="宋体" w:cs="宋体"/>
                <w:b/>
                <w:bCs w:val="0"/>
                <w:color w:val="auto"/>
                <w:szCs w:val="21"/>
                <w:highlight w:val="none"/>
              </w:rPr>
              <w:t>台</w:t>
            </w:r>
          </w:p>
        </w:tc>
        <w:tc>
          <w:tcPr>
            <w:tcW w:w="913" w:type="dxa"/>
            <w:vAlign w:val="center"/>
          </w:tcPr>
          <w:p w14:paraId="5CA84560">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76D4985A">
            <w:pPr>
              <w:snapToGrid w:val="0"/>
              <w:spacing w:line="360" w:lineRule="auto"/>
              <w:jc w:val="center"/>
              <w:rPr>
                <w:rFonts w:ascii="宋体" w:hAnsi="宋体" w:eastAsia="宋体" w:cs="宋体"/>
                <w:bCs/>
                <w:color w:val="auto"/>
                <w:szCs w:val="21"/>
                <w:highlight w:val="none"/>
              </w:rPr>
            </w:pPr>
          </w:p>
        </w:tc>
      </w:tr>
      <w:tr w14:paraId="1763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296618B3">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960" w:type="dxa"/>
            <w:vMerge w:val="continue"/>
            <w:vAlign w:val="center"/>
          </w:tcPr>
          <w:p w14:paraId="311B5668">
            <w:pPr>
              <w:spacing w:line="360" w:lineRule="auto"/>
              <w:rPr>
                <w:rFonts w:ascii="宋体" w:hAnsi="宋体" w:eastAsia="宋体" w:cs="宋体"/>
                <w:bCs/>
                <w:color w:val="auto"/>
                <w:szCs w:val="21"/>
                <w:highlight w:val="none"/>
              </w:rPr>
            </w:pPr>
          </w:p>
        </w:tc>
        <w:tc>
          <w:tcPr>
            <w:tcW w:w="1977" w:type="dxa"/>
            <w:vAlign w:val="center"/>
          </w:tcPr>
          <w:p w14:paraId="7C04193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高温烘箱</w:t>
            </w:r>
          </w:p>
        </w:tc>
        <w:tc>
          <w:tcPr>
            <w:tcW w:w="1248" w:type="dxa"/>
            <w:vAlign w:val="center"/>
          </w:tcPr>
          <w:p w14:paraId="211F6D7F">
            <w:pPr>
              <w:snapToGrid w:val="0"/>
              <w:spacing w:line="360" w:lineRule="auto"/>
              <w:jc w:val="center"/>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1台</w:t>
            </w:r>
          </w:p>
        </w:tc>
        <w:tc>
          <w:tcPr>
            <w:tcW w:w="913" w:type="dxa"/>
            <w:vAlign w:val="center"/>
          </w:tcPr>
          <w:p w14:paraId="7853D26D">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0FE37763">
            <w:pPr>
              <w:snapToGrid w:val="0"/>
              <w:spacing w:line="360" w:lineRule="auto"/>
              <w:jc w:val="center"/>
              <w:rPr>
                <w:rFonts w:ascii="宋体" w:hAnsi="宋体" w:eastAsia="宋体" w:cs="宋体"/>
                <w:bCs/>
                <w:color w:val="auto"/>
                <w:szCs w:val="21"/>
                <w:highlight w:val="none"/>
              </w:rPr>
            </w:pPr>
          </w:p>
        </w:tc>
      </w:tr>
      <w:tr w14:paraId="3146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686EA673">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1960" w:type="dxa"/>
            <w:vMerge w:val="continue"/>
            <w:vAlign w:val="center"/>
          </w:tcPr>
          <w:p w14:paraId="5CE28E0C">
            <w:pPr>
              <w:spacing w:line="360" w:lineRule="auto"/>
              <w:rPr>
                <w:rFonts w:ascii="宋体" w:hAnsi="宋体" w:eastAsia="宋体" w:cs="宋体"/>
                <w:bCs/>
                <w:color w:val="auto"/>
                <w:szCs w:val="21"/>
                <w:highlight w:val="none"/>
              </w:rPr>
            </w:pPr>
          </w:p>
        </w:tc>
        <w:tc>
          <w:tcPr>
            <w:tcW w:w="1977" w:type="dxa"/>
            <w:vAlign w:val="center"/>
          </w:tcPr>
          <w:p w14:paraId="30BBAE2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快速退火炉</w:t>
            </w:r>
          </w:p>
        </w:tc>
        <w:tc>
          <w:tcPr>
            <w:tcW w:w="1248" w:type="dxa"/>
            <w:vAlign w:val="center"/>
          </w:tcPr>
          <w:p w14:paraId="17D1321C">
            <w:pPr>
              <w:snapToGrid w:val="0"/>
              <w:spacing w:line="360" w:lineRule="auto"/>
              <w:jc w:val="center"/>
              <w:rPr>
                <w:rFonts w:ascii="宋体" w:hAnsi="宋体" w:eastAsia="宋体" w:cs="宋体"/>
                <w:b/>
                <w:bCs w:val="0"/>
                <w:color w:val="auto"/>
                <w:szCs w:val="21"/>
                <w:highlight w:val="none"/>
              </w:rPr>
            </w:pPr>
            <w:r>
              <w:rPr>
                <w:rFonts w:ascii="宋体" w:hAnsi="宋体" w:eastAsia="宋体" w:cs="宋体"/>
                <w:b/>
                <w:bCs w:val="0"/>
                <w:color w:val="auto"/>
                <w:szCs w:val="21"/>
                <w:highlight w:val="none"/>
              </w:rPr>
              <w:t>1</w:t>
            </w:r>
            <w:r>
              <w:rPr>
                <w:rFonts w:hint="eastAsia" w:ascii="宋体" w:hAnsi="宋体" w:eastAsia="宋体" w:cs="宋体"/>
                <w:b/>
                <w:bCs w:val="0"/>
                <w:color w:val="auto"/>
                <w:szCs w:val="21"/>
                <w:highlight w:val="none"/>
              </w:rPr>
              <w:t>台</w:t>
            </w:r>
          </w:p>
        </w:tc>
        <w:tc>
          <w:tcPr>
            <w:tcW w:w="913" w:type="dxa"/>
            <w:vAlign w:val="center"/>
          </w:tcPr>
          <w:p w14:paraId="43437CC2">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0C68D707">
            <w:pPr>
              <w:snapToGrid w:val="0"/>
              <w:spacing w:line="360" w:lineRule="auto"/>
              <w:jc w:val="center"/>
              <w:rPr>
                <w:rFonts w:ascii="宋体" w:hAnsi="宋体" w:eastAsia="宋体" w:cs="宋体"/>
                <w:bCs/>
                <w:color w:val="auto"/>
                <w:szCs w:val="21"/>
                <w:highlight w:val="none"/>
              </w:rPr>
            </w:pPr>
          </w:p>
        </w:tc>
      </w:tr>
      <w:tr w14:paraId="6E6A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05E8478C">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1960" w:type="dxa"/>
            <w:vMerge w:val="continue"/>
            <w:vAlign w:val="center"/>
          </w:tcPr>
          <w:p w14:paraId="18C3DC80">
            <w:pPr>
              <w:spacing w:line="360" w:lineRule="auto"/>
              <w:rPr>
                <w:rFonts w:ascii="宋体" w:hAnsi="宋体" w:eastAsia="宋体" w:cs="宋体"/>
                <w:bCs/>
                <w:color w:val="auto"/>
                <w:szCs w:val="21"/>
                <w:highlight w:val="none"/>
              </w:rPr>
            </w:pPr>
          </w:p>
        </w:tc>
        <w:tc>
          <w:tcPr>
            <w:tcW w:w="1977" w:type="dxa"/>
            <w:vAlign w:val="center"/>
          </w:tcPr>
          <w:p w14:paraId="767BDB9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双温区开启式管式炉</w:t>
            </w:r>
          </w:p>
        </w:tc>
        <w:tc>
          <w:tcPr>
            <w:tcW w:w="1248" w:type="dxa"/>
            <w:vAlign w:val="center"/>
          </w:tcPr>
          <w:p w14:paraId="5F425CD3">
            <w:pPr>
              <w:snapToGrid w:val="0"/>
              <w:spacing w:line="360" w:lineRule="auto"/>
              <w:jc w:val="center"/>
              <w:rPr>
                <w:rFonts w:ascii="宋体" w:hAnsi="宋体" w:eastAsia="宋体" w:cs="宋体"/>
                <w:b/>
                <w:bCs w:val="0"/>
                <w:color w:val="auto"/>
                <w:szCs w:val="21"/>
                <w:highlight w:val="none"/>
              </w:rPr>
            </w:pPr>
            <w:r>
              <w:rPr>
                <w:rFonts w:ascii="宋体" w:hAnsi="宋体" w:eastAsia="宋体" w:cs="宋体"/>
                <w:b/>
                <w:bCs w:val="0"/>
                <w:color w:val="auto"/>
                <w:szCs w:val="21"/>
                <w:highlight w:val="none"/>
              </w:rPr>
              <w:t>3</w:t>
            </w:r>
            <w:r>
              <w:rPr>
                <w:rFonts w:hint="eastAsia" w:ascii="宋体" w:hAnsi="宋体" w:eastAsia="宋体" w:cs="宋体"/>
                <w:b/>
                <w:bCs w:val="0"/>
                <w:color w:val="auto"/>
                <w:szCs w:val="21"/>
                <w:highlight w:val="none"/>
              </w:rPr>
              <w:t>台</w:t>
            </w:r>
          </w:p>
        </w:tc>
        <w:tc>
          <w:tcPr>
            <w:tcW w:w="913" w:type="dxa"/>
            <w:vAlign w:val="center"/>
          </w:tcPr>
          <w:p w14:paraId="58DEDB60">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2F786405">
            <w:pPr>
              <w:snapToGrid w:val="0"/>
              <w:spacing w:line="360" w:lineRule="auto"/>
              <w:jc w:val="center"/>
              <w:rPr>
                <w:rFonts w:ascii="宋体" w:hAnsi="宋体" w:eastAsia="宋体" w:cs="宋体"/>
                <w:b/>
                <w:color w:val="auto"/>
                <w:szCs w:val="21"/>
                <w:highlight w:val="none"/>
              </w:rPr>
            </w:pPr>
          </w:p>
        </w:tc>
      </w:tr>
      <w:tr w14:paraId="0B0A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5733E8C4">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1960" w:type="dxa"/>
            <w:vMerge w:val="continue"/>
            <w:vAlign w:val="center"/>
          </w:tcPr>
          <w:p w14:paraId="21A5F6E4">
            <w:pPr>
              <w:spacing w:line="360" w:lineRule="auto"/>
              <w:rPr>
                <w:rFonts w:ascii="宋体" w:hAnsi="宋体" w:eastAsia="宋体" w:cs="宋体"/>
                <w:bCs/>
                <w:color w:val="auto"/>
                <w:szCs w:val="21"/>
                <w:highlight w:val="none"/>
              </w:rPr>
            </w:pPr>
          </w:p>
        </w:tc>
        <w:tc>
          <w:tcPr>
            <w:tcW w:w="1977" w:type="dxa"/>
            <w:vAlign w:val="center"/>
          </w:tcPr>
          <w:p w14:paraId="5AB60795">
            <w:pPr>
              <w:snapToGrid w:val="0"/>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半导体参数分析仪</w:t>
            </w:r>
          </w:p>
        </w:tc>
        <w:tc>
          <w:tcPr>
            <w:tcW w:w="1248" w:type="dxa"/>
            <w:vAlign w:val="center"/>
          </w:tcPr>
          <w:p w14:paraId="0558FA4D">
            <w:pPr>
              <w:snapToGrid w:val="0"/>
              <w:spacing w:line="360" w:lineRule="auto"/>
              <w:jc w:val="center"/>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1台</w:t>
            </w:r>
          </w:p>
        </w:tc>
        <w:tc>
          <w:tcPr>
            <w:tcW w:w="913" w:type="dxa"/>
            <w:vAlign w:val="center"/>
          </w:tcPr>
          <w:p w14:paraId="7F22F705">
            <w:pPr>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1637" w:type="dxa"/>
            <w:vAlign w:val="center"/>
          </w:tcPr>
          <w:p w14:paraId="6A5608A7">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进口产品</w:t>
            </w:r>
          </w:p>
        </w:tc>
      </w:tr>
    </w:tbl>
    <w:p w14:paraId="23BA0F89">
      <w:pPr>
        <w:widowControl/>
        <w:snapToGrid w:val="0"/>
        <w:spacing w:line="360" w:lineRule="auto"/>
        <w:ind w:firstLine="482" w:firstLineChars="200"/>
        <w:rPr>
          <w:rFonts w:ascii="宋体" w:hAnsi="宋体" w:eastAsia="宋体" w:cs="宋体"/>
          <w:b/>
          <w:bCs/>
          <w:color w:val="auto"/>
          <w:sz w:val="24"/>
          <w:szCs w:val="24"/>
          <w:highlight w:val="none"/>
        </w:rPr>
      </w:pPr>
    </w:p>
    <w:p w14:paraId="48528C1D">
      <w:pPr>
        <w:widowControl/>
        <w:snapToGrid w:val="0"/>
        <w:spacing w:line="360" w:lineRule="auto"/>
        <w:ind w:firstLine="482" w:firstLineChars="200"/>
        <w:outlineLvl w:val="2"/>
        <w:rPr>
          <w:rFonts w:ascii="宋体" w:hAnsi="宋体" w:eastAsia="宋体"/>
          <w:b/>
          <w:bCs/>
          <w:color w:val="auto"/>
          <w:sz w:val="24"/>
          <w:szCs w:val="18"/>
          <w:highlight w:val="none"/>
        </w:rPr>
      </w:pPr>
      <w:r>
        <w:rPr>
          <w:rFonts w:hint="eastAsia" w:ascii="宋体" w:hAnsi="宋体" w:eastAsia="宋体" w:cs="宋体"/>
          <w:b/>
          <w:bCs/>
          <w:color w:val="auto"/>
          <w:sz w:val="24"/>
          <w:szCs w:val="24"/>
          <w:highlight w:val="none"/>
        </w:rPr>
        <w:t>（三）货物需求清单</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57"/>
        <w:gridCol w:w="5231"/>
        <w:gridCol w:w="731"/>
        <w:gridCol w:w="1014"/>
      </w:tblGrid>
      <w:tr w14:paraId="7487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vAlign w:val="center"/>
          </w:tcPr>
          <w:p w14:paraId="29B8EF83">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44" w:type="pct"/>
            <w:vAlign w:val="center"/>
          </w:tcPr>
          <w:p w14:paraId="7CF1789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3069" w:type="pct"/>
            <w:vAlign w:val="center"/>
          </w:tcPr>
          <w:p w14:paraId="465DC428">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429" w:type="pct"/>
            <w:vAlign w:val="center"/>
          </w:tcPr>
          <w:p w14:paraId="1FB95EB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595" w:type="pct"/>
            <w:vAlign w:val="center"/>
          </w:tcPr>
          <w:p w14:paraId="16FEE032">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w:t>
            </w:r>
          </w:p>
          <w:p w14:paraId="1A11E7A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行业</w:t>
            </w:r>
          </w:p>
        </w:tc>
      </w:tr>
      <w:tr w14:paraId="3DDE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60" w:type="pct"/>
            <w:vAlign w:val="center"/>
          </w:tcPr>
          <w:p w14:paraId="6CA44A9B">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444" w:type="pct"/>
            <w:vAlign w:val="center"/>
          </w:tcPr>
          <w:p w14:paraId="7829E2AC">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1"/>
                <w:szCs w:val="21"/>
                <w:highlight w:val="none"/>
                <w:lang w:eastAsia="zh-CN"/>
              </w:rPr>
              <w:t>净化间及辅助配套设备</w:t>
            </w:r>
          </w:p>
        </w:tc>
        <w:tc>
          <w:tcPr>
            <w:tcW w:w="3069" w:type="pct"/>
          </w:tcPr>
          <w:p w14:paraId="71B13ED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（一）百级净化室：面积≥30㎡。设有缓冲间，风淋室，传递窗。</w:t>
            </w:r>
          </w:p>
          <w:p w14:paraId="450BD74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1.温度：20℃～26℃；</w:t>
            </w:r>
          </w:p>
          <w:p w14:paraId="62632C2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2.相对湿度：≤70%；</w:t>
            </w:r>
          </w:p>
          <w:p w14:paraId="78505C3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3.换气次数：≥200次／h；气流速度：≤O.18 m／s；</w:t>
            </w:r>
          </w:p>
          <w:p w14:paraId="330F3F0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★4.空气洁净度：百级；</w:t>
            </w:r>
            <w:r>
              <w:rPr>
                <w:rFonts w:hint="eastAsia" w:ascii="宋体" w:hAnsi="宋体" w:eastAsia="宋体" w:cs="宋体"/>
                <w:b/>
                <w:bCs/>
                <w:color w:val="auto"/>
                <w:sz w:val="21"/>
                <w:szCs w:val="21"/>
                <w:highlight w:val="none"/>
                <w:lang w:eastAsia="zh-CN"/>
              </w:rPr>
              <w:t>（投标文件中须提供证明材料，如产品技术系统功能演示截图、产品彩页（产品功能截图）、厂家（制造商）官网截图，提供其中任意一种即可。）</w:t>
            </w:r>
          </w:p>
          <w:p w14:paraId="2DCF098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5.噪声：≤75dB；</w:t>
            </w:r>
          </w:p>
          <w:p w14:paraId="6B116A6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6.工作照度：150～400 lx。</w:t>
            </w:r>
          </w:p>
          <w:p w14:paraId="31D50E4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（二）万级净化室：面积≥170㎡。设有缓冲间，风淋室，传递窗。</w:t>
            </w:r>
          </w:p>
          <w:p w14:paraId="5DA2971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1.温度：20℃～26℃；</w:t>
            </w:r>
          </w:p>
          <w:p w14:paraId="133A3AC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2.相对湿度：≤70%；</w:t>
            </w:r>
          </w:p>
          <w:p w14:paraId="29AB6C0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3.换气次数：≥17次／h；气流速度：≤O.18 m／s；</w:t>
            </w:r>
          </w:p>
          <w:p w14:paraId="5B52C67C">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★4.空气洁净度：万级；</w:t>
            </w:r>
          </w:p>
          <w:p w14:paraId="77773BCC">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5.噪声：≤75dB；</w:t>
            </w:r>
          </w:p>
          <w:p w14:paraId="32278CF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6.工作照度：150～400 lx。</w:t>
            </w:r>
          </w:p>
          <w:p w14:paraId="4773D95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（三）各区域整体隔断材质要求</w:t>
            </w:r>
          </w:p>
          <w:p w14:paraId="1B7E6FA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 顶板采用厚度≥50mm机制中空玻镁板，各功能区内的所有阴、阳角均采用铝合金阴、阳圆角条密封；</w:t>
            </w:r>
          </w:p>
          <w:p w14:paraId="14157F8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 墙板采用机制岩棉夹芯彩钢板，彩钢板整体厚度≥50mm，钢卷厚度≥0.4mm；彩钢板加强筋厚度≥0.5mm；双面贴透明膜保护，加强筋为镀锌钢板；</w:t>
            </w:r>
          </w:p>
          <w:p w14:paraId="684BC88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3.彩钢板隔断使用的地槽采用厚度≥0.8mm的铝合金型材；框料为厚度≥1mm的专用型材，根据需要开设面积≥1㎡的观察窗，窗框采用厚度≥1mm的专用铝合金型材，玻璃为≥5mm的钢化无色玻璃；</w:t>
            </w:r>
          </w:p>
          <w:p w14:paraId="73DE06F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eastAsia="zh-CN"/>
              </w:rPr>
              <w:t>4.彩钢板吊顶使用的吊筋等承重型材、线材要与彩钢板配套，材质结实，布置密度符合《洁净室施工及验收规范》GB50591-2010相关规范要求；</w:t>
            </w:r>
          </w:p>
          <w:p w14:paraId="0CCC638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eastAsia="zh-CN"/>
              </w:rPr>
              <w:t>5.施工使用的各类粘胶符合《洁净室施工及验收规范》GB50591-2010的质量和环保要求；</w:t>
            </w:r>
          </w:p>
          <w:p w14:paraId="59B9057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6.风淋室采用双门互锁系统，不锈钢材质，电子控制；</w:t>
            </w:r>
          </w:p>
          <w:p w14:paraId="4561FD4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7.照明系统全部采用LED平板灯；</w:t>
            </w:r>
          </w:p>
          <w:p w14:paraId="29BBEF9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8.洁净设备门：材质为厚度</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eastAsia="zh-CN"/>
              </w:rPr>
              <w:t>50mm岩棉彩钢夹芯板，彩钢卷厚度≥0.426mm，镀塑铝合金槽、圆弧、中性硅酮密封胶。</w:t>
            </w:r>
          </w:p>
          <w:p w14:paraId="638CC70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（四）净化通风系统</w:t>
            </w:r>
          </w:p>
          <w:p w14:paraId="0628D1B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1.净化系统为分立式</w:t>
            </w:r>
          </w:p>
          <w:p w14:paraId="2BD222B7">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1.1.空气处理机组由混合段、初效段、均流段、中效过滤段、出风段等组成。新风机组由进风段、表冷段、出风段等组成并配置粗效、中效和高效三级过滤；</w:t>
            </w:r>
          </w:p>
          <w:p w14:paraId="3EC5671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1.2.在1000Pa下，漏风率：≤1％；</w:t>
            </w:r>
          </w:p>
          <w:p w14:paraId="5FBEF9D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1.3.风机绝缘等级：F级以上，防护等级：IP55以上，风柜底部都装有避振器；</w:t>
            </w:r>
          </w:p>
          <w:p w14:paraId="5892A43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2、洁净风管</w:t>
            </w:r>
          </w:p>
          <w:p w14:paraId="3E3BE9E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2.1. 所有风管材料的外包橡塑保温棉厚度≥20mm；</w:t>
            </w:r>
          </w:p>
          <w:p w14:paraId="1670F89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2.2.附加阀门按需配置；</w:t>
            </w:r>
          </w:p>
          <w:p w14:paraId="47CECBF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2.3.工艺要求：所有洁净风管在工地现场制作；</w:t>
            </w:r>
          </w:p>
          <w:p w14:paraId="3AA07AD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3、风口</w:t>
            </w:r>
          </w:p>
          <w:p w14:paraId="1B568EF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3.1.材料为冷轧钢板喷塑，结构方便拆除清洗；</w:t>
            </w:r>
          </w:p>
          <w:p w14:paraId="0CEF406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3.2.回风口采用竖向隔栅风口，加抗菌过滤层，回风量可调节，尺寸按回风速度确定；</w:t>
            </w:r>
          </w:p>
          <w:p w14:paraId="217B9C2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（五）其他要求</w:t>
            </w:r>
          </w:p>
          <w:p w14:paraId="176CB6A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 材料选用：</w:t>
            </w:r>
          </w:p>
          <w:p w14:paraId="6D2A3BD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1.1.所有实验室都采用圆角密封设计，墙面结构采用具有高承重性能的防火彩钢板结构；</w:t>
            </w:r>
          </w:p>
          <w:p w14:paraId="0B7B89B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1.2. 实验室内地面材料要求采用防静电同质透芯PVC片材铺设，且厚度≥2mm；</w:t>
            </w:r>
          </w:p>
          <w:p w14:paraId="09A98CE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1.3.照明系统全部采用LED净化平板灯；</w:t>
            </w:r>
          </w:p>
          <w:p w14:paraId="6E7A5365">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2、工艺安排：</w:t>
            </w:r>
          </w:p>
          <w:p w14:paraId="5D24C84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2.1.加强墙板内壳的稳定性。所有连接角实现圆弧过渡；</w:t>
            </w:r>
          </w:p>
          <w:p w14:paraId="3550223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2.2.所有金属围护要求等电位接地。</w:t>
            </w:r>
          </w:p>
          <w:p w14:paraId="01FF0947">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（六）净化系统设计</w:t>
            </w:r>
          </w:p>
          <w:p w14:paraId="1693E92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1、净化系统可实现洁净实验室整体控制和各区域功能独立控制；控制系统应具备节能运行模式。</w:t>
            </w:r>
          </w:p>
          <w:p w14:paraId="64CEB5B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2、气流组织</w:t>
            </w:r>
          </w:p>
          <w:p w14:paraId="3E691B9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2.1.洁净实验室采用洁净专用送风口送风，配有静压箱,送风口应集中布置于实验室上方，使实验室台及周边区位于洁净气流形成的主流区内；下回风口内设置过滤器；</w:t>
            </w:r>
          </w:p>
          <w:p w14:paraId="123772B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2.2.在主送风管路以及排风管路中设电动风阀，有排风的房间的排风设施与送风设施使用联动自动控制系统；</w:t>
            </w:r>
          </w:p>
          <w:p w14:paraId="27B9C86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2.3.所有新风支管都安装风量调节阀，实现实验室的压力梯度及风量的精确分配与平衡；</w:t>
            </w:r>
          </w:p>
          <w:p w14:paraId="610EDFC7">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2.4.排风采用定风量阀，排风管设单向止回阀，防止室外空气倒灌。</w:t>
            </w:r>
          </w:p>
          <w:p w14:paraId="77DF3FD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（七）实验室集中供气供电系统及废气收集系统</w:t>
            </w:r>
          </w:p>
          <w:p w14:paraId="57A2F667">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1、洁净实验室包含气体供气、电路铺设及排气管路。</w:t>
            </w:r>
          </w:p>
          <w:p w14:paraId="12BB239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★（八）净水配套模块</w:t>
            </w:r>
          </w:p>
          <w:p w14:paraId="368D148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以城市自来水为进水，可同时提供超纯水（符合GB/T 6682一级水标准，电阻率≥18.2 MΩ·cm）和去离子水（符合三级水标准，电导率≤5.0 μS/cm）。</w:t>
            </w:r>
          </w:p>
          <w:p w14:paraId="65E5293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出水方式：双出水；</w:t>
            </w:r>
          </w:p>
          <w:p w14:paraId="2EB94AF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产水量：</w:t>
            </w:r>
            <m:oMath>
              <m:r>
                <m:rPr>
                  <m:sty m:val="p"/>
                </m:rPr>
                <w:rPr>
                  <w:rFonts w:hint="eastAsia" w:ascii="Cambria Math" w:hAnsi="Cambria Math" w:eastAsia="宋体" w:cs="宋体"/>
                  <w:color w:val="auto"/>
                  <w:sz w:val="21"/>
                  <w:szCs w:val="21"/>
                  <w:highlight w:val="none"/>
                  <w:lang w:eastAsia="zh-CN"/>
                </w:rPr>
                <m:t>≥</m:t>
              </m:r>
            </m:oMath>
            <w:r>
              <w:rPr>
                <w:rFonts w:hint="eastAsia" w:ascii="宋体" w:hAnsi="宋体" w:eastAsia="宋体" w:cs="宋体"/>
                <w:color w:val="auto"/>
                <w:sz w:val="21"/>
                <w:szCs w:val="21"/>
                <w:highlight w:val="none"/>
                <w:lang w:eastAsia="zh-CN"/>
              </w:rPr>
              <w:t>50L/h；</w:t>
            </w:r>
          </w:p>
          <w:p w14:paraId="497DF3D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配置：水氧焊机、电子分析天平。</w:t>
            </w:r>
          </w:p>
        </w:tc>
        <w:tc>
          <w:tcPr>
            <w:tcW w:w="429" w:type="pct"/>
            <w:vAlign w:val="center"/>
          </w:tcPr>
          <w:p w14:paraId="4A18A433">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1套</w:t>
            </w:r>
          </w:p>
        </w:tc>
        <w:tc>
          <w:tcPr>
            <w:tcW w:w="595" w:type="pct"/>
            <w:vAlign w:val="center"/>
          </w:tcPr>
          <w:p w14:paraId="27EA0944">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w:t>
            </w:r>
          </w:p>
        </w:tc>
      </w:tr>
      <w:tr w14:paraId="28E1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60" w:type="pct"/>
            <w:vAlign w:val="center"/>
          </w:tcPr>
          <w:p w14:paraId="6BA3E86D">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444" w:type="pct"/>
            <w:vAlign w:val="center"/>
          </w:tcPr>
          <w:p w14:paraId="67DD651D">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半导体材料生长系统</w:t>
            </w:r>
          </w:p>
        </w:tc>
        <w:tc>
          <w:tcPr>
            <w:tcW w:w="3069" w:type="pct"/>
            <w:vAlign w:val="center"/>
          </w:tcPr>
          <w:p w14:paraId="3BA94FC2">
            <w:pPr>
              <w:pStyle w:val="13"/>
              <w:spacing w:before="6" w:line="360" w:lineRule="auto"/>
              <w:ind w:right="35" w:firstLine="9"/>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一、化学气相沉积设备</w:t>
            </w:r>
          </w:p>
          <w:p w14:paraId="20FA277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管式炉主体</w:t>
            </w:r>
          </w:p>
          <w:p w14:paraId="0246CF95">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1.1炉膛结构：双层壳体结构，带有风冷系统；</w:t>
            </w:r>
          </w:p>
          <w:p w14:paraId="24A782D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1.2炉膛材质：采用高纯多晶氧化铝纤维，内炉膛表面涂有高温氧化铝涂层。</w:t>
            </w:r>
          </w:p>
          <w:p w14:paraId="668A15B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基本参数</w:t>
            </w:r>
          </w:p>
          <w:p w14:paraId="437788F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2.1电源：AC 220V 50/60Hz；</w:t>
            </w:r>
          </w:p>
          <w:p w14:paraId="268A0F0A">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█2.2工作温度：≥1100℃；</w:t>
            </w:r>
          </w:p>
          <w:p w14:paraId="2B758C2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█2.3加热元件：掺钼铁铬铝合金；</w:t>
            </w:r>
          </w:p>
          <w:p w14:paraId="3712B88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2.4升温速率：≤10℃/min；</w:t>
            </w:r>
          </w:p>
          <w:p w14:paraId="3E61138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2.5热电偶：K型；</w:t>
            </w:r>
          </w:p>
          <w:p w14:paraId="57F8F325">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2.6加热区长度：总长900mm，三段式（300mm+300mm+300mm），三温区独立控温。</w:t>
            </w:r>
          </w:p>
          <w:p w14:paraId="2798322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3.供气系统</w:t>
            </w:r>
          </w:p>
          <w:p w14:paraId="659DBEA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3.1工作电压：AC  220V/50Hz；</w:t>
            </w:r>
          </w:p>
          <w:p w14:paraId="64DABD87">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3.2气路数量：≥4路气路；</w:t>
            </w:r>
          </w:p>
          <w:p w14:paraId="19F19BCC">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最大压力：≥3×10</w:t>
            </w:r>
            <w:r>
              <w:rPr>
                <w:rFonts w:hint="eastAsia" w:ascii="宋体" w:hAnsi="宋体" w:eastAsia="宋体" w:cs="宋体"/>
                <w:color w:val="auto"/>
                <w:sz w:val="21"/>
                <w:szCs w:val="21"/>
                <w:highlight w:val="none"/>
                <w:vertAlign w:val="superscript"/>
                <w:lang w:eastAsia="zh-CN"/>
              </w:rPr>
              <w:t>6</w:t>
            </w:r>
            <w:r>
              <w:rPr>
                <w:rFonts w:hint="eastAsia" w:ascii="宋体" w:hAnsi="宋体" w:eastAsia="宋体" w:cs="宋体"/>
                <w:color w:val="auto"/>
                <w:sz w:val="21"/>
                <w:szCs w:val="21"/>
                <w:highlight w:val="none"/>
                <w:lang w:eastAsia="zh-CN"/>
              </w:rPr>
              <w:t xml:space="preserve"> Pa；</w:t>
            </w:r>
          </w:p>
          <w:p w14:paraId="0CFCF14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精度：±1.5%FS；</w:t>
            </w:r>
          </w:p>
          <w:p w14:paraId="762C025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重复精度：±0.2%FS。</w:t>
            </w:r>
          </w:p>
          <w:p w14:paraId="729A6DF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真空系统</w:t>
            </w:r>
          </w:p>
          <w:p w14:paraId="5342623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 配置分子泵，真空度≤5×10</w:t>
            </w:r>
            <w:r>
              <w:rPr>
                <w:rFonts w:hint="eastAsia" w:ascii="宋体" w:hAnsi="宋体" w:eastAsia="宋体" w:cs="宋体"/>
                <w:color w:val="auto"/>
                <w:sz w:val="21"/>
                <w:szCs w:val="21"/>
                <w:highlight w:val="none"/>
                <w:vertAlign w:val="superscript"/>
                <w:lang w:eastAsia="zh-CN"/>
              </w:rPr>
              <w:t>-2</w:t>
            </w:r>
            <w:r>
              <w:rPr>
                <w:rFonts w:hint="eastAsia" w:ascii="宋体" w:hAnsi="宋体" w:eastAsia="宋体" w:cs="宋体"/>
                <w:color w:val="auto"/>
                <w:sz w:val="21"/>
                <w:szCs w:val="21"/>
                <w:highlight w:val="none"/>
                <w:lang w:eastAsia="zh-CN"/>
              </w:rPr>
              <w:t xml:space="preserve"> Pa。</w:t>
            </w:r>
          </w:p>
          <w:p w14:paraId="4E369D15">
            <w:pPr>
              <w:pStyle w:val="13"/>
              <w:spacing w:before="6" w:line="360" w:lineRule="auto"/>
              <w:ind w:right="35" w:firstLine="9"/>
              <w:jc w:val="left"/>
              <w:rPr>
                <w:rFonts w:hint="eastAsia" w:ascii="宋体" w:hAnsi="宋体" w:eastAsia="宋体" w:cs="宋体"/>
                <w:color w:val="auto"/>
                <w:sz w:val="21"/>
                <w:szCs w:val="21"/>
                <w:highlight w:val="none"/>
                <w:lang w:eastAsia="zh-CN"/>
              </w:rPr>
            </w:pPr>
          </w:p>
          <w:p w14:paraId="29698410">
            <w:pPr>
              <w:pStyle w:val="13"/>
              <w:spacing w:before="6" w:line="360" w:lineRule="auto"/>
              <w:ind w:right="35" w:firstLine="9"/>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二、手套箱</w:t>
            </w:r>
          </w:p>
          <w:p w14:paraId="6049EF4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1．手套箱箱体</w:t>
            </w:r>
          </w:p>
          <w:p w14:paraId="602404A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1.1.工作尺寸：≥1200×750×900mm；</w:t>
            </w:r>
          </w:p>
          <w:p w14:paraId="63B94AA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 材质：304不锈钢材质， 厚度≥3mm；</w:t>
            </w:r>
          </w:p>
          <w:p w14:paraId="38106D2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1.3.手套：口径≥8英寸，厚度≥0.4 mm，丁基橡胶材质；</w:t>
            </w:r>
          </w:p>
          <w:p w14:paraId="4BCAEE9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1.4．窗口：倾斜设计的操作面，可拆卸，前窗安全钢化玻璃≥8 mm，并贴有防腐膜；</w:t>
            </w:r>
          </w:p>
          <w:p w14:paraId="2899911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．压力范围：-10mbar～10mbar；</w:t>
            </w:r>
          </w:p>
          <w:p w14:paraId="287141D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．一套照明系统（安装在前面板），防疲劳照明系统,并加装防漫射功能,通过PLC控制；</w:t>
            </w:r>
          </w:p>
          <w:p w14:paraId="4D3E79FC">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．箱体内配装一套220V电源接口；</w:t>
            </w:r>
          </w:p>
          <w:p w14:paraId="1E1CC86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 箱体设置至少1个标准KF-40接口；</w:t>
            </w:r>
          </w:p>
          <w:p w14:paraId="363B64FC">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.箱体带有2个过滤灰尘的过滤器，采用符合HEPA标准的0.3μm孔径滤网的过滤器；</w:t>
            </w:r>
          </w:p>
          <w:p w14:paraId="46C56AD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 箱体内设有2层可移动搁物架；</w:t>
            </w:r>
          </w:p>
          <w:p w14:paraId="2687E8B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 箱体底部配有支架，旋转脚轮，高≥900mm，脚轮具有调平、移动、固定等功能；</w:t>
            </w:r>
          </w:p>
          <w:p w14:paraId="0C91F78E">
            <w:pPr>
              <w:pStyle w:val="13"/>
              <w:spacing w:before="6" w:line="360" w:lineRule="auto"/>
              <w:ind w:right="35" w:firstLine="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.箱体泄漏率：≤0.001vol%/h。</w:t>
            </w:r>
          </w:p>
          <w:p w14:paraId="6266F27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2、过渡舱</w:t>
            </w:r>
          </w:p>
          <w:p w14:paraId="583A8B0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2.1.箱体右侧配有1个大过渡舱，圆柱形，304不锈钢材质，长度≥600mm，直径≥360mm；</w:t>
            </w:r>
          </w:p>
          <w:p w14:paraId="4DEF95B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2.2.箱体右侧配1个小过渡舱，长度≥330mm，直径≥150mm；</w:t>
            </w:r>
          </w:p>
          <w:p w14:paraId="0E171CD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．真空度：≤0.1MPa（过渡舱均要求抽真空，带显示）。</w:t>
            </w:r>
          </w:p>
          <w:p w14:paraId="2385BD3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3、控制系统</w:t>
            </w:r>
          </w:p>
          <w:p w14:paraId="0FB2F5A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3.1．方式：包括自诊断、断电自启动特性，具备压力控制和自适应功能。自动控制、循环控制、密码保护、真空室控制采用LCD显示。控制单元采用PLC触摸屏，操作菜单可选：中文/英文；</w:t>
            </w:r>
          </w:p>
          <w:p w14:paraId="6E41170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3.2．压力控制：控制箱体、过渡舱的压力在某一设定值；</w:t>
            </w:r>
          </w:p>
          <w:p w14:paraId="106BC9F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3.3．脚踏板：可控制手套箱的压力。</w:t>
            </w:r>
          </w:p>
          <w:p w14:paraId="0D7E7DF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4、循环净化系统</w:t>
            </w:r>
          </w:p>
          <w:p w14:paraId="0D827ECA">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★4.1．可得气体纯度：稳态循环下，水≤0.1ppm，氧≤0.1ppm；</w:t>
            </w:r>
          </w:p>
          <w:p w14:paraId="0835F96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 调节装置：通过PLC触摸式调节（加热、抽空、净化、再生）全过程无需人为监控；</w:t>
            </w:r>
          </w:p>
          <w:p w14:paraId="6ECF455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4.3．工作气体：N</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或Ar（气体循环）；</w:t>
            </w:r>
          </w:p>
          <w:p w14:paraId="102E974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．循环风机：高速变频风机，流量0～100m</w:t>
            </w:r>
            <w:r>
              <w:rPr>
                <w:rFonts w:hint="eastAsia" w:ascii="宋体" w:hAnsi="宋体" w:eastAsia="宋体" w:cs="宋体"/>
                <w:color w:val="auto"/>
                <w:sz w:val="21"/>
                <w:szCs w:val="21"/>
                <w:highlight w:val="none"/>
                <w:vertAlign w:val="superscript"/>
                <w:lang w:eastAsia="zh-CN"/>
              </w:rPr>
              <w:t>3</w:t>
            </w:r>
            <w:r>
              <w:rPr>
                <w:rFonts w:hint="eastAsia" w:ascii="宋体" w:hAnsi="宋体" w:eastAsia="宋体" w:cs="宋体"/>
                <w:color w:val="auto"/>
                <w:sz w:val="21"/>
                <w:szCs w:val="21"/>
                <w:highlight w:val="none"/>
                <w:lang w:eastAsia="zh-CN"/>
              </w:rPr>
              <w:t>/h；</w:t>
            </w:r>
          </w:p>
          <w:p w14:paraId="279E241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．净化柱：双净化柱；</w:t>
            </w:r>
          </w:p>
          <w:p w14:paraId="73762E4C">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．净化阀：全自动电气动阀，模块化设计。</w:t>
            </w:r>
          </w:p>
          <w:p w14:paraId="62E6A24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5、真空系统</w:t>
            </w:r>
          </w:p>
          <w:p w14:paraId="34B8E85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5.1真空泵：抽速≥12m</w:t>
            </w:r>
            <w:r>
              <w:rPr>
                <w:rFonts w:hint="eastAsia" w:ascii="宋体" w:hAnsi="宋体" w:eastAsia="宋体" w:cs="宋体"/>
                <w:color w:val="auto"/>
                <w:sz w:val="21"/>
                <w:szCs w:val="21"/>
                <w:highlight w:val="none"/>
                <w:vertAlign w:val="superscript"/>
                <w:lang w:eastAsia="zh-CN"/>
              </w:rPr>
              <w:t>3</w:t>
            </w:r>
            <w:r>
              <w:rPr>
                <w:rFonts w:hint="eastAsia" w:ascii="宋体" w:hAnsi="宋体" w:eastAsia="宋体" w:cs="宋体"/>
                <w:color w:val="auto"/>
                <w:sz w:val="21"/>
                <w:szCs w:val="21"/>
                <w:highlight w:val="none"/>
                <w:lang w:eastAsia="zh-CN"/>
              </w:rPr>
              <w:t>/h，配备油雾过滤器和气镇阀。</w:t>
            </w:r>
          </w:p>
          <w:p w14:paraId="4A99A5A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█6、水、氧分析仪</w:t>
            </w:r>
          </w:p>
          <w:p w14:paraId="2676563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 水分析仪：检测范围：0～500ppm，误差：±1 ppm，PLC控制显示；</w:t>
            </w:r>
          </w:p>
          <w:p w14:paraId="141B857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6.2. 氧分析仪：检测范围：0～1000ppm，误差：±1 ppm；PLC控制显示。</w:t>
            </w:r>
          </w:p>
          <w:p w14:paraId="0E528C99">
            <w:pPr>
              <w:pStyle w:val="13"/>
              <w:spacing w:before="6" w:line="360" w:lineRule="auto"/>
              <w:ind w:right="35" w:firstLine="9"/>
              <w:jc w:val="left"/>
              <w:rPr>
                <w:rFonts w:hint="eastAsia" w:ascii="宋体" w:hAnsi="宋体" w:eastAsia="宋体" w:cs="宋体"/>
                <w:color w:val="auto"/>
                <w:sz w:val="21"/>
                <w:szCs w:val="21"/>
                <w:highlight w:val="none"/>
                <w:lang w:eastAsia="zh-CN"/>
              </w:rPr>
            </w:pPr>
          </w:p>
          <w:p w14:paraId="623EA26E">
            <w:pPr>
              <w:pStyle w:val="13"/>
              <w:spacing w:before="6" w:line="360" w:lineRule="auto"/>
              <w:ind w:right="35" w:firstLine="9"/>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三、双温区管式炉</w:t>
            </w:r>
          </w:p>
          <w:p w14:paraId="31DD304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1.热偶：S型热偶；</w:t>
            </w:r>
          </w:p>
          <w:p w14:paraId="47394385">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█2.温度：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1300℃(1400℃≤30min)；</w:t>
            </w:r>
          </w:p>
          <w:p w14:paraId="628C984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3.建议升温速率：1400℃以下≤10℃/min；1400℃以上≤5℃/min；</w:t>
            </w:r>
          </w:p>
          <w:p w14:paraId="01A087F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4.电源：AC380V,50Hz；</w:t>
            </w:r>
          </w:p>
          <w:p w14:paraId="33112FB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5.加热区长度：双温区独立控温，每个独立温区加热长度≥260mm，两个加热区总长≥550mm；</w:t>
            </w:r>
          </w:p>
          <w:p w14:paraId="465F503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█6.加热元件：U型1500级硅碳棒。</w:t>
            </w:r>
          </w:p>
          <w:p w14:paraId="64B63811">
            <w:pPr>
              <w:pStyle w:val="13"/>
              <w:spacing w:before="6" w:line="360" w:lineRule="auto"/>
              <w:ind w:right="35" w:firstLine="9"/>
              <w:jc w:val="left"/>
              <w:rPr>
                <w:rFonts w:hint="eastAsia" w:ascii="宋体" w:hAnsi="宋体" w:eastAsia="宋体" w:cs="宋体"/>
                <w:color w:val="auto"/>
                <w:sz w:val="21"/>
                <w:szCs w:val="21"/>
                <w:highlight w:val="none"/>
                <w:lang w:eastAsia="zh-CN"/>
              </w:rPr>
            </w:pPr>
          </w:p>
          <w:p w14:paraId="49538462">
            <w:pPr>
              <w:pStyle w:val="13"/>
              <w:spacing w:before="6" w:line="360" w:lineRule="auto"/>
              <w:ind w:right="35" w:firstLine="9"/>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四、高温烘箱</w:t>
            </w:r>
          </w:p>
          <w:p w14:paraId="7A8F930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电源：单相AC 220V±10% 50Hz；</w:t>
            </w:r>
          </w:p>
          <w:p w14:paraId="21B482C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工作温度：RT+10～200℃（RT 为室温）；</w:t>
            </w:r>
          </w:p>
          <w:p w14:paraId="378A2C8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腔体尺寸：≥400×350×340mm；</w:t>
            </w:r>
          </w:p>
          <w:p w14:paraId="438834F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容积：≥50 L；</w:t>
            </w:r>
          </w:p>
          <w:p w14:paraId="3F4B35A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 内置过热保护；</w:t>
            </w:r>
          </w:p>
          <w:p w14:paraId="3F7E4FD6">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采用PID 调节方式控制加热系统；</w:t>
            </w:r>
          </w:p>
          <w:p w14:paraId="4B7DBBA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 温度波动：±2℃。</w:t>
            </w:r>
          </w:p>
          <w:p w14:paraId="613B39F7">
            <w:pPr>
              <w:pStyle w:val="13"/>
              <w:spacing w:before="6" w:line="360" w:lineRule="auto"/>
              <w:ind w:right="35" w:firstLine="9"/>
              <w:jc w:val="left"/>
              <w:rPr>
                <w:rFonts w:hint="eastAsia" w:ascii="宋体" w:hAnsi="宋体" w:eastAsia="宋体" w:cs="宋体"/>
                <w:color w:val="auto"/>
                <w:sz w:val="21"/>
                <w:szCs w:val="21"/>
                <w:highlight w:val="none"/>
                <w:lang w:eastAsia="zh-CN"/>
              </w:rPr>
            </w:pPr>
          </w:p>
          <w:p w14:paraId="735C0560">
            <w:pPr>
              <w:pStyle w:val="13"/>
              <w:spacing w:before="6" w:line="360" w:lineRule="auto"/>
              <w:ind w:right="35" w:firstLine="9"/>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五、快速退火炉</w:t>
            </w:r>
          </w:p>
          <w:p w14:paraId="00385D1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1.总体要求</w:t>
            </w:r>
          </w:p>
          <w:p w14:paraId="1344920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★1.1红外加热,最快升温速率 50℃/s；</w:t>
            </w:r>
          </w:p>
          <w:p w14:paraId="7738A30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1.2.尺寸≤4英寸的基片可放入炉膛并进行退火；</w:t>
            </w:r>
          </w:p>
          <w:p w14:paraId="31980AF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1.3.法兰安装在滑轨，可以直接推拉。</w:t>
            </w:r>
          </w:p>
          <w:p w14:paraId="429CCDB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2.加热系统</w:t>
            </w:r>
          </w:p>
          <w:p w14:paraId="4EDB40AA">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2.1输入电源 AC 380V 50Hz；</w:t>
            </w:r>
          </w:p>
          <w:p w14:paraId="0B7AD4C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█2.2最高工作温度：900℃（≤30min)，长期工作温度：800℃；</w:t>
            </w:r>
            <w:r>
              <w:rPr>
                <w:rFonts w:hint="eastAsia" w:ascii="宋体" w:hAnsi="宋体" w:eastAsia="宋体" w:cs="宋体"/>
                <w:b/>
                <w:bCs/>
                <w:color w:val="auto"/>
                <w:sz w:val="21"/>
                <w:szCs w:val="21"/>
                <w:highlight w:val="none"/>
                <w:lang w:eastAsia="zh-CN"/>
              </w:rPr>
              <w:t>（投标文件中须提供证明材料，如产品技术系统功能演示截图、产品彩页（产品功能截图）、厂家（制造商）官网截图，提供其中任意一种即可。）</w:t>
            </w:r>
          </w:p>
          <w:p w14:paraId="256B9507">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2.3.控温热电偶： K 型热电偶，紧贴在放样品 AlN 片下（AlN 片为标配，可定制不同材质基片）；</w:t>
            </w:r>
          </w:p>
          <w:p w14:paraId="1699207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█2.4.加热元件：短波红外灯管；</w:t>
            </w:r>
          </w:p>
          <w:p w14:paraId="07D16D75">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2.5.加热区长度：≥180 mm；</w:t>
            </w:r>
          </w:p>
          <w:p w14:paraId="4AD5212C">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2.6.室温至 900℃：可控升温速率 1～50 ℃/s ；</w:t>
            </w:r>
          </w:p>
          <w:p w14:paraId="40B8AC35">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2.7.炉膛尺寸：≥φ170 mm×180 mm；</w:t>
            </w:r>
          </w:p>
          <w:p w14:paraId="1D4D7F1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2.8.标配浮子流量计：16～160ml/min；</w:t>
            </w:r>
          </w:p>
          <w:p w14:paraId="4567679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2.9.石英管：外径≥130mm，内径≥120mm，长度≥600mm。</w:t>
            </w:r>
          </w:p>
          <w:p w14:paraId="0B966D6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3.真空系统：配置分子泵，真空度≤5×10</w:t>
            </w:r>
            <w:r>
              <w:rPr>
                <w:rFonts w:hint="eastAsia" w:ascii="宋体" w:hAnsi="宋体" w:eastAsia="宋体" w:cs="宋体"/>
                <w:color w:val="auto"/>
                <w:sz w:val="21"/>
                <w:szCs w:val="21"/>
                <w:highlight w:val="none"/>
                <w:vertAlign w:val="superscript"/>
                <w:lang w:eastAsia="zh-CN"/>
              </w:rPr>
              <w:t>-5</w:t>
            </w:r>
            <w:r>
              <w:rPr>
                <w:rFonts w:hint="eastAsia" w:ascii="宋体" w:hAnsi="宋体" w:eastAsia="宋体" w:cs="宋体"/>
                <w:color w:val="auto"/>
                <w:sz w:val="21"/>
                <w:szCs w:val="21"/>
                <w:highlight w:val="none"/>
                <w:lang w:eastAsia="zh-CN"/>
              </w:rPr>
              <w:t>ttor。</w:t>
            </w:r>
          </w:p>
          <w:p w14:paraId="2AD77F79">
            <w:pPr>
              <w:pStyle w:val="13"/>
              <w:spacing w:before="6" w:line="360" w:lineRule="auto"/>
              <w:ind w:right="35" w:firstLine="9"/>
              <w:jc w:val="left"/>
              <w:rPr>
                <w:rFonts w:hint="eastAsia" w:ascii="宋体" w:hAnsi="宋体" w:eastAsia="宋体" w:cs="宋体"/>
                <w:color w:val="auto"/>
                <w:sz w:val="21"/>
                <w:szCs w:val="21"/>
                <w:highlight w:val="none"/>
                <w:lang w:eastAsia="zh-CN"/>
              </w:rPr>
            </w:pPr>
          </w:p>
          <w:p w14:paraId="328C8404">
            <w:pPr>
              <w:pStyle w:val="13"/>
              <w:spacing w:before="6" w:line="360" w:lineRule="auto"/>
              <w:ind w:right="35" w:firstLine="9"/>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六、双温区开启式管式炉</w:t>
            </w:r>
          </w:p>
          <w:p w14:paraId="048E533D">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1"/>
                <w:szCs w:val="21"/>
                <w:highlight w:val="none"/>
                <w:lang w:eastAsia="zh-CN"/>
              </w:rPr>
              <w:t>1.最高温度：≥1200℃；</w:t>
            </w:r>
          </w:p>
          <w:p w14:paraId="2CB28F12">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2.具备2个独立控制温度的加热区，每个独立加热区长度≥200mm；加热区总长度≥400mm；</w:t>
            </w:r>
          </w:p>
          <w:p w14:paraId="75F0D94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3.双层壳体结构，并带有风冷系统；</w:t>
            </w:r>
          </w:p>
          <w:p w14:paraId="5FD15E05">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4.设有开门断电功能；</w:t>
            </w:r>
          </w:p>
          <w:p w14:paraId="774AE51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5.电源：AC</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220V、50Hz；</w:t>
            </w:r>
          </w:p>
          <w:p w14:paraId="30232C3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6.功率：≥3KW；</w:t>
            </w:r>
          </w:p>
          <w:p w14:paraId="631D53F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7.连续工作温度：1100℃，推荐升温速率：≤10/min；</w:t>
            </w:r>
          </w:p>
          <w:p w14:paraId="39E47F7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8.热电偶：K型；</w:t>
            </w:r>
          </w:p>
          <w:p w14:paraId="15A5A69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█9.加热元件：掺钼铁铬铝；</w:t>
            </w:r>
          </w:p>
          <w:p w14:paraId="09131054">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10.配置：双级真空泵。</w:t>
            </w:r>
          </w:p>
          <w:p w14:paraId="6A7ED85D">
            <w:pPr>
              <w:pStyle w:val="13"/>
              <w:spacing w:before="6" w:line="360" w:lineRule="auto"/>
              <w:ind w:right="35" w:firstLine="9"/>
              <w:jc w:val="left"/>
              <w:rPr>
                <w:rFonts w:hint="eastAsia" w:ascii="宋体" w:hAnsi="宋体" w:eastAsia="宋体" w:cs="宋体"/>
                <w:b/>
                <w:bCs/>
                <w:color w:val="auto"/>
                <w:sz w:val="21"/>
                <w:szCs w:val="21"/>
                <w:highlight w:val="none"/>
                <w:lang w:eastAsia="zh-CN"/>
              </w:rPr>
            </w:pPr>
            <w:bookmarkStart w:id="22" w:name="_GoBack"/>
            <w:bookmarkEnd w:id="22"/>
          </w:p>
          <w:p w14:paraId="02B05E87">
            <w:pPr>
              <w:pStyle w:val="13"/>
              <w:spacing w:before="6" w:line="360" w:lineRule="auto"/>
              <w:ind w:right="35" w:firstLine="9"/>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七、半导体参数分析仪</w:t>
            </w:r>
          </w:p>
          <w:p w14:paraId="7E8CDEA7">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1.半导体参数分析仪主机（1台）</w:t>
            </w:r>
          </w:p>
          <w:p w14:paraId="3034067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（1）USB接口数量≥2个；内置1000/100/10 MB以太网络接口，≥15英寸电容性触摸屏（分辨率≥1920×1080）；具备计算机操作系统； </w:t>
            </w:r>
          </w:p>
          <w:p w14:paraId="3B23FFC3">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（2）插槽数量≥9个；任意一个SMU，CVU均只占一个插槽，剩余插槽可扩展升级；</w:t>
            </w:r>
          </w:p>
          <w:p w14:paraId="558C06F1">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（3）内置测试帮助视频，至少覆盖如标准半导体器件参数测试库，半导体CV参数测试库，纳米器件参数测试库，存储器，太阳能电池，四探针法及范德堡电阻率测量等。</w:t>
            </w:r>
          </w:p>
          <w:p w14:paraId="4E0528FE">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中功率源测量单元3个，满足以下参数：</w:t>
            </w:r>
          </w:p>
          <w:p w14:paraId="1DE1956B">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个模块同时满足：（1）电流源输出电流/分辨率：100nA(量程)/≤5pA，100mA(量程)/≤5μA；电流测试范围/分辨率：100nA(量程)/≤100fA，100mA(量程)/≤100nA；（2）电压源输出电压/分辨率：200mV(量程)/≤5μV，200V(量程)/≤5mV；电压测试范围/分辨率：200mV(量程)/≤0.2μV，200V(量程)/≤200μV。</w:t>
            </w:r>
          </w:p>
          <w:p w14:paraId="04FC45F9">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（投标文件中须提供证明材料</w:t>
            </w:r>
            <w:r>
              <w:rPr>
                <w:rFonts w:hint="eastAsia" w:ascii="宋体" w:hAnsi="宋体" w:eastAsia="宋体" w:cs="宋体"/>
                <w:b/>
                <w:bCs/>
                <w:color w:val="auto"/>
                <w:sz w:val="21"/>
                <w:szCs w:val="21"/>
                <w:highlight w:val="none"/>
                <w:lang w:val="en-US" w:eastAsia="zh-CN"/>
              </w:rPr>
              <w:t>以佐证上述两条参数</w:t>
            </w:r>
            <w:r>
              <w:rPr>
                <w:rFonts w:hint="eastAsia" w:ascii="宋体" w:hAnsi="宋体" w:eastAsia="宋体" w:cs="宋体"/>
                <w:b/>
                <w:bCs/>
                <w:color w:val="auto"/>
                <w:sz w:val="21"/>
                <w:szCs w:val="21"/>
                <w:highlight w:val="none"/>
                <w:lang w:eastAsia="zh-CN"/>
              </w:rPr>
              <w:t>，如产品技术系统功能演示截图、产品彩页（产品功能截图）、厂家（制造商）官网截图，提供其中任意一种即可。）</w:t>
            </w:r>
          </w:p>
          <w:p w14:paraId="0D2F221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SMU前端放大单元3个，满足以下参数：</w:t>
            </w:r>
          </w:p>
          <w:p w14:paraId="1C7B32A8">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每个单元满足电流源输出电流/分辨率：1pA(量程)/≤1.5fA，测试范围/分辨率：1pA(量程)/≤0.01fA, 前端放大单元电压参数与其所在模块相同。</w:t>
            </w:r>
            <w:r>
              <w:rPr>
                <w:rFonts w:hint="eastAsia" w:ascii="宋体" w:hAnsi="宋体" w:eastAsia="宋体" w:cs="宋体"/>
                <w:b/>
                <w:bCs/>
                <w:color w:val="auto"/>
                <w:sz w:val="21"/>
                <w:szCs w:val="21"/>
                <w:highlight w:val="none"/>
                <w:lang w:eastAsia="zh-CN"/>
              </w:rPr>
              <w:t>（投标文件中须提供证明材料，如产品技术系统功能演示截图、产品彩页（产品功能截图）、厂家（制造商）官网截图，提供其中任意一种即可。）</w:t>
            </w:r>
          </w:p>
          <w:p w14:paraId="583AAB4F">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★4.C-V测量单元1个，满足以下参数：</w:t>
            </w:r>
          </w:p>
          <w:p w14:paraId="7A76F9D4">
            <w:pPr>
              <w:pStyle w:val="13"/>
              <w:spacing w:before="6" w:line="360" w:lineRule="auto"/>
              <w:ind w:right="35" w:firstLine="9"/>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（1）最高测试频率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2"/>
                <w:highlight w:val="none"/>
                <w:lang w:eastAsia="zh-CN"/>
              </w:rPr>
              <w:t>10MHz ，频率精度：±0.1%；</w:t>
            </w:r>
          </w:p>
          <w:p w14:paraId="5C386CBE">
            <w:pPr>
              <w:pStyle w:val="13"/>
              <w:spacing w:before="6" w:line="360" w:lineRule="auto"/>
              <w:ind w:right="35" w:firstLine="9"/>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（2）偏置电压±30V，差分±60V；</w:t>
            </w:r>
          </w:p>
          <w:p w14:paraId="20C9F1C0">
            <w:pPr>
              <w:pStyle w:val="13"/>
              <w:spacing w:before="6" w:line="360" w:lineRule="auto"/>
              <w:ind w:right="35" w:firstLine="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2"/>
                <w:highlight w:val="none"/>
                <w:lang w:eastAsia="zh-CN"/>
              </w:rPr>
              <w:t>（3）具备C-V参数分析能力，可提取氧化层厚度、栅面积、串联电阻、平带电压、开启电压、体掺杂、金属-半导体功函数、德拜长度、体电势等参数。</w:t>
            </w:r>
          </w:p>
        </w:tc>
        <w:tc>
          <w:tcPr>
            <w:tcW w:w="429" w:type="pct"/>
            <w:vAlign w:val="center"/>
          </w:tcPr>
          <w:p w14:paraId="33E6F26B">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1套</w:t>
            </w:r>
          </w:p>
        </w:tc>
        <w:tc>
          <w:tcPr>
            <w:tcW w:w="595" w:type="pct"/>
            <w:vAlign w:val="center"/>
          </w:tcPr>
          <w:p w14:paraId="505012DC">
            <w:pPr>
              <w:pStyle w:val="13"/>
              <w:spacing w:before="6" w:line="360" w:lineRule="auto"/>
              <w:ind w:right="35" w:firstLine="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w:t>
            </w:r>
          </w:p>
        </w:tc>
      </w:tr>
    </w:tbl>
    <w:p w14:paraId="7A8C09AB">
      <w:pPr>
        <w:rPr>
          <w:color w:val="auto"/>
          <w:highlight w:val="none"/>
        </w:rPr>
      </w:pPr>
    </w:p>
    <w:p w14:paraId="4816197A">
      <w:pPr>
        <w:pStyle w:val="8"/>
        <w:ind w:left="489" w:hanging="489"/>
        <w:rPr>
          <w:rFonts w:ascii="宋体" w:hAnsi="宋体" w:cs="宋体"/>
          <w:b/>
          <w:bCs/>
          <w:color w:val="auto"/>
          <w:sz w:val="24"/>
          <w:highlight w:val="none"/>
        </w:rPr>
      </w:pPr>
    </w:p>
    <w:p w14:paraId="12114A7C">
      <w:pPr>
        <w:pStyle w:val="6"/>
        <w:wordWrap w:val="0"/>
        <w:ind w:firstLine="0" w:firstLineChars="0"/>
        <w:rPr>
          <w:rFonts w:eastAsia="黑体"/>
          <w:color w:val="auto"/>
          <w:highlight w:val="none"/>
        </w:rPr>
      </w:pPr>
      <w:bookmarkStart w:id="17" w:name="_Toc7421"/>
      <w:bookmarkStart w:id="18" w:name="_Toc4843"/>
      <w:r>
        <w:rPr>
          <w:rFonts w:hint="eastAsia" w:eastAsia="黑体"/>
          <w:color w:val="auto"/>
          <w:highlight w:val="none"/>
        </w:rPr>
        <w:t>三、报价要求</w:t>
      </w:r>
      <w:bookmarkEnd w:id="17"/>
      <w:bookmarkEnd w:id="18"/>
    </w:p>
    <w:p w14:paraId="2C6F572F">
      <w:pPr>
        <w:wordWrap w:val="0"/>
        <w:spacing w:line="360" w:lineRule="auto"/>
        <w:ind w:firstLine="480" w:firstLineChars="200"/>
        <w:rPr>
          <w:rFonts w:ascii="宋体" w:hAnsi="宋体" w:eastAsia="宋体"/>
          <w:b/>
          <w:color w:val="auto"/>
          <w:sz w:val="24"/>
          <w:szCs w:val="18"/>
          <w:highlight w:val="none"/>
        </w:rPr>
      </w:pPr>
      <w:r>
        <w:rPr>
          <w:rFonts w:hint="eastAsia" w:ascii="宋体" w:hAnsi="宋体" w:eastAsia="宋体" w:cs="宋体"/>
          <w:color w:val="auto"/>
          <w:sz w:val="24"/>
          <w:highlight w:val="none"/>
        </w:rPr>
        <w:t>本项目报总价，投标报价包括本项目需求的全部货物及所需附件购置费、包装费、运输费、人工费、安装调试费、各种税费、资料费、售后服务费及完成项目应有的全部费用。</w:t>
      </w:r>
      <w:bookmarkStart w:id="19" w:name="_Toc455587277"/>
      <w:bookmarkStart w:id="20" w:name="_Toc455587093"/>
      <w:bookmarkStart w:id="21" w:name="_Toc445554752"/>
    </w:p>
    <w:bookmarkEnd w:id="19"/>
    <w:bookmarkEnd w:id="20"/>
    <w:bookmarkEnd w:id="21"/>
    <w:p w14:paraId="3DA06433">
      <w:pPr>
        <w:pStyle w:val="6"/>
        <w:wordWrap w:val="0"/>
        <w:ind w:firstLine="0" w:firstLineChars="0"/>
        <w:rPr>
          <w:rFonts w:eastAsia="黑体"/>
          <w:color w:val="auto"/>
          <w:highlight w:val="none"/>
        </w:rPr>
      </w:pPr>
      <w:r>
        <w:rPr>
          <w:rFonts w:hint="eastAsia" w:eastAsia="黑体"/>
          <w:color w:val="auto"/>
          <w:highlight w:val="none"/>
        </w:rPr>
        <w:t>四、售后服务</w:t>
      </w:r>
    </w:p>
    <w:bookmarkEnd w:id="0"/>
    <w:p w14:paraId="6D3CC894">
      <w:pPr>
        <w:wordWrap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提供7*12小时售后服务，配备专业人员保障正常工作。应急响应时间为：2小时内；应急措施为：在接到故障通知后24小时内派技术人员到达现场，到达现场后2小时内解决故障。</w:t>
      </w:r>
    </w:p>
    <w:p w14:paraId="7AA01755">
      <w:pPr>
        <w:pStyle w:val="6"/>
        <w:wordWrap w:val="0"/>
        <w:ind w:firstLine="0" w:firstLineChars="0"/>
        <w:rPr>
          <w:rFonts w:eastAsia="黑体"/>
          <w:color w:val="auto"/>
          <w:highlight w:val="none"/>
        </w:rPr>
      </w:pPr>
      <w:r>
        <w:rPr>
          <w:rFonts w:hint="eastAsia" w:eastAsia="黑体"/>
          <w:color w:val="auto"/>
          <w:highlight w:val="none"/>
        </w:rPr>
        <w:t>五、其他要求</w:t>
      </w:r>
    </w:p>
    <w:p w14:paraId="1FE2252B">
      <w:pPr>
        <w:wordWrap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投标人自行优化净化空调、送回风管、灯具电气的走向，确保环境净化系统完成后满足净化系统的功能要求。</w:t>
      </w:r>
    </w:p>
    <w:p w14:paraId="6F8D43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B0604020202020204"/>
    <w:charset w:val="86"/>
    <w:family w:val="script"/>
    <w:pitch w:val="default"/>
    <w:sig w:usb0="00000000" w:usb1="00000000" w:usb2="00000010" w:usb3="00000000" w:csb0="00040000" w:csb1="00000000"/>
  </w:font>
  <w:font w:name="方正黑体_GBK">
    <w:altName w:val="微软雅黑"/>
    <w:panose1 w:val="020B0604020202020204"/>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F22C5"/>
    <w:rsid w:val="744F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6">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customStyle="1" w:styleId="11">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paragraph" w:customStyle="1" w:styleId="13">
    <w:name w:val="Table Text"/>
    <w:basedOn w:val="1"/>
    <w:semiHidden/>
    <w:qFormat/>
    <w:uiPriority w:val="0"/>
    <w:rPr>
      <w:rFonts w:ascii="宋体" w:hAnsi="宋体" w:eastAsia="宋体" w:cs="宋体"/>
      <w:sz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2026-06-26T06:15:00Z</dcterms:created>
  <dc:creator>早川</dc:creator>
  <cp:lastModifiedBy>早川</cp:lastModifiedBy>
  <dcterms:modified xsi:type="dcterms:W3CDTF">2026-06-26T06:16:37Z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08CFF82F13404D80930C7A8D0D35AB35_11</vt:lpwstr>
  </property>
  <property fmtid="{D5CDD505-2E9C-101B-9397-08002B2CF9AE}" pid="4" name="KSOTemplateDocerSaveRecord">
    <vt:lpwstr>eyJoZGlkIjoiMjkxZTE2NGE4YTFkYjA2ZDQ2ZWIzNWU4MDNhOGEyODciLCJ1c2VySWQiOiI2ODEyNDY0NzEifQ==</vt:lpwstr>
  </property>
</Properties>
</file>