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B67D0">
      <w:pPr>
        <w:widowControl/>
        <w:tabs>
          <w:tab w:val="center" w:pos="4153"/>
        </w:tabs>
        <w:spacing w:line="440" w:lineRule="exact"/>
        <w:jc w:val="center"/>
        <w:rPr>
          <w:rFonts w:hint="eastAsia" w:ascii="宋体" w:hAnsi="宋体" w:eastAsia="仿宋"/>
          <w:sz w:val="36"/>
          <w:szCs w:val="36"/>
          <w:highlight w:val="none"/>
        </w:rPr>
      </w:pPr>
    </w:p>
    <w:p w14:paraId="7AB13212">
      <w:pPr>
        <w:widowControl/>
        <w:tabs>
          <w:tab w:val="center" w:pos="4153"/>
        </w:tabs>
        <w:spacing w:line="440" w:lineRule="exact"/>
        <w:jc w:val="center"/>
        <w:rPr>
          <w:rFonts w:hint="eastAsia" w:ascii="宋体" w:hAnsi="宋体" w:eastAsia="仿宋"/>
          <w:sz w:val="36"/>
          <w:szCs w:val="36"/>
          <w:highlight w:val="none"/>
        </w:rPr>
      </w:pPr>
    </w:p>
    <w:p w14:paraId="51E77F4E">
      <w:pPr>
        <w:widowControl/>
        <w:tabs>
          <w:tab w:val="center" w:pos="4153"/>
        </w:tabs>
        <w:spacing w:line="440" w:lineRule="exact"/>
        <w:jc w:val="center"/>
        <w:rPr>
          <w:rFonts w:hint="eastAsia" w:ascii="宋体" w:hAnsi="宋体" w:eastAsia="仿宋"/>
          <w:sz w:val="36"/>
          <w:szCs w:val="36"/>
          <w:highlight w:val="none"/>
        </w:rPr>
      </w:pPr>
    </w:p>
    <w:p w14:paraId="035FE5D2">
      <w:pPr>
        <w:widowControl/>
        <w:tabs>
          <w:tab w:val="center" w:pos="4153"/>
        </w:tabs>
        <w:spacing w:line="440" w:lineRule="exact"/>
        <w:jc w:val="center"/>
        <w:rPr>
          <w:rFonts w:hint="eastAsia" w:ascii="宋体" w:hAnsi="宋体" w:eastAsia="仿宋"/>
          <w:sz w:val="36"/>
          <w:szCs w:val="36"/>
          <w:highlight w:val="none"/>
        </w:rPr>
      </w:pPr>
    </w:p>
    <w:p w14:paraId="30419D17">
      <w:pPr>
        <w:widowControl/>
        <w:tabs>
          <w:tab w:val="center" w:pos="4153"/>
        </w:tabs>
        <w:spacing w:line="440" w:lineRule="exact"/>
        <w:jc w:val="center"/>
        <w:rPr>
          <w:rFonts w:hint="eastAsia" w:ascii="宋体" w:hAnsi="宋体" w:eastAsia="仿宋"/>
          <w:color w:val="000000"/>
          <w:sz w:val="36"/>
          <w:szCs w:val="36"/>
          <w:highlight w:val="none"/>
        </w:rPr>
      </w:pPr>
    </w:p>
    <w:p w14:paraId="35DA7FED">
      <w:pPr>
        <w:widowControl/>
        <w:tabs>
          <w:tab w:val="center" w:pos="4153"/>
        </w:tabs>
        <w:spacing w:line="440" w:lineRule="exact"/>
        <w:jc w:val="center"/>
        <w:rPr>
          <w:rFonts w:hint="eastAsia" w:ascii="宋体" w:hAnsi="宋体" w:eastAsia="仿宋"/>
          <w:color w:val="000000"/>
          <w:sz w:val="36"/>
          <w:szCs w:val="36"/>
          <w:highlight w:val="none"/>
        </w:rPr>
      </w:pPr>
      <w:r>
        <w:rPr>
          <w:rFonts w:hint="eastAsia" w:ascii="宋体" w:hAnsi="宋体" w:eastAsia="仿宋"/>
          <w:color w:val="000000"/>
          <w:sz w:val="36"/>
          <w:szCs w:val="36"/>
          <w:highlight w:val="none"/>
        </w:rPr>
        <w:t xml:space="preserve"> </w:t>
      </w:r>
    </w:p>
    <w:p w14:paraId="2B7EDD88">
      <w:pPr>
        <w:widowControl/>
        <w:spacing w:line="360" w:lineRule="auto"/>
        <w:jc w:val="center"/>
        <w:rPr>
          <w:rFonts w:hint="eastAsia" w:eastAsia="仿宋"/>
          <w:b/>
          <w:color w:val="000000"/>
          <w:sz w:val="44"/>
          <w:szCs w:val="44"/>
          <w:highlight w:val="none"/>
          <w:lang w:eastAsia="zh-CN"/>
        </w:rPr>
      </w:pPr>
      <w:r>
        <w:rPr>
          <w:rFonts w:hint="eastAsia" w:eastAsia="仿宋"/>
          <w:b/>
          <w:bCs/>
          <w:color w:val="000000"/>
          <w:sz w:val="56"/>
          <w:szCs w:val="56"/>
          <w:highlight w:val="none"/>
          <w:lang w:eastAsia="zh-CN"/>
        </w:rPr>
        <w:t>安徽省紧密型县域医共体设备更新一期项目-核磁共振成像系统（MR）二</w:t>
      </w:r>
    </w:p>
    <w:p w14:paraId="7D22495B">
      <w:pPr>
        <w:widowControl/>
        <w:jc w:val="center"/>
        <w:rPr>
          <w:rFonts w:hint="eastAsia" w:ascii="宋体" w:hAnsi="宋体" w:eastAsia="仿宋"/>
          <w:b/>
          <w:color w:val="000000"/>
          <w:sz w:val="60"/>
          <w:szCs w:val="22"/>
          <w:highlight w:val="none"/>
        </w:rPr>
      </w:pPr>
      <w:r>
        <w:rPr>
          <w:rFonts w:hint="eastAsia" w:ascii="宋体" w:hAnsi="宋体" w:eastAsia="仿宋"/>
          <w:b/>
          <w:color w:val="000000"/>
          <w:sz w:val="60"/>
          <w:szCs w:val="22"/>
          <w:highlight w:val="none"/>
        </w:rPr>
        <w:t>招标文件</w:t>
      </w:r>
    </w:p>
    <w:p w14:paraId="5FBED24A">
      <w:pPr>
        <w:widowControl/>
        <w:jc w:val="center"/>
        <w:rPr>
          <w:rFonts w:hint="eastAsia" w:ascii="宋体" w:hAnsi="宋体" w:eastAsia="仿宋"/>
          <w:b/>
          <w:color w:val="000000"/>
          <w:sz w:val="72"/>
          <w:highlight w:val="none"/>
        </w:rPr>
      </w:pPr>
    </w:p>
    <w:p w14:paraId="62C55B4E">
      <w:pPr>
        <w:widowControl/>
        <w:spacing w:line="360" w:lineRule="auto"/>
        <w:jc w:val="center"/>
        <w:rPr>
          <w:rFonts w:hint="eastAsia" w:ascii="宋体" w:hAnsi="宋体" w:eastAsia="仿宋"/>
          <w:b/>
          <w:color w:val="000000"/>
          <w:sz w:val="28"/>
          <w:szCs w:val="28"/>
          <w:highlight w:val="none"/>
          <w:lang w:eastAsia="zh-CN"/>
        </w:rPr>
      </w:pPr>
      <w:r>
        <w:rPr>
          <w:rFonts w:hint="eastAsia" w:ascii="宋体" w:hAnsi="宋体" w:eastAsia="仿宋"/>
          <w:b/>
          <w:color w:val="000000"/>
          <w:sz w:val="28"/>
          <w:szCs w:val="28"/>
          <w:highlight w:val="none"/>
        </w:rPr>
        <w:t>项目编号：</w:t>
      </w:r>
      <w:r>
        <w:rPr>
          <w:rFonts w:hint="eastAsia" w:ascii="宋体" w:hAnsi="宋体" w:eastAsia="仿宋"/>
          <w:b/>
          <w:color w:val="000000"/>
          <w:sz w:val="28"/>
          <w:szCs w:val="28"/>
          <w:highlight w:val="none"/>
          <w:lang w:eastAsia="zh-CN"/>
        </w:rPr>
        <w:t>ZF2025-36-2023</w:t>
      </w:r>
    </w:p>
    <w:p w14:paraId="5BC40795">
      <w:pPr>
        <w:widowControl/>
        <w:tabs>
          <w:tab w:val="center" w:pos="4153"/>
        </w:tabs>
        <w:spacing w:line="480" w:lineRule="auto"/>
        <w:jc w:val="center"/>
        <w:rPr>
          <w:rFonts w:hint="eastAsia" w:ascii="宋体" w:hAnsi="宋体" w:eastAsia="仿宋"/>
          <w:color w:val="000000"/>
          <w:sz w:val="36"/>
          <w:szCs w:val="36"/>
          <w:highlight w:val="none"/>
        </w:rPr>
      </w:pPr>
    </w:p>
    <w:p w14:paraId="6D1BB06D">
      <w:pPr>
        <w:widowControl/>
        <w:tabs>
          <w:tab w:val="center" w:pos="4153"/>
        </w:tabs>
        <w:spacing w:line="480" w:lineRule="auto"/>
        <w:jc w:val="center"/>
        <w:rPr>
          <w:rFonts w:hint="eastAsia" w:ascii="宋体" w:hAnsi="宋体" w:eastAsia="仿宋"/>
          <w:color w:val="000000"/>
          <w:sz w:val="36"/>
          <w:szCs w:val="36"/>
          <w:highlight w:val="none"/>
        </w:rPr>
      </w:pPr>
    </w:p>
    <w:p w14:paraId="6A3F5C79">
      <w:pPr>
        <w:widowControl/>
        <w:tabs>
          <w:tab w:val="center" w:pos="4153"/>
        </w:tabs>
        <w:spacing w:line="480" w:lineRule="auto"/>
        <w:jc w:val="center"/>
        <w:rPr>
          <w:rFonts w:hint="eastAsia" w:ascii="宋体" w:hAnsi="宋体" w:eastAsia="仿宋"/>
          <w:color w:val="000000"/>
          <w:sz w:val="36"/>
          <w:szCs w:val="36"/>
          <w:highlight w:val="none"/>
        </w:rPr>
      </w:pPr>
    </w:p>
    <w:p w14:paraId="24804077">
      <w:pPr>
        <w:widowControl/>
        <w:tabs>
          <w:tab w:val="center" w:pos="4153"/>
        </w:tabs>
        <w:spacing w:line="480" w:lineRule="auto"/>
        <w:rPr>
          <w:rFonts w:hint="eastAsia" w:ascii="宋体" w:hAnsi="宋体" w:eastAsia="仿宋"/>
          <w:color w:val="000000"/>
          <w:sz w:val="36"/>
          <w:szCs w:val="36"/>
          <w:highlight w:val="none"/>
        </w:rPr>
      </w:pPr>
    </w:p>
    <w:p w14:paraId="55F7CA6A">
      <w:pPr>
        <w:widowControl/>
        <w:tabs>
          <w:tab w:val="center" w:pos="4153"/>
        </w:tabs>
        <w:spacing w:line="480" w:lineRule="auto"/>
        <w:ind w:firstLine="1699" w:firstLineChars="531"/>
        <w:rPr>
          <w:rFonts w:hint="eastAsia" w:ascii="宋体" w:hAnsi="宋体" w:eastAsia="仿宋"/>
          <w:color w:val="000000"/>
          <w:sz w:val="32"/>
          <w:szCs w:val="36"/>
          <w:highlight w:val="none"/>
        </w:rPr>
      </w:pPr>
      <w:r>
        <w:rPr>
          <w:rFonts w:hint="eastAsia" w:ascii="宋体" w:hAnsi="宋体" w:eastAsia="仿宋"/>
          <w:color w:val="000000"/>
          <w:sz w:val="32"/>
          <w:szCs w:val="36"/>
          <w:highlight w:val="none"/>
        </w:rPr>
        <w:t>采   购   人：安徽省卫生健康委员会</w:t>
      </w:r>
    </w:p>
    <w:p w14:paraId="7BB1C63A">
      <w:pPr>
        <w:widowControl/>
        <w:tabs>
          <w:tab w:val="center" w:pos="4153"/>
        </w:tabs>
        <w:spacing w:line="480" w:lineRule="auto"/>
        <w:ind w:firstLine="1699" w:firstLineChars="531"/>
        <w:rPr>
          <w:rFonts w:hint="eastAsia" w:ascii="宋体" w:hAnsi="宋体" w:eastAsia="仿宋"/>
          <w:color w:val="000000"/>
          <w:sz w:val="32"/>
          <w:szCs w:val="36"/>
          <w:highlight w:val="none"/>
        </w:rPr>
      </w:pPr>
      <w:r>
        <w:rPr>
          <w:rFonts w:hint="eastAsia" w:ascii="宋体" w:hAnsi="宋体" w:eastAsia="仿宋"/>
          <w:color w:val="000000"/>
          <w:sz w:val="32"/>
          <w:szCs w:val="36"/>
          <w:highlight w:val="none"/>
        </w:rPr>
        <w:t>采购代理机构：安徽省招标集团股份有限公司</w:t>
      </w:r>
    </w:p>
    <w:p w14:paraId="17079AE7">
      <w:pPr>
        <w:widowControl/>
        <w:tabs>
          <w:tab w:val="center" w:pos="4153"/>
        </w:tabs>
        <w:spacing w:line="480" w:lineRule="auto"/>
        <w:jc w:val="center"/>
        <w:rPr>
          <w:rFonts w:hint="eastAsia" w:ascii="宋体" w:hAnsi="宋体" w:eastAsia="仿宋"/>
          <w:color w:val="000000"/>
          <w:sz w:val="36"/>
          <w:szCs w:val="36"/>
          <w:highlight w:val="none"/>
        </w:rPr>
      </w:pPr>
      <w:r>
        <w:rPr>
          <w:rFonts w:hint="eastAsia" w:ascii="宋体" w:hAnsi="宋体" w:eastAsia="仿宋"/>
          <w:color w:val="000000"/>
          <w:sz w:val="36"/>
          <w:szCs w:val="36"/>
          <w:highlight w:val="none"/>
        </w:rPr>
        <w:t>2025年</w:t>
      </w:r>
      <w:r>
        <w:rPr>
          <w:rFonts w:hint="eastAsia" w:ascii="宋体" w:hAnsi="宋体" w:eastAsia="仿宋"/>
          <w:color w:val="000000"/>
          <w:sz w:val="36"/>
          <w:szCs w:val="36"/>
          <w:highlight w:val="none"/>
          <w:lang w:val="en-US" w:eastAsia="zh-CN"/>
        </w:rPr>
        <w:t>12</w:t>
      </w:r>
      <w:r>
        <w:rPr>
          <w:rFonts w:hint="eastAsia" w:ascii="宋体" w:hAnsi="宋体" w:eastAsia="仿宋"/>
          <w:color w:val="000000"/>
          <w:sz w:val="36"/>
          <w:szCs w:val="36"/>
          <w:highlight w:val="none"/>
        </w:rPr>
        <w:t>月</w:t>
      </w:r>
    </w:p>
    <w:p w14:paraId="344051C5">
      <w:pPr>
        <w:widowControl/>
        <w:tabs>
          <w:tab w:val="center" w:pos="4153"/>
        </w:tabs>
        <w:spacing w:line="480" w:lineRule="auto"/>
        <w:ind w:firstLine="849" w:firstLineChars="236"/>
        <w:rPr>
          <w:rFonts w:ascii="宋体" w:hAnsi="宋体" w:eastAsia="仿宋"/>
          <w:color w:val="000000"/>
          <w:sz w:val="36"/>
          <w:szCs w:val="36"/>
          <w:highlight w:val="none"/>
        </w:rPr>
        <w:sectPr>
          <w:footerReference r:id="rId4" w:type="default"/>
          <w:footnotePr>
            <w:numFmt w:val="decimalEnclosedCircleChinese"/>
            <w:numRestart w:val="eachPage"/>
          </w:footnotePr>
          <w:pgSz w:w="11906" w:h="16838"/>
          <w:pgMar w:top="1134" w:right="1134" w:bottom="1134" w:left="1134" w:header="851" w:footer="851" w:gutter="0"/>
          <w:cols w:space="720" w:num="1"/>
          <w:docGrid w:linePitch="312" w:charSpace="0"/>
        </w:sectPr>
      </w:pPr>
    </w:p>
    <w:p w14:paraId="3F0DAA74">
      <w:pPr>
        <w:widowControl/>
        <w:tabs>
          <w:tab w:val="center" w:pos="4153"/>
        </w:tabs>
        <w:spacing w:line="480" w:lineRule="auto"/>
        <w:jc w:val="center"/>
        <w:outlineLvl w:val="0"/>
        <w:rPr>
          <w:rFonts w:hint="eastAsia" w:ascii="宋体" w:hAnsi="宋体" w:eastAsia="仿宋"/>
          <w:sz w:val="44"/>
          <w:szCs w:val="52"/>
          <w:highlight w:val="none"/>
        </w:rPr>
      </w:pPr>
      <w:r>
        <w:rPr>
          <w:rFonts w:hint="eastAsia" w:ascii="宋体" w:hAnsi="宋体" w:eastAsia="仿宋"/>
          <w:sz w:val="44"/>
          <w:szCs w:val="52"/>
          <w:highlight w:val="none"/>
        </w:rPr>
        <w:t>目  录</w:t>
      </w:r>
    </w:p>
    <w:p w14:paraId="0E42830C">
      <w:pPr>
        <w:pStyle w:val="33"/>
        <w:tabs>
          <w:tab w:val="right" w:leader="dot" w:pos="9638"/>
        </w:tabs>
        <w:rPr>
          <w:rFonts w:hint="eastAsia" w:ascii="仿宋" w:hAnsi="仿宋" w:eastAsia="仿宋" w:cs="仿宋"/>
          <w:sz w:val="28"/>
          <w:szCs w:val="28"/>
          <w:highlight w:val="none"/>
        </w:rPr>
      </w:pPr>
      <w:r>
        <w:rPr>
          <w:rFonts w:ascii="Times New Roman" w:hAnsi="Times New Roman" w:eastAsia="仿宋"/>
          <w:sz w:val="28"/>
          <w:szCs w:val="28"/>
          <w:highlight w:val="none"/>
        </w:rPr>
        <w:fldChar w:fldCharType="begin"/>
      </w:r>
      <w:r>
        <w:rPr>
          <w:rFonts w:ascii="Times New Roman" w:hAnsi="Times New Roman" w:eastAsia="仿宋"/>
          <w:sz w:val="28"/>
          <w:szCs w:val="28"/>
          <w:highlight w:val="none"/>
        </w:rPr>
        <w:instrText xml:space="preserve"> TOC \o "1-1" \h \z \u </w:instrText>
      </w:r>
      <w:r>
        <w:rPr>
          <w:rFonts w:ascii="Times New Roman" w:hAnsi="Times New Roman" w:eastAsia="仿宋"/>
          <w:sz w:val="28"/>
          <w:szCs w:val="28"/>
          <w:highlight w:val="none"/>
        </w:rPr>
        <w:fldChar w:fldCharType="separate"/>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_Toc1434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第一章  招标公告</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_Toc1434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1</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0BF3BE5E">
      <w:pPr>
        <w:pStyle w:val="33"/>
        <w:tabs>
          <w:tab w:val="right" w:leader="dot" w:pos="9638"/>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_Toc26870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第二章  投标人须知</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_Toc26870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8</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032E4BC8">
      <w:pPr>
        <w:pStyle w:val="33"/>
        <w:tabs>
          <w:tab w:val="right" w:leader="dot" w:pos="9638"/>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_Toc24366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第三章  采购需</w:t>
      </w:r>
      <w:bookmarkStart w:id="0" w:name="_Hlt195033203"/>
      <w:r>
        <w:rPr>
          <w:rFonts w:hint="eastAsia" w:ascii="仿宋" w:hAnsi="仿宋" w:eastAsia="仿宋" w:cs="仿宋"/>
          <w:sz w:val="28"/>
          <w:szCs w:val="28"/>
          <w:highlight w:val="none"/>
        </w:rPr>
        <w:t>求</w:t>
      </w:r>
      <w:bookmarkEnd w:id="0"/>
      <w:bookmarkStart w:id="1" w:name="_Hlt194571156"/>
      <w:bookmarkStart w:id="2" w:name="_Hlt194571547"/>
      <w:bookmarkStart w:id="3" w:name="_Hlt194306827"/>
      <w:bookmarkStart w:id="4" w:name="_Hlt194306826"/>
      <w:r>
        <w:rPr>
          <w:rFonts w:hint="eastAsia" w:ascii="仿宋" w:hAnsi="仿宋" w:eastAsia="仿宋" w:cs="仿宋"/>
          <w:sz w:val="28"/>
          <w:szCs w:val="28"/>
          <w:highlight w:val="none"/>
        </w:rPr>
        <w:tab/>
      </w:r>
      <w:bookmarkEnd w:id="1"/>
      <w:bookmarkEnd w:id="2"/>
      <w:bookmarkEnd w:id="3"/>
      <w:bookmarkEnd w:id="4"/>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_Toc24366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34</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1B889B08">
      <w:pPr>
        <w:pStyle w:val="33"/>
        <w:tabs>
          <w:tab w:val="right" w:leader="dot" w:pos="9638"/>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_Toc9357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第四章  资格审查和评标办法（综合评分法）</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_Toc9357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42</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3152CD3F">
      <w:pPr>
        <w:pStyle w:val="33"/>
        <w:tabs>
          <w:tab w:val="right" w:leader="dot" w:pos="9638"/>
        </w:tabs>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_Toc395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第五章  合同条款及格式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_Toc395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57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76647C03">
      <w:pPr>
        <w:pStyle w:val="33"/>
        <w:tabs>
          <w:tab w:val="right" w:leader="dot" w:pos="9638"/>
        </w:tabs>
        <w:rPr>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_Toc13236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第六章  投标文件格式</w:t>
      </w:r>
      <w:r>
        <w:rPr>
          <w:rFonts w:hint="eastAsia" w:ascii="仿宋" w:hAnsi="仿宋" w:eastAsia="仿宋" w:cs="仿宋"/>
          <w:sz w:val="28"/>
          <w:szCs w:val="28"/>
          <w:highlight w:val="none"/>
        </w:rPr>
        <w:tab/>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PAGEREF _Toc13236 \h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77</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fldChar w:fldCharType="end"/>
      </w:r>
    </w:p>
    <w:p w14:paraId="2FBB767B">
      <w:pPr>
        <w:widowControl/>
        <w:spacing w:line="360" w:lineRule="auto"/>
        <w:rPr>
          <w:rFonts w:hint="eastAsia" w:ascii="宋体" w:hAnsi="宋体" w:eastAsia="仿宋"/>
          <w:sz w:val="52"/>
          <w:szCs w:val="52"/>
          <w:highlight w:val="none"/>
        </w:rPr>
      </w:pPr>
      <w:r>
        <w:rPr>
          <w:rFonts w:eastAsia="仿宋"/>
          <w:szCs w:val="28"/>
          <w:highlight w:val="none"/>
        </w:rPr>
        <w:fldChar w:fldCharType="end"/>
      </w:r>
    </w:p>
    <w:p w14:paraId="1D099D26">
      <w:pPr>
        <w:widowControl/>
        <w:tabs>
          <w:tab w:val="center" w:pos="4153"/>
        </w:tabs>
        <w:spacing w:line="480" w:lineRule="auto"/>
        <w:jc w:val="center"/>
        <w:rPr>
          <w:rFonts w:ascii="宋体" w:hAnsi="宋体" w:eastAsia="仿宋"/>
          <w:sz w:val="52"/>
          <w:szCs w:val="52"/>
          <w:highlight w:val="none"/>
        </w:rPr>
        <w:sectPr>
          <w:headerReference r:id="rId5" w:type="first"/>
          <w:footerReference r:id="rId7" w:type="first"/>
          <w:footerReference r:id="rId6"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78E8CD56">
      <w:pPr>
        <w:pStyle w:val="2"/>
        <w:widowControl/>
        <w:spacing w:before="0" w:after="0" w:line="240" w:lineRule="auto"/>
        <w:jc w:val="center"/>
        <w:rPr>
          <w:rFonts w:hint="eastAsia" w:ascii="宋体" w:hAnsi="宋体" w:eastAsia="仿宋"/>
          <w:highlight w:val="none"/>
        </w:rPr>
      </w:pPr>
      <w:bookmarkStart w:id="5" w:name="_Toc1434"/>
      <w:bookmarkStart w:id="6" w:name="_Toc466024489"/>
      <w:r>
        <w:rPr>
          <w:rFonts w:hint="eastAsia" w:ascii="宋体" w:hAnsi="宋体" w:eastAsia="仿宋"/>
          <w:highlight w:val="none"/>
        </w:rPr>
        <w:t>第一章  招标公告</w:t>
      </w:r>
      <w:bookmarkEnd w:id="5"/>
      <w:bookmarkEnd w:id="6"/>
    </w:p>
    <w:p w14:paraId="471A93F2">
      <w:pPr>
        <w:rPr>
          <w:rFonts w:hint="eastAsia" w:eastAsia="仿宋"/>
          <w:highlight w:val="none"/>
        </w:rPr>
      </w:pPr>
    </w:p>
    <w:p w14:paraId="635AE227">
      <w:pPr>
        <w:widowControl/>
        <w:spacing w:before="120" w:beforeLines="50" w:after="120" w:afterLines="50" w:line="400" w:lineRule="exact"/>
        <w:jc w:val="center"/>
        <w:rPr>
          <w:rFonts w:eastAsia="仿宋"/>
          <w:b/>
          <w:bCs/>
          <w:sz w:val="28"/>
          <w:szCs w:val="28"/>
          <w:highlight w:val="none"/>
        </w:rPr>
      </w:pPr>
      <w:r>
        <w:rPr>
          <w:rFonts w:hint="eastAsia" w:ascii="仿宋" w:hAnsi="仿宋" w:eastAsia="仿宋" w:cs="仿宋"/>
          <w:b/>
          <w:bCs/>
          <w:color w:val="000000"/>
          <w:sz w:val="28"/>
          <w:szCs w:val="28"/>
          <w:highlight w:val="none"/>
          <w:lang w:eastAsia="zh-CN"/>
        </w:rPr>
        <w:t>安徽省紧密型县域医共体设备更新一期项目-核磁共振成像系统（MR）二</w:t>
      </w:r>
      <w:r>
        <w:rPr>
          <w:rFonts w:hint="eastAsia" w:ascii="仿宋" w:hAnsi="仿宋" w:eastAsia="仿宋" w:cs="仿宋"/>
          <w:b/>
          <w:bCs/>
          <w:sz w:val="28"/>
          <w:szCs w:val="28"/>
          <w:highlight w:val="none"/>
        </w:rPr>
        <w:t>招标公告</w:t>
      </w:r>
    </w:p>
    <w:p w14:paraId="692A6D5B">
      <w:pPr>
        <w:pBdr>
          <w:top w:val="single" w:color="auto" w:sz="4" w:space="1"/>
          <w:left w:val="single" w:color="auto" w:sz="4" w:space="4"/>
          <w:bottom w:val="single" w:color="auto" w:sz="4" w:space="13"/>
          <w:right w:val="single" w:color="auto" w:sz="4" w:space="4"/>
        </w:pBdr>
        <w:adjustRightInd w:val="0"/>
        <w:snapToGrid w:val="0"/>
        <w:spacing w:line="56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项目概况</w:t>
      </w:r>
    </w:p>
    <w:p w14:paraId="7F3861D0">
      <w:pPr>
        <w:pBdr>
          <w:top w:val="single" w:color="auto" w:sz="4" w:space="1"/>
          <w:left w:val="single" w:color="auto" w:sz="4" w:space="4"/>
          <w:bottom w:val="single" w:color="auto" w:sz="4" w:space="13"/>
          <w:right w:val="single" w:color="auto" w:sz="4" w:space="4"/>
        </w:pBdr>
        <w:adjustRightInd w:val="0"/>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安徽省紧密型县域医共体设备更新一期项目-核磁共振成像系统（MR）二</w:t>
      </w:r>
      <w:r>
        <w:rPr>
          <w:rFonts w:hint="eastAsia" w:ascii="仿宋" w:hAnsi="仿宋" w:eastAsia="仿宋" w:cs="仿宋"/>
          <w:color w:val="000000"/>
          <w:sz w:val="28"/>
          <w:szCs w:val="28"/>
          <w:highlight w:val="none"/>
        </w:rPr>
        <w:t>招标项目的潜在投标人应在“优质采招标采购平台（www.yzczb.com）”或“优质采云采购平台（www.youzhicai.com）”获取招标文件，并于2025年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23</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点</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分</w:t>
      </w:r>
      <w:r>
        <w:rPr>
          <w:rFonts w:hint="eastAsia" w:ascii="仿宋" w:hAnsi="仿宋" w:eastAsia="仿宋" w:cs="仿宋"/>
          <w:bCs/>
          <w:color w:val="000000"/>
          <w:sz w:val="28"/>
          <w:szCs w:val="28"/>
          <w:highlight w:val="none"/>
        </w:rPr>
        <w:t>（北京时间）前递交投标文件</w:t>
      </w:r>
      <w:r>
        <w:rPr>
          <w:rFonts w:hint="eastAsia" w:ascii="仿宋" w:hAnsi="仿宋" w:eastAsia="仿宋" w:cs="仿宋"/>
          <w:color w:val="000000"/>
          <w:sz w:val="28"/>
          <w:szCs w:val="28"/>
          <w:highlight w:val="none"/>
        </w:rPr>
        <w:t>。</w:t>
      </w:r>
    </w:p>
    <w:p w14:paraId="233E85D4">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sz w:val="28"/>
          <w:szCs w:val="28"/>
          <w:highlight w:val="none"/>
        </w:rPr>
      </w:pPr>
      <w:bookmarkStart w:id="7" w:name="_Toc28359079"/>
      <w:bookmarkStart w:id="8" w:name="_Toc35393621"/>
      <w:bookmarkStart w:id="9" w:name="_Toc35393790"/>
      <w:bookmarkStart w:id="10" w:name="_Toc28359002"/>
      <w:bookmarkStart w:id="11" w:name="_Hlk24379207"/>
      <w:r>
        <w:rPr>
          <w:rStyle w:val="107"/>
          <w:rFonts w:hint="eastAsia" w:hAnsi="宋体"/>
          <w:b w:val="0"/>
          <w:bCs w:val="0"/>
          <w:sz w:val="28"/>
          <w:szCs w:val="28"/>
          <w:highlight w:val="none"/>
        </w:rPr>
        <w:t>一、项目基本情况</w:t>
      </w:r>
      <w:bookmarkEnd w:id="7"/>
      <w:bookmarkEnd w:id="8"/>
      <w:bookmarkEnd w:id="9"/>
      <w:bookmarkEnd w:id="10"/>
    </w:p>
    <w:p w14:paraId="5DDC6087">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lang w:eastAsia="zh-CN"/>
        </w:rPr>
        <w:t>ZF2025-36-2023</w:t>
      </w:r>
    </w:p>
    <w:p w14:paraId="62A34C13">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安徽省紧密型县域医共体设备更新一期项目-核磁共振成像系统（MR）二</w:t>
      </w:r>
    </w:p>
    <w:bookmarkEnd w:id="11"/>
    <w:p w14:paraId="03C384D3">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预算金额：</w:t>
      </w:r>
      <w:r>
        <w:rPr>
          <w:rFonts w:hint="eastAsia" w:ascii="仿宋" w:hAnsi="仿宋" w:eastAsia="仿宋" w:cs="仿宋"/>
          <w:sz w:val="28"/>
          <w:szCs w:val="28"/>
          <w:highlight w:val="none"/>
          <w:lang w:val="en-US" w:eastAsia="zh-CN"/>
        </w:rPr>
        <w:t>1000万元。</w:t>
      </w:r>
    </w:p>
    <w:p w14:paraId="6D3A1E72">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最高限价：</w:t>
      </w:r>
      <w:r>
        <w:rPr>
          <w:rFonts w:hint="eastAsia" w:ascii="仿宋" w:hAnsi="仿宋" w:eastAsia="仿宋" w:cs="仿宋"/>
          <w:sz w:val="28"/>
          <w:szCs w:val="28"/>
          <w:highlight w:val="none"/>
          <w:lang w:val="en-US" w:eastAsia="zh-CN"/>
        </w:rPr>
        <w:t>1000万元</w:t>
      </w:r>
      <w:r>
        <w:rPr>
          <w:rFonts w:hint="eastAsia" w:ascii="仿宋" w:hAnsi="仿宋" w:eastAsia="仿宋" w:cs="仿宋"/>
          <w:sz w:val="28"/>
          <w:szCs w:val="28"/>
          <w:highlight w:val="none"/>
          <w:lang w:eastAsia="zh-CN"/>
        </w:rPr>
        <w:t>。</w:t>
      </w:r>
    </w:p>
    <w:p w14:paraId="25162F4C">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采购需求：</w:t>
      </w:r>
      <w:r>
        <w:rPr>
          <w:rFonts w:hint="eastAsia" w:ascii="仿宋" w:hAnsi="仿宋" w:eastAsia="仿宋" w:cs="仿宋"/>
          <w:sz w:val="28"/>
          <w:szCs w:val="28"/>
          <w:highlight w:val="none"/>
          <w:lang w:eastAsia="zh-CN"/>
        </w:rPr>
        <w:t>安徽省紧密型县域医共体设备更新一期项目-核磁共振成像系统（MR）二</w:t>
      </w:r>
      <w:r>
        <w:rPr>
          <w:rFonts w:hint="eastAsia" w:ascii="仿宋" w:hAnsi="仿宋" w:eastAsia="仿宋" w:cs="仿宋"/>
          <w:sz w:val="28"/>
          <w:szCs w:val="28"/>
          <w:highlight w:val="none"/>
        </w:rPr>
        <w:t>，具体内容详见采购文件。</w:t>
      </w:r>
    </w:p>
    <w:p w14:paraId="7308BB49">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合同履行期限：合同生效后60日历天内完成供货安装调试。</w:t>
      </w:r>
    </w:p>
    <w:p w14:paraId="6115ED9D">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本项目不接受联合体投标。</w:t>
      </w:r>
      <w:bookmarkStart w:id="12" w:name="_Toc35393622"/>
      <w:bookmarkStart w:id="13" w:name="_Toc28359003"/>
      <w:bookmarkStart w:id="14" w:name="_Toc28359080"/>
      <w:bookmarkStart w:id="15" w:name="_Toc35393791"/>
    </w:p>
    <w:p w14:paraId="446653C4">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color w:val="auto"/>
          <w:sz w:val="28"/>
          <w:szCs w:val="28"/>
          <w:highlight w:val="none"/>
        </w:rPr>
      </w:pPr>
      <w:r>
        <w:rPr>
          <w:rStyle w:val="107"/>
          <w:rFonts w:hint="eastAsia" w:hAnsi="宋体"/>
          <w:b w:val="0"/>
          <w:bCs w:val="0"/>
          <w:color w:val="auto"/>
          <w:sz w:val="28"/>
          <w:szCs w:val="28"/>
          <w:highlight w:val="none"/>
        </w:rPr>
        <w:t>二、投标人的资格要求：</w:t>
      </w:r>
      <w:bookmarkEnd w:id="12"/>
      <w:bookmarkEnd w:id="13"/>
      <w:bookmarkEnd w:id="14"/>
      <w:bookmarkEnd w:id="15"/>
    </w:p>
    <w:p w14:paraId="2C1B8C99">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bookmarkStart w:id="16" w:name="OLE_LINK9"/>
      <w:bookmarkStart w:id="17" w:name="_Toc35393623"/>
      <w:bookmarkStart w:id="18" w:name="_Toc28359081"/>
      <w:bookmarkStart w:id="19" w:name="_Toc35393792"/>
      <w:bookmarkStart w:id="20" w:name="_Toc28359004"/>
      <w:r>
        <w:rPr>
          <w:rFonts w:hint="eastAsia" w:ascii="仿宋" w:hAnsi="仿宋" w:eastAsia="仿宋" w:cs="仿宋"/>
          <w:color w:val="auto"/>
          <w:sz w:val="28"/>
          <w:szCs w:val="28"/>
          <w:highlight w:val="none"/>
        </w:rPr>
        <w:t>1.满足《中华人民共和国政府采购法》第二十二条规定；</w:t>
      </w:r>
    </w:p>
    <w:p w14:paraId="6B90761D">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2.落实政府采购政策需满足的资格要求：无；</w:t>
      </w:r>
    </w:p>
    <w:p w14:paraId="00980604">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3.本项目的特定资格要求：</w:t>
      </w:r>
    </w:p>
    <w:p w14:paraId="7C8AACE5">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bookmarkStart w:id="21" w:name="OLE_LINK11"/>
      <w:r>
        <w:rPr>
          <w:rFonts w:hint="eastAsia" w:ascii="仿宋" w:hAnsi="仿宋" w:eastAsia="仿宋" w:cs="仿宋"/>
          <w:color w:val="auto"/>
          <w:sz w:val="28"/>
          <w:szCs w:val="28"/>
          <w:highlight w:val="none"/>
        </w:rPr>
        <w:t>3.1</w:t>
      </w:r>
      <w:bookmarkEnd w:id="21"/>
      <w:r>
        <w:rPr>
          <w:rFonts w:hint="eastAsia" w:ascii="仿宋" w:hAnsi="仿宋" w:eastAsia="仿宋" w:cs="仿宋"/>
          <w:color w:val="auto"/>
          <w:sz w:val="28"/>
          <w:szCs w:val="28"/>
          <w:highlight w:val="none"/>
        </w:rPr>
        <w:t>投标主体要求</w:t>
      </w:r>
    </w:p>
    <w:p w14:paraId="3D05AC03">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3.1.1在中华人民共和国关境内注册，有能力供货的产品制造商。</w:t>
      </w:r>
    </w:p>
    <w:p w14:paraId="4AF0637E">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3.1.2制造商可以独立参加投标；制造商（或制造商所在的集团公司）在中国关境内设立的仅销售本制造商（或制造商所在的集团公司）产品的贸易公司也可参加投标，视同为制造商。</w:t>
      </w:r>
    </w:p>
    <w:p w14:paraId="532728C6">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3.2资质要求：</w:t>
      </w:r>
    </w:p>
    <w:p w14:paraId="57DCC4D2">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3.2.1若投标产品为第二类和第三类医疗器械，应提供有效的医疗器械生产许可证；若投标产品为第一类医疗器械，须在投标文件中提供备案证明材料或承诺函，承诺在合同签订前提供其向所在地设区的市级负责药品监督管理部门完成生产备案的证明材料，若未按规定提供视为自动放弃中标资格；</w:t>
      </w:r>
    </w:p>
    <w:p w14:paraId="3A18B8B9">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3.2.2投标人资格要求第3.1.2条所述视同制造商的贸易公司参加投标时，或投标人（医疗器械注册人、备案人）在其他场所（非其住所或者生产地址）贮存并销售医疗器械时：若投标产品为第三类医疗器械，应提供有效的医疗器械经营许可证；若投标产品为第二类医疗器械，须在投标文件中提供备案证明材料或承诺函，承诺在合同签订前提供其向所在地设区的市级负责药品监督管理部门完成经营备案的证明材料，若未按规定提供视为自动放弃中标资格；若投标产品在《免于经营备案的第二类医疗器械产品目录》中，可不提供备案证明材料或者承诺函，但需要投标文件中提供目录或说明。</w:t>
      </w:r>
    </w:p>
    <w:p w14:paraId="462339C8">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3.2.3 若投标产品为第二类和第三类医疗器械，投标产品须具有有效的医疗器械注册证；若投标产品为第一类医疗器械，须在投标文件中提供备案证明材料或承诺函，承诺在合同签订前提供其向相应药品监督管理部门完成产品备案的证明材料，若未按规定提供视为自动放弃中标资格。</w:t>
      </w:r>
    </w:p>
    <w:p w14:paraId="2D02B9FB">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3.2.4 投标产品为射线装置时：若投标人</w:t>
      </w:r>
      <w:r>
        <w:rPr>
          <w:rFonts w:hint="eastAsia" w:ascii="仿宋" w:hAnsi="仿宋" w:eastAsia="仿宋" w:cs="仿宋"/>
          <w:color w:val="auto"/>
          <w:sz w:val="28"/>
          <w:szCs w:val="28"/>
          <w:highlight w:val="none"/>
          <w:lang w:val="en-US" w:eastAsia="zh-CN"/>
        </w:rPr>
        <w:t>为</w:t>
      </w:r>
      <w:r>
        <w:rPr>
          <w:rFonts w:hint="eastAsia" w:ascii="仿宋" w:hAnsi="仿宋" w:eastAsia="仿宋" w:cs="仿宋"/>
          <w:color w:val="auto"/>
          <w:sz w:val="28"/>
          <w:szCs w:val="28"/>
          <w:highlight w:val="none"/>
        </w:rPr>
        <w:t>投标人资格要求第3.1.2条所述视同制造商的贸易公司，应提供投标人有效的辐射安全许可证和所投产品制造商有效的辐射安全许可证；若投标人为所投产品制造商，应提供有效的辐射安全许可证。</w:t>
      </w:r>
    </w:p>
    <w:bookmarkEnd w:id="16"/>
    <w:p w14:paraId="29EEC17C">
      <w:pPr>
        <w:pageBreakBefore w:val="0"/>
        <w:widowControl/>
        <w:kinsoku/>
        <w:overflowPunct/>
        <w:autoSpaceDE/>
        <w:autoSpaceDN/>
        <w:bidi w:val="0"/>
        <w:spacing w:line="560" w:lineRule="exact"/>
        <w:ind w:firstLine="560" w:firstLineChars="200"/>
        <w:textAlignment w:val="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3.3业绩要求：无；</w:t>
      </w:r>
    </w:p>
    <w:p w14:paraId="24E0199D">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3.4接受联合体参加采购活动的，联合体应当满足下列要求：无；</w:t>
      </w:r>
    </w:p>
    <w:p w14:paraId="3F34CD14">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3.5信誉要求</w:t>
      </w:r>
    </w:p>
    <w:p w14:paraId="198D6D10">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截至提交投标文件截止时间，投标人（不含其不具有独立法人资格的分支机构）存在下列有效情形之一的，其投标文件按无效处理。</w:t>
      </w:r>
    </w:p>
    <w:p w14:paraId="5258B992">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auto"/>
          <w:sz w:val="28"/>
          <w:szCs w:val="28"/>
          <w:highlight w:val="none"/>
        </w:rPr>
        <w:t>（1）被人民法院列入失信被</w:t>
      </w:r>
      <w:r>
        <w:rPr>
          <w:rFonts w:hint="eastAsia" w:ascii="仿宋" w:hAnsi="仿宋" w:eastAsia="仿宋" w:cs="仿宋"/>
          <w:color w:val="000000"/>
          <w:sz w:val="28"/>
          <w:szCs w:val="28"/>
          <w:highlight w:val="none"/>
        </w:rPr>
        <w:t>执行人名单的；</w:t>
      </w:r>
    </w:p>
    <w:p w14:paraId="3E04963B">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（2）被税务机关列入重大税收违法案件当事人名单的；</w:t>
      </w:r>
    </w:p>
    <w:p w14:paraId="15BBE439">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（3）被财政部门列入政府采购严重违法失信名单的；</w:t>
      </w:r>
    </w:p>
    <w:p w14:paraId="1E19B271">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被市场监督管理部门（或工商行政管理部门）列入经营异常名录（未按照《企业信息公示暂行条例》（国务院令第654号）第八条规定的期限公示年度报告被列入经营异常名录的除外）或者严重违法失信企业名单的。</w:t>
      </w:r>
    </w:p>
    <w:p w14:paraId="58174795">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注：“有效”是指“情形”规定的程度、起止期间处于有效状态。投标人为联合体的，对投标人的要求视同对联合体成员的要求。</w:t>
      </w:r>
    </w:p>
    <w:p w14:paraId="50FE982D">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auto"/>
          <w:sz w:val="28"/>
          <w:szCs w:val="28"/>
          <w:highlight w:val="none"/>
        </w:rPr>
        <w:t>3.6</w:t>
      </w:r>
      <w:r>
        <w:rPr>
          <w:rFonts w:hint="eastAsia" w:ascii="仿宋" w:hAnsi="仿宋" w:eastAsia="仿宋" w:cs="仿宋"/>
          <w:color w:val="000000"/>
          <w:sz w:val="28"/>
          <w:szCs w:val="28"/>
          <w:highlight w:val="none"/>
        </w:rPr>
        <w:t>其他要求：无。</w:t>
      </w:r>
    </w:p>
    <w:p w14:paraId="1AF53D6A">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sz w:val="28"/>
          <w:szCs w:val="28"/>
          <w:highlight w:val="none"/>
        </w:rPr>
      </w:pPr>
      <w:r>
        <w:rPr>
          <w:rStyle w:val="107"/>
          <w:rFonts w:hint="eastAsia" w:hAnsi="宋体"/>
          <w:b w:val="0"/>
          <w:bCs w:val="0"/>
          <w:sz w:val="28"/>
          <w:szCs w:val="28"/>
          <w:highlight w:val="none"/>
        </w:rPr>
        <w:t>三、获取招标文件</w:t>
      </w:r>
      <w:bookmarkEnd w:id="17"/>
      <w:bookmarkEnd w:id="18"/>
      <w:bookmarkEnd w:id="19"/>
      <w:bookmarkEnd w:id="20"/>
    </w:p>
    <w:p w14:paraId="656889DA">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时间：2025年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日至2025年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日</w:t>
      </w:r>
      <w:bookmarkStart w:id="901" w:name="_GoBack"/>
      <w:bookmarkEnd w:id="901"/>
      <w:r>
        <w:rPr>
          <w:rFonts w:hint="eastAsia" w:ascii="仿宋" w:hAnsi="仿宋" w:eastAsia="仿宋" w:cs="仿宋"/>
          <w:color w:val="000000"/>
          <w:sz w:val="28"/>
          <w:szCs w:val="28"/>
          <w:highlight w:val="none"/>
        </w:rPr>
        <w:t>。</w:t>
      </w:r>
    </w:p>
    <w:p w14:paraId="38C3B18A">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地点：“优质采招标采购平台（www.yzczb.com）”或“优质采云采购平台（www.youzhicai.com）”</w:t>
      </w:r>
    </w:p>
    <w:p w14:paraId="0E5DC4E8">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方式：在线下载</w:t>
      </w:r>
    </w:p>
    <w:p w14:paraId="445DA6B2">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售价(元)：0</w:t>
      </w:r>
    </w:p>
    <w:p w14:paraId="07643CFD">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color w:val="000000"/>
          <w:sz w:val="28"/>
          <w:szCs w:val="28"/>
          <w:highlight w:val="none"/>
        </w:rPr>
      </w:pPr>
      <w:bookmarkStart w:id="22" w:name="_Toc28359005"/>
      <w:bookmarkStart w:id="23" w:name="_Toc28359082"/>
      <w:bookmarkStart w:id="24" w:name="_Toc35393793"/>
      <w:bookmarkStart w:id="25" w:name="_Toc35393624"/>
      <w:r>
        <w:rPr>
          <w:rStyle w:val="107"/>
          <w:rFonts w:hint="eastAsia" w:hAnsi="宋体"/>
          <w:b w:val="0"/>
          <w:bCs w:val="0"/>
          <w:color w:val="000000"/>
          <w:sz w:val="28"/>
          <w:szCs w:val="28"/>
          <w:highlight w:val="none"/>
        </w:rPr>
        <w:t>四、提交投标文件</w:t>
      </w:r>
      <w:bookmarkEnd w:id="22"/>
      <w:bookmarkEnd w:id="23"/>
      <w:r>
        <w:rPr>
          <w:rStyle w:val="107"/>
          <w:rFonts w:hint="eastAsia" w:hAnsi="宋体"/>
          <w:b w:val="0"/>
          <w:bCs w:val="0"/>
          <w:color w:val="000000"/>
          <w:sz w:val="28"/>
          <w:szCs w:val="28"/>
          <w:highlight w:val="none"/>
        </w:rPr>
        <w:t>截止时间、开标时间和地点</w:t>
      </w:r>
      <w:bookmarkEnd w:id="24"/>
      <w:bookmarkEnd w:id="25"/>
    </w:p>
    <w:p w14:paraId="74EB1C7D">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2025年</w:t>
      </w:r>
      <w:r>
        <w:rPr>
          <w:rFonts w:hint="eastAsia" w:ascii="仿宋" w:hAnsi="仿宋" w:eastAsia="仿宋" w:cs="仿宋"/>
          <w:color w:val="000000"/>
          <w:sz w:val="28"/>
          <w:szCs w:val="28"/>
          <w:highlight w:val="none"/>
          <w:lang w:val="en-US" w:eastAsia="zh-CN"/>
        </w:rPr>
        <w:t>12</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lang w:val="en-US" w:eastAsia="zh-CN"/>
        </w:rPr>
        <w:t>23</w:t>
      </w:r>
      <w:r>
        <w:rPr>
          <w:rFonts w:hint="eastAsia" w:ascii="仿宋" w:hAnsi="仿宋" w:eastAsia="仿宋" w:cs="仿宋"/>
          <w:color w:val="000000"/>
          <w:sz w:val="28"/>
          <w:szCs w:val="28"/>
          <w:highlight w:val="none"/>
        </w:rPr>
        <w:t>日</w:t>
      </w:r>
      <w:r>
        <w:rPr>
          <w:rFonts w:hint="eastAsia" w:ascii="仿宋" w:hAnsi="仿宋" w:eastAsia="仿宋" w:cs="仿宋"/>
          <w:color w:val="000000"/>
          <w:sz w:val="28"/>
          <w:szCs w:val="28"/>
          <w:highlight w:val="none"/>
          <w:lang w:val="en-US" w:eastAsia="zh-CN"/>
        </w:rPr>
        <w:t>9</w:t>
      </w:r>
      <w:r>
        <w:rPr>
          <w:rFonts w:hint="eastAsia" w:ascii="仿宋" w:hAnsi="仿宋" w:eastAsia="仿宋" w:cs="仿宋"/>
          <w:color w:val="000000"/>
          <w:sz w:val="28"/>
          <w:szCs w:val="28"/>
          <w:highlight w:val="none"/>
        </w:rPr>
        <w:t>点</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分</w:t>
      </w:r>
      <w:r>
        <w:rPr>
          <w:rFonts w:hint="eastAsia" w:ascii="仿宋" w:hAnsi="仿宋" w:eastAsia="仿宋" w:cs="仿宋"/>
          <w:bCs/>
          <w:color w:val="000000"/>
          <w:sz w:val="28"/>
          <w:szCs w:val="28"/>
          <w:highlight w:val="none"/>
        </w:rPr>
        <w:t>（北京时间）</w:t>
      </w:r>
    </w:p>
    <w:p w14:paraId="6553E1B2">
      <w:pPr>
        <w:pageBreakBefore w:val="0"/>
        <w:kinsoku/>
        <w:overflowPunct/>
        <w:autoSpaceDE/>
        <w:autoSpaceDN/>
        <w:bidi w:val="0"/>
        <w:adjustRightInd w:val="0"/>
        <w:snapToGrid w:val="0"/>
        <w:spacing w:line="560" w:lineRule="exact"/>
        <w:ind w:firstLine="560" w:firstLineChars="200"/>
        <w:textAlignment w:val="auto"/>
        <w:rPr>
          <w:rFonts w:ascii="宋体" w:hAnsi="宋体" w:eastAsia="仿宋"/>
          <w:color w:val="000000"/>
          <w:sz w:val="28"/>
          <w:szCs w:val="28"/>
          <w:highlight w:val="none"/>
        </w:rPr>
      </w:pPr>
      <w:r>
        <w:rPr>
          <w:rFonts w:hint="eastAsia" w:ascii="仿宋" w:hAnsi="仿宋" w:eastAsia="仿宋" w:cs="仿宋"/>
          <w:color w:val="000000"/>
          <w:sz w:val="28"/>
          <w:szCs w:val="28"/>
          <w:highlight w:val="none"/>
        </w:rPr>
        <w:t>地点：</w:t>
      </w:r>
      <w:bookmarkStart w:id="26" w:name="_Hlk44253880"/>
      <w:r>
        <w:rPr>
          <w:rFonts w:hint="eastAsia" w:ascii="仿宋" w:hAnsi="仿宋" w:eastAsia="仿宋" w:cs="仿宋"/>
          <w:color w:val="000000"/>
          <w:sz w:val="28"/>
          <w:szCs w:val="28"/>
          <w:highlight w:val="none"/>
        </w:rPr>
        <w:t>“优质采招标采购平台（www.yzczb.com）”或“优质采云采购平台（www.youzhicai.com）”</w:t>
      </w:r>
      <w:bookmarkEnd w:id="26"/>
    </w:p>
    <w:p w14:paraId="51880F4B">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sz w:val="28"/>
          <w:szCs w:val="28"/>
          <w:highlight w:val="none"/>
        </w:rPr>
      </w:pPr>
      <w:bookmarkStart w:id="27" w:name="_Toc28359084"/>
      <w:bookmarkStart w:id="28" w:name="_Toc35393794"/>
      <w:bookmarkStart w:id="29" w:name="_Toc28359007"/>
      <w:bookmarkStart w:id="30" w:name="_Toc35393625"/>
      <w:r>
        <w:rPr>
          <w:rStyle w:val="107"/>
          <w:rFonts w:hint="eastAsia" w:hAnsi="宋体"/>
          <w:b w:val="0"/>
          <w:bCs w:val="0"/>
          <w:sz w:val="28"/>
          <w:szCs w:val="28"/>
          <w:highlight w:val="none"/>
        </w:rPr>
        <w:t>五、公告期限</w:t>
      </w:r>
      <w:bookmarkEnd w:id="27"/>
      <w:bookmarkEnd w:id="28"/>
      <w:bookmarkEnd w:id="29"/>
      <w:bookmarkEnd w:id="30"/>
    </w:p>
    <w:p w14:paraId="3938EA24">
      <w:pPr>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自本公告发布之日起5个工作日。</w:t>
      </w:r>
    </w:p>
    <w:p w14:paraId="30EE43A7">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sz w:val="28"/>
          <w:szCs w:val="28"/>
          <w:highlight w:val="none"/>
        </w:rPr>
      </w:pPr>
      <w:bookmarkStart w:id="31" w:name="_Toc35393626"/>
      <w:bookmarkStart w:id="32" w:name="_Toc35393795"/>
      <w:r>
        <w:rPr>
          <w:rStyle w:val="107"/>
          <w:rFonts w:hint="eastAsia" w:hAnsi="宋体"/>
          <w:b w:val="0"/>
          <w:bCs w:val="0"/>
          <w:sz w:val="28"/>
          <w:szCs w:val="28"/>
          <w:highlight w:val="none"/>
        </w:rPr>
        <w:t>六、其他补充事宜</w:t>
      </w:r>
      <w:bookmarkEnd w:id="31"/>
      <w:bookmarkEnd w:id="32"/>
    </w:p>
    <w:p w14:paraId="5EF0CA0D">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1.本项目相关信息同时在“安徽省政府采购网、优质采招标采购平台（www.yzczb.com）和优质采云采购平台（www.youzhicai.com）”等媒介上发布；</w:t>
      </w:r>
    </w:p>
    <w:p w14:paraId="47E3A9A1">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2.本项目需落实的节能环保、中小企业扶持等相关政府采购政策详见招标文件。</w:t>
      </w:r>
    </w:p>
    <w:p w14:paraId="159D18F8">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3.政府采购电子化交易要求：</w:t>
      </w:r>
    </w:p>
    <w:p w14:paraId="4EBFC57D">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潜在投标人/供应商须登录“优质采招标采购平台（www.yzczb.com）”或“优质采云采购平台（www.youzhicai.com）”（以下称“优质采平台”）参与本项目招标采购活动。首次登录须办理注册手续，请务必选择注册为“投标人角色”类型。注册流程见优质采平台“用户注册”栏目，咨询电话：400-0099-555。因未及时办理注册手续影响参加招标采购活动的，责任自负。</w:t>
      </w:r>
    </w:p>
    <w:p w14:paraId="471A0293">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已注册的潜在投标人/供应商可登录优质采平台获取招标文件，本项目的招标文件及其他资料（含澄清、答疑及相关补充文件）通过优质采平台发布，采购人/代理机构不再另行书面通知，潜在投标人/供应商应及时关注、查阅优质采平台。因未及时查看导致不利后果的，责任自负。</w:t>
      </w:r>
    </w:p>
    <w:p w14:paraId="54351F63">
      <w:pPr>
        <w:pageBreakBefore w:val="0"/>
        <w:widowControl/>
        <w:kinsoku/>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（3）已注册的潜在投标人/供应商若注册信息发生变更（如：与初始注册信息不一致），应及时网上提交变更申请。因未及时变更导致不利后果的，责任自负。</w:t>
      </w:r>
    </w:p>
    <w:p w14:paraId="5700D812">
      <w:pPr>
        <w:pageBreakBefore w:val="0"/>
        <w:widowControl/>
        <w:kinsoku/>
        <w:wordWrap w:val="0"/>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019503E2">
      <w:pPr>
        <w:pageBreakBefore w:val="0"/>
        <w:widowControl/>
        <w:kinsoku/>
        <w:wordWrap w:val="0"/>
        <w:overflowPunct/>
        <w:topLinePunct/>
        <w:autoSpaceDE/>
        <w:autoSpaceDN/>
        <w:bidi w:val="0"/>
        <w:spacing w:line="56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（5）电子投标/响应文件必须使用“优质采投标文件制作工具”制作生成并上传。下载地址：http://toolcdn.youzhicai.com/tools/BidderTools.zip，使用说明书及视频教程下载地址:http://file.youzhicai.com/files/BidderHelp.rar。</w:t>
      </w:r>
    </w:p>
    <w:p w14:paraId="638038E1">
      <w:pPr>
        <w:pageBreakBefore w:val="0"/>
        <w:widowControl/>
        <w:kinsoku/>
        <w:overflowPunct/>
        <w:topLinePunct/>
        <w:autoSpaceDE/>
        <w:autoSpaceDN/>
        <w:bidi w:val="0"/>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根据《政府采购促进中小企业发展管理办法》（财库〔2020〕46号）第六条规定，本次采购符合不专门面向中小企业预留采购份额的情形：本项目符合财政部、工业和信息化部制定的《政府采购促进中小企业发展管理办法》第六条第</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款之规定，为非专门面向中小企业采购项目。具体原因如下：按照本办法规定预留采购份额无法确保充分供应、充分竞争，或者</w:t>
      </w:r>
      <w:r>
        <w:rPr>
          <w:rFonts w:hint="eastAsia" w:ascii="仿宋" w:hAnsi="仿宋" w:eastAsia="仿宋" w:cs="仿宋"/>
          <w:sz w:val="28"/>
          <w:szCs w:val="28"/>
          <w:highlight w:val="none"/>
          <w:lang w:val="en-US" w:eastAsia="zh-CN"/>
        </w:rPr>
        <w:t>存</w:t>
      </w:r>
      <w:r>
        <w:rPr>
          <w:rFonts w:hint="eastAsia" w:ascii="仿宋" w:hAnsi="仿宋" w:eastAsia="仿宋" w:cs="仿宋"/>
          <w:sz w:val="28"/>
          <w:szCs w:val="28"/>
          <w:highlight w:val="none"/>
        </w:rPr>
        <w:t>在可能影响政府</w:t>
      </w:r>
      <w:r>
        <w:rPr>
          <w:rFonts w:hint="eastAsia" w:ascii="仿宋" w:hAnsi="仿宋" w:eastAsia="仿宋" w:cs="仿宋"/>
          <w:sz w:val="28"/>
          <w:szCs w:val="28"/>
          <w:highlight w:val="none"/>
          <w:lang w:val="en-US" w:eastAsia="zh-CN"/>
        </w:rPr>
        <w:t>采</w:t>
      </w:r>
      <w:r>
        <w:rPr>
          <w:rFonts w:hint="eastAsia" w:ascii="仿宋" w:hAnsi="仿宋" w:eastAsia="仿宋" w:cs="仿宋"/>
          <w:sz w:val="28"/>
          <w:szCs w:val="28"/>
          <w:highlight w:val="none"/>
        </w:rPr>
        <w:t>购</w:t>
      </w:r>
      <w:r>
        <w:rPr>
          <w:rFonts w:hint="eastAsia" w:ascii="仿宋" w:hAnsi="仿宋" w:eastAsia="仿宋" w:cs="仿宋"/>
          <w:sz w:val="28"/>
          <w:szCs w:val="28"/>
          <w:highlight w:val="none"/>
          <w:lang w:val="en-US" w:eastAsia="zh-CN"/>
        </w:rPr>
        <w:t>目标实现的情形</w:t>
      </w:r>
      <w:r>
        <w:rPr>
          <w:rFonts w:hint="eastAsia" w:ascii="仿宋" w:hAnsi="仿宋" w:eastAsia="仿宋" w:cs="仿宋"/>
          <w:sz w:val="28"/>
          <w:szCs w:val="28"/>
          <w:highlight w:val="none"/>
        </w:rPr>
        <w:t>。投标人如有异议，可按招标文件约定提出询问或质疑。</w:t>
      </w:r>
    </w:p>
    <w:p w14:paraId="2FB7492C">
      <w:pPr>
        <w:pageBreakBefore w:val="0"/>
        <w:widowControl/>
        <w:kinsoku/>
        <w:overflowPunct/>
        <w:topLinePunct/>
        <w:autoSpaceDE/>
        <w:autoSpaceDN/>
        <w:bidi w:val="0"/>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5.本项目由各使用单位委托采购人安徽省卫生健康委员会统一组织采购，具体使用单位信息详见本公告附件。</w:t>
      </w:r>
    </w:p>
    <w:p w14:paraId="3E28C9E3">
      <w:pPr>
        <w:pStyle w:val="3"/>
        <w:pageBreakBefore w:val="0"/>
        <w:widowControl/>
        <w:kinsoku/>
        <w:overflowPunct/>
        <w:autoSpaceDE/>
        <w:autoSpaceDN/>
        <w:bidi w:val="0"/>
        <w:adjustRightInd w:val="0"/>
        <w:snapToGrid w:val="0"/>
        <w:spacing w:before="0" w:beforeLines="0" w:after="0" w:afterLines="0" w:line="560" w:lineRule="exact"/>
        <w:textAlignment w:val="auto"/>
        <w:rPr>
          <w:rStyle w:val="107"/>
          <w:rFonts w:hAnsi="宋体"/>
          <w:b w:val="0"/>
          <w:bCs w:val="0"/>
          <w:sz w:val="28"/>
          <w:szCs w:val="28"/>
          <w:highlight w:val="none"/>
        </w:rPr>
      </w:pPr>
      <w:bookmarkStart w:id="33" w:name="_Toc35393796"/>
      <w:bookmarkStart w:id="34" w:name="_Toc28359008"/>
      <w:bookmarkStart w:id="35" w:name="_Toc28359085"/>
      <w:bookmarkStart w:id="36" w:name="_Toc35393627"/>
      <w:r>
        <w:rPr>
          <w:rStyle w:val="107"/>
          <w:rFonts w:hint="eastAsia" w:hAnsi="宋体"/>
          <w:b w:val="0"/>
          <w:bCs w:val="0"/>
          <w:sz w:val="28"/>
          <w:szCs w:val="28"/>
          <w:highlight w:val="none"/>
        </w:rPr>
        <w:t>七、对本次招标提出询问，请按</w:t>
      </w:r>
      <w:r>
        <w:rPr>
          <w:rStyle w:val="107"/>
          <w:rFonts w:hAnsi="宋体"/>
          <w:b w:val="0"/>
          <w:bCs w:val="0"/>
          <w:sz w:val="28"/>
          <w:szCs w:val="28"/>
          <w:highlight w:val="none"/>
        </w:rPr>
        <w:t>以下方式</w:t>
      </w:r>
      <w:r>
        <w:rPr>
          <w:rStyle w:val="107"/>
          <w:rFonts w:hint="eastAsia" w:hAnsi="宋体"/>
          <w:b w:val="0"/>
          <w:bCs w:val="0"/>
          <w:sz w:val="28"/>
          <w:szCs w:val="28"/>
          <w:highlight w:val="none"/>
        </w:rPr>
        <w:t>联系。</w:t>
      </w:r>
      <w:bookmarkEnd w:id="33"/>
      <w:bookmarkEnd w:id="34"/>
      <w:bookmarkEnd w:id="35"/>
      <w:bookmarkEnd w:id="36"/>
    </w:p>
    <w:p w14:paraId="4C9111E5">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1.采购人信息</w:t>
      </w:r>
    </w:p>
    <w:p w14:paraId="65C707B9">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名 称：安徽省卫生健康委员会</w:t>
      </w:r>
    </w:p>
    <w:p w14:paraId="6FA14602">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 址：合肥市包河区屯溪路435号</w:t>
      </w:r>
    </w:p>
    <w:p w14:paraId="657D287B">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u w:val="single"/>
          <w:lang w:val="en-US" w:eastAsia="zh-CN"/>
        </w:rPr>
      </w:pPr>
      <w:r>
        <w:rPr>
          <w:rFonts w:hint="eastAsia" w:ascii="仿宋" w:hAnsi="仿宋" w:eastAsia="仿宋" w:cs="仿宋"/>
          <w:color w:val="000000"/>
          <w:sz w:val="28"/>
          <w:szCs w:val="28"/>
          <w:highlight w:val="none"/>
        </w:rPr>
        <w:t>联系方式：</w:t>
      </w:r>
      <w:bookmarkStart w:id="37" w:name="_Toc28359086"/>
      <w:bookmarkStart w:id="38" w:name="_Toc28359009"/>
      <w:r>
        <w:rPr>
          <w:rFonts w:hint="eastAsia" w:ascii="仿宋" w:hAnsi="仿宋" w:eastAsia="仿宋" w:cs="仿宋"/>
          <w:color w:val="000000"/>
          <w:sz w:val="28"/>
          <w:szCs w:val="28"/>
          <w:highlight w:val="none"/>
          <w:lang w:val="en-US" w:eastAsia="zh-CN"/>
        </w:rPr>
        <w:t>0551-62998136</w:t>
      </w:r>
    </w:p>
    <w:p w14:paraId="2C92FE43">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2.采购代理机构信息</w:t>
      </w:r>
      <w:bookmarkEnd w:id="37"/>
      <w:bookmarkEnd w:id="38"/>
    </w:p>
    <w:p w14:paraId="2886C99A">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名 称：安徽省招标集团股份有限公司</w:t>
      </w:r>
    </w:p>
    <w:p w14:paraId="49D0A7C5">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 址：安徽省合肥市包河区紫云路888号</w:t>
      </w:r>
    </w:p>
    <w:p w14:paraId="63ADEC0F">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联系方式：</w:t>
      </w:r>
      <w:bookmarkStart w:id="39" w:name="_Toc28359087"/>
      <w:bookmarkStart w:id="40" w:name="_Toc28359010"/>
      <w:r>
        <w:rPr>
          <w:rFonts w:hint="eastAsia" w:ascii="仿宋" w:hAnsi="仿宋" w:eastAsia="仿宋" w:cs="仿宋"/>
          <w:color w:val="000000"/>
          <w:sz w:val="28"/>
          <w:szCs w:val="28"/>
          <w:highlight w:val="none"/>
        </w:rPr>
        <w:t>应急客服电话：0551-62220153（接听时间：8:30-12:00,13:30-17:30，节假日除外。潜在投标人应优先拨打联系电话，无人接听时再拨打该“应急客服电话”）</w:t>
      </w:r>
    </w:p>
    <w:p w14:paraId="6B1781E2">
      <w:pPr>
        <w:pageBreakBefore w:val="0"/>
        <w:widowControl/>
        <w:kinsoku/>
        <w:overflowPunct/>
        <w:autoSpaceDE/>
        <w:autoSpaceDN/>
        <w:bidi w:val="0"/>
        <w:adjustRightInd w:val="0"/>
        <w:snapToGrid w:val="0"/>
        <w:spacing w:line="56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3.项目联系方式</w:t>
      </w:r>
      <w:bookmarkEnd w:id="39"/>
      <w:bookmarkEnd w:id="40"/>
    </w:p>
    <w:p w14:paraId="067CFF7C">
      <w:pPr>
        <w:pStyle w:val="25"/>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项目联系人：</w:t>
      </w:r>
      <w:r>
        <w:rPr>
          <w:rFonts w:hint="eastAsia" w:ascii="仿宋" w:hAnsi="仿宋" w:eastAsia="仿宋" w:cs="仿宋"/>
          <w:color w:val="000000"/>
          <w:sz w:val="28"/>
          <w:szCs w:val="28"/>
          <w:highlight w:val="none"/>
          <w:lang w:val="en-US" w:eastAsia="zh-CN"/>
        </w:rPr>
        <w:t>施雨朦、倪孟杰、程椿、许亮</w:t>
      </w:r>
    </w:p>
    <w:p w14:paraId="7F34C277">
      <w:pPr>
        <w:pStyle w:val="25"/>
        <w:pageBreakBefore w:val="0"/>
        <w:kinsoku/>
        <w:overflowPunct/>
        <w:autoSpaceDE/>
        <w:autoSpaceDN/>
        <w:bidi w:val="0"/>
        <w:adjustRightInd w:val="0"/>
        <w:snapToGrid w:val="0"/>
        <w:spacing w:line="560" w:lineRule="exact"/>
        <w:ind w:firstLine="560" w:firstLineChars="200"/>
        <w:textAlignment w:val="auto"/>
        <w:rPr>
          <w:rFonts w:hint="eastAsia" w:ascii="仿宋" w:hAnsi="仿宋" w:eastAsia="仿宋" w:cs="仿宋"/>
          <w:color w:val="auto"/>
          <w:sz w:val="28"/>
          <w:szCs w:val="28"/>
          <w:highlight w:val="none"/>
          <w:u w:val="single"/>
          <w:lang w:val="en-US" w:eastAsia="zh-CN"/>
        </w:rPr>
      </w:pPr>
      <w:r>
        <w:rPr>
          <w:rFonts w:hint="eastAsia" w:ascii="仿宋" w:hAnsi="仿宋" w:eastAsia="仿宋" w:cs="仿宋"/>
          <w:color w:val="000000"/>
          <w:sz w:val="28"/>
          <w:szCs w:val="28"/>
          <w:highlight w:val="none"/>
        </w:rPr>
        <w:t>电 话：</w:t>
      </w:r>
      <w:r>
        <w:rPr>
          <w:rFonts w:hint="eastAsia" w:ascii="仿宋" w:hAnsi="仿宋" w:eastAsia="仿宋" w:cs="仿宋"/>
          <w:color w:val="000000"/>
          <w:sz w:val="28"/>
          <w:szCs w:val="28"/>
          <w:highlight w:val="none"/>
          <w:lang w:val="en-US" w:eastAsia="zh-CN"/>
        </w:rPr>
        <w:t>0551-66061355、0551-66061352、0551-66061350、0551-66061351、18096669151（施）、</w:t>
      </w:r>
      <w:r>
        <w:rPr>
          <w:rFonts w:hint="eastAsia" w:ascii="仿宋" w:hAnsi="仿宋" w:eastAsia="仿宋" w:cs="仿宋"/>
          <w:color w:val="000000"/>
          <w:sz w:val="28"/>
          <w:szCs w:val="28"/>
          <w:highlight w:val="none"/>
        </w:rPr>
        <w:t>13866705214</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朱</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lang w:val="en-US" w:eastAsia="zh-CN"/>
        </w:rPr>
        <w:t>13696536668（许）</w:t>
      </w:r>
    </w:p>
    <w:p w14:paraId="2B63F68A">
      <w:pPr>
        <w:pStyle w:val="25"/>
        <w:adjustRightInd w:val="0"/>
        <w:snapToGrid w:val="0"/>
        <w:spacing w:line="360" w:lineRule="auto"/>
        <w:ind w:firstLine="660" w:firstLineChars="236"/>
        <w:rPr>
          <w:rFonts w:hint="default" w:hAnsi="宋体" w:eastAsia="仿宋"/>
          <w:color w:val="000000"/>
          <w:sz w:val="28"/>
          <w:szCs w:val="28"/>
          <w:highlight w:val="none"/>
          <w:u w:val="single"/>
          <w:lang w:val="en-US" w:eastAsia="zh-CN"/>
        </w:rPr>
      </w:pPr>
    </w:p>
    <w:p w14:paraId="2409D003">
      <w:pPr>
        <w:widowControl/>
        <w:spacing w:line="360" w:lineRule="auto"/>
        <w:ind w:firstLine="560" w:firstLineChars="200"/>
        <w:rPr>
          <w:rFonts w:hint="eastAsia" w:ascii="宋体" w:hAnsi="宋体" w:eastAsia="仿宋" w:cs="Calibri"/>
          <w:sz w:val="28"/>
          <w:szCs w:val="28"/>
          <w:highlight w:val="none"/>
        </w:rPr>
        <w:sectPr>
          <w:footerReference r:id="rId8"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71971471">
      <w:pPr>
        <w:widowControl/>
        <w:autoSpaceDN w:val="0"/>
        <w:jc w:val="center"/>
        <w:rPr>
          <w:rFonts w:hint="eastAsia" w:ascii="宋体" w:hAnsi="宋体" w:eastAsia="仿宋"/>
          <w:b/>
          <w:bCs/>
          <w:sz w:val="24"/>
          <w:highlight w:val="none"/>
        </w:rPr>
      </w:pPr>
      <w:r>
        <w:rPr>
          <w:rFonts w:hint="eastAsia" w:ascii="宋体" w:hAnsi="宋体" w:eastAsia="仿宋"/>
          <w:b/>
          <w:bCs/>
          <w:sz w:val="24"/>
          <w:highlight w:val="none"/>
        </w:rPr>
        <w:t>附件：《</w:t>
      </w:r>
      <w:r>
        <w:rPr>
          <w:rFonts w:hint="eastAsia" w:ascii="宋体" w:hAnsi="宋体" w:eastAsia="仿宋"/>
          <w:b/>
          <w:bCs/>
          <w:sz w:val="24"/>
          <w:highlight w:val="none"/>
          <w:lang w:eastAsia="zh-CN"/>
        </w:rPr>
        <w:t>安徽省紧密型县域医共体设备更新一期项目-核磁共振成像系统（MR）二</w:t>
      </w:r>
      <w:r>
        <w:rPr>
          <w:rFonts w:hint="eastAsia" w:ascii="宋体" w:hAnsi="宋体" w:eastAsia="仿宋"/>
          <w:b/>
          <w:bCs/>
          <w:sz w:val="24"/>
          <w:highlight w:val="none"/>
        </w:rPr>
        <w:t>使用单位名单》</w:t>
      </w:r>
    </w:p>
    <w:p w14:paraId="0FEA9774">
      <w:pPr>
        <w:widowControl/>
        <w:autoSpaceDN w:val="0"/>
        <w:rPr>
          <w:rFonts w:hint="eastAsia" w:ascii="宋体" w:hAnsi="宋体" w:eastAsia="仿宋"/>
          <w:b/>
          <w:bCs/>
          <w:sz w:val="24"/>
          <w:highlight w:val="none"/>
        </w:rPr>
      </w:pPr>
    </w:p>
    <w:tbl>
      <w:tblPr>
        <w:tblStyle w:val="48"/>
        <w:tblW w:w="491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1"/>
        <w:gridCol w:w="4512"/>
        <w:gridCol w:w="3002"/>
        <w:gridCol w:w="1275"/>
        <w:gridCol w:w="2483"/>
        <w:gridCol w:w="1458"/>
      </w:tblGrid>
      <w:tr w14:paraId="5948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1" w:type="pct"/>
            <w:noWrap w:val="0"/>
            <w:vAlign w:val="center"/>
          </w:tcPr>
          <w:p w14:paraId="24289B5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序号</w:t>
            </w:r>
          </w:p>
        </w:tc>
        <w:tc>
          <w:tcPr>
            <w:tcW w:w="340" w:type="pct"/>
            <w:noWrap w:val="0"/>
            <w:vAlign w:val="center"/>
          </w:tcPr>
          <w:p w14:paraId="098577B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包号</w:t>
            </w:r>
          </w:p>
        </w:tc>
        <w:tc>
          <w:tcPr>
            <w:tcW w:w="1551" w:type="pct"/>
            <w:noWrap w:val="0"/>
            <w:vAlign w:val="center"/>
          </w:tcPr>
          <w:p w14:paraId="707B11F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标的</w:t>
            </w:r>
            <w:r>
              <w:rPr>
                <w:rStyle w:val="186"/>
                <w:color w:val="auto"/>
                <w:highlight w:val="none"/>
                <w:lang w:val="en-US" w:eastAsia="zh-CN" w:bidi="ar"/>
              </w:rPr>
              <w:t>名称</w:t>
            </w:r>
          </w:p>
        </w:tc>
        <w:tc>
          <w:tcPr>
            <w:tcW w:w="1032" w:type="pct"/>
            <w:noWrap w:val="0"/>
            <w:vAlign w:val="center"/>
          </w:tcPr>
          <w:p w14:paraId="37FB5C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使用单位</w:t>
            </w:r>
          </w:p>
        </w:tc>
        <w:tc>
          <w:tcPr>
            <w:tcW w:w="438" w:type="pct"/>
            <w:noWrap w:val="0"/>
            <w:vAlign w:val="center"/>
          </w:tcPr>
          <w:p w14:paraId="7997710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采购数量</w:t>
            </w:r>
          </w:p>
        </w:tc>
        <w:tc>
          <w:tcPr>
            <w:tcW w:w="853" w:type="pct"/>
            <w:noWrap w:val="0"/>
            <w:vAlign w:val="center"/>
          </w:tcPr>
          <w:p w14:paraId="08900BE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超长期国债资金付款金额（万元）</w:t>
            </w:r>
          </w:p>
        </w:tc>
        <w:tc>
          <w:tcPr>
            <w:tcW w:w="501" w:type="pct"/>
            <w:noWrap w:val="0"/>
            <w:vAlign w:val="center"/>
          </w:tcPr>
          <w:p w14:paraId="51654E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备注</w:t>
            </w:r>
          </w:p>
        </w:tc>
      </w:tr>
      <w:tr w14:paraId="1E7B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281" w:type="pct"/>
            <w:noWrap w:val="0"/>
            <w:vAlign w:val="center"/>
          </w:tcPr>
          <w:p w14:paraId="2BA85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340" w:type="pct"/>
            <w:noWrap w:val="0"/>
            <w:vAlign w:val="center"/>
          </w:tcPr>
          <w:p w14:paraId="6B1BCC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第</w:t>
            </w:r>
            <w:r>
              <w:rPr>
                <w:rStyle w:val="187"/>
                <w:rFonts w:hint="eastAsia"/>
                <w:color w:val="auto"/>
                <w:highlight w:val="none"/>
                <w:lang w:val="en-US" w:eastAsia="zh-CN" w:bidi="ar"/>
              </w:rPr>
              <w:t>1</w:t>
            </w:r>
            <w:r>
              <w:rPr>
                <w:rStyle w:val="186"/>
                <w:color w:val="auto"/>
                <w:highlight w:val="none"/>
                <w:lang w:val="en-US" w:eastAsia="zh-CN" w:bidi="ar"/>
              </w:rPr>
              <w:t>包</w:t>
            </w:r>
          </w:p>
        </w:tc>
        <w:tc>
          <w:tcPr>
            <w:tcW w:w="4512" w:type="dxa"/>
            <w:noWrap w:val="0"/>
            <w:vAlign w:val="center"/>
          </w:tcPr>
          <w:p w14:paraId="3529057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核磁共振成像系统（MR）1.5T（高配）</w:t>
            </w:r>
          </w:p>
        </w:tc>
        <w:tc>
          <w:tcPr>
            <w:tcW w:w="3002" w:type="dxa"/>
            <w:noWrap w:val="0"/>
            <w:vAlign w:val="center"/>
          </w:tcPr>
          <w:p w14:paraId="30A837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临泉县中医院</w:t>
            </w:r>
          </w:p>
        </w:tc>
        <w:tc>
          <w:tcPr>
            <w:tcW w:w="1275" w:type="dxa"/>
            <w:noWrap w:val="0"/>
            <w:vAlign w:val="center"/>
          </w:tcPr>
          <w:p w14:paraId="74A2B5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1</w:t>
            </w:r>
          </w:p>
        </w:tc>
        <w:tc>
          <w:tcPr>
            <w:tcW w:w="2483" w:type="dxa"/>
            <w:noWrap w:val="0"/>
            <w:vAlign w:val="center"/>
          </w:tcPr>
          <w:p w14:paraId="548F91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4"/>
                <w:szCs w:val="24"/>
                <w:highlight w:val="none"/>
                <w:u w:val="none"/>
                <w:lang w:val="en-US" w:eastAsia="zh-CN" w:bidi="ar-SA"/>
              </w:rPr>
            </w:pPr>
            <w:r>
              <w:rPr>
                <w:rFonts w:hint="eastAsia" w:ascii="仿宋" w:hAnsi="仿宋" w:eastAsia="仿宋" w:cs="仿宋"/>
                <w:i w:val="0"/>
                <w:iCs w:val="0"/>
                <w:color w:val="auto"/>
                <w:kern w:val="0"/>
                <w:sz w:val="24"/>
                <w:szCs w:val="24"/>
                <w:highlight w:val="none"/>
                <w:u w:val="none"/>
                <w:lang w:val="en-US" w:eastAsia="zh-CN" w:bidi="ar"/>
              </w:rPr>
              <w:t>524</w:t>
            </w:r>
          </w:p>
        </w:tc>
        <w:tc>
          <w:tcPr>
            <w:tcW w:w="1458" w:type="dxa"/>
            <w:noWrap w:val="0"/>
            <w:vAlign w:val="center"/>
          </w:tcPr>
          <w:p w14:paraId="68740535">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w:t>
            </w:r>
          </w:p>
        </w:tc>
      </w:tr>
    </w:tbl>
    <w:p w14:paraId="6F534776">
      <w:pPr>
        <w:widowControl/>
        <w:spacing w:line="360" w:lineRule="auto"/>
        <w:ind w:firstLine="442" w:firstLineChars="200"/>
        <w:rPr>
          <w:rFonts w:ascii="宋体" w:hAnsi="宋体" w:eastAsia="仿宋"/>
          <w:sz w:val="28"/>
          <w:szCs w:val="28"/>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312" w:charSpace="0"/>
        </w:sectPr>
      </w:pPr>
      <w:r>
        <w:rPr>
          <w:rFonts w:hint="eastAsia" w:ascii="宋体" w:hAnsi="宋体" w:eastAsia="仿宋"/>
          <w:b/>
          <w:bCs/>
          <w:sz w:val="22"/>
          <w:szCs w:val="22"/>
          <w:highlight w:val="none"/>
        </w:rPr>
        <w:t>注：（1）上述使用单位为本次招标采购医用设备的最终用户及合同签订单位；（2）排名不分先后； （3）交货地点为以上使用单位所在地点或使用单位指定地点。</w:t>
      </w:r>
    </w:p>
    <w:p w14:paraId="53AF1F00">
      <w:pPr>
        <w:pStyle w:val="2"/>
        <w:widowControl/>
        <w:spacing w:before="0" w:after="0" w:line="240" w:lineRule="auto"/>
        <w:jc w:val="center"/>
        <w:rPr>
          <w:rFonts w:ascii="宋体" w:hAnsi="宋体" w:eastAsia="仿宋"/>
          <w:highlight w:val="none"/>
        </w:rPr>
      </w:pPr>
      <w:bookmarkStart w:id="41" w:name="_Toc26870"/>
      <w:bookmarkStart w:id="42" w:name="_Toc466024497"/>
      <w:bookmarkStart w:id="43" w:name="_Toc445554685"/>
      <w:bookmarkStart w:id="44" w:name="_Toc241459614"/>
      <w:bookmarkStart w:id="45" w:name="_Toc342297617"/>
      <w:bookmarkStart w:id="46" w:name="_Toc342296160"/>
      <w:bookmarkStart w:id="47" w:name="_Toc333587477"/>
      <w:bookmarkStart w:id="48" w:name="_Toc371415919"/>
      <w:r>
        <w:rPr>
          <w:rFonts w:hint="eastAsia" w:ascii="宋体" w:hAnsi="宋体" w:eastAsia="仿宋"/>
          <w:highlight w:val="none"/>
        </w:rPr>
        <w:t>第二章</w:t>
      </w:r>
      <w:r>
        <w:rPr>
          <w:rFonts w:ascii="宋体" w:hAnsi="宋体" w:eastAsia="仿宋"/>
          <w:highlight w:val="none"/>
        </w:rPr>
        <w:t xml:space="preserve"> </w:t>
      </w:r>
      <w:r>
        <w:rPr>
          <w:rFonts w:hint="eastAsia" w:ascii="宋体" w:hAnsi="宋体" w:eastAsia="仿宋"/>
          <w:highlight w:val="none"/>
        </w:rPr>
        <w:t xml:space="preserve"> 投标人须知</w:t>
      </w:r>
      <w:bookmarkEnd w:id="41"/>
      <w:bookmarkEnd w:id="42"/>
      <w:bookmarkEnd w:id="43"/>
      <w:bookmarkEnd w:id="44"/>
    </w:p>
    <w:p w14:paraId="400BDB6E">
      <w:pPr>
        <w:pStyle w:val="3"/>
        <w:widowControl/>
        <w:spacing w:before="120" w:after="120" w:line="240" w:lineRule="auto"/>
        <w:jc w:val="center"/>
        <w:rPr>
          <w:rStyle w:val="107"/>
          <w:rFonts w:hint="eastAsia" w:ascii="仿宋" w:hAnsi="仿宋" w:eastAsia="仿宋" w:cs="仿宋"/>
          <w:b/>
          <w:bCs w:val="0"/>
          <w:sz w:val="28"/>
          <w:szCs w:val="28"/>
          <w:highlight w:val="none"/>
        </w:rPr>
      </w:pPr>
      <w:bookmarkStart w:id="49" w:name="_Toc466024498"/>
      <w:bookmarkStart w:id="50" w:name="_Toc445554686"/>
      <w:r>
        <w:rPr>
          <w:rStyle w:val="107"/>
          <w:rFonts w:hint="eastAsia" w:ascii="仿宋" w:hAnsi="仿宋" w:eastAsia="仿宋" w:cs="仿宋"/>
          <w:b/>
          <w:bCs w:val="0"/>
          <w:sz w:val="28"/>
          <w:szCs w:val="28"/>
          <w:highlight w:val="none"/>
        </w:rPr>
        <w:t>投标人须知前附表</w:t>
      </w:r>
      <w:bookmarkEnd w:id="49"/>
      <w:bookmarkEnd w:id="50"/>
    </w:p>
    <w:p w14:paraId="30028522">
      <w:pPr>
        <w:widowControl/>
        <w:adjustRightInd w:val="0"/>
        <w:snapToGrid w:val="0"/>
        <w:spacing w:before="240" w:beforeLines="100" w:after="120" w:afterLines="50" w:line="360" w:lineRule="auto"/>
        <w:ind w:firstLine="482" w:firstLineChars="200"/>
        <w:rPr>
          <w:rFonts w:hint="eastAsia" w:ascii="宋体" w:hAnsi="宋体" w:eastAsia="仿宋"/>
          <w:b/>
          <w:bCs/>
          <w:sz w:val="24"/>
          <w:highlight w:val="none"/>
        </w:rPr>
      </w:pPr>
      <w:r>
        <w:rPr>
          <w:rFonts w:hint="eastAsia" w:ascii="宋体" w:hAnsi="宋体" w:eastAsia="仿宋"/>
          <w:b/>
          <w:bCs/>
          <w:sz w:val="24"/>
          <w:highlight w:val="none"/>
        </w:rPr>
        <w:t>本《投标人须知前附表》是对本章《投标人须知》的具体补充和修改，如有不一致，以本《投标人须知前附表》为准。</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7"/>
        <w:gridCol w:w="1581"/>
        <w:gridCol w:w="7229"/>
      </w:tblGrid>
      <w:tr w14:paraId="3D4A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blHeader/>
        </w:trPr>
        <w:tc>
          <w:tcPr>
            <w:tcW w:w="857" w:type="dxa"/>
            <w:noWrap w:val="0"/>
            <w:vAlign w:val="center"/>
          </w:tcPr>
          <w:p w14:paraId="7069215E">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条款号</w:t>
            </w:r>
          </w:p>
        </w:tc>
        <w:tc>
          <w:tcPr>
            <w:tcW w:w="1581" w:type="dxa"/>
            <w:noWrap w:val="0"/>
            <w:vAlign w:val="center"/>
          </w:tcPr>
          <w:p w14:paraId="5D3D79C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条款名称</w:t>
            </w:r>
          </w:p>
        </w:tc>
        <w:tc>
          <w:tcPr>
            <w:tcW w:w="7229" w:type="dxa"/>
            <w:noWrap w:val="0"/>
            <w:vAlign w:val="center"/>
          </w:tcPr>
          <w:p w14:paraId="6D129CCF">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b/>
                <w:color w:val="auto"/>
                <w:sz w:val="24"/>
                <w:highlight w:val="none"/>
              </w:rPr>
            </w:pPr>
            <w:r>
              <w:rPr>
                <w:rFonts w:hint="eastAsia" w:ascii="宋体" w:hAnsi="宋体" w:eastAsia="仿宋" w:cs="Calibri"/>
                <w:b/>
                <w:color w:val="auto"/>
                <w:sz w:val="24"/>
                <w:highlight w:val="none"/>
              </w:rPr>
              <w:t>编</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列</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内</w:t>
            </w:r>
            <w:r>
              <w:rPr>
                <w:rFonts w:hint="default" w:ascii="宋体" w:hAnsi="宋体" w:eastAsia="仿宋" w:cs="Calibri"/>
                <w:b/>
                <w:color w:val="auto"/>
                <w:sz w:val="24"/>
                <w:highlight w:val="none"/>
              </w:rPr>
              <w:t xml:space="preserve">  </w:t>
            </w:r>
            <w:r>
              <w:rPr>
                <w:rFonts w:hint="eastAsia" w:ascii="宋体" w:hAnsi="宋体" w:eastAsia="仿宋" w:cs="Calibri"/>
                <w:b/>
                <w:color w:val="auto"/>
                <w:sz w:val="24"/>
                <w:highlight w:val="none"/>
              </w:rPr>
              <w:t>容</w:t>
            </w:r>
          </w:p>
        </w:tc>
      </w:tr>
      <w:tr w14:paraId="1450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8716071">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1.1.2</w:t>
            </w:r>
          </w:p>
        </w:tc>
        <w:tc>
          <w:tcPr>
            <w:tcW w:w="1581" w:type="dxa"/>
            <w:noWrap w:val="0"/>
            <w:vAlign w:val="center"/>
          </w:tcPr>
          <w:p w14:paraId="45E36B36">
            <w:pPr>
              <w:keepNext w:val="0"/>
              <w:keepLines w:val="0"/>
              <w:suppressLineNumbers w:val="0"/>
              <w:adjustRightInd w:val="0"/>
              <w:snapToGrid w:val="0"/>
              <w:spacing w:before="0" w:beforeAutospacing="0" w:after="0" w:afterAutospacing="0" w:line="288" w:lineRule="auto"/>
              <w:ind w:left="0" w:right="0"/>
              <w:jc w:val="center"/>
              <w:rPr>
                <w:rFonts w:hint="eastAsia" w:ascii="宋体" w:hAnsi="宋体" w:cs="Times New Roman"/>
                <w:color w:val="auto"/>
                <w:sz w:val="24"/>
                <w:highlight w:val="none"/>
              </w:rPr>
            </w:pPr>
            <w:r>
              <w:rPr>
                <w:rFonts w:hint="eastAsia" w:ascii="宋体" w:hAnsi="宋体" w:eastAsia="仿宋" w:cs="Times New Roman"/>
                <w:color w:val="auto"/>
                <w:sz w:val="24"/>
                <w:highlight w:val="none"/>
              </w:rPr>
              <w:t>采购人</w:t>
            </w:r>
          </w:p>
        </w:tc>
        <w:tc>
          <w:tcPr>
            <w:tcW w:w="7229" w:type="dxa"/>
            <w:noWrap w:val="0"/>
            <w:vAlign w:val="center"/>
          </w:tcPr>
          <w:p w14:paraId="0F53B689">
            <w:pPr>
              <w:keepNext w:val="0"/>
              <w:keepLines w:val="0"/>
              <w:suppressLineNumbers w:val="0"/>
              <w:adjustRightInd w:val="0"/>
              <w:snapToGrid w:val="0"/>
              <w:spacing w:before="0" w:beforeAutospacing="0" w:after="0" w:afterAutospacing="0" w:line="288" w:lineRule="auto"/>
              <w:ind w:left="0" w:right="0"/>
              <w:rPr>
                <w:rFonts w:hint="default" w:ascii="宋体" w:hAnsi="宋体" w:cs="Times New Roman"/>
                <w:color w:val="auto"/>
                <w:sz w:val="24"/>
                <w:highlight w:val="none"/>
              </w:rPr>
            </w:pPr>
            <w:r>
              <w:rPr>
                <w:rFonts w:hint="eastAsia" w:ascii="宋体" w:hAnsi="宋体" w:eastAsia="仿宋" w:cs="Times New Roman"/>
                <w:color w:val="auto"/>
                <w:sz w:val="24"/>
                <w:highlight w:val="none"/>
              </w:rPr>
              <w:t>见招标公告</w:t>
            </w:r>
          </w:p>
        </w:tc>
      </w:tr>
      <w:tr w14:paraId="42B2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0BF53C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1.1.3</w:t>
            </w:r>
          </w:p>
        </w:tc>
        <w:tc>
          <w:tcPr>
            <w:tcW w:w="1581" w:type="dxa"/>
            <w:noWrap w:val="0"/>
            <w:vAlign w:val="center"/>
          </w:tcPr>
          <w:p w14:paraId="645F0508">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Times New Roman"/>
                <w:color w:val="auto"/>
                <w:sz w:val="24"/>
                <w:highlight w:val="none"/>
              </w:rPr>
            </w:pPr>
            <w:r>
              <w:rPr>
                <w:rFonts w:hint="eastAsia" w:ascii="宋体" w:hAnsi="宋体" w:eastAsia="仿宋" w:cs="Times New Roman"/>
                <w:color w:val="auto"/>
                <w:sz w:val="24"/>
                <w:highlight w:val="none"/>
              </w:rPr>
              <w:t>采购代理机构</w:t>
            </w:r>
          </w:p>
        </w:tc>
        <w:tc>
          <w:tcPr>
            <w:tcW w:w="7229" w:type="dxa"/>
            <w:noWrap w:val="0"/>
            <w:vAlign w:val="center"/>
          </w:tcPr>
          <w:p w14:paraId="7FC35ABD">
            <w:pPr>
              <w:keepNext w:val="0"/>
              <w:keepLines w:val="0"/>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宋体" w:hAnsi="宋体" w:eastAsia="仿宋" w:cs="Times New Roman"/>
                <w:color w:val="auto"/>
                <w:sz w:val="24"/>
                <w:highlight w:val="none"/>
              </w:rPr>
              <w:t>见招标公告</w:t>
            </w:r>
          </w:p>
        </w:tc>
      </w:tr>
      <w:tr w14:paraId="5E68C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2E45E7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1.1.4</w:t>
            </w:r>
          </w:p>
        </w:tc>
        <w:tc>
          <w:tcPr>
            <w:tcW w:w="1581" w:type="dxa"/>
            <w:noWrap w:val="0"/>
            <w:vAlign w:val="center"/>
          </w:tcPr>
          <w:p w14:paraId="24459F1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采购项目名称</w:t>
            </w:r>
          </w:p>
        </w:tc>
        <w:tc>
          <w:tcPr>
            <w:tcW w:w="7229" w:type="dxa"/>
            <w:noWrap w:val="0"/>
            <w:vAlign w:val="center"/>
          </w:tcPr>
          <w:p w14:paraId="5F5A7443">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0B9BD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7739C63">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1.1.5</w:t>
            </w:r>
          </w:p>
        </w:tc>
        <w:tc>
          <w:tcPr>
            <w:tcW w:w="1581" w:type="dxa"/>
            <w:noWrap w:val="0"/>
            <w:vAlign w:val="center"/>
          </w:tcPr>
          <w:p w14:paraId="5AE90BB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采购包划分</w:t>
            </w:r>
          </w:p>
        </w:tc>
        <w:tc>
          <w:tcPr>
            <w:tcW w:w="7229" w:type="dxa"/>
            <w:noWrap w:val="0"/>
            <w:vAlign w:val="center"/>
          </w:tcPr>
          <w:p w14:paraId="45FA7689">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 w:cs="Calibri"/>
                <w:color w:val="auto"/>
                <w:sz w:val="24"/>
                <w:highlight w:val="none"/>
              </w:rPr>
            </w:pPr>
            <w:r>
              <w:rPr>
                <w:rFonts w:hint="eastAsia" w:ascii="宋体" w:hAnsi="宋体" w:eastAsia="仿宋" w:cs="Times New Roman"/>
                <w:color w:val="auto"/>
                <w:sz w:val="24"/>
                <w:highlight w:val="none"/>
              </w:rPr>
              <w:t>见招标公告</w:t>
            </w:r>
          </w:p>
        </w:tc>
      </w:tr>
      <w:tr w14:paraId="7613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83C419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1.1.6</w:t>
            </w:r>
          </w:p>
        </w:tc>
        <w:tc>
          <w:tcPr>
            <w:tcW w:w="1581" w:type="dxa"/>
            <w:noWrap w:val="0"/>
            <w:vAlign w:val="center"/>
          </w:tcPr>
          <w:p w14:paraId="4900873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采购预算</w:t>
            </w:r>
          </w:p>
        </w:tc>
        <w:tc>
          <w:tcPr>
            <w:tcW w:w="7229" w:type="dxa"/>
            <w:noWrap w:val="0"/>
            <w:vAlign w:val="center"/>
          </w:tcPr>
          <w:p w14:paraId="37494C76">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1C20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14BBF6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1.1.7</w:t>
            </w:r>
          </w:p>
        </w:tc>
        <w:tc>
          <w:tcPr>
            <w:tcW w:w="1581" w:type="dxa"/>
            <w:noWrap w:val="0"/>
            <w:vAlign w:val="center"/>
          </w:tcPr>
          <w:p w14:paraId="662BE2A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专</w:t>
            </w:r>
            <w:bookmarkStart w:id="51" w:name="OLE_LINK15"/>
            <w:r>
              <w:rPr>
                <w:rFonts w:hint="eastAsia" w:ascii="宋体" w:hAnsi="宋体" w:eastAsia="仿宋" w:cs="Calibri"/>
                <w:color w:val="auto"/>
                <w:sz w:val="24"/>
                <w:highlight w:val="none"/>
              </w:rPr>
              <w:t>门面向中小企业采</w:t>
            </w:r>
            <w:bookmarkEnd w:id="51"/>
            <w:r>
              <w:rPr>
                <w:rFonts w:hint="eastAsia" w:ascii="宋体" w:hAnsi="宋体" w:eastAsia="仿宋" w:cs="Calibri"/>
                <w:color w:val="auto"/>
                <w:sz w:val="24"/>
                <w:highlight w:val="none"/>
              </w:rPr>
              <w:t>购</w:t>
            </w:r>
          </w:p>
        </w:tc>
        <w:tc>
          <w:tcPr>
            <w:tcW w:w="7229" w:type="dxa"/>
            <w:noWrap w:val="0"/>
            <w:vAlign w:val="center"/>
          </w:tcPr>
          <w:p w14:paraId="21C23465">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Times New Roman"/>
                <w:color w:val="auto"/>
                <w:sz w:val="24"/>
                <w:highlight w:val="none"/>
              </w:rPr>
              <w:t>见招标公告</w:t>
            </w:r>
          </w:p>
        </w:tc>
      </w:tr>
      <w:tr w14:paraId="3F842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8E616E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宋体"/>
                <w:color w:val="auto"/>
                <w:sz w:val="24"/>
                <w:highlight w:val="none"/>
                <w:lang w:bidi="ar"/>
              </w:rPr>
              <w:t>1.2.1</w:t>
            </w:r>
          </w:p>
        </w:tc>
        <w:tc>
          <w:tcPr>
            <w:tcW w:w="1581" w:type="dxa"/>
            <w:noWrap w:val="0"/>
            <w:vAlign w:val="center"/>
          </w:tcPr>
          <w:p w14:paraId="1B05D01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仿宋"/>
                <w:color w:val="auto"/>
                <w:sz w:val="24"/>
                <w:highlight w:val="none"/>
                <w:lang w:bidi="ar"/>
              </w:rPr>
              <w:t>资金来源及比例</w:t>
            </w:r>
          </w:p>
        </w:tc>
        <w:tc>
          <w:tcPr>
            <w:tcW w:w="7229" w:type="dxa"/>
            <w:noWrap w:val="0"/>
            <w:vAlign w:val="center"/>
          </w:tcPr>
          <w:p w14:paraId="028D798C">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color w:val="auto"/>
                <w:sz w:val="24"/>
                <w:highlight w:val="none"/>
              </w:rPr>
            </w:pPr>
            <w:r>
              <w:rPr>
                <w:rFonts w:hint="eastAsia" w:ascii="宋体" w:hAnsi="宋体" w:eastAsia="仿宋" w:cs="Calibri"/>
                <w:color w:val="auto"/>
                <w:sz w:val="24"/>
                <w:highlight w:val="none"/>
              </w:rPr>
              <w:t>财政性资金</w:t>
            </w:r>
          </w:p>
        </w:tc>
      </w:tr>
      <w:tr w14:paraId="50A3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59C7F47">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1.3.1</w:t>
            </w:r>
          </w:p>
        </w:tc>
        <w:tc>
          <w:tcPr>
            <w:tcW w:w="1581" w:type="dxa"/>
            <w:noWrap w:val="0"/>
            <w:vAlign w:val="center"/>
          </w:tcPr>
          <w:p w14:paraId="5DD3A9B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资格要求</w:t>
            </w:r>
          </w:p>
        </w:tc>
        <w:tc>
          <w:tcPr>
            <w:tcW w:w="7229" w:type="dxa"/>
            <w:noWrap w:val="0"/>
            <w:vAlign w:val="center"/>
          </w:tcPr>
          <w:p w14:paraId="0372172A">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_GB2312" w:cs="Calibri"/>
                <w:color w:val="auto"/>
                <w:sz w:val="24"/>
                <w:highlight w:val="none"/>
              </w:rPr>
            </w:pPr>
            <w:r>
              <w:rPr>
                <w:rFonts w:hint="eastAsia" w:ascii="宋体" w:hAnsi="宋体" w:eastAsia="仿宋" w:cs="Calibri"/>
                <w:color w:val="auto"/>
                <w:sz w:val="24"/>
                <w:highlight w:val="none"/>
              </w:rPr>
              <w:t>见招标公告</w:t>
            </w:r>
          </w:p>
        </w:tc>
      </w:tr>
      <w:tr w14:paraId="07D4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94C652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1.3.2</w:t>
            </w:r>
          </w:p>
        </w:tc>
        <w:tc>
          <w:tcPr>
            <w:tcW w:w="1581" w:type="dxa"/>
            <w:noWrap w:val="0"/>
            <w:vAlign w:val="center"/>
          </w:tcPr>
          <w:p w14:paraId="0378A65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联合体投标的其他要求</w:t>
            </w:r>
          </w:p>
        </w:tc>
        <w:tc>
          <w:tcPr>
            <w:tcW w:w="7229" w:type="dxa"/>
            <w:noWrap w:val="0"/>
            <w:vAlign w:val="center"/>
          </w:tcPr>
          <w:p w14:paraId="5ACEEACC">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宋体" w:hAnsi="宋体" w:eastAsia="仿宋" w:cs="Calibri"/>
                <w:color w:val="auto"/>
                <w:sz w:val="24"/>
                <w:highlight w:val="none"/>
              </w:rPr>
              <w:t>见招标公告</w:t>
            </w:r>
          </w:p>
        </w:tc>
      </w:tr>
      <w:tr w14:paraId="4C46D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0E9C47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1.3.3</w:t>
            </w:r>
          </w:p>
        </w:tc>
        <w:tc>
          <w:tcPr>
            <w:tcW w:w="1581" w:type="dxa"/>
            <w:noWrap w:val="0"/>
            <w:vAlign w:val="center"/>
          </w:tcPr>
          <w:p w14:paraId="4733D6E3">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宋体"/>
                <w:iCs/>
                <w:color w:val="auto"/>
                <w:sz w:val="24"/>
                <w:highlight w:val="none"/>
              </w:rPr>
            </w:pPr>
            <w:r>
              <w:rPr>
                <w:rFonts w:hint="eastAsia" w:ascii="宋体" w:hAnsi="宋体" w:eastAsia="仿宋" w:cs="Calibri"/>
                <w:color w:val="auto"/>
                <w:sz w:val="24"/>
                <w:highlight w:val="none"/>
              </w:rPr>
              <w:t>投标人不得存在的其他情形</w:t>
            </w:r>
          </w:p>
        </w:tc>
        <w:tc>
          <w:tcPr>
            <w:tcW w:w="7229" w:type="dxa"/>
            <w:noWrap w:val="0"/>
            <w:vAlign w:val="center"/>
          </w:tcPr>
          <w:p w14:paraId="03BB7434">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宋体"/>
                <w:iCs/>
                <w:color w:val="auto"/>
                <w:sz w:val="24"/>
                <w:highlight w:val="none"/>
              </w:rPr>
            </w:pPr>
            <w:r>
              <w:rPr>
                <w:rFonts w:hint="eastAsia" w:ascii="仿宋" w:hAnsi="仿宋" w:eastAsia="仿宋" w:cs="仿宋"/>
                <w:iCs/>
                <w:color w:val="auto"/>
                <w:sz w:val="24"/>
                <w:highlight w:val="none"/>
              </w:rPr>
              <w:t>/</w:t>
            </w:r>
          </w:p>
        </w:tc>
      </w:tr>
      <w:tr w14:paraId="6FC2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435474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1.8.1</w:t>
            </w:r>
          </w:p>
        </w:tc>
        <w:tc>
          <w:tcPr>
            <w:tcW w:w="1581" w:type="dxa"/>
            <w:noWrap w:val="0"/>
            <w:vAlign w:val="center"/>
          </w:tcPr>
          <w:p w14:paraId="55B453B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是否组织现场考察</w:t>
            </w:r>
          </w:p>
        </w:tc>
        <w:tc>
          <w:tcPr>
            <w:tcW w:w="7229" w:type="dxa"/>
            <w:noWrap w:val="0"/>
            <w:vAlign w:val="center"/>
          </w:tcPr>
          <w:p w14:paraId="05CC2015">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sym w:font="Wingdings" w:char="F0FE"/>
            </w:r>
            <w:r>
              <w:rPr>
                <w:rFonts w:hint="eastAsia" w:ascii="宋体" w:hAnsi="宋体" w:eastAsia="仿宋" w:cs="Calibri"/>
                <w:color w:val="auto"/>
                <w:sz w:val="24"/>
                <w:highlight w:val="none"/>
              </w:rPr>
              <w:t>不组织，</w:t>
            </w:r>
            <w:r>
              <w:rPr>
                <w:rFonts w:hint="eastAsia" w:ascii="宋体" w:hAnsi="宋体" w:eastAsia="仿宋" w:cs="Times New Roman"/>
                <w:color w:val="auto"/>
                <w:sz w:val="24"/>
                <w:highlight w:val="none"/>
              </w:rPr>
              <w:t>由投标人自行考察现场。</w:t>
            </w:r>
          </w:p>
          <w:p w14:paraId="0E28F83A">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□组织，时间：</w:t>
            </w:r>
          </w:p>
          <w:p w14:paraId="23B4B998">
            <w:pPr>
              <w:keepNext w:val="0"/>
              <w:keepLines w:val="0"/>
              <w:widowControl/>
              <w:suppressLineNumbers w:val="0"/>
              <w:topLinePunct/>
              <w:adjustRightInd w:val="0"/>
              <w:snapToGrid w:val="0"/>
              <w:spacing w:before="0" w:beforeAutospacing="0" w:after="0" w:afterAutospacing="0" w:line="288" w:lineRule="auto"/>
              <w:ind w:left="0" w:right="0" w:firstLine="840" w:firstLineChars="350"/>
              <w:rPr>
                <w:rFonts w:hint="default" w:ascii="宋体" w:hAnsi="宋体" w:eastAsia="仿宋" w:cs="Calibri"/>
                <w:color w:val="auto"/>
                <w:sz w:val="24"/>
                <w:highlight w:val="none"/>
                <w:u w:val="single"/>
              </w:rPr>
            </w:pPr>
            <w:r>
              <w:rPr>
                <w:rFonts w:hint="eastAsia" w:ascii="宋体" w:hAnsi="宋体" w:eastAsia="仿宋" w:cs="Calibri"/>
                <w:color w:val="auto"/>
                <w:sz w:val="24"/>
                <w:highlight w:val="none"/>
              </w:rPr>
              <w:t xml:space="preserve"> 集中地点：</w:t>
            </w:r>
            <w:r>
              <w:rPr>
                <w:rFonts w:hint="eastAsia" w:ascii="仿宋" w:hAnsi="仿宋" w:eastAsia="仿宋" w:cs="仿宋"/>
                <w:iCs/>
                <w:color w:val="auto"/>
                <w:sz w:val="24"/>
                <w:highlight w:val="none"/>
              </w:rPr>
              <w:t>/</w:t>
            </w:r>
          </w:p>
          <w:p w14:paraId="3A954092">
            <w:pPr>
              <w:keepNext w:val="0"/>
              <w:keepLines w:val="0"/>
              <w:widowControl/>
              <w:suppressLineNumbers w:val="0"/>
              <w:topLinePunct/>
              <w:adjustRightInd w:val="0"/>
              <w:snapToGrid w:val="0"/>
              <w:spacing w:before="0" w:beforeAutospacing="0" w:after="0" w:afterAutospacing="0" w:line="288" w:lineRule="auto"/>
              <w:ind w:left="0" w:right="0" w:firstLine="840" w:firstLineChars="350"/>
              <w:rPr>
                <w:rFonts w:hint="default" w:ascii="宋体" w:hAnsi="宋体" w:cs="Calibri"/>
                <w:color w:val="auto"/>
                <w:sz w:val="24"/>
                <w:highlight w:val="none"/>
              </w:rPr>
            </w:pPr>
            <w:r>
              <w:rPr>
                <w:rFonts w:hint="eastAsia" w:ascii="宋体" w:hAnsi="宋体" w:eastAsia="仿宋" w:cs="Calibri"/>
                <w:color w:val="auto"/>
                <w:sz w:val="24"/>
                <w:highlight w:val="none"/>
              </w:rPr>
              <w:t xml:space="preserve"> 联系方式：</w:t>
            </w:r>
            <w:r>
              <w:rPr>
                <w:rFonts w:hint="eastAsia" w:ascii="仿宋" w:hAnsi="仿宋" w:eastAsia="仿宋" w:cs="仿宋"/>
                <w:iCs/>
                <w:color w:val="auto"/>
                <w:sz w:val="24"/>
                <w:highlight w:val="none"/>
              </w:rPr>
              <w:t>/</w:t>
            </w:r>
          </w:p>
        </w:tc>
      </w:tr>
      <w:tr w14:paraId="159B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DDC347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1.9</w:t>
            </w:r>
          </w:p>
        </w:tc>
        <w:tc>
          <w:tcPr>
            <w:tcW w:w="1581" w:type="dxa"/>
            <w:noWrap w:val="0"/>
            <w:vAlign w:val="center"/>
          </w:tcPr>
          <w:p w14:paraId="53CC88CD">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开标前答疑会</w:t>
            </w:r>
          </w:p>
        </w:tc>
        <w:tc>
          <w:tcPr>
            <w:tcW w:w="7229" w:type="dxa"/>
            <w:noWrap w:val="0"/>
            <w:vAlign w:val="center"/>
          </w:tcPr>
          <w:p w14:paraId="01B06711">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sym w:font="Wingdings" w:char="F0FE"/>
            </w:r>
            <w:r>
              <w:rPr>
                <w:rFonts w:hint="eastAsia" w:ascii="宋体" w:hAnsi="宋体" w:eastAsia="仿宋" w:cs="Calibri"/>
                <w:color w:val="auto"/>
                <w:sz w:val="24"/>
                <w:highlight w:val="none"/>
              </w:rPr>
              <w:t>不召开</w:t>
            </w:r>
          </w:p>
          <w:p w14:paraId="3B1BA3A9">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□召开，召开时间：</w:t>
            </w:r>
            <w:r>
              <w:rPr>
                <w:rFonts w:hint="eastAsia" w:ascii="仿宋" w:hAnsi="仿宋" w:eastAsia="仿宋" w:cs="仿宋"/>
                <w:iCs/>
                <w:color w:val="auto"/>
                <w:sz w:val="24"/>
                <w:highlight w:val="none"/>
              </w:rPr>
              <w:t>/</w:t>
            </w:r>
          </w:p>
          <w:p w14:paraId="7DF48BC5">
            <w:pPr>
              <w:keepNext w:val="0"/>
              <w:keepLines w:val="0"/>
              <w:widowControl/>
              <w:suppressLineNumbers w:val="0"/>
              <w:adjustRightInd w:val="0"/>
              <w:snapToGrid w:val="0"/>
              <w:spacing w:before="0" w:beforeAutospacing="0" w:after="0" w:afterAutospacing="0" w:line="288" w:lineRule="auto"/>
              <w:ind w:left="0" w:right="0" w:firstLine="960" w:firstLineChars="400"/>
              <w:rPr>
                <w:rFonts w:hint="default" w:ascii="宋体" w:hAnsi="宋体" w:eastAsia="仿宋" w:cs="Calibri"/>
                <w:color w:val="auto"/>
                <w:sz w:val="24"/>
                <w:highlight w:val="none"/>
                <w:u w:val="single"/>
              </w:rPr>
            </w:pPr>
            <w:r>
              <w:rPr>
                <w:rFonts w:hint="eastAsia" w:ascii="宋体" w:hAnsi="宋体" w:eastAsia="仿宋" w:cs="Calibri"/>
                <w:color w:val="auto"/>
                <w:sz w:val="24"/>
                <w:highlight w:val="none"/>
              </w:rPr>
              <w:t>召开地点：</w:t>
            </w:r>
            <w:r>
              <w:rPr>
                <w:rFonts w:hint="eastAsia" w:ascii="仿宋" w:hAnsi="仿宋" w:eastAsia="仿宋" w:cs="仿宋"/>
                <w:iCs/>
                <w:color w:val="auto"/>
                <w:sz w:val="24"/>
                <w:highlight w:val="none"/>
              </w:rPr>
              <w:t>/</w:t>
            </w:r>
          </w:p>
          <w:p w14:paraId="24CFBAC5">
            <w:pPr>
              <w:keepNext w:val="0"/>
              <w:keepLines w:val="0"/>
              <w:widowControl/>
              <w:suppressLineNumbers w:val="0"/>
              <w:adjustRightInd w:val="0"/>
              <w:snapToGrid w:val="0"/>
              <w:spacing w:before="0" w:beforeAutospacing="0" w:after="0" w:afterAutospacing="0" w:line="288" w:lineRule="auto"/>
              <w:ind w:left="0" w:right="0" w:firstLine="960" w:firstLineChars="400"/>
              <w:rPr>
                <w:rFonts w:hint="default" w:ascii="宋体" w:hAnsi="宋体" w:cs="Calibri"/>
                <w:color w:val="auto"/>
                <w:sz w:val="24"/>
                <w:highlight w:val="none"/>
              </w:rPr>
            </w:pPr>
            <w:r>
              <w:rPr>
                <w:rFonts w:hint="eastAsia" w:ascii="宋体" w:hAnsi="宋体" w:eastAsia="仿宋" w:cs="Calibri"/>
                <w:color w:val="auto"/>
                <w:sz w:val="24"/>
                <w:highlight w:val="none"/>
              </w:rPr>
              <w:t>联系方式：</w:t>
            </w:r>
            <w:r>
              <w:rPr>
                <w:rFonts w:hint="eastAsia" w:ascii="仿宋" w:hAnsi="仿宋" w:eastAsia="仿宋" w:cs="仿宋"/>
                <w:iCs/>
                <w:color w:val="auto"/>
                <w:sz w:val="24"/>
                <w:highlight w:val="none"/>
              </w:rPr>
              <w:t>/</w:t>
            </w:r>
          </w:p>
        </w:tc>
      </w:tr>
      <w:tr w14:paraId="687BB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7A6388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1.10.1</w:t>
            </w:r>
          </w:p>
        </w:tc>
        <w:tc>
          <w:tcPr>
            <w:tcW w:w="1581" w:type="dxa"/>
            <w:noWrap w:val="0"/>
            <w:vAlign w:val="center"/>
          </w:tcPr>
          <w:p w14:paraId="594DE61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分包</w:t>
            </w:r>
          </w:p>
        </w:tc>
        <w:tc>
          <w:tcPr>
            <w:tcW w:w="7229" w:type="dxa"/>
            <w:noWrap w:val="0"/>
            <w:vAlign w:val="center"/>
          </w:tcPr>
          <w:p w14:paraId="422DF3C4">
            <w:pPr>
              <w:keepNext w:val="0"/>
              <w:keepLines w:val="0"/>
              <w:widowControl/>
              <w:suppressLineNumbers w:val="0"/>
              <w:topLinePunct/>
              <w:adjustRightInd w:val="0"/>
              <w:snapToGrid w:val="0"/>
              <w:spacing w:before="0" w:beforeAutospacing="0" w:after="0" w:afterAutospacing="0" w:line="288" w:lineRule="auto"/>
              <w:ind w:left="187" w:right="0" w:hanging="187" w:hangingChars="78"/>
              <w:rPr>
                <w:rFonts w:hint="default" w:ascii="宋体" w:hAnsi="宋体" w:eastAsia="仿宋" w:cs="Calibri"/>
                <w:color w:val="auto"/>
                <w:sz w:val="24"/>
                <w:highlight w:val="none"/>
              </w:rPr>
            </w:pPr>
            <w:r>
              <w:rPr>
                <w:rFonts w:hint="eastAsia" w:ascii="宋体" w:hAnsi="宋体" w:eastAsia="仿宋" w:cs="Times New Roman"/>
                <w:bCs/>
                <w:color w:val="auto"/>
                <w:sz w:val="24"/>
                <w:highlight w:val="none"/>
              </w:rPr>
              <w:t>☑</w:t>
            </w:r>
            <w:r>
              <w:rPr>
                <w:rFonts w:hint="eastAsia" w:ascii="宋体" w:hAnsi="宋体" w:eastAsia="仿宋" w:cs="Calibri"/>
                <w:color w:val="auto"/>
                <w:sz w:val="24"/>
                <w:highlight w:val="none"/>
              </w:rPr>
              <w:t>不允许</w:t>
            </w:r>
          </w:p>
          <w:p w14:paraId="3B1609B6">
            <w:pPr>
              <w:keepNext w:val="0"/>
              <w:keepLines w:val="0"/>
              <w:widowControl/>
              <w:suppressLineNumbers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Calibri"/>
                <w:color w:val="auto"/>
                <w:sz w:val="24"/>
                <w:highlight w:val="none"/>
              </w:rPr>
              <w:t>□允许：</w:t>
            </w:r>
          </w:p>
          <w:p w14:paraId="6A7C2766">
            <w:pPr>
              <w:keepNext w:val="0"/>
              <w:keepLines w:val="0"/>
              <w:widowControl/>
              <w:suppressLineNumbers w:val="0"/>
              <w:snapToGrid w:val="0"/>
              <w:spacing w:before="0" w:beforeAutospacing="0" w:after="0" w:afterAutospacing="0" w:line="288" w:lineRule="auto"/>
              <w:ind w:left="0" w:right="0"/>
              <w:rPr>
                <w:rFonts w:hint="eastAsia" w:ascii="楷体" w:hAnsi="楷体" w:eastAsia="仿宋" w:cs="Times New Roman"/>
                <w:color w:val="auto"/>
                <w:sz w:val="24"/>
                <w:highlight w:val="none"/>
                <w:u w:val="single"/>
              </w:rPr>
            </w:pPr>
            <w:r>
              <w:rPr>
                <w:rFonts w:hint="eastAsia" w:ascii="楷体" w:hAnsi="楷体" w:eastAsia="仿宋" w:cs="Times New Roman"/>
                <w:color w:val="auto"/>
                <w:sz w:val="24"/>
                <w:highlight w:val="none"/>
              </w:rPr>
              <w:t>（1）允许分包的范围和内容：/</w:t>
            </w:r>
          </w:p>
          <w:p w14:paraId="3E081F63">
            <w:pPr>
              <w:keepNext w:val="0"/>
              <w:keepLines w:val="0"/>
              <w:widowControl/>
              <w:suppressLineNumbers w:val="0"/>
              <w:snapToGrid w:val="0"/>
              <w:spacing w:before="0" w:beforeAutospacing="0" w:after="0" w:afterAutospacing="0" w:line="288" w:lineRule="auto"/>
              <w:ind w:left="0" w:right="0"/>
              <w:rPr>
                <w:rFonts w:hint="eastAsia" w:ascii="楷体" w:hAnsi="楷体" w:eastAsia="仿宋" w:cs="Times New Roman"/>
                <w:color w:val="auto"/>
                <w:sz w:val="24"/>
                <w:highlight w:val="none"/>
              </w:rPr>
            </w:pPr>
            <w:r>
              <w:rPr>
                <w:rFonts w:hint="eastAsia" w:ascii="楷体" w:hAnsi="楷体" w:eastAsia="仿宋" w:cs="Times New Roman"/>
                <w:color w:val="auto"/>
                <w:sz w:val="24"/>
                <w:highlight w:val="none"/>
              </w:rPr>
              <w:t>（2）对分包人资质要求：/</w:t>
            </w:r>
          </w:p>
          <w:p w14:paraId="23743A54">
            <w:pPr>
              <w:keepNext w:val="0"/>
              <w:keepLines w:val="0"/>
              <w:widowControl/>
              <w:suppressLineNumbers w:val="0"/>
              <w:snapToGrid w:val="0"/>
              <w:spacing w:before="0" w:beforeAutospacing="0" w:after="0" w:afterAutospacing="0" w:line="288" w:lineRule="auto"/>
              <w:ind w:left="0" w:right="0"/>
              <w:rPr>
                <w:rFonts w:hint="eastAsia" w:ascii="宋体" w:hAnsi="宋体" w:cs="Times New Roman"/>
                <w:color w:val="auto"/>
                <w:sz w:val="24"/>
                <w:highlight w:val="none"/>
              </w:rPr>
            </w:pPr>
            <w:r>
              <w:rPr>
                <w:rFonts w:hint="eastAsia" w:ascii="楷体" w:hAnsi="楷体" w:eastAsia="仿宋" w:cs="Times New Roman"/>
                <w:color w:val="auto"/>
                <w:sz w:val="24"/>
                <w:highlight w:val="none"/>
              </w:rPr>
              <w:t>（3）为享受政府采购支持中小企业发展政策，参与政府采购活动的大型企业可向中小微企业分包，中型企业可向小微企业分包。</w:t>
            </w:r>
          </w:p>
        </w:tc>
      </w:tr>
      <w:tr w14:paraId="58176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D283E6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auto"/>
                <w:sz w:val="24"/>
                <w:highlight w:val="none"/>
              </w:rPr>
            </w:pPr>
            <w:r>
              <w:rPr>
                <w:rFonts w:hint="eastAsia" w:ascii="宋体" w:hAnsi="宋体" w:eastAsia="仿宋" w:cs="Calibri"/>
                <w:color w:val="auto"/>
                <w:sz w:val="24"/>
                <w:highlight w:val="none"/>
              </w:rPr>
              <w:t>2.2.2</w:t>
            </w:r>
          </w:p>
        </w:tc>
        <w:tc>
          <w:tcPr>
            <w:tcW w:w="1581" w:type="dxa"/>
            <w:noWrap w:val="0"/>
            <w:vAlign w:val="center"/>
          </w:tcPr>
          <w:p w14:paraId="7EE76590">
            <w:pPr>
              <w:keepNext w:val="0"/>
              <w:keepLines w:val="0"/>
              <w:widowControl/>
              <w:suppressLineNumbers w:val="0"/>
              <w:adjustRightInd w:val="0"/>
              <w:snapToGrid w:val="0"/>
              <w:spacing w:before="0" w:beforeAutospacing="0" w:after="0" w:afterAutospacing="0" w:line="300" w:lineRule="auto"/>
              <w:ind w:left="0" w:right="0"/>
              <w:jc w:val="center"/>
              <w:rPr>
                <w:rFonts w:hint="default" w:ascii="Calibri" w:hAnsi="Calibri" w:eastAsia="仿宋" w:cs="Times New Roman"/>
                <w:color w:val="auto"/>
                <w:sz w:val="24"/>
                <w:highlight w:val="none"/>
              </w:rPr>
            </w:pPr>
            <w:r>
              <w:rPr>
                <w:rFonts w:hint="eastAsia" w:ascii="宋体" w:hAnsi="宋体" w:eastAsia="仿宋" w:cs="Calibri"/>
                <w:color w:val="auto"/>
                <w:sz w:val="24"/>
                <w:highlight w:val="none"/>
              </w:rPr>
              <w:t>招标文件澄清发出的形式</w:t>
            </w:r>
          </w:p>
        </w:tc>
        <w:tc>
          <w:tcPr>
            <w:tcW w:w="7229" w:type="dxa"/>
            <w:noWrap w:val="0"/>
            <w:vAlign w:val="center"/>
          </w:tcPr>
          <w:p w14:paraId="23429887">
            <w:pPr>
              <w:keepNext w:val="0"/>
              <w:keepLines w:val="0"/>
              <w:widowControl/>
              <w:suppressLineNumbers w:val="0"/>
              <w:adjustRightInd w:val="0"/>
              <w:snapToGrid w:val="0"/>
              <w:spacing w:before="0" w:beforeAutospacing="0" w:after="0" w:afterAutospacing="0" w:line="300" w:lineRule="auto"/>
              <w:ind w:left="0" w:right="0"/>
              <w:rPr>
                <w:rFonts w:hint="eastAsia" w:ascii="宋体" w:hAnsi="宋体" w:eastAsia="仿宋" w:cs="Calibri"/>
                <w:color w:val="auto"/>
                <w:sz w:val="24"/>
                <w:highlight w:val="none"/>
              </w:rPr>
            </w:pPr>
            <w:r>
              <w:rPr>
                <w:rFonts w:hint="eastAsia" w:ascii="宋体" w:hAnsi="宋体" w:eastAsia="仿宋" w:cs="Times New Roman"/>
                <w:color w:val="auto"/>
                <w:sz w:val="24"/>
                <w:highlight w:val="none"/>
              </w:rPr>
              <w:t>发出形式：在“优质采招标采购平台（www.yzczb.com）”或“优质采云采购平台（www.youzhicai.com）”发布，投标人自行查看、下载，无需确认。其他方式发布的，投标人应书面确认。</w:t>
            </w:r>
          </w:p>
        </w:tc>
      </w:tr>
      <w:tr w14:paraId="7AE6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DC3ACA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3.1.1</w:t>
            </w:r>
          </w:p>
        </w:tc>
        <w:tc>
          <w:tcPr>
            <w:tcW w:w="1581" w:type="dxa"/>
            <w:noWrap w:val="0"/>
            <w:vAlign w:val="center"/>
          </w:tcPr>
          <w:p w14:paraId="396C073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构成投标文件的其他资料</w:t>
            </w:r>
          </w:p>
        </w:tc>
        <w:tc>
          <w:tcPr>
            <w:tcW w:w="7229" w:type="dxa"/>
            <w:noWrap w:val="0"/>
            <w:vAlign w:val="center"/>
          </w:tcPr>
          <w:p w14:paraId="57F65AF7">
            <w:pPr>
              <w:keepNext w:val="0"/>
              <w:keepLines w:val="0"/>
              <w:suppressLineNumbers w:val="0"/>
              <w:adjustRightInd w:val="0"/>
              <w:snapToGrid w:val="0"/>
              <w:spacing w:before="0" w:beforeAutospacing="0" w:after="0" w:afterAutospacing="0" w:line="288" w:lineRule="auto"/>
              <w:ind w:left="0" w:right="0"/>
              <w:rPr>
                <w:rFonts w:hint="eastAsia" w:ascii="Calibri" w:hAnsi="Calibri" w:eastAsia="楷体" w:cs="Times New Roman"/>
                <w:color w:val="auto"/>
                <w:sz w:val="24"/>
                <w:highlight w:val="none"/>
              </w:rPr>
            </w:pPr>
            <w:r>
              <w:rPr>
                <w:rFonts w:hint="eastAsia" w:ascii="楷体" w:hAnsi="楷体" w:eastAsia="仿宋" w:cs="Times New Roman"/>
                <w:color w:val="auto"/>
                <w:sz w:val="24"/>
                <w:highlight w:val="none"/>
              </w:rPr>
              <w:t>/</w:t>
            </w:r>
          </w:p>
        </w:tc>
      </w:tr>
      <w:tr w14:paraId="2665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86" w:hRule="atLeast"/>
        </w:trPr>
        <w:tc>
          <w:tcPr>
            <w:tcW w:w="857" w:type="dxa"/>
            <w:noWrap w:val="0"/>
            <w:vAlign w:val="center"/>
          </w:tcPr>
          <w:p w14:paraId="3AAC1FB2">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3.1.4</w:t>
            </w:r>
          </w:p>
        </w:tc>
        <w:tc>
          <w:tcPr>
            <w:tcW w:w="1581" w:type="dxa"/>
            <w:noWrap w:val="0"/>
            <w:vAlign w:val="center"/>
          </w:tcPr>
          <w:p w14:paraId="0AA2E887">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样品</w:t>
            </w:r>
          </w:p>
        </w:tc>
        <w:tc>
          <w:tcPr>
            <w:tcW w:w="7229" w:type="dxa"/>
            <w:noWrap w:val="0"/>
            <w:vAlign w:val="center"/>
          </w:tcPr>
          <w:p w14:paraId="75F4247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b/>
                <w:bCs/>
                <w:color w:val="auto"/>
                <w:sz w:val="24"/>
                <w:highlight w:val="none"/>
              </w:rPr>
            </w:pPr>
            <w:r>
              <w:rPr>
                <w:rFonts w:hint="eastAsia" w:ascii="宋体" w:hAnsi="宋体" w:eastAsia="仿宋" w:cs="Times New Roman"/>
                <w:b/>
                <w:bCs/>
                <w:color w:val="auto"/>
                <w:sz w:val="24"/>
                <w:highlight w:val="none"/>
              </w:rPr>
              <w:t>是否要求投标人提交样品：</w:t>
            </w:r>
          </w:p>
          <w:p w14:paraId="1604F0A7">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☑否</w:t>
            </w:r>
          </w:p>
          <w:p w14:paraId="1B01E857">
            <w:pPr>
              <w:keepNext w:val="0"/>
              <w:keepLines w:val="0"/>
              <w:suppressLineNumbers w:val="0"/>
              <w:adjustRightInd w:val="0"/>
              <w:spacing w:before="0" w:beforeAutospacing="0" w:after="0" w:afterAutospacing="0" w:line="288" w:lineRule="auto"/>
              <w:ind w:left="0" w:right="0"/>
              <w:rPr>
                <w:rFonts w:hint="eastAsia" w:ascii="仿宋" w:hAnsi="仿宋" w:eastAsia="仿宋" w:cs="仿宋"/>
                <w:color w:val="auto"/>
                <w:sz w:val="24"/>
                <w:highlight w:val="none"/>
                <w:lang w:bidi="ar"/>
              </w:rPr>
            </w:pPr>
            <w:r>
              <w:rPr>
                <w:rFonts w:hint="eastAsia" w:ascii="宋体" w:hAnsi="宋体" w:eastAsia="仿宋" w:cs="Calibri"/>
                <w:color w:val="auto"/>
                <w:sz w:val="24"/>
                <w:highlight w:val="none"/>
              </w:rPr>
              <w:t>□是，提交样品的具体要求：</w:t>
            </w:r>
            <w:r>
              <w:rPr>
                <w:rFonts w:hint="eastAsia" w:ascii="楷体" w:hAnsi="楷体" w:eastAsia="仿宋" w:cs="Calibri"/>
                <w:color w:val="auto"/>
                <w:sz w:val="24"/>
                <w:highlight w:val="none"/>
              </w:rPr>
              <w:t>/</w:t>
            </w:r>
          </w:p>
        </w:tc>
      </w:tr>
      <w:tr w14:paraId="177F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4AC723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3.2.1</w:t>
            </w:r>
          </w:p>
        </w:tc>
        <w:tc>
          <w:tcPr>
            <w:tcW w:w="1581" w:type="dxa"/>
            <w:noWrap w:val="0"/>
            <w:vAlign w:val="center"/>
          </w:tcPr>
          <w:p w14:paraId="2C07890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投标报价包括的内容</w:t>
            </w:r>
          </w:p>
        </w:tc>
        <w:tc>
          <w:tcPr>
            <w:tcW w:w="7229" w:type="dxa"/>
            <w:noWrap w:val="0"/>
            <w:vAlign w:val="center"/>
          </w:tcPr>
          <w:p w14:paraId="42C687AF">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楷体" w:cs="Times New Roman"/>
                <w:bCs/>
                <w:color w:val="auto"/>
                <w:sz w:val="24"/>
                <w:highlight w:val="none"/>
              </w:rPr>
            </w:pPr>
            <w:r>
              <w:rPr>
                <w:rFonts w:hint="eastAsia" w:ascii="楷体" w:hAnsi="楷体" w:eastAsia="仿宋" w:cs="Calibri"/>
                <w:color w:val="auto"/>
                <w:sz w:val="24"/>
                <w:highlight w:val="none"/>
              </w:rPr>
              <w:t>投标报价</w:t>
            </w:r>
            <w:r>
              <w:rPr>
                <w:rFonts w:hint="default" w:ascii="楷体" w:hAnsi="楷体" w:eastAsia="仿宋" w:cs="Times New Roman"/>
                <w:color w:val="auto"/>
                <w:sz w:val="24"/>
                <w:highlight w:val="none"/>
              </w:rPr>
              <w:t>包括货物从设计、采购、制造、交货（包括运输至采购人</w:t>
            </w:r>
            <w:r>
              <w:rPr>
                <w:rFonts w:hint="eastAsia" w:ascii="楷体" w:hAnsi="楷体" w:eastAsia="仿宋" w:cs="Times New Roman"/>
                <w:color w:val="auto"/>
                <w:sz w:val="24"/>
                <w:highlight w:val="none"/>
              </w:rPr>
              <w:t>、使用单位</w:t>
            </w:r>
            <w:r>
              <w:rPr>
                <w:rFonts w:hint="default" w:ascii="楷体" w:hAnsi="楷体" w:eastAsia="仿宋" w:cs="Times New Roman"/>
                <w:color w:val="auto"/>
                <w:sz w:val="24"/>
                <w:highlight w:val="none"/>
              </w:rPr>
              <w:t>指定地点卸车就位）</w:t>
            </w:r>
            <w:r>
              <w:rPr>
                <w:rFonts w:hint="eastAsia" w:ascii="楷体" w:hAnsi="楷体" w:eastAsia="仿宋" w:cs="Times New Roman"/>
                <w:color w:val="auto"/>
                <w:sz w:val="24"/>
                <w:highlight w:val="none"/>
              </w:rPr>
              <w:t>、安装、调试</w:t>
            </w:r>
            <w:r>
              <w:rPr>
                <w:rFonts w:hint="default" w:ascii="楷体" w:hAnsi="楷体" w:eastAsia="仿宋" w:cs="Times New Roman"/>
                <w:color w:val="auto"/>
                <w:sz w:val="24"/>
                <w:highlight w:val="none"/>
              </w:rPr>
              <w:t>至验收和售后服务的一切费用（如设计费、采购费、制造费、试验检测费、包装费、运输费、运输保险费、装卸费</w:t>
            </w:r>
            <w:r>
              <w:rPr>
                <w:rFonts w:hint="eastAsia" w:ascii="楷体" w:hAnsi="楷体" w:eastAsia="仿宋" w:cs="Times New Roman"/>
                <w:color w:val="auto"/>
                <w:sz w:val="24"/>
                <w:highlight w:val="none"/>
              </w:rPr>
              <w:t>、安装费、调试费、</w:t>
            </w:r>
            <w:r>
              <w:rPr>
                <w:rFonts w:hint="default" w:ascii="楷体" w:hAnsi="楷体" w:eastAsia="仿宋" w:cs="Times New Roman"/>
                <w:color w:val="auto"/>
                <w:sz w:val="24"/>
                <w:highlight w:val="none"/>
              </w:rPr>
              <w:t>其他技术服务及质保期服务费等）、管理费、利润和税金，以及</w:t>
            </w:r>
            <w:r>
              <w:rPr>
                <w:rFonts w:hint="eastAsia" w:ascii="楷体" w:hAnsi="楷体" w:eastAsia="仿宋" w:cs="Times New Roman"/>
                <w:color w:val="auto"/>
                <w:sz w:val="24"/>
                <w:highlight w:val="none"/>
              </w:rPr>
              <w:t>采购需求、采购</w:t>
            </w:r>
            <w:r>
              <w:rPr>
                <w:rFonts w:hint="default" w:ascii="楷体" w:hAnsi="楷体" w:eastAsia="仿宋" w:cs="Times New Roman"/>
                <w:color w:val="auto"/>
                <w:sz w:val="24"/>
                <w:highlight w:val="none"/>
              </w:rPr>
              <w:t>合同中明示或暗示的所有责任、义务和风险。</w:t>
            </w:r>
          </w:p>
        </w:tc>
      </w:tr>
      <w:tr w14:paraId="4623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7DDD04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3.2.4</w:t>
            </w:r>
          </w:p>
        </w:tc>
        <w:tc>
          <w:tcPr>
            <w:tcW w:w="1581" w:type="dxa"/>
            <w:noWrap w:val="0"/>
            <w:vAlign w:val="center"/>
          </w:tcPr>
          <w:p w14:paraId="2099F0F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投标报价的其他要求</w:t>
            </w:r>
          </w:p>
        </w:tc>
        <w:tc>
          <w:tcPr>
            <w:tcW w:w="7229" w:type="dxa"/>
            <w:noWrap w:val="0"/>
            <w:vAlign w:val="center"/>
          </w:tcPr>
          <w:p w14:paraId="254747FB">
            <w:pPr>
              <w:pStyle w:val="178"/>
              <w:keepNext w:val="0"/>
              <w:keepLines w:val="0"/>
              <w:suppressLineNumbers w:val="0"/>
              <w:snapToGrid w:val="0"/>
              <w:spacing w:before="0" w:beforeAutospacing="0" w:after="0" w:afterAutospacing="0" w:line="240" w:lineRule="auto"/>
              <w:ind w:left="0" w:right="0"/>
              <w:rPr>
                <w:rFonts w:hint="eastAsia" w:ascii="楷体" w:hAnsi="楷体" w:eastAsia="仿宋" w:cs="Times New Roman"/>
                <w:b w:val="0"/>
                <w:color w:val="auto"/>
                <w:sz w:val="24"/>
                <w:szCs w:val="24"/>
                <w:highlight w:val="none"/>
              </w:rPr>
            </w:pPr>
            <w:r>
              <w:rPr>
                <w:rFonts w:hint="eastAsia" w:ascii="楷体" w:hAnsi="楷体" w:eastAsia="仿宋" w:cs="Times New Roman"/>
                <w:b w:val="0"/>
                <w:color w:val="auto"/>
                <w:sz w:val="24"/>
                <w:szCs w:val="24"/>
                <w:highlight w:val="none"/>
              </w:rPr>
              <w:t>□除招标文件另有规定外，投标人所报的价格在合同执行过程中固定不变,不得以任何理由予以变更。</w:t>
            </w:r>
          </w:p>
          <w:p w14:paraId="2164A497">
            <w:pPr>
              <w:pStyle w:val="178"/>
              <w:keepNext w:val="0"/>
              <w:keepLines w:val="0"/>
              <w:suppressLineNumbers w:val="0"/>
              <w:tabs>
                <w:tab w:val="left" w:pos="2149"/>
              </w:tabs>
              <w:snapToGrid w:val="0"/>
              <w:spacing w:before="0" w:beforeAutospacing="0" w:after="0" w:afterAutospacing="0" w:line="240" w:lineRule="auto"/>
              <w:ind w:left="0" w:right="0"/>
              <w:rPr>
                <w:rFonts w:hint="default" w:ascii="楷体" w:hAnsi="楷体" w:eastAsia="仿宋" w:cs="Times New Roman"/>
                <w:b w:val="0"/>
                <w:color w:val="auto"/>
                <w:sz w:val="24"/>
                <w:szCs w:val="24"/>
                <w:highlight w:val="none"/>
              </w:rPr>
            </w:pPr>
            <w:r>
              <w:rPr>
                <w:rFonts w:hint="eastAsia" w:ascii="楷体" w:hAnsi="楷体" w:eastAsia="仿宋" w:cs="Times New Roman"/>
                <w:b w:val="0"/>
                <w:color w:val="auto"/>
                <w:sz w:val="24"/>
                <w:szCs w:val="24"/>
                <w:highlight w:val="none"/>
              </w:rPr>
              <w:t>☑1、采购</w:t>
            </w:r>
            <w:r>
              <w:rPr>
                <w:rFonts w:hint="default" w:ascii="楷体" w:hAnsi="楷体" w:eastAsia="仿宋" w:cs="Times New Roman"/>
                <w:b w:val="0"/>
                <w:color w:val="auto"/>
                <w:sz w:val="24"/>
                <w:szCs w:val="24"/>
                <w:highlight w:val="none"/>
              </w:rPr>
              <w:t>人在“</w:t>
            </w:r>
            <w:r>
              <w:rPr>
                <w:rFonts w:hint="eastAsia" w:ascii="楷体" w:hAnsi="楷体" w:eastAsia="仿宋" w:cs="Times New Roman"/>
                <w:b w:val="0"/>
                <w:color w:val="auto"/>
                <w:sz w:val="24"/>
                <w:szCs w:val="24"/>
                <w:highlight w:val="none"/>
              </w:rPr>
              <w:t>采购需求</w:t>
            </w:r>
            <w:r>
              <w:rPr>
                <w:rFonts w:hint="default" w:ascii="楷体" w:hAnsi="楷体" w:eastAsia="仿宋" w:cs="Times New Roman"/>
                <w:b w:val="0"/>
                <w:color w:val="auto"/>
                <w:sz w:val="24"/>
                <w:szCs w:val="24"/>
                <w:highlight w:val="none"/>
              </w:rPr>
              <w:t>”中</w:t>
            </w:r>
            <w:r>
              <w:rPr>
                <w:rFonts w:hint="eastAsia" w:ascii="楷体" w:hAnsi="楷体" w:eastAsia="仿宋" w:cs="Times New Roman"/>
                <w:b w:val="0"/>
                <w:color w:val="auto"/>
                <w:sz w:val="24"/>
                <w:szCs w:val="24"/>
                <w:highlight w:val="none"/>
              </w:rPr>
              <w:t>要求提供</w:t>
            </w:r>
            <w:r>
              <w:rPr>
                <w:rFonts w:hint="default" w:ascii="楷体" w:hAnsi="楷体" w:eastAsia="仿宋" w:cs="Times New Roman"/>
                <w:b w:val="0"/>
                <w:color w:val="auto"/>
                <w:sz w:val="24"/>
                <w:szCs w:val="24"/>
                <w:highlight w:val="none"/>
              </w:rPr>
              <w:t>的各种货物</w:t>
            </w:r>
            <w:r>
              <w:rPr>
                <w:rFonts w:hint="eastAsia" w:ascii="楷体" w:hAnsi="楷体" w:eastAsia="仿宋" w:cs="Times New Roman"/>
                <w:b w:val="0"/>
                <w:color w:val="auto"/>
                <w:sz w:val="24"/>
                <w:szCs w:val="24"/>
                <w:highlight w:val="none"/>
              </w:rPr>
              <w:t>及配件（或附件）</w:t>
            </w:r>
            <w:r>
              <w:rPr>
                <w:rFonts w:hint="default" w:ascii="楷体" w:hAnsi="楷体" w:eastAsia="仿宋" w:cs="Times New Roman"/>
                <w:b w:val="0"/>
                <w:color w:val="auto"/>
                <w:sz w:val="24"/>
                <w:szCs w:val="24"/>
                <w:highlight w:val="none"/>
              </w:rPr>
              <w:t>的数量是计划采购数量，仅作为投标报价的依据，不作为最终结算与支付的依据。</w:t>
            </w:r>
          </w:p>
          <w:p w14:paraId="2CC72D95">
            <w:pPr>
              <w:pStyle w:val="178"/>
              <w:keepNext w:val="0"/>
              <w:keepLines w:val="0"/>
              <w:suppressLineNumbers w:val="0"/>
              <w:tabs>
                <w:tab w:val="left" w:pos="2149"/>
              </w:tabs>
              <w:snapToGrid w:val="0"/>
              <w:spacing w:before="0" w:beforeAutospacing="0" w:after="0" w:afterAutospacing="0" w:line="240" w:lineRule="auto"/>
              <w:ind w:left="0" w:right="0"/>
              <w:rPr>
                <w:rFonts w:hint="default" w:ascii="楷体" w:hAnsi="楷体" w:eastAsia="仿宋" w:cs="Times New Roman"/>
                <w:b w:val="0"/>
                <w:color w:val="auto"/>
                <w:sz w:val="24"/>
                <w:szCs w:val="24"/>
                <w:highlight w:val="none"/>
              </w:rPr>
            </w:pPr>
            <w:r>
              <w:rPr>
                <w:rFonts w:hint="eastAsia" w:ascii="楷体" w:hAnsi="楷体" w:eastAsia="仿宋" w:cs="Times New Roman"/>
                <w:b w:val="0"/>
                <w:color w:val="auto"/>
                <w:sz w:val="24"/>
                <w:szCs w:val="24"/>
                <w:highlight w:val="none"/>
              </w:rPr>
              <w:t>2、在签订分合同时，</w:t>
            </w:r>
            <w:bookmarkStart w:id="52" w:name="OLE_LINK7"/>
            <w:r>
              <w:rPr>
                <w:rFonts w:hint="eastAsia" w:ascii="楷体" w:hAnsi="楷体" w:eastAsia="仿宋" w:cs="Times New Roman"/>
                <w:b w:val="0"/>
                <w:color w:val="auto"/>
                <w:sz w:val="24"/>
                <w:szCs w:val="24"/>
                <w:highlight w:val="none"/>
              </w:rPr>
              <w:t>各使用单位可根据临床使用需求决定选择性采购招标文件中列明须</w:t>
            </w:r>
            <w:r>
              <w:rPr>
                <w:rFonts w:hint="eastAsia" w:ascii="楷体" w:hAnsi="楷体" w:eastAsia="仿宋" w:cs="Times New Roman"/>
                <w:bCs/>
                <w:color w:val="auto"/>
                <w:sz w:val="24"/>
                <w:szCs w:val="24"/>
                <w:highlight w:val="none"/>
              </w:rPr>
              <w:t>单独报价的配件（或附件）</w:t>
            </w:r>
            <w:r>
              <w:rPr>
                <w:rFonts w:hint="eastAsia" w:ascii="楷体" w:hAnsi="楷体" w:eastAsia="仿宋" w:cs="Times New Roman"/>
                <w:bCs/>
                <w:color w:val="auto"/>
                <w:sz w:val="24"/>
                <w:szCs w:val="24"/>
                <w:highlight w:val="none"/>
                <w:lang w:eastAsia="zh-CN"/>
              </w:rPr>
              <w:t>。</w:t>
            </w:r>
            <w:r>
              <w:rPr>
                <w:rFonts w:hint="eastAsia" w:ascii="楷体" w:hAnsi="楷体" w:eastAsia="仿宋" w:cs="Times New Roman"/>
                <w:b w:val="0"/>
                <w:color w:val="auto"/>
                <w:sz w:val="24"/>
                <w:szCs w:val="24"/>
                <w:highlight w:val="none"/>
              </w:rPr>
              <w:t>实际合同价格为相应标准配置设备中标价格与未选择采购（减少）配件</w:t>
            </w:r>
            <w:r>
              <w:rPr>
                <w:rFonts w:hint="eastAsia" w:ascii="楷体" w:hAnsi="楷体" w:eastAsia="仿宋" w:cs="Times New Roman"/>
                <w:bCs/>
                <w:color w:val="auto"/>
                <w:sz w:val="24"/>
                <w:szCs w:val="24"/>
                <w:highlight w:val="none"/>
              </w:rPr>
              <w:t>（或附件）</w:t>
            </w:r>
            <w:r>
              <w:rPr>
                <w:rFonts w:hint="eastAsia" w:ascii="楷体" w:hAnsi="楷体" w:eastAsia="仿宋" w:cs="Times New Roman"/>
                <w:b w:val="0"/>
                <w:color w:val="auto"/>
                <w:sz w:val="24"/>
                <w:szCs w:val="24"/>
                <w:highlight w:val="none"/>
              </w:rPr>
              <w:t>价格的相应价格之差。</w:t>
            </w:r>
            <w:bookmarkEnd w:id="52"/>
          </w:p>
          <w:p w14:paraId="767A3646">
            <w:pPr>
              <w:pStyle w:val="178"/>
              <w:keepNext w:val="0"/>
              <w:keepLines w:val="0"/>
              <w:suppressLineNumbers w:val="0"/>
              <w:tabs>
                <w:tab w:val="left" w:pos="2149"/>
              </w:tabs>
              <w:snapToGrid w:val="0"/>
              <w:spacing w:before="0" w:beforeAutospacing="0" w:after="0" w:afterAutospacing="0" w:line="240" w:lineRule="auto"/>
              <w:ind w:left="0" w:right="0"/>
              <w:rPr>
                <w:rFonts w:hint="eastAsia" w:ascii="楷体" w:hAnsi="楷体" w:eastAsia="仿宋" w:cs="Times New Roman"/>
                <w:b w:val="0"/>
                <w:color w:val="auto"/>
                <w:sz w:val="24"/>
                <w:szCs w:val="24"/>
                <w:highlight w:val="none"/>
              </w:rPr>
            </w:pPr>
            <w:r>
              <w:rPr>
                <w:rFonts w:hint="eastAsia" w:ascii="楷体" w:hAnsi="楷体" w:eastAsia="仿宋" w:cs="Times New Roman"/>
                <w:b w:val="0"/>
                <w:color w:val="auto"/>
                <w:sz w:val="24"/>
                <w:szCs w:val="24"/>
                <w:highlight w:val="none"/>
              </w:rPr>
              <w:t>3、投标人不得以货物的实际供货数量有变化为理由要求对各种货物的单价进行变更或拒签合同。</w:t>
            </w:r>
          </w:p>
        </w:tc>
      </w:tr>
      <w:tr w14:paraId="5074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71" w:hRule="atLeast"/>
        </w:trPr>
        <w:tc>
          <w:tcPr>
            <w:tcW w:w="857" w:type="dxa"/>
            <w:noWrap w:val="0"/>
            <w:vAlign w:val="center"/>
          </w:tcPr>
          <w:p w14:paraId="6714261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3.3.1</w:t>
            </w:r>
          </w:p>
        </w:tc>
        <w:tc>
          <w:tcPr>
            <w:tcW w:w="1581" w:type="dxa"/>
            <w:noWrap w:val="0"/>
            <w:vAlign w:val="center"/>
          </w:tcPr>
          <w:p w14:paraId="69623FF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投标有效期</w:t>
            </w:r>
          </w:p>
        </w:tc>
        <w:tc>
          <w:tcPr>
            <w:tcW w:w="7229" w:type="dxa"/>
            <w:noWrap w:val="0"/>
            <w:vAlign w:val="center"/>
          </w:tcPr>
          <w:p w14:paraId="1DF53799">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90日历天</w:t>
            </w:r>
            <w:r>
              <w:rPr>
                <w:rFonts w:hint="eastAsia" w:ascii="宋体" w:hAnsi="宋体" w:eastAsia="仿宋" w:cs="Times New Roman"/>
                <w:color w:val="auto"/>
                <w:sz w:val="24"/>
                <w:highlight w:val="none"/>
              </w:rPr>
              <w:t>（从投标截止之日算起）</w:t>
            </w:r>
          </w:p>
        </w:tc>
      </w:tr>
      <w:tr w14:paraId="6FCE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78" w:hRule="atLeast"/>
        </w:trPr>
        <w:tc>
          <w:tcPr>
            <w:tcW w:w="857" w:type="dxa"/>
            <w:noWrap w:val="0"/>
            <w:vAlign w:val="center"/>
          </w:tcPr>
          <w:p w14:paraId="7F69021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3.4</w:t>
            </w:r>
          </w:p>
        </w:tc>
        <w:tc>
          <w:tcPr>
            <w:tcW w:w="1581" w:type="dxa"/>
            <w:noWrap w:val="0"/>
            <w:vAlign w:val="center"/>
          </w:tcPr>
          <w:p w14:paraId="7D37D7E9">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投标保证金</w:t>
            </w:r>
          </w:p>
        </w:tc>
        <w:tc>
          <w:tcPr>
            <w:tcW w:w="7229" w:type="dxa"/>
            <w:noWrap w:val="0"/>
            <w:vAlign w:val="center"/>
          </w:tcPr>
          <w:p w14:paraId="3DA4F7B0">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楷体_GB2312" w:cs="Times New Roman"/>
                <w:i/>
                <w:color w:val="auto"/>
                <w:sz w:val="24"/>
                <w:highlight w:val="none"/>
              </w:rPr>
            </w:pPr>
            <w:r>
              <w:rPr>
                <w:rFonts w:hint="eastAsia" w:ascii="Calibri" w:hAnsi="Calibri" w:eastAsia="仿宋" w:cs="Times New Roman"/>
                <w:color w:val="auto"/>
                <w:sz w:val="24"/>
                <w:highlight w:val="none"/>
              </w:rPr>
              <w:t>不要求提交。</w:t>
            </w:r>
          </w:p>
        </w:tc>
      </w:tr>
      <w:tr w14:paraId="3AC8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385DCA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3.6.1</w:t>
            </w:r>
          </w:p>
        </w:tc>
        <w:tc>
          <w:tcPr>
            <w:tcW w:w="1581" w:type="dxa"/>
            <w:noWrap w:val="0"/>
            <w:vAlign w:val="center"/>
          </w:tcPr>
          <w:p w14:paraId="0B56CA1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是否允许递交备选投标方案</w:t>
            </w:r>
          </w:p>
        </w:tc>
        <w:tc>
          <w:tcPr>
            <w:tcW w:w="7229" w:type="dxa"/>
            <w:noWrap w:val="0"/>
            <w:vAlign w:val="center"/>
          </w:tcPr>
          <w:p w14:paraId="52DF9DD7">
            <w:pPr>
              <w:keepNext w:val="0"/>
              <w:keepLines w:val="0"/>
              <w:widowControl/>
              <w:suppressLineNumbers w:val="0"/>
              <w:topLinePunct/>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☑不允许</w:t>
            </w:r>
          </w:p>
          <w:p w14:paraId="5DAF8585">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宋体" w:hAnsi="宋体" w:eastAsia="仿宋" w:cs="Calibri"/>
                <w:color w:val="auto"/>
                <w:sz w:val="24"/>
                <w:highlight w:val="none"/>
              </w:rPr>
              <w:t>□允许，并满足以下条件：</w:t>
            </w:r>
          </w:p>
        </w:tc>
      </w:tr>
      <w:tr w14:paraId="5F29D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73CFA5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3.7.4（1）</w:t>
            </w:r>
          </w:p>
        </w:tc>
        <w:tc>
          <w:tcPr>
            <w:tcW w:w="1581" w:type="dxa"/>
            <w:noWrap w:val="0"/>
            <w:vAlign w:val="center"/>
          </w:tcPr>
          <w:p w14:paraId="4E22812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auto"/>
                <w:sz w:val="24"/>
                <w:highlight w:val="none"/>
              </w:rPr>
            </w:pPr>
            <w:r>
              <w:rPr>
                <w:rFonts w:hint="eastAsia" w:ascii="宋体" w:hAnsi="宋体" w:eastAsia="仿宋" w:cs="Calibri"/>
                <w:color w:val="auto"/>
                <w:sz w:val="24"/>
                <w:highlight w:val="none"/>
              </w:rPr>
              <w:t>投标文件制作</w:t>
            </w:r>
          </w:p>
        </w:tc>
        <w:tc>
          <w:tcPr>
            <w:tcW w:w="7229" w:type="dxa"/>
            <w:noWrap w:val="0"/>
            <w:vAlign w:val="center"/>
          </w:tcPr>
          <w:p w14:paraId="01DCD5E2">
            <w:pPr>
              <w:keepNext w:val="0"/>
              <w:keepLines w:val="0"/>
              <w:widowControl/>
              <w:suppressLineNumbers w:val="0"/>
              <w:topLinePunct/>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楷体" w:hAnsi="楷体" w:eastAsia="仿宋" w:cs="Calibri"/>
                <w:color w:val="auto"/>
                <w:sz w:val="24"/>
                <w:highlight w:val="none"/>
              </w:rPr>
              <w:t>见本章附件一《全流程电子招标采购具体要求》</w:t>
            </w:r>
          </w:p>
        </w:tc>
      </w:tr>
      <w:tr w14:paraId="3BADE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73D6E4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3.7.4（3）</w:t>
            </w:r>
          </w:p>
        </w:tc>
        <w:tc>
          <w:tcPr>
            <w:tcW w:w="1581" w:type="dxa"/>
            <w:noWrap w:val="0"/>
            <w:vAlign w:val="center"/>
          </w:tcPr>
          <w:p w14:paraId="3C98CE5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投标文件所附证书证件要求</w:t>
            </w:r>
          </w:p>
        </w:tc>
        <w:tc>
          <w:tcPr>
            <w:tcW w:w="7229" w:type="dxa"/>
            <w:noWrap w:val="0"/>
            <w:vAlign w:val="center"/>
          </w:tcPr>
          <w:p w14:paraId="48F4673A">
            <w:pPr>
              <w:keepNext w:val="0"/>
              <w:keepLines w:val="0"/>
              <w:widowControl/>
              <w:suppressLineNumbers w:val="0"/>
              <w:topLinePunct/>
              <w:adjustRightInd w:val="0"/>
              <w:snapToGrid w:val="0"/>
              <w:spacing w:before="0" w:beforeAutospacing="0" w:after="0" w:afterAutospacing="0" w:line="288" w:lineRule="auto"/>
              <w:ind w:left="0" w:right="0"/>
              <w:rPr>
                <w:rFonts w:hint="default" w:ascii="楷体" w:hAnsi="楷体" w:eastAsia="仿宋" w:cs="Times New Roman"/>
                <w:bCs/>
                <w:color w:val="auto"/>
                <w:sz w:val="24"/>
                <w:highlight w:val="none"/>
              </w:rPr>
            </w:pPr>
            <w:r>
              <w:rPr>
                <w:rFonts w:hint="eastAsia" w:ascii="楷体" w:hAnsi="楷体" w:eastAsia="仿宋" w:cs="Calibri"/>
                <w:color w:val="auto"/>
                <w:sz w:val="24"/>
                <w:highlight w:val="none"/>
              </w:rPr>
              <w:t>电子投标文件所附证书证件均应为投标人证书证件的扫描件或电子证照。</w:t>
            </w:r>
          </w:p>
        </w:tc>
      </w:tr>
      <w:tr w14:paraId="1741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C3E9BE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3.7.4（5）</w:t>
            </w:r>
          </w:p>
        </w:tc>
        <w:tc>
          <w:tcPr>
            <w:tcW w:w="1581" w:type="dxa"/>
            <w:noWrap w:val="0"/>
            <w:vAlign w:val="center"/>
          </w:tcPr>
          <w:p w14:paraId="0555FFC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投标文件份数及其他要求</w:t>
            </w:r>
          </w:p>
        </w:tc>
        <w:tc>
          <w:tcPr>
            <w:tcW w:w="7229" w:type="dxa"/>
            <w:noWrap w:val="0"/>
            <w:vAlign w:val="center"/>
          </w:tcPr>
          <w:p w14:paraId="584942E4">
            <w:pPr>
              <w:keepNext w:val="0"/>
              <w:keepLines w:val="0"/>
              <w:widowControl/>
              <w:suppressLineNumbers w:val="0"/>
              <w:topLinePunct/>
              <w:adjustRightInd w:val="0"/>
              <w:snapToGrid w:val="0"/>
              <w:spacing w:before="0" w:beforeAutospacing="0" w:after="0" w:afterAutospacing="0" w:line="288" w:lineRule="auto"/>
              <w:ind w:left="0" w:right="0"/>
              <w:rPr>
                <w:rFonts w:hint="eastAsia" w:ascii="楷体" w:hAnsi="楷体" w:eastAsia="楷体" w:cs="Calibri"/>
                <w:color w:val="auto"/>
                <w:sz w:val="24"/>
                <w:highlight w:val="none"/>
              </w:rPr>
            </w:pPr>
            <w:r>
              <w:rPr>
                <w:rFonts w:hint="eastAsia" w:ascii="宋体" w:hAnsi="宋体" w:eastAsia="仿宋" w:cs="Calibri"/>
                <w:color w:val="auto"/>
                <w:sz w:val="24"/>
                <w:highlight w:val="none"/>
              </w:rPr>
              <w:t>投标人应提交</w:t>
            </w:r>
            <w:r>
              <w:rPr>
                <w:rFonts w:hint="eastAsia" w:ascii="楷体" w:hAnsi="楷体" w:eastAsia="仿宋" w:cs="Calibri"/>
                <w:color w:val="auto"/>
                <w:sz w:val="24"/>
                <w:highlight w:val="none"/>
              </w:rPr>
              <w:t>加密的电子投标文件：使用优质采云采购平台电子标书制作工具制作生成的加密投标文件，应在投标截止时间前通过</w:t>
            </w:r>
            <w:r>
              <w:rPr>
                <w:rFonts w:hint="eastAsia" w:ascii="楷体" w:hAnsi="楷体" w:eastAsia="仿宋" w:cs="Microsoft JhengHei"/>
                <w:color w:val="auto"/>
                <w:kern w:val="0"/>
                <w:sz w:val="24"/>
                <w:highlight w:val="none"/>
              </w:rPr>
              <w:t>“优质采招标采购平台(www.yzczb.com)”或“优质采云采购平台(www.youzhicai.com)”</w:t>
            </w:r>
            <w:r>
              <w:rPr>
                <w:rFonts w:hint="eastAsia" w:ascii="楷体" w:hAnsi="楷体" w:eastAsia="仿宋" w:cs="Calibri"/>
                <w:color w:val="auto"/>
                <w:sz w:val="24"/>
                <w:highlight w:val="none"/>
              </w:rPr>
              <w:t>上传；</w:t>
            </w:r>
          </w:p>
        </w:tc>
      </w:tr>
      <w:tr w14:paraId="3F011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06" w:hRule="atLeast"/>
        </w:trPr>
        <w:tc>
          <w:tcPr>
            <w:tcW w:w="857" w:type="dxa"/>
            <w:noWrap w:val="0"/>
            <w:vAlign w:val="center"/>
          </w:tcPr>
          <w:p w14:paraId="5E61BBE6">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4.1.1</w:t>
            </w:r>
          </w:p>
        </w:tc>
        <w:tc>
          <w:tcPr>
            <w:tcW w:w="1581" w:type="dxa"/>
            <w:noWrap w:val="0"/>
            <w:vAlign w:val="center"/>
          </w:tcPr>
          <w:p w14:paraId="5A3477E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投标文件加密要求</w:t>
            </w:r>
          </w:p>
        </w:tc>
        <w:tc>
          <w:tcPr>
            <w:tcW w:w="7229" w:type="dxa"/>
            <w:noWrap w:val="0"/>
            <w:vAlign w:val="center"/>
          </w:tcPr>
          <w:p w14:paraId="7DFBC358">
            <w:pPr>
              <w:keepNext w:val="0"/>
              <w:keepLines w:val="0"/>
              <w:widowControl/>
              <w:suppressLineNumbers w:val="0"/>
              <w:wordWrap w:val="0"/>
              <w:adjustRightInd w:val="0"/>
              <w:snapToGrid w:val="0"/>
              <w:spacing w:before="0" w:beforeAutospacing="0" w:after="0" w:afterAutospacing="0" w:line="288" w:lineRule="auto"/>
              <w:ind w:left="0" w:right="0"/>
              <w:rPr>
                <w:rFonts w:hint="eastAsia" w:ascii="楷体" w:hAnsi="楷体" w:eastAsia="楷体" w:cs="Calibri"/>
                <w:color w:val="auto"/>
                <w:sz w:val="24"/>
                <w:highlight w:val="none"/>
              </w:rPr>
            </w:pPr>
            <w:r>
              <w:rPr>
                <w:rFonts w:hint="eastAsia" w:ascii="楷体" w:hAnsi="楷体" w:eastAsia="仿宋" w:cs="Calibri"/>
                <w:color w:val="auto"/>
                <w:sz w:val="24"/>
                <w:highlight w:val="none"/>
              </w:rPr>
              <w:t>见本章附件一《全流程电子招标采购具体要求》</w:t>
            </w:r>
          </w:p>
        </w:tc>
      </w:tr>
      <w:tr w14:paraId="24A15FD9">
        <w:tblPrEx>
          <w:tblCellMar>
            <w:top w:w="0" w:type="dxa"/>
            <w:left w:w="28" w:type="dxa"/>
            <w:bottom w:w="0" w:type="dxa"/>
            <w:right w:w="28" w:type="dxa"/>
          </w:tblCellMar>
        </w:tblPrEx>
        <w:trPr>
          <w:trHeight w:val="510" w:hRule="atLeast"/>
        </w:trPr>
        <w:tc>
          <w:tcPr>
            <w:tcW w:w="857" w:type="dxa"/>
            <w:noWrap w:val="0"/>
            <w:vAlign w:val="center"/>
          </w:tcPr>
          <w:p w14:paraId="0B4A194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4.2.2</w:t>
            </w:r>
          </w:p>
        </w:tc>
        <w:tc>
          <w:tcPr>
            <w:tcW w:w="1581" w:type="dxa"/>
            <w:noWrap w:val="0"/>
            <w:vAlign w:val="center"/>
          </w:tcPr>
          <w:p w14:paraId="0679B58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递交投标文件的电子交易平台</w:t>
            </w:r>
          </w:p>
        </w:tc>
        <w:tc>
          <w:tcPr>
            <w:tcW w:w="7229" w:type="dxa"/>
            <w:noWrap w:val="0"/>
            <w:vAlign w:val="center"/>
          </w:tcPr>
          <w:p w14:paraId="662A0BC7">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Microsoft JhengHei"/>
                <w:color w:val="auto"/>
                <w:kern w:val="0"/>
                <w:sz w:val="24"/>
                <w:highlight w:val="none"/>
              </w:rPr>
            </w:pPr>
            <w:r>
              <w:rPr>
                <w:rFonts w:hint="eastAsia" w:ascii="楷体" w:hAnsi="楷体" w:eastAsia="仿宋" w:cs="Microsoft JhengHei"/>
                <w:color w:val="auto"/>
                <w:kern w:val="0"/>
                <w:sz w:val="24"/>
                <w:highlight w:val="none"/>
              </w:rPr>
              <w:t>“优质采招标采购平台(www.yzczb.com)”或“优质采云采购平台(www.youzhicai.com)”</w:t>
            </w:r>
          </w:p>
          <w:p w14:paraId="3C7EEC0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iCs/>
                <w:color w:val="auto"/>
                <w:sz w:val="24"/>
                <w:highlight w:val="none"/>
              </w:rPr>
            </w:pPr>
            <w:r>
              <w:rPr>
                <w:rFonts w:hint="eastAsia" w:ascii="楷体" w:hAnsi="楷体" w:eastAsia="仿宋" w:cs="Times New Roman"/>
                <w:color w:val="auto"/>
                <w:sz w:val="24"/>
                <w:highlight w:val="none"/>
              </w:rPr>
              <w:t>如未在招标文件规定的投标时间截止前网上上传加密的电子投标文件，投标无效。</w:t>
            </w:r>
          </w:p>
        </w:tc>
      </w:tr>
      <w:tr w14:paraId="3704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D79202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4.2.3</w:t>
            </w:r>
          </w:p>
        </w:tc>
        <w:tc>
          <w:tcPr>
            <w:tcW w:w="1581" w:type="dxa"/>
            <w:noWrap w:val="0"/>
            <w:vAlign w:val="center"/>
          </w:tcPr>
          <w:p w14:paraId="2C62CFF5">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是否退还投标文件</w:t>
            </w:r>
          </w:p>
        </w:tc>
        <w:tc>
          <w:tcPr>
            <w:tcW w:w="7229" w:type="dxa"/>
            <w:noWrap w:val="0"/>
            <w:vAlign w:val="center"/>
          </w:tcPr>
          <w:p w14:paraId="3829615F">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Times New Roman"/>
                <w:b/>
                <w:bCs/>
                <w:color w:val="auto"/>
                <w:sz w:val="24"/>
                <w:highlight w:val="none"/>
              </w:rPr>
              <w:sym w:font="Wingdings" w:char="F0FE"/>
            </w:r>
            <w:r>
              <w:rPr>
                <w:rFonts w:hint="eastAsia" w:ascii="宋体" w:hAnsi="宋体" w:eastAsia="仿宋" w:cs="Calibri"/>
                <w:color w:val="auto"/>
                <w:sz w:val="24"/>
                <w:highlight w:val="none"/>
              </w:rPr>
              <w:t>否，其中样品的退还规定见本章第3.1.4项</w:t>
            </w:r>
          </w:p>
          <w:p w14:paraId="79212A42">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□是，退还安排：</w:t>
            </w:r>
            <w:r>
              <w:rPr>
                <w:rFonts w:hint="default" w:ascii="宋体" w:hAnsi="宋体" w:eastAsia="仿宋" w:cs="Calibri"/>
                <w:color w:val="auto"/>
                <w:sz w:val="24"/>
                <w:highlight w:val="none"/>
                <w:u w:val="single"/>
              </w:rPr>
              <w:t xml:space="preserve"> </w:t>
            </w:r>
            <w:r>
              <w:rPr>
                <w:rFonts w:hint="eastAsia" w:ascii="宋体" w:hAnsi="宋体" w:eastAsia="仿宋" w:cs="Calibri"/>
                <w:color w:val="auto"/>
                <w:sz w:val="24"/>
                <w:highlight w:val="none"/>
                <w:u w:val="single"/>
              </w:rPr>
              <w:t>/</w:t>
            </w:r>
            <w:r>
              <w:rPr>
                <w:rFonts w:hint="default" w:ascii="宋体" w:hAnsi="宋体" w:eastAsia="仿宋" w:cs="Calibri"/>
                <w:color w:val="auto"/>
                <w:sz w:val="24"/>
                <w:highlight w:val="none"/>
                <w:u w:val="single"/>
              </w:rPr>
              <w:t xml:space="preserve"> </w:t>
            </w:r>
          </w:p>
        </w:tc>
      </w:tr>
      <w:tr w14:paraId="39F3C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A869B2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5.2（3）</w:t>
            </w:r>
          </w:p>
        </w:tc>
        <w:tc>
          <w:tcPr>
            <w:tcW w:w="1581" w:type="dxa"/>
            <w:noWrap w:val="0"/>
            <w:vAlign w:val="center"/>
          </w:tcPr>
          <w:p w14:paraId="4905E17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开标程序</w:t>
            </w:r>
          </w:p>
        </w:tc>
        <w:tc>
          <w:tcPr>
            <w:tcW w:w="7229" w:type="dxa"/>
            <w:noWrap w:val="0"/>
            <w:vAlign w:val="center"/>
          </w:tcPr>
          <w:p w14:paraId="7920AB0E">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解密时间要求：</w:t>
            </w:r>
            <w:r>
              <w:rPr>
                <w:rFonts w:hint="eastAsia" w:ascii="楷体" w:hAnsi="楷体" w:eastAsia="仿宋" w:cs="Calibri"/>
                <w:color w:val="auto"/>
                <w:sz w:val="24"/>
                <w:highlight w:val="none"/>
              </w:rPr>
              <w:t>30分钟以内，以电子交易平台时间为准</w:t>
            </w:r>
          </w:p>
          <w:p w14:paraId="13EAEAD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color w:val="auto"/>
                <w:sz w:val="24"/>
                <w:highlight w:val="none"/>
              </w:rPr>
            </w:pPr>
            <w:r>
              <w:rPr>
                <w:rFonts w:hint="eastAsia" w:ascii="宋体" w:hAnsi="宋体" w:eastAsia="仿宋" w:cs="Calibri"/>
                <w:color w:val="auto"/>
                <w:sz w:val="24"/>
                <w:highlight w:val="none"/>
              </w:rPr>
              <w:t>其他要求：</w:t>
            </w:r>
            <w:r>
              <w:rPr>
                <w:rFonts w:hint="eastAsia" w:ascii="楷体" w:hAnsi="楷体" w:eastAsia="仿宋" w:cs="Calibri"/>
                <w:color w:val="auto"/>
                <w:sz w:val="24"/>
                <w:highlight w:val="none"/>
              </w:rPr>
              <w:t>投标文件解密可以采用网上远程方式，无需到开标现场进行解密。解密的CA锁必须与投标文件加密的CA锁一致，否则造成的后果由投标人自行承担</w:t>
            </w:r>
          </w:p>
        </w:tc>
      </w:tr>
      <w:tr w14:paraId="0FBB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D51B44D">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6.3.2</w:t>
            </w:r>
          </w:p>
        </w:tc>
        <w:tc>
          <w:tcPr>
            <w:tcW w:w="1581" w:type="dxa"/>
            <w:noWrap w:val="0"/>
            <w:vAlign w:val="center"/>
          </w:tcPr>
          <w:p w14:paraId="27AF249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评标委员会推荐中标候选人的人数</w:t>
            </w:r>
          </w:p>
        </w:tc>
        <w:tc>
          <w:tcPr>
            <w:tcW w:w="7229" w:type="dxa"/>
            <w:noWrap w:val="0"/>
            <w:vAlign w:val="center"/>
          </w:tcPr>
          <w:p w14:paraId="13DF580B">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u w:val="single"/>
              </w:rPr>
            </w:pPr>
            <w:r>
              <w:rPr>
                <w:rFonts w:hint="eastAsia" w:ascii="宋体" w:hAnsi="宋体" w:eastAsia="仿宋" w:cs="Calibri"/>
                <w:color w:val="auto"/>
                <w:sz w:val="24"/>
                <w:highlight w:val="none"/>
              </w:rPr>
              <w:t>评标委员会推荐的中标候选人数量：1-3名</w:t>
            </w:r>
          </w:p>
        </w:tc>
      </w:tr>
      <w:tr w14:paraId="1AA7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8670E1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7.1.1</w:t>
            </w:r>
          </w:p>
        </w:tc>
        <w:tc>
          <w:tcPr>
            <w:tcW w:w="1581" w:type="dxa"/>
            <w:noWrap w:val="0"/>
            <w:vAlign w:val="center"/>
          </w:tcPr>
          <w:p w14:paraId="3853C5F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是否授权评标委员会确定中标人</w:t>
            </w:r>
          </w:p>
        </w:tc>
        <w:tc>
          <w:tcPr>
            <w:tcW w:w="7229" w:type="dxa"/>
            <w:noWrap w:val="0"/>
            <w:vAlign w:val="center"/>
          </w:tcPr>
          <w:p w14:paraId="3F733B11">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☑否</w:t>
            </w:r>
          </w:p>
          <w:p w14:paraId="5B52CD53">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□是</w:t>
            </w:r>
          </w:p>
        </w:tc>
      </w:tr>
      <w:tr w14:paraId="1AB9B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2D0341F1">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7.1.2</w:t>
            </w:r>
          </w:p>
        </w:tc>
        <w:tc>
          <w:tcPr>
            <w:tcW w:w="1581" w:type="dxa"/>
            <w:noWrap w:val="0"/>
            <w:vAlign w:val="center"/>
          </w:tcPr>
          <w:p w14:paraId="6A692A3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中标结果公告</w:t>
            </w:r>
          </w:p>
        </w:tc>
        <w:tc>
          <w:tcPr>
            <w:tcW w:w="7229" w:type="dxa"/>
            <w:noWrap w:val="0"/>
            <w:vAlign w:val="center"/>
          </w:tcPr>
          <w:p w14:paraId="356C273B">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公告方式：在发布招标公告的媒介上发布本项目中标结果公告</w:t>
            </w:r>
          </w:p>
          <w:p w14:paraId="412F2CC8">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auto"/>
                <w:sz w:val="24"/>
                <w:highlight w:val="none"/>
                <w:u w:val="single"/>
              </w:rPr>
            </w:pPr>
            <w:r>
              <w:rPr>
                <w:rFonts w:hint="eastAsia" w:ascii="宋体" w:hAnsi="宋体" w:eastAsia="仿宋" w:cs="Times New Roman"/>
                <w:color w:val="auto"/>
                <w:sz w:val="24"/>
                <w:highlight w:val="none"/>
              </w:rPr>
              <w:t>公告内容：按照财政部《政府采购公告和公示信息格式规范（2020年版）》中的“中标（成交）结果公告”格式及内容编制</w:t>
            </w:r>
          </w:p>
        </w:tc>
      </w:tr>
      <w:tr w14:paraId="5194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C0373A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7.2.2</w:t>
            </w:r>
          </w:p>
        </w:tc>
        <w:tc>
          <w:tcPr>
            <w:tcW w:w="1581" w:type="dxa"/>
            <w:noWrap w:val="0"/>
            <w:vAlign w:val="center"/>
          </w:tcPr>
          <w:p w14:paraId="5748952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auto"/>
                <w:sz w:val="24"/>
                <w:highlight w:val="none"/>
              </w:rPr>
            </w:pPr>
            <w:r>
              <w:rPr>
                <w:rFonts w:hint="eastAsia" w:ascii="宋体" w:hAnsi="宋体" w:eastAsia="仿宋" w:cs="Calibri"/>
                <w:color w:val="auto"/>
                <w:sz w:val="24"/>
                <w:highlight w:val="none"/>
              </w:rPr>
              <w:t>招标代理服务费</w:t>
            </w:r>
          </w:p>
        </w:tc>
        <w:tc>
          <w:tcPr>
            <w:tcW w:w="7229" w:type="dxa"/>
            <w:noWrap w:val="0"/>
            <w:vAlign w:val="center"/>
          </w:tcPr>
          <w:p w14:paraId="1D38E6B6">
            <w:pPr>
              <w:keepNext w:val="0"/>
              <w:keepLines w:val="0"/>
              <w:widowControl/>
              <w:suppressLineNumbers w:val="0"/>
              <w:spacing w:before="0" w:beforeAutospacing="0" w:after="0" w:afterAutospacing="0" w:line="288" w:lineRule="auto"/>
              <w:ind w:left="0" w:right="0"/>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lang w:val="en-US" w:eastAsia="zh-CN"/>
              </w:rPr>
              <w:t>中标人</w:t>
            </w:r>
            <w:r>
              <w:rPr>
                <w:rFonts w:hint="eastAsia" w:ascii="宋体" w:hAnsi="宋体" w:eastAsia="仿宋" w:cs="Times New Roman"/>
                <w:color w:val="000000"/>
                <w:sz w:val="24"/>
                <w:highlight w:val="none"/>
              </w:rPr>
              <w:t>须向</w:t>
            </w:r>
            <w:r>
              <w:rPr>
                <w:rFonts w:hint="eastAsia" w:ascii="宋体" w:hAnsi="宋体" w:eastAsia="仿宋" w:cs="Times New Roman"/>
                <w:color w:val="000000"/>
                <w:sz w:val="24"/>
                <w:highlight w:val="none"/>
                <w:lang w:val="en-US" w:eastAsia="zh-CN"/>
              </w:rPr>
              <w:t>招标</w:t>
            </w:r>
            <w:r>
              <w:rPr>
                <w:rFonts w:hint="eastAsia" w:ascii="宋体" w:hAnsi="宋体" w:eastAsia="仿宋" w:cs="Times New Roman"/>
                <w:color w:val="000000"/>
                <w:sz w:val="24"/>
                <w:highlight w:val="none"/>
              </w:rPr>
              <w:t>代理机构按如下标准和规定交纳</w:t>
            </w:r>
            <w:r>
              <w:rPr>
                <w:rFonts w:hint="eastAsia" w:ascii="宋体" w:hAnsi="宋体" w:eastAsia="仿宋" w:cs="Times New Roman"/>
                <w:color w:val="000000"/>
                <w:sz w:val="24"/>
                <w:highlight w:val="none"/>
                <w:lang w:val="en-US" w:eastAsia="zh-CN"/>
              </w:rPr>
              <w:t>招标</w:t>
            </w:r>
            <w:r>
              <w:rPr>
                <w:rFonts w:hint="eastAsia" w:ascii="宋体" w:hAnsi="宋体" w:eastAsia="仿宋" w:cs="Times New Roman"/>
                <w:color w:val="000000"/>
                <w:sz w:val="24"/>
                <w:highlight w:val="none"/>
              </w:rPr>
              <w:t>代理服务费：</w:t>
            </w:r>
          </w:p>
          <w:p w14:paraId="17185B0D">
            <w:pPr>
              <w:keepNext w:val="0"/>
              <w:keepLines w:val="0"/>
              <w:widowControl/>
              <w:suppressLineNumbers w:val="0"/>
              <w:spacing w:before="0" w:beforeAutospacing="0" w:after="0" w:afterAutospacing="0" w:line="288" w:lineRule="auto"/>
              <w:ind w:left="0" w:right="0"/>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rPr>
              <w:t>（1）</w:t>
            </w:r>
            <w:r>
              <w:rPr>
                <w:rFonts w:hint="eastAsia" w:ascii="宋体" w:hAnsi="宋体" w:eastAsia="仿宋" w:cs="Times New Roman"/>
                <w:color w:val="000000"/>
                <w:sz w:val="24"/>
                <w:highlight w:val="none"/>
                <w:lang w:val="en-US" w:eastAsia="zh-CN"/>
              </w:rPr>
              <w:t>招标</w:t>
            </w:r>
            <w:r>
              <w:rPr>
                <w:rFonts w:hint="eastAsia" w:ascii="宋体" w:hAnsi="宋体" w:eastAsia="仿宋" w:cs="Times New Roman"/>
                <w:color w:val="000000"/>
                <w:sz w:val="24"/>
                <w:highlight w:val="none"/>
              </w:rPr>
              <w:t>代理服务费收费以</w:t>
            </w:r>
            <w:r>
              <w:rPr>
                <w:rFonts w:hint="eastAsia" w:ascii="宋体" w:hAnsi="宋体" w:eastAsia="仿宋" w:cs="Times New Roman"/>
                <w:color w:val="000000"/>
                <w:sz w:val="24"/>
                <w:highlight w:val="none"/>
                <w:lang w:val="en-US" w:eastAsia="zh-CN"/>
              </w:rPr>
              <w:t>中标</w:t>
            </w:r>
            <w:r>
              <w:rPr>
                <w:rFonts w:hint="eastAsia" w:ascii="宋体" w:hAnsi="宋体" w:eastAsia="仿宋" w:cs="Times New Roman"/>
                <w:color w:val="000000"/>
                <w:sz w:val="24"/>
                <w:highlight w:val="none"/>
              </w:rPr>
              <w:t>金额为计算基数，</w:t>
            </w:r>
            <w:r>
              <w:rPr>
                <w:rFonts w:hint="eastAsia" w:ascii="宋体" w:hAnsi="宋体" w:eastAsia="仿宋" w:cs="Times New Roman"/>
                <w:color w:val="000000"/>
                <w:sz w:val="24"/>
                <w:highlight w:val="none"/>
                <w:lang w:val="en-US" w:eastAsia="zh-CN"/>
              </w:rPr>
              <w:t>中标</w:t>
            </w:r>
            <w:r>
              <w:rPr>
                <w:rFonts w:hint="eastAsia" w:ascii="宋体" w:hAnsi="宋体" w:eastAsia="仿宋" w:cs="Times New Roman"/>
                <w:color w:val="000000"/>
                <w:sz w:val="24"/>
                <w:highlight w:val="none"/>
              </w:rPr>
              <w:t>金额以中标通知书列明的金额为准。</w:t>
            </w:r>
          </w:p>
          <w:p w14:paraId="1E1E353A">
            <w:pPr>
              <w:keepNext w:val="0"/>
              <w:keepLines w:val="0"/>
              <w:widowControl/>
              <w:suppressLineNumbers w:val="0"/>
              <w:spacing w:before="0" w:beforeAutospacing="0" w:after="0" w:afterAutospacing="0" w:line="288" w:lineRule="auto"/>
              <w:ind w:left="0" w:right="0"/>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rPr>
              <w:t>（2）</w:t>
            </w:r>
            <w:r>
              <w:rPr>
                <w:rFonts w:hint="eastAsia" w:ascii="宋体" w:hAnsi="宋体" w:eastAsia="仿宋" w:cs="Times New Roman"/>
                <w:color w:val="000000"/>
                <w:sz w:val="24"/>
                <w:highlight w:val="none"/>
                <w:lang w:val="en-US" w:eastAsia="zh-CN"/>
              </w:rPr>
              <w:t>招标</w:t>
            </w:r>
            <w:r>
              <w:rPr>
                <w:rFonts w:hint="eastAsia" w:ascii="宋体" w:hAnsi="宋体" w:eastAsia="仿宋" w:cs="Times New Roman"/>
                <w:color w:val="000000"/>
                <w:sz w:val="24"/>
                <w:highlight w:val="none"/>
              </w:rPr>
              <w:t>代理服务费收费根据中标标的性质类型，按如下标准，差额定率累进法计算：</w:t>
            </w:r>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2"/>
              <w:gridCol w:w="1259"/>
              <w:gridCol w:w="1218"/>
              <w:gridCol w:w="1349"/>
            </w:tblGrid>
            <w:tr w14:paraId="3A1C8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vMerge w:val="restart"/>
                  <w:noWrap/>
                  <w:vAlign w:val="center"/>
                </w:tcPr>
                <w:p w14:paraId="3A23766D">
                  <w:pPr>
                    <w:keepNext w:val="0"/>
                    <w:keepLines w:val="0"/>
                    <w:suppressLineNumbers w:val="0"/>
                    <w:tabs>
                      <w:tab w:val="left" w:pos="6255"/>
                    </w:tabs>
                    <w:spacing w:before="0" w:beforeAutospacing="0" w:after="0" w:afterAutospacing="0" w:line="480" w:lineRule="exact"/>
                    <w:ind w:left="0" w:right="0"/>
                    <w:jc w:val="left"/>
                    <w:rPr>
                      <w:rFonts w:hint="default" w:ascii="Calibri" w:hAnsi="Calibri" w:eastAsia="仿宋" w:cs="Times New Roman"/>
                      <w:sz w:val="24"/>
                      <w:highlight w:val="none"/>
                    </w:rPr>
                  </w:pPr>
                  <w:r>
                    <w:rPr>
                      <w:rFonts w:hint="eastAsia" w:ascii="Calibri" w:hAnsi="Calibri" w:eastAsia="仿宋" w:cs="Times New Roman"/>
                      <w:sz w:val="24"/>
                      <w:highlight w:val="none"/>
                    </w:rPr>
                    <w:t>中标金额</w:t>
                  </w:r>
                </w:p>
                <w:p w14:paraId="351F4215">
                  <w:pPr>
                    <w:keepNext w:val="0"/>
                    <w:keepLines w:val="0"/>
                    <w:suppressLineNumbers w:val="0"/>
                    <w:tabs>
                      <w:tab w:val="left" w:pos="6255"/>
                    </w:tabs>
                    <w:spacing w:before="0" w:beforeAutospacing="0" w:after="0" w:afterAutospacing="0" w:line="480" w:lineRule="exact"/>
                    <w:ind w:left="0" w:right="0"/>
                    <w:jc w:val="left"/>
                    <w:rPr>
                      <w:rFonts w:hint="default" w:ascii="Calibri" w:hAnsi="Calibri" w:eastAsia="仿宋" w:cs="Times New Roman"/>
                      <w:sz w:val="24"/>
                      <w:highlight w:val="none"/>
                    </w:rPr>
                  </w:pPr>
                  <w:r>
                    <w:rPr>
                      <w:rFonts w:hint="eastAsia" w:ascii="Calibri" w:hAnsi="Calibri" w:eastAsia="仿宋" w:cs="Times New Roman"/>
                      <w:sz w:val="24"/>
                      <w:highlight w:val="none"/>
                    </w:rPr>
                    <w:t>（万元）</w:t>
                  </w:r>
                </w:p>
              </w:tc>
              <w:tc>
                <w:tcPr>
                  <w:tcW w:w="3826" w:type="dxa"/>
                  <w:gridSpan w:val="3"/>
                  <w:noWrap/>
                  <w:vAlign w:val="center"/>
                </w:tcPr>
                <w:p w14:paraId="71A60882">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类型</w:t>
                  </w:r>
                </w:p>
              </w:tc>
            </w:tr>
            <w:tr w14:paraId="6F236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vMerge w:val="continue"/>
                  <w:noWrap/>
                  <w:vAlign w:val="center"/>
                </w:tcPr>
                <w:p w14:paraId="3175E886">
                  <w:pPr>
                    <w:keepNext w:val="0"/>
                    <w:keepLines w:val="0"/>
                    <w:suppressLineNumbers w:val="0"/>
                    <w:spacing w:before="0" w:beforeAutospacing="0" w:after="0" w:afterAutospacing="0"/>
                    <w:ind w:left="0" w:right="0"/>
                    <w:rPr>
                      <w:rFonts w:hint="default" w:ascii="Calibri" w:hAnsi="Calibri" w:cs="Times New Roman"/>
                      <w:highlight w:val="none"/>
                    </w:rPr>
                  </w:pPr>
                </w:p>
              </w:tc>
              <w:tc>
                <w:tcPr>
                  <w:tcW w:w="1259" w:type="dxa"/>
                  <w:noWrap/>
                  <w:vAlign w:val="center"/>
                </w:tcPr>
                <w:p w14:paraId="2E40F0CF">
                  <w:pPr>
                    <w:keepNext w:val="0"/>
                    <w:keepLines w:val="0"/>
                    <w:suppressLineNumbers w:val="0"/>
                    <w:tabs>
                      <w:tab w:val="left" w:pos="6255"/>
                    </w:tabs>
                    <w:spacing w:before="0" w:beforeAutospacing="0" w:after="0" w:afterAutospacing="0" w:line="480" w:lineRule="exact"/>
                    <w:ind w:left="0" w:right="0"/>
                    <w:jc w:val="left"/>
                    <w:rPr>
                      <w:rFonts w:hint="default" w:ascii="Calibri" w:hAnsi="Calibri" w:eastAsia="仿宋" w:cs="Times New Roman"/>
                      <w:sz w:val="24"/>
                      <w:highlight w:val="none"/>
                    </w:rPr>
                  </w:pPr>
                  <w:r>
                    <w:rPr>
                      <w:rFonts w:hint="eastAsia" w:ascii="Calibri" w:hAnsi="Calibri" w:eastAsia="仿宋" w:cs="Times New Roman"/>
                      <w:sz w:val="24"/>
                      <w:highlight w:val="none"/>
                    </w:rPr>
                    <w:t>货物类</w:t>
                  </w:r>
                </w:p>
              </w:tc>
              <w:tc>
                <w:tcPr>
                  <w:tcW w:w="1218" w:type="dxa"/>
                  <w:noWrap/>
                  <w:vAlign w:val="center"/>
                </w:tcPr>
                <w:p w14:paraId="4375C379">
                  <w:pPr>
                    <w:keepNext w:val="0"/>
                    <w:keepLines w:val="0"/>
                    <w:suppressLineNumbers w:val="0"/>
                    <w:tabs>
                      <w:tab w:val="left" w:pos="6255"/>
                    </w:tabs>
                    <w:spacing w:before="0" w:beforeAutospacing="0" w:after="0" w:afterAutospacing="0" w:line="480" w:lineRule="exact"/>
                    <w:ind w:left="0" w:right="0"/>
                    <w:jc w:val="left"/>
                    <w:rPr>
                      <w:rFonts w:hint="default" w:ascii="Calibri" w:hAnsi="Calibri" w:eastAsia="仿宋" w:cs="Times New Roman"/>
                      <w:sz w:val="24"/>
                      <w:highlight w:val="none"/>
                    </w:rPr>
                  </w:pPr>
                  <w:r>
                    <w:rPr>
                      <w:rFonts w:hint="eastAsia" w:ascii="Calibri" w:hAnsi="Calibri" w:eastAsia="仿宋" w:cs="Times New Roman"/>
                      <w:sz w:val="24"/>
                      <w:highlight w:val="none"/>
                    </w:rPr>
                    <w:t>服务类</w:t>
                  </w:r>
                </w:p>
              </w:tc>
              <w:tc>
                <w:tcPr>
                  <w:tcW w:w="1349" w:type="dxa"/>
                  <w:noWrap/>
                  <w:vAlign w:val="center"/>
                </w:tcPr>
                <w:p w14:paraId="268422DA">
                  <w:pPr>
                    <w:keepNext w:val="0"/>
                    <w:keepLines w:val="0"/>
                    <w:suppressLineNumbers w:val="0"/>
                    <w:tabs>
                      <w:tab w:val="left" w:pos="6255"/>
                    </w:tabs>
                    <w:spacing w:before="0" w:beforeAutospacing="0" w:after="0" w:afterAutospacing="0" w:line="480" w:lineRule="exact"/>
                    <w:ind w:left="0" w:right="0"/>
                    <w:jc w:val="left"/>
                    <w:rPr>
                      <w:rFonts w:hint="default" w:ascii="Calibri" w:hAnsi="Calibri" w:eastAsia="仿宋" w:cs="Times New Roman"/>
                      <w:sz w:val="24"/>
                      <w:highlight w:val="none"/>
                    </w:rPr>
                  </w:pPr>
                  <w:r>
                    <w:rPr>
                      <w:rFonts w:hint="eastAsia" w:ascii="Calibri" w:hAnsi="Calibri" w:eastAsia="仿宋" w:cs="Times New Roman"/>
                      <w:sz w:val="24"/>
                      <w:highlight w:val="none"/>
                    </w:rPr>
                    <w:t>工程类</w:t>
                  </w:r>
                </w:p>
              </w:tc>
            </w:tr>
            <w:tr w14:paraId="1B1AB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noWrap/>
                  <w:vAlign w:val="center"/>
                </w:tcPr>
                <w:p w14:paraId="1B151FE6">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100以下</w:t>
                  </w:r>
                </w:p>
              </w:tc>
              <w:tc>
                <w:tcPr>
                  <w:tcW w:w="1259" w:type="dxa"/>
                  <w:noWrap/>
                  <w:vAlign w:val="center"/>
                </w:tcPr>
                <w:p w14:paraId="5ED8D3B3">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1.5%</w:t>
                  </w:r>
                </w:p>
              </w:tc>
              <w:tc>
                <w:tcPr>
                  <w:tcW w:w="1218" w:type="dxa"/>
                  <w:noWrap/>
                  <w:vAlign w:val="center"/>
                </w:tcPr>
                <w:p w14:paraId="5B7615D9">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1.50%</w:t>
                  </w:r>
                </w:p>
              </w:tc>
              <w:tc>
                <w:tcPr>
                  <w:tcW w:w="1349" w:type="dxa"/>
                  <w:noWrap/>
                  <w:vAlign w:val="center"/>
                </w:tcPr>
                <w:p w14:paraId="6C20A002">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1.00%</w:t>
                  </w:r>
                </w:p>
              </w:tc>
            </w:tr>
            <w:tr w14:paraId="59718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 w:hRule="atLeast"/>
                <w:jc w:val="center"/>
              </w:trPr>
              <w:tc>
                <w:tcPr>
                  <w:tcW w:w="1442" w:type="dxa"/>
                  <w:noWrap/>
                  <w:vAlign w:val="center"/>
                </w:tcPr>
                <w:p w14:paraId="13D99F6C">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100-500</w:t>
                  </w:r>
                </w:p>
              </w:tc>
              <w:tc>
                <w:tcPr>
                  <w:tcW w:w="1259" w:type="dxa"/>
                  <w:noWrap/>
                  <w:vAlign w:val="center"/>
                </w:tcPr>
                <w:p w14:paraId="4A61652F">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1.1%</w:t>
                  </w:r>
                </w:p>
              </w:tc>
              <w:tc>
                <w:tcPr>
                  <w:tcW w:w="1218" w:type="dxa"/>
                  <w:noWrap/>
                  <w:vAlign w:val="center"/>
                </w:tcPr>
                <w:p w14:paraId="75F91A99">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0.80%</w:t>
                  </w:r>
                </w:p>
              </w:tc>
              <w:tc>
                <w:tcPr>
                  <w:tcW w:w="1349" w:type="dxa"/>
                  <w:noWrap/>
                  <w:vAlign w:val="center"/>
                </w:tcPr>
                <w:p w14:paraId="677BA149">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0.70%</w:t>
                  </w:r>
                </w:p>
              </w:tc>
            </w:tr>
            <w:tr w14:paraId="2D549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1442" w:type="dxa"/>
                  <w:noWrap/>
                  <w:vAlign w:val="center"/>
                </w:tcPr>
                <w:p w14:paraId="0822D278">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500-1000</w:t>
                  </w:r>
                </w:p>
              </w:tc>
              <w:tc>
                <w:tcPr>
                  <w:tcW w:w="1259" w:type="dxa"/>
                  <w:noWrap/>
                  <w:vAlign w:val="center"/>
                </w:tcPr>
                <w:p w14:paraId="0FA0A6C6">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0.8%</w:t>
                  </w:r>
                </w:p>
              </w:tc>
              <w:tc>
                <w:tcPr>
                  <w:tcW w:w="1218" w:type="dxa"/>
                  <w:noWrap/>
                  <w:vAlign w:val="center"/>
                </w:tcPr>
                <w:p w14:paraId="1492F509">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0.45%</w:t>
                  </w:r>
                </w:p>
              </w:tc>
              <w:tc>
                <w:tcPr>
                  <w:tcW w:w="1349" w:type="dxa"/>
                  <w:noWrap/>
                  <w:vAlign w:val="center"/>
                </w:tcPr>
                <w:p w14:paraId="7E00EB50">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0.55%</w:t>
                  </w:r>
                </w:p>
              </w:tc>
            </w:tr>
            <w:tr w14:paraId="67105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 w:hRule="atLeast"/>
                <w:jc w:val="center"/>
              </w:trPr>
              <w:tc>
                <w:tcPr>
                  <w:tcW w:w="1442" w:type="dxa"/>
                  <w:noWrap/>
                  <w:vAlign w:val="center"/>
                </w:tcPr>
                <w:p w14:paraId="033714D0">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1000-5000</w:t>
                  </w:r>
                </w:p>
              </w:tc>
              <w:tc>
                <w:tcPr>
                  <w:tcW w:w="1259" w:type="dxa"/>
                  <w:noWrap/>
                  <w:vAlign w:val="center"/>
                </w:tcPr>
                <w:p w14:paraId="3C58D7EB">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0.5%</w:t>
                  </w:r>
                </w:p>
              </w:tc>
              <w:tc>
                <w:tcPr>
                  <w:tcW w:w="1218" w:type="dxa"/>
                  <w:noWrap/>
                  <w:vAlign w:val="center"/>
                </w:tcPr>
                <w:p w14:paraId="49F41CF2">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0.25%</w:t>
                  </w:r>
                </w:p>
              </w:tc>
              <w:tc>
                <w:tcPr>
                  <w:tcW w:w="1349" w:type="dxa"/>
                  <w:noWrap/>
                  <w:vAlign w:val="center"/>
                </w:tcPr>
                <w:p w14:paraId="13102CC8">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0.35%</w:t>
                  </w:r>
                </w:p>
              </w:tc>
            </w:tr>
            <w:tr w14:paraId="6EA19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442" w:type="dxa"/>
                  <w:noWrap/>
                  <w:vAlign w:val="center"/>
                </w:tcPr>
                <w:p w14:paraId="76934998">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5000-10000</w:t>
                  </w:r>
                </w:p>
              </w:tc>
              <w:tc>
                <w:tcPr>
                  <w:tcW w:w="1259" w:type="dxa"/>
                  <w:noWrap/>
                  <w:vAlign w:val="center"/>
                </w:tcPr>
                <w:p w14:paraId="5BD91C7E">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0.25%</w:t>
                  </w:r>
                </w:p>
              </w:tc>
              <w:tc>
                <w:tcPr>
                  <w:tcW w:w="1218" w:type="dxa"/>
                  <w:noWrap/>
                  <w:vAlign w:val="center"/>
                </w:tcPr>
                <w:p w14:paraId="159244C4">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0.10%</w:t>
                  </w:r>
                </w:p>
              </w:tc>
              <w:tc>
                <w:tcPr>
                  <w:tcW w:w="1349" w:type="dxa"/>
                  <w:noWrap/>
                  <w:vAlign w:val="center"/>
                </w:tcPr>
                <w:p w14:paraId="2D6B90E8">
                  <w:pPr>
                    <w:keepNext w:val="0"/>
                    <w:keepLines w:val="0"/>
                    <w:suppressLineNumbers w:val="0"/>
                    <w:tabs>
                      <w:tab w:val="left" w:pos="6255"/>
                    </w:tabs>
                    <w:spacing w:before="0" w:beforeAutospacing="0" w:after="0" w:afterAutospacing="0" w:line="480" w:lineRule="exact"/>
                    <w:ind w:left="0" w:right="0"/>
                    <w:jc w:val="center"/>
                    <w:rPr>
                      <w:rFonts w:hint="default" w:ascii="Calibri" w:hAnsi="Calibri" w:eastAsia="仿宋" w:cs="Times New Roman"/>
                      <w:sz w:val="24"/>
                      <w:highlight w:val="none"/>
                    </w:rPr>
                  </w:pPr>
                  <w:r>
                    <w:rPr>
                      <w:rFonts w:hint="eastAsia" w:ascii="Calibri" w:hAnsi="Calibri" w:eastAsia="仿宋" w:cs="Times New Roman"/>
                      <w:sz w:val="24"/>
                      <w:highlight w:val="none"/>
                    </w:rPr>
                    <w:t>0.20%</w:t>
                  </w:r>
                </w:p>
              </w:tc>
            </w:tr>
            <w:tr w14:paraId="5CB24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5268" w:type="dxa"/>
                  <w:gridSpan w:val="4"/>
                  <w:noWrap/>
                  <w:vAlign w:val="center"/>
                </w:tcPr>
                <w:p w14:paraId="28237F67">
                  <w:pPr>
                    <w:keepNext w:val="0"/>
                    <w:keepLines w:val="0"/>
                    <w:widowControl/>
                    <w:suppressLineNumbers w:val="0"/>
                    <w:spacing w:before="0" w:beforeAutospacing="0" w:after="0" w:afterAutospacing="0" w:line="288" w:lineRule="auto"/>
                    <w:ind w:left="0" w:right="0"/>
                    <w:rPr>
                      <w:rFonts w:hint="default" w:ascii="Calibri" w:hAnsi="Calibri" w:eastAsia="仿宋" w:cs="Times New Roman"/>
                      <w:sz w:val="24"/>
                      <w:highlight w:val="none"/>
                    </w:rPr>
                  </w:pPr>
                  <w:r>
                    <w:rPr>
                      <w:rFonts w:hint="eastAsia" w:ascii="宋体" w:hAnsi="宋体" w:eastAsia="仿宋" w:cs="Times New Roman"/>
                      <w:color w:val="000000"/>
                      <w:sz w:val="24"/>
                      <w:highlight w:val="none"/>
                    </w:rPr>
                    <w:t>备注：</w:t>
                  </w:r>
                  <w:r>
                    <w:rPr>
                      <w:rFonts w:hint="eastAsia" w:ascii="宋体" w:hAnsi="宋体" w:eastAsia="仿宋" w:cs="Times New Roman"/>
                      <w:color w:val="000000"/>
                      <w:sz w:val="24"/>
                      <w:highlight w:val="none"/>
                      <w:lang w:val="en-US" w:eastAsia="zh-CN"/>
                    </w:rPr>
                    <w:t>中标人</w:t>
                  </w:r>
                  <w:r>
                    <w:rPr>
                      <w:rFonts w:hint="eastAsia" w:ascii="宋体" w:hAnsi="宋体" w:eastAsia="仿宋" w:cs="Times New Roman"/>
                      <w:color w:val="000000"/>
                      <w:sz w:val="24"/>
                      <w:highlight w:val="none"/>
                    </w:rPr>
                    <w:t>应参照以上规定的</w:t>
                  </w:r>
                  <w:r>
                    <w:rPr>
                      <w:rFonts w:hint="eastAsia" w:ascii="宋体" w:hAnsi="宋体" w:eastAsia="仿宋" w:cs="Times New Roman"/>
                      <w:color w:val="000000"/>
                      <w:sz w:val="24"/>
                      <w:highlight w:val="none"/>
                      <w:lang w:val="en-US" w:eastAsia="zh-CN"/>
                    </w:rPr>
                    <w:t>货物类</w:t>
                  </w:r>
                  <w:r>
                    <w:rPr>
                      <w:rFonts w:hint="eastAsia" w:ascii="宋体" w:hAnsi="宋体" w:eastAsia="仿宋" w:cs="Times New Roman"/>
                      <w:color w:val="000000"/>
                      <w:sz w:val="24"/>
                      <w:highlight w:val="none"/>
                    </w:rPr>
                    <w:t>标准</w:t>
                  </w:r>
                  <w:r>
                    <w:rPr>
                      <w:rFonts w:hint="eastAsia" w:ascii="宋体" w:hAnsi="宋体" w:eastAsia="仿宋" w:cs="Times New Roman"/>
                      <w:color w:val="000000"/>
                      <w:sz w:val="24"/>
                      <w:highlight w:val="none"/>
                      <w:lang w:val="en-US" w:eastAsia="zh-CN"/>
                    </w:rPr>
                    <w:t>*80%</w:t>
                  </w:r>
                  <w:r>
                    <w:rPr>
                      <w:rFonts w:hint="eastAsia" w:ascii="宋体" w:hAnsi="宋体" w:eastAsia="仿宋" w:cs="Times New Roman"/>
                      <w:color w:val="000000"/>
                      <w:sz w:val="24"/>
                      <w:highlight w:val="none"/>
                    </w:rPr>
                    <w:t>，向</w:t>
                  </w:r>
                  <w:r>
                    <w:rPr>
                      <w:rFonts w:hint="eastAsia" w:ascii="宋体" w:hAnsi="宋体" w:eastAsia="仿宋" w:cs="Times New Roman"/>
                      <w:color w:val="000000"/>
                      <w:sz w:val="24"/>
                      <w:highlight w:val="none"/>
                      <w:lang w:val="en-US" w:eastAsia="zh-CN"/>
                    </w:rPr>
                    <w:t>招标</w:t>
                  </w:r>
                  <w:r>
                    <w:rPr>
                      <w:rFonts w:hint="eastAsia" w:ascii="宋体" w:hAnsi="宋体" w:eastAsia="仿宋" w:cs="Times New Roman"/>
                      <w:color w:val="000000"/>
                      <w:sz w:val="24"/>
                      <w:highlight w:val="none"/>
                    </w:rPr>
                    <w:t>代理机构交纳采购代理服务费(不含税)。</w:t>
                  </w:r>
                </w:p>
              </w:tc>
            </w:tr>
          </w:tbl>
          <w:p w14:paraId="3FE2FAF7">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p>
        </w:tc>
      </w:tr>
      <w:tr w14:paraId="33AEC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474493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7.3.1</w:t>
            </w:r>
          </w:p>
        </w:tc>
        <w:tc>
          <w:tcPr>
            <w:tcW w:w="1581" w:type="dxa"/>
            <w:noWrap w:val="0"/>
            <w:vAlign w:val="center"/>
          </w:tcPr>
          <w:p w14:paraId="501BBA11">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auto"/>
                <w:sz w:val="24"/>
                <w:highlight w:val="none"/>
              </w:rPr>
            </w:pPr>
            <w:r>
              <w:rPr>
                <w:rFonts w:hint="eastAsia" w:ascii="宋体" w:hAnsi="宋体" w:eastAsia="仿宋" w:cs="Calibri"/>
                <w:color w:val="auto"/>
                <w:sz w:val="24"/>
                <w:highlight w:val="none"/>
              </w:rPr>
              <w:t>履约保证金</w:t>
            </w:r>
          </w:p>
        </w:tc>
        <w:tc>
          <w:tcPr>
            <w:tcW w:w="7229" w:type="dxa"/>
            <w:noWrap w:val="0"/>
            <w:vAlign w:val="top"/>
          </w:tcPr>
          <w:p w14:paraId="76413ECA">
            <w:pPr>
              <w:keepNext w:val="0"/>
              <w:keepLines w:val="0"/>
              <w:suppressLineNumbers w:val="0"/>
              <w:kinsoku w:val="0"/>
              <w:overflowPunct w:val="0"/>
              <w:autoSpaceDE w:val="0"/>
              <w:autoSpaceDN w:val="0"/>
              <w:adjustRightInd w:val="0"/>
              <w:snapToGrid w:val="0"/>
              <w:spacing w:before="0" w:beforeAutospacing="0" w:after="0" w:afterAutospacing="0" w:line="288" w:lineRule="auto"/>
              <w:ind w:left="0" w:right="0"/>
              <w:rPr>
                <w:rFonts w:hint="eastAsia" w:ascii="Calibri" w:hAnsi="Calibri" w:eastAsia="仿宋" w:cs="Times New Roman"/>
                <w:color w:val="auto"/>
                <w:sz w:val="24"/>
                <w:highlight w:val="none"/>
              </w:rPr>
            </w:pPr>
            <w:r>
              <w:rPr>
                <w:rFonts w:hint="eastAsia" w:ascii="Calibri" w:hAnsi="Calibri" w:eastAsia="仿宋" w:cs="Times New Roman"/>
                <w:color w:val="auto"/>
                <w:sz w:val="24"/>
                <w:highlight w:val="none"/>
              </w:rPr>
              <w:t>是否要求投标人提交履约保证金：</w:t>
            </w:r>
          </w:p>
          <w:p w14:paraId="2D4E3D7A">
            <w:pPr>
              <w:keepNext w:val="0"/>
              <w:keepLines w:val="0"/>
              <w:suppressLineNumbers w:val="0"/>
              <w:kinsoku w:val="0"/>
              <w:overflowPunct w:val="0"/>
              <w:autoSpaceDE w:val="0"/>
              <w:autoSpaceDN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sym w:font="Wingdings 2" w:char="00A3"/>
            </w:r>
            <w:r>
              <w:rPr>
                <w:rFonts w:hint="eastAsia" w:ascii="Calibri" w:hAnsi="Calibri" w:eastAsia="仿宋" w:cs="Times New Roman"/>
                <w:color w:val="auto"/>
                <w:sz w:val="24"/>
                <w:highlight w:val="none"/>
              </w:rPr>
              <w:t>不要求。</w:t>
            </w:r>
          </w:p>
          <w:p w14:paraId="7E4CAC13">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default" w:ascii="Segoe UI Symbol" w:hAnsi="Segoe UI Symbol" w:eastAsia="仿宋" w:cs="Segoe UI Symbol"/>
                <w:color w:val="auto"/>
                <w:sz w:val="24"/>
                <w:highlight w:val="none"/>
              </w:rPr>
              <w:t>☑</w:t>
            </w:r>
            <w:r>
              <w:rPr>
                <w:rFonts w:hint="eastAsia" w:ascii="Calibri" w:hAnsi="Calibri" w:eastAsia="仿宋" w:cs="Times New Roman"/>
                <w:color w:val="auto"/>
                <w:sz w:val="24"/>
                <w:highlight w:val="none"/>
              </w:rPr>
              <w:t>要求，</w:t>
            </w:r>
            <w:r>
              <w:rPr>
                <w:rFonts w:hint="default" w:ascii="宋体" w:hAnsi="宋体" w:eastAsia="仿宋" w:cs="Times New Roman"/>
                <w:color w:val="auto"/>
                <w:sz w:val="24"/>
                <w:highlight w:val="none"/>
              </w:rPr>
              <w:t>履约保证金的形式：</w:t>
            </w:r>
            <w:r>
              <w:rPr>
                <w:rFonts w:hint="eastAsia" w:ascii="楷体" w:hAnsi="楷体" w:eastAsia="仿宋" w:cs="Times New Roman"/>
                <w:color w:val="auto"/>
                <w:sz w:val="24"/>
                <w:highlight w:val="none"/>
                <w:shd w:val="clear" w:color="auto" w:fill="auto"/>
              </w:rPr>
              <w:t>保函（格式：见招标文件第五章附件）</w:t>
            </w:r>
            <w:r>
              <w:rPr>
                <w:rFonts w:hint="default" w:ascii="宋体" w:hAnsi="宋体" w:eastAsia="仿宋" w:cs="Times New Roman"/>
                <w:color w:val="auto"/>
                <w:sz w:val="24"/>
                <w:highlight w:val="none"/>
              </w:rPr>
              <w:t>履约保证金的金额：</w:t>
            </w:r>
            <w:r>
              <w:rPr>
                <w:rFonts w:hint="eastAsia" w:ascii="楷体" w:hAnsi="楷体" w:eastAsia="仿宋" w:cs="Times New Roman"/>
                <w:color w:val="auto"/>
                <w:sz w:val="24"/>
                <w:highlight w:val="none"/>
              </w:rPr>
              <w:t>合同金额的2.5%</w:t>
            </w:r>
          </w:p>
          <w:p w14:paraId="7B4708A1">
            <w:pPr>
              <w:pStyle w:val="25"/>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szCs w:val="24"/>
                <w:highlight w:val="none"/>
              </w:rPr>
            </w:pPr>
            <w:r>
              <w:rPr>
                <w:rFonts w:hint="eastAsia" w:hAnsi="宋体" w:eastAsia="仿宋" w:cs="Times New Roman"/>
                <w:color w:val="auto"/>
                <w:sz w:val="24"/>
                <w:szCs w:val="24"/>
                <w:highlight w:val="none"/>
              </w:rPr>
              <w:t>履约保证金提交时间：采购</w:t>
            </w:r>
            <w:r>
              <w:rPr>
                <w:rFonts w:hint="eastAsia" w:ascii="楷体" w:hAnsi="楷体" w:eastAsia="仿宋" w:cs="Times New Roman"/>
                <w:color w:val="auto"/>
                <w:sz w:val="24"/>
                <w:szCs w:val="24"/>
                <w:highlight w:val="none"/>
              </w:rPr>
              <w:t>合同签订前，由中标人签订合同前递交给各使用单位</w:t>
            </w:r>
          </w:p>
          <w:p w14:paraId="05606870">
            <w:pPr>
              <w:pStyle w:val="25"/>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auto"/>
                <w:sz w:val="24"/>
                <w:szCs w:val="24"/>
                <w:highlight w:val="none"/>
              </w:rPr>
            </w:pPr>
            <w:r>
              <w:rPr>
                <w:rFonts w:hint="eastAsia" w:hAnsi="宋体" w:eastAsia="仿宋" w:cs="Times New Roman"/>
                <w:color w:val="auto"/>
                <w:sz w:val="24"/>
                <w:szCs w:val="24"/>
                <w:highlight w:val="none"/>
              </w:rPr>
              <w:t>履约保证金退还时间：</w:t>
            </w:r>
            <w:r>
              <w:rPr>
                <w:rFonts w:hint="eastAsia" w:ascii="楷体" w:hAnsi="楷体" w:eastAsia="仿宋" w:cs="Times New Roman"/>
                <w:color w:val="auto"/>
                <w:sz w:val="24"/>
                <w:szCs w:val="24"/>
                <w:highlight w:val="none"/>
              </w:rPr>
              <w:t>验收合格后退还</w:t>
            </w:r>
          </w:p>
          <w:p w14:paraId="28873C8C">
            <w:pPr>
              <w:pStyle w:val="25"/>
              <w:keepNext w:val="0"/>
              <w:keepLines w:val="0"/>
              <w:widowControl/>
              <w:suppressLineNumbers w:val="0"/>
              <w:adjustRightInd w:val="0"/>
              <w:snapToGrid w:val="0"/>
              <w:spacing w:before="0" w:beforeAutospacing="0" w:after="0" w:afterAutospacing="0" w:line="288" w:lineRule="auto"/>
              <w:ind w:left="0" w:right="0"/>
              <w:rPr>
                <w:rFonts w:hint="eastAsia" w:hAnsi="宋体" w:eastAsia="仿宋" w:cs="Times New Roman"/>
                <w:color w:val="auto"/>
                <w:sz w:val="24"/>
                <w:szCs w:val="24"/>
                <w:highlight w:val="none"/>
              </w:rPr>
            </w:pPr>
            <w:r>
              <w:rPr>
                <w:rFonts w:hint="eastAsia" w:hAnsi="宋体" w:eastAsia="仿宋" w:cs="Times New Roman"/>
                <w:color w:val="auto"/>
                <w:sz w:val="24"/>
                <w:szCs w:val="24"/>
                <w:highlight w:val="none"/>
              </w:rPr>
              <w:t>未按规定提交履约保证金，视为中标人拒绝与采购人</w:t>
            </w:r>
            <w:r>
              <w:rPr>
                <w:rFonts w:hint="eastAsia" w:hAnsi="宋体" w:eastAsia="仿宋" w:cs="Calibri"/>
                <w:color w:val="auto"/>
                <w:sz w:val="24"/>
                <w:highlight w:val="none"/>
              </w:rPr>
              <w:t>或使用单位</w:t>
            </w:r>
            <w:r>
              <w:rPr>
                <w:rFonts w:hint="eastAsia" w:hAnsi="宋体" w:eastAsia="仿宋" w:cs="Times New Roman"/>
                <w:color w:val="auto"/>
                <w:sz w:val="24"/>
                <w:szCs w:val="24"/>
                <w:highlight w:val="none"/>
              </w:rPr>
              <w:t>签订合同。采购人可按评标委员会推荐的中标候选人名单排序确定下一候选人为中标人，或者重新开展采购活动。</w:t>
            </w:r>
          </w:p>
          <w:p w14:paraId="14C2CAB4">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保函要求：</w:t>
            </w:r>
          </w:p>
          <w:p w14:paraId="7507D2DA">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w:t>
            </w:r>
            <w:r>
              <w:rPr>
                <w:rFonts w:hint="eastAsia" w:ascii="楷体" w:hAnsi="楷体" w:eastAsia="仿宋" w:cs="Times New Roman"/>
                <w:color w:val="auto"/>
                <w:sz w:val="24"/>
                <w:highlight w:val="none"/>
              </w:rPr>
              <w:t>使用单位</w:t>
            </w:r>
            <w:r>
              <w:rPr>
                <w:rFonts w:hint="eastAsia" w:ascii="宋体" w:hAnsi="宋体" w:eastAsia="仿宋" w:cs="Calibri"/>
                <w:color w:val="auto"/>
                <w:sz w:val="24"/>
                <w:highlight w:val="none"/>
              </w:rPr>
              <w:t>，担保期限不少于合同履约期限。</w:t>
            </w:r>
          </w:p>
          <w:p w14:paraId="673F538B">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电子保函</w:t>
            </w:r>
          </w:p>
          <w:p w14:paraId="06E98DEA">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4675322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w:t>
            </w:r>
            <w:r>
              <w:rPr>
                <w:rFonts w:hint="eastAsia" w:ascii="楷体" w:hAnsi="楷体" w:eastAsia="仿宋" w:cs="Times New Roman"/>
                <w:color w:val="auto"/>
                <w:sz w:val="24"/>
                <w:highlight w:val="none"/>
              </w:rPr>
              <w:t>使用单位</w:t>
            </w:r>
            <w:r>
              <w:rPr>
                <w:rFonts w:hint="eastAsia" w:ascii="宋体" w:hAnsi="宋体" w:eastAsia="仿宋" w:cs="Calibri"/>
                <w:color w:val="auto"/>
                <w:sz w:val="24"/>
                <w:highlight w:val="none"/>
              </w:rPr>
              <w:t>保管。</w:t>
            </w:r>
          </w:p>
          <w:p w14:paraId="29E8EBD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0468787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2AC3509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仿宋" w:hAnsi="仿宋" w:eastAsia="仿宋" w:cs="仿宋"/>
                <w:color w:val="auto"/>
                <w:sz w:val="24"/>
                <w:highlight w:val="none"/>
                <w:lang w:bidi="ar"/>
              </w:rPr>
              <w:t>④</w:t>
            </w:r>
            <w:r>
              <w:rPr>
                <w:rFonts w:hint="eastAsia" w:ascii="宋体" w:hAnsi="宋体" w:eastAsia="仿宋" w:cs="Calibri"/>
                <w:color w:val="auto"/>
                <w:sz w:val="24"/>
                <w:highlight w:val="none"/>
                <w:lang w:bidi="ar"/>
              </w:rPr>
              <w:t>采用电子保函的，</w:t>
            </w:r>
            <w:r>
              <w:rPr>
                <w:rFonts w:hint="eastAsia" w:ascii="宋体" w:hAnsi="宋体" w:eastAsia="仿宋" w:cs="Times New Roman"/>
                <w:color w:val="auto"/>
                <w:sz w:val="24"/>
                <w:highlight w:val="none"/>
              </w:rPr>
              <w:t>可访问安徽省政府采购网“融资/保函”栏目进行申请。</w:t>
            </w:r>
          </w:p>
        </w:tc>
      </w:tr>
      <w:tr w14:paraId="42CBE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57438D91">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000000"/>
                <w:sz w:val="24"/>
                <w:highlight w:val="none"/>
              </w:rPr>
            </w:pPr>
            <w:r>
              <w:rPr>
                <w:rFonts w:hint="eastAsia" w:ascii="宋体" w:hAnsi="宋体" w:eastAsia="仿宋" w:cs="Calibri"/>
                <w:color w:val="000000"/>
                <w:sz w:val="24"/>
                <w:highlight w:val="none"/>
              </w:rPr>
              <w:t>7.4.1</w:t>
            </w:r>
          </w:p>
        </w:tc>
        <w:tc>
          <w:tcPr>
            <w:tcW w:w="1581" w:type="dxa"/>
            <w:noWrap w:val="0"/>
            <w:vAlign w:val="center"/>
          </w:tcPr>
          <w:p w14:paraId="3BF673A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合同签订时间</w:t>
            </w:r>
          </w:p>
        </w:tc>
        <w:tc>
          <w:tcPr>
            <w:tcW w:w="7229" w:type="dxa"/>
            <w:noWrap w:val="0"/>
            <w:vAlign w:val="center"/>
          </w:tcPr>
          <w:p w14:paraId="35A27064">
            <w:pPr>
              <w:pStyle w:val="25"/>
              <w:keepNext w:val="0"/>
              <w:keepLines w:val="0"/>
              <w:widowControl/>
              <w:suppressLineNumbers w:val="0"/>
              <w:adjustRightInd w:val="0"/>
              <w:snapToGrid w:val="0"/>
              <w:spacing w:before="0" w:beforeAutospacing="0" w:after="0" w:afterAutospacing="0" w:line="288" w:lineRule="auto"/>
              <w:ind w:left="0" w:right="0"/>
              <w:rPr>
                <w:rFonts w:hint="eastAsia" w:hAnsi="宋体" w:cs="Times New Roman"/>
                <w:color w:val="000000"/>
                <w:sz w:val="24"/>
                <w:szCs w:val="24"/>
                <w:highlight w:val="none"/>
              </w:rPr>
            </w:pPr>
            <w:r>
              <w:rPr>
                <w:rFonts w:hint="eastAsia" w:ascii="楷体" w:hAnsi="楷体" w:eastAsia="仿宋" w:cs="楷体"/>
                <w:color w:val="000000"/>
                <w:sz w:val="24"/>
                <w:szCs w:val="24"/>
                <w:highlight w:val="none"/>
              </w:rPr>
              <w:t>中标结果公告发布（中标通知书发出）之日起7个工作日内</w:t>
            </w:r>
          </w:p>
        </w:tc>
      </w:tr>
      <w:tr w14:paraId="3849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44DDE2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9.1.1</w:t>
            </w:r>
          </w:p>
        </w:tc>
        <w:tc>
          <w:tcPr>
            <w:tcW w:w="1581" w:type="dxa"/>
            <w:noWrap w:val="0"/>
            <w:vAlign w:val="center"/>
          </w:tcPr>
          <w:p w14:paraId="133C3F8A">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000000"/>
                <w:sz w:val="24"/>
                <w:highlight w:val="none"/>
              </w:rPr>
            </w:pPr>
            <w:r>
              <w:rPr>
                <w:rFonts w:hint="default" w:ascii="Calibri" w:hAnsi="Calibri" w:eastAsia="仿宋" w:cs="Times New Roman"/>
                <w:color w:val="000000"/>
                <w:sz w:val="24"/>
                <w:highlight w:val="none"/>
              </w:rPr>
              <w:t>投标人</w:t>
            </w:r>
            <w:r>
              <w:rPr>
                <w:rFonts w:hint="eastAsia" w:ascii="Calibri" w:hAnsi="Calibri" w:eastAsia="仿宋" w:cs="Times New Roman"/>
                <w:color w:val="000000"/>
                <w:sz w:val="24"/>
                <w:highlight w:val="none"/>
              </w:rPr>
              <w:t>提出询问</w:t>
            </w:r>
            <w:r>
              <w:rPr>
                <w:rFonts w:hint="eastAsia" w:ascii="宋体" w:hAnsi="宋体" w:eastAsia="仿宋" w:cs="Calibri"/>
                <w:color w:val="000000"/>
                <w:sz w:val="24"/>
                <w:highlight w:val="none"/>
              </w:rPr>
              <w:t>的时间</w:t>
            </w:r>
          </w:p>
        </w:tc>
        <w:tc>
          <w:tcPr>
            <w:tcW w:w="7229" w:type="dxa"/>
            <w:noWrap w:val="0"/>
            <w:vAlign w:val="center"/>
          </w:tcPr>
          <w:p w14:paraId="6A727C5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000000"/>
                <w:sz w:val="24"/>
                <w:highlight w:val="none"/>
              </w:rPr>
            </w:pPr>
            <w:r>
              <w:rPr>
                <w:rFonts w:hint="eastAsia" w:ascii="Calibri" w:hAnsi="Calibri" w:eastAsia="仿宋" w:cs="Times New Roman"/>
                <w:color w:val="000000"/>
                <w:sz w:val="24"/>
                <w:highlight w:val="none"/>
              </w:rPr>
              <w:t>提出</w:t>
            </w:r>
            <w:r>
              <w:rPr>
                <w:rFonts w:hint="eastAsia" w:ascii="宋体" w:hAnsi="宋体" w:eastAsia="仿宋" w:cs="Calibri"/>
                <w:color w:val="000000"/>
                <w:sz w:val="24"/>
                <w:highlight w:val="none"/>
              </w:rPr>
              <w:t>时间：</w:t>
            </w:r>
            <w:r>
              <w:rPr>
                <w:rFonts w:hint="default" w:ascii="楷体" w:hAnsi="楷体" w:eastAsia="仿宋" w:cs="Times New Roman"/>
                <w:color w:val="000000"/>
                <w:sz w:val="24"/>
                <w:highlight w:val="none"/>
              </w:rPr>
              <w:t>在</w:t>
            </w:r>
            <w:r>
              <w:rPr>
                <w:rFonts w:hint="eastAsia" w:ascii="楷体" w:hAnsi="楷体" w:eastAsia="仿宋" w:cs="Times New Roman"/>
                <w:color w:val="000000"/>
                <w:sz w:val="24"/>
                <w:highlight w:val="none"/>
              </w:rPr>
              <w:t>投标截止时</w:t>
            </w:r>
            <w:r>
              <w:rPr>
                <w:rFonts w:hint="eastAsia" w:ascii="楷体" w:hAnsi="楷体" w:eastAsia="仿宋" w:cs="Times New Roman"/>
                <w:color w:val="auto"/>
                <w:sz w:val="24"/>
                <w:highlight w:val="none"/>
              </w:rPr>
              <w:t>间16日</w:t>
            </w:r>
            <w:r>
              <w:rPr>
                <w:rFonts w:hint="default" w:ascii="楷体" w:hAnsi="楷体" w:eastAsia="仿宋" w:cs="Times New Roman"/>
                <w:color w:val="auto"/>
                <w:sz w:val="24"/>
                <w:highlight w:val="none"/>
              </w:rPr>
              <w:t>前（</w:t>
            </w:r>
            <w:r>
              <w:rPr>
                <w:rFonts w:hint="default" w:ascii="楷体" w:hAnsi="楷体" w:eastAsia="仿宋" w:cs="Times New Roman"/>
                <w:color w:val="000000"/>
                <w:sz w:val="24"/>
                <w:highlight w:val="none"/>
              </w:rPr>
              <w:t>以收到日期为准）</w:t>
            </w:r>
          </w:p>
          <w:p w14:paraId="74710C55">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Times New Roman"/>
                <w:color w:val="000000"/>
                <w:sz w:val="24"/>
                <w:highlight w:val="none"/>
                <w:u w:val="single"/>
              </w:rPr>
            </w:pPr>
            <w:r>
              <w:rPr>
                <w:rFonts w:hint="eastAsia" w:ascii="宋体" w:hAnsi="宋体" w:eastAsia="仿宋" w:cs="Times New Roman"/>
                <w:color w:val="000000"/>
                <w:sz w:val="24"/>
                <w:highlight w:val="none"/>
              </w:rPr>
              <w:t>询问函格式：见本章附件二</w:t>
            </w:r>
          </w:p>
        </w:tc>
      </w:tr>
      <w:tr w14:paraId="0AA7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EB82C1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9.2.1</w:t>
            </w:r>
          </w:p>
        </w:tc>
        <w:tc>
          <w:tcPr>
            <w:tcW w:w="1581" w:type="dxa"/>
            <w:noWrap w:val="0"/>
            <w:vAlign w:val="center"/>
          </w:tcPr>
          <w:p w14:paraId="23FF5FC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投标人提出质疑的时间</w:t>
            </w:r>
          </w:p>
        </w:tc>
        <w:tc>
          <w:tcPr>
            <w:tcW w:w="7229" w:type="dxa"/>
            <w:noWrap w:val="0"/>
            <w:vAlign w:val="center"/>
          </w:tcPr>
          <w:p w14:paraId="3875E69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000000"/>
                <w:sz w:val="24"/>
                <w:highlight w:val="none"/>
                <w:u w:val="single"/>
              </w:rPr>
            </w:pPr>
            <w:r>
              <w:rPr>
                <w:rFonts w:hint="eastAsia" w:ascii="Calibri" w:hAnsi="Calibri" w:eastAsia="仿宋" w:cs="Times New Roman"/>
                <w:color w:val="000000"/>
                <w:sz w:val="24"/>
                <w:highlight w:val="none"/>
              </w:rPr>
              <w:t>提出</w:t>
            </w:r>
            <w:r>
              <w:rPr>
                <w:rFonts w:hint="eastAsia" w:ascii="宋体" w:hAnsi="宋体" w:eastAsia="仿宋" w:cs="Calibri"/>
                <w:color w:val="000000"/>
                <w:sz w:val="24"/>
                <w:highlight w:val="none"/>
              </w:rPr>
              <w:t>时间：</w:t>
            </w:r>
            <w:r>
              <w:rPr>
                <w:rFonts w:hint="eastAsia" w:ascii="楷体" w:hAnsi="楷体" w:eastAsia="仿宋" w:cs="Calibri"/>
                <w:color w:val="000000"/>
                <w:sz w:val="24"/>
                <w:highlight w:val="none"/>
              </w:rPr>
              <w:t>知道或者应知其权益受到损害之日起7个工作日内</w:t>
            </w:r>
          </w:p>
          <w:p w14:paraId="3072F69F">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rPr>
              <w:t>质疑函格式：见本章附件二</w:t>
            </w:r>
          </w:p>
        </w:tc>
      </w:tr>
      <w:tr w14:paraId="6090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2B01210">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000000"/>
                <w:sz w:val="24"/>
                <w:highlight w:val="none"/>
              </w:rPr>
            </w:pPr>
            <w:r>
              <w:rPr>
                <w:rFonts w:hint="eastAsia" w:ascii="宋体" w:hAnsi="宋体" w:eastAsia="仿宋" w:cs="Calibri"/>
                <w:color w:val="000000"/>
                <w:sz w:val="24"/>
                <w:highlight w:val="none"/>
              </w:rPr>
              <w:t>9.2.2</w:t>
            </w:r>
          </w:p>
        </w:tc>
        <w:tc>
          <w:tcPr>
            <w:tcW w:w="1581" w:type="dxa"/>
            <w:noWrap w:val="0"/>
            <w:vAlign w:val="center"/>
          </w:tcPr>
          <w:p w14:paraId="58ECF3B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Times New Roman"/>
                <w:color w:val="000000"/>
                <w:sz w:val="24"/>
                <w:highlight w:val="none"/>
              </w:rPr>
              <w:t>接收质疑的联系方式</w:t>
            </w:r>
          </w:p>
        </w:tc>
        <w:tc>
          <w:tcPr>
            <w:tcW w:w="7229" w:type="dxa"/>
            <w:noWrap w:val="0"/>
            <w:vAlign w:val="center"/>
          </w:tcPr>
          <w:p w14:paraId="5C454254">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000000"/>
                <w:sz w:val="24"/>
                <w:highlight w:val="none"/>
              </w:rPr>
            </w:pPr>
            <w:r>
              <w:rPr>
                <w:rFonts w:hint="eastAsia" w:ascii="宋体" w:hAnsi="宋体" w:eastAsia="仿宋" w:cs="Calibri"/>
                <w:color w:val="000000"/>
                <w:sz w:val="24"/>
                <w:highlight w:val="none"/>
              </w:rPr>
              <w:t>异议（质疑）材料递交地址：安徽省合肥市包河区紫云路888号安徽省招标集团总部基地407室。</w:t>
            </w:r>
          </w:p>
          <w:p w14:paraId="05874DB6">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000000"/>
                <w:sz w:val="24"/>
                <w:highlight w:val="none"/>
              </w:rPr>
            </w:pPr>
            <w:r>
              <w:rPr>
                <w:rFonts w:hint="eastAsia" w:ascii="宋体" w:hAnsi="宋体" w:eastAsia="仿宋" w:cs="Calibri"/>
                <w:color w:val="000000"/>
                <w:sz w:val="24"/>
                <w:highlight w:val="none"/>
              </w:rPr>
              <w:t>接收部门：安徽省招标集团法务与质管中心</w:t>
            </w:r>
          </w:p>
          <w:p w14:paraId="0E4E506E">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Calibri"/>
                <w:color w:val="000000"/>
                <w:sz w:val="24"/>
                <w:highlight w:val="none"/>
              </w:rPr>
            </w:pPr>
            <w:r>
              <w:rPr>
                <w:rFonts w:hint="eastAsia" w:ascii="宋体" w:hAnsi="宋体" w:eastAsia="仿宋" w:cs="Calibri"/>
                <w:color w:val="000000"/>
                <w:sz w:val="24"/>
                <w:highlight w:val="none"/>
              </w:rPr>
              <w:t>联系电话：0551-62220155</w:t>
            </w:r>
          </w:p>
        </w:tc>
      </w:tr>
      <w:tr w14:paraId="24BB6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46F085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11.1.1</w:t>
            </w:r>
          </w:p>
        </w:tc>
        <w:tc>
          <w:tcPr>
            <w:tcW w:w="1581" w:type="dxa"/>
            <w:noWrap w:val="0"/>
            <w:vAlign w:val="center"/>
          </w:tcPr>
          <w:p w14:paraId="492054A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Times New Roman"/>
                <w:color w:val="000000"/>
                <w:sz w:val="24"/>
                <w:highlight w:val="none"/>
              </w:rPr>
              <w:t>是否有强制采购的节能产品</w:t>
            </w:r>
          </w:p>
        </w:tc>
        <w:tc>
          <w:tcPr>
            <w:tcW w:w="7229" w:type="dxa"/>
            <w:noWrap w:val="0"/>
            <w:vAlign w:val="top"/>
          </w:tcPr>
          <w:p w14:paraId="1A3AA088">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☑没有</w:t>
            </w:r>
          </w:p>
          <w:p w14:paraId="47C05632">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u w:val="single"/>
              </w:rPr>
            </w:pPr>
            <w:r>
              <w:rPr>
                <w:rFonts w:hint="eastAsia" w:ascii="宋体" w:hAnsi="宋体" w:eastAsia="仿宋" w:cs="Times New Roman"/>
                <w:color w:val="000000"/>
                <w:sz w:val="24"/>
                <w:highlight w:val="none"/>
              </w:rPr>
              <w:t>□有，详见第三章“采购需求”。</w:t>
            </w:r>
          </w:p>
          <w:p w14:paraId="7BE2AF64">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000000"/>
                <w:sz w:val="24"/>
                <w:highlight w:val="none"/>
              </w:rPr>
            </w:pPr>
            <w:r>
              <w:rPr>
                <w:rFonts w:hint="default" w:ascii="宋体" w:hAnsi="宋体" w:eastAsia="仿宋" w:cs="Times New Roman"/>
                <w:color w:val="000000"/>
                <w:sz w:val="24"/>
                <w:highlight w:val="none"/>
              </w:rPr>
              <w:t>根据</w:t>
            </w:r>
            <w:r>
              <w:rPr>
                <w:rFonts w:hint="eastAsia" w:ascii="宋体" w:hAnsi="宋体" w:eastAsia="仿宋" w:cs="Times New Roman"/>
                <w:color w:val="000000"/>
                <w:sz w:val="24"/>
                <w:highlight w:val="none"/>
              </w:rPr>
              <w:t>《关于印发节能产品政府采购品目清单的通知》（财库〔2019〕19号）、</w:t>
            </w:r>
            <w:r>
              <w:rPr>
                <w:rFonts w:hint="default" w:ascii="宋体" w:hAnsi="宋体" w:eastAsia="仿宋" w:cs="Times New Roman"/>
                <w:color w:val="000000"/>
                <w:sz w:val="24"/>
                <w:highlight w:val="none"/>
              </w:rPr>
              <w:t>《</w:t>
            </w:r>
            <w:r>
              <w:rPr>
                <w:rFonts w:hint="eastAsia" w:ascii="宋体" w:hAnsi="宋体" w:eastAsia="仿宋" w:cs="Times New Roman"/>
                <w:color w:val="000000"/>
                <w:sz w:val="24"/>
                <w:highlight w:val="none"/>
              </w:rPr>
              <w:t>关于发布参与实施政府采购节能产品、环境标志产品认证机构名录的公告</w:t>
            </w:r>
            <w:r>
              <w:rPr>
                <w:rFonts w:hint="default" w:ascii="宋体" w:hAnsi="宋体" w:eastAsia="仿宋" w:cs="Times New Roman"/>
                <w:color w:val="000000"/>
                <w:sz w:val="24"/>
                <w:highlight w:val="none"/>
              </w:rPr>
              <w:t>》</w:t>
            </w:r>
            <w:r>
              <w:rPr>
                <w:rFonts w:hint="eastAsia" w:ascii="宋体" w:hAnsi="宋体" w:eastAsia="仿宋" w:cs="Times New Roman"/>
                <w:color w:val="000000"/>
                <w:sz w:val="24"/>
                <w:highlight w:val="none"/>
              </w:rPr>
              <w:t>（</w:t>
            </w:r>
            <w:r>
              <w:rPr>
                <w:rFonts w:hint="default" w:ascii="宋体" w:hAnsi="宋体" w:eastAsia="仿宋" w:cs="Times New Roman"/>
                <w:color w:val="000000"/>
                <w:sz w:val="24"/>
                <w:highlight w:val="none"/>
              </w:rPr>
              <w:t>市场监管总局2019年第16号</w:t>
            </w:r>
            <w:r>
              <w:rPr>
                <w:rFonts w:hint="eastAsia" w:ascii="宋体" w:hAnsi="宋体" w:eastAsia="仿宋" w:cs="Times New Roman"/>
                <w:color w:val="000000"/>
                <w:sz w:val="24"/>
                <w:highlight w:val="none"/>
              </w:rPr>
              <w:t>）</w:t>
            </w:r>
            <w:r>
              <w:rPr>
                <w:rFonts w:hint="default" w:ascii="宋体" w:hAnsi="宋体" w:eastAsia="仿宋" w:cs="Times New Roman"/>
                <w:color w:val="000000"/>
                <w:sz w:val="24"/>
                <w:highlight w:val="none"/>
              </w:rPr>
              <w:t>，投标人提供拟投产品在规定认证机构范围内的节字标志认证证书，方予以认定其所投产品为节能产品。</w:t>
            </w:r>
          </w:p>
        </w:tc>
      </w:tr>
      <w:tr w14:paraId="29F6F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0833E2CF">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11.1.2</w:t>
            </w:r>
          </w:p>
        </w:tc>
        <w:tc>
          <w:tcPr>
            <w:tcW w:w="1581" w:type="dxa"/>
            <w:noWrap w:val="0"/>
            <w:vAlign w:val="center"/>
          </w:tcPr>
          <w:p w14:paraId="0E0D64F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Times New Roman"/>
                <w:color w:val="000000"/>
                <w:sz w:val="24"/>
                <w:highlight w:val="none"/>
              </w:rPr>
            </w:pPr>
            <w:r>
              <w:rPr>
                <w:rFonts w:hint="eastAsia" w:ascii="Calibri" w:hAnsi="Calibri" w:eastAsia="仿宋" w:cs="Times New Roman"/>
                <w:color w:val="000000"/>
                <w:sz w:val="24"/>
                <w:highlight w:val="none"/>
                <w:lang w:bidi="en-US"/>
              </w:rPr>
              <w:t>环境标志产品政府采购清单</w:t>
            </w:r>
          </w:p>
        </w:tc>
        <w:tc>
          <w:tcPr>
            <w:tcW w:w="7229" w:type="dxa"/>
            <w:noWrap w:val="0"/>
            <w:vAlign w:val="top"/>
          </w:tcPr>
          <w:p w14:paraId="29852E05">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000000"/>
                <w:sz w:val="24"/>
                <w:highlight w:val="none"/>
              </w:rPr>
            </w:pPr>
            <w:r>
              <w:rPr>
                <w:rFonts w:hint="default" w:ascii="宋体" w:hAnsi="宋体" w:eastAsia="仿宋" w:cs="Times New Roman"/>
                <w:color w:val="000000"/>
                <w:sz w:val="24"/>
                <w:highlight w:val="none"/>
              </w:rPr>
              <w:t>根据</w:t>
            </w:r>
            <w:r>
              <w:rPr>
                <w:rFonts w:hint="eastAsia" w:ascii="宋体" w:hAnsi="宋体" w:eastAsia="仿宋" w:cs="Times New Roman"/>
                <w:color w:val="000000"/>
                <w:sz w:val="24"/>
                <w:highlight w:val="none"/>
              </w:rPr>
              <w:t>《关于印发环境标志产品政府采购品目清单的通知》（财库〔2019〕18号）、</w:t>
            </w:r>
            <w:r>
              <w:rPr>
                <w:rFonts w:hint="default" w:ascii="宋体" w:hAnsi="宋体" w:eastAsia="仿宋" w:cs="Times New Roman"/>
                <w:color w:val="000000"/>
                <w:sz w:val="24"/>
                <w:highlight w:val="none"/>
              </w:rPr>
              <w:t>《</w:t>
            </w:r>
            <w:r>
              <w:rPr>
                <w:rFonts w:hint="eastAsia" w:ascii="宋体" w:hAnsi="宋体" w:eastAsia="仿宋" w:cs="Times New Roman"/>
                <w:color w:val="000000"/>
                <w:sz w:val="24"/>
                <w:highlight w:val="none"/>
              </w:rPr>
              <w:t>关于发布参与实施政府采购节能产品、环境标志产品认证机构名录的公告</w:t>
            </w:r>
            <w:r>
              <w:rPr>
                <w:rFonts w:hint="default" w:ascii="宋体" w:hAnsi="宋体" w:eastAsia="仿宋" w:cs="Times New Roman"/>
                <w:color w:val="000000"/>
                <w:sz w:val="24"/>
                <w:highlight w:val="none"/>
              </w:rPr>
              <w:t>》</w:t>
            </w:r>
            <w:r>
              <w:rPr>
                <w:rFonts w:hint="eastAsia" w:ascii="宋体" w:hAnsi="宋体" w:eastAsia="仿宋" w:cs="Times New Roman"/>
                <w:color w:val="000000"/>
                <w:sz w:val="24"/>
                <w:highlight w:val="none"/>
              </w:rPr>
              <w:t>（市场监管总局</w:t>
            </w:r>
            <w:r>
              <w:rPr>
                <w:rFonts w:hint="default" w:ascii="宋体" w:hAnsi="宋体" w:eastAsia="仿宋" w:cs="Times New Roman"/>
                <w:color w:val="000000"/>
                <w:sz w:val="24"/>
                <w:highlight w:val="none"/>
              </w:rPr>
              <w:t>2019年第16号</w:t>
            </w:r>
            <w:r>
              <w:rPr>
                <w:rFonts w:hint="eastAsia" w:ascii="宋体" w:hAnsi="宋体" w:eastAsia="仿宋" w:cs="Times New Roman"/>
                <w:color w:val="000000"/>
                <w:sz w:val="24"/>
                <w:highlight w:val="none"/>
              </w:rPr>
              <w:t>），在规定的认证机构范围内，投标人提供拟投产品环境标志认证证书的，方予以认定其所投产品为环境标志产品。</w:t>
            </w:r>
          </w:p>
        </w:tc>
      </w:tr>
      <w:tr w14:paraId="4B8B3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CA857C7">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000000"/>
                <w:sz w:val="24"/>
                <w:highlight w:val="none"/>
              </w:rPr>
            </w:pPr>
            <w:r>
              <w:rPr>
                <w:rFonts w:hint="eastAsia" w:ascii="宋体" w:hAnsi="宋体" w:eastAsia="仿宋" w:cs="Calibri"/>
                <w:color w:val="000000"/>
                <w:sz w:val="24"/>
                <w:highlight w:val="none"/>
              </w:rPr>
              <w:t>11.2.1</w:t>
            </w:r>
          </w:p>
        </w:tc>
        <w:tc>
          <w:tcPr>
            <w:tcW w:w="1581" w:type="dxa"/>
            <w:noWrap w:val="0"/>
            <w:vAlign w:val="center"/>
          </w:tcPr>
          <w:p w14:paraId="505730E4">
            <w:pPr>
              <w:keepNext w:val="0"/>
              <w:keepLines w:val="0"/>
              <w:widowControl/>
              <w:suppressLineNumbers w:val="0"/>
              <w:adjustRightInd w:val="0"/>
              <w:snapToGrid w:val="0"/>
              <w:spacing w:before="0" w:beforeAutospacing="0" w:after="0" w:afterAutospacing="0" w:line="288" w:lineRule="auto"/>
              <w:ind w:left="0" w:right="0"/>
              <w:jc w:val="center"/>
              <w:rPr>
                <w:rFonts w:hint="eastAsia" w:ascii="Calibri" w:hAnsi="Calibri" w:eastAsia="仿宋" w:cs="Times New Roman"/>
                <w:color w:val="000000"/>
                <w:sz w:val="24"/>
                <w:highlight w:val="none"/>
                <w:lang w:bidi="en-US"/>
              </w:rPr>
            </w:pPr>
            <w:r>
              <w:rPr>
                <w:rFonts w:hint="eastAsia" w:ascii="Calibri" w:hAnsi="Calibri" w:eastAsia="仿宋" w:cs="Times New Roman"/>
                <w:color w:val="000000"/>
                <w:sz w:val="24"/>
                <w:highlight w:val="none"/>
                <w:lang w:bidi="en-US"/>
              </w:rPr>
              <w:t>中小企业认定标准</w:t>
            </w:r>
          </w:p>
        </w:tc>
        <w:tc>
          <w:tcPr>
            <w:tcW w:w="7229" w:type="dxa"/>
            <w:noWrap w:val="0"/>
            <w:vAlign w:val="top"/>
          </w:tcPr>
          <w:p w14:paraId="61EE5E27">
            <w:pPr>
              <w:keepNext w:val="0"/>
              <w:keepLines w:val="0"/>
              <w:widowControl/>
              <w:suppressLineNumbers w:val="0"/>
              <w:snapToGrid w:val="0"/>
              <w:spacing w:before="0" w:beforeAutospacing="0" w:after="0" w:afterAutospacing="0" w:line="288" w:lineRule="auto"/>
              <w:ind w:left="0" w:right="0"/>
              <w:jc w:val="left"/>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rPr>
              <w:t>根据工业和信息化部、国家统计局、国家发展和改革委员会、财政部《关于印发中小企业划型标准规定的通知》（工信部联企业〔2011〕300号），采购标的对应的中小企业划分标准所属行业见第三章采购需求。</w:t>
            </w:r>
          </w:p>
        </w:tc>
      </w:tr>
      <w:tr w14:paraId="0DAE3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0F1597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11.2.3</w:t>
            </w:r>
          </w:p>
        </w:tc>
        <w:tc>
          <w:tcPr>
            <w:tcW w:w="1581" w:type="dxa"/>
            <w:noWrap w:val="0"/>
            <w:vAlign w:val="center"/>
          </w:tcPr>
          <w:p w14:paraId="2C6D5A3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价格扣除标准</w:t>
            </w:r>
          </w:p>
        </w:tc>
        <w:tc>
          <w:tcPr>
            <w:tcW w:w="7229" w:type="dxa"/>
            <w:noWrap w:val="0"/>
            <w:vAlign w:val="center"/>
          </w:tcPr>
          <w:p w14:paraId="05570E68">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未预留份额专门面向中小企业采购的采购项目，以及预留份额项目中的非预留部分采购包采购时，小微企业报价扣除比例：</w:t>
            </w:r>
          </w:p>
          <w:p w14:paraId="27DBAB5F">
            <w:pPr>
              <w:keepNext w:val="0"/>
              <w:keepLines w:val="0"/>
              <w:widowControl/>
              <w:suppressLineNumbers w:val="0"/>
              <w:snapToGrid w:val="0"/>
              <w:spacing w:before="0" w:beforeAutospacing="0" w:after="0" w:afterAutospacing="0" w:line="288" w:lineRule="auto"/>
              <w:ind w:left="0" w:right="0"/>
              <w:jc w:val="left"/>
              <w:rPr>
                <w:rFonts w:hint="default" w:ascii="Calibri" w:hAnsi="Calibri" w:eastAsia="仿宋" w:cs="Times New Roman"/>
                <w:color w:val="000000"/>
                <w:sz w:val="24"/>
                <w:highlight w:val="none"/>
                <w:lang w:bidi="en-US"/>
              </w:rPr>
            </w:pPr>
            <w:r>
              <w:rPr>
                <w:rFonts w:hint="eastAsia" w:ascii="Calibri" w:hAnsi="Calibri" w:eastAsia="仿宋" w:cs="Times New Roman"/>
                <w:color w:val="000000"/>
                <w:sz w:val="24"/>
                <w:highlight w:val="none"/>
                <w:lang w:bidi="en-US"/>
              </w:rPr>
              <w:t>（1）小型和微型企业：</w:t>
            </w:r>
            <w:r>
              <w:rPr>
                <w:rFonts w:hint="eastAsia" w:ascii="楷体" w:hAnsi="楷体" w:eastAsia="仿宋" w:cs="Calibri"/>
                <w:color w:val="000000"/>
                <w:sz w:val="24"/>
                <w:highlight w:val="none"/>
              </w:rPr>
              <w:t>10%；</w:t>
            </w:r>
          </w:p>
          <w:p w14:paraId="3E53C969">
            <w:pPr>
              <w:keepNext w:val="0"/>
              <w:keepLines w:val="0"/>
              <w:widowControl/>
              <w:suppressLineNumbers w:val="0"/>
              <w:snapToGrid w:val="0"/>
              <w:spacing w:before="0" w:beforeAutospacing="0" w:after="0" w:afterAutospacing="0" w:line="288" w:lineRule="auto"/>
              <w:ind w:left="0" w:right="0"/>
              <w:jc w:val="left"/>
              <w:rPr>
                <w:rFonts w:hint="default" w:ascii="宋体" w:hAnsi="宋体" w:eastAsia="仿宋" w:cs="Times New Roman"/>
                <w:color w:val="000000"/>
                <w:sz w:val="24"/>
                <w:highlight w:val="none"/>
              </w:rPr>
            </w:pPr>
            <w:r>
              <w:rPr>
                <w:rFonts w:hint="eastAsia" w:ascii="Calibri" w:hAnsi="Calibri" w:eastAsia="仿宋" w:cs="Times New Roman"/>
                <w:color w:val="000000"/>
                <w:sz w:val="24"/>
                <w:highlight w:val="none"/>
                <w:lang w:bidi="en-US"/>
              </w:rPr>
              <w:t>（2）</w:t>
            </w:r>
            <w:r>
              <w:rPr>
                <w:rFonts w:hint="eastAsia" w:ascii="宋体" w:hAnsi="宋体" w:eastAsia="仿宋" w:cs="Times New Roman"/>
                <w:color w:val="000000"/>
                <w:sz w:val="24"/>
                <w:highlight w:val="none"/>
              </w:rPr>
              <w:t>对于联合协议或者分包意向协议约定小微企业的合同份额占到合同总金额30%时，对联合体或者大中型企业的报价的扣除比例:</w:t>
            </w:r>
            <w:r>
              <w:rPr>
                <w:rFonts w:hint="eastAsia" w:ascii="楷体" w:hAnsi="楷体" w:eastAsia="仿宋" w:cs="Calibri"/>
                <w:color w:val="000000"/>
                <w:sz w:val="24"/>
                <w:highlight w:val="none"/>
              </w:rPr>
              <w:t>/%。</w:t>
            </w:r>
          </w:p>
          <w:p w14:paraId="7A012215">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注：1.价格扣除举例说明：</w:t>
            </w:r>
            <w:r>
              <w:rPr>
                <w:rFonts w:hint="default" w:ascii="宋体" w:hAnsi="宋体" w:eastAsia="仿宋" w:cs="Times New Roman"/>
                <w:color w:val="000000"/>
                <w:sz w:val="24"/>
                <w:highlight w:val="none"/>
              </w:rPr>
              <w:t>某</w:t>
            </w:r>
            <w:r>
              <w:rPr>
                <w:rFonts w:hint="eastAsia" w:ascii="宋体" w:hAnsi="宋体" w:eastAsia="仿宋" w:cs="Times New Roman"/>
                <w:color w:val="000000"/>
                <w:sz w:val="24"/>
                <w:highlight w:val="none"/>
              </w:rPr>
              <w:t>残疾人福利单位符合财库〔2017〕141号规定的政策支持单位，属于小微企业，其投标报价为</w:t>
            </w:r>
            <w:r>
              <w:rPr>
                <w:rFonts w:hint="default" w:ascii="宋体" w:hAnsi="宋体" w:eastAsia="仿宋" w:cs="Times New Roman"/>
                <w:color w:val="000000"/>
                <w:sz w:val="24"/>
                <w:highlight w:val="none"/>
              </w:rPr>
              <w:t>100万元，“扣除后的价格”为：100万元-100万元×</w:t>
            </w:r>
            <w:r>
              <w:rPr>
                <w:rFonts w:hint="eastAsia" w:ascii="宋体" w:hAnsi="宋体" w:eastAsia="仿宋" w:cs="Times New Roman"/>
                <w:color w:val="000000"/>
                <w:sz w:val="24"/>
                <w:highlight w:val="none"/>
              </w:rPr>
              <w:t>扣除比例，用扣除后的价格参与评审。</w:t>
            </w:r>
          </w:p>
          <w:p w14:paraId="441DC26B">
            <w:pPr>
              <w:keepNext w:val="0"/>
              <w:keepLines w:val="0"/>
              <w:widowControl/>
              <w:suppressLineNumbers w:val="0"/>
              <w:snapToGrid w:val="0"/>
              <w:spacing w:before="0" w:beforeAutospacing="0" w:after="0" w:afterAutospacing="0" w:line="288" w:lineRule="auto"/>
              <w:ind w:left="0" w:right="0"/>
              <w:jc w:val="left"/>
              <w:rPr>
                <w:rFonts w:hint="eastAsia" w:ascii="Calibri" w:hAnsi="Calibri" w:cs="Times New Roman"/>
                <w:color w:val="000000"/>
                <w:sz w:val="24"/>
                <w:highlight w:val="none"/>
                <w:lang w:bidi="en-US"/>
              </w:rPr>
            </w:pPr>
            <w:r>
              <w:rPr>
                <w:rFonts w:hint="eastAsia" w:ascii="宋体" w:hAnsi="宋体" w:eastAsia="仿宋" w:cs="Times New Roman"/>
                <w:b/>
                <w:color w:val="000000"/>
                <w:sz w:val="24"/>
                <w:highlight w:val="none"/>
              </w:rPr>
              <w:t>2.本项目将对中标人提供的《中小企业声明函》，随中标结果一并公布。如提供虚假材料，将取消中标资格并报相关部门按有关规定处理，并计入不良记录。</w:t>
            </w:r>
          </w:p>
        </w:tc>
      </w:tr>
      <w:tr w14:paraId="49D6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1F6F80E">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Calibri"/>
                <w:color w:val="000000"/>
                <w:sz w:val="24"/>
                <w:highlight w:val="none"/>
              </w:rPr>
            </w:pPr>
            <w:r>
              <w:rPr>
                <w:rFonts w:hint="eastAsia" w:ascii="宋体" w:hAnsi="宋体" w:eastAsia="仿宋" w:cs="Calibri"/>
                <w:color w:val="000000"/>
                <w:sz w:val="24"/>
                <w:highlight w:val="none"/>
              </w:rPr>
              <w:t>11.3.2</w:t>
            </w:r>
          </w:p>
        </w:tc>
        <w:tc>
          <w:tcPr>
            <w:tcW w:w="1581" w:type="dxa"/>
            <w:noWrap w:val="0"/>
            <w:vAlign w:val="center"/>
          </w:tcPr>
          <w:p w14:paraId="261C088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进口产品采购</w:t>
            </w:r>
          </w:p>
        </w:tc>
        <w:tc>
          <w:tcPr>
            <w:tcW w:w="7229" w:type="dxa"/>
            <w:noWrap w:val="0"/>
            <w:vAlign w:val="center"/>
          </w:tcPr>
          <w:p w14:paraId="557E1262">
            <w:pPr>
              <w:keepNext w:val="0"/>
              <w:keepLines w:val="0"/>
              <w:widowControl/>
              <w:suppressLineNumbers w:val="0"/>
              <w:spacing w:before="0" w:beforeAutospacing="0" w:after="0" w:afterAutospacing="0"/>
              <w:ind w:left="0" w:right="0"/>
              <w:rPr>
                <w:rFonts w:hint="eastAsia" w:ascii="楷体" w:hAnsi="楷体" w:eastAsia="仿宋" w:cs="Calibri"/>
                <w:color w:val="000000"/>
                <w:sz w:val="24"/>
                <w:highlight w:val="none"/>
              </w:rPr>
            </w:pPr>
            <w:r>
              <w:rPr>
                <w:rFonts w:hint="eastAsia" w:ascii="楷体" w:hAnsi="楷体" w:eastAsia="仿宋" w:cs="Calibri"/>
                <w:color w:val="000000"/>
                <w:sz w:val="24"/>
                <w:highlight w:val="none"/>
              </w:rPr>
              <w:t>☑</w:t>
            </w:r>
            <w:r>
              <w:rPr>
                <w:rFonts w:hint="eastAsia" w:ascii="楷体" w:hAnsi="楷体" w:eastAsia="仿宋" w:cs="Times New Roman"/>
                <w:bCs/>
                <w:color w:val="000000"/>
                <w:sz w:val="24"/>
                <w:highlight w:val="none"/>
              </w:rPr>
              <w:t>本项目</w:t>
            </w:r>
            <w:r>
              <w:rPr>
                <w:rFonts w:hint="eastAsia" w:ascii="楷体" w:hAnsi="楷体" w:eastAsia="仿宋" w:cs="Calibri"/>
                <w:color w:val="000000"/>
                <w:sz w:val="24"/>
                <w:highlight w:val="none"/>
              </w:rPr>
              <w:t>拒绝进口产品参加投标</w:t>
            </w:r>
          </w:p>
          <w:p w14:paraId="64E022FA">
            <w:pPr>
              <w:keepNext w:val="0"/>
              <w:keepLines w:val="0"/>
              <w:widowControl/>
              <w:suppressLineNumbers w:val="0"/>
              <w:spacing w:before="0" w:beforeAutospacing="0" w:after="0" w:afterAutospacing="0"/>
              <w:ind w:left="0" w:right="0"/>
              <w:rPr>
                <w:rFonts w:hint="eastAsia" w:ascii="宋体" w:hAnsi="宋体" w:cs="Calibri"/>
                <w:color w:val="000000"/>
                <w:sz w:val="24"/>
                <w:highlight w:val="none"/>
              </w:rPr>
            </w:pPr>
            <w:r>
              <w:rPr>
                <w:rFonts w:hint="eastAsia" w:ascii="楷体" w:hAnsi="楷体" w:eastAsia="仿宋" w:cs="Calibri"/>
                <w:color w:val="000000"/>
                <w:sz w:val="24"/>
                <w:highlight w:val="none"/>
              </w:rPr>
              <w:t>□本项目包含接受进口产品投标的品目，具体要求</w:t>
            </w:r>
            <w:r>
              <w:rPr>
                <w:rFonts w:hint="eastAsia" w:ascii="宋体" w:hAnsi="宋体" w:eastAsia="仿宋" w:cs="Calibri"/>
                <w:color w:val="000000"/>
                <w:sz w:val="24"/>
                <w:highlight w:val="none"/>
              </w:rPr>
              <w:t>详见第三章采购需求。</w:t>
            </w:r>
          </w:p>
        </w:tc>
      </w:tr>
      <w:tr w14:paraId="18EC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2ECEE5C">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b/>
                <w:color w:val="000000"/>
                <w:sz w:val="24"/>
                <w:highlight w:val="none"/>
              </w:rPr>
            </w:pPr>
            <w:r>
              <w:rPr>
                <w:rFonts w:hint="eastAsia" w:ascii="宋体" w:hAnsi="宋体" w:eastAsia="仿宋" w:cs="Calibri"/>
                <w:bCs/>
                <w:color w:val="000000"/>
                <w:sz w:val="24"/>
                <w:highlight w:val="none"/>
              </w:rPr>
              <w:t>11.4</w:t>
            </w:r>
          </w:p>
        </w:tc>
        <w:tc>
          <w:tcPr>
            <w:tcW w:w="1581" w:type="dxa"/>
            <w:noWrap w:val="0"/>
            <w:vAlign w:val="center"/>
          </w:tcPr>
          <w:p w14:paraId="0597630A">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000000"/>
                <w:sz w:val="24"/>
                <w:highlight w:val="none"/>
              </w:rPr>
            </w:pPr>
            <w:r>
              <w:rPr>
                <w:rFonts w:hint="eastAsia" w:ascii="宋体" w:hAnsi="宋体" w:eastAsia="仿宋" w:cs="Times New Roman"/>
                <w:color w:val="000000"/>
                <w:sz w:val="24"/>
                <w:highlight w:val="none"/>
                <w:lang w:bidi="en-US"/>
              </w:rPr>
              <w:t>其他政府采购政策</w:t>
            </w:r>
          </w:p>
        </w:tc>
        <w:tc>
          <w:tcPr>
            <w:tcW w:w="7229" w:type="dxa"/>
            <w:noWrap w:val="0"/>
            <w:vAlign w:val="center"/>
          </w:tcPr>
          <w:p w14:paraId="14F60108">
            <w:pPr>
              <w:keepNext w:val="0"/>
              <w:keepLines w:val="0"/>
              <w:widowControl/>
              <w:suppressLineNumbers w:val="0"/>
              <w:adjustRightInd w:val="0"/>
              <w:snapToGrid w:val="0"/>
              <w:spacing w:before="0" w:beforeAutospacing="0" w:after="0" w:afterAutospacing="0" w:line="288" w:lineRule="auto"/>
              <w:ind w:left="0" w:right="0"/>
              <w:jc w:val="left"/>
              <w:rPr>
                <w:rFonts w:hint="eastAsia" w:ascii="宋体" w:hAnsi="宋体" w:eastAsia="仿宋" w:cs="Calibri"/>
                <w:b/>
                <w:color w:val="000000"/>
                <w:sz w:val="24"/>
                <w:highlight w:val="none"/>
              </w:rPr>
            </w:pPr>
            <w:r>
              <w:rPr>
                <w:rFonts w:hint="eastAsia" w:ascii="楷体" w:hAnsi="楷体" w:eastAsia="仿宋" w:cs="Calibri"/>
                <w:color w:val="000000"/>
                <w:sz w:val="24"/>
                <w:highlight w:val="none"/>
              </w:rPr>
              <w:t>无</w:t>
            </w:r>
          </w:p>
        </w:tc>
      </w:tr>
      <w:tr w14:paraId="555D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9000DCD">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000000"/>
                <w:sz w:val="24"/>
                <w:highlight w:val="none"/>
              </w:rPr>
            </w:pPr>
            <w:r>
              <w:rPr>
                <w:rFonts w:hint="eastAsia" w:ascii="宋体" w:hAnsi="宋体" w:eastAsia="仿宋" w:cs="Calibri"/>
                <w:b/>
                <w:color w:val="000000"/>
                <w:sz w:val="24"/>
                <w:highlight w:val="none"/>
              </w:rPr>
              <w:t>12</w:t>
            </w:r>
          </w:p>
        </w:tc>
        <w:tc>
          <w:tcPr>
            <w:tcW w:w="1581" w:type="dxa"/>
            <w:noWrap w:val="0"/>
            <w:vAlign w:val="center"/>
          </w:tcPr>
          <w:p w14:paraId="366DA544">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b/>
                <w:color w:val="000000"/>
                <w:sz w:val="24"/>
                <w:highlight w:val="none"/>
              </w:rPr>
            </w:pPr>
          </w:p>
        </w:tc>
        <w:tc>
          <w:tcPr>
            <w:tcW w:w="7229" w:type="dxa"/>
            <w:noWrap w:val="0"/>
            <w:vAlign w:val="center"/>
          </w:tcPr>
          <w:p w14:paraId="0DB6FB84">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cs="Times New Roman"/>
                <w:b/>
                <w:color w:val="000000"/>
                <w:sz w:val="24"/>
                <w:highlight w:val="none"/>
              </w:rPr>
            </w:pPr>
            <w:r>
              <w:rPr>
                <w:rFonts w:hint="eastAsia" w:ascii="宋体" w:hAnsi="宋体" w:eastAsia="仿宋" w:cs="Calibri"/>
                <w:b/>
                <w:color w:val="000000"/>
                <w:sz w:val="24"/>
                <w:highlight w:val="none"/>
              </w:rPr>
              <w:t>需要补充的其他内容</w:t>
            </w:r>
          </w:p>
        </w:tc>
      </w:tr>
      <w:tr w14:paraId="63FD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050A30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12.1</w:t>
            </w:r>
          </w:p>
        </w:tc>
        <w:tc>
          <w:tcPr>
            <w:tcW w:w="1581" w:type="dxa"/>
            <w:noWrap w:val="0"/>
            <w:vAlign w:val="center"/>
          </w:tcPr>
          <w:p w14:paraId="4628F210">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电子招标投标</w:t>
            </w:r>
          </w:p>
        </w:tc>
        <w:tc>
          <w:tcPr>
            <w:tcW w:w="7229" w:type="dxa"/>
            <w:noWrap w:val="0"/>
            <w:vAlign w:val="top"/>
          </w:tcPr>
          <w:p w14:paraId="08A04DCF">
            <w:pPr>
              <w:keepNext w:val="0"/>
              <w:keepLines w:val="0"/>
              <w:widowControl/>
              <w:suppressLineNumbers w:val="0"/>
              <w:snapToGrid w:val="0"/>
              <w:spacing w:before="0" w:beforeAutospacing="0" w:after="0" w:afterAutospacing="0" w:line="288" w:lineRule="auto"/>
              <w:ind w:left="0" w:right="0"/>
              <w:jc w:val="left"/>
              <w:rPr>
                <w:rFonts w:hint="eastAsia" w:ascii="宋体" w:hAnsi="宋体" w:cs="Calibri"/>
                <w:b/>
                <w:color w:val="000000"/>
                <w:sz w:val="24"/>
                <w:highlight w:val="none"/>
              </w:rPr>
            </w:pPr>
            <w:r>
              <w:rPr>
                <w:rFonts w:hint="eastAsia" w:ascii="宋体" w:hAnsi="宋体" w:eastAsia="仿宋" w:cs="Times New Roman"/>
                <w:color w:val="000000"/>
                <w:sz w:val="24"/>
                <w:highlight w:val="none"/>
              </w:rPr>
              <w:t>采用电子招标投标，</w:t>
            </w:r>
            <w:r>
              <w:rPr>
                <w:rFonts w:hint="default" w:ascii="Calibri" w:hAnsi="Calibri" w:eastAsia="仿宋" w:cs="Times New Roman"/>
                <w:bCs/>
                <w:snapToGrid w:val="0"/>
                <w:color w:val="000000"/>
                <w:kern w:val="0"/>
                <w:sz w:val="24"/>
                <w:highlight w:val="none"/>
              </w:rPr>
              <w:t>除招标文件另有规定外，电子招标投标操作要求详见本章附件《</w:t>
            </w:r>
            <w:r>
              <w:rPr>
                <w:rFonts w:hint="eastAsia" w:ascii="Calibri" w:hAnsi="Calibri" w:eastAsia="仿宋" w:cs="Times New Roman"/>
                <w:bCs/>
                <w:snapToGrid w:val="0"/>
                <w:color w:val="000000"/>
                <w:kern w:val="0"/>
                <w:sz w:val="24"/>
                <w:highlight w:val="none"/>
              </w:rPr>
              <w:t>全流程电子招标采购具体要求</w:t>
            </w:r>
            <w:r>
              <w:rPr>
                <w:rFonts w:hint="default" w:ascii="Calibri" w:hAnsi="Calibri" w:eastAsia="仿宋" w:cs="Times New Roman"/>
                <w:bCs/>
                <w:snapToGrid w:val="0"/>
                <w:color w:val="000000"/>
                <w:kern w:val="0"/>
                <w:sz w:val="24"/>
                <w:highlight w:val="none"/>
              </w:rPr>
              <w:t>》</w:t>
            </w:r>
            <w:r>
              <w:rPr>
                <w:rFonts w:hint="eastAsia" w:ascii="Calibri" w:hAnsi="Calibri" w:eastAsia="仿宋" w:cs="Times New Roman"/>
                <w:bCs/>
                <w:snapToGrid w:val="0"/>
                <w:color w:val="000000"/>
                <w:kern w:val="0"/>
                <w:sz w:val="24"/>
                <w:highlight w:val="none"/>
              </w:rPr>
              <w:t>。</w:t>
            </w:r>
          </w:p>
        </w:tc>
      </w:tr>
      <w:tr w14:paraId="0CDF3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34D4B612">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12.2</w:t>
            </w:r>
          </w:p>
        </w:tc>
        <w:tc>
          <w:tcPr>
            <w:tcW w:w="1581" w:type="dxa"/>
            <w:noWrap w:val="0"/>
            <w:vAlign w:val="center"/>
          </w:tcPr>
          <w:p w14:paraId="33379179">
            <w:pPr>
              <w:keepNext w:val="0"/>
              <w:keepLines w:val="0"/>
              <w:suppressLineNumbers w:val="0"/>
              <w:adjustRightInd w:val="0"/>
              <w:snapToGrid w:val="0"/>
              <w:spacing w:before="0" w:beforeAutospacing="0" w:after="0" w:afterAutospacing="0" w:line="288" w:lineRule="auto"/>
              <w:ind w:left="0" w:right="0"/>
              <w:jc w:val="center"/>
              <w:rPr>
                <w:rFonts w:hint="default" w:ascii="宋体" w:hAnsi="宋体" w:cs="Times New Roman"/>
                <w:color w:val="000000"/>
                <w:sz w:val="24"/>
                <w:highlight w:val="none"/>
              </w:rPr>
            </w:pPr>
            <w:r>
              <w:rPr>
                <w:rFonts w:hint="eastAsia" w:ascii="宋体" w:hAnsi="宋体" w:eastAsia="仿宋" w:cs="Times New Roman"/>
                <w:color w:val="000000"/>
                <w:sz w:val="24"/>
                <w:highlight w:val="none"/>
              </w:rPr>
              <w:t>原则规定与定义</w:t>
            </w:r>
          </w:p>
        </w:tc>
        <w:tc>
          <w:tcPr>
            <w:tcW w:w="7229" w:type="dxa"/>
            <w:noWrap w:val="0"/>
            <w:vAlign w:val="center"/>
          </w:tcPr>
          <w:p w14:paraId="5C282DB6">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（1）投标人</w:t>
            </w:r>
            <w:r>
              <w:rPr>
                <w:rFonts w:hint="default" w:ascii="宋体" w:hAnsi="宋体" w:eastAsia="仿宋" w:cs="Times New Roman"/>
                <w:color w:val="000000"/>
                <w:sz w:val="24"/>
                <w:highlight w:val="none"/>
              </w:rPr>
              <w:t>须知前附表是对</w:t>
            </w:r>
            <w:r>
              <w:rPr>
                <w:rFonts w:hint="eastAsia" w:ascii="宋体" w:hAnsi="宋体" w:eastAsia="仿宋" w:cs="Times New Roman"/>
                <w:color w:val="000000"/>
                <w:sz w:val="24"/>
                <w:highlight w:val="none"/>
              </w:rPr>
              <w:t>投标人</w:t>
            </w:r>
            <w:r>
              <w:rPr>
                <w:rFonts w:hint="default" w:ascii="宋体" w:hAnsi="宋体" w:eastAsia="仿宋" w:cs="Times New Roman"/>
                <w:color w:val="000000"/>
                <w:sz w:val="24"/>
                <w:highlight w:val="none"/>
              </w:rPr>
              <w:t>须知正文部分对应条款的补充、细化，</w:t>
            </w:r>
            <w:r>
              <w:rPr>
                <w:rFonts w:hint="eastAsia" w:ascii="宋体" w:hAnsi="宋体" w:eastAsia="仿宋" w:cs="Times New Roman"/>
                <w:color w:val="000000"/>
                <w:sz w:val="24"/>
                <w:highlight w:val="none"/>
              </w:rPr>
              <w:t>投标人</w:t>
            </w:r>
            <w:r>
              <w:rPr>
                <w:rFonts w:hint="default" w:ascii="宋体" w:hAnsi="宋体" w:eastAsia="仿宋" w:cs="Times New Roman"/>
                <w:color w:val="000000"/>
                <w:sz w:val="24"/>
                <w:highlight w:val="none"/>
              </w:rPr>
              <w:t>阅读时应与正文部分一并阅读，</w:t>
            </w:r>
            <w:r>
              <w:rPr>
                <w:rFonts w:hint="eastAsia" w:ascii="宋体" w:hAnsi="宋体" w:eastAsia="仿宋" w:cs="Times New Roman"/>
                <w:color w:val="000000"/>
                <w:sz w:val="24"/>
                <w:highlight w:val="none"/>
              </w:rPr>
              <w:t>投标人</w:t>
            </w:r>
            <w:r>
              <w:rPr>
                <w:rFonts w:hint="default" w:ascii="宋体" w:hAnsi="宋体" w:eastAsia="仿宋" w:cs="Times New Roman"/>
                <w:color w:val="000000"/>
                <w:sz w:val="24"/>
                <w:highlight w:val="none"/>
              </w:rPr>
              <w:t>须知前附表与正文部分不一致处，应以</w:t>
            </w:r>
            <w:r>
              <w:rPr>
                <w:rFonts w:hint="eastAsia" w:ascii="宋体" w:hAnsi="宋体" w:eastAsia="仿宋" w:cs="Times New Roman"/>
                <w:color w:val="000000"/>
                <w:sz w:val="24"/>
                <w:highlight w:val="none"/>
              </w:rPr>
              <w:t>投标人</w:t>
            </w:r>
            <w:r>
              <w:rPr>
                <w:rFonts w:hint="default" w:ascii="宋体" w:hAnsi="宋体" w:eastAsia="仿宋" w:cs="Times New Roman"/>
                <w:color w:val="000000"/>
                <w:sz w:val="24"/>
                <w:highlight w:val="none"/>
              </w:rPr>
              <w:t>须知前附表为准。</w:t>
            </w:r>
          </w:p>
          <w:p w14:paraId="34D3D8B1">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（2）</w:t>
            </w:r>
            <w:r>
              <w:rPr>
                <w:rFonts w:hint="default" w:ascii="宋体" w:hAnsi="宋体" w:eastAsia="仿宋" w:cs="Times New Roman"/>
                <w:color w:val="000000"/>
                <w:sz w:val="24"/>
                <w:highlight w:val="none"/>
              </w:rPr>
              <w:t>“</w:t>
            </w:r>
            <w:r>
              <w:rPr>
                <w:rFonts w:hint="default" w:ascii="宋体" w:hAnsi="宋体" w:eastAsia="仿宋" w:cs="Times New Roman"/>
                <w:color w:val="000000"/>
                <w:sz w:val="24"/>
                <w:highlight w:val="none"/>
              </w:rPr>
              <w:sym w:font="Wingdings" w:char="F0FE"/>
            </w:r>
            <w:r>
              <w:rPr>
                <w:rFonts w:hint="default" w:ascii="宋体" w:hAnsi="宋体" w:eastAsia="仿宋" w:cs="Times New Roman"/>
                <w:color w:val="000000"/>
                <w:sz w:val="24"/>
                <w:highlight w:val="none"/>
              </w:rPr>
              <w:t>”符号表示本招标文件选定的内容；“</w:t>
            </w:r>
            <w:r>
              <w:rPr>
                <w:rFonts w:hint="eastAsia" w:ascii="宋体" w:hAnsi="宋体" w:eastAsia="仿宋" w:cs="Times New Roman"/>
                <w:color w:val="000000"/>
                <w:sz w:val="24"/>
                <w:highlight w:val="none"/>
              </w:rPr>
              <w:t>□</w:t>
            </w:r>
            <w:r>
              <w:rPr>
                <w:rFonts w:hint="default" w:ascii="宋体" w:hAnsi="宋体" w:eastAsia="仿宋" w:cs="Times New Roman"/>
                <w:color w:val="000000"/>
                <w:sz w:val="24"/>
                <w:highlight w:val="none"/>
              </w:rPr>
              <w:t>”符号表示本招标文件未选定的内容；空格中的“/”表示没有具体内容。投标人投标时请按“</w:t>
            </w:r>
            <w:r>
              <w:rPr>
                <w:rFonts w:hint="default" w:ascii="宋体" w:hAnsi="宋体" w:eastAsia="仿宋" w:cs="Times New Roman"/>
                <w:color w:val="000000"/>
                <w:sz w:val="24"/>
                <w:highlight w:val="none"/>
              </w:rPr>
              <w:sym w:font="Wingdings" w:char="F0FE"/>
            </w:r>
            <w:r>
              <w:rPr>
                <w:rFonts w:hint="default" w:ascii="宋体" w:hAnsi="宋体" w:eastAsia="仿宋" w:cs="Times New Roman"/>
                <w:color w:val="000000"/>
                <w:sz w:val="24"/>
                <w:highlight w:val="none"/>
              </w:rPr>
              <w:t>符号”选定的内容和要求参加投标。</w:t>
            </w:r>
          </w:p>
          <w:p w14:paraId="2A70670D">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cs="Times New Roman"/>
                <w:color w:val="000000"/>
                <w:sz w:val="24"/>
                <w:highlight w:val="none"/>
              </w:rPr>
            </w:pPr>
            <w:r>
              <w:rPr>
                <w:rFonts w:hint="eastAsia" w:ascii="宋体" w:hAnsi="宋体" w:eastAsia="仿宋" w:cs="Times New Roman"/>
                <w:color w:val="000000"/>
                <w:sz w:val="24"/>
                <w:highlight w:val="none"/>
              </w:rPr>
              <w:t>（3）与合同履行有关条款中注明的“甲方”、“买方”，在招标投标阶段按“采购人”、“使用单位”理解；注明的“乙方”、“卖方”，按“投标人”理解。</w:t>
            </w:r>
          </w:p>
        </w:tc>
      </w:tr>
      <w:tr w14:paraId="24BE9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52FFFDC">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12.3</w:t>
            </w:r>
          </w:p>
        </w:tc>
        <w:tc>
          <w:tcPr>
            <w:tcW w:w="1581" w:type="dxa"/>
            <w:noWrap w:val="0"/>
            <w:vAlign w:val="center"/>
          </w:tcPr>
          <w:p w14:paraId="17CD7F7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知识产权</w:t>
            </w:r>
          </w:p>
        </w:tc>
        <w:tc>
          <w:tcPr>
            <w:tcW w:w="7229" w:type="dxa"/>
            <w:noWrap w:val="0"/>
            <w:vAlign w:val="top"/>
          </w:tcPr>
          <w:p w14:paraId="017F336D">
            <w:pPr>
              <w:keepNext w:val="0"/>
              <w:keepLines w:val="0"/>
              <w:suppressLineNumbers w:val="0"/>
              <w:adjustRightInd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（1）构成本招标文件各个组成部分的文件，未经采购人书面同意，投标人不得擅自复印和用于非本招标项目所需的其他目的。</w:t>
            </w:r>
            <w:r>
              <w:rPr>
                <w:rFonts w:hint="default" w:ascii="宋体" w:hAnsi="宋体" w:eastAsia="仿宋" w:cs="Times New Roman"/>
                <w:color w:val="000000"/>
                <w:sz w:val="24"/>
                <w:highlight w:val="none"/>
              </w:rPr>
              <w:t>如因此导致</w:t>
            </w:r>
            <w:r>
              <w:rPr>
                <w:rFonts w:hint="eastAsia" w:ascii="宋体" w:hAnsi="宋体" w:eastAsia="仿宋" w:cs="Times New Roman"/>
                <w:color w:val="000000"/>
                <w:sz w:val="24"/>
                <w:highlight w:val="none"/>
              </w:rPr>
              <w:t>采购人</w:t>
            </w:r>
            <w:r>
              <w:rPr>
                <w:rFonts w:hint="default" w:ascii="宋体" w:hAnsi="宋体" w:eastAsia="仿宋" w:cs="Times New Roman"/>
                <w:color w:val="000000"/>
                <w:sz w:val="24"/>
                <w:highlight w:val="none"/>
              </w:rPr>
              <w:t>损失的，投标人须承担全部赔偿责任。</w:t>
            </w:r>
          </w:p>
          <w:p w14:paraId="079EF491">
            <w:pPr>
              <w:keepNext w:val="0"/>
              <w:keepLines w:val="0"/>
              <w:suppressLineNumbers w:val="0"/>
              <w:adjustRightInd w:val="0"/>
              <w:snapToGrid w:val="0"/>
              <w:spacing w:before="0" w:beforeAutospacing="0" w:after="0" w:afterAutospacing="0" w:line="288" w:lineRule="auto"/>
              <w:ind w:left="0" w:right="0"/>
              <w:jc w:val="left"/>
              <w:rPr>
                <w:rFonts w:hint="default" w:ascii="宋体" w:hAnsi="宋体" w:cs="Times New Roman"/>
                <w:color w:val="000000"/>
                <w:sz w:val="24"/>
                <w:highlight w:val="none"/>
              </w:rPr>
            </w:pPr>
            <w:r>
              <w:rPr>
                <w:rFonts w:hint="eastAsia" w:ascii="宋体" w:hAnsi="宋体" w:eastAsia="仿宋" w:cs="Times New Roman"/>
                <w:color w:val="000000"/>
                <w:sz w:val="24"/>
                <w:highlight w:val="none"/>
              </w:rPr>
              <w:t>（2）采购人</w:t>
            </w:r>
            <w:r>
              <w:rPr>
                <w:rFonts w:hint="default" w:ascii="宋体" w:hAnsi="宋体" w:eastAsia="仿宋" w:cs="Times New Roman"/>
                <w:color w:val="000000"/>
                <w:sz w:val="24"/>
                <w:highlight w:val="none"/>
              </w:rPr>
              <w:t>在中华人民共和国境内使用</w:t>
            </w:r>
            <w:r>
              <w:rPr>
                <w:rFonts w:hint="eastAsia" w:ascii="宋体" w:hAnsi="宋体" w:eastAsia="仿宋" w:cs="Times New Roman"/>
                <w:color w:val="000000"/>
                <w:sz w:val="24"/>
                <w:highlight w:val="none"/>
              </w:rPr>
              <w:t>中</w:t>
            </w:r>
            <w:r>
              <w:rPr>
                <w:rFonts w:hint="default" w:ascii="宋体" w:hAnsi="宋体" w:eastAsia="仿宋" w:cs="Times New Roman"/>
                <w:color w:val="000000"/>
                <w:sz w:val="24"/>
                <w:highlight w:val="none"/>
              </w:rPr>
              <w:t>标货物</w:t>
            </w:r>
            <w:r>
              <w:rPr>
                <w:rFonts w:hint="eastAsia" w:ascii="宋体" w:hAnsi="宋体" w:eastAsia="仿宋" w:cs="Times New Roman"/>
                <w:color w:val="000000"/>
                <w:sz w:val="24"/>
                <w:highlight w:val="none"/>
              </w:rPr>
              <w:t>（服务）</w:t>
            </w:r>
            <w:r>
              <w:rPr>
                <w:rFonts w:hint="default" w:ascii="宋体" w:hAnsi="宋体" w:eastAsia="仿宋" w:cs="Times New Roman"/>
                <w:color w:val="000000"/>
                <w:sz w:val="24"/>
                <w:highlight w:val="none"/>
              </w:rPr>
              <w:t>、资料、技术、服务或其任何一部分时</w:t>
            </w:r>
            <w:r>
              <w:rPr>
                <w:rFonts w:hint="eastAsia" w:ascii="宋体" w:hAnsi="宋体" w:eastAsia="仿宋" w:cs="Times New Roman"/>
                <w:color w:val="000000"/>
                <w:sz w:val="24"/>
                <w:highlight w:val="none"/>
              </w:rPr>
              <w:t>，履行合同义务后</w:t>
            </w:r>
            <w:r>
              <w:rPr>
                <w:rFonts w:hint="default" w:ascii="宋体" w:hAnsi="宋体" w:eastAsia="仿宋" w:cs="Times New Roman"/>
                <w:color w:val="000000"/>
                <w:sz w:val="24"/>
                <w:highlight w:val="none"/>
              </w:rPr>
              <w:t>，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w:t>
            </w:r>
            <w:r>
              <w:rPr>
                <w:rFonts w:hint="eastAsia" w:ascii="宋体" w:hAnsi="宋体" w:eastAsia="仿宋" w:cs="Times New Roman"/>
                <w:color w:val="000000"/>
                <w:sz w:val="24"/>
                <w:highlight w:val="none"/>
              </w:rPr>
              <w:t>采购人</w:t>
            </w:r>
            <w:r>
              <w:rPr>
                <w:rFonts w:hint="default" w:ascii="宋体" w:hAnsi="宋体" w:eastAsia="仿宋" w:cs="Times New Roman"/>
                <w:color w:val="000000"/>
                <w:sz w:val="24"/>
                <w:highlight w:val="none"/>
              </w:rPr>
              <w:t>损失的，投标人须承担全部赔偿责任。</w:t>
            </w:r>
          </w:p>
        </w:tc>
      </w:tr>
      <w:tr w14:paraId="74B38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488D2059">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12.4</w:t>
            </w:r>
          </w:p>
        </w:tc>
        <w:tc>
          <w:tcPr>
            <w:tcW w:w="1581" w:type="dxa"/>
            <w:noWrap w:val="0"/>
            <w:vAlign w:val="center"/>
          </w:tcPr>
          <w:p w14:paraId="432FAD0B">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Times New Roman"/>
                <w:color w:val="000000"/>
                <w:sz w:val="24"/>
                <w:highlight w:val="none"/>
              </w:rPr>
              <w:t>投标专用章、业务专用章等效力规定</w:t>
            </w:r>
          </w:p>
        </w:tc>
        <w:tc>
          <w:tcPr>
            <w:tcW w:w="7229" w:type="dxa"/>
            <w:noWrap w:val="0"/>
            <w:vAlign w:val="center"/>
          </w:tcPr>
          <w:p w14:paraId="217450DA">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000000"/>
                <w:sz w:val="24"/>
                <w:highlight w:val="none"/>
              </w:rPr>
            </w:pPr>
            <w:r>
              <w:rPr>
                <w:rFonts w:hint="eastAsia" w:ascii="宋体" w:hAnsi="宋体" w:eastAsia="仿宋" w:cs="Times New Roman"/>
                <w:color w:val="000000"/>
                <w:sz w:val="24"/>
                <w:highlight w:val="none"/>
              </w:rPr>
              <w:t>招标文件中明确要求加盖公章的，投标人必须加盖投标人公章。在有授权文件(原件)表明投标专用章、业务专用章等法律效力等同于投标人公章的情况下，可以加盖投标专用章或业务专用章，否则将导致投标无效。</w:t>
            </w:r>
          </w:p>
        </w:tc>
      </w:tr>
      <w:tr w14:paraId="6EE5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1F25DBB6">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12.5</w:t>
            </w:r>
          </w:p>
        </w:tc>
        <w:tc>
          <w:tcPr>
            <w:tcW w:w="1581" w:type="dxa"/>
            <w:noWrap w:val="0"/>
            <w:vAlign w:val="center"/>
          </w:tcPr>
          <w:p w14:paraId="3FF0D26F">
            <w:pPr>
              <w:keepNext w:val="0"/>
              <w:keepLines w:val="0"/>
              <w:widowControl/>
              <w:suppressLineNumbers w:val="0"/>
              <w:snapToGrid w:val="0"/>
              <w:spacing w:before="0" w:beforeAutospacing="0" w:after="0" w:afterAutospacing="0" w:line="288" w:lineRule="auto"/>
              <w:ind w:left="0" w:right="0"/>
              <w:jc w:val="center"/>
              <w:rPr>
                <w:rFonts w:hint="eastAsia" w:ascii="宋体" w:hAnsi="宋体" w:cs="Calibri"/>
                <w:b/>
                <w:color w:val="000000"/>
                <w:sz w:val="24"/>
                <w:highlight w:val="none"/>
              </w:rPr>
            </w:pPr>
            <w:r>
              <w:rPr>
                <w:rFonts w:hint="eastAsia" w:ascii="宋体" w:hAnsi="宋体" w:eastAsia="仿宋" w:cs="Times New Roman"/>
                <w:color w:val="000000"/>
                <w:sz w:val="24"/>
                <w:highlight w:val="none"/>
              </w:rPr>
              <w:t>多包投标、多包中标的规定</w:t>
            </w:r>
          </w:p>
        </w:tc>
        <w:tc>
          <w:tcPr>
            <w:tcW w:w="7229" w:type="dxa"/>
            <w:noWrap w:val="0"/>
            <w:vAlign w:val="center"/>
          </w:tcPr>
          <w:p w14:paraId="0EEB1F6A">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s="Calibri"/>
                <w:color w:val="000000"/>
                <w:sz w:val="24"/>
                <w:highlight w:val="none"/>
              </w:rPr>
            </w:pPr>
            <w:r>
              <w:rPr>
                <w:rFonts w:hint="eastAsia" w:ascii="仿宋" w:hAnsi="仿宋" w:eastAsia="仿宋" w:cs="Calibri"/>
                <w:color w:val="000000"/>
                <w:sz w:val="24"/>
                <w:highlight w:val="none"/>
                <w:lang w:eastAsia="zh-CN"/>
              </w:rPr>
              <w:t>☑</w:t>
            </w:r>
            <w:r>
              <w:rPr>
                <w:rFonts w:hint="eastAsia" w:ascii="仿宋" w:hAnsi="仿宋" w:eastAsia="仿宋" w:cs="仿宋"/>
                <w:color w:val="000000"/>
                <w:kern w:val="0"/>
                <w:sz w:val="24"/>
                <w:highlight w:val="none"/>
                <w:lang w:bidi="ar"/>
              </w:rPr>
              <w:t>本项目不适用</w:t>
            </w:r>
          </w:p>
          <w:p w14:paraId="64EE971B">
            <w:pPr>
              <w:keepNext w:val="0"/>
              <w:keepLines w:val="0"/>
              <w:widowControl/>
              <w:suppressLineNumbers w:val="0"/>
              <w:snapToGrid w:val="0"/>
              <w:spacing w:before="0" w:beforeAutospacing="0" w:after="0" w:afterAutospacing="0" w:line="288" w:lineRule="auto"/>
              <w:ind w:left="0" w:right="0"/>
              <w:jc w:val="left"/>
              <w:rPr>
                <w:rFonts w:hint="default" w:ascii="仿宋" w:hAnsi="仿宋" w:eastAsia="仿宋" w:cs="Times New Roman"/>
                <w:color w:val="000000"/>
                <w:sz w:val="24"/>
                <w:highlight w:val="none"/>
              </w:rPr>
            </w:pPr>
            <w:r>
              <w:rPr>
                <w:rFonts w:hint="eastAsia" w:ascii="仿宋" w:hAnsi="仿宋" w:eastAsia="仿宋" w:cs="Calibri"/>
                <w:color w:val="000000"/>
                <w:sz w:val="24"/>
                <w:highlight w:val="none"/>
                <w:lang w:eastAsia="zh-CN"/>
              </w:rPr>
              <w:t>□</w:t>
            </w:r>
            <w:r>
              <w:rPr>
                <w:rFonts w:hint="eastAsia" w:ascii="仿宋" w:hAnsi="仿宋" w:eastAsia="仿宋" w:cs="Calibri"/>
                <w:color w:val="000000"/>
                <w:sz w:val="24"/>
                <w:highlight w:val="none"/>
              </w:rPr>
              <w:t>投标人可对本项目一个或多个包进行投标，也可中多个包。</w:t>
            </w:r>
          </w:p>
        </w:tc>
      </w:tr>
      <w:tr w14:paraId="5112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2D26AE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12.6</w:t>
            </w:r>
          </w:p>
        </w:tc>
        <w:tc>
          <w:tcPr>
            <w:tcW w:w="1581" w:type="dxa"/>
            <w:noWrap w:val="0"/>
            <w:vAlign w:val="center"/>
          </w:tcPr>
          <w:p w14:paraId="6FF90BE3">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相关提示</w:t>
            </w:r>
          </w:p>
        </w:tc>
        <w:tc>
          <w:tcPr>
            <w:tcW w:w="7229" w:type="dxa"/>
            <w:noWrap w:val="0"/>
            <w:vAlign w:val="center"/>
          </w:tcPr>
          <w:p w14:paraId="0F92F733">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（1）招标文件中所称时间均指北京时间，采用电子招标投标时，以交易平台时间为准。</w:t>
            </w:r>
          </w:p>
          <w:p w14:paraId="64BE7602">
            <w:pPr>
              <w:keepNext w:val="0"/>
              <w:keepLines w:val="0"/>
              <w:widowControl/>
              <w:suppressLineNumbers w:val="0"/>
              <w:snapToGrid w:val="0"/>
              <w:spacing w:before="0" w:beforeAutospacing="0" w:after="0" w:afterAutospacing="0" w:line="288" w:lineRule="auto"/>
              <w:ind w:left="0" w:right="0"/>
              <w:jc w:val="left"/>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（2）投标人应注意规定的开标地点和投标截止时间，为了使招标投标工作有条不紊进行，避免因网络等问题导致投标文件无法按时加密并提交的情况发生，建议投标人提前30分钟做好准备工作。</w:t>
            </w:r>
          </w:p>
          <w:p w14:paraId="74AA8BE3">
            <w:pPr>
              <w:keepNext w:val="0"/>
              <w:keepLines w:val="0"/>
              <w:widowControl/>
              <w:suppressLineNumbers w:val="0"/>
              <w:snapToGrid w:val="0"/>
              <w:spacing w:before="0" w:beforeAutospacing="0" w:after="0" w:afterAutospacing="0" w:line="288" w:lineRule="auto"/>
              <w:ind w:left="0" w:right="0"/>
              <w:jc w:val="left"/>
              <w:rPr>
                <w:rFonts w:hint="eastAsia" w:ascii="宋体" w:hAnsi="宋体" w:cs="Times New Roman"/>
                <w:color w:val="000000"/>
                <w:sz w:val="24"/>
                <w:highlight w:val="none"/>
              </w:rPr>
            </w:pPr>
            <w:r>
              <w:rPr>
                <w:rFonts w:hint="eastAsia" w:ascii="宋体" w:hAnsi="宋体" w:eastAsia="仿宋" w:cs="Times New Roman"/>
                <w:color w:val="000000"/>
                <w:sz w:val="24"/>
                <w:highlight w:val="none"/>
              </w:rPr>
              <w:t>（3）本项目保证金账户采用虚拟账号，每个项目均不同，同一个项目不同标包也不同。投标标包应与保证金相匹配。请投标人仔细核对账户信息。</w:t>
            </w:r>
          </w:p>
        </w:tc>
      </w:tr>
      <w:tr w14:paraId="7654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763EBA18">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12.7</w:t>
            </w:r>
          </w:p>
        </w:tc>
        <w:tc>
          <w:tcPr>
            <w:tcW w:w="1581" w:type="dxa"/>
            <w:noWrap w:val="0"/>
            <w:vAlign w:val="center"/>
          </w:tcPr>
          <w:p w14:paraId="5101E2A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cs="Calibri"/>
                <w:color w:val="000000"/>
                <w:sz w:val="24"/>
                <w:highlight w:val="none"/>
              </w:rPr>
            </w:pPr>
            <w:r>
              <w:rPr>
                <w:rFonts w:hint="eastAsia" w:ascii="宋体" w:hAnsi="宋体" w:eastAsia="仿宋" w:cs="Calibri"/>
                <w:color w:val="000000"/>
                <w:sz w:val="24"/>
                <w:highlight w:val="none"/>
              </w:rPr>
              <w:t>招标文件的解释</w:t>
            </w:r>
          </w:p>
        </w:tc>
        <w:tc>
          <w:tcPr>
            <w:tcW w:w="7229" w:type="dxa"/>
            <w:noWrap w:val="0"/>
            <w:vAlign w:val="top"/>
          </w:tcPr>
          <w:p w14:paraId="0BEE194D">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cs="Times New Roman"/>
                <w:color w:val="000000"/>
                <w:sz w:val="24"/>
                <w:highlight w:val="none"/>
              </w:rPr>
            </w:pPr>
            <w:r>
              <w:rPr>
                <w:rFonts w:hint="eastAsia" w:ascii="宋体" w:hAnsi="宋体" w:eastAsia="仿宋" w:cs="Times New Roman"/>
                <w:color w:val="000000"/>
                <w:sz w:val="24"/>
                <w:highlight w:val="none"/>
              </w:rPr>
              <w:t>构成本招标文件的各个组成文件应互为解释，互为说明；如有不明确或不一致，除招标文件中有特别规定外，仅适用于招标投标阶段规定的，按招标公告、投标人须知、评标办法、投标文件格式的先后顺序解释；同一组成文件中就同一事项的规定或约定不一致的，以编排顺序在后者为准；同一文件不同版本之间有不一致的，以形成时间在后者为准。按本款前述规定仍不能形成结论的，</w:t>
            </w:r>
            <w:r>
              <w:rPr>
                <w:rFonts w:hint="eastAsia" w:ascii="宋体" w:hAnsi="宋体" w:eastAsia="仿宋" w:cs="Times New Roman"/>
                <w:bCs/>
                <w:color w:val="000000"/>
                <w:sz w:val="24"/>
                <w:highlight w:val="none"/>
              </w:rPr>
              <w:t>由采购人和采购代理机构负责解释。</w:t>
            </w:r>
          </w:p>
        </w:tc>
      </w:tr>
      <w:tr w14:paraId="0E40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EB5E6FB">
            <w:pPr>
              <w:keepNext w:val="0"/>
              <w:keepLines w:val="0"/>
              <w:widowControl/>
              <w:suppressLineNumbers w:val="0"/>
              <w:adjustRightInd w:val="0"/>
              <w:snapToGrid w:val="0"/>
              <w:spacing w:before="0" w:beforeAutospacing="0" w:after="0" w:afterAutospacing="0" w:line="288" w:lineRule="auto"/>
              <w:ind w:left="0" w:right="0"/>
              <w:jc w:val="center"/>
              <w:rPr>
                <w:rFonts w:hint="default" w:ascii="宋体" w:hAnsi="宋体" w:eastAsia="仿宋" w:cs="Calibri"/>
                <w:color w:val="000000"/>
                <w:sz w:val="24"/>
                <w:highlight w:val="none"/>
              </w:rPr>
            </w:pPr>
            <w:r>
              <w:rPr>
                <w:rFonts w:hint="eastAsia" w:ascii="宋体" w:hAnsi="宋体" w:eastAsia="仿宋" w:cs="Calibri"/>
                <w:color w:val="000000"/>
                <w:sz w:val="24"/>
                <w:highlight w:val="none"/>
              </w:rPr>
              <w:t>12.8</w:t>
            </w:r>
          </w:p>
        </w:tc>
        <w:tc>
          <w:tcPr>
            <w:tcW w:w="1581" w:type="dxa"/>
            <w:noWrap w:val="0"/>
            <w:vAlign w:val="center"/>
          </w:tcPr>
          <w:p w14:paraId="19D95997">
            <w:pPr>
              <w:keepNext w:val="0"/>
              <w:keepLines w:val="0"/>
              <w:widowControl/>
              <w:suppressLineNumbers w:val="0"/>
              <w:adjustRightInd w:val="0"/>
              <w:snapToGrid w:val="0"/>
              <w:spacing w:before="0" w:beforeAutospacing="0" w:after="0" w:afterAutospacing="0" w:line="288" w:lineRule="auto"/>
              <w:ind w:left="0" w:right="0"/>
              <w:jc w:val="center"/>
              <w:rPr>
                <w:rFonts w:hint="eastAsia" w:ascii="宋体" w:hAnsi="宋体" w:eastAsia="仿宋" w:cs="Calibri"/>
                <w:color w:val="000000"/>
                <w:sz w:val="24"/>
                <w:highlight w:val="none"/>
              </w:rPr>
            </w:pPr>
            <w:r>
              <w:rPr>
                <w:rFonts w:hint="eastAsia" w:ascii="宋体" w:hAnsi="宋体" w:eastAsia="仿宋" w:cs="Calibri"/>
                <w:color w:val="000000"/>
                <w:sz w:val="24"/>
                <w:highlight w:val="none"/>
              </w:rPr>
              <w:t>“政采贷”融资指引</w:t>
            </w:r>
          </w:p>
        </w:tc>
        <w:tc>
          <w:tcPr>
            <w:tcW w:w="7229" w:type="dxa"/>
            <w:noWrap w:val="0"/>
            <w:vAlign w:val="top"/>
          </w:tcPr>
          <w:p w14:paraId="7299F36C">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有融资需求的投标人在取得政府采购中标或成交通知书后，可访问安徽省政府采购网“融资/保函”栏目，查看和联系第三方平台或者金融机构，商洽融资事项，确定融资意向。</w:t>
            </w:r>
          </w:p>
          <w:p w14:paraId="281DEF2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000000"/>
                <w:sz w:val="24"/>
                <w:highlight w:val="none"/>
              </w:rPr>
            </w:pPr>
            <w:r>
              <w:rPr>
                <w:rFonts w:hint="eastAsia" w:ascii="宋体" w:hAnsi="宋体" w:eastAsia="仿宋" w:cs="Times New Roman"/>
                <w:color w:val="000000"/>
                <w:sz w:val="24"/>
                <w:highlight w:val="none"/>
              </w:rPr>
              <w:t>投标人签署政府采购中标合同后，登录“徽采云”金融服务模块，选择意向产品进行申请，并填写相关信息，“徽采云”金融服务模块将投标人融资申请信息推送第三方平台、意向金融机构。</w:t>
            </w:r>
          </w:p>
        </w:tc>
      </w:tr>
      <w:tr w14:paraId="0F1D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10" w:hRule="atLeast"/>
        </w:trPr>
        <w:tc>
          <w:tcPr>
            <w:tcW w:w="857" w:type="dxa"/>
            <w:noWrap w:val="0"/>
            <w:vAlign w:val="center"/>
          </w:tcPr>
          <w:p w14:paraId="61B33685">
            <w:pPr>
              <w:keepNext w:val="0"/>
              <w:keepLines w:val="0"/>
              <w:widowControl/>
              <w:suppressLineNumbers w:val="0"/>
              <w:adjustRightInd w:val="0"/>
              <w:snapToGrid w:val="0"/>
              <w:spacing w:before="0" w:beforeAutospacing="0" w:after="0" w:afterAutospacing="0" w:line="288" w:lineRule="auto"/>
              <w:ind w:left="0" w:leftChars="0" w:right="0" w:rightChars="0"/>
              <w:jc w:val="center"/>
              <w:rPr>
                <w:rFonts w:hint="default" w:ascii="宋体" w:hAnsi="宋体" w:eastAsia="仿宋" w:cs="Calibri"/>
                <w:color w:val="000000"/>
                <w:sz w:val="24"/>
                <w:highlight w:val="none"/>
              </w:rPr>
            </w:pPr>
            <w:r>
              <w:rPr>
                <w:rFonts w:hint="eastAsia" w:ascii="宋体" w:hAnsi="宋体" w:eastAsia="仿宋" w:cs="Calibri"/>
                <w:color w:val="auto"/>
                <w:sz w:val="24"/>
                <w:highlight w:val="none"/>
              </w:rPr>
              <w:t>12.</w:t>
            </w:r>
            <w:r>
              <w:rPr>
                <w:rFonts w:hint="eastAsia" w:ascii="宋体" w:hAnsi="宋体" w:eastAsia="仿宋" w:cs="Calibri"/>
                <w:color w:val="auto"/>
                <w:sz w:val="24"/>
                <w:highlight w:val="none"/>
                <w:lang w:val="en-US" w:eastAsia="zh-CN"/>
              </w:rPr>
              <w:t>9</w:t>
            </w:r>
          </w:p>
        </w:tc>
        <w:tc>
          <w:tcPr>
            <w:tcW w:w="1581" w:type="dxa"/>
            <w:noWrap w:val="0"/>
            <w:vAlign w:val="center"/>
          </w:tcPr>
          <w:p w14:paraId="69B52430">
            <w:pPr>
              <w:keepNext w:val="0"/>
              <w:keepLines w:val="0"/>
              <w:widowControl/>
              <w:suppressLineNumbers w:val="0"/>
              <w:adjustRightInd w:val="0"/>
              <w:snapToGrid w:val="0"/>
              <w:spacing w:before="0" w:beforeAutospacing="0" w:after="0" w:afterAutospacing="0" w:line="288" w:lineRule="auto"/>
              <w:ind w:left="0" w:leftChars="0" w:right="0" w:rightChars="0"/>
              <w:jc w:val="center"/>
              <w:rPr>
                <w:rFonts w:hint="eastAsia" w:ascii="Calibri" w:hAnsi="Calibri" w:eastAsia="仿宋" w:cs="Times New Roman"/>
                <w:color w:val="000000"/>
                <w:sz w:val="24"/>
                <w:highlight w:val="none"/>
              </w:rPr>
            </w:pPr>
            <w:r>
              <w:rPr>
                <w:rFonts w:hint="eastAsia" w:ascii="Calibri" w:hAnsi="Calibri" w:eastAsia="仿宋" w:cs="Times New Roman"/>
                <w:color w:val="auto"/>
                <w:sz w:val="24"/>
                <w:highlight w:val="none"/>
              </w:rPr>
              <w:t>关于投标主体的补充要求</w:t>
            </w:r>
          </w:p>
        </w:tc>
        <w:tc>
          <w:tcPr>
            <w:tcW w:w="7229" w:type="dxa"/>
            <w:noWrap w:val="0"/>
            <w:vAlign w:val="top"/>
          </w:tcPr>
          <w:p w14:paraId="5FDD26A8">
            <w:pPr>
              <w:keepNext w:val="0"/>
              <w:keepLines w:val="0"/>
              <w:widowControl/>
              <w:suppressLineNumbers w:val="0"/>
              <w:adjustRightInd w:val="0"/>
              <w:snapToGrid w:val="0"/>
              <w:spacing w:before="0" w:beforeAutospacing="0" w:after="0" w:afterAutospacing="0" w:line="288" w:lineRule="auto"/>
              <w:ind w:left="0" w:leftChars="0" w:right="0" w:rightChars="0"/>
              <w:jc w:val="left"/>
              <w:rPr>
                <w:rFonts w:hint="eastAsia" w:ascii="宋体" w:hAnsi="宋体" w:eastAsia="仿宋" w:cs="Times New Roman"/>
                <w:color w:val="000000"/>
                <w:sz w:val="24"/>
                <w:highlight w:val="none"/>
              </w:rPr>
            </w:pPr>
            <w:r>
              <w:rPr>
                <w:rFonts w:hint="eastAsia" w:ascii="Calibri" w:hAnsi="Calibri" w:eastAsia="仿宋" w:cs="Times New Roman"/>
                <w:color w:val="auto"/>
                <w:sz w:val="24"/>
                <w:highlight w:val="none"/>
              </w:rPr>
              <w:t>制造商（或制造商所在的集团公司）在中国关境内设立的仅销售本制造商（或制造商所在的集团公司）产品的贸易公司可视同为制造商参加本项目投标。但</w:t>
            </w:r>
            <w:r>
              <w:rPr>
                <w:rFonts w:hint="eastAsia" w:ascii="Calibri" w:hAnsi="Calibri" w:eastAsia="仿宋" w:cs="Times New Roman"/>
                <w:color w:val="auto"/>
                <w:sz w:val="24"/>
                <w:highlight w:val="none"/>
                <w:lang w:val="en-US" w:eastAsia="zh-CN"/>
              </w:rPr>
              <w:t>同一设备</w:t>
            </w:r>
            <w:r>
              <w:rPr>
                <w:rFonts w:hint="eastAsia" w:ascii="Calibri" w:hAnsi="Calibri" w:eastAsia="仿宋" w:cs="Times New Roman"/>
                <w:color w:val="auto"/>
                <w:sz w:val="24"/>
                <w:highlight w:val="none"/>
              </w:rPr>
              <w:t>制造商和制造商（或制造商所在的集团公司）设立的贸易公司不得同时参加同一</w:t>
            </w:r>
            <w:r>
              <w:rPr>
                <w:rFonts w:hint="eastAsia" w:ascii="Calibri" w:hAnsi="Calibri" w:eastAsia="仿宋" w:cs="Times New Roman"/>
                <w:color w:val="auto"/>
                <w:sz w:val="24"/>
                <w:highlight w:val="none"/>
                <w:lang w:val="en-US" w:eastAsia="zh-CN"/>
              </w:rPr>
              <w:t>标包</w:t>
            </w:r>
            <w:r>
              <w:rPr>
                <w:rFonts w:hint="eastAsia" w:ascii="Calibri" w:hAnsi="Calibri" w:eastAsia="仿宋" w:cs="Times New Roman"/>
                <w:color w:val="auto"/>
                <w:sz w:val="24"/>
                <w:highlight w:val="none"/>
              </w:rPr>
              <w:t>的投标，否则相关投标均无效。</w:t>
            </w:r>
          </w:p>
        </w:tc>
      </w:tr>
      <w:bookmarkEnd w:id="45"/>
      <w:bookmarkEnd w:id="46"/>
      <w:bookmarkEnd w:id="47"/>
      <w:bookmarkEnd w:id="48"/>
    </w:tbl>
    <w:p w14:paraId="3E354CE8">
      <w:pPr>
        <w:pStyle w:val="3"/>
        <w:rPr>
          <w:rStyle w:val="107"/>
          <w:rFonts w:ascii="宋体" w:hAnsi="宋体" w:eastAsia="仿宋"/>
          <w:b/>
          <w:bCs/>
          <w:sz w:val="24"/>
          <w:szCs w:val="24"/>
          <w:highlight w:val="none"/>
        </w:rPr>
      </w:pPr>
      <w:bookmarkStart w:id="53" w:name="_Toc445554688"/>
      <w:bookmarkStart w:id="54" w:name="_Toc152042305"/>
      <w:bookmarkStart w:id="55" w:name="_Toc371415920"/>
      <w:bookmarkStart w:id="56" w:name="_Toc179632546"/>
      <w:bookmarkStart w:id="57" w:name="_Toc342296161"/>
      <w:bookmarkStart w:id="58" w:name="_Toc338944604"/>
      <w:bookmarkStart w:id="59" w:name="_Toc333599658"/>
      <w:bookmarkStart w:id="60" w:name="_Toc338943699"/>
      <w:bookmarkStart w:id="61" w:name="_Toc333600682"/>
      <w:bookmarkStart w:id="62" w:name="_Toc152045529"/>
      <w:bookmarkStart w:id="63" w:name="_Toc342294713"/>
      <w:bookmarkStart w:id="64" w:name="_Toc455587032"/>
      <w:bookmarkStart w:id="65" w:name="_Toc458504818"/>
      <w:bookmarkStart w:id="66" w:name="_Toc342297618"/>
      <w:bookmarkStart w:id="67" w:name="_Toc466024500"/>
      <w:bookmarkStart w:id="68" w:name="_Toc455587216"/>
      <w:bookmarkStart w:id="69" w:name="_Toc144974497"/>
      <w:r>
        <w:rPr>
          <w:rStyle w:val="107"/>
          <w:rFonts w:hint="eastAsia" w:ascii="宋体" w:hAnsi="宋体" w:eastAsia="仿宋"/>
          <w:b/>
          <w:bCs/>
          <w:sz w:val="24"/>
          <w:szCs w:val="24"/>
          <w:highlight w:val="none"/>
        </w:rPr>
        <w:t>1. 总则</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259855EB">
      <w:pPr>
        <w:pStyle w:val="4"/>
        <w:adjustRightInd w:val="0"/>
        <w:ind w:firstLine="482" w:firstLineChars="200"/>
        <w:rPr>
          <w:rFonts w:eastAsia="仿宋"/>
          <w:color w:val="000000"/>
          <w:sz w:val="24"/>
          <w:highlight w:val="none"/>
          <w:lang w:eastAsia="zh-CN"/>
        </w:rPr>
      </w:pPr>
      <w:bookmarkStart w:id="70" w:name="_Toc333599659"/>
      <w:bookmarkStart w:id="71" w:name="_Toc342294714"/>
      <w:bookmarkStart w:id="72" w:name="_Toc144974498"/>
      <w:bookmarkStart w:id="73" w:name="_Toc179632547"/>
      <w:bookmarkStart w:id="74" w:name="_Toc338944605"/>
      <w:bookmarkStart w:id="75" w:name="_Toc455587217"/>
      <w:bookmarkStart w:id="76" w:name="_Toc466024501"/>
      <w:bookmarkStart w:id="77" w:name="_Toc152045530"/>
      <w:bookmarkStart w:id="78" w:name="_Toc342297619"/>
      <w:bookmarkStart w:id="79" w:name="_Toc333600683"/>
      <w:bookmarkStart w:id="80" w:name="_Toc458504819"/>
      <w:bookmarkStart w:id="81" w:name="_Toc152042306"/>
      <w:bookmarkStart w:id="82" w:name="_Toc333587853"/>
      <w:bookmarkStart w:id="83" w:name="_Toc371415921"/>
      <w:bookmarkStart w:id="84" w:name="_Toc342296162"/>
      <w:bookmarkStart w:id="85" w:name="_Toc445554689"/>
      <w:bookmarkStart w:id="86" w:name="_Toc338943700"/>
      <w:bookmarkStart w:id="87" w:name="_Toc455587033"/>
      <w:r>
        <w:rPr>
          <w:rFonts w:eastAsia="仿宋"/>
          <w:color w:val="000000"/>
          <w:sz w:val="24"/>
          <w:highlight w:val="none"/>
          <w:lang w:eastAsia="zh-CN"/>
        </w:rPr>
        <w:t>1</w:t>
      </w:r>
      <w:r>
        <w:rPr>
          <w:rFonts w:hint="eastAsia" w:eastAsia="仿宋"/>
          <w:color w:val="000000"/>
          <w:sz w:val="24"/>
          <w:highlight w:val="none"/>
          <w:lang w:eastAsia="zh-CN"/>
        </w:rPr>
        <w:t>.1 项目概况</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1A83CD5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1.1.1 根据《中华人民共和国政府采购法》《中华人民共和国政府采购法实施条例》《政府采购货物和服务招标投标管理办法》等有关法律、法规和规章的规定，本项目已具备政府采购条件，现以招标方式进行政府采购。</w:t>
      </w:r>
    </w:p>
    <w:p w14:paraId="4C4DB6B0">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1.1.2 采购人：见投标人须知前附表。</w:t>
      </w:r>
    </w:p>
    <w:p w14:paraId="1A8AE2E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1.1.3 采购代理机构：见投标人须知前附表。</w:t>
      </w:r>
    </w:p>
    <w:p w14:paraId="053098D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1.1.4 采购项目名称：见投标人须知前附表。</w:t>
      </w:r>
    </w:p>
    <w:p w14:paraId="2B5DACB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1.1.5 采购包划分：见投标人须知前附表。</w:t>
      </w:r>
    </w:p>
    <w:p w14:paraId="5091A3DA">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1.1.6 采购预算：见投标人须知前附表。</w:t>
      </w:r>
    </w:p>
    <w:p w14:paraId="4A43A70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1.1.7 专门面向中小企业采购：见投标人须知前附表。</w:t>
      </w:r>
    </w:p>
    <w:p w14:paraId="03F088BE">
      <w:pPr>
        <w:pStyle w:val="4"/>
        <w:adjustRightInd w:val="0"/>
        <w:ind w:firstLine="482" w:firstLineChars="200"/>
        <w:rPr>
          <w:rFonts w:eastAsia="仿宋"/>
          <w:color w:val="000000"/>
          <w:sz w:val="24"/>
          <w:highlight w:val="none"/>
          <w:lang w:eastAsia="zh-CN"/>
        </w:rPr>
      </w:pPr>
      <w:bookmarkStart w:id="88" w:name="_Toc455587218"/>
      <w:bookmarkStart w:id="89" w:name="_Toc445554690"/>
      <w:bookmarkStart w:id="90" w:name="_Toc466024502"/>
      <w:bookmarkStart w:id="91" w:name="_Toc455587034"/>
      <w:bookmarkStart w:id="92" w:name="_Toc458504820"/>
      <w:r>
        <w:rPr>
          <w:rFonts w:hint="eastAsia" w:eastAsia="仿宋"/>
          <w:color w:val="000000"/>
          <w:sz w:val="24"/>
          <w:highlight w:val="none"/>
          <w:lang w:eastAsia="zh-CN"/>
        </w:rPr>
        <w:t>1.2 资金落实情况与核心产品</w:t>
      </w:r>
    </w:p>
    <w:p w14:paraId="2A9EF355">
      <w:pPr>
        <w:widowControl/>
        <w:adjustRightInd w:val="0"/>
        <w:snapToGrid w:val="0"/>
        <w:spacing w:line="360" w:lineRule="auto"/>
        <w:ind w:firstLine="480" w:firstLineChars="200"/>
        <w:rPr>
          <w:rFonts w:hint="eastAsia" w:ascii="宋体" w:hAnsi="宋体" w:eastAsia="仿宋" w:cs="宋体"/>
          <w:color w:val="000000"/>
          <w:sz w:val="24"/>
          <w:highlight w:val="none"/>
        </w:rPr>
      </w:pPr>
      <w:r>
        <w:rPr>
          <w:rFonts w:hint="eastAsia" w:ascii="宋体" w:hAnsi="宋体" w:eastAsia="仿宋" w:cs="宋体"/>
          <w:color w:val="000000"/>
          <w:sz w:val="24"/>
          <w:highlight w:val="none"/>
          <w:lang w:bidi="ar"/>
        </w:rPr>
        <w:t xml:space="preserve">1.2.1 </w:t>
      </w:r>
      <w:r>
        <w:rPr>
          <w:rFonts w:hint="eastAsia" w:ascii="宋体" w:hAnsi="宋体" w:eastAsia="仿宋" w:cs="仿宋"/>
          <w:color w:val="000000"/>
          <w:sz w:val="24"/>
          <w:highlight w:val="none"/>
          <w:lang w:bidi="ar"/>
        </w:rPr>
        <w:t>资金来源及比例：见投标人须知前附表。</w:t>
      </w:r>
    </w:p>
    <w:p w14:paraId="4D8F4A9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s="宋体"/>
          <w:color w:val="000000"/>
          <w:sz w:val="24"/>
          <w:highlight w:val="none"/>
          <w:lang w:bidi="ar"/>
        </w:rPr>
        <w:t>1.2.2</w:t>
      </w:r>
      <w:r>
        <w:rPr>
          <w:rFonts w:hint="eastAsia" w:ascii="宋体" w:hAnsi="宋体" w:eastAsia="仿宋"/>
          <w:color w:val="000000"/>
          <w:sz w:val="24"/>
          <w:highlight w:val="none"/>
        </w:rPr>
        <w:t xml:space="preserve"> 资金落实情况：本项目的采购人已获得足以支付本次招标后所签订的合同项下的资金。</w:t>
      </w:r>
    </w:p>
    <w:p w14:paraId="309F370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1.2.3 核心产品：非单一产品采购项目，采购人应当根据采购项目技术构成、产品价格比重等合理确定核心产品，并在招标文件中载明。提供的核心产品品牌相同的不同投标人参加同一合同项下投标的，按一家投标人计算。</w:t>
      </w:r>
    </w:p>
    <w:bookmarkEnd w:id="88"/>
    <w:bookmarkEnd w:id="89"/>
    <w:bookmarkEnd w:id="90"/>
    <w:bookmarkEnd w:id="91"/>
    <w:bookmarkEnd w:id="92"/>
    <w:p w14:paraId="0718DB42">
      <w:pPr>
        <w:pStyle w:val="4"/>
        <w:adjustRightInd w:val="0"/>
        <w:ind w:firstLine="482" w:firstLineChars="200"/>
        <w:rPr>
          <w:rFonts w:eastAsia="仿宋"/>
          <w:color w:val="000000"/>
          <w:sz w:val="24"/>
          <w:highlight w:val="none"/>
          <w:lang w:eastAsia="zh-CN"/>
        </w:rPr>
      </w:pPr>
      <w:bookmarkStart w:id="93" w:name="_Toc371415924"/>
      <w:bookmarkStart w:id="94" w:name="_Toc458504821"/>
      <w:bookmarkStart w:id="95" w:name="_Toc152042310"/>
      <w:bookmarkStart w:id="96" w:name="_Toc144974502"/>
      <w:bookmarkStart w:id="97" w:name="_Toc338943704"/>
      <w:bookmarkStart w:id="98" w:name="_Toc455587219"/>
      <w:bookmarkStart w:id="99" w:name="_Toc179632551"/>
      <w:bookmarkStart w:id="100" w:name="_Toc466024503"/>
      <w:bookmarkStart w:id="101" w:name="_Toc342296166"/>
      <w:bookmarkStart w:id="102" w:name="_Toc333599663"/>
      <w:bookmarkStart w:id="103" w:name="_Toc152045534"/>
      <w:bookmarkStart w:id="104" w:name="_Toc333600687"/>
      <w:bookmarkStart w:id="105" w:name="_Toc342294718"/>
      <w:bookmarkStart w:id="106" w:name="_Toc338944609"/>
      <w:bookmarkStart w:id="107" w:name="_Toc333587857"/>
      <w:bookmarkStart w:id="108" w:name="_Toc342297623"/>
      <w:bookmarkStart w:id="109" w:name="_Toc445554692"/>
      <w:bookmarkStart w:id="110" w:name="_Toc455587035"/>
      <w:r>
        <w:rPr>
          <w:rFonts w:hint="eastAsia" w:eastAsia="仿宋"/>
          <w:color w:val="000000"/>
          <w:sz w:val="24"/>
          <w:highlight w:val="none"/>
          <w:lang w:eastAsia="zh-CN"/>
        </w:rPr>
        <w:t>1.3 资格要求</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65D10327">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1.3.1 投标人应具备承担本采购项目的资质条件、能力和信誉，具体资格要求见投标人须知前附表。</w:t>
      </w:r>
    </w:p>
    <w:p w14:paraId="7D62C854">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1.3.2 接受联合体投标的，除应符合本章第1.3</w:t>
      </w:r>
      <w:r>
        <w:rPr>
          <w:rFonts w:ascii="宋体" w:hAnsi="宋体" w:eastAsia="仿宋"/>
          <w:color w:val="000000"/>
          <w:sz w:val="24"/>
          <w:highlight w:val="none"/>
        </w:rPr>
        <w:t>.1</w:t>
      </w:r>
      <w:r>
        <w:rPr>
          <w:rFonts w:hint="eastAsia" w:ascii="宋体" w:hAnsi="宋体" w:eastAsia="仿宋"/>
          <w:color w:val="000000"/>
          <w:sz w:val="24"/>
          <w:highlight w:val="none"/>
        </w:rPr>
        <w:t>项和投标人须知前附表的要求外，还应遵守以下规定：</w:t>
      </w:r>
    </w:p>
    <w:p w14:paraId="52F9E0C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1</w:t>
      </w:r>
      <w:r>
        <w:rPr>
          <w:rFonts w:hint="eastAsia" w:ascii="宋体" w:hAnsi="宋体" w:eastAsia="仿宋"/>
          <w:color w:val="000000"/>
          <w:sz w:val="24"/>
          <w:highlight w:val="none"/>
        </w:rPr>
        <w:t>）联合体各方应按招标文件提供的格式签订联合体协议书，明确联合体牵头人和各方权利义务，并承诺就中标项目向采购人承担连带责任；</w:t>
      </w:r>
    </w:p>
    <w:p w14:paraId="040379E7">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（2）由同一专业的单位组成的联合体，按照资质等级较低的单位确定资质等级；</w:t>
      </w:r>
    </w:p>
    <w:p w14:paraId="2334B86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（3）联合体各方不得再以自己名义单独或参加其他联合体在本项目中投标，否则各相关投标均无效；</w:t>
      </w:r>
    </w:p>
    <w:p w14:paraId="75FA27AF">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4）联合体各方应分别按照本招标文件的要求，填写投标文件中的相应表格，并由联合体牵头人负责对联合体各成员的资料进行统一汇总后一并提交给</w:t>
      </w:r>
      <w:r>
        <w:rPr>
          <w:rFonts w:hint="eastAsia" w:ascii="宋体" w:hAnsi="宋体" w:eastAsia="仿宋"/>
          <w:color w:val="000000"/>
          <w:sz w:val="24"/>
          <w:highlight w:val="none"/>
        </w:rPr>
        <w:t>采购</w:t>
      </w:r>
      <w:r>
        <w:rPr>
          <w:rFonts w:ascii="宋体" w:hAnsi="宋体" w:eastAsia="仿宋"/>
          <w:color w:val="000000"/>
          <w:sz w:val="24"/>
          <w:highlight w:val="none"/>
        </w:rPr>
        <w:t>人；联合体牵头人所提交的投标文件应认为已代表了联合体各成员的真实情况；</w:t>
      </w:r>
    </w:p>
    <w:p w14:paraId="0886CA5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5）尽管委任了联合体牵头人，但联合体各成员在投标、签订合同与履行合同过程中，仍负有连带的和各自的法律责任。</w:t>
      </w:r>
    </w:p>
    <w:p w14:paraId="44CB9D6E">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1.3.3 投标人</w:t>
      </w:r>
      <w:r>
        <w:rPr>
          <w:rFonts w:hAnsi="宋体" w:eastAsia="仿宋"/>
          <w:color w:val="000000"/>
          <w:sz w:val="24"/>
          <w:highlight w:val="none"/>
        </w:rPr>
        <w:t>（包括联合体各成员）</w:t>
      </w:r>
      <w:r>
        <w:rPr>
          <w:rFonts w:hint="eastAsia" w:ascii="宋体" w:hAnsi="宋体" w:eastAsia="仿宋"/>
          <w:color w:val="000000"/>
          <w:sz w:val="24"/>
          <w:highlight w:val="none"/>
        </w:rPr>
        <w:t>不得存在下列情形之一：</w:t>
      </w:r>
    </w:p>
    <w:p w14:paraId="71528A2B">
      <w:pPr>
        <w:widowControl/>
        <w:adjustRightInd w:val="0"/>
        <w:snapToGrid w:val="0"/>
        <w:spacing w:line="360" w:lineRule="auto"/>
        <w:ind w:firstLine="480" w:firstLineChars="200"/>
        <w:rPr>
          <w:rFonts w:hint="eastAsia" w:ascii="宋体" w:hAnsi="宋体" w:eastAsia="仿宋"/>
          <w:color w:val="000000"/>
          <w:sz w:val="24"/>
          <w:highlight w:val="none"/>
        </w:rPr>
      </w:pPr>
      <w:bookmarkStart w:id="111" w:name="_Toc152045535"/>
      <w:bookmarkStart w:id="112" w:name="_Toc338943705"/>
      <w:bookmarkStart w:id="113" w:name="_Toc338944610"/>
      <w:bookmarkStart w:id="114" w:name="_Toc144974503"/>
      <w:bookmarkStart w:id="115" w:name="_Toc333599664"/>
      <w:bookmarkStart w:id="116" w:name="_Toc342296167"/>
      <w:bookmarkStart w:id="117" w:name="_Toc333587858"/>
      <w:bookmarkStart w:id="118" w:name="_Toc152042311"/>
      <w:bookmarkStart w:id="119" w:name="_Toc342294719"/>
      <w:bookmarkStart w:id="120" w:name="_Toc179632552"/>
      <w:bookmarkStart w:id="121" w:name="_Toc333600688"/>
      <w:bookmarkStart w:id="122" w:name="_Toc342297624"/>
      <w:r>
        <w:rPr>
          <w:rFonts w:hint="eastAsia" w:ascii="宋体" w:hAnsi="宋体" w:eastAsia="仿宋"/>
          <w:color w:val="000000"/>
          <w:sz w:val="24"/>
          <w:highlight w:val="none"/>
        </w:rPr>
        <w:t>（1）</w:t>
      </w:r>
      <w:r>
        <w:rPr>
          <w:rFonts w:ascii="宋体" w:hAnsi="宋体" w:eastAsia="仿宋"/>
          <w:color w:val="000000"/>
          <w:sz w:val="24"/>
          <w:highlight w:val="none"/>
        </w:rPr>
        <w:t>为本采购项目的采购代理机构；</w:t>
      </w:r>
    </w:p>
    <w:p w14:paraId="14E1EC2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w:t>
      </w:r>
      <w:r>
        <w:rPr>
          <w:rFonts w:ascii="宋体" w:hAnsi="宋体" w:eastAsia="仿宋"/>
          <w:color w:val="000000"/>
          <w:sz w:val="24"/>
          <w:highlight w:val="none"/>
        </w:rPr>
        <w:t>为采购人</w:t>
      </w:r>
      <w:r>
        <w:rPr>
          <w:rFonts w:hint="eastAsia" w:ascii="宋体" w:hAnsi="宋体" w:eastAsia="仿宋"/>
          <w:color w:val="000000"/>
          <w:sz w:val="24"/>
          <w:highlight w:val="none"/>
        </w:rPr>
        <w:t>不具有独立承担民事责任能力的</w:t>
      </w:r>
      <w:r>
        <w:rPr>
          <w:rFonts w:ascii="宋体" w:hAnsi="宋体" w:eastAsia="仿宋"/>
          <w:color w:val="000000"/>
          <w:sz w:val="24"/>
          <w:highlight w:val="none"/>
        </w:rPr>
        <w:t>附属机构</w:t>
      </w:r>
      <w:r>
        <w:rPr>
          <w:rFonts w:hint="eastAsia" w:ascii="宋体" w:hAnsi="宋体" w:eastAsia="仿宋"/>
          <w:color w:val="000000"/>
          <w:sz w:val="24"/>
          <w:highlight w:val="none"/>
        </w:rPr>
        <w:t>；</w:t>
      </w:r>
    </w:p>
    <w:p w14:paraId="5DC2C48F">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w:t>
      </w:r>
      <w:r>
        <w:rPr>
          <w:rFonts w:ascii="宋体" w:hAnsi="宋体" w:eastAsia="仿宋"/>
          <w:color w:val="000000"/>
          <w:sz w:val="24"/>
          <w:highlight w:val="none"/>
        </w:rPr>
        <w:t>与采购人存在利害关系且可能影响采购公正性；</w:t>
      </w:r>
    </w:p>
    <w:p w14:paraId="5093E20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w:t>
      </w:r>
      <w:r>
        <w:rPr>
          <w:rFonts w:ascii="宋体" w:hAnsi="宋体" w:eastAsia="仿宋"/>
          <w:color w:val="000000"/>
          <w:sz w:val="24"/>
          <w:highlight w:val="none"/>
        </w:rPr>
        <w:t>由本</w:t>
      </w:r>
      <w:r>
        <w:rPr>
          <w:rFonts w:hint="eastAsia" w:ascii="宋体" w:hAnsi="宋体" w:eastAsia="仿宋"/>
          <w:color w:val="000000"/>
          <w:sz w:val="24"/>
          <w:highlight w:val="none"/>
        </w:rPr>
        <w:t>采购项目</w:t>
      </w:r>
      <w:r>
        <w:rPr>
          <w:rFonts w:ascii="宋体" w:hAnsi="宋体" w:eastAsia="仿宋"/>
          <w:color w:val="000000"/>
          <w:sz w:val="24"/>
          <w:highlight w:val="none"/>
        </w:rPr>
        <w:t>采购代理机构代理</w:t>
      </w:r>
      <w:r>
        <w:rPr>
          <w:rFonts w:hint="eastAsia" w:ascii="宋体" w:hAnsi="宋体" w:eastAsia="仿宋"/>
          <w:color w:val="000000"/>
          <w:sz w:val="24"/>
          <w:highlight w:val="none"/>
        </w:rPr>
        <w:t>投标</w:t>
      </w:r>
      <w:r>
        <w:rPr>
          <w:rFonts w:ascii="宋体" w:hAnsi="宋体" w:eastAsia="仿宋"/>
          <w:color w:val="000000"/>
          <w:sz w:val="24"/>
          <w:highlight w:val="none"/>
        </w:rPr>
        <w:t>，或者接受过本</w:t>
      </w:r>
      <w:r>
        <w:rPr>
          <w:rFonts w:hint="eastAsia" w:ascii="宋体" w:hAnsi="宋体" w:eastAsia="仿宋"/>
          <w:color w:val="000000"/>
          <w:sz w:val="24"/>
          <w:highlight w:val="none"/>
        </w:rPr>
        <w:t>采购项目</w:t>
      </w:r>
      <w:r>
        <w:rPr>
          <w:rFonts w:ascii="宋体" w:hAnsi="宋体" w:eastAsia="仿宋"/>
          <w:color w:val="000000"/>
          <w:sz w:val="24"/>
          <w:highlight w:val="none"/>
        </w:rPr>
        <w:t>的采购代理机构为本</w:t>
      </w:r>
      <w:r>
        <w:rPr>
          <w:rFonts w:hint="eastAsia" w:ascii="宋体" w:hAnsi="宋体" w:eastAsia="仿宋"/>
          <w:color w:val="000000"/>
          <w:sz w:val="24"/>
          <w:highlight w:val="none"/>
        </w:rPr>
        <w:t>采购项目</w:t>
      </w:r>
      <w:r>
        <w:rPr>
          <w:rFonts w:ascii="宋体" w:hAnsi="宋体" w:eastAsia="仿宋"/>
          <w:color w:val="000000"/>
          <w:sz w:val="24"/>
          <w:highlight w:val="none"/>
        </w:rPr>
        <w:t>提供咨询</w:t>
      </w:r>
      <w:r>
        <w:rPr>
          <w:rFonts w:hint="eastAsia" w:ascii="宋体" w:hAnsi="宋体" w:eastAsia="仿宋"/>
          <w:color w:val="000000"/>
          <w:sz w:val="24"/>
          <w:highlight w:val="none"/>
        </w:rPr>
        <w:t>；</w:t>
      </w:r>
    </w:p>
    <w:p w14:paraId="6DA2E580">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（5）</w:t>
      </w:r>
      <w:r>
        <w:rPr>
          <w:rFonts w:ascii="宋体" w:hAnsi="宋体" w:eastAsia="仿宋"/>
          <w:color w:val="000000"/>
          <w:sz w:val="24"/>
          <w:highlight w:val="none"/>
        </w:rPr>
        <w:t>被责令停产停业、暂扣或者吊销许可证、暂扣或者吊销执照；</w:t>
      </w:r>
    </w:p>
    <w:p w14:paraId="79B7D82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w:t>
      </w:r>
      <w:r>
        <w:rPr>
          <w:rFonts w:ascii="宋体" w:hAnsi="宋体" w:eastAsia="仿宋"/>
          <w:color w:val="000000"/>
          <w:sz w:val="24"/>
          <w:highlight w:val="none"/>
        </w:rPr>
        <w:t>进入清算程序，或被宣告破产，或其他丧失履约能力的情形；</w:t>
      </w:r>
    </w:p>
    <w:p w14:paraId="74CE214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（7）与本项目其他投标人的</w:t>
      </w:r>
      <w:r>
        <w:rPr>
          <w:rFonts w:ascii="宋体" w:hAnsi="宋体" w:eastAsia="仿宋"/>
          <w:color w:val="000000"/>
          <w:sz w:val="24"/>
          <w:highlight w:val="none"/>
        </w:rPr>
        <w:t>单位负责人为同一人或者存在直接控股、管理关系的不同投标人</w:t>
      </w:r>
      <w:r>
        <w:rPr>
          <w:rFonts w:hint="eastAsia" w:ascii="宋体" w:hAnsi="宋体" w:eastAsia="仿宋"/>
          <w:color w:val="000000"/>
          <w:sz w:val="24"/>
          <w:highlight w:val="none"/>
        </w:rPr>
        <w:t>；</w:t>
      </w:r>
    </w:p>
    <w:p w14:paraId="1C95221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（8）被依法禁止参加政府采购活动并在有效期内；</w:t>
      </w:r>
    </w:p>
    <w:p w14:paraId="112BBD86">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（9）为采购项目提供整体设计、规范编制或者项目管理、监理、检测等服务的投标人，不得再参加该采购项目的其他采购活动，具体按财政部财办库〔2015〕295号文件规定；</w:t>
      </w:r>
    </w:p>
    <w:p w14:paraId="65623B1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（10）截至投标截止时间，</w:t>
      </w:r>
      <w:r>
        <w:rPr>
          <w:rFonts w:ascii="宋体" w:hAnsi="宋体" w:eastAsia="仿宋"/>
          <w:color w:val="000000"/>
          <w:sz w:val="24"/>
          <w:highlight w:val="none"/>
        </w:rPr>
        <w:t>被人民法院列入失信被执行人名单</w:t>
      </w:r>
      <w:r>
        <w:rPr>
          <w:rFonts w:hint="eastAsia" w:ascii="宋体" w:hAnsi="宋体" w:eastAsia="仿宋"/>
          <w:color w:val="000000"/>
          <w:sz w:val="24"/>
          <w:highlight w:val="none"/>
        </w:rPr>
        <w:t>的（以信用中国</w:t>
      </w:r>
      <w:r>
        <w:rPr>
          <w:rFonts w:ascii="宋体" w:hAnsi="宋体" w:eastAsia="仿宋"/>
          <w:color w:val="000000"/>
          <w:sz w:val="24"/>
          <w:highlight w:val="none"/>
        </w:rPr>
        <w:t>www.creditchina.gov.cn</w:t>
      </w:r>
      <w:r>
        <w:rPr>
          <w:rFonts w:hint="eastAsia" w:ascii="宋体" w:hAnsi="宋体" w:eastAsia="仿宋"/>
          <w:color w:val="000000"/>
          <w:sz w:val="24"/>
          <w:highlight w:val="none"/>
        </w:rPr>
        <w:t>、中国执行信息公开网</w:t>
      </w:r>
      <w:r>
        <w:rPr>
          <w:rFonts w:ascii="宋体" w:hAnsi="宋体" w:eastAsia="仿宋"/>
          <w:color w:val="000000"/>
          <w:sz w:val="24"/>
          <w:highlight w:val="none"/>
        </w:rPr>
        <w:t>http://zxgk.court.gov.cn/</w:t>
      </w:r>
      <w:r>
        <w:rPr>
          <w:rFonts w:hint="eastAsia" w:ascii="宋体" w:hAnsi="宋体" w:eastAsia="仿宋"/>
          <w:color w:val="000000"/>
          <w:sz w:val="24"/>
          <w:highlight w:val="none"/>
        </w:rPr>
        <w:t>查询为准）</w:t>
      </w:r>
      <w:r>
        <w:rPr>
          <w:rFonts w:ascii="宋体" w:hAnsi="宋体" w:eastAsia="仿宋"/>
          <w:color w:val="000000"/>
          <w:sz w:val="24"/>
          <w:highlight w:val="none"/>
        </w:rPr>
        <w:t>；</w:t>
      </w:r>
    </w:p>
    <w:p w14:paraId="3D72CB1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（11）截至投标截止时间，被列入重大税收违法案件当事人（重大税收违法失信主体）名单的（以信用中国网站</w:t>
      </w:r>
      <w:r>
        <w:rPr>
          <w:rFonts w:ascii="宋体" w:hAnsi="宋体" w:eastAsia="仿宋"/>
          <w:color w:val="000000"/>
          <w:sz w:val="24"/>
          <w:highlight w:val="none"/>
        </w:rPr>
        <w:t>www.creditchina.gov.cn</w:t>
      </w:r>
      <w:r>
        <w:rPr>
          <w:rFonts w:hint="eastAsia" w:ascii="宋体" w:hAnsi="宋体" w:eastAsia="仿宋"/>
          <w:color w:val="000000"/>
          <w:sz w:val="24"/>
          <w:highlight w:val="none"/>
        </w:rPr>
        <w:t>查询为准）；</w:t>
      </w:r>
    </w:p>
    <w:p w14:paraId="6707BA4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（12）截至投标截止时间，被列入政府采购严重违法失信名单的（以信用中国网站</w:t>
      </w:r>
      <w:r>
        <w:rPr>
          <w:rFonts w:ascii="宋体" w:hAnsi="宋体" w:eastAsia="仿宋"/>
          <w:color w:val="000000"/>
          <w:sz w:val="24"/>
          <w:highlight w:val="none"/>
        </w:rPr>
        <w:t>www.creditchina.gov.cn</w:t>
      </w:r>
      <w:r>
        <w:rPr>
          <w:rFonts w:hint="eastAsia" w:ascii="宋体" w:hAnsi="宋体" w:eastAsia="仿宋"/>
          <w:color w:val="000000"/>
          <w:sz w:val="24"/>
          <w:highlight w:val="none"/>
        </w:rPr>
        <w:t>、中国政府采购网</w:t>
      </w:r>
      <w:r>
        <w:rPr>
          <w:rFonts w:ascii="宋体" w:hAnsi="宋体" w:eastAsia="仿宋"/>
          <w:color w:val="000000"/>
          <w:sz w:val="24"/>
          <w:highlight w:val="none"/>
        </w:rPr>
        <w:t>http://www.ccgp.gov.cn/</w:t>
      </w:r>
      <w:r>
        <w:rPr>
          <w:rFonts w:hint="eastAsia" w:ascii="宋体" w:hAnsi="宋体" w:eastAsia="仿宋"/>
          <w:color w:val="000000"/>
          <w:sz w:val="24"/>
          <w:highlight w:val="none"/>
        </w:rPr>
        <w:t>查询为准）；</w:t>
      </w:r>
    </w:p>
    <w:p w14:paraId="1BF4D96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13）截至投标截止时间，被市场监督管理部门（或工商行政管理部门）列入经营异常名录或者严重违法失信企业名单的（未按照《企业信息公示暂行条例》（国务院令第654号）第八条规定的期限公示年度报告被列入经营异常名录的除外）（以国家企业信用信息公示系统http://www.gsxt.gov.cn/查询为准）；</w:t>
      </w:r>
    </w:p>
    <w:p w14:paraId="52B5CB9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（14）</w:t>
      </w:r>
      <w:r>
        <w:rPr>
          <w:rFonts w:ascii="宋体" w:hAnsi="宋体" w:eastAsia="仿宋"/>
          <w:color w:val="000000"/>
          <w:sz w:val="24"/>
          <w:highlight w:val="none"/>
        </w:rPr>
        <w:t>法律法规</w:t>
      </w:r>
      <w:r>
        <w:rPr>
          <w:rFonts w:hint="eastAsia" w:ascii="宋体" w:hAnsi="宋体" w:eastAsia="仿宋"/>
          <w:color w:val="000000"/>
          <w:sz w:val="24"/>
          <w:highlight w:val="none"/>
        </w:rPr>
        <w:t>规定的其他情形；</w:t>
      </w:r>
    </w:p>
    <w:p w14:paraId="5ED47825">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（15）</w:t>
      </w:r>
      <w:r>
        <w:rPr>
          <w:rFonts w:ascii="宋体" w:hAnsi="宋体" w:eastAsia="仿宋"/>
          <w:color w:val="000000"/>
          <w:sz w:val="24"/>
          <w:highlight w:val="none"/>
        </w:rPr>
        <w:t>投标人须知前附表规定的其他情形。</w:t>
      </w:r>
    </w:p>
    <w:p w14:paraId="3DD206C4">
      <w:pPr>
        <w:pStyle w:val="4"/>
        <w:adjustRightInd w:val="0"/>
        <w:ind w:firstLine="482" w:firstLineChars="200"/>
        <w:rPr>
          <w:rFonts w:eastAsia="仿宋"/>
          <w:color w:val="000000"/>
          <w:sz w:val="24"/>
          <w:highlight w:val="none"/>
          <w:lang w:eastAsia="zh-CN"/>
        </w:rPr>
      </w:pPr>
      <w:bookmarkStart w:id="123" w:name="_Toc455587220"/>
      <w:bookmarkStart w:id="124" w:name="_Toc458504822"/>
      <w:bookmarkStart w:id="125" w:name="_Toc455587036"/>
      <w:bookmarkStart w:id="126" w:name="_Toc371415925"/>
      <w:bookmarkStart w:id="127" w:name="_Toc445554693"/>
      <w:bookmarkStart w:id="128" w:name="_Toc466024504"/>
      <w:r>
        <w:rPr>
          <w:rFonts w:hint="eastAsia" w:eastAsia="仿宋"/>
          <w:color w:val="000000"/>
          <w:sz w:val="24"/>
          <w:highlight w:val="none"/>
          <w:lang w:eastAsia="zh-CN"/>
        </w:rPr>
        <w:t>1.4 费用承担</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7B5C9165">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投标人准备和参加投标活动发生的费用自理。</w:t>
      </w:r>
    </w:p>
    <w:p w14:paraId="2FA11041">
      <w:pPr>
        <w:pStyle w:val="4"/>
        <w:adjustRightInd w:val="0"/>
        <w:ind w:firstLine="482" w:firstLineChars="200"/>
        <w:rPr>
          <w:rFonts w:eastAsia="仿宋"/>
          <w:color w:val="000000"/>
          <w:sz w:val="24"/>
          <w:highlight w:val="none"/>
          <w:lang w:eastAsia="zh-CN"/>
        </w:rPr>
      </w:pPr>
      <w:bookmarkStart w:id="129" w:name="_Toc455587221"/>
      <w:bookmarkStart w:id="130" w:name="_Toc455587037"/>
      <w:bookmarkStart w:id="131" w:name="_Toc458504823"/>
      <w:bookmarkStart w:id="132" w:name="_Toc445554694"/>
      <w:bookmarkStart w:id="133" w:name="_Toc466024505"/>
      <w:bookmarkStart w:id="134" w:name="_Toc152042312"/>
      <w:bookmarkStart w:id="135" w:name="_Toc247513959"/>
      <w:bookmarkStart w:id="136" w:name="_Toc300834956"/>
      <w:bookmarkStart w:id="137" w:name="_Toc144974504"/>
      <w:bookmarkStart w:id="138" w:name="_Toc152045536"/>
      <w:bookmarkStart w:id="139" w:name="_Toc247527560"/>
      <w:r>
        <w:rPr>
          <w:rFonts w:hint="eastAsia" w:eastAsia="仿宋"/>
          <w:color w:val="000000"/>
          <w:sz w:val="24"/>
          <w:highlight w:val="none"/>
          <w:lang w:eastAsia="zh-CN"/>
        </w:rPr>
        <w:t>1.5 保密</w:t>
      </w:r>
      <w:bookmarkEnd w:id="129"/>
      <w:bookmarkEnd w:id="130"/>
      <w:bookmarkEnd w:id="131"/>
      <w:bookmarkEnd w:id="132"/>
      <w:bookmarkEnd w:id="133"/>
    </w:p>
    <w:p w14:paraId="58EDAA77">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参与招标投标活动的各方应当对招标文件和投标文件中的商业和技术等秘密保密，否则应当承担相应的法律责任。</w:t>
      </w:r>
    </w:p>
    <w:p w14:paraId="3CAA0972">
      <w:pPr>
        <w:pStyle w:val="4"/>
        <w:adjustRightInd w:val="0"/>
        <w:ind w:firstLine="482" w:firstLineChars="200"/>
        <w:rPr>
          <w:rFonts w:eastAsia="仿宋"/>
          <w:color w:val="000000"/>
          <w:sz w:val="24"/>
          <w:highlight w:val="none"/>
          <w:lang w:eastAsia="zh-CN"/>
        </w:rPr>
      </w:pPr>
      <w:bookmarkStart w:id="140" w:name="_Toc466024506"/>
      <w:bookmarkStart w:id="141" w:name="_Toc458504824"/>
      <w:bookmarkStart w:id="142" w:name="_Toc455587038"/>
      <w:bookmarkStart w:id="143" w:name="_Toc455587222"/>
      <w:bookmarkStart w:id="144" w:name="_Toc445554695"/>
      <w:r>
        <w:rPr>
          <w:rFonts w:hint="eastAsia" w:eastAsia="仿宋"/>
          <w:color w:val="000000"/>
          <w:sz w:val="24"/>
          <w:highlight w:val="none"/>
          <w:lang w:eastAsia="zh-CN"/>
        </w:rPr>
        <w:t>1.6 语言文字</w:t>
      </w:r>
      <w:bookmarkEnd w:id="134"/>
      <w:bookmarkEnd w:id="135"/>
      <w:bookmarkEnd w:id="136"/>
      <w:bookmarkEnd w:id="137"/>
      <w:bookmarkEnd w:id="138"/>
      <w:bookmarkEnd w:id="139"/>
      <w:bookmarkEnd w:id="140"/>
      <w:bookmarkEnd w:id="141"/>
      <w:bookmarkEnd w:id="142"/>
      <w:bookmarkEnd w:id="143"/>
      <w:bookmarkEnd w:id="144"/>
    </w:p>
    <w:p w14:paraId="3E365F13">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除专用术语外，与招标投标有关的语言均应当使用中文。必要时专用术语应附有中文注释。</w:t>
      </w:r>
    </w:p>
    <w:p w14:paraId="32593FAA">
      <w:pPr>
        <w:pStyle w:val="4"/>
        <w:adjustRightInd w:val="0"/>
        <w:ind w:firstLine="482" w:firstLineChars="200"/>
        <w:rPr>
          <w:rFonts w:eastAsia="仿宋"/>
          <w:color w:val="000000"/>
          <w:sz w:val="24"/>
          <w:highlight w:val="none"/>
          <w:lang w:eastAsia="zh-CN"/>
        </w:rPr>
      </w:pPr>
      <w:bookmarkStart w:id="145" w:name="_Toc466024507"/>
      <w:bookmarkStart w:id="146" w:name="_Toc333587861"/>
      <w:bookmarkStart w:id="147" w:name="_Toc342297627"/>
      <w:bookmarkStart w:id="148" w:name="_Toc342296170"/>
      <w:bookmarkStart w:id="149" w:name="_Toc333600691"/>
      <w:bookmarkStart w:id="150" w:name="_Toc179632555"/>
      <w:bookmarkStart w:id="151" w:name="_Toc152042314"/>
      <w:bookmarkStart w:id="152" w:name="_Toc338944613"/>
      <w:bookmarkStart w:id="153" w:name="_Toc455587223"/>
      <w:bookmarkStart w:id="154" w:name="_Toc445554696"/>
      <w:bookmarkStart w:id="155" w:name="_Toc333599667"/>
      <w:bookmarkStart w:id="156" w:name="_Toc338943708"/>
      <w:bookmarkStart w:id="157" w:name="_Toc455587039"/>
      <w:bookmarkStart w:id="158" w:name="_Toc152045538"/>
      <w:bookmarkStart w:id="159" w:name="_Toc144974506"/>
      <w:bookmarkStart w:id="160" w:name="_Toc371415926"/>
      <w:bookmarkStart w:id="161" w:name="_Toc458504825"/>
      <w:bookmarkStart w:id="162" w:name="_Toc342294722"/>
      <w:r>
        <w:rPr>
          <w:rFonts w:hint="eastAsia" w:eastAsia="仿宋"/>
          <w:color w:val="000000"/>
          <w:sz w:val="24"/>
          <w:highlight w:val="none"/>
          <w:lang w:eastAsia="zh-CN"/>
        </w:rPr>
        <w:t>1.7 计量单位</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3199DEDD">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除招标文件另有规定外，所有计量均采用中华人民共和国法定计量单位。</w:t>
      </w:r>
    </w:p>
    <w:p w14:paraId="77C57169">
      <w:pPr>
        <w:pStyle w:val="4"/>
        <w:adjustRightInd w:val="0"/>
        <w:ind w:firstLine="482" w:firstLineChars="200"/>
        <w:rPr>
          <w:rFonts w:eastAsia="仿宋"/>
          <w:color w:val="000000"/>
          <w:sz w:val="24"/>
          <w:highlight w:val="none"/>
          <w:lang w:eastAsia="zh-CN"/>
        </w:rPr>
      </w:pPr>
      <w:bookmarkStart w:id="163" w:name="_Toc455587040"/>
      <w:bookmarkStart w:id="164" w:name="_Toc445554697"/>
      <w:bookmarkStart w:id="165" w:name="_Toc455587224"/>
      <w:bookmarkStart w:id="166" w:name="_Toc371415927"/>
      <w:bookmarkStart w:id="167" w:name="_Toc458504826"/>
      <w:bookmarkStart w:id="168" w:name="_Toc466024508"/>
      <w:bookmarkStart w:id="169" w:name="_Toc179632557"/>
      <w:bookmarkStart w:id="170" w:name="_Toc342296172"/>
      <w:bookmarkStart w:id="171" w:name="_Toc333600693"/>
      <w:bookmarkStart w:id="172" w:name="_Toc333599669"/>
      <w:bookmarkStart w:id="173" w:name="_Toc144974508"/>
      <w:bookmarkStart w:id="174" w:name="_Toc342294724"/>
      <w:bookmarkStart w:id="175" w:name="_Toc338944615"/>
      <w:bookmarkStart w:id="176" w:name="_Toc152045540"/>
      <w:bookmarkStart w:id="177" w:name="_Toc152042316"/>
      <w:bookmarkStart w:id="178" w:name="_Toc342297629"/>
      <w:bookmarkStart w:id="179" w:name="_Toc333587863"/>
      <w:bookmarkStart w:id="180" w:name="_Toc338943710"/>
      <w:r>
        <w:rPr>
          <w:rFonts w:hint="eastAsia" w:eastAsia="仿宋"/>
          <w:color w:val="000000"/>
          <w:sz w:val="24"/>
          <w:highlight w:val="none"/>
          <w:lang w:eastAsia="zh-CN"/>
        </w:rPr>
        <w:t>1.</w:t>
      </w:r>
      <w:bookmarkEnd w:id="163"/>
      <w:bookmarkEnd w:id="164"/>
      <w:bookmarkEnd w:id="165"/>
      <w:bookmarkEnd w:id="166"/>
      <w:bookmarkEnd w:id="167"/>
      <w:r>
        <w:rPr>
          <w:rFonts w:hint="eastAsia" w:eastAsia="仿宋"/>
          <w:color w:val="000000"/>
          <w:sz w:val="24"/>
          <w:highlight w:val="none"/>
          <w:lang w:eastAsia="zh-CN"/>
        </w:rPr>
        <w:t>8 现场考察</w:t>
      </w:r>
      <w:bookmarkEnd w:id="168"/>
    </w:p>
    <w:p w14:paraId="271077EE">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1.8</w:t>
      </w:r>
      <w:r>
        <w:rPr>
          <w:rFonts w:ascii="宋体" w:hAnsi="宋体" w:eastAsia="仿宋"/>
          <w:color w:val="000000"/>
          <w:sz w:val="24"/>
          <w:highlight w:val="none"/>
        </w:rPr>
        <w:t>.1</w:t>
      </w:r>
      <w:r>
        <w:rPr>
          <w:rFonts w:hint="eastAsia" w:ascii="宋体" w:hAnsi="宋体" w:eastAsia="仿宋"/>
          <w:color w:val="000000"/>
          <w:sz w:val="24"/>
          <w:highlight w:val="none"/>
        </w:rPr>
        <w:t xml:space="preserve"> 投标人须知前附表规定组织现场考察的，采购人按投标人须知前附表规定的时间、地点组织投标人现场考察。采购人不组织统一现场考察的，由投标人自行考察现场。</w:t>
      </w:r>
    </w:p>
    <w:p w14:paraId="092D50D8">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1.8.</w:t>
      </w:r>
      <w:r>
        <w:rPr>
          <w:rFonts w:ascii="宋体" w:hAnsi="宋体" w:eastAsia="仿宋"/>
          <w:color w:val="000000"/>
          <w:sz w:val="24"/>
          <w:highlight w:val="none"/>
        </w:rPr>
        <w:t>2</w:t>
      </w:r>
      <w:r>
        <w:rPr>
          <w:rFonts w:hint="eastAsia" w:ascii="宋体" w:hAnsi="宋体" w:eastAsia="仿宋"/>
          <w:color w:val="000000"/>
          <w:sz w:val="24"/>
          <w:highlight w:val="none"/>
        </w:rPr>
        <w:t xml:space="preserve"> 投标人现场考察发生的费用自理。</w:t>
      </w:r>
    </w:p>
    <w:p w14:paraId="339B1211">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1.8</w:t>
      </w:r>
      <w:r>
        <w:rPr>
          <w:rFonts w:ascii="宋体" w:hAnsi="宋体" w:eastAsia="仿宋"/>
          <w:color w:val="000000"/>
          <w:sz w:val="24"/>
          <w:highlight w:val="none"/>
        </w:rPr>
        <w:t>.3</w:t>
      </w:r>
      <w:r>
        <w:rPr>
          <w:rFonts w:hint="eastAsia" w:ascii="宋体" w:hAnsi="宋体" w:eastAsia="仿宋"/>
          <w:color w:val="000000"/>
          <w:sz w:val="24"/>
          <w:highlight w:val="none"/>
        </w:rPr>
        <w:t xml:space="preserve"> 除采购人的原因外，投标人自行负责在现场考察中所发生的人员伤亡和财产损失。</w:t>
      </w:r>
    </w:p>
    <w:p w14:paraId="7A6455D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1.8</w:t>
      </w:r>
      <w:r>
        <w:rPr>
          <w:rFonts w:ascii="宋体" w:hAnsi="宋体" w:eastAsia="仿宋"/>
          <w:color w:val="000000"/>
          <w:sz w:val="24"/>
          <w:highlight w:val="none"/>
        </w:rPr>
        <w:t>.4</w:t>
      </w:r>
      <w:r>
        <w:rPr>
          <w:rFonts w:hint="eastAsia" w:ascii="宋体" w:hAnsi="宋体" w:eastAsia="仿宋"/>
          <w:color w:val="000000"/>
          <w:sz w:val="24"/>
          <w:highlight w:val="none"/>
        </w:rPr>
        <w:t xml:space="preserve"> 采购人在现场考察中介绍的现场情况和周边相关的环境情况，仅作为投标人在编制投标文件时参考，采购人不对投标人据此作出的判断和决策负责。</w:t>
      </w:r>
    </w:p>
    <w:p w14:paraId="03AD772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1.8.5 除非有特殊要求，招标文件不单独提供供货使用地的自然环境、气候条件、公用设施等情况，投标人被视为熟悉上述与履行合同有关的一切情况。</w:t>
      </w:r>
    </w:p>
    <w:p w14:paraId="58149350">
      <w:pPr>
        <w:pStyle w:val="4"/>
        <w:adjustRightInd w:val="0"/>
        <w:ind w:firstLine="482" w:firstLineChars="200"/>
        <w:rPr>
          <w:rFonts w:eastAsia="仿宋"/>
          <w:color w:val="000000"/>
          <w:sz w:val="24"/>
          <w:highlight w:val="none"/>
          <w:lang w:eastAsia="zh-CN"/>
        </w:rPr>
      </w:pPr>
      <w:bookmarkStart w:id="181" w:name="_Toc455587041"/>
      <w:bookmarkStart w:id="182" w:name="_Toc458504827"/>
      <w:bookmarkStart w:id="183" w:name="_Toc455587225"/>
      <w:bookmarkStart w:id="184" w:name="_Toc445554698"/>
      <w:bookmarkStart w:id="185" w:name="_Toc466024509"/>
      <w:r>
        <w:rPr>
          <w:rFonts w:hint="eastAsia" w:eastAsia="仿宋"/>
          <w:color w:val="000000"/>
          <w:sz w:val="24"/>
          <w:highlight w:val="none"/>
          <w:lang w:eastAsia="zh-CN"/>
        </w:rPr>
        <w:t>1.</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hint="eastAsia" w:eastAsia="仿宋"/>
          <w:color w:val="000000"/>
          <w:sz w:val="24"/>
          <w:highlight w:val="none"/>
          <w:lang w:eastAsia="zh-CN"/>
        </w:rPr>
        <w:t>9 开标前答疑会</w:t>
      </w:r>
      <w:bookmarkEnd w:id="185"/>
    </w:p>
    <w:p w14:paraId="58603A79">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投标人须知前附表规定召开开标前答疑会（以下简称答疑会）的，采购人按照投标人须知前附表规定的时间和地点召开答疑会，澄清投标人提出的问题。</w:t>
      </w:r>
    </w:p>
    <w:p w14:paraId="572B4110">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1.10 分包</w:t>
      </w:r>
    </w:p>
    <w:p w14:paraId="3E844D3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 xml:space="preserve">1.10.1 投标人拟在中标后将中标项目的非主体、非关键性工作进行分包的，应符合投标人须知前附表规定的分包要求，分包承担主体应当具备相应资质条件且不得再次分包，除投标人须知前附表规定的非主体、非关键性工作外，其他工作不得分包。 </w:t>
      </w:r>
    </w:p>
    <w:p w14:paraId="40437F61">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1.10.2 中标人不得向他人转让中标项目。中标人应当就分包项目向采购人负责，分包承担主体就分包项目承担连带责任。</w:t>
      </w:r>
    </w:p>
    <w:p w14:paraId="74113F0C">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1.10.3 中标人享受政府采购扶持政策获得政府采购合同的，小微企业不得将合同分包给大中型企业，中型企业不得将合同分包给大型企业。</w:t>
      </w:r>
    </w:p>
    <w:p w14:paraId="6CD05574">
      <w:pPr>
        <w:pStyle w:val="3"/>
        <w:rPr>
          <w:rStyle w:val="107"/>
          <w:rFonts w:ascii="宋体" w:hAnsi="宋体" w:eastAsia="仿宋"/>
          <w:b/>
          <w:bCs/>
          <w:color w:val="000000"/>
          <w:sz w:val="24"/>
          <w:szCs w:val="24"/>
          <w:highlight w:val="none"/>
        </w:rPr>
      </w:pPr>
      <w:bookmarkStart w:id="186" w:name="_Toc371415929"/>
      <w:bookmarkStart w:id="187" w:name="_Toc445554700"/>
      <w:bookmarkStart w:id="188" w:name="_Toc455587227"/>
      <w:bookmarkStart w:id="189" w:name="_Toc466024510"/>
      <w:bookmarkStart w:id="190" w:name="_Toc342297632"/>
      <w:bookmarkStart w:id="191" w:name="_Toc152042318"/>
      <w:bookmarkStart w:id="192" w:name="_Toc179632560"/>
      <w:bookmarkStart w:id="193" w:name="_Toc338943713"/>
      <w:bookmarkStart w:id="194" w:name="_Toc455587043"/>
      <w:bookmarkStart w:id="195" w:name="_Toc458504828"/>
      <w:bookmarkStart w:id="196" w:name="_Toc342296175"/>
      <w:bookmarkStart w:id="197" w:name="_Toc333600696"/>
      <w:bookmarkStart w:id="198" w:name="_Toc144974510"/>
      <w:bookmarkStart w:id="199" w:name="_Toc152045542"/>
      <w:bookmarkStart w:id="200" w:name="_Toc333599672"/>
      <w:bookmarkStart w:id="201" w:name="_Toc338944618"/>
      <w:bookmarkStart w:id="202" w:name="_Toc342294727"/>
      <w:r>
        <w:rPr>
          <w:rStyle w:val="107"/>
          <w:rFonts w:hint="eastAsia" w:ascii="宋体" w:hAnsi="宋体" w:eastAsia="仿宋"/>
          <w:b/>
          <w:bCs/>
          <w:color w:val="000000"/>
          <w:sz w:val="24"/>
          <w:szCs w:val="24"/>
          <w:highlight w:val="none"/>
        </w:rPr>
        <w:t>2. 招标文件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0948B1D">
      <w:pPr>
        <w:pStyle w:val="4"/>
        <w:adjustRightInd w:val="0"/>
        <w:ind w:firstLine="482" w:firstLineChars="200"/>
        <w:rPr>
          <w:rFonts w:eastAsia="仿宋"/>
          <w:color w:val="000000"/>
          <w:sz w:val="24"/>
          <w:highlight w:val="none"/>
          <w:lang w:eastAsia="zh-CN"/>
        </w:rPr>
      </w:pPr>
      <w:bookmarkStart w:id="203" w:name="_Toc333600697"/>
      <w:bookmarkStart w:id="204" w:name="_Toc466024511"/>
      <w:bookmarkStart w:id="205" w:name="_Toc458504829"/>
      <w:bookmarkStart w:id="206" w:name="_Toc338943714"/>
      <w:bookmarkStart w:id="207" w:name="_Toc333587867"/>
      <w:bookmarkStart w:id="208" w:name="_Toc445554701"/>
      <w:bookmarkStart w:id="209" w:name="_Toc152042319"/>
      <w:bookmarkStart w:id="210" w:name="_Toc338944619"/>
      <w:bookmarkStart w:id="211" w:name="_Toc333599673"/>
      <w:bookmarkStart w:id="212" w:name="_Toc342294728"/>
      <w:bookmarkStart w:id="213" w:name="_Toc371415930"/>
      <w:bookmarkStart w:id="214" w:name="_Toc152045543"/>
      <w:bookmarkStart w:id="215" w:name="_Toc455587044"/>
      <w:bookmarkStart w:id="216" w:name="_Toc342297633"/>
      <w:bookmarkStart w:id="217" w:name="_Toc179632561"/>
      <w:bookmarkStart w:id="218" w:name="_Toc342296176"/>
      <w:bookmarkStart w:id="219" w:name="_Toc455587228"/>
      <w:bookmarkStart w:id="220" w:name="_Toc144974511"/>
      <w:r>
        <w:rPr>
          <w:rFonts w:hint="eastAsia" w:eastAsia="仿宋"/>
          <w:color w:val="000000"/>
          <w:sz w:val="24"/>
          <w:highlight w:val="none"/>
          <w:lang w:eastAsia="zh-CN"/>
        </w:rPr>
        <w:t>2.1 招标文件的组成</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53BB40FC">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本招标文件包括：</w:t>
      </w:r>
    </w:p>
    <w:p w14:paraId="37F7EDC8">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1</w:t>
      </w:r>
      <w:r>
        <w:rPr>
          <w:rFonts w:hint="eastAsia" w:ascii="宋体" w:hAnsi="宋体" w:eastAsia="仿宋"/>
          <w:color w:val="000000"/>
          <w:sz w:val="24"/>
          <w:highlight w:val="none"/>
        </w:rPr>
        <w:t>）招标公告；</w:t>
      </w:r>
    </w:p>
    <w:p w14:paraId="2A76D5AE">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2</w:t>
      </w:r>
      <w:r>
        <w:rPr>
          <w:rFonts w:hint="eastAsia" w:ascii="宋体" w:hAnsi="宋体" w:eastAsia="仿宋"/>
          <w:color w:val="000000"/>
          <w:sz w:val="24"/>
          <w:highlight w:val="none"/>
        </w:rPr>
        <w:t>）投标人须知；</w:t>
      </w:r>
    </w:p>
    <w:p w14:paraId="40A77AD9">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3</w:t>
      </w:r>
      <w:r>
        <w:rPr>
          <w:rFonts w:hint="eastAsia" w:ascii="宋体" w:hAnsi="宋体" w:eastAsia="仿宋"/>
          <w:color w:val="000000"/>
          <w:sz w:val="24"/>
          <w:highlight w:val="none"/>
        </w:rPr>
        <w:t>）采购需求；</w:t>
      </w:r>
    </w:p>
    <w:p w14:paraId="06050DD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4</w:t>
      </w:r>
      <w:r>
        <w:rPr>
          <w:rFonts w:hint="eastAsia" w:ascii="宋体" w:hAnsi="宋体" w:eastAsia="仿宋"/>
          <w:color w:val="000000"/>
          <w:sz w:val="24"/>
          <w:highlight w:val="none"/>
        </w:rPr>
        <w:t>）资格审查和评标办法；</w:t>
      </w:r>
    </w:p>
    <w:p w14:paraId="18E17649">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（5）合同条款及格式；</w:t>
      </w:r>
    </w:p>
    <w:p w14:paraId="21EA7F85">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（6）投标文件格式。</w:t>
      </w:r>
    </w:p>
    <w:p w14:paraId="313CEE35">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对招标文件所作的澄清、修改、补充通知，构成招标文件的组成部分。当招标文件、招标文件的澄清或修改等在同一内容的</w:t>
      </w:r>
      <w:r>
        <w:rPr>
          <w:rFonts w:hint="eastAsia" w:eastAsia="仿宋"/>
          <w:color w:val="000000"/>
          <w:sz w:val="24"/>
          <w:highlight w:val="none"/>
        </w:rPr>
        <w:t>表述</w:t>
      </w:r>
      <w:r>
        <w:rPr>
          <w:rFonts w:hint="eastAsia" w:ascii="宋体" w:hAnsi="宋体" w:eastAsia="仿宋"/>
          <w:color w:val="000000"/>
          <w:sz w:val="24"/>
          <w:highlight w:val="none"/>
        </w:rPr>
        <w:t>上不一致时，以最后发出的书面文件为准。</w:t>
      </w:r>
    </w:p>
    <w:p w14:paraId="614BA29F">
      <w:pPr>
        <w:pStyle w:val="4"/>
        <w:adjustRightInd w:val="0"/>
        <w:ind w:firstLine="482" w:firstLineChars="200"/>
        <w:rPr>
          <w:rFonts w:eastAsia="仿宋"/>
          <w:color w:val="000000"/>
          <w:sz w:val="24"/>
          <w:highlight w:val="none"/>
          <w:lang w:eastAsia="zh-CN"/>
        </w:rPr>
      </w:pPr>
      <w:bookmarkStart w:id="221" w:name="_Toc152045544"/>
      <w:bookmarkStart w:id="222" w:name="_Toc445554702"/>
      <w:bookmarkStart w:id="223" w:name="_Toc144974512"/>
      <w:bookmarkStart w:id="224" w:name="_Toc455587229"/>
      <w:bookmarkStart w:id="225" w:name="_Toc247513968"/>
      <w:bookmarkStart w:id="226" w:name="_Toc455587045"/>
      <w:bookmarkStart w:id="227" w:name="_Toc458504830"/>
      <w:bookmarkStart w:id="228" w:name="_Toc152042320"/>
      <w:bookmarkStart w:id="229" w:name="_Toc371415931"/>
      <w:bookmarkStart w:id="230" w:name="_Toc247527569"/>
      <w:bookmarkStart w:id="231" w:name="_Toc466024512"/>
      <w:bookmarkStart w:id="232" w:name="_Toc300834965"/>
      <w:r>
        <w:rPr>
          <w:rFonts w:hint="eastAsia" w:eastAsia="仿宋"/>
          <w:color w:val="000000"/>
          <w:sz w:val="24"/>
          <w:highlight w:val="none"/>
          <w:lang w:eastAsia="zh-CN"/>
        </w:rPr>
        <w:t>2.2 招标文件的澄清</w:t>
      </w:r>
      <w:bookmarkEnd w:id="221"/>
      <w:bookmarkEnd w:id="222"/>
      <w:bookmarkEnd w:id="223"/>
      <w:bookmarkEnd w:id="224"/>
      <w:bookmarkEnd w:id="225"/>
      <w:bookmarkEnd w:id="226"/>
      <w:bookmarkEnd w:id="227"/>
      <w:bookmarkEnd w:id="228"/>
      <w:bookmarkEnd w:id="229"/>
      <w:bookmarkEnd w:id="230"/>
      <w:bookmarkEnd w:id="231"/>
      <w:bookmarkEnd w:id="232"/>
    </w:p>
    <w:p w14:paraId="5B5AF36C">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2.2.</w:t>
      </w:r>
      <w:r>
        <w:rPr>
          <w:rFonts w:ascii="宋体" w:hAnsi="宋体" w:eastAsia="仿宋"/>
          <w:color w:val="000000"/>
          <w:sz w:val="24"/>
          <w:highlight w:val="none"/>
        </w:rPr>
        <w:t>1</w:t>
      </w:r>
      <w:r>
        <w:rPr>
          <w:rFonts w:hint="eastAsia" w:ascii="宋体" w:hAnsi="宋体" w:eastAsia="仿宋"/>
          <w:color w:val="000000"/>
          <w:sz w:val="24"/>
          <w:highlight w:val="none"/>
        </w:rPr>
        <w:t xml:space="preserve"> </w:t>
      </w:r>
      <w:r>
        <w:rPr>
          <w:rFonts w:eastAsia="仿宋"/>
          <w:color w:val="000000"/>
          <w:sz w:val="24"/>
          <w:highlight w:val="none"/>
        </w:rPr>
        <w:t>投标人应仔细阅读和检查招标文件的全部内容。如发现缺页或附件不全，应及时向</w:t>
      </w:r>
      <w:r>
        <w:rPr>
          <w:rFonts w:hint="eastAsia" w:eastAsia="仿宋"/>
          <w:color w:val="000000"/>
          <w:sz w:val="24"/>
          <w:highlight w:val="none"/>
        </w:rPr>
        <w:t>采购</w:t>
      </w:r>
      <w:r>
        <w:rPr>
          <w:rFonts w:eastAsia="仿宋"/>
          <w:color w:val="000000"/>
          <w:sz w:val="24"/>
          <w:highlight w:val="none"/>
        </w:rPr>
        <w:t>人提出，以便补齐。</w:t>
      </w:r>
      <w:r>
        <w:rPr>
          <w:rFonts w:hint="eastAsia" w:eastAsia="仿宋"/>
          <w:color w:val="000000"/>
          <w:sz w:val="24"/>
          <w:highlight w:val="none"/>
        </w:rPr>
        <w:t>投标人对</w:t>
      </w:r>
      <w:r>
        <w:rPr>
          <w:rFonts w:eastAsia="仿宋"/>
          <w:color w:val="000000"/>
          <w:sz w:val="24"/>
          <w:highlight w:val="none"/>
        </w:rPr>
        <w:t>招标文件</w:t>
      </w:r>
      <w:r>
        <w:rPr>
          <w:rFonts w:hint="eastAsia" w:eastAsia="仿宋"/>
          <w:color w:val="000000"/>
          <w:sz w:val="24"/>
          <w:highlight w:val="none"/>
        </w:rPr>
        <w:t>有疑问的，可依法按本章第9.1款提出询问</w:t>
      </w:r>
      <w:r>
        <w:rPr>
          <w:rFonts w:eastAsia="仿宋"/>
          <w:color w:val="000000"/>
          <w:sz w:val="24"/>
          <w:highlight w:val="none"/>
        </w:rPr>
        <w:t>。</w:t>
      </w:r>
    </w:p>
    <w:p w14:paraId="3771D6DF">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2.2.2 招标文件的澄清按投标人须知前附表规定的形式发出，但不指明澄清问题的来源，该澄清的内容为招标文件的组成部分。如果澄清发出的时间距本章第4.2.1项规定的投标截止时间不足</w:t>
      </w:r>
      <w:r>
        <w:rPr>
          <w:rFonts w:ascii="宋体" w:hAnsi="宋体" w:eastAsia="仿宋"/>
          <w:color w:val="000000"/>
          <w:sz w:val="24"/>
          <w:highlight w:val="none"/>
        </w:rPr>
        <w:t>15</w:t>
      </w:r>
      <w:r>
        <w:rPr>
          <w:rFonts w:hint="eastAsia" w:ascii="宋体" w:hAnsi="宋体" w:eastAsia="仿宋"/>
          <w:color w:val="000000"/>
          <w:sz w:val="24"/>
          <w:highlight w:val="none"/>
        </w:rPr>
        <w:t>日的，并且澄清内容可能影响投标文件编制，将相应顺延投标截止时间。</w:t>
      </w:r>
    </w:p>
    <w:p w14:paraId="089E69B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2.2</w:t>
      </w:r>
      <w:r>
        <w:rPr>
          <w:rFonts w:ascii="宋体" w:hAnsi="宋体" w:eastAsia="仿宋"/>
          <w:color w:val="000000"/>
          <w:sz w:val="24"/>
          <w:highlight w:val="none"/>
        </w:rPr>
        <w:t>.3</w:t>
      </w:r>
      <w:r>
        <w:rPr>
          <w:rFonts w:hint="eastAsia" w:ascii="宋体" w:hAnsi="宋体" w:eastAsia="仿宋"/>
          <w:color w:val="000000"/>
          <w:sz w:val="24"/>
          <w:highlight w:val="none"/>
        </w:rPr>
        <w:t xml:space="preserve"> 投标人应主动上网查询对招标文件的澄清，无需投标人书面确认。投标人未及时关注相关信息的，其责任自负。对招标文件进行的澄清，通过其他方式发布的，投标人收到澄清后24小时内书面确认（以发出时间为准），逾期未确认的，视为投标人完整收到。</w:t>
      </w:r>
    </w:p>
    <w:p w14:paraId="157B7BFC">
      <w:pPr>
        <w:pStyle w:val="4"/>
        <w:adjustRightInd w:val="0"/>
        <w:ind w:firstLine="482" w:firstLineChars="200"/>
        <w:rPr>
          <w:rFonts w:eastAsia="仿宋"/>
          <w:color w:val="000000"/>
          <w:sz w:val="24"/>
          <w:highlight w:val="none"/>
          <w:lang w:eastAsia="zh-CN"/>
        </w:rPr>
      </w:pPr>
      <w:bookmarkStart w:id="233" w:name="_Toc152045545"/>
      <w:bookmarkStart w:id="234" w:name="_Toc247513969"/>
      <w:bookmarkStart w:id="235" w:name="_Toc455587230"/>
      <w:bookmarkStart w:id="236" w:name="_Toc300834966"/>
      <w:bookmarkStart w:id="237" w:name="_Toc466024513"/>
      <w:bookmarkStart w:id="238" w:name="_Toc371415932"/>
      <w:bookmarkStart w:id="239" w:name="_Toc455587046"/>
      <w:bookmarkStart w:id="240" w:name="_Toc247527570"/>
      <w:bookmarkStart w:id="241" w:name="_Toc152042321"/>
      <w:bookmarkStart w:id="242" w:name="_Toc144974513"/>
      <w:bookmarkStart w:id="243" w:name="_Toc458504831"/>
      <w:bookmarkStart w:id="244" w:name="_Toc445554703"/>
      <w:r>
        <w:rPr>
          <w:rFonts w:hint="eastAsia" w:eastAsia="仿宋"/>
          <w:color w:val="000000"/>
          <w:sz w:val="24"/>
          <w:highlight w:val="none"/>
          <w:lang w:eastAsia="zh-CN"/>
        </w:rPr>
        <w:t>2.3 招标文件的修改</w:t>
      </w:r>
      <w:bookmarkEnd w:id="233"/>
      <w:bookmarkEnd w:id="234"/>
      <w:bookmarkEnd w:id="235"/>
      <w:bookmarkEnd w:id="236"/>
      <w:bookmarkEnd w:id="237"/>
      <w:bookmarkEnd w:id="238"/>
      <w:bookmarkEnd w:id="239"/>
      <w:bookmarkEnd w:id="240"/>
      <w:bookmarkEnd w:id="241"/>
      <w:bookmarkEnd w:id="242"/>
      <w:bookmarkEnd w:id="243"/>
      <w:bookmarkEnd w:id="244"/>
    </w:p>
    <w:p w14:paraId="42014188">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2.3</w:t>
      </w:r>
      <w:r>
        <w:rPr>
          <w:rFonts w:ascii="宋体" w:hAnsi="宋体" w:eastAsia="仿宋"/>
          <w:color w:val="000000"/>
          <w:sz w:val="24"/>
          <w:highlight w:val="none"/>
        </w:rPr>
        <w:t>.1</w:t>
      </w:r>
      <w:r>
        <w:rPr>
          <w:rFonts w:hint="eastAsia" w:ascii="宋体" w:hAnsi="宋体" w:eastAsia="仿宋"/>
          <w:color w:val="000000"/>
          <w:sz w:val="24"/>
          <w:highlight w:val="none"/>
        </w:rPr>
        <w:t xml:space="preserve"> 对招标文件的修改将在招标公告发布的媒介以发布更正公告的方式公开。如果修改招标文件的时间距本章第4.2.1项规定的投标截止时间不足</w:t>
      </w:r>
      <w:r>
        <w:rPr>
          <w:rFonts w:ascii="宋体" w:hAnsi="宋体" w:eastAsia="仿宋"/>
          <w:color w:val="000000"/>
          <w:sz w:val="24"/>
          <w:highlight w:val="none"/>
        </w:rPr>
        <w:t>15</w:t>
      </w:r>
      <w:r>
        <w:rPr>
          <w:rFonts w:hint="eastAsia" w:ascii="宋体" w:hAnsi="宋体" w:eastAsia="仿宋"/>
          <w:color w:val="000000"/>
          <w:sz w:val="24"/>
          <w:highlight w:val="none"/>
        </w:rPr>
        <w:t>日的，且修改内容影响投标文件编制，将相应顺延投标截止时间。</w:t>
      </w:r>
    </w:p>
    <w:p w14:paraId="575D473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2.3</w:t>
      </w:r>
      <w:r>
        <w:rPr>
          <w:rFonts w:ascii="宋体" w:hAnsi="宋体" w:eastAsia="仿宋"/>
          <w:color w:val="000000"/>
          <w:sz w:val="24"/>
          <w:highlight w:val="none"/>
        </w:rPr>
        <w:t>.2</w:t>
      </w:r>
      <w:r>
        <w:rPr>
          <w:rFonts w:hint="eastAsia" w:ascii="宋体" w:hAnsi="宋体" w:eastAsia="仿宋"/>
          <w:color w:val="000000"/>
          <w:sz w:val="24"/>
          <w:highlight w:val="none"/>
        </w:rPr>
        <w:t xml:space="preserve"> 更正公告的内容作为招标文件的组成部分，对投标人起约束作用。投标人应主动上网查询，采购人及采购代理机构不承担投标人未及时关注相关信息引发的相关责任。</w:t>
      </w:r>
    </w:p>
    <w:p w14:paraId="5FEC04B3">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2.4 招标文件的质疑</w:t>
      </w:r>
    </w:p>
    <w:p w14:paraId="223B34A5">
      <w:pPr>
        <w:widowControl/>
        <w:adjustRightInd w:val="0"/>
        <w:snapToGrid w:val="0"/>
        <w:spacing w:line="360" w:lineRule="auto"/>
        <w:ind w:firstLine="480" w:firstLineChars="200"/>
        <w:rPr>
          <w:rFonts w:hint="eastAsia" w:ascii="宋体" w:hAnsi="宋体" w:eastAsia="仿宋"/>
          <w:color w:val="000000"/>
          <w:sz w:val="24"/>
          <w:highlight w:val="none"/>
        </w:rPr>
      </w:pPr>
      <w:bookmarkStart w:id="245" w:name="_Toc179632564"/>
      <w:bookmarkStart w:id="246" w:name="_Toc333600700"/>
      <w:bookmarkStart w:id="247" w:name="_Toc455587048"/>
      <w:bookmarkStart w:id="248" w:name="_Toc333599676"/>
      <w:bookmarkStart w:id="249" w:name="_Toc152045546"/>
      <w:bookmarkStart w:id="250" w:name="_Toc342297636"/>
      <w:bookmarkStart w:id="251" w:name="_Toc338944622"/>
      <w:bookmarkStart w:id="252" w:name="_Toc342296179"/>
      <w:bookmarkStart w:id="253" w:name="_Toc371415933"/>
      <w:bookmarkStart w:id="254" w:name="_Toc455587232"/>
      <w:bookmarkStart w:id="255" w:name="_Toc458504832"/>
      <w:bookmarkStart w:id="256" w:name="_Toc152042322"/>
      <w:bookmarkStart w:id="257" w:name="_Toc445554705"/>
      <w:bookmarkStart w:id="258" w:name="_Toc342294731"/>
      <w:bookmarkStart w:id="259" w:name="_Toc338943717"/>
      <w:bookmarkStart w:id="260" w:name="_Toc144974514"/>
      <w:bookmarkStart w:id="261" w:name="_Toc466024514"/>
      <w:r>
        <w:rPr>
          <w:rFonts w:hint="eastAsia" w:ascii="宋体" w:hAnsi="宋体" w:eastAsia="仿宋"/>
          <w:color w:val="000000"/>
          <w:sz w:val="24"/>
          <w:highlight w:val="none"/>
        </w:rPr>
        <w:t>2.4.1 投标人对招标文件的质疑须符合本章第9.2款规定。</w:t>
      </w:r>
    </w:p>
    <w:p w14:paraId="5891D37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2.4.2 采购人对质疑的答复构成对招标文件澄清或者修改的，采购人将按照本章第2.2款、第2.3款规定办理。</w:t>
      </w:r>
    </w:p>
    <w:p w14:paraId="41A45C5F">
      <w:pPr>
        <w:pStyle w:val="3"/>
        <w:rPr>
          <w:rStyle w:val="107"/>
          <w:rFonts w:ascii="宋体" w:hAnsi="宋体" w:eastAsia="仿宋"/>
          <w:b/>
          <w:bCs/>
          <w:color w:val="000000"/>
          <w:sz w:val="24"/>
          <w:szCs w:val="24"/>
          <w:highlight w:val="none"/>
        </w:rPr>
      </w:pPr>
      <w:r>
        <w:rPr>
          <w:rStyle w:val="107"/>
          <w:rFonts w:hint="eastAsia" w:ascii="宋体" w:hAnsi="宋体" w:eastAsia="仿宋"/>
          <w:b/>
          <w:bCs/>
          <w:color w:val="000000"/>
          <w:sz w:val="24"/>
          <w:szCs w:val="24"/>
          <w:highlight w:val="none"/>
        </w:rPr>
        <w:t>3. 投标文件</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4CC8E171">
      <w:pPr>
        <w:pStyle w:val="4"/>
        <w:adjustRightInd w:val="0"/>
        <w:ind w:firstLine="482" w:firstLineChars="200"/>
        <w:rPr>
          <w:rFonts w:eastAsia="仿宋"/>
          <w:color w:val="000000"/>
          <w:sz w:val="24"/>
          <w:highlight w:val="none"/>
          <w:lang w:eastAsia="zh-CN"/>
        </w:rPr>
      </w:pPr>
      <w:bookmarkStart w:id="262" w:name="_Toc342297637"/>
      <w:bookmarkStart w:id="263" w:name="_Toc455587233"/>
      <w:bookmarkStart w:id="264" w:name="_Toc458504833"/>
      <w:bookmarkStart w:id="265" w:name="_Toc466024515"/>
      <w:bookmarkStart w:id="266" w:name="_Toc152042323"/>
      <w:bookmarkStart w:id="267" w:name="_Toc152045547"/>
      <w:bookmarkStart w:id="268" w:name="_Toc338943718"/>
      <w:bookmarkStart w:id="269" w:name="_Toc144974515"/>
      <w:bookmarkStart w:id="270" w:name="_Toc179632565"/>
      <w:bookmarkStart w:id="271" w:name="_Toc342294732"/>
      <w:bookmarkStart w:id="272" w:name="_Toc455587049"/>
      <w:bookmarkStart w:id="273" w:name="_Toc333587871"/>
      <w:bookmarkStart w:id="274" w:name="_Toc333600701"/>
      <w:bookmarkStart w:id="275" w:name="_Toc445554706"/>
      <w:bookmarkStart w:id="276" w:name="_Toc371415934"/>
      <w:bookmarkStart w:id="277" w:name="_Toc338944623"/>
      <w:bookmarkStart w:id="278" w:name="_Toc333599677"/>
      <w:bookmarkStart w:id="279" w:name="_Toc342296180"/>
      <w:r>
        <w:rPr>
          <w:rFonts w:hint="eastAsia" w:eastAsia="仿宋"/>
          <w:color w:val="000000"/>
          <w:sz w:val="24"/>
          <w:highlight w:val="none"/>
          <w:lang w:eastAsia="zh-CN"/>
        </w:rPr>
        <w:t>3.1 投标文件的组成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57A7F294">
      <w:pPr>
        <w:widowControl/>
        <w:adjustRightInd w:val="0"/>
        <w:snapToGrid w:val="0"/>
        <w:spacing w:line="360" w:lineRule="auto"/>
        <w:ind w:firstLine="480" w:firstLineChars="200"/>
        <w:rPr>
          <w:rFonts w:hint="eastAsia" w:ascii="宋体" w:hAnsi="宋体" w:eastAsia="仿宋"/>
          <w:color w:val="000000"/>
          <w:sz w:val="24"/>
          <w:highlight w:val="none"/>
        </w:rPr>
      </w:pPr>
      <w:bookmarkStart w:id="280" w:name="_Toc144974516"/>
      <w:bookmarkStart w:id="281" w:name="_Toc338944624"/>
      <w:bookmarkStart w:id="282" w:name="_Toc152042324"/>
      <w:bookmarkStart w:id="283" w:name="_Toc333600702"/>
      <w:bookmarkStart w:id="284" w:name="_Toc338943719"/>
      <w:bookmarkStart w:id="285" w:name="_Toc152045548"/>
      <w:bookmarkStart w:id="286" w:name="_Toc179632566"/>
      <w:bookmarkStart w:id="287" w:name="_Toc342296181"/>
      <w:bookmarkStart w:id="288" w:name="_Toc333599678"/>
      <w:bookmarkStart w:id="289" w:name="_Toc342294733"/>
      <w:bookmarkStart w:id="290" w:name="_Toc333587872"/>
      <w:bookmarkStart w:id="291" w:name="_Toc342297638"/>
      <w:r>
        <w:rPr>
          <w:rFonts w:hint="eastAsia" w:ascii="宋体" w:hAnsi="宋体" w:eastAsia="仿宋"/>
          <w:color w:val="000000"/>
          <w:sz w:val="24"/>
          <w:highlight w:val="none"/>
        </w:rPr>
        <w:t>3.1</w:t>
      </w:r>
      <w:r>
        <w:rPr>
          <w:rFonts w:ascii="宋体" w:hAnsi="宋体" w:eastAsia="仿宋"/>
          <w:color w:val="000000"/>
          <w:sz w:val="24"/>
          <w:highlight w:val="none"/>
        </w:rPr>
        <w:t>.1</w:t>
      </w:r>
      <w:r>
        <w:rPr>
          <w:rFonts w:hint="eastAsia" w:ascii="宋体" w:hAnsi="宋体" w:eastAsia="仿宋"/>
          <w:color w:val="000000"/>
          <w:sz w:val="24"/>
          <w:highlight w:val="none"/>
        </w:rPr>
        <w:t xml:space="preserve"> 投标文件应包括下列内容：</w:t>
      </w:r>
    </w:p>
    <w:p w14:paraId="5BEF392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（1）投标函；</w:t>
      </w:r>
    </w:p>
    <w:p w14:paraId="1DA35CEA">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（2）开标一览表；</w:t>
      </w:r>
    </w:p>
    <w:p w14:paraId="112A99F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（3）分项报价表；</w:t>
      </w:r>
    </w:p>
    <w:p w14:paraId="58351B40">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（4）投标人综合情况简介；</w:t>
      </w:r>
    </w:p>
    <w:p w14:paraId="030303A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（5）中小企业声明函（货物）；</w:t>
      </w:r>
    </w:p>
    <w:p w14:paraId="35456AC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（6）法定代表人（单位负责人）身份证明或授权委托书；</w:t>
      </w:r>
    </w:p>
    <w:p w14:paraId="6E54D8A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（7）资格审查材料；</w:t>
      </w:r>
    </w:p>
    <w:p w14:paraId="064A35B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hint="eastAsia" w:ascii="宋体" w:hAnsi="宋体" w:eastAsia="仿宋"/>
          <w:color w:val="000000"/>
          <w:sz w:val="24"/>
          <w:highlight w:val="none"/>
          <w:lang w:val="en-US" w:eastAsia="zh-CN"/>
        </w:rPr>
        <w:t>8</w:t>
      </w:r>
      <w:r>
        <w:rPr>
          <w:rFonts w:hint="eastAsia" w:ascii="宋体" w:hAnsi="宋体" w:eastAsia="仿宋"/>
          <w:color w:val="000000"/>
          <w:sz w:val="24"/>
          <w:highlight w:val="none"/>
        </w:rPr>
        <w:t>）符合性审查与详细评审材料；</w:t>
      </w:r>
    </w:p>
    <w:p w14:paraId="605E5F4A">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hint="eastAsia" w:ascii="宋体" w:hAnsi="宋体" w:eastAsia="仿宋"/>
          <w:color w:val="000000"/>
          <w:sz w:val="24"/>
          <w:highlight w:val="none"/>
          <w:lang w:val="en-US" w:eastAsia="zh-CN"/>
        </w:rPr>
        <w:t>9</w:t>
      </w:r>
      <w:r>
        <w:rPr>
          <w:rFonts w:hint="eastAsia" w:ascii="宋体" w:hAnsi="宋体" w:eastAsia="仿宋"/>
          <w:color w:val="000000"/>
          <w:sz w:val="24"/>
          <w:highlight w:val="none"/>
        </w:rPr>
        <w:t>）主要标的承诺函；</w:t>
      </w:r>
    </w:p>
    <w:p w14:paraId="0ABC2F30">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hint="eastAsia" w:ascii="宋体" w:hAnsi="宋体" w:eastAsia="仿宋"/>
          <w:color w:val="000000"/>
          <w:sz w:val="24"/>
          <w:highlight w:val="none"/>
          <w:lang w:val="en-US" w:eastAsia="zh-CN"/>
        </w:rPr>
        <w:t>10</w:t>
      </w:r>
      <w:r>
        <w:rPr>
          <w:rFonts w:hint="eastAsia" w:ascii="宋体" w:hAnsi="宋体" w:eastAsia="仿宋"/>
          <w:color w:val="000000"/>
          <w:sz w:val="24"/>
          <w:highlight w:val="none"/>
        </w:rPr>
        <w:t>）投标相关信息汇总表</w:t>
      </w:r>
    </w:p>
    <w:p w14:paraId="7D4D122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lang w:eastAsia="zh-CN"/>
        </w:rPr>
        <w:t>（</w:t>
      </w:r>
      <w:r>
        <w:rPr>
          <w:rFonts w:hint="eastAsia" w:ascii="宋体" w:hAnsi="宋体" w:eastAsia="仿宋"/>
          <w:color w:val="000000"/>
          <w:sz w:val="24"/>
          <w:highlight w:val="none"/>
          <w:lang w:val="en-US" w:eastAsia="zh-CN"/>
        </w:rPr>
        <w:t>11）</w:t>
      </w:r>
      <w:r>
        <w:rPr>
          <w:rFonts w:hint="eastAsia" w:ascii="宋体" w:hAnsi="宋体" w:eastAsia="仿宋"/>
          <w:color w:val="000000"/>
          <w:sz w:val="24"/>
          <w:highlight w:val="none"/>
        </w:rPr>
        <w:t>投标人认为应该提供的其他材料。</w:t>
      </w:r>
    </w:p>
    <w:p w14:paraId="49337BB9">
      <w:pPr>
        <w:widowControl/>
        <w:adjustRightInd w:val="0"/>
        <w:snapToGrid w:val="0"/>
        <w:spacing w:line="360" w:lineRule="auto"/>
        <w:ind w:firstLine="480" w:firstLineChars="200"/>
        <w:rPr>
          <w:rFonts w:eastAsia="仿宋"/>
          <w:color w:val="000000"/>
          <w:sz w:val="24"/>
          <w:highlight w:val="none"/>
        </w:rPr>
      </w:pPr>
      <w:r>
        <w:rPr>
          <w:rFonts w:eastAsia="仿宋"/>
          <w:color w:val="000000"/>
          <w:sz w:val="24"/>
          <w:highlight w:val="none"/>
        </w:rPr>
        <w:t>投标人在评标过程中作出的符合法律法规和招标文件规定的澄清确认，构成投标文件的组成部分。</w:t>
      </w:r>
    </w:p>
    <w:p w14:paraId="65D1B91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3.1.2 投标人须知前附表规定不接受联合体投标的，或投标人没有组成联合体的，投标文件不包括本章第3.1.1（7）目所指的联合体协议书。</w:t>
      </w:r>
    </w:p>
    <w:p w14:paraId="2DE32FC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3.1.3 投标人须知前附表规定不接受分包的，或投标人没有分包的，投标文件不包括本章第3.1.1（8）目所指的分包意向协议书。</w:t>
      </w:r>
    </w:p>
    <w:p w14:paraId="0B9FFC32">
      <w:pPr>
        <w:adjustRightInd w:val="0"/>
        <w:spacing w:line="360" w:lineRule="auto"/>
        <w:ind w:firstLine="480" w:firstLineChars="200"/>
        <w:rPr>
          <w:rFonts w:hint="eastAsia" w:ascii="宋体" w:hAnsi="宋体" w:eastAsia="仿宋"/>
          <w:color w:val="000000"/>
          <w:sz w:val="24"/>
          <w:highlight w:val="none"/>
        </w:rPr>
      </w:pPr>
      <w:bookmarkStart w:id="292" w:name="_Toc458504834"/>
      <w:bookmarkStart w:id="293" w:name="_Toc455587050"/>
      <w:bookmarkStart w:id="294" w:name="_Toc455587234"/>
      <w:bookmarkStart w:id="295" w:name="_Toc466024516"/>
      <w:bookmarkStart w:id="296" w:name="_Toc445554707"/>
      <w:r>
        <w:rPr>
          <w:rFonts w:hint="eastAsia" w:ascii="宋体" w:hAnsi="宋体" w:eastAsia="仿宋"/>
          <w:color w:val="000000"/>
          <w:sz w:val="24"/>
          <w:highlight w:val="none"/>
        </w:rPr>
        <w:t>3.1.4 投标人须知前附表规定要求递交投标货物样品的，投标人应按照投标人须知前附表的规定提供投标货物样品。</w:t>
      </w:r>
    </w:p>
    <w:p w14:paraId="3FCBEF44">
      <w:pPr>
        <w:pStyle w:val="4"/>
        <w:adjustRightInd w:val="0"/>
        <w:ind w:firstLine="482" w:firstLineChars="200"/>
        <w:rPr>
          <w:rFonts w:eastAsia="仿宋"/>
          <w:color w:val="000000"/>
          <w:sz w:val="24"/>
          <w:highlight w:val="none"/>
          <w:lang w:eastAsia="zh-CN"/>
        </w:rPr>
      </w:pPr>
      <w:r>
        <w:rPr>
          <w:rFonts w:hint="eastAsia" w:eastAsia="仿宋"/>
          <w:color w:val="000000"/>
          <w:sz w:val="24"/>
          <w:highlight w:val="none"/>
          <w:lang w:eastAsia="zh-CN"/>
        </w:rPr>
        <w:t>3.2 投标报价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Start w:id="297" w:name="_Toc370199958"/>
    </w:p>
    <w:p w14:paraId="505AB5D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3.2</w:t>
      </w:r>
      <w:r>
        <w:rPr>
          <w:rFonts w:ascii="宋体" w:hAnsi="宋体" w:eastAsia="仿宋"/>
          <w:color w:val="000000"/>
          <w:sz w:val="24"/>
          <w:highlight w:val="none"/>
        </w:rPr>
        <w:t>.1</w:t>
      </w:r>
      <w:r>
        <w:rPr>
          <w:rFonts w:hint="eastAsia" w:ascii="宋体" w:hAnsi="宋体" w:eastAsia="仿宋"/>
          <w:color w:val="000000"/>
          <w:sz w:val="24"/>
          <w:highlight w:val="none"/>
        </w:rPr>
        <w:t xml:space="preserve"> 投标报价应当包括的内容见投标人须知前附表规定。投标人应当按招标文件规定进行投标报价，并按给定格式填写投标报价表格。</w:t>
      </w:r>
      <w:bookmarkEnd w:id="297"/>
      <w:bookmarkStart w:id="298" w:name="_Toc370199959"/>
    </w:p>
    <w:p w14:paraId="27A51A8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 xml:space="preserve">3.2.2 </w:t>
      </w:r>
      <w:r>
        <w:rPr>
          <w:rFonts w:ascii="宋体" w:hAnsi="宋体" w:eastAsia="仿宋"/>
          <w:color w:val="000000"/>
          <w:sz w:val="24"/>
          <w:highlight w:val="none"/>
        </w:rPr>
        <w:t>投标人应充分了解该项目的总体情况以及影响报价的其他要素。</w:t>
      </w:r>
    </w:p>
    <w:p w14:paraId="66D463A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3.2.3 投标报价为各分项报价之和。如分项报价中存在缺漏项，则视为缺漏项价格已包含在其他分项报价之中。投标人在投标截止时间前修改开标一览表中的投标报价总额，应同时修改投标文件“分项报价表”中的相应报价。此修改须符合本章第4.3款的有关要求。</w:t>
      </w:r>
    </w:p>
    <w:p w14:paraId="2BB34EF9">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3.2.4 投标报价的其他要求见投标人须知前附表。</w:t>
      </w:r>
    </w:p>
    <w:bookmarkEnd w:id="298"/>
    <w:p w14:paraId="243B98BB">
      <w:pPr>
        <w:pStyle w:val="4"/>
        <w:adjustRightInd w:val="0"/>
        <w:ind w:firstLine="482" w:firstLineChars="200"/>
        <w:rPr>
          <w:rFonts w:eastAsia="仿宋"/>
          <w:color w:val="000000"/>
          <w:sz w:val="24"/>
          <w:highlight w:val="none"/>
          <w:lang w:eastAsia="zh-CN"/>
        </w:rPr>
      </w:pPr>
      <w:bookmarkStart w:id="299" w:name="_Toc333599679"/>
      <w:bookmarkStart w:id="300" w:name="_Toc333587873"/>
      <w:bookmarkStart w:id="301" w:name="_Toc333600703"/>
      <w:bookmarkStart w:id="302" w:name="_Toc152045549"/>
      <w:bookmarkStart w:id="303" w:name="_Toc455587051"/>
      <w:bookmarkStart w:id="304" w:name="_Toc342296182"/>
      <w:bookmarkStart w:id="305" w:name="_Toc371415937"/>
      <w:bookmarkStart w:id="306" w:name="_Toc338944625"/>
      <w:bookmarkStart w:id="307" w:name="_Toc342297639"/>
      <w:bookmarkStart w:id="308" w:name="_Toc342294734"/>
      <w:bookmarkStart w:id="309" w:name="_Toc144974517"/>
      <w:bookmarkStart w:id="310" w:name="_Toc445554708"/>
      <w:bookmarkStart w:id="311" w:name="_Toc455587235"/>
      <w:bookmarkStart w:id="312" w:name="_Toc458504835"/>
      <w:bookmarkStart w:id="313" w:name="_Toc152042325"/>
      <w:bookmarkStart w:id="314" w:name="_Toc466024517"/>
      <w:bookmarkStart w:id="315" w:name="_Toc179632567"/>
      <w:bookmarkStart w:id="316" w:name="_Toc338943720"/>
      <w:r>
        <w:rPr>
          <w:rFonts w:hint="eastAsia" w:eastAsia="仿宋"/>
          <w:color w:val="000000"/>
          <w:sz w:val="24"/>
          <w:highlight w:val="none"/>
          <w:lang w:eastAsia="zh-CN"/>
        </w:rPr>
        <w:t>3.3 投标有效期</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2A7F2C1A">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3.3</w:t>
      </w:r>
      <w:r>
        <w:rPr>
          <w:rFonts w:ascii="宋体" w:hAnsi="宋体" w:eastAsia="仿宋"/>
          <w:color w:val="000000"/>
          <w:sz w:val="24"/>
          <w:highlight w:val="none"/>
        </w:rPr>
        <w:t>.1</w:t>
      </w:r>
      <w:r>
        <w:rPr>
          <w:rFonts w:hint="eastAsia" w:ascii="宋体" w:hAnsi="宋体" w:eastAsia="仿宋"/>
          <w:color w:val="000000"/>
          <w:sz w:val="24"/>
          <w:highlight w:val="none"/>
        </w:rPr>
        <w:t xml:space="preserve"> 在投标人须知前附表规定的投标有效期内，投标文件保持有效，投标人不得要求撤销或修改其投标文件，否则应承担招标文件和法律法规规定的责任。</w:t>
      </w:r>
    </w:p>
    <w:p w14:paraId="4C250736">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3.3</w:t>
      </w:r>
      <w:r>
        <w:rPr>
          <w:rFonts w:ascii="宋体" w:hAnsi="宋体" w:eastAsia="仿宋"/>
          <w:color w:val="000000"/>
          <w:sz w:val="24"/>
          <w:highlight w:val="none"/>
        </w:rPr>
        <w:t>.2</w:t>
      </w:r>
      <w:r>
        <w:rPr>
          <w:rFonts w:hint="eastAsia" w:ascii="宋体" w:hAnsi="宋体" w:eastAsia="仿宋"/>
          <w:color w:val="000000"/>
          <w:sz w:val="24"/>
          <w:highlight w:val="none"/>
        </w:rPr>
        <w:t xml:space="preserve"> 出现特殊情况需要延长投标有效期的，采购人以书面形式通知所有投标人延长投标有效期。投标人同意延长的，应当相应延长其投标保证金的有效期，但不得要求或被允许修改或撤销其投标文件；投标人拒绝延长的，其投标失效，但投标人有权收回其投标保证金。</w:t>
      </w:r>
      <w:r>
        <w:rPr>
          <w:rFonts w:ascii="宋体" w:hAnsi="宋体" w:eastAsia="仿宋"/>
          <w:color w:val="000000"/>
          <w:sz w:val="24"/>
          <w:highlight w:val="none"/>
        </w:rPr>
        <w:t xml:space="preserve"> </w:t>
      </w:r>
    </w:p>
    <w:p w14:paraId="1291971E">
      <w:pPr>
        <w:pStyle w:val="4"/>
        <w:adjustRightInd w:val="0"/>
        <w:ind w:firstLine="482" w:firstLineChars="200"/>
        <w:rPr>
          <w:rFonts w:eastAsia="仿宋"/>
          <w:color w:val="000000"/>
          <w:sz w:val="24"/>
          <w:highlight w:val="none"/>
          <w:lang w:eastAsia="zh-CN"/>
        </w:rPr>
      </w:pPr>
      <w:bookmarkStart w:id="317" w:name="_Toc179632568"/>
      <w:bookmarkStart w:id="318" w:name="_Toc152045550"/>
      <w:bookmarkStart w:id="319" w:name="_Toc338943721"/>
      <w:bookmarkStart w:id="320" w:name="_Toc152042326"/>
      <w:bookmarkStart w:id="321" w:name="_Toc458504836"/>
      <w:bookmarkStart w:id="322" w:name="_Toc342296183"/>
      <w:bookmarkStart w:id="323" w:name="_Toc455587052"/>
      <w:bookmarkStart w:id="324" w:name="_Toc371415938"/>
      <w:bookmarkStart w:id="325" w:name="_Toc333599680"/>
      <w:bookmarkStart w:id="326" w:name="_Toc333600704"/>
      <w:bookmarkStart w:id="327" w:name="_Toc445554709"/>
      <w:bookmarkStart w:id="328" w:name="_Toc144974518"/>
      <w:bookmarkStart w:id="329" w:name="_Toc333587874"/>
      <w:bookmarkStart w:id="330" w:name="_Toc342297640"/>
      <w:bookmarkStart w:id="331" w:name="_Toc466024518"/>
      <w:bookmarkStart w:id="332" w:name="_Toc455587236"/>
      <w:bookmarkStart w:id="333" w:name="_Toc342294735"/>
      <w:bookmarkStart w:id="334" w:name="_Toc338944626"/>
      <w:r>
        <w:rPr>
          <w:rFonts w:hint="eastAsia" w:eastAsia="仿宋"/>
          <w:color w:val="000000"/>
          <w:sz w:val="24"/>
          <w:highlight w:val="none"/>
          <w:lang w:eastAsia="zh-CN"/>
        </w:rPr>
        <w:t>3.4 投标保证金</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p>
    <w:p w14:paraId="58EBA17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对投标保证金的要求见投标人须知前附表。</w:t>
      </w:r>
    </w:p>
    <w:p w14:paraId="26E44417">
      <w:pPr>
        <w:pStyle w:val="4"/>
        <w:adjustRightInd w:val="0"/>
        <w:ind w:firstLine="482" w:firstLineChars="200"/>
        <w:rPr>
          <w:rFonts w:eastAsia="仿宋"/>
          <w:color w:val="000000"/>
          <w:sz w:val="24"/>
          <w:highlight w:val="none"/>
          <w:lang w:eastAsia="zh-CN"/>
        </w:rPr>
      </w:pPr>
      <w:bookmarkStart w:id="335" w:name="_Toc152045551"/>
      <w:bookmarkStart w:id="336" w:name="_Toc445554710"/>
      <w:bookmarkStart w:id="337" w:name="_Toc455587237"/>
      <w:bookmarkStart w:id="338" w:name="_Toc342297641"/>
      <w:bookmarkStart w:id="339" w:name="_Toc342294736"/>
      <w:bookmarkStart w:id="340" w:name="_Toc371415939"/>
      <w:bookmarkStart w:id="341" w:name="_Toc338944627"/>
      <w:bookmarkStart w:id="342" w:name="_Toc455587053"/>
      <w:bookmarkStart w:id="343" w:name="_Toc179632569"/>
      <w:bookmarkStart w:id="344" w:name="_Toc333600705"/>
      <w:bookmarkStart w:id="345" w:name="_Toc466024519"/>
      <w:bookmarkStart w:id="346" w:name="_Toc338943722"/>
      <w:bookmarkStart w:id="347" w:name="_Toc333599681"/>
      <w:bookmarkStart w:id="348" w:name="_Toc458504837"/>
      <w:bookmarkStart w:id="349" w:name="_Toc144974519"/>
      <w:bookmarkStart w:id="350" w:name="_Toc342296184"/>
      <w:bookmarkStart w:id="351" w:name="_Toc152042327"/>
      <w:bookmarkStart w:id="352" w:name="_Toc333587875"/>
      <w:r>
        <w:rPr>
          <w:rFonts w:hint="eastAsia" w:eastAsia="仿宋"/>
          <w:color w:val="000000"/>
          <w:sz w:val="24"/>
          <w:highlight w:val="none"/>
          <w:lang w:eastAsia="zh-CN"/>
        </w:rPr>
        <w:t>3.5 资格审查资料（适用于已进行资格预审的）</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14:paraId="52BA971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3.5.1 投标人在递交投标文件前，发生可能影响其投标资格的新情况的，应更新或补充其在申请资格预审时提供的资料，以证实其各项资格条件仍能继续满足资格预审文件的要求。</w:t>
      </w:r>
    </w:p>
    <w:p w14:paraId="1BCDEA1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3.5.2 投标人是代理商或经销商的，通过资格预审后如确定了拟投标货物（服务）的制造商（提供商）的，投标时不得更换，否则其投标将按无效处理。</w:t>
      </w:r>
    </w:p>
    <w:p w14:paraId="761C7B1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3.5.3 如本招标文件“评标办法”中涉及对相关投标人资格进行评审的，投标人应在投标文件相应的“资格审查资料”中提供证明文件。</w:t>
      </w:r>
    </w:p>
    <w:p w14:paraId="62A750D8">
      <w:pPr>
        <w:pStyle w:val="4"/>
        <w:adjustRightInd w:val="0"/>
        <w:ind w:firstLine="482" w:firstLineChars="200"/>
        <w:rPr>
          <w:rFonts w:hint="eastAsia" w:eastAsia="仿宋"/>
          <w:color w:val="000000"/>
          <w:sz w:val="24"/>
          <w:highlight w:val="none"/>
          <w:lang w:eastAsia="zh-CN"/>
        </w:rPr>
      </w:pPr>
      <w:bookmarkStart w:id="353" w:name="_Toc152045552"/>
      <w:bookmarkStart w:id="354" w:name="_Toc466024520"/>
      <w:bookmarkStart w:id="355" w:name="_Toc455587054"/>
      <w:bookmarkStart w:id="356" w:name="_Toc333587876"/>
      <w:bookmarkStart w:id="357" w:name="_Toc371415940"/>
      <w:bookmarkStart w:id="358" w:name="_Toc455587238"/>
      <w:bookmarkStart w:id="359" w:name="_Toc342296185"/>
      <w:bookmarkStart w:id="360" w:name="_Toc338943723"/>
      <w:bookmarkStart w:id="361" w:name="_Toc445554711"/>
      <w:bookmarkStart w:id="362" w:name="_Toc458504838"/>
      <w:bookmarkStart w:id="363" w:name="_Toc179632570"/>
      <w:bookmarkStart w:id="364" w:name="_Toc342294737"/>
      <w:bookmarkStart w:id="365" w:name="_Toc338944628"/>
      <w:bookmarkStart w:id="366" w:name="_Toc152042328"/>
      <w:bookmarkStart w:id="367" w:name="_Toc144974520"/>
      <w:bookmarkStart w:id="368" w:name="_Toc333600706"/>
      <w:bookmarkStart w:id="369" w:name="_Toc342297642"/>
      <w:bookmarkStart w:id="370" w:name="_Toc333599682"/>
      <w:r>
        <w:rPr>
          <w:rFonts w:hint="eastAsia" w:eastAsia="仿宋"/>
          <w:color w:val="000000"/>
          <w:sz w:val="24"/>
          <w:highlight w:val="none"/>
          <w:lang w:eastAsia="zh-CN"/>
        </w:rPr>
        <w:t>3.5 资格审查资料（适用于未进行资格预审的）</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1EDB6D9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3.5.1 资格审查办法见第四章第一节 资格审查。</w:t>
      </w:r>
    </w:p>
    <w:p w14:paraId="6F37E0A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3.5.2 “资格审查材料”应按规定格式填写，并提供符合要求的相关证明材料的扫描件或电子证照。</w:t>
      </w:r>
    </w:p>
    <w:p w14:paraId="0299095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3.5.3 投标人须知前附表规定接受联合体投标的，本章第3.5.1项至第3.5.2项规定的表格和资料包括联合体各方成员相关情况。</w:t>
      </w:r>
    </w:p>
    <w:p w14:paraId="7CD40D8E">
      <w:pPr>
        <w:pStyle w:val="4"/>
        <w:adjustRightInd w:val="0"/>
        <w:ind w:firstLine="482" w:firstLineChars="200"/>
        <w:rPr>
          <w:rFonts w:eastAsia="仿宋"/>
          <w:color w:val="000000"/>
          <w:sz w:val="24"/>
          <w:highlight w:val="none"/>
          <w:lang w:eastAsia="zh-CN"/>
        </w:rPr>
      </w:pPr>
      <w:bookmarkStart w:id="371" w:name="_Toc333599683"/>
      <w:bookmarkStart w:id="372" w:name="_Toc333600707"/>
      <w:bookmarkStart w:id="373" w:name="_Toc342296186"/>
      <w:bookmarkStart w:id="374" w:name="_Toc455587240"/>
      <w:bookmarkStart w:id="375" w:name="_Toc466024522"/>
      <w:bookmarkStart w:id="376" w:name="_Toc179632571"/>
      <w:bookmarkStart w:id="377" w:name="_Toc455587056"/>
      <w:bookmarkStart w:id="378" w:name="_Toc333587877"/>
      <w:bookmarkStart w:id="379" w:name="_Toc338944629"/>
      <w:bookmarkStart w:id="380" w:name="_Toc144974521"/>
      <w:bookmarkStart w:id="381" w:name="_Toc342297643"/>
      <w:bookmarkStart w:id="382" w:name="_Toc338943724"/>
      <w:bookmarkStart w:id="383" w:name="_Toc152045553"/>
      <w:bookmarkStart w:id="384" w:name="_Toc371415941"/>
      <w:bookmarkStart w:id="385" w:name="_Toc152042329"/>
      <w:bookmarkStart w:id="386" w:name="_Toc458504840"/>
      <w:bookmarkStart w:id="387" w:name="_Toc445554713"/>
      <w:bookmarkStart w:id="388" w:name="_Toc342294738"/>
      <w:r>
        <w:rPr>
          <w:rFonts w:hint="eastAsia" w:eastAsia="仿宋"/>
          <w:color w:val="000000"/>
          <w:sz w:val="24"/>
          <w:highlight w:val="none"/>
          <w:lang w:eastAsia="zh-CN"/>
        </w:rPr>
        <w:t>3.6 备选投标方案</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483A178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3.6.1 除投标人须知前附表另有规定外，投标人不得递交备选投标方案，</w:t>
      </w:r>
      <w:r>
        <w:rPr>
          <w:rFonts w:eastAsia="仿宋"/>
          <w:color w:val="000000"/>
          <w:sz w:val="24"/>
          <w:highlight w:val="none"/>
        </w:rPr>
        <w:t>否则其投标将</w:t>
      </w:r>
      <w:r>
        <w:rPr>
          <w:rFonts w:hint="eastAsia" w:eastAsia="仿宋"/>
          <w:color w:val="000000"/>
          <w:sz w:val="24"/>
          <w:highlight w:val="none"/>
        </w:rPr>
        <w:t>按无效处理</w:t>
      </w:r>
      <w:r>
        <w:rPr>
          <w:rFonts w:hint="eastAsia" w:ascii="宋体" w:hAnsi="宋体" w:eastAsia="仿宋"/>
          <w:color w:val="000000"/>
          <w:sz w:val="24"/>
          <w:highlight w:val="none"/>
        </w:rPr>
        <w:t>。</w:t>
      </w:r>
    </w:p>
    <w:p w14:paraId="57D83A4D">
      <w:pPr>
        <w:widowControl/>
        <w:adjustRightInd w:val="0"/>
        <w:snapToGrid w:val="0"/>
        <w:spacing w:line="360" w:lineRule="auto"/>
        <w:ind w:firstLine="480" w:firstLineChars="200"/>
        <w:rPr>
          <w:rFonts w:hint="eastAsia" w:eastAsia="仿宋"/>
          <w:color w:val="000000"/>
          <w:sz w:val="24"/>
          <w:highlight w:val="none"/>
        </w:rPr>
      </w:pPr>
      <w:r>
        <w:rPr>
          <w:rFonts w:hint="eastAsia" w:ascii="宋体" w:hAnsi="宋体" w:eastAsia="仿宋"/>
          <w:color w:val="000000"/>
          <w:sz w:val="24"/>
          <w:highlight w:val="none"/>
        </w:rPr>
        <w:t xml:space="preserve">3.6.2 </w:t>
      </w:r>
      <w:r>
        <w:rPr>
          <w:rFonts w:eastAsia="仿宋"/>
          <w:color w:val="000000"/>
          <w:sz w:val="24"/>
          <w:highlight w:val="none"/>
        </w:rPr>
        <w:t>允许投标人递交备选投标方案的，只有中标人所递交的备选投标方案方可予以考虑。评标委员会认为中标人的备选投标方案优于其按照招标文件要求编制的投标方案的，</w:t>
      </w:r>
      <w:r>
        <w:rPr>
          <w:rFonts w:hint="eastAsia" w:eastAsia="仿宋"/>
          <w:color w:val="000000"/>
          <w:sz w:val="24"/>
          <w:highlight w:val="none"/>
        </w:rPr>
        <w:t>采购</w:t>
      </w:r>
      <w:r>
        <w:rPr>
          <w:rFonts w:eastAsia="仿宋"/>
          <w:color w:val="000000"/>
          <w:sz w:val="24"/>
          <w:highlight w:val="none"/>
        </w:rPr>
        <w:t>人可以接受该备选投标方案。</w:t>
      </w:r>
    </w:p>
    <w:p w14:paraId="161D2D3D">
      <w:pPr>
        <w:widowControl/>
        <w:adjustRightInd w:val="0"/>
        <w:snapToGrid w:val="0"/>
        <w:spacing w:line="360" w:lineRule="auto"/>
        <w:ind w:firstLine="480" w:firstLineChars="200"/>
        <w:rPr>
          <w:rFonts w:eastAsia="仿宋"/>
          <w:color w:val="000000"/>
          <w:sz w:val="24"/>
          <w:highlight w:val="none"/>
        </w:rPr>
      </w:pPr>
      <w:r>
        <w:rPr>
          <w:rFonts w:ascii="宋体" w:hAnsi="宋体" w:eastAsia="仿宋"/>
          <w:color w:val="000000"/>
          <w:sz w:val="24"/>
          <w:highlight w:val="none"/>
        </w:rPr>
        <w:t>3.6.3 投标人提供两个或两个以上投标报价，或者在投标文件中提供一个报价，但同时提供两个或两</w:t>
      </w:r>
      <w:r>
        <w:rPr>
          <w:rFonts w:eastAsia="仿宋"/>
          <w:color w:val="000000"/>
          <w:sz w:val="24"/>
          <w:highlight w:val="none"/>
        </w:rPr>
        <w:t>个以上</w:t>
      </w:r>
      <w:bookmarkStart w:id="389" w:name="_Toc384308232"/>
      <w:bookmarkStart w:id="390" w:name="_Toc300834971"/>
      <w:bookmarkStart w:id="391" w:name="_Toc361508607"/>
      <w:bookmarkStart w:id="392" w:name="_Toc247513974"/>
      <w:bookmarkStart w:id="393" w:name="_Toc29902"/>
      <w:bookmarkStart w:id="394" w:name="_Toc247527575"/>
      <w:bookmarkStart w:id="395" w:name="_Toc369531538"/>
      <w:bookmarkStart w:id="396" w:name="_Toc352691495"/>
      <w:r>
        <w:rPr>
          <w:rFonts w:hint="eastAsia" w:eastAsia="仿宋"/>
          <w:color w:val="000000"/>
          <w:sz w:val="24"/>
          <w:highlight w:val="none"/>
        </w:rPr>
        <w:t>供货方案</w:t>
      </w:r>
      <w:r>
        <w:rPr>
          <w:rFonts w:eastAsia="仿宋"/>
          <w:color w:val="000000"/>
          <w:sz w:val="24"/>
          <w:highlight w:val="none"/>
        </w:rPr>
        <w:t>的</w:t>
      </w:r>
      <w:bookmarkEnd w:id="389"/>
      <w:bookmarkEnd w:id="390"/>
      <w:bookmarkEnd w:id="391"/>
      <w:bookmarkEnd w:id="392"/>
      <w:bookmarkEnd w:id="393"/>
      <w:bookmarkEnd w:id="394"/>
      <w:bookmarkEnd w:id="395"/>
      <w:bookmarkEnd w:id="396"/>
      <w:r>
        <w:rPr>
          <w:rFonts w:eastAsia="仿宋"/>
          <w:color w:val="000000"/>
          <w:sz w:val="24"/>
          <w:highlight w:val="none"/>
        </w:rPr>
        <w:t>，视为提供备选方案。</w:t>
      </w:r>
    </w:p>
    <w:p w14:paraId="4197192E">
      <w:pPr>
        <w:pStyle w:val="4"/>
        <w:adjustRightInd w:val="0"/>
        <w:ind w:firstLine="482" w:firstLineChars="200"/>
        <w:rPr>
          <w:rFonts w:eastAsia="仿宋"/>
          <w:color w:val="000000"/>
          <w:sz w:val="24"/>
          <w:highlight w:val="none"/>
          <w:lang w:eastAsia="zh-CN"/>
        </w:rPr>
      </w:pPr>
      <w:bookmarkStart w:id="397" w:name="_Toc466024523"/>
      <w:bookmarkStart w:id="398" w:name="_Toc455587241"/>
      <w:bookmarkStart w:id="399" w:name="_Toc371415942"/>
      <w:bookmarkStart w:id="400" w:name="_Toc445554714"/>
      <w:bookmarkStart w:id="401" w:name="_Toc458504841"/>
      <w:bookmarkStart w:id="402" w:name="_Toc455587057"/>
      <w:r>
        <w:rPr>
          <w:rFonts w:hint="eastAsia" w:eastAsia="仿宋"/>
          <w:color w:val="000000"/>
          <w:sz w:val="24"/>
          <w:highlight w:val="none"/>
          <w:lang w:eastAsia="zh-CN"/>
        </w:rPr>
        <w:t>3.7 投标文件的编制</w:t>
      </w:r>
      <w:bookmarkEnd w:id="397"/>
      <w:bookmarkEnd w:id="398"/>
      <w:bookmarkEnd w:id="399"/>
      <w:bookmarkEnd w:id="400"/>
      <w:bookmarkEnd w:id="401"/>
      <w:bookmarkEnd w:id="402"/>
    </w:p>
    <w:p w14:paraId="3F93BBB5">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3.7</w:t>
      </w:r>
      <w:r>
        <w:rPr>
          <w:rFonts w:ascii="宋体" w:hAnsi="宋体" w:eastAsia="仿宋"/>
          <w:color w:val="000000"/>
          <w:sz w:val="24"/>
          <w:highlight w:val="none"/>
        </w:rPr>
        <w:t>.1</w:t>
      </w:r>
      <w:r>
        <w:rPr>
          <w:rFonts w:hint="eastAsia" w:ascii="宋体" w:hAnsi="宋体" w:eastAsia="仿宋"/>
          <w:color w:val="000000"/>
          <w:sz w:val="24"/>
          <w:highlight w:val="none"/>
        </w:rPr>
        <w:t xml:space="preserve"> 投标文件应按</w:t>
      </w:r>
      <w:r>
        <w:rPr>
          <w:rFonts w:hint="eastAsia" w:eastAsia="仿宋"/>
          <w:color w:val="000000"/>
          <w:sz w:val="24"/>
          <w:highlight w:val="none"/>
        </w:rPr>
        <w:t>招标文件</w:t>
      </w:r>
      <w:r>
        <w:rPr>
          <w:rFonts w:hint="eastAsia" w:ascii="宋体" w:hAnsi="宋体" w:eastAsia="仿宋"/>
          <w:color w:val="000000"/>
          <w:sz w:val="24"/>
          <w:highlight w:val="none"/>
        </w:rPr>
        <w:t>规定格式进行编写，如有必要，可以增加附页、扩展表格，作为投标文件的组成部分。</w:t>
      </w:r>
    </w:p>
    <w:p w14:paraId="197844C7">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3.7</w:t>
      </w:r>
      <w:r>
        <w:rPr>
          <w:rFonts w:ascii="宋体" w:hAnsi="宋体" w:eastAsia="仿宋"/>
          <w:color w:val="000000"/>
          <w:sz w:val="24"/>
          <w:highlight w:val="none"/>
        </w:rPr>
        <w:t>.2</w:t>
      </w:r>
      <w:r>
        <w:rPr>
          <w:rFonts w:hint="eastAsia" w:ascii="宋体" w:hAnsi="宋体" w:eastAsia="仿宋"/>
          <w:color w:val="000000"/>
          <w:sz w:val="24"/>
          <w:highlight w:val="none"/>
        </w:rPr>
        <w:t xml:space="preserve"> 投标文件应当对招标文件有关采购需求、交付（实施）的时间（期限）、交付（实施）的地点（范围）、质保期、技术与服务要求、投标报价要求、投标有效期、付款方式、合同条款等实质性</w:t>
      </w:r>
      <w:r>
        <w:rPr>
          <w:rFonts w:hint="eastAsia" w:eastAsia="仿宋"/>
          <w:color w:val="000000"/>
          <w:sz w:val="24"/>
          <w:highlight w:val="none"/>
        </w:rPr>
        <w:t>内容</w:t>
      </w:r>
      <w:r>
        <w:rPr>
          <w:rFonts w:hint="eastAsia" w:ascii="宋体" w:hAnsi="宋体" w:eastAsia="仿宋"/>
          <w:color w:val="000000"/>
          <w:sz w:val="24"/>
          <w:highlight w:val="none"/>
        </w:rPr>
        <w:t>作出响应。投标文件在满足招标文件实质性要求的基础上，可以提出比招标文件要求更有利于采购人的承诺。</w:t>
      </w:r>
    </w:p>
    <w:p w14:paraId="6BACF39A">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3.7.3 投标人必须对其提交的资料的真实性负责，并接受采购人对其中任何资料进一步审查的要求。</w:t>
      </w:r>
    </w:p>
    <w:p w14:paraId="30C00F17">
      <w:pPr>
        <w:widowControl/>
        <w:adjustRightInd w:val="0"/>
        <w:snapToGrid w:val="0"/>
        <w:spacing w:line="360" w:lineRule="auto"/>
        <w:ind w:firstLine="480" w:firstLineChars="200"/>
        <w:rPr>
          <w:rFonts w:hint="eastAsia" w:ascii="宋体" w:hAnsi="宋体" w:eastAsia="仿宋"/>
          <w:color w:val="000000"/>
          <w:sz w:val="24"/>
          <w:highlight w:val="none"/>
        </w:rPr>
      </w:pPr>
      <w:r>
        <w:rPr>
          <w:rFonts w:ascii="宋体" w:hAnsi="宋体" w:eastAsia="仿宋"/>
          <w:color w:val="000000"/>
          <w:sz w:val="24"/>
          <w:highlight w:val="none"/>
        </w:rPr>
        <w:t>3.7.</w:t>
      </w:r>
      <w:r>
        <w:rPr>
          <w:rFonts w:hint="eastAsia" w:ascii="宋体" w:hAnsi="宋体" w:eastAsia="仿宋"/>
          <w:color w:val="000000"/>
          <w:sz w:val="24"/>
          <w:highlight w:val="none"/>
        </w:rPr>
        <w:t>4 投标文件的制作应满足以下规定：</w:t>
      </w:r>
    </w:p>
    <w:p w14:paraId="72DC6A0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1</w:t>
      </w:r>
      <w:r>
        <w:rPr>
          <w:rFonts w:hint="eastAsia" w:ascii="宋体" w:hAnsi="宋体" w:eastAsia="仿宋"/>
          <w:color w:val="000000"/>
          <w:sz w:val="24"/>
          <w:highlight w:val="none"/>
        </w:rPr>
        <w:t>）投标文件由投标人使用</w:t>
      </w:r>
      <w:r>
        <w:rPr>
          <w:rFonts w:ascii="宋体" w:hAnsi="宋体" w:eastAsia="仿宋"/>
          <w:color w:val="000000"/>
          <w:sz w:val="24"/>
          <w:highlight w:val="none"/>
        </w:rPr>
        <w:t>“</w:t>
      </w:r>
      <w:r>
        <w:rPr>
          <w:rFonts w:hint="eastAsia" w:ascii="宋体" w:hAnsi="宋体" w:eastAsia="仿宋"/>
          <w:color w:val="000000"/>
          <w:sz w:val="24"/>
          <w:highlight w:val="none"/>
        </w:rPr>
        <w:t>电子交易平台</w:t>
      </w:r>
      <w:r>
        <w:rPr>
          <w:rFonts w:ascii="宋体" w:hAnsi="宋体" w:eastAsia="仿宋"/>
          <w:color w:val="000000"/>
          <w:sz w:val="24"/>
          <w:highlight w:val="none"/>
        </w:rPr>
        <w:t>”</w:t>
      </w:r>
      <w:r>
        <w:rPr>
          <w:rFonts w:hint="eastAsia" w:ascii="宋体" w:hAnsi="宋体" w:eastAsia="仿宋"/>
          <w:color w:val="000000"/>
          <w:sz w:val="24"/>
          <w:highlight w:val="none"/>
        </w:rPr>
        <w:t>自带的</w:t>
      </w:r>
      <w:r>
        <w:rPr>
          <w:rFonts w:ascii="宋体" w:hAnsi="宋体" w:eastAsia="仿宋"/>
          <w:color w:val="000000"/>
          <w:sz w:val="24"/>
          <w:highlight w:val="none"/>
        </w:rPr>
        <w:t>“</w:t>
      </w:r>
      <w:r>
        <w:rPr>
          <w:rFonts w:hint="eastAsia" w:ascii="宋体" w:hAnsi="宋体" w:eastAsia="仿宋"/>
          <w:color w:val="000000"/>
          <w:sz w:val="24"/>
          <w:highlight w:val="none"/>
        </w:rPr>
        <w:t>投标文件制作工具</w:t>
      </w:r>
      <w:r>
        <w:rPr>
          <w:rFonts w:ascii="宋体" w:hAnsi="宋体" w:eastAsia="仿宋"/>
          <w:color w:val="000000"/>
          <w:sz w:val="24"/>
          <w:highlight w:val="none"/>
        </w:rPr>
        <w:t>”</w:t>
      </w:r>
      <w:r>
        <w:rPr>
          <w:rFonts w:hint="eastAsia" w:ascii="宋体" w:hAnsi="宋体" w:eastAsia="仿宋"/>
          <w:color w:val="000000"/>
          <w:sz w:val="24"/>
          <w:highlight w:val="none"/>
        </w:rPr>
        <w:t>制作生成，详见投标人须知前附表规定。</w:t>
      </w:r>
    </w:p>
    <w:p w14:paraId="3164420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2</w:t>
      </w:r>
      <w:r>
        <w:rPr>
          <w:rFonts w:hint="eastAsia" w:ascii="宋体" w:hAnsi="宋体" w:eastAsia="仿宋"/>
          <w:color w:val="000000"/>
          <w:sz w:val="24"/>
          <w:highlight w:val="none"/>
        </w:rPr>
        <w:t>）投标人在编制投标文件时应建立分级目录，并按照标签提示导入相关内容。</w:t>
      </w:r>
    </w:p>
    <w:p w14:paraId="74ADB2F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（3）除投标人须知前附表另有规定外，</w:t>
      </w:r>
      <w:r>
        <w:rPr>
          <w:rFonts w:ascii="宋体" w:hAnsi="宋体" w:eastAsia="仿宋"/>
          <w:color w:val="000000"/>
          <w:sz w:val="24"/>
          <w:highlight w:val="none"/>
        </w:rPr>
        <w:t>投标文件</w:t>
      </w:r>
      <w:r>
        <w:rPr>
          <w:rFonts w:hint="eastAsia" w:ascii="宋体" w:hAnsi="宋体" w:eastAsia="仿宋"/>
          <w:color w:val="000000"/>
          <w:sz w:val="24"/>
          <w:highlight w:val="none"/>
        </w:rPr>
        <w:t>中证明资料的</w:t>
      </w:r>
      <w:r>
        <w:rPr>
          <w:rFonts w:ascii="宋体" w:hAnsi="宋体" w:eastAsia="仿宋"/>
          <w:color w:val="000000"/>
          <w:sz w:val="24"/>
          <w:highlight w:val="none"/>
        </w:rPr>
        <w:t>“</w:t>
      </w:r>
      <w:r>
        <w:rPr>
          <w:rFonts w:hint="eastAsia" w:ascii="宋体" w:hAnsi="宋体" w:eastAsia="仿宋"/>
          <w:color w:val="000000"/>
          <w:sz w:val="24"/>
          <w:highlight w:val="none"/>
        </w:rPr>
        <w:t>复印件</w:t>
      </w:r>
      <w:r>
        <w:rPr>
          <w:rFonts w:ascii="宋体" w:hAnsi="宋体" w:eastAsia="仿宋"/>
          <w:color w:val="000000"/>
          <w:sz w:val="24"/>
          <w:highlight w:val="none"/>
        </w:rPr>
        <w:t>”均为</w:t>
      </w:r>
      <w:r>
        <w:rPr>
          <w:rFonts w:hint="eastAsia" w:ascii="宋体" w:hAnsi="宋体" w:eastAsia="仿宋"/>
          <w:color w:val="000000"/>
          <w:sz w:val="24"/>
          <w:highlight w:val="none"/>
        </w:rPr>
        <w:t>扫描件</w:t>
      </w:r>
      <w:r>
        <w:rPr>
          <w:rFonts w:ascii="宋体" w:hAnsi="宋体" w:eastAsia="仿宋"/>
          <w:color w:val="000000"/>
          <w:sz w:val="24"/>
          <w:highlight w:val="none"/>
        </w:rPr>
        <w:t>。</w:t>
      </w:r>
    </w:p>
    <w:p w14:paraId="2F97028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w:t>
      </w:r>
      <w:r>
        <w:rPr>
          <w:rFonts w:ascii="宋体" w:hAnsi="宋体" w:eastAsia="仿宋"/>
          <w:color w:val="000000"/>
          <w:sz w:val="24"/>
          <w:highlight w:val="none"/>
        </w:rPr>
        <w:t>“</w:t>
      </w:r>
      <w:r>
        <w:rPr>
          <w:rFonts w:hint="eastAsia" w:ascii="宋体" w:hAnsi="宋体" w:eastAsia="仿宋"/>
          <w:color w:val="000000"/>
          <w:sz w:val="24"/>
          <w:highlight w:val="none"/>
        </w:rPr>
        <w:t>投标文件格式</w:t>
      </w:r>
      <w:r>
        <w:rPr>
          <w:rFonts w:ascii="宋体" w:hAnsi="宋体" w:eastAsia="仿宋"/>
          <w:color w:val="000000"/>
          <w:sz w:val="24"/>
          <w:highlight w:val="none"/>
        </w:rPr>
        <w:t>”</w:t>
      </w:r>
      <w:r>
        <w:rPr>
          <w:rFonts w:hint="eastAsia" w:ascii="宋体" w:hAnsi="宋体" w:eastAsia="仿宋"/>
          <w:color w:val="000000"/>
          <w:sz w:val="24"/>
          <w:highlight w:val="none"/>
        </w:rPr>
        <w:t>中要求盖单位章和（或）签字的地方，投标人均应使用</w:t>
      </w:r>
      <w:r>
        <w:rPr>
          <w:rFonts w:ascii="宋体" w:hAnsi="宋体" w:eastAsia="仿宋"/>
          <w:color w:val="000000"/>
          <w:sz w:val="24"/>
          <w:highlight w:val="none"/>
        </w:rPr>
        <w:t xml:space="preserve">CA </w:t>
      </w:r>
      <w:r>
        <w:rPr>
          <w:rFonts w:hint="eastAsia" w:ascii="宋体" w:hAnsi="宋体" w:eastAsia="仿宋"/>
          <w:color w:val="000000"/>
          <w:sz w:val="24"/>
          <w:highlight w:val="none"/>
        </w:rPr>
        <w:t>数字证书加盖投标人的单位电子印章和（或）法定代表人的个人电子印章或电子签名章。联合体投标的，投标文件由联合体牵头人按上述规定加盖联合体牵头人单位电子印章和（或）法定代表人的个人电子印章或电子签名章。</w:t>
      </w:r>
    </w:p>
    <w:p w14:paraId="3BAE2300">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（5）投标文件制作完成后，投标人应使用</w:t>
      </w:r>
      <w:r>
        <w:rPr>
          <w:rFonts w:ascii="宋体" w:hAnsi="宋体" w:eastAsia="仿宋"/>
          <w:color w:val="000000"/>
          <w:sz w:val="24"/>
          <w:highlight w:val="none"/>
        </w:rPr>
        <w:t xml:space="preserve">CA </w:t>
      </w:r>
      <w:r>
        <w:rPr>
          <w:rFonts w:hint="eastAsia" w:ascii="宋体" w:hAnsi="宋体" w:eastAsia="仿宋"/>
          <w:color w:val="000000"/>
          <w:sz w:val="24"/>
          <w:highlight w:val="none"/>
        </w:rPr>
        <w:t>数字证书对投标文件进行文件加密，形成加密的投标文件、非加密的投标文件，非加密的投标文件提交形式见投标人须知前附表规定。</w:t>
      </w:r>
    </w:p>
    <w:p w14:paraId="4442F1F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（6）投标文件制作的具体方法详见</w:t>
      </w:r>
      <w:r>
        <w:rPr>
          <w:rFonts w:ascii="宋体" w:hAnsi="宋体" w:eastAsia="仿宋"/>
          <w:color w:val="000000"/>
          <w:sz w:val="24"/>
          <w:highlight w:val="none"/>
        </w:rPr>
        <w:t>“</w:t>
      </w:r>
      <w:r>
        <w:rPr>
          <w:rFonts w:hint="eastAsia" w:ascii="宋体" w:hAnsi="宋体" w:eastAsia="仿宋"/>
          <w:color w:val="000000"/>
          <w:sz w:val="24"/>
          <w:highlight w:val="none"/>
        </w:rPr>
        <w:t>投标文件制作工具</w:t>
      </w:r>
      <w:r>
        <w:rPr>
          <w:rFonts w:ascii="宋体" w:hAnsi="宋体" w:eastAsia="仿宋"/>
          <w:color w:val="000000"/>
          <w:sz w:val="24"/>
          <w:highlight w:val="none"/>
        </w:rPr>
        <w:t>”</w:t>
      </w:r>
      <w:r>
        <w:rPr>
          <w:rFonts w:hint="eastAsia" w:ascii="宋体" w:hAnsi="宋体" w:eastAsia="仿宋"/>
          <w:color w:val="000000"/>
          <w:sz w:val="24"/>
          <w:highlight w:val="none"/>
        </w:rPr>
        <w:t>中的帮助文档。</w:t>
      </w:r>
    </w:p>
    <w:p w14:paraId="21EFDFAB">
      <w:pPr>
        <w:widowControl/>
        <w:adjustRightInd w:val="0"/>
        <w:snapToGrid w:val="0"/>
        <w:spacing w:line="360" w:lineRule="auto"/>
        <w:ind w:firstLine="480" w:firstLineChars="200"/>
        <w:rPr>
          <w:rFonts w:hint="eastAsia" w:ascii="宋体" w:hAnsi="宋体" w:eastAsia="仿宋"/>
          <w:color w:val="000000"/>
          <w:sz w:val="24"/>
          <w:highlight w:val="none"/>
        </w:rPr>
      </w:pPr>
      <w:r>
        <w:rPr>
          <w:rFonts w:ascii="宋体" w:hAnsi="宋体" w:eastAsia="仿宋"/>
          <w:color w:val="000000"/>
          <w:sz w:val="24"/>
          <w:highlight w:val="none"/>
        </w:rPr>
        <w:t>3.7.</w:t>
      </w:r>
      <w:r>
        <w:rPr>
          <w:rFonts w:hint="eastAsia" w:ascii="宋体" w:hAnsi="宋体" w:eastAsia="仿宋"/>
          <w:color w:val="000000"/>
          <w:sz w:val="24"/>
          <w:highlight w:val="none"/>
        </w:rPr>
        <w:t>5</w:t>
      </w:r>
      <w:r>
        <w:rPr>
          <w:rFonts w:ascii="宋体" w:hAnsi="宋体" w:eastAsia="仿宋"/>
          <w:color w:val="000000"/>
          <w:sz w:val="24"/>
          <w:highlight w:val="none"/>
        </w:rPr>
        <w:t xml:space="preserve"> </w:t>
      </w:r>
      <w:r>
        <w:rPr>
          <w:rFonts w:hint="eastAsia" w:ascii="宋体" w:hAnsi="宋体" w:eastAsia="仿宋"/>
          <w:color w:val="000000"/>
          <w:sz w:val="24"/>
          <w:highlight w:val="none"/>
        </w:rPr>
        <w:t>因投标人自身原因而导致投标文件无法导入</w:t>
      </w:r>
      <w:r>
        <w:rPr>
          <w:rFonts w:ascii="宋体" w:hAnsi="宋体" w:eastAsia="仿宋"/>
          <w:color w:val="000000"/>
          <w:sz w:val="24"/>
          <w:highlight w:val="none"/>
        </w:rPr>
        <w:t>“</w:t>
      </w:r>
      <w:r>
        <w:rPr>
          <w:rFonts w:hint="eastAsia" w:ascii="宋体" w:hAnsi="宋体" w:eastAsia="仿宋"/>
          <w:color w:val="000000"/>
          <w:sz w:val="24"/>
          <w:highlight w:val="none"/>
        </w:rPr>
        <w:t>电子交易平台</w:t>
      </w:r>
      <w:r>
        <w:rPr>
          <w:rFonts w:ascii="宋体" w:hAnsi="宋体" w:eastAsia="仿宋"/>
          <w:color w:val="000000"/>
          <w:sz w:val="24"/>
          <w:highlight w:val="none"/>
        </w:rPr>
        <w:t>”</w:t>
      </w:r>
      <w:r>
        <w:rPr>
          <w:rFonts w:hint="eastAsia" w:ascii="宋体" w:hAnsi="宋体" w:eastAsia="仿宋"/>
          <w:color w:val="000000"/>
          <w:sz w:val="24"/>
          <w:highlight w:val="none"/>
        </w:rPr>
        <w:t>电子开标、评标系统，该投标视为无效投标，投标人自行承担由此导致的全部责任。</w:t>
      </w:r>
    </w:p>
    <w:p w14:paraId="31878647">
      <w:pPr>
        <w:pStyle w:val="3"/>
        <w:rPr>
          <w:rStyle w:val="107"/>
          <w:rFonts w:ascii="宋体" w:hAnsi="宋体" w:eastAsia="仿宋"/>
          <w:b/>
          <w:bCs/>
          <w:color w:val="000000"/>
          <w:sz w:val="24"/>
          <w:szCs w:val="24"/>
          <w:highlight w:val="none"/>
        </w:rPr>
      </w:pPr>
      <w:bookmarkStart w:id="403" w:name="_Toc342297645"/>
      <w:bookmarkStart w:id="404" w:name="_Toc466024524"/>
      <w:bookmarkStart w:id="405" w:name="_Toc371415943"/>
      <w:bookmarkStart w:id="406" w:name="_Toc455587058"/>
      <w:bookmarkStart w:id="407" w:name="_Toc333599685"/>
      <w:bookmarkStart w:id="408" w:name="_Toc179632573"/>
      <w:bookmarkStart w:id="409" w:name="_Toc152042331"/>
      <w:bookmarkStart w:id="410" w:name="_Toc144974523"/>
      <w:bookmarkStart w:id="411" w:name="_Toc152045555"/>
      <w:bookmarkStart w:id="412" w:name="_Toc342296188"/>
      <w:bookmarkStart w:id="413" w:name="_Toc458504842"/>
      <w:bookmarkStart w:id="414" w:name="_Toc338943726"/>
      <w:bookmarkStart w:id="415" w:name="_Toc455587242"/>
      <w:bookmarkStart w:id="416" w:name="_Toc333600709"/>
      <w:bookmarkStart w:id="417" w:name="_Toc445554715"/>
      <w:bookmarkStart w:id="418" w:name="_Toc338944631"/>
      <w:bookmarkStart w:id="419" w:name="_Toc342294740"/>
      <w:r>
        <w:rPr>
          <w:rStyle w:val="107"/>
          <w:rFonts w:hint="eastAsia" w:ascii="宋体" w:hAnsi="宋体" w:eastAsia="仿宋"/>
          <w:b/>
          <w:bCs/>
          <w:color w:val="000000"/>
          <w:sz w:val="24"/>
          <w:szCs w:val="24"/>
          <w:highlight w:val="none"/>
        </w:rPr>
        <w:t>4. 投标</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7EEDFE2F">
      <w:pPr>
        <w:pStyle w:val="4"/>
        <w:adjustRightInd w:val="0"/>
        <w:ind w:firstLine="482" w:firstLineChars="200"/>
        <w:rPr>
          <w:rFonts w:eastAsia="仿宋"/>
          <w:color w:val="000000"/>
          <w:sz w:val="24"/>
          <w:highlight w:val="none"/>
          <w:lang w:eastAsia="zh-CN"/>
        </w:rPr>
      </w:pPr>
      <w:bookmarkStart w:id="420" w:name="_Toc371415944"/>
      <w:bookmarkStart w:id="421" w:name="_Toc466024525"/>
      <w:bookmarkStart w:id="422" w:name="_Toc342297646"/>
      <w:bookmarkStart w:id="423" w:name="_Toc445554716"/>
      <w:bookmarkStart w:id="424" w:name="_Toc338944632"/>
      <w:bookmarkStart w:id="425" w:name="_Toc455587059"/>
      <w:bookmarkStart w:id="426" w:name="_Toc338943727"/>
      <w:bookmarkStart w:id="427" w:name="_Toc333599686"/>
      <w:bookmarkStart w:id="428" w:name="_Toc458504843"/>
      <w:bookmarkStart w:id="429" w:name="_Toc333587880"/>
      <w:bookmarkStart w:id="430" w:name="_Toc152042332"/>
      <w:bookmarkStart w:id="431" w:name="_Toc342294741"/>
      <w:bookmarkStart w:id="432" w:name="_Toc144974524"/>
      <w:bookmarkStart w:id="433" w:name="_Toc179632574"/>
      <w:bookmarkStart w:id="434" w:name="_Toc333600710"/>
      <w:bookmarkStart w:id="435" w:name="_Toc455587243"/>
      <w:bookmarkStart w:id="436" w:name="_Toc342296189"/>
      <w:bookmarkStart w:id="437" w:name="_Toc152045556"/>
      <w:r>
        <w:rPr>
          <w:rFonts w:hint="eastAsia" w:eastAsia="仿宋"/>
          <w:color w:val="000000"/>
          <w:sz w:val="24"/>
          <w:highlight w:val="none"/>
          <w:lang w:eastAsia="zh-CN"/>
        </w:rPr>
        <w:t>4.1 投标文件的加密</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4FA8A06B">
      <w:pPr>
        <w:widowControl/>
        <w:adjustRightInd w:val="0"/>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4.1.1</w:t>
      </w:r>
      <w:r>
        <w:rPr>
          <w:rFonts w:hint="eastAsia" w:ascii="宋体" w:hAnsi="宋体" w:eastAsia="仿宋"/>
          <w:color w:val="000000"/>
          <w:sz w:val="24"/>
          <w:highlight w:val="none"/>
        </w:rPr>
        <w:t xml:space="preserve"> </w:t>
      </w:r>
      <w:r>
        <w:rPr>
          <w:rFonts w:ascii="宋体" w:hAnsi="宋体" w:eastAsia="仿宋"/>
          <w:color w:val="000000"/>
          <w:sz w:val="24"/>
          <w:highlight w:val="none"/>
        </w:rPr>
        <w:t>投标人应当按照招标文件和电子交易平台的要求加密投标文件，具体要求见投标人须知前附表。</w:t>
      </w:r>
    </w:p>
    <w:p w14:paraId="355C3DB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4.1.2 未按照上述要求加密的投标文件，电子交易平台将予以拒收。</w:t>
      </w:r>
    </w:p>
    <w:p w14:paraId="55679CF8">
      <w:pPr>
        <w:pStyle w:val="4"/>
        <w:adjustRightInd w:val="0"/>
        <w:ind w:firstLine="482" w:firstLineChars="200"/>
        <w:rPr>
          <w:rFonts w:eastAsia="仿宋"/>
          <w:color w:val="000000"/>
          <w:sz w:val="24"/>
          <w:highlight w:val="none"/>
          <w:lang w:eastAsia="zh-CN"/>
        </w:rPr>
      </w:pPr>
      <w:bookmarkStart w:id="438" w:name="_Toc455587060"/>
      <w:bookmarkStart w:id="439" w:name="_Toc371415945"/>
      <w:bookmarkStart w:id="440" w:name="_Toc458504844"/>
      <w:bookmarkStart w:id="441" w:name="_Toc445554717"/>
      <w:bookmarkStart w:id="442" w:name="_Toc466024526"/>
      <w:bookmarkStart w:id="443" w:name="_Toc455587244"/>
      <w:r>
        <w:rPr>
          <w:rFonts w:hint="eastAsia" w:eastAsia="仿宋"/>
          <w:color w:val="000000"/>
          <w:sz w:val="24"/>
          <w:highlight w:val="none"/>
          <w:lang w:eastAsia="zh-CN"/>
        </w:rPr>
        <w:t>4.2 投标文件的递交</w:t>
      </w:r>
      <w:bookmarkEnd w:id="438"/>
      <w:bookmarkEnd w:id="439"/>
      <w:bookmarkEnd w:id="440"/>
      <w:bookmarkEnd w:id="441"/>
      <w:bookmarkEnd w:id="442"/>
      <w:bookmarkEnd w:id="443"/>
    </w:p>
    <w:p w14:paraId="1B9BBDD0">
      <w:pPr>
        <w:widowControl/>
        <w:adjustRightInd w:val="0"/>
        <w:snapToGrid w:val="0"/>
        <w:spacing w:line="360" w:lineRule="auto"/>
        <w:ind w:firstLine="480" w:firstLineChars="200"/>
        <w:rPr>
          <w:rFonts w:hint="eastAsia" w:eastAsia="仿宋"/>
          <w:color w:val="000000"/>
          <w:sz w:val="24"/>
          <w:highlight w:val="none"/>
        </w:rPr>
      </w:pPr>
      <w:r>
        <w:rPr>
          <w:rFonts w:hint="eastAsia" w:ascii="宋体" w:hAnsi="宋体" w:eastAsia="仿宋"/>
          <w:color w:val="000000"/>
          <w:sz w:val="24"/>
          <w:highlight w:val="none"/>
        </w:rPr>
        <w:t xml:space="preserve">4.2.1 </w:t>
      </w:r>
      <w:r>
        <w:rPr>
          <w:rFonts w:eastAsia="仿宋"/>
          <w:color w:val="000000"/>
          <w:sz w:val="24"/>
          <w:highlight w:val="none"/>
        </w:rPr>
        <w:t>投标人应在</w:t>
      </w:r>
      <w:r>
        <w:rPr>
          <w:rFonts w:hint="eastAsia" w:eastAsia="仿宋"/>
          <w:color w:val="000000"/>
          <w:sz w:val="24"/>
          <w:highlight w:val="none"/>
        </w:rPr>
        <w:t>招标公告规定的</w:t>
      </w:r>
      <w:r>
        <w:rPr>
          <w:rFonts w:eastAsia="仿宋"/>
          <w:color w:val="000000"/>
          <w:sz w:val="24"/>
          <w:highlight w:val="none"/>
        </w:rPr>
        <w:t>投标截止时间前递交投标文件。</w:t>
      </w:r>
    </w:p>
    <w:p w14:paraId="17C83C8E">
      <w:pPr>
        <w:widowControl/>
        <w:adjustRightInd w:val="0"/>
        <w:snapToGrid w:val="0"/>
        <w:spacing w:line="360" w:lineRule="auto"/>
        <w:ind w:firstLine="480" w:firstLineChars="200"/>
        <w:rPr>
          <w:rFonts w:eastAsia="仿宋"/>
          <w:color w:val="000000"/>
          <w:sz w:val="24"/>
          <w:highlight w:val="none"/>
        </w:rPr>
      </w:pPr>
      <w:r>
        <w:rPr>
          <w:rFonts w:hint="eastAsia" w:ascii="宋体" w:hAnsi="宋体" w:eastAsia="仿宋"/>
          <w:color w:val="000000"/>
          <w:sz w:val="24"/>
          <w:highlight w:val="none"/>
        </w:rPr>
        <w:t>4.2.2</w:t>
      </w:r>
      <w:r>
        <w:rPr>
          <w:rFonts w:hint="eastAsia" w:eastAsia="仿宋"/>
          <w:color w:val="000000"/>
          <w:sz w:val="24"/>
          <w:highlight w:val="none"/>
        </w:rPr>
        <w:t xml:space="preserve"> 投标人应当通过电子交易平台递交投标文件。投标人应充分考虑上传文件时的不可预见因素，未在投标截止时间前完成上传的，视为逾期送达，采购人（</w:t>
      </w:r>
      <w:r>
        <w:rPr>
          <w:rFonts w:eastAsia="仿宋"/>
          <w:color w:val="000000"/>
          <w:sz w:val="24"/>
          <w:highlight w:val="none"/>
        </w:rPr>
        <w:t>“</w:t>
      </w:r>
      <w:r>
        <w:rPr>
          <w:rFonts w:hint="eastAsia" w:eastAsia="仿宋"/>
          <w:color w:val="000000"/>
          <w:sz w:val="24"/>
          <w:highlight w:val="none"/>
        </w:rPr>
        <w:t>电子交易平台</w:t>
      </w:r>
      <w:r>
        <w:rPr>
          <w:rFonts w:eastAsia="仿宋"/>
          <w:color w:val="000000"/>
          <w:sz w:val="24"/>
          <w:highlight w:val="none"/>
        </w:rPr>
        <w:t>”</w:t>
      </w:r>
      <w:r>
        <w:rPr>
          <w:rFonts w:hint="eastAsia" w:eastAsia="仿宋"/>
          <w:color w:val="000000"/>
          <w:sz w:val="24"/>
          <w:highlight w:val="none"/>
        </w:rPr>
        <w:t>）将拒绝接收。详见投标人须知前附表规定。</w:t>
      </w:r>
    </w:p>
    <w:p w14:paraId="002C2D8B">
      <w:pPr>
        <w:widowControl/>
        <w:adjustRightInd w:val="0"/>
        <w:snapToGrid w:val="0"/>
        <w:spacing w:line="360" w:lineRule="auto"/>
        <w:ind w:firstLine="480" w:firstLineChars="200"/>
        <w:rPr>
          <w:rFonts w:eastAsia="仿宋"/>
          <w:color w:val="000000"/>
          <w:sz w:val="24"/>
          <w:highlight w:val="none"/>
        </w:rPr>
      </w:pPr>
      <w:r>
        <w:rPr>
          <w:rFonts w:hint="eastAsia" w:ascii="宋体" w:hAnsi="宋体" w:eastAsia="仿宋"/>
          <w:color w:val="000000"/>
          <w:sz w:val="24"/>
          <w:highlight w:val="none"/>
        </w:rPr>
        <w:t>4.2.3</w:t>
      </w:r>
      <w:r>
        <w:rPr>
          <w:rFonts w:hint="eastAsia" w:eastAsia="仿宋"/>
          <w:color w:val="000000"/>
          <w:sz w:val="24"/>
          <w:highlight w:val="none"/>
        </w:rPr>
        <w:t xml:space="preserve"> 除投标人须知前附表另有规定外，投标人所递交的投标文件不予退还。</w:t>
      </w:r>
    </w:p>
    <w:p w14:paraId="1E1A463B">
      <w:pPr>
        <w:pStyle w:val="4"/>
        <w:adjustRightInd w:val="0"/>
        <w:ind w:firstLine="482" w:firstLineChars="200"/>
        <w:rPr>
          <w:rFonts w:eastAsia="仿宋"/>
          <w:color w:val="000000"/>
          <w:sz w:val="24"/>
          <w:highlight w:val="none"/>
          <w:lang w:eastAsia="zh-CN"/>
        </w:rPr>
      </w:pPr>
      <w:bookmarkStart w:id="444" w:name="_Toc179632576"/>
      <w:bookmarkStart w:id="445" w:name="_Toc342294743"/>
      <w:bookmarkStart w:id="446" w:name="_Toc371415946"/>
      <w:bookmarkStart w:id="447" w:name="_Toc333599688"/>
      <w:bookmarkStart w:id="448" w:name="_Toc455587061"/>
      <w:bookmarkStart w:id="449" w:name="_Toc152045558"/>
      <w:bookmarkStart w:id="450" w:name="_Toc333600712"/>
      <w:bookmarkStart w:id="451" w:name="_Toc338943729"/>
      <w:bookmarkStart w:id="452" w:name="_Toc338944634"/>
      <w:bookmarkStart w:id="453" w:name="_Toc152042334"/>
      <w:bookmarkStart w:id="454" w:name="_Toc455587245"/>
      <w:bookmarkStart w:id="455" w:name="_Toc342296191"/>
      <w:bookmarkStart w:id="456" w:name="_Toc342297648"/>
      <w:bookmarkStart w:id="457" w:name="_Toc458504845"/>
      <w:bookmarkStart w:id="458" w:name="_Toc466024527"/>
      <w:bookmarkStart w:id="459" w:name="_Toc144974526"/>
      <w:bookmarkStart w:id="460" w:name="_Toc445554718"/>
      <w:bookmarkStart w:id="461" w:name="_Toc333587882"/>
      <w:r>
        <w:rPr>
          <w:rFonts w:hint="eastAsia" w:eastAsia="仿宋"/>
          <w:color w:val="000000"/>
          <w:sz w:val="24"/>
          <w:highlight w:val="none"/>
          <w:lang w:eastAsia="zh-CN"/>
        </w:rPr>
        <w:t>4.3 投标文件的修改与撤回</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17C9A1A3">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4.3</w:t>
      </w:r>
      <w:r>
        <w:rPr>
          <w:rFonts w:ascii="宋体" w:hAnsi="宋体" w:eastAsia="仿宋"/>
          <w:color w:val="000000"/>
          <w:sz w:val="24"/>
          <w:highlight w:val="none"/>
        </w:rPr>
        <w:t>.1</w:t>
      </w:r>
      <w:r>
        <w:rPr>
          <w:rFonts w:hint="eastAsia" w:ascii="宋体" w:hAnsi="宋体" w:eastAsia="仿宋"/>
          <w:color w:val="000000"/>
          <w:sz w:val="24"/>
          <w:highlight w:val="none"/>
        </w:rPr>
        <w:t xml:space="preserve"> 在规定的投标截止时间前，投标人可以补充、修改或撤回已递交的投标文件，但应以书面形式通知采购人。</w:t>
      </w:r>
    </w:p>
    <w:p w14:paraId="747A95E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4.3.2 投标人修改或撤回已递交投标文件的通知，应按照本章第3.7.4项的要求加盖电子印章。电子交易平台收到通知后，即时向投标人发出确认回执通知。</w:t>
      </w:r>
    </w:p>
    <w:p w14:paraId="5333ECF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4.3.3 投标人撤回投标文件的，</w:t>
      </w:r>
      <w:r>
        <w:rPr>
          <w:rFonts w:hint="eastAsia" w:eastAsia="仿宋"/>
          <w:color w:val="000000"/>
          <w:sz w:val="24"/>
          <w:highlight w:val="none"/>
        </w:rPr>
        <w:t>采购</w:t>
      </w:r>
      <w:r>
        <w:rPr>
          <w:rFonts w:hint="eastAsia" w:ascii="宋体" w:hAnsi="宋体" w:eastAsia="仿宋"/>
          <w:color w:val="000000"/>
          <w:sz w:val="24"/>
          <w:highlight w:val="none"/>
        </w:rPr>
        <w:t>人自收到投标人书面撤回通知之日起5日内退还已收取的投标保证金。</w:t>
      </w:r>
    </w:p>
    <w:p w14:paraId="119D5BD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4.3.4 补充、修改的内容为投标文件的组成部分，只需提供一份。补充、修改的投标文件应按照本章第3条、第4条的规定进行编制、加密、标记和递交，并标明“补充”或“修改”字样。</w:t>
      </w:r>
    </w:p>
    <w:p w14:paraId="4B7B9971">
      <w:pPr>
        <w:pStyle w:val="3"/>
        <w:rPr>
          <w:rStyle w:val="107"/>
          <w:rFonts w:hint="eastAsia" w:ascii="宋体" w:hAnsi="宋体" w:eastAsia="仿宋"/>
          <w:b/>
          <w:bCs/>
          <w:color w:val="000000"/>
          <w:sz w:val="24"/>
          <w:szCs w:val="24"/>
          <w:highlight w:val="none"/>
        </w:rPr>
      </w:pPr>
      <w:bookmarkStart w:id="462" w:name="_Toc342294744"/>
      <w:bookmarkStart w:id="463" w:name="_Toc455587246"/>
      <w:bookmarkStart w:id="464" w:name="_Toc371415947"/>
      <w:bookmarkStart w:id="465" w:name="_Toc152042335"/>
      <w:bookmarkStart w:id="466" w:name="_Toc333600713"/>
      <w:bookmarkStart w:id="467" w:name="_Toc338944635"/>
      <w:bookmarkStart w:id="468" w:name="_Toc152045559"/>
      <w:bookmarkStart w:id="469" w:name="_Toc333599689"/>
      <w:bookmarkStart w:id="470" w:name="_Toc455587062"/>
      <w:bookmarkStart w:id="471" w:name="_Toc458504846"/>
      <w:bookmarkStart w:id="472" w:name="_Toc338943730"/>
      <w:bookmarkStart w:id="473" w:name="_Toc144974527"/>
      <w:bookmarkStart w:id="474" w:name="_Toc342296192"/>
      <w:bookmarkStart w:id="475" w:name="_Toc179632577"/>
      <w:bookmarkStart w:id="476" w:name="_Toc342297649"/>
      <w:bookmarkStart w:id="477" w:name="_Toc466024528"/>
      <w:bookmarkStart w:id="478" w:name="_Toc445554719"/>
      <w:r>
        <w:rPr>
          <w:rStyle w:val="107"/>
          <w:rFonts w:hint="eastAsia" w:ascii="宋体" w:hAnsi="宋体" w:eastAsia="仿宋"/>
          <w:b/>
          <w:bCs/>
          <w:color w:val="000000"/>
          <w:sz w:val="24"/>
          <w:szCs w:val="24"/>
          <w:highlight w:val="none"/>
        </w:rPr>
        <w:t>5. 开标</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25E0BF07">
      <w:pPr>
        <w:pStyle w:val="4"/>
        <w:adjustRightInd w:val="0"/>
        <w:ind w:firstLine="482" w:firstLineChars="200"/>
        <w:rPr>
          <w:rFonts w:eastAsia="仿宋"/>
          <w:color w:val="000000"/>
          <w:sz w:val="24"/>
          <w:highlight w:val="none"/>
          <w:lang w:eastAsia="zh-CN"/>
        </w:rPr>
      </w:pPr>
      <w:bookmarkStart w:id="479" w:name="_Toc455587063"/>
      <w:bookmarkStart w:id="480" w:name="_Toc144974528"/>
      <w:bookmarkStart w:id="481" w:name="_Toc458504847"/>
      <w:bookmarkStart w:id="482" w:name="_Toc338943731"/>
      <w:bookmarkStart w:id="483" w:name="_Toc342294745"/>
      <w:bookmarkStart w:id="484" w:name="_Toc466024529"/>
      <w:bookmarkStart w:id="485" w:name="_Toc338944636"/>
      <w:bookmarkStart w:id="486" w:name="_Toc152045560"/>
      <w:bookmarkStart w:id="487" w:name="_Toc342296193"/>
      <w:bookmarkStart w:id="488" w:name="_Toc342297650"/>
      <w:bookmarkStart w:id="489" w:name="_Toc179632578"/>
      <w:bookmarkStart w:id="490" w:name="_Toc333587884"/>
      <w:bookmarkStart w:id="491" w:name="_Toc333600714"/>
      <w:bookmarkStart w:id="492" w:name="_Toc152042336"/>
      <w:bookmarkStart w:id="493" w:name="_Toc333599690"/>
      <w:bookmarkStart w:id="494" w:name="_Toc371415948"/>
      <w:bookmarkStart w:id="495" w:name="_Toc445554720"/>
      <w:bookmarkStart w:id="496" w:name="_Toc455587247"/>
      <w:r>
        <w:rPr>
          <w:rFonts w:hint="eastAsia" w:eastAsia="仿宋"/>
          <w:color w:val="000000"/>
          <w:sz w:val="24"/>
          <w:highlight w:val="none"/>
          <w:lang w:eastAsia="zh-CN"/>
        </w:rPr>
        <w:t xml:space="preserve">5.1 </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rFonts w:hint="eastAsia" w:eastAsia="仿宋"/>
          <w:color w:val="000000"/>
          <w:sz w:val="24"/>
          <w:highlight w:val="none"/>
          <w:lang w:eastAsia="zh-CN"/>
        </w:rPr>
        <w:t>开标时间和地点</w:t>
      </w:r>
    </w:p>
    <w:p w14:paraId="6F970375">
      <w:pPr>
        <w:widowControl/>
        <w:adjustRightInd w:val="0"/>
        <w:snapToGrid w:val="0"/>
        <w:spacing w:line="360" w:lineRule="auto"/>
        <w:ind w:firstLine="480" w:firstLineChars="200"/>
        <w:rPr>
          <w:rFonts w:eastAsia="仿宋"/>
          <w:color w:val="000000"/>
          <w:sz w:val="24"/>
          <w:highlight w:val="none"/>
        </w:rPr>
      </w:pPr>
      <w:r>
        <w:rPr>
          <w:rFonts w:hint="eastAsia" w:eastAsia="仿宋"/>
          <w:color w:val="000000"/>
          <w:sz w:val="24"/>
          <w:highlight w:val="none"/>
        </w:rPr>
        <w:t>采购</w:t>
      </w:r>
      <w:r>
        <w:rPr>
          <w:rFonts w:eastAsia="仿宋"/>
          <w:color w:val="000000"/>
          <w:sz w:val="24"/>
          <w:highlight w:val="none"/>
        </w:rPr>
        <w:t>人在</w:t>
      </w:r>
      <w:r>
        <w:rPr>
          <w:rFonts w:hint="eastAsia" w:eastAsia="仿宋"/>
          <w:color w:val="000000"/>
          <w:sz w:val="24"/>
          <w:highlight w:val="none"/>
        </w:rPr>
        <w:t>招标公告规定的</w:t>
      </w:r>
      <w:r>
        <w:rPr>
          <w:rFonts w:eastAsia="仿宋"/>
          <w:color w:val="000000"/>
          <w:sz w:val="24"/>
          <w:highlight w:val="none"/>
        </w:rPr>
        <w:t>开标时间</w:t>
      </w:r>
      <w:r>
        <w:rPr>
          <w:rFonts w:hint="eastAsia" w:eastAsia="仿宋"/>
          <w:color w:val="000000"/>
          <w:sz w:val="24"/>
          <w:highlight w:val="none"/>
        </w:rPr>
        <w:t>和开标地点，</w:t>
      </w:r>
      <w:r>
        <w:rPr>
          <w:rFonts w:eastAsia="仿宋"/>
          <w:color w:val="000000"/>
          <w:sz w:val="24"/>
          <w:highlight w:val="none"/>
        </w:rPr>
        <w:t>通过电子招标投标交易平台公开开标，所有投标人</w:t>
      </w:r>
      <w:r>
        <w:rPr>
          <w:rFonts w:hint="eastAsia" w:eastAsia="仿宋"/>
          <w:color w:val="000000"/>
          <w:sz w:val="24"/>
          <w:highlight w:val="none"/>
        </w:rPr>
        <w:t>可以</w:t>
      </w:r>
      <w:r>
        <w:rPr>
          <w:rFonts w:hint="eastAsia" w:ascii="楷体" w:hAnsi="楷体" w:eastAsia="仿宋" w:cs="Calibri"/>
          <w:color w:val="000000"/>
          <w:sz w:val="24"/>
          <w:highlight w:val="none"/>
        </w:rPr>
        <w:t>采用网上远程方式</w:t>
      </w:r>
      <w:r>
        <w:rPr>
          <w:rFonts w:hint="eastAsia" w:eastAsia="仿宋"/>
          <w:color w:val="000000"/>
          <w:sz w:val="24"/>
          <w:highlight w:val="none"/>
        </w:rPr>
        <w:t>参与开标，无须现场参加开标</w:t>
      </w:r>
      <w:r>
        <w:rPr>
          <w:rFonts w:eastAsia="仿宋"/>
          <w:color w:val="000000"/>
          <w:sz w:val="24"/>
          <w:highlight w:val="none"/>
        </w:rPr>
        <w:t>。</w:t>
      </w:r>
    </w:p>
    <w:p w14:paraId="59E1E45F">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5.2 开标程序</w:t>
      </w:r>
    </w:p>
    <w:p w14:paraId="0207F406">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按下列程序进行开标：</w:t>
      </w:r>
    </w:p>
    <w:p w14:paraId="041B840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（1）播放开标纪律；</w:t>
      </w:r>
    </w:p>
    <w:p w14:paraId="26B35100">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（2）公布在投标截止时间前递交投标文件的投标人名称；</w:t>
      </w:r>
    </w:p>
    <w:p w14:paraId="7448EFC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（3）按投标人须知前附表规定通过电子招标投标交易平台对已递交的电子投标文件进行解密；</w:t>
      </w:r>
    </w:p>
    <w:p w14:paraId="78F687B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（4）唱标，公布招标项目名称、投标人名称、投标报价及其他内容；</w:t>
      </w:r>
    </w:p>
    <w:p w14:paraId="462A0505">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（5）开标结束。</w:t>
      </w:r>
    </w:p>
    <w:p w14:paraId="2E6B39CF">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5.3 开标疑义</w:t>
      </w:r>
    </w:p>
    <w:p w14:paraId="76C89F6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C27FAF4">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投标人未参加开标的，视同认可开标结果。</w:t>
      </w:r>
    </w:p>
    <w:p w14:paraId="45877492">
      <w:pPr>
        <w:pStyle w:val="3"/>
        <w:rPr>
          <w:rStyle w:val="107"/>
          <w:rFonts w:hint="eastAsia" w:ascii="宋体" w:hAnsi="宋体" w:eastAsia="仿宋"/>
          <w:b/>
          <w:bCs/>
          <w:color w:val="000000"/>
          <w:sz w:val="24"/>
          <w:szCs w:val="24"/>
          <w:highlight w:val="none"/>
        </w:rPr>
      </w:pPr>
      <w:bookmarkStart w:id="497" w:name="_Toc371415950"/>
      <w:bookmarkStart w:id="498" w:name="_Toc144974530"/>
      <w:bookmarkStart w:id="499" w:name="_Toc179632580"/>
      <w:bookmarkStart w:id="500" w:name="_Toc466024531"/>
      <w:bookmarkStart w:id="501" w:name="_Toc333600716"/>
      <w:bookmarkStart w:id="502" w:name="_Toc338943733"/>
      <w:bookmarkStart w:id="503" w:name="_Toc445554723"/>
      <w:bookmarkStart w:id="504" w:name="_Toc342297652"/>
      <w:bookmarkStart w:id="505" w:name="_Toc338944638"/>
      <w:bookmarkStart w:id="506" w:name="_Toc152042338"/>
      <w:bookmarkStart w:id="507" w:name="_Toc458504849"/>
      <w:bookmarkStart w:id="508" w:name="_Toc455587066"/>
      <w:bookmarkStart w:id="509" w:name="_Toc455587250"/>
      <w:bookmarkStart w:id="510" w:name="_Toc333599692"/>
      <w:bookmarkStart w:id="511" w:name="_Toc342294747"/>
      <w:bookmarkStart w:id="512" w:name="_Toc342296195"/>
      <w:bookmarkStart w:id="513" w:name="_Toc152045562"/>
      <w:r>
        <w:rPr>
          <w:rStyle w:val="107"/>
          <w:rFonts w:hint="eastAsia" w:ascii="宋体" w:hAnsi="宋体" w:eastAsia="仿宋"/>
          <w:b/>
          <w:bCs/>
          <w:color w:val="000000"/>
          <w:sz w:val="24"/>
          <w:szCs w:val="24"/>
          <w:highlight w:val="none"/>
        </w:rPr>
        <w:t>6. 评标</w:t>
      </w:r>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14:paraId="7BEE468E">
      <w:pPr>
        <w:pStyle w:val="4"/>
        <w:adjustRightInd w:val="0"/>
        <w:ind w:firstLine="482" w:firstLineChars="200"/>
        <w:rPr>
          <w:rFonts w:eastAsia="仿宋"/>
          <w:color w:val="000000"/>
          <w:sz w:val="24"/>
          <w:highlight w:val="none"/>
          <w:lang w:eastAsia="zh-CN"/>
        </w:rPr>
      </w:pPr>
      <w:bookmarkStart w:id="514" w:name="_Toc179632581"/>
      <w:bookmarkStart w:id="515" w:name="_Toc152042339"/>
      <w:bookmarkStart w:id="516" w:name="_Toc144974531"/>
      <w:bookmarkStart w:id="517" w:name="_Toc458504850"/>
      <w:bookmarkStart w:id="518" w:name="_Toc333599693"/>
      <w:bookmarkStart w:id="519" w:name="_Toc466024532"/>
      <w:bookmarkStart w:id="520" w:name="_Toc333600717"/>
      <w:bookmarkStart w:id="521" w:name="_Toc342296196"/>
      <w:bookmarkStart w:id="522" w:name="_Toc338944639"/>
      <w:bookmarkStart w:id="523" w:name="_Toc338943734"/>
      <w:bookmarkStart w:id="524" w:name="_Toc455587067"/>
      <w:bookmarkStart w:id="525" w:name="_Toc342297653"/>
      <w:bookmarkStart w:id="526" w:name="_Toc445554724"/>
      <w:bookmarkStart w:id="527" w:name="_Toc371415951"/>
      <w:bookmarkStart w:id="528" w:name="_Toc152045563"/>
      <w:bookmarkStart w:id="529" w:name="_Toc342294748"/>
      <w:bookmarkStart w:id="530" w:name="_Toc333587887"/>
      <w:bookmarkStart w:id="531" w:name="_Toc455587251"/>
      <w:r>
        <w:rPr>
          <w:rFonts w:hint="eastAsia" w:eastAsia="仿宋"/>
          <w:color w:val="000000"/>
          <w:sz w:val="24"/>
          <w:highlight w:val="none"/>
          <w:lang w:eastAsia="zh-CN"/>
        </w:rPr>
        <w:t>6.1 评标委员会</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7DA98E38">
      <w:pPr>
        <w:widowControl/>
        <w:adjustRightInd w:val="0"/>
        <w:snapToGrid w:val="0"/>
        <w:spacing w:line="360" w:lineRule="auto"/>
        <w:ind w:firstLine="480" w:firstLineChars="200"/>
        <w:rPr>
          <w:rFonts w:hint="eastAsia" w:ascii="楷体" w:hAnsi="楷体" w:eastAsia="楷体" w:cs="楷体"/>
          <w:i/>
          <w:iCs/>
          <w:color w:val="000000"/>
          <w:sz w:val="24"/>
          <w:highlight w:val="none"/>
          <w:u w:val="single"/>
          <w:lang w:bidi="ar"/>
        </w:rPr>
      </w:pPr>
      <w:r>
        <w:rPr>
          <w:rFonts w:hint="eastAsia" w:ascii="宋体" w:hAnsi="宋体" w:eastAsia="仿宋"/>
          <w:color w:val="000000"/>
          <w:sz w:val="24"/>
          <w:highlight w:val="none"/>
        </w:rPr>
        <w:t>6.1</w:t>
      </w:r>
      <w:r>
        <w:rPr>
          <w:rFonts w:ascii="宋体" w:hAnsi="宋体" w:eastAsia="仿宋"/>
          <w:color w:val="000000"/>
          <w:sz w:val="24"/>
          <w:highlight w:val="none"/>
        </w:rPr>
        <w:t>.1</w:t>
      </w:r>
      <w:r>
        <w:rPr>
          <w:rFonts w:hint="eastAsia" w:ascii="宋体" w:hAnsi="宋体" w:eastAsia="仿宋"/>
          <w:color w:val="000000"/>
          <w:sz w:val="24"/>
          <w:highlight w:val="none"/>
        </w:rPr>
        <w:t xml:space="preserve"> 按照《中华人民共和国政府采购法》《中华人民共和国政府采购法实施条例》及本项目本级和上级财政部门、政府采购监督管理部门的有关规定依法组建的评标委员会，负责本项目评标工作。</w:t>
      </w:r>
      <w:r>
        <w:rPr>
          <w:rFonts w:hint="eastAsia" w:ascii="宋体" w:hAnsi="宋体" w:eastAsia="仿宋" w:cs="Calibri"/>
          <w:color w:val="000000"/>
          <w:sz w:val="24"/>
          <w:highlight w:val="none"/>
          <w:lang w:bidi="ar"/>
        </w:rPr>
        <w:t>评标委员会</w:t>
      </w:r>
      <w:r>
        <w:rPr>
          <w:rFonts w:hint="eastAsia" w:ascii="宋体" w:hAnsi="宋体" w:eastAsia="仿宋"/>
          <w:color w:val="000000"/>
          <w:sz w:val="24"/>
          <w:highlight w:val="none"/>
        </w:rPr>
        <w:t>成员人数应当为5人以上单数，</w:t>
      </w:r>
      <w:r>
        <w:rPr>
          <w:rFonts w:hint="eastAsia" w:ascii="宋体" w:hAnsi="宋体" w:eastAsia="仿宋"/>
          <w:color w:val="000000"/>
          <w:sz w:val="24"/>
          <w:highlight w:val="none"/>
          <w:lang w:bidi="ar"/>
        </w:rPr>
        <w:t>其中采购预算金额在1000万元以上或者技术复杂或者社会影响较大的项目，评标委员会成员人数应当为7人以上单数。</w:t>
      </w:r>
    </w:p>
    <w:p w14:paraId="61903358">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6.1</w:t>
      </w:r>
      <w:r>
        <w:rPr>
          <w:rFonts w:ascii="宋体" w:hAnsi="宋体" w:eastAsia="仿宋"/>
          <w:color w:val="000000"/>
          <w:sz w:val="24"/>
          <w:highlight w:val="none"/>
        </w:rPr>
        <w:t>.2</w:t>
      </w:r>
      <w:r>
        <w:rPr>
          <w:rFonts w:hint="eastAsia" w:ascii="宋体" w:hAnsi="宋体" w:eastAsia="仿宋"/>
          <w:color w:val="000000"/>
          <w:sz w:val="24"/>
          <w:highlight w:val="none"/>
        </w:rPr>
        <w:t xml:space="preserve"> 评标委员会成员有下列情形之一的，应当回避：</w:t>
      </w:r>
    </w:p>
    <w:p w14:paraId="3BA6F56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（1）参加采购活动前三年内，与投标人存在劳动关系，或者担任过投标人的董事、监事，或者是投标人的控股股东或实际控制人；</w:t>
      </w:r>
    </w:p>
    <w:p w14:paraId="730917A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（2）与投标人的法定代表人或者负责人有夫妻、直系血亲、三代以内旁系血亲或者近姻亲关系；</w:t>
      </w:r>
    </w:p>
    <w:p w14:paraId="5CABADA1">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（3）参与本项目进口产品论证的专家；</w:t>
      </w:r>
    </w:p>
    <w:p w14:paraId="1E76610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（4）与投标人有其他可能影响政府采购活动公平、公正进行的关系。</w:t>
      </w:r>
    </w:p>
    <w:p w14:paraId="36EA2317">
      <w:pPr>
        <w:widowControl/>
        <w:topLinePunct/>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6.1.3 评标过程中，评标委员会成员有回避事由、擅离职守或者因健康等原因不能继续评标的，采购人有权更换。被更换的评标委员会成员作出的评审结论无效，由更换后的评标委员会成员重新进行评审。</w:t>
      </w:r>
    </w:p>
    <w:p w14:paraId="03E16A11">
      <w:pPr>
        <w:pStyle w:val="4"/>
        <w:adjustRightInd w:val="0"/>
        <w:ind w:firstLine="482" w:firstLineChars="200"/>
        <w:rPr>
          <w:rFonts w:hint="eastAsia" w:eastAsia="楷体_GB2312"/>
          <w:i/>
          <w:color w:val="000000"/>
          <w:sz w:val="24"/>
          <w:highlight w:val="none"/>
          <w:lang w:eastAsia="zh-CN"/>
        </w:rPr>
      </w:pPr>
      <w:bookmarkStart w:id="532" w:name="_Toc179632582"/>
      <w:bookmarkStart w:id="533" w:name="_Toc342296197"/>
      <w:bookmarkStart w:id="534" w:name="_Toc342297654"/>
      <w:bookmarkStart w:id="535" w:name="_Toc458504851"/>
      <w:bookmarkStart w:id="536" w:name="_Toc333587888"/>
      <w:bookmarkStart w:id="537" w:name="_Toc455587252"/>
      <w:bookmarkStart w:id="538" w:name="_Toc144974532"/>
      <w:bookmarkStart w:id="539" w:name="_Toc342294749"/>
      <w:bookmarkStart w:id="540" w:name="_Toc333599694"/>
      <w:bookmarkStart w:id="541" w:name="_Toc152042340"/>
      <w:bookmarkStart w:id="542" w:name="_Toc466024533"/>
      <w:bookmarkStart w:id="543" w:name="_Toc338943735"/>
      <w:bookmarkStart w:id="544" w:name="_Toc338944640"/>
      <w:bookmarkStart w:id="545" w:name="_Toc455587068"/>
      <w:bookmarkStart w:id="546" w:name="_Toc152045564"/>
      <w:bookmarkStart w:id="547" w:name="_Toc333600718"/>
      <w:bookmarkStart w:id="548" w:name="_Toc445554725"/>
      <w:bookmarkStart w:id="549" w:name="_Toc371415952"/>
      <w:r>
        <w:rPr>
          <w:rFonts w:hint="eastAsia" w:eastAsia="仿宋"/>
          <w:color w:val="000000"/>
          <w:sz w:val="24"/>
          <w:highlight w:val="none"/>
          <w:lang w:eastAsia="zh-CN"/>
        </w:rPr>
        <w:t>6.2 评标原则</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14:paraId="0601C4A9">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评标委员会应该按照客观、公正、审慎的原则，根据招标文件规定的评审程序、评审方法和评审标准进行独立评审。</w:t>
      </w:r>
    </w:p>
    <w:p w14:paraId="46455FFB">
      <w:pPr>
        <w:pStyle w:val="4"/>
        <w:adjustRightInd w:val="0"/>
        <w:ind w:firstLine="482" w:firstLineChars="200"/>
        <w:rPr>
          <w:rFonts w:eastAsia="仿宋"/>
          <w:color w:val="000000"/>
          <w:sz w:val="24"/>
          <w:highlight w:val="none"/>
          <w:lang w:eastAsia="zh-CN"/>
        </w:rPr>
      </w:pPr>
      <w:bookmarkStart w:id="550" w:name="_Toc342294750"/>
      <w:bookmarkStart w:id="551" w:name="_Toc338943736"/>
      <w:bookmarkStart w:id="552" w:name="_Toc455587069"/>
      <w:bookmarkStart w:id="553" w:name="_Toc152042341"/>
      <w:bookmarkStart w:id="554" w:name="_Toc338944641"/>
      <w:bookmarkStart w:id="555" w:name="_Toc458504852"/>
      <w:bookmarkStart w:id="556" w:name="_Toc144974533"/>
      <w:bookmarkStart w:id="557" w:name="_Toc333599695"/>
      <w:bookmarkStart w:id="558" w:name="_Toc371415953"/>
      <w:bookmarkStart w:id="559" w:name="_Toc342296198"/>
      <w:bookmarkStart w:id="560" w:name="_Toc466024534"/>
      <w:bookmarkStart w:id="561" w:name="_Toc333600719"/>
      <w:bookmarkStart w:id="562" w:name="_Toc179632583"/>
      <w:bookmarkStart w:id="563" w:name="_Toc455587253"/>
      <w:bookmarkStart w:id="564" w:name="_Toc342297655"/>
      <w:bookmarkStart w:id="565" w:name="_Toc333587889"/>
      <w:bookmarkStart w:id="566" w:name="_Toc152045565"/>
      <w:bookmarkStart w:id="567" w:name="_Toc445554726"/>
      <w:r>
        <w:rPr>
          <w:rFonts w:hint="eastAsia" w:eastAsia="仿宋"/>
          <w:color w:val="000000"/>
          <w:sz w:val="24"/>
          <w:highlight w:val="none"/>
          <w:lang w:eastAsia="zh-CN"/>
        </w:rPr>
        <w:t>6.3 评标</w:t>
      </w:r>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785E1F1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6.3.1 评标委员会按照招标文件第四章“资格审查和评标办法”规定的方法、评审因素、标准和程序对投标文件进行评审。“评标办法”没有规定的方法、评审因素和标准，不作为评标依据。</w:t>
      </w:r>
      <w:bookmarkStart w:id="568" w:name="_Toc152045566"/>
      <w:bookmarkStart w:id="569" w:name="_Toc179632584"/>
      <w:bookmarkStart w:id="570" w:name="_Toc338943737"/>
      <w:bookmarkStart w:id="571" w:name="_Toc333599696"/>
      <w:bookmarkStart w:id="572" w:name="_Toc342297656"/>
      <w:bookmarkStart w:id="573" w:name="_Toc342296199"/>
      <w:bookmarkStart w:id="574" w:name="_Toc152042342"/>
      <w:bookmarkStart w:id="575" w:name="_Toc333600720"/>
      <w:bookmarkStart w:id="576" w:name="_Toc144974534"/>
      <w:bookmarkStart w:id="577" w:name="_Toc338944642"/>
      <w:bookmarkStart w:id="578" w:name="_Toc342294751"/>
    </w:p>
    <w:p w14:paraId="3526132A">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 xml:space="preserve">6.3.2 </w:t>
      </w:r>
      <w:r>
        <w:rPr>
          <w:rFonts w:ascii="宋体" w:hAnsi="宋体" w:eastAsia="仿宋"/>
          <w:color w:val="000000"/>
          <w:sz w:val="24"/>
          <w:highlight w:val="none"/>
        </w:rPr>
        <w:t>评标完成后，评标委员会应当向</w:t>
      </w:r>
      <w:r>
        <w:rPr>
          <w:rFonts w:hint="eastAsia" w:eastAsia="仿宋"/>
          <w:color w:val="000000"/>
          <w:sz w:val="24"/>
          <w:highlight w:val="none"/>
        </w:rPr>
        <w:t>采购</w:t>
      </w:r>
      <w:r>
        <w:rPr>
          <w:rFonts w:ascii="宋体" w:hAnsi="宋体" w:eastAsia="仿宋"/>
          <w:color w:val="000000"/>
          <w:sz w:val="24"/>
          <w:highlight w:val="none"/>
        </w:rPr>
        <w:t>人提交书面评标报告和中标候选人名单。评标委员会推荐中标</w:t>
      </w:r>
      <w:bookmarkStart w:id="579" w:name="_Toc384308240"/>
      <w:bookmarkStart w:id="580" w:name="_Toc12259"/>
      <w:bookmarkStart w:id="581" w:name="_Toc352691502"/>
      <w:bookmarkStart w:id="582" w:name="_Toc247513982"/>
      <w:bookmarkStart w:id="583" w:name="_Toc300834979"/>
      <w:bookmarkStart w:id="584" w:name="_Toc247527583"/>
      <w:bookmarkStart w:id="585" w:name="_Toc361508615"/>
      <w:bookmarkStart w:id="586" w:name="_Toc369531546"/>
      <w:r>
        <w:rPr>
          <w:rFonts w:ascii="宋体" w:hAnsi="宋体" w:eastAsia="仿宋"/>
          <w:color w:val="000000"/>
          <w:sz w:val="24"/>
          <w:highlight w:val="none"/>
        </w:rPr>
        <w:t>候选人的人数见投标人须知前附</w:t>
      </w:r>
      <w:bookmarkEnd w:id="579"/>
      <w:bookmarkEnd w:id="580"/>
      <w:bookmarkEnd w:id="581"/>
      <w:bookmarkEnd w:id="582"/>
      <w:bookmarkEnd w:id="583"/>
      <w:bookmarkEnd w:id="584"/>
      <w:bookmarkEnd w:id="585"/>
      <w:bookmarkEnd w:id="586"/>
      <w:r>
        <w:rPr>
          <w:rFonts w:ascii="宋体" w:hAnsi="宋体" w:eastAsia="仿宋"/>
          <w:color w:val="000000"/>
          <w:sz w:val="24"/>
          <w:highlight w:val="none"/>
        </w:rPr>
        <w:t>表。</w:t>
      </w:r>
    </w:p>
    <w:p w14:paraId="02D0A6AD">
      <w:pPr>
        <w:pStyle w:val="3"/>
        <w:rPr>
          <w:rStyle w:val="107"/>
          <w:rFonts w:hint="eastAsia" w:ascii="宋体" w:hAnsi="宋体" w:eastAsia="仿宋"/>
          <w:b/>
          <w:bCs/>
          <w:color w:val="000000"/>
          <w:sz w:val="24"/>
          <w:szCs w:val="24"/>
          <w:highlight w:val="none"/>
        </w:rPr>
      </w:pPr>
      <w:bookmarkStart w:id="587" w:name="_Toc371415954"/>
      <w:bookmarkStart w:id="588" w:name="_Toc445554727"/>
      <w:bookmarkStart w:id="589" w:name="_Toc455587070"/>
      <w:bookmarkStart w:id="590" w:name="_Toc466024535"/>
      <w:bookmarkStart w:id="591" w:name="_Toc455587254"/>
      <w:bookmarkStart w:id="592" w:name="_Toc458504853"/>
      <w:r>
        <w:rPr>
          <w:rStyle w:val="107"/>
          <w:rFonts w:hint="eastAsia" w:ascii="宋体" w:hAnsi="宋体" w:eastAsia="仿宋"/>
          <w:b/>
          <w:bCs/>
          <w:color w:val="000000"/>
          <w:sz w:val="24"/>
          <w:szCs w:val="24"/>
          <w:highlight w:val="none"/>
        </w:rPr>
        <w:t>7. 合同授予</w:t>
      </w:r>
      <w:bookmarkEnd w:id="568"/>
      <w:bookmarkEnd w:id="569"/>
      <w:bookmarkEnd w:id="570"/>
      <w:bookmarkEnd w:id="571"/>
      <w:bookmarkEnd w:id="572"/>
      <w:bookmarkEnd w:id="573"/>
      <w:bookmarkEnd w:id="574"/>
      <w:bookmarkEnd w:id="575"/>
      <w:bookmarkEnd w:id="576"/>
      <w:bookmarkEnd w:id="577"/>
      <w:bookmarkEnd w:id="578"/>
      <w:bookmarkEnd w:id="587"/>
      <w:bookmarkEnd w:id="588"/>
      <w:bookmarkEnd w:id="589"/>
      <w:bookmarkEnd w:id="590"/>
      <w:bookmarkEnd w:id="591"/>
      <w:bookmarkEnd w:id="592"/>
    </w:p>
    <w:p w14:paraId="43C8D29A">
      <w:pPr>
        <w:pStyle w:val="4"/>
        <w:adjustRightInd w:val="0"/>
        <w:ind w:firstLine="482" w:firstLineChars="200"/>
        <w:rPr>
          <w:rFonts w:eastAsia="仿宋"/>
          <w:color w:val="000000"/>
          <w:sz w:val="24"/>
          <w:highlight w:val="none"/>
          <w:lang w:eastAsia="zh-CN"/>
        </w:rPr>
      </w:pPr>
      <w:bookmarkStart w:id="593" w:name="_Toc455587255"/>
      <w:bookmarkStart w:id="594" w:name="_Toc371415955"/>
      <w:bookmarkStart w:id="595" w:name="_Toc455587071"/>
      <w:bookmarkStart w:id="596" w:name="_Toc458504854"/>
      <w:bookmarkStart w:id="597" w:name="_Toc362252685"/>
      <w:bookmarkStart w:id="598" w:name="_Toc445554728"/>
      <w:bookmarkStart w:id="599" w:name="_Toc349730879"/>
      <w:bookmarkStart w:id="600" w:name="_Toc466024536"/>
      <w:bookmarkStart w:id="601" w:name="_Toc152042343"/>
      <w:bookmarkStart w:id="602" w:name="_Toc342296200"/>
      <w:bookmarkStart w:id="603" w:name="_Toc342297657"/>
      <w:bookmarkStart w:id="604" w:name="_Toc338944643"/>
      <w:bookmarkStart w:id="605" w:name="_Toc144974535"/>
      <w:bookmarkStart w:id="606" w:name="_Toc338943738"/>
      <w:bookmarkStart w:id="607" w:name="_Toc333599697"/>
      <w:bookmarkStart w:id="608" w:name="_Toc333600721"/>
      <w:bookmarkStart w:id="609" w:name="_Toc179632585"/>
      <w:bookmarkStart w:id="610" w:name="_Toc342294752"/>
      <w:bookmarkStart w:id="611" w:name="_Toc333587891"/>
      <w:bookmarkStart w:id="612" w:name="_Toc152045567"/>
      <w:r>
        <w:rPr>
          <w:rFonts w:hint="eastAsia" w:eastAsia="仿宋"/>
          <w:color w:val="000000"/>
          <w:sz w:val="24"/>
          <w:highlight w:val="none"/>
          <w:lang w:eastAsia="zh-CN"/>
        </w:rPr>
        <w:t>7.1</w:t>
      </w:r>
      <w:bookmarkEnd w:id="593"/>
      <w:bookmarkEnd w:id="594"/>
      <w:bookmarkEnd w:id="595"/>
      <w:bookmarkEnd w:id="596"/>
      <w:bookmarkEnd w:id="597"/>
      <w:bookmarkEnd w:id="598"/>
      <w:bookmarkEnd w:id="599"/>
      <w:bookmarkEnd w:id="600"/>
      <w:r>
        <w:rPr>
          <w:rFonts w:hint="eastAsia" w:eastAsia="仿宋"/>
          <w:color w:val="000000"/>
          <w:sz w:val="24"/>
          <w:highlight w:val="none"/>
          <w:lang w:eastAsia="zh-CN"/>
        </w:rPr>
        <w:t xml:space="preserve"> 确定中标人</w:t>
      </w:r>
    </w:p>
    <w:p w14:paraId="2C60EA8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7.1.1 按照投标人须知前附表规定，采购人或采购人授权评标委员会</w:t>
      </w:r>
      <w:r>
        <w:rPr>
          <w:rFonts w:hint="eastAsia" w:ascii="宋体" w:hAnsi="宋体" w:eastAsia="仿宋" w:cs="宋体"/>
          <w:color w:val="000000"/>
          <w:kern w:val="0"/>
          <w:sz w:val="24"/>
          <w:highlight w:val="none"/>
        </w:rPr>
        <w:t>在评标报告确定的中标候选人名单中按顺序确定中标人。</w:t>
      </w:r>
    </w:p>
    <w:p w14:paraId="11A9916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7.1.2 采购人确定中标人后，按投标人须知前附表规定的方式与内容公告中标结果。</w:t>
      </w:r>
    </w:p>
    <w:p w14:paraId="07E04E7C">
      <w:pPr>
        <w:pStyle w:val="4"/>
        <w:adjustRightInd w:val="0"/>
        <w:ind w:firstLine="482" w:firstLineChars="200"/>
        <w:rPr>
          <w:rFonts w:eastAsia="仿宋"/>
          <w:color w:val="000000"/>
          <w:sz w:val="24"/>
          <w:highlight w:val="none"/>
          <w:lang w:eastAsia="zh-CN"/>
        </w:rPr>
      </w:pPr>
      <w:r>
        <w:rPr>
          <w:rFonts w:hint="eastAsia" w:eastAsia="仿宋"/>
          <w:color w:val="000000"/>
          <w:sz w:val="24"/>
          <w:highlight w:val="none"/>
          <w:lang w:eastAsia="zh-CN"/>
        </w:rPr>
        <w:t>7.2</w:t>
      </w:r>
      <w:bookmarkStart w:id="613" w:name="_Toc371415957"/>
      <w:bookmarkStart w:id="614" w:name="_Toc455587256"/>
      <w:bookmarkStart w:id="615" w:name="_Toc445554730"/>
      <w:bookmarkStart w:id="616" w:name="_Toc455587072"/>
      <w:bookmarkStart w:id="617" w:name="_Toc349730880"/>
      <w:bookmarkStart w:id="618" w:name="_Toc458504855"/>
      <w:bookmarkStart w:id="619" w:name="_Toc362252686"/>
      <w:bookmarkStart w:id="620" w:name="_Toc466024537"/>
      <w:r>
        <w:rPr>
          <w:rFonts w:hint="eastAsia" w:eastAsia="仿宋"/>
          <w:color w:val="000000"/>
          <w:sz w:val="24"/>
          <w:highlight w:val="none"/>
          <w:lang w:eastAsia="zh-CN"/>
        </w:rPr>
        <w:t xml:space="preserve"> 中标通知</w:t>
      </w:r>
      <w:bookmarkEnd w:id="613"/>
      <w:bookmarkEnd w:id="614"/>
      <w:bookmarkEnd w:id="615"/>
      <w:bookmarkEnd w:id="616"/>
      <w:bookmarkEnd w:id="617"/>
      <w:bookmarkEnd w:id="618"/>
      <w:bookmarkEnd w:id="619"/>
      <w:bookmarkEnd w:id="620"/>
    </w:p>
    <w:p w14:paraId="07CF592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7.2.1 中标结果确定后，采购人以书面形式向中标人发出中标通知书。</w:t>
      </w:r>
    </w:p>
    <w:p w14:paraId="164C569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7.2.2 中标人须按投标人须知前附表规定向采购代理机构支付招标代理服务费，其计取标准见投标人须知前附表。</w:t>
      </w:r>
    </w:p>
    <w:p w14:paraId="71C4EB37">
      <w:pPr>
        <w:pStyle w:val="4"/>
        <w:adjustRightInd w:val="0"/>
        <w:ind w:firstLine="482" w:firstLineChars="200"/>
        <w:rPr>
          <w:rFonts w:eastAsia="仿宋"/>
          <w:color w:val="000000"/>
          <w:sz w:val="24"/>
          <w:highlight w:val="none"/>
          <w:lang w:eastAsia="zh-CN"/>
        </w:rPr>
      </w:pPr>
      <w:bookmarkStart w:id="621" w:name="_Toc455587073"/>
      <w:bookmarkStart w:id="622" w:name="_Toc455587257"/>
      <w:bookmarkStart w:id="623" w:name="_Toc458504856"/>
      <w:bookmarkStart w:id="624" w:name="_Toc362252687"/>
      <w:bookmarkStart w:id="625" w:name="_Toc466024538"/>
      <w:bookmarkStart w:id="626" w:name="_Toc349730881"/>
      <w:bookmarkStart w:id="627" w:name="_Toc445554731"/>
      <w:bookmarkStart w:id="628" w:name="_Toc371415958"/>
      <w:r>
        <w:rPr>
          <w:rFonts w:hint="eastAsia" w:eastAsia="仿宋"/>
          <w:color w:val="000000"/>
          <w:sz w:val="24"/>
          <w:highlight w:val="none"/>
          <w:lang w:eastAsia="zh-CN"/>
        </w:rPr>
        <w:t>7.3 履约</w:t>
      </w:r>
      <w:bookmarkEnd w:id="621"/>
      <w:bookmarkEnd w:id="622"/>
      <w:bookmarkEnd w:id="623"/>
      <w:bookmarkEnd w:id="624"/>
      <w:bookmarkEnd w:id="625"/>
      <w:bookmarkEnd w:id="626"/>
      <w:bookmarkEnd w:id="627"/>
      <w:bookmarkEnd w:id="628"/>
      <w:r>
        <w:rPr>
          <w:rFonts w:hint="eastAsia" w:eastAsia="仿宋"/>
          <w:color w:val="000000"/>
          <w:sz w:val="24"/>
          <w:highlight w:val="none"/>
          <w:lang w:eastAsia="zh-CN"/>
        </w:rPr>
        <w:t>保证金</w:t>
      </w:r>
    </w:p>
    <w:p w14:paraId="58AAB0D0">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7.3</w:t>
      </w:r>
      <w:r>
        <w:rPr>
          <w:rFonts w:ascii="宋体" w:hAnsi="宋体" w:eastAsia="仿宋"/>
          <w:color w:val="000000"/>
          <w:sz w:val="24"/>
          <w:highlight w:val="none"/>
        </w:rPr>
        <w:t>.1</w:t>
      </w:r>
      <w:r>
        <w:rPr>
          <w:rFonts w:hint="eastAsia" w:ascii="宋体" w:hAnsi="宋体" w:eastAsia="仿宋"/>
          <w:color w:val="000000"/>
          <w:sz w:val="24"/>
          <w:highlight w:val="none"/>
        </w:rPr>
        <w:t xml:space="preserve"> 在签订合同前，中标人应按投标人须知前附表规定的金额、形式向采购人提交履约保证金。</w:t>
      </w:r>
      <w:r>
        <w:rPr>
          <w:rFonts w:eastAsia="仿宋"/>
          <w:color w:val="000000"/>
          <w:sz w:val="24"/>
          <w:highlight w:val="none"/>
        </w:rPr>
        <w:t>除投标人须知前附表另有规定外，履约保证金为中标合同金额的</w:t>
      </w:r>
      <w:r>
        <w:rPr>
          <w:rFonts w:hint="eastAsia" w:eastAsia="仿宋"/>
          <w:color w:val="000000"/>
          <w:sz w:val="24"/>
          <w:highlight w:val="none"/>
        </w:rPr>
        <w:t>10</w:t>
      </w:r>
      <w:r>
        <w:rPr>
          <w:rFonts w:eastAsia="仿宋"/>
          <w:color w:val="000000"/>
          <w:sz w:val="24"/>
          <w:highlight w:val="none"/>
        </w:rPr>
        <w:t>%。联合体中标的，其履约保证金以联合体各方或者联合体中牵头人的名义提交。</w:t>
      </w:r>
    </w:p>
    <w:p w14:paraId="03C9D4BB">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7.3</w:t>
      </w:r>
      <w:r>
        <w:rPr>
          <w:rFonts w:ascii="宋体" w:hAnsi="宋体" w:eastAsia="仿宋"/>
          <w:color w:val="000000"/>
          <w:sz w:val="24"/>
          <w:highlight w:val="none"/>
        </w:rPr>
        <w:t>.2</w:t>
      </w:r>
      <w:r>
        <w:rPr>
          <w:rFonts w:hint="eastAsia" w:ascii="宋体" w:hAnsi="宋体" w:eastAsia="仿宋"/>
          <w:color w:val="000000"/>
          <w:sz w:val="24"/>
          <w:highlight w:val="none"/>
        </w:rPr>
        <w:t xml:space="preserve"> 中标人不能按要求提交履约保证金的，视为中标人拒绝与采购人签订合同，其投标保证金不予退还；给采购人造成的损失超过投标保证金数额的，中标人还应当对超过部分予以赔偿。</w:t>
      </w:r>
    </w:p>
    <w:p w14:paraId="4562E35E">
      <w:pPr>
        <w:pStyle w:val="4"/>
        <w:adjustRightInd w:val="0"/>
        <w:ind w:firstLine="482" w:firstLineChars="200"/>
        <w:rPr>
          <w:rFonts w:eastAsia="仿宋"/>
          <w:color w:val="000000"/>
          <w:sz w:val="24"/>
          <w:highlight w:val="none"/>
          <w:lang w:eastAsia="zh-CN"/>
        </w:rPr>
      </w:pPr>
      <w:bookmarkStart w:id="629" w:name="_Toc458504857"/>
      <w:bookmarkStart w:id="630" w:name="_Toc333600724"/>
      <w:bookmarkStart w:id="631" w:name="_Toc362252688"/>
      <w:bookmarkStart w:id="632" w:name="_Toc338944646"/>
      <w:bookmarkStart w:id="633" w:name="_Toc371415959"/>
      <w:bookmarkStart w:id="634" w:name="_Toc342296203"/>
      <w:bookmarkStart w:id="635" w:name="_Toc342294755"/>
      <w:bookmarkStart w:id="636" w:name="_Toc349730882"/>
      <w:bookmarkStart w:id="637" w:name="_Toc338943741"/>
      <w:bookmarkStart w:id="638" w:name="_Toc455587258"/>
      <w:bookmarkStart w:id="639" w:name="_Toc445554732"/>
      <w:bookmarkStart w:id="640" w:name="_Toc466024539"/>
      <w:bookmarkStart w:id="641" w:name="_Toc455587074"/>
      <w:bookmarkStart w:id="642" w:name="_Toc179632588"/>
      <w:bookmarkStart w:id="643" w:name="_Toc333599700"/>
      <w:bookmarkStart w:id="644" w:name="_Toc333587894"/>
      <w:r>
        <w:rPr>
          <w:rFonts w:hint="eastAsia" w:eastAsia="仿宋"/>
          <w:color w:val="000000"/>
          <w:sz w:val="24"/>
          <w:highlight w:val="none"/>
          <w:lang w:eastAsia="zh-CN"/>
        </w:rPr>
        <w:t>7.4 签订合同</w:t>
      </w:r>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14:paraId="51BEC254">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7.4</w:t>
      </w:r>
      <w:r>
        <w:rPr>
          <w:rFonts w:ascii="宋体" w:hAnsi="宋体" w:eastAsia="仿宋"/>
          <w:color w:val="000000"/>
          <w:sz w:val="24"/>
          <w:highlight w:val="none"/>
        </w:rPr>
        <w:t>.1</w:t>
      </w:r>
      <w:r>
        <w:rPr>
          <w:rFonts w:hint="eastAsia" w:ascii="宋体" w:hAnsi="宋体" w:eastAsia="仿宋"/>
          <w:color w:val="000000"/>
          <w:sz w:val="24"/>
          <w:highlight w:val="none"/>
        </w:rPr>
        <w:t xml:space="preserve"> 除投标人须知前附表另有规定外，</w:t>
      </w:r>
      <w:r>
        <w:rPr>
          <w:rFonts w:eastAsia="仿宋"/>
          <w:color w:val="000000"/>
          <w:sz w:val="24"/>
          <w:highlight w:val="none"/>
        </w:rPr>
        <w:t>采购人</w:t>
      </w:r>
      <w:r>
        <w:rPr>
          <w:rFonts w:hint="eastAsia" w:eastAsia="仿宋"/>
          <w:color w:val="000000"/>
          <w:sz w:val="24"/>
          <w:highlight w:val="none"/>
        </w:rPr>
        <w:t>、使用单位</w:t>
      </w:r>
      <w:r>
        <w:rPr>
          <w:rFonts w:eastAsia="仿宋"/>
          <w:color w:val="000000"/>
          <w:sz w:val="24"/>
          <w:highlight w:val="none"/>
        </w:rPr>
        <w:t>和中标人应当在中标通知书发出之日起</w:t>
      </w:r>
      <w:r>
        <w:rPr>
          <w:rFonts w:hint="eastAsia" w:eastAsia="仿宋"/>
          <w:color w:val="000000"/>
          <w:sz w:val="24"/>
          <w:highlight w:val="none"/>
        </w:rPr>
        <w:t>三十日内</w:t>
      </w:r>
      <w:r>
        <w:rPr>
          <w:rFonts w:eastAsia="仿宋"/>
          <w:color w:val="000000"/>
          <w:sz w:val="24"/>
          <w:highlight w:val="none"/>
        </w:rPr>
        <w:t>，根据招标文件和中标人的投标文件订立书面合同</w:t>
      </w:r>
      <w:r>
        <w:rPr>
          <w:rFonts w:hint="eastAsia" w:eastAsia="仿宋"/>
          <w:color w:val="000000"/>
          <w:sz w:val="24"/>
          <w:highlight w:val="none"/>
        </w:rPr>
        <w:t>，所签订的合同不得对招标文件确定的事项和中标人投标文件作实质性修改。</w:t>
      </w:r>
      <w:r>
        <w:rPr>
          <w:rFonts w:eastAsia="仿宋"/>
          <w:color w:val="000000"/>
          <w:sz w:val="24"/>
          <w:highlight w:val="none"/>
        </w:rPr>
        <w:t>中标人无正当理由</w:t>
      </w:r>
      <w:r>
        <w:rPr>
          <w:rFonts w:hint="eastAsia" w:eastAsia="仿宋"/>
          <w:color w:val="000000"/>
          <w:sz w:val="24"/>
          <w:highlight w:val="none"/>
        </w:rPr>
        <w:t>拒签</w:t>
      </w:r>
      <w:r>
        <w:rPr>
          <w:rFonts w:eastAsia="仿宋"/>
          <w:color w:val="000000"/>
          <w:sz w:val="24"/>
          <w:highlight w:val="none"/>
        </w:rPr>
        <w:t>合同，</w:t>
      </w:r>
      <w:r>
        <w:rPr>
          <w:rFonts w:hint="eastAsia" w:eastAsia="仿宋"/>
          <w:color w:val="000000"/>
          <w:sz w:val="24"/>
          <w:highlight w:val="none"/>
        </w:rPr>
        <w:t>包括但不限于</w:t>
      </w:r>
      <w:r>
        <w:rPr>
          <w:rFonts w:eastAsia="仿宋"/>
          <w:color w:val="000000"/>
          <w:sz w:val="24"/>
          <w:highlight w:val="none"/>
        </w:rPr>
        <w:t>在签订合同时向采购人提出</w:t>
      </w:r>
      <w:r>
        <w:rPr>
          <w:rFonts w:hint="eastAsia" w:eastAsia="仿宋"/>
          <w:color w:val="000000"/>
          <w:sz w:val="24"/>
          <w:highlight w:val="none"/>
        </w:rPr>
        <w:t>非法的附加条件</w:t>
      </w:r>
      <w:r>
        <w:rPr>
          <w:rFonts w:eastAsia="仿宋"/>
          <w:color w:val="000000"/>
          <w:sz w:val="24"/>
          <w:highlight w:val="none"/>
        </w:rPr>
        <w:t>，其投标保证金不予退还；给采购人造成的损失超过投标保证金数额的，中标人还应当对超过部分予以赔偿。</w:t>
      </w:r>
    </w:p>
    <w:p w14:paraId="1DE58EF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7.4</w:t>
      </w:r>
      <w:r>
        <w:rPr>
          <w:rFonts w:ascii="宋体" w:hAnsi="宋体" w:eastAsia="仿宋"/>
          <w:color w:val="000000"/>
          <w:sz w:val="24"/>
          <w:highlight w:val="none"/>
        </w:rPr>
        <w:t>.2</w:t>
      </w:r>
      <w:r>
        <w:rPr>
          <w:rFonts w:hint="eastAsia" w:ascii="宋体" w:hAnsi="宋体" w:eastAsia="仿宋"/>
          <w:color w:val="000000"/>
          <w:sz w:val="24"/>
          <w:highlight w:val="none"/>
        </w:rPr>
        <w:t xml:space="preserve"> 因中标人原因未签订合同的，采购人可以按照评审报告推荐的中标候选人名单排序，确定下一候选人为中标人，也可以重新开展政府采购活动。</w:t>
      </w:r>
    </w:p>
    <w:p w14:paraId="617960A2">
      <w:pPr>
        <w:widowControl/>
        <w:adjustRightInd w:val="0"/>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7.</w:t>
      </w:r>
      <w:r>
        <w:rPr>
          <w:rFonts w:hint="eastAsia" w:ascii="宋体" w:hAnsi="宋体" w:eastAsia="仿宋"/>
          <w:color w:val="000000"/>
          <w:sz w:val="24"/>
          <w:highlight w:val="none"/>
        </w:rPr>
        <w:t>4</w:t>
      </w:r>
      <w:r>
        <w:rPr>
          <w:rFonts w:ascii="宋体" w:hAnsi="宋体" w:eastAsia="仿宋"/>
          <w:color w:val="000000"/>
          <w:sz w:val="24"/>
          <w:highlight w:val="none"/>
        </w:rPr>
        <w:t>.</w:t>
      </w:r>
      <w:r>
        <w:rPr>
          <w:rFonts w:hint="eastAsia" w:ascii="宋体" w:hAnsi="宋体" w:eastAsia="仿宋"/>
          <w:color w:val="000000"/>
          <w:sz w:val="24"/>
          <w:highlight w:val="none"/>
        </w:rPr>
        <w:t xml:space="preserve">3 </w:t>
      </w:r>
      <w:r>
        <w:rPr>
          <w:rFonts w:ascii="宋体" w:hAnsi="宋体" w:eastAsia="仿宋"/>
          <w:color w:val="000000"/>
          <w:sz w:val="24"/>
          <w:highlight w:val="none"/>
        </w:rPr>
        <w:t>联合体中标的，联合体各方应当共同与采购人签订合同，就中标项目向采购人承担连带责任。</w:t>
      </w:r>
    </w:p>
    <w:bookmarkEnd w:id="601"/>
    <w:bookmarkEnd w:id="602"/>
    <w:bookmarkEnd w:id="603"/>
    <w:bookmarkEnd w:id="604"/>
    <w:bookmarkEnd w:id="605"/>
    <w:bookmarkEnd w:id="606"/>
    <w:bookmarkEnd w:id="607"/>
    <w:bookmarkEnd w:id="608"/>
    <w:bookmarkEnd w:id="609"/>
    <w:bookmarkEnd w:id="610"/>
    <w:bookmarkEnd w:id="611"/>
    <w:bookmarkEnd w:id="612"/>
    <w:p w14:paraId="00721CF7">
      <w:pPr>
        <w:pStyle w:val="3"/>
        <w:rPr>
          <w:rStyle w:val="107"/>
          <w:rFonts w:hint="eastAsia" w:ascii="宋体" w:hAnsi="宋体" w:eastAsia="仿宋"/>
          <w:b/>
          <w:bCs/>
          <w:color w:val="000000"/>
          <w:sz w:val="24"/>
          <w:szCs w:val="24"/>
          <w:highlight w:val="none"/>
        </w:rPr>
      </w:pPr>
      <w:bookmarkStart w:id="645" w:name="_Toc455587075"/>
      <w:bookmarkStart w:id="646" w:name="_Toc455587259"/>
      <w:bookmarkStart w:id="647" w:name="_Toc458504860"/>
      <w:bookmarkStart w:id="648" w:name="_Toc466024542"/>
      <w:r>
        <w:rPr>
          <w:rStyle w:val="107"/>
          <w:rFonts w:hint="eastAsia" w:ascii="宋体" w:hAnsi="宋体" w:eastAsia="仿宋"/>
          <w:b/>
          <w:bCs/>
          <w:color w:val="000000"/>
          <w:sz w:val="24"/>
          <w:szCs w:val="24"/>
          <w:highlight w:val="none"/>
        </w:rPr>
        <w:t>8. 废标</w:t>
      </w:r>
      <w:bookmarkEnd w:id="645"/>
      <w:bookmarkEnd w:id="646"/>
      <w:bookmarkEnd w:id="647"/>
      <w:r>
        <w:rPr>
          <w:rStyle w:val="107"/>
          <w:rFonts w:hint="eastAsia" w:ascii="宋体" w:hAnsi="宋体" w:eastAsia="仿宋"/>
          <w:b/>
          <w:bCs/>
          <w:color w:val="000000"/>
          <w:sz w:val="24"/>
          <w:szCs w:val="24"/>
          <w:highlight w:val="none"/>
        </w:rPr>
        <w:t>、变更采购方式与终止招标</w:t>
      </w:r>
      <w:bookmarkEnd w:id="648"/>
    </w:p>
    <w:p w14:paraId="25880CE1">
      <w:pPr>
        <w:pStyle w:val="4"/>
        <w:adjustRightInd w:val="0"/>
        <w:ind w:firstLine="482" w:firstLineChars="200"/>
        <w:rPr>
          <w:rFonts w:hint="eastAsia" w:eastAsia="仿宋"/>
          <w:color w:val="000000"/>
          <w:sz w:val="24"/>
          <w:highlight w:val="none"/>
          <w:lang w:eastAsia="zh-CN"/>
        </w:rPr>
      </w:pPr>
      <w:bookmarkStart w:id="649" w:name="_Toc458504861"/>
      <w:bookmarkStart w:id="650" w:name="_Toc455587076"/>
      <w:bookmarkStart w:id="651" w:name="_Toc455587260"/>
      <w:bookmarkStart w:id="652" w:name="_Toc466024543"/>
      <w:bookmarkStart w:id="653" w:name="_Toc338944648"/>
      <w:bookmarkStart w:id="654" w:name="_Toc152042348"/>
      <w:bookmarkStart w:id="655" w:name="_Toc371415961"/>
      <w:bookmarkStart w:id="656" w:name="_Toc338943743"/>
      <w:bookmarkStart w:id="657" w:name="_Toc342297662"/>
      <w:bookmarkStart w:id="658" w:name="_Toc333600726"/>
      <w:bookmarkStart w:id="659" w:name="_Toc342296205"/>
      <w:bookmarkStart w:id="660" w:name="_Toc445554734"/>
      <w:bookmarkStart w:id="661" w:name="_Toc333599702"/>
      <w:bookmarkStart w:id="662" w:name="_Toc342294757"/>
      <w:bookmarkStart w:id="663" w:name="_Toc179632590"/>
      <w:bookmarkStart w:id="664" w:name="_Toc144974540"/>
      <w:bookmarkStart w:id="665" w:name="_Toc333587896"/>
      <w:bookmarkStart w:id="666" w:name="_Toc152045572"/>
      <w:r>
        <w:rPr>
          <w:rFonts w:hint="eastAsia" w:eastAsia="仿宋"/>
          <w:color w:val="000000"/>
          <w:sz w:val="24"/>
          <w:highlight w:val="none"/>
          <w:lang w:eastAsia="zh-CN"/>
        </w:rPr>
        <w:t>8.1 废标</w:t>
      </w:r>
      <w:bookmarkEnd w:id="649"/>
      <w:bookmarkEnd w:id="650"/>
      <w:bookmarkEnd w:id="651"/>
      <w:bookmarkEnd w:id="652"/>
    </w:p>
    <w:p w14:paraId="38C9764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8.1.1 出现下列情形之一的，应予废标：</w:t>
      </w:r>
    </w:p>
    <w:p w14:paraId="65018DF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（1）符合专业条件的投标人或者对招标文件作实质响应的投标人不足3家的；</w:t>
      </w:r>
    </w:p>
    <w:p w14:paraId="2FFE2ED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（2）出现影响采购公正的违法、违规行为的；</w:t>
      </w:r>
    </w:p>
    <w:p w14:paraId="49C2568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（3）投标人的报价均超过了采购预算或最高限价，采购人不能支付的；</w:t>
      </w:r>
    </w:p>
    <w:p w14:paraId="7ACFA0B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（4）因重大变故，采购任务取消的。</w:t>
      </w:r>
    </w:p>
    <w:p w14:paraId="46517528">
      <w:pPr>
        <w:pStyle w:val="4"/>
        <w:adjustRightInd w:val="0"/>
        <w:ind w:firstLine="482" w:firstLineChars="200"/>
        <w:rPr>
          <w:rFonts w:eastAsia="仿宋"/>
          <w:color w:val="000000"/>
          <w:sz w:val="24"/>
          <w:highlight w:val="none"/>
          <w:lang w:eastAsia="zh-CN"/>
        </w:rPr>
      </w:pPr>
      <w:bookmarkStart w:id="667" w:name="_Toc455587261"/>
      <w:bookmarkStart w:id="668" w:name="_Toc455587077"/>
      <w:bookmarkStart w:id="669" w:name="_Toc458504862"/>
      <w:bookmarkStart w:id="670" w:name="_Toc466024544"/>
      <w:r>
        <w:rPr>
          <w:rFonts w:hint="eastAsia" w:eastAsia="仿宋"/>
          <w:color w:val="000000"/>
          <w:sz w:val="24"/>
          <w:highlight w:val="none"/>
          <w:lang w:eastAsia="zh-CN"/>
        </w:rPr>
        <w:t>8.2</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r>
        <w:rPr>
          <w:rFonts w:hint="eastAsia" w:eastAsia="仿宋"/>
          <w:color w:val="000000"/>
          <w:sz w:val="24"/>
          <w:highlight w:val="none"/>
          <w:lang w:eastAsia="zh-CN"/>
        </w:rPr>
        <w:t xml:space="preserve"> 重新招标与变更采购方式</w:t>
      </w:r>
      <w:bookmarkEnd w:id="669"/>
      <w:bookmarkEnd w:id="670"/>
    </w:p>
    <w:p w14:paraId="222AD20A">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8.2.1 公开招标数额标准以上的采购项目，投标截止后投标人不足3家或者通过资格审查或符合性审查的投标人不足3家的，除采购任务取消情形外，按照以下方式处理：</w:t>
      </w:r>
    </w:p>
    <w:p w14:paraId="6B75700F">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（1）招标文件存在不合理条款或者招标程序不符合规定的，采购人、采购代理机构改正后依法重新招标；</w:t>
      </w:r>
    </w:p>
    <w:p w14:paraId="481AC9FF">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（2）招标文件没有不合理条款、招标程序符合规定，需要采用其他采购方式采购的，采购人应当依法报财政部门批准。</w:t>
      </w:r>
    </w:p>
    <w:p w14:paraId="3D356DD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8.2.2 公开招标数额标准以上的采购项目，出现本章8.2.1项情形或者重新招标未能成立的，采购人拟申请采用其他方式采购的，应由评标委员会或者3名以上评审专家出具招标文件没有不合理条款的论证意见。</w:t>
      </w:r>
    </w:p>
    <w:p w14:paraId="052376A2">
      <w:pPr>
        <w:pStyle w:val="4"/>
        <w:adjustRightInd w:val="0"/>
        <w:ind w:firstLine="482" w:firstLineChars="200"/>
        <w:rPr>
          <w:rFonts w:hint="eastAsia" w:eastAsia="仿宋"/>
          <w:color w:val="000000"/>
          <w:sz w:val="24"/>
          <w:highlight w:val="none"/>
          <w:lang w:eastAsia="zh-CN"/>
        </w:rPr>
      </w:pPr>
      <w:bookmarkStart w:id="671" w:name="_Toc455587262"/>
      <w:bookmarkStart w:id="672" w:name="_Toc458504863"/>
      <w:bookmarkStart w:id="673" w:name="_Toc466024545"/>
      <w:bookmarkStart w:id="674" w:name="_Toc445554736"/>
      <w:bookmarkStart w:id="675" w:name="_Toc455587078"/>
      <w:bookmarkStart w:id="676" w:name="_Toc342297664"/>
      <w:bookmarkStart w:id="677" w:name="_Toc342296207"/>
      <w:bookmarkStart w:id="678" w:name="_Toc333600728"/>
      <w:bookmarkStart w:id="679" w:name="_Toc342294759"/>
      <w:bookmarkStart w:id="680" w:name="_Toc179632592"/>
      <w:bookmarkStart w:id="681" w:name="_Toc338943745"/>
      <w:bookmarkStart w:id="682" w:name="_Toc338944650"/>
      <w:bookmarkStart w:id="683" w:name="_Toc152042350"/>
      <w:bookmarkStart w:id="684" w:name="_Toc333599704"/>
      <w:bookmarkStart w:id="685" w:name="_Toc144974542"/>
      <w:bookmarkStart w:id="686" w:name="_Toc152045574"/>
      <w:r>
        <w:rPr>
          <w:rFonts w:hint="eastAsia" w:eastAsia="仿宋"/>
          <w:color w:val="000000"/>
          <w:sz w:val="24"/>
          <w:highlight w:val="none"/>
          <w:lang w:eastAsia="zh-CN"/>
        </w:rPr>
        <w:t>8.3 终止招标</w:t>
      </w:r>
      <w:bookmarkEnd w:id="671"/>
      <w:bookmarkEnd w:id="672"/>
      <w:bookmarkEnd w:id="673"/>
      <w:bookmarkEnd w:id="674"/>
      <w:bookmarkEnd w:id="675"/>
    </w:p>
    <w:p w14:paraId="2B32EDF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因不可抗力等原因，采购人终止招标的，将及时发布公告，或者以书面形式通知被邀请的或者已经获取招标文件的潜在投标人。</w:t>
      </w:r>
    </w:p>
    <w:bookmarkEnd w:id="676"/>
    <w:bookmarkEnd w:id="677"/>
    <w:bookmarkEnd w:id="678"/>
    <w:bookmarkEnd w:id="679"/>
    <w:bookmarkEnd w:id="680"/>
    <w:bookmarkEnd w:id="681"/>
    <w:bookmarkEnd w:id="682"/>
    <w:bookmarkEnd w:id="683"/>
    <w:bookmarkEnd w:id="684"/>
    <w:bookmarkEnd w:id="685"/>
    <w:bookmarkEnd w:id="686"/>
    <w:p w14:paraId="19CB2517">
      <w:pPr>
        <w:pStyle w:val="3"/>
        <w:rPr>
          <w:rStyle w:val="107"/>
          <w:rFonts w:hint="eastAsia" w:ascii="宋体" w:hAnsi="宋体" w:eastAsia="仿宋"/>
          <w:b/>
          <w:bCs/>
          <w:color w:val="000000"/>
          <w:sz w:val="24"/>
          <w:szCs w:val="24"/>
          <w:highlight w:val="none"/>
        </w:rPr>
      </w:pPr>
      <w:bookmarkStart w:id="687" w:name="_Toc445554737"/>
      <w:bookmarkStart w:id="688" w:name="_Toc455587079"/>
      <w:bookmarkStart w:id="689" w:name="_Toc458504864"/>
      <w:bookmarkStart w:id="690" w:name="_Toc455587263"/>
      <w:bookmarkStart w:id="691" w:name="_Toc466024546"/>
      <w:r>
        <w:rPr>
          <w:rStyle w:val="107"/>
          <w:rFonts w:hint="eastAsia" w:ascii="宋体" w:hAnsi="宋体" w:eastAsia="仿宋"/>
          <w:b/>
          <w:bCs/>
          <w:color w:val="000000"/>
          <w:sz w:val="24"/>
          <w:szCs w:val="24"/>
          <w:highlight w:val="none"/>
        </w:rPr>
        <w:t>9. 询问与质疑</w:t>
      </w:r>
    </w:p>
    <w:p w14:paraId="286531AD">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9.1 询问</w:t>
      </w:r>
    </w:p>
    <w:p w14:paraId="380BE0C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9.1.1 投标人对政府采购活动事项有疑问的，可依法按投标人须知前附表载明的时间提出询问。</w:t>
      </w:r>
    </w:p>
    <w:p w14:paraId="7EB4A2D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9.1.2 采购人或采购代理机构对供应商依法提出的询问，在3个工作日内作出答复，但答复的内容不得涉及商业秘密。</w:t>
      </w:r>
    </w:p>
    <w:p w14:paraId="6136A7AE">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9.1.3 除非采购人认为确有必要答复，否则，采购人有权拒绝回复投标人在本章第9.1.1项规定的时间后的询问。</w:t>
      </w:r>
    </w:p>
    <w:p w14:paraId="5FFAAC9F">
      <w:pPr>
        <w:pStyle w:val="4"/>
        <w:adjustRightInd w:val="0"/>
        <w:ind w:firstLine="482" w:firstLineChars="200"/>
        <w:rPr>
          <w:rFonts w:eastAsia="仿宋"/>
          <w:color w:val="000000"/>
          <w:sz w:val="24"/>
          <w:highlight w:val="none"/>
          <w:lang w:eastAsia="zh-CN"/>
        </w:rPr>
      </w:pPr>
      <w:r>
        <w:rPr>
          <w:rFonts w:hint="eastAsia" w:eastAsia="仿宋"/>
          <w:color w:val="000000"/>
          <w:sz w:val="24"/>
          <w:highlight w:val="none"/>
          <w:lang w:eastAsia="zh-CN"/>
        </w:rPr>
        <w:t>9.2 质疑</w:t>
      </w:r>
    </w:p>
    <w:p w14:paraId="22E238C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9.2.1 投标人认为招标文件、采购过程、中标结果使自己的权益受到损害的，可以在投标人须知前附表载明的时间向采购人、采购代理机构提出质疑，逾期提出的，采购人、采购代理机构可不予受理。对招标文件提出质疑的，质疑期限为供应商获得招标文件之日或者招标文件公告期限届满之日起计算。对采购过程提出质疑的，质疑期限为各采购程序环节结束之日起计算。对采购结果提出质疑的，质疑期限自采购结果公告期限届满之日起计算。</w:t>
      </w:r>
    </w:p>
    <w:p w14:paraId="6F4709B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投标人应以书面形式向采购人、采购代理机构提出质疑，质疑函须使用财政部制定的《政府采购供应商质疑函范本》格式，详见本章附件二“政府采购供应商询问函和质疑函范本”。质疑材料应当采用中文，有关材料是外文的，应当同时提供其中文译本。</w:t>
      </w:r>
    </w:p>
    <w:p w14:paraId="309960F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9.2.2 接收质疑的联系方式见投标人须知前附表，采购人、采购代理机构在收到质疑函后7个工作日内作出答复。</w:t>
      </w:r>
    </w:p>
    <w:p w14:paraId="06C1C15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9.2.3 投标人为自然人的，质疑函应当由本人签字；投标人为法人或者其他组织的，质疑函应当由法定代表人、主要负责人，或者其授权代表签字或者盖章，并加盖公章，附法定代表人（单位负责人）及其委托联系人的有效身份证复印件。</w:t>
      </w:r>
    </w:p>
    <w:p w14:paraId="037B8A8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9.2.4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7B579F1">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9.2.5 投标人应在法定质疑期内一次性提出针对同一采购程序环节的质疑，法定质疑期内针对同一采购程序环节再次提出的质疑，采购人、采购代理机构有权不予答复。质疑应当有具体的事项及根据，不得进行虚假、恶意质疑，扰乱政府采购活动正常的工作秩序。</w:t>
      </w:r>
    </w:p>
    <w:p w14:paraId="2B265651">
      <w:pPr>
        <w:widowControl/>
        <w:adjustRightInd w:val="0"/>
        <w:snapToGrid w:val="0"/>
        <w:spacing w:line="360" w:lineRule="auto"/>
        <w:ind w:firstLine="480" w:firstLineChars="200"/>
        <w:rPr>
          <w:rFonts w:eastAsia="仿宋"/>
          <w:color w:val="000000"/>
          <w:sz w:val="24"/>
          <w:highlight w:val="none"/>
        </w:rPr>
      </w:pPr>
      <w:r>
        <w:rPr>
          <w:rFonts w:hint="eastAsia" w:ascii="宋体" w:hAnsi="宋体" w:eastAsia="仿宋"/>
          <w:color w:val="000000"/>
          <w:sz w:val="24"/>
          <w:highlight w:val="none"/>
        </w:rPr>
        <w:t xml:space="preserve">9.2.6 </w:t>
      </w:r>
      <w:r>
        <w:rPr>
          <w:rFonts w:eastAsia="仿宋"/>
          <w:color w:val="000000"/>
          <w:sz w:val="24"/>
          <w:highlight w:val="none"/>
        </w:rPr>
        <w:t>提出质疑的</w:t>
      </w:r>
      <w:r>
        <w:rPr>
          <w:rFonts w:hint="eastAsia" w:eastAsia="仿宋"/>
          <w:color w:val="000000"/>
          <w:sz w:val="24"/>
          <w:highlight w:val="none"/>
        </w:rPr>
        <w:t>投标人</w:t>
      </w:r>
      <w:r>
        <w:rPr>
          <w:rFonts w:eastAsia="仿宋"/>
          <w:color w:val="000000"/>
          <w:sz w:val="24"/>
          <w:highlight w:val="none"/>
        </w:rPr>
        <w:t>应当是参与所质疑项目采购活动的</w:t>
      </w:r>
      <w:r>
        <w:rPr>
          <w:rFonts w:hint="eastAsia" w:eastAsia="仿宋"/>
          <w:color w:val="000000"/>
          <w:sz w:val="24"/>
          <w:highlight w:val="none"/>
        </w:rPr>
        <w:t>投标人</w:t>
      </w:r>
      <w:r>
        <w:rPr>
          <w:rFonts w:eastAsia="仿宋"/>
          <w:color w:val="000000"/>
          <w:sz w:val="24"/>
          <w:highlight w:val="none"/>
        </w:rPr>
        <w:t>。潜在</w:t>
      </w:r>
      <w:r>
        <w:rPr>
          <w:rFonts w:hint="eastAsia" w:eastAsia="仿宋"/>
          <w:color w:val="000000"/>
          <w:sz w:val="24"/>
          <w:highlight w:val="none"/>
        </w:rPr>
        <w:t>投标人</w:t>
      </w:r>
      <w:r>
        <w:rPr>
          <w:rFonts w:eastAsia="仿宋"/>
          <w:color w:val="000000"/>
          <w:sz w:val="24"/>
          <w:highlight w:val="none"/>
        </w:rPr>
        <w:t>已依法获取其可质疑的</w:t>
      </w:r>
      <w:r>
        <w:rPr>
          <w:rFonts w:hint="eastAsia" w:eastAsia="仿宋"/>
          <w:color w:val="000000"/>
          <w:sz w:val="24"/>
          <w:highlight w:val="none"/>
        </w:rPr>
        <w:t>招标</w:t>
      </w:r>
      <w:r>
        <w:rPr>
          <w:rFonts w:eastAsia="仿宋"/>
          <w:color w:val="000000"/>
          <w:sz w:val="24"/>
          <w:highlight w:val="none"/>
        </w:rPr>
        <w:t>文件的，可以对</w:t>
      </w:r>
      <w:r>
        <w:rPr>
          <w:rFonts w:hint="eastAsia" w:eastAsia="仿宋"/>
          <w:color w:val="000000"/>
          <w:sz w:val="24"/>
          <w:highlight w:val="none"/>
        </w:rPr>
        <w:t>招标</w:t>
      </w:r>
      <w:r>
        <w:rPr>
          <w:rFonts w:eastAsia="仿宋"/>
          <w:color w:val="000000"/>
          <w:sz w:val="24"/>
          <w:highlight w:val="none"/>
        </w:rPr>
        <w:t>文件提出</w:t>
      </w:r>
      <w:r>
        <w:rPr>
          <w:rFonts w:hint="eastAsia" w:eastAsia="仿宋"/>
          <w:color w:val="000000"/>
          <w:sz w:val="24"/>
          <w:highlight w:val="none"/>
        </w:rPr>
        <w:t>质疑</w:t>
      </w:r>
      <w:r>
        <w:rPr>
          <w:rFonts w:eastAsia="仿宋"/>
          <w:color w:val="000000"/>
          <w:sz w:val="24"/>
          <w:highlight w:val="none"/>
        </w:rPr>
        <w:t>。</w:t>
      </w:r>
    </w:p>
    <w:p w14:paraId="0DEF17B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9.2.7 质疑材料存在以下情形的，采购人、采购代理机构不予受理。</w:t>
      </w:r>
    </w:p>
    <w:p w14:paraId="366756D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（1）提起质疑的主体不是参与该政府采购项目活动的供应商；</w:t>
      </w:r>
    </w:p>
    <w:p w14:paraId="077F1B9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（2）提起质疑的时间超过规定时限的；</w:t>
      </w:r>
    </w:p>
    <w:p w14:paraId="4E10766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（3）质疑材料不完整的；</w:t>
      </w:r>
    </w:p>
    <w:p w14:paraId="2CB87AD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（4）质疑事项含有主观猜测等内容且未提供充分有效线索、难以查证的；</w:t>
      </w:r>
    </w:p>
    <w:p w14:paraId="1AE06F3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（5）质疑</w:t>
      </w:r>
      <w:r>
        <w:rPr>
          <w:rFonts w:ascii="宋体" w:hAnsi="宋体" w:eastAsia="仿宋"/>
          <w:color w:val="000000"/>
          <w:sz w:val="24"/>
          <w:highlight w:val="none"/>
        </w:rPr>
        <w:t>事项缺乏事实依据，</w:t>
      </w:r>
      <w:r>
        <w:rPr>
          <w:rFonts w:hint="eastAsia" w:ascii="宋体" w:hAnsi="宋体" w:eastAsia="仿宋"/>
          <w:color w:val="000000"/>
          <w:sz w:val="24"/>
          <w:highlight w:val="none"/>
        </w:rPr>
        <w:t>质疑</w:t>
      </w:r>
      <w:r>
        <w:rPr>
          <w:rFonts w:ascii="宋体" w:hAnsi="宋体" w:eastAsia="仿宋"/>
          <w:color w:val="000000"/>
          <w:sz w:val="24"/>
          <w:highlight w:val="none"/>
        </w:rPr>
        <w:t>事项不成立</w:t>
      </w:r>
      <w:r>
        <w:rPr>
          <w:rFonts w:hint="eastAsia" w:ascii="宋体" w:hAnsi="宋体" w:eastAsia="仿宋"/>
          <w:color w:val="000000"/>
          <w:sz w:val="24"/>
          <w:highlight w:val="none"/>
        </w:rPr>
        <w:t>的；</w:t>
      </w:r>
    </w:p>
    <w:p w14:paraId="681FDA8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w:t>
      </w:r>
      <w:r>
        <w:rPr>
          <w:rFonts w:ascii="宋体" w:hAnsi="宋体" w:eastAsia="仿宋"/>
          <w:color w:val="000000"/>
          <w:sz w:val="24"/>
          <w:highlight w:val="none"/>
        </w:rPr>
        <w:t>捏造事实或者提供虚假材料；</w:t>
      </w:r>
    </w:p>
    <w:p w14:paraId="2C29CD5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w:t>
      </w:r>
      <w:r>
        <w:rPr>
          <w:rFonts w:ascii="宋体" w:hAnsi="宋体" w:eastAsia="仿宋"/>
          <w:color w:val="000000"/>
          <w:sz w:val="24"/>
          <w:highlight w:val="none"/>
        </w:rPr>
        <w:t>以非法手段取得证明材料。</w:t>
      </w:r>
      <w:r>
        <w:rPr>
          <w:rFonts w:hint="eastAsia" w:ascii="宋体" w:hAnsi="宋体" w:eastAsia="仿宋"/>
          <w:color w:val="000000"/>
          <w:sz w:val="24"/>
          <w:highlight w:val="none"/>
        </w:rPr>
        <w:t>证明材料</w:t>
      </w:r>
      <w:r>
        <w:rPr>
          <w:rFonts w:ascii="宋体" w:hAnsi="宋体" w:eastAsia="仿宋"/>
          <w:color w:val="000000"/>
          <w:sz w:val="24"/>
          <w:highlight w:val="none"/>
        </w:rPr>
        <w:t>来源的合法性存在明显疑问，</w:t>
      </w:r>
      <w:r>
        <w:rPr>
          <w:rFonts w:hint="eastAsia" w:ascii="宋体" w:hAnsi="宋体" w:eastAsia="仿宋"/>
          <w:color w:val="000000"/>
          <w:sz w:val="24"/>
          <w:highlight w:val="none"/>
        </w:rPr>
        <w:t>质疑</w:t>
      </w:r>
      <w:r>
        <w:rPr>
          <w:rFonts w:ascii="宋体" w:hAnsi="宋体" w:eastAsia="仿宋"/>
          <w:color w:val="000000"/>
          <w:sz w:val="24"/>
          <w:highlight w:val="none"/>
        </w:rPr>
        <w:t>人无法证明其取得方式合法的，视为以非法手段取得证明材料</w:t>
      </w:r>
      <w:r>
        <w:rPr>
          <w:rFonts w:hint="eastAsia" w:ascii="宋体" w:hAnsi="宋体" w:eastAsia="仿宋"/>
          <w:color w:val="000000"/>
          <w:sz w:val="24"/>
          <w:highlight w:val="none"/>
        </w:rPr>
        <w:t>；</w:t>
      </w:r>
    </w:p>
    <w:p w14:paraId="7965CED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（8）对其他投标人的投标文件详细内容质疑，无法提供合法来源渠道的。</w:t>
      </w:r>
    </w:p>
    <w:p w14:paraId="2A5FA24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9.2.8 质疑人在答复期满前撤回质疑的，应由法定代表人或授权代表人签字确认。质疑人不得以同一理由再次提出质疑。</w:t>
      </w:r>
    </w:p>
    <w:p w14:paraId="142D686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9.2.9 因处理质疑发生的检验、检测、鉴定等费用，</w:t>
      </w:r>
      <w:r>
        <w:rPr>
          <w:rFonts w:ascii="宋体" w:hAnsi="宋体" w:eastAsia="仿宋"/>
          <w:color w:val="000000"/>
          <w:sz w:val="24"/>
          <w:highlight w:val="none"/>
        </w:rPr>
        <w:t>由提出申请的</w:t>
      </w:r>
      <w:r>
        <w:rPr>
          <w:rFonts w:hint="eastAsia" w:ascii="宋体" w:hAnsi="宋体" w:eastAsia="仿宋"/>
          <w:color w:val="000000"/>
          <w:sz w:val="24"/>
          <w:highlight w:val="none"/>
        </w:rPr>
        <w:t>投标人</w:t>
      </w:r>
      <w:r>
        <w:rPr>
          <w:rFonts w:ascii="宋体" w:hAnsi="宋体" w:eastAsia="仿宋"/>
          <w:color w:val="000000"/>
          <w:sz w:val="24"/>
          <w:highlight w:val="none"/>
        </w:rPr>
        <w:t>先行垫付。</w:t>
      </w:r>
      <w:r>
        <w:rPr>
          <w:rFonts w:hint="eastAsia" w:ascii="宋体" w:hAnsi="宋体" w:eastAsia="仿宋"/>
          <w:color w:val="000000"/>
          <w:sz w:val="24"/>
          <w:highlight w:val="none"/>
        </w:rPr>
        <w:t>质疑处理决定各方无异议</w:t>
      </w:r>
      <w:r>
        <w:rPr>
          <w:rFonts w:ascii="宋体" w:hAnsi="宋体" w:eastAsia="仿宋"/>
          <w:color w:val="000000"/>
          <w:sz w:val="24"/>
          <w:highlight w:val="none"/>
        </w:rPr>
        <w:t>后，按照</w:t>
      </w:r>
      <w:r>
        <w:rPr>
          <w:rFonts w:hint="eastAsia" w:ascii="宋体" w:hAnsi="宋体" w:eastAsia="仿宋"/>
          <w:color w:val="000000"/>
          <w:sz w:val="24"/>
          <w:highlight w:val="none"/>
        </w:rPr>
        <w:t>“</w:t>
      </w:r>
      <w:r>
        <w:rPr>
          <w:rFonts w:ascii="宋体" w:hAnsi="宋体" w:eastAsia="仿宋"/>
          <w:color w:val="000000"/>
          <w:sz w:val="24"/>
          <w:highlight w:val="none"/>
        </w:rPr>
        <w:t>谁过错谁负担</w:t>
      </w:r>
      <w:r>
        <w:rPr>
          <w:rFonts w:hint="eastAsia" w:ascii="宋体" w:hAnsi="宋体" w:eastAsia="仿宋"/>
          <w:color w:val="000000"/>
          <w:sz w:val="24"/>
          <w:highlight w:val="none"/>
        </w:rPr>
        <w:t>”</w:t>
      </w:r>
      <w:r>
        <w:rPr>
          <w:rFonts w:ascii="宋体" w:hAnsi="宋体" w:eastAsia="仿宋"/>
          <w:color w:val="000000"/>
          <w:sz w:val="24"/>
          <w:highlight w:val="none"/>
        </w:rPr>
        <w:t>的原则由承担责任的一方负担；双方都有责任的，由双方合理分担。</w:t>
      </w:r>
    </w:p>
    <w:p w14:paraId="17B685F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9.2.10 投标人不得以质疑为名进行虚假、恶意质疑，扰乱政府采购正常的工作秩序。投标人有下列情形之一的，属于虚假、恶意质疑，被质疑人应当驳回质疑，并向同级政府采购监督管理部门报告，将其列入不良行为记录名单，并依法予以处罚：</w:t>
      </w:r>
    </w:p>
    <w:p w14:paraId="5AD2345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（1）一年内三次以上投诉均查无实据的；</w:t>
      </w:r>
    </w:p>
    <w:p w14:paraId="27AED19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（2）捏造事实或者提供虚假质疑材料的；</w:t>
      </w:r>
    </w:p>
    <w:p w14:paraId="219945EE">
      <w:pPr>
        <w:widowControl/>
        <w:adjustRightInd w:val="0"/>
        <w:snapToGrid w:val="0"/>
        <w:spacing w:line="360" w:lineRule="auto"/>
        <w:ind w:firstLine="480" w:firstLineChars="200"/>
        <w:rPr>
          <w:rFonts w:hint="eastAsia" w:eastAsia="仿宋"/>
          <w:color w:val="000000"/>
          <w:sz w:val="24"/>
          <w:highlight w:val="none"/>
        </w:rPr>
      </w:pPr>
      <w:r>
        <w:rPr>
          <w:rFonts w:hint="eastAsia" w:ascii="宋体" w:hAnsi="宋体" w:eastAsia="仿宋"/>
          <w:color w:val="000000"/>
          <w:sz w:val="24"/>
          <w:highlight w:val="none"/>
        </w:rPr>
        <w:t>（3）</w:t>
      </w:r>
      <w:r>
        <w:rPr>
          <w:rFonts w:ascii="宋体" w:hAnsi="宋体" w:eastAsia="仿宋"/>
          <w:color w:val="000000"/>
          <w:sz w:val="24"/>
          <w:highlight w:val="none"/>
        </w:rPr>
        <w:t>以非法手段取</w:t>
      </w:r>
      <w:r>
        <w:rPr>
          <w:rFonts w:eastAsia="仿宋"/>
          <w:color w:val="000000"/>
          <w:sz w:val="24"/>
          <w:highlight w:val="none"/>
        </w:rPr>
        <w:t>得证明材料。</w:t>
      </w:r>
      <w:r>
        <w:rPr>
          <w:rFonts w:hint="eastAsia" w:eastAsia="仿宋"/>
          <w:color w:val="000000"/>
          <w:sz w:val="24"/>
          <w:highlight w:val="none"/>
        </w:rPr>
        <w:t>证明材料</w:t>
      </w:r>
      <w:r>
        <w:rPr>
          <w:rFonts w:eastAsia="仿宋"/>
          <w:color w:val="000000"/>
          <w:sz w:val="24"/>
          <w:highlight w:val="none"/>
        </w:rPr>
        <w:t>来源的合法性存在明显疑问，</w:t>
      </w:r>
      <w:r>
        <w:rPr>
          <w:rFonts w:hint="eastAsia" w:eastAsia="仿宋"/>
          <w:color w:val="000000"/>
          <w:sz w:val="24"/>
          <w:highlight w:val="none"/>
        </w:rPr>
        <w:t>质疑</w:t>
      </w:r>
      <w:r>
        <w:rPr>
          <w:rFonts w:eastAsia="仿宋"/>
          <w:color w:val="000000"/>
          <w:sz w:val="24"/>
          <w:highlight w:val="none"/>
        </w:rPr>
        <w:t>人无法证明其取得方式</w:t>
      </w:r>
      <w:r>
        <w:rPr>
          <w:rFonts w:ascii="宋体" w:hAnsi="宋体" w:eastAsia="仿宋"/>
          <w:color w:val="000000"/>
          <w:sz w:val="24"/>
          <w:highlight w:val="none"/>
        </w:rPr>
        <w:t>合法的，视为以非法手段取得证明材料</w:t>
      </w:r>
      <w:r>
        <w:rPr>
          <w:rFonts w:hint="eastAsia" w:ascii="宋体" w:hAnsi="宋体" w:eastAsia="仿宋"/>
          <w:color w:val="000000"/>
          <w:sz w:val="24"/>
          <w:highlight w:val="none"/>
        </w:rPr>
        <w:t>。</w:t>
      </w:r>
    </w:p>
    <w:p w14:paraId="0B53E063">
      <w:pPr>
        <w:pStyle w:val="3"/>
        <w:rPr>
          <w:rStyle w:val="107"/>
          <w:rFonts w:hint="eastAsia" w:ascii="宋体" w:hAnsi="宋体" w:eastAsia="仿宋"/>
          <w:b/>
          <w:bCs/>
          <w:color w:val="000000"/>
          <w:sz w:val="24"/>
          <w:szCs w:val="24"/>
          <w:highlight w:val="none"/>
        </w:rPr>
      </w:pPr>
      <w:r>
        <w:rPr>
          <w:rStyle w:val="107"/>
          <w:rFonts w:hint="eastAsia" w:ascii="宋体" w:hAnsi="宋体" w:eastAsia="仿宋"/>
          <w:b/>
          <w:bCs/>
          <w:color w:val="000000"/>
          <w:sz w:val="24"/>
          <w:szCs w:val="24"/>
          <w:highlight w:val="none"/>
        </w:rPr>
        <w:t>10. 纪律和监督</w:t>
      </w:r>
      <w:bookmarkEnd w:id="687"/>
      <w:bookmarkEnd w:id="688"/>
      <w:bookmarkEnd w:id="689"/>
      <w:bookmarkEnd w:id="690"/>
      <w:bookmarkEnd w:id="691"/>
    </w:p>
    <w:p w14:paraId="3133A05F">
      <w:pPr>
        <w:pStyle w:val="4"/>
        <w:adjustRightInd w:val="0"/>
        <w:ind w:firstLine="482" w:firstLineChars="200"/>
        <w:rPr>
          <w:rFonts w:eastAsia="仿宋"/>
          <w:color w:val="000000"/>
          <w:sz w:val="24"/>
          <w:highlight w:val="none"/>
          <w:lang w:eastAsia="zh-CN"/>
        </w:rPr>
      </w:pPr>
      <w:bookmarkStart w:id="692" w:name="_Toc342297665"/>
      <w:bookmarkStart w:id="693" w:name="_Toc338944651"/>
      <w:bookmarkStart w:id="694" w:name="_Toc342296208"/>
      <w:bookmarkStart w:id="695" w:name="_Toc333600729"/>
      <w:bookmarkStart w:id="696" w:name="_Toc144974543"/>
      <w:bookmarkStart w:id="697" w:name="_Toc466024547"/>
      <w:bookmarkStart w:id="698" w:name="_Toc333599705"/>
      <w:bookmarkStart w:id="699" w:name="_Toc455587264"/>
      <w:bookmarkStart w:id="700" w:name="_Toc342294760"/>
      <w:bookmarkStart w:id="701" w:name="_Toc152045575"/>
      <w:bookmarkStart w:id="702" w:name="_Toc371415965"/>
      <w:bookmarkStart w:id="703" w:name="_Toc338943746"/>
      <w:bookmarkStart w:id="704" w:name="_Toc179632593"/>
      <w:bookmarkStart w:id="705" w:name="_Toc455587080"/>
      <w:bookmarkStart w:id="706" w:name="_Toc152042351"/>
      <w:bookmarkStart w:id="707" w:name="_Toc458504865"/>
      <w:bookmarkStart w:id="708" w:name="_Toc445554738"/>
      <w:bookmarkStart w:id="709" w:name="_Toc333587899"/>
      <w:r>
        <w:rPr>
          <w:rFonts w:hint="eastAsia" w:eastAsia="仿宋"/>
          <w:color w:val="000000"/>
          <w:sz w:val="24"/>
          <w:highlight w:val="none"/>
          <w:lang w:eastAsia="zh-CN"/>
        </w:rPr>
        <w:t>10.1 对采购人的纪律要求</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611C7B2D">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采购人不得泄露招标投标活动中应当保密的情况和资料，不得与投标人串通损害国家利益、社会公共利益或者他人合法权益。</w:t>
      </w:r>
    </w:p>
    <w:p w14:paraId="42EBB890">
      <w:pPr>
        <w:pStyle w:val="4"/>
        <w:adjustRightInd w:val="0"/>
        <w:ind w:firstLine="482" w:firstLineChars="200"/>
        <w:rPr>
          <w:rFonts w:eastAsia="仿宋"/>
          <w:color w:val="000000"/>
          <w:sz w:val="24"/>
          <w:highlight w:val="none"/>
          <w:lang w:eastAsia="zh-CN"/>
        </w:rPr>
      </w:pPr>
      <w:bookmarkStart w:id="710" w:name="_Toc333600730"/>
      <w:bookmarkStart w:id="711" w:name="_Toc152045576"/>
      <w:bookmarkStart w:id="712" w:name="_Toc179632594"/>
      <w:bookmarkStart w:id="713" w:name="_Toc333587900"/>
      <w:bookmarkStart w:id="714" w:name="_Toc342297666"/>
      <w:bookmarkStart w:id="715" w:name="_Toc338943747"/>
      <w:bookmarkStart w:id="716" w:name="_Toc342294761"/>
      <w:bookmarkStart w:id="717" w:name="_Toc466024548"/>
      <w:bookmarkStart w:id="718" w:name="_Toc144974544"/>
      <w:bookmarkStart w:id="719" w:name="_Toc455587081"/>
      <w:bookmarkStart w:id="720" w:name="_Toc152042352"/>
      <w:bookmarkStart w:id="721" w:name="_Toc445554739"/>
      <w:bookmarkStart w:id="722" w:name="_Toc455587265"/>
      <w:bookmarkStart w:id="723" w:name="_Toc371415966"/>
      <w:bookmarkStart w:id="724" w:name="_Toc342296209"/>
      <w:bookmarkStart w:id="725" w:name="_Toc458504866"/>
      <w:bookmarkStart w:id="726" w:name="_Toc338944652"/>
      <w:bookmarkStart w:id="727" w:name="_Toc333599706"/>
      <w:r>
        <w:rPr>
          <w:rFonts w:hint="eastAsia" w:eastAsia="仿宋"/>
          <w:color w:val="000000"/>
          <w:sz w:val="24"/>
          <w:highlight w:val="none"/>
          <w:lang w:eastAsia="zh-CN"/>
        </w:rPr>
        <w:t>10.2 对投标人的纪律要求</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73E45A26">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6DA05EEA">
      <w:pPr>
        <w:pStyle w:val="3"/>
        <w:rPr>
          <w:rStyle w:val="107"/>
          <w:rFonts w:hint="eastAsia" w:ascii="宋体" w:hAnsi="宋体" w:eastAsia="仿宋"/>
          <w:b/>
          <w:bCs/>
          <w:color w:val="000000"/>
          <w:sz w:val="24"/>
          <w:szCs w:val="24"/>
          <w:highlight w:val="none"/>
        </w:rPr>
      </w:pPr>
      <w:bookmarkStart w:id="728" w:name="_Toc445554743"/>
      <w:bookmarkStart w:id="729" w:name="_Toc333599710"/>
      <w:bookmarkStart w:id="730" w:name="_Toc338943751"/>
      <w:bookmarkStart w:id="731" w:name="_Toc342296213"/>
      <w:bookmarkStart w:id="732" w:name="_Toc371415963"/>
      <w:bookmarkStart w:id="733" w:name="_Toc338944656"/>
      <w:bookmarkStart w:id="734" w:name="_Toc455587269"/>
      <w:bookmarkStart w:id="735" w:name="_Toc342297670"/>
      <w:bookmarkStart w:id="736" w:name="_Toc342294765"/>
      <w:bookmarkStart w:id="737" w:name="_Toc333600734"/>
      <w:bookmarkStart w:id="738" w:name="_Toc179632598"/>
      <w:bookmarkStart w:id="739" w:name="_Toc466024552"/>
      <w:bookmarkStart w:id="740" w:name="_Toc458504870"/>
      <w:bookmarkStart w:id="741" w:name="_Toc455587085"/>
      <w:bookmarkStart w:id="742" w:name="_Toc152045580"/>
      <w:bookmarkStart w:id="743" w:name="_Toc152042357"/>
      <w:bookmarkStart w:id="744" w:name="_Toc144974547"/>
      <w:r>
        <w:rPr>
          <w:rStyle w:val="107"/>
          <w:rFonts w:hint="eastAsia" w:ascii="宋体" w:hAnsi="宋体" w:eastAsia="仿宋"/>
          <w:b/>
          <w:bCs/>
          <w:color w:val="000000"/>
          <w:sz w:val="24"/>
          <w:szCs w:val="24"/>
          <w:highlight w:val="none"/>
        </w:rPr>
        <w:t>11. 政府采购政策</w:t>
      </w:r>
    </w:p>
    <w:p w14:paraId="56A10EEF">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11.1 节能与环保</w:t>
      </w:r>
    </w:p>
    <w:p w14:paraId="273D61EF">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11.1.1 采购标的在《关于印发节能产品政府采购品目清单的通知》（财库〔2019〕19号）清单内的，应当实行强制采购或优先采购。投标人所投产品如不具备国家确定的认证机构出具的、处于有效期内的节字标志认证证书，其投标将被认定为投标无效（产品属于强制采购）或不具有优先采购的条件（产品属于优先采购）。本次招标实行政府强制采购的节能产品详见投标人须知前附表。</w:t>
      </w:r>
    </w:p>
    <w:p w14:paraId="0D08406B">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11.1.2 采购标的在《关于印发环境标志产品政府采购品目清单的通知》（财库〔2019〕18号）清单内的，应当实行优先采购。投标人所投产品如不具备国家确定的认证机构出具的、处于有效期内的环境标志产品认证证书，其投标不具有优先采购的条件。</w:t>
      </w:r>
    </w:p>
    <w:p w14:paraId="0EFDBEA1">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11.2 促进中小企业发展</w:t>
      </w:r>
    </w:p>
    <w:p w14:paraId="3A9FAAFC">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11.2.1根据《政府采购促进中小企业发展管理办法》（财库〔2020〕46号）规定，投标人提供的货物、工程或者服务符合下列情形的，享受本条规定的中小企业扶持政策：</w:t>
      </w:r>
    </w:p>
    <w:p w14:paraId="59EC8E55">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（1）在货物采购项目中，货物由中小企业制造，即货物由中小企业生产且使用该中小企业商号或者注册商标；</w:t>
      </w:r>
    </w:p>
    <w:p w14:paraId="79C392C4">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（2）在工程采购项目中，工程由中小企业承建，即工程施工单位为中小企业；</w:t>
      </w:r>
    </w:p>
    <w:p w14:paraId="3B4229CF">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（3）在服务采购项目中，服务由中小企业承接，即提供服务的人员为中小企业依照《中华人民共和国劳动合同法》订立劳动合同的从业人员。</w:t>
      </w:r>
    </w:p>
    <w:p w14:paraId="42A77325">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在货物采购项目中，供应商提供的货物既有中小企业制造货物，也有大型企业制造货物的，不享受本条规定的中小企业扶持政策。</w:t>
      </w:r>
    </w:p>
    <w:p w14:paraId="53EFF61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以联合体形式参加政府采购活动（如接受联合体投标时），联合体各方均为中小企业的，联合体视同中小企业。其中，联合体各方均为小微企业的，联合体视同小微企业。</w:t>
      </w:r>
    </w:p>
    <w:p w14:paraId="7BEEB844">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中小企业应当在投标文件中提供招标文件规定格式的《中小企业声明函》，并对其真实性负责。</w:t>
      </w:r>
    </w:p>
    <w:p w14:paraId="1089A80E">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中小企业划型标准见工信部联企业〔2011〕300号文件。</w:t>
      </w:r>
    </w:p>
    <w:p w14:paraId="3C4D4D3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11.2.2投标人须知前附表第1.1.7项规定本项目属于专门面向中小企业（含中型、小型、微型企业，下同）采购的，投标人应符合本章第11.2.1项规定外，还应符合本项目的资格要求。</w:t>
      </w:r>
    </w:p>
    <w:p w14:paraId="0F781409">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11.2.3</w:t>
      </w:r>
      <w:r>
        <w:rPr>
          <w:rFonts w:hint="eastAsia" w:ascii="宋体" w:hAnsi="宋体" w:eastAsia="仿宋"/>
          <w:color w:val="000000"/>
          <w:sz w:val="24"/>
          <w:highlight w:val="none"/>
        </w:rPr>
        <w:t>投标人须知前附表第1.1.7项规定</w:t>
      </w:r>
      <w:r>
        <w:rPr>
          <w:rFonts w:hint="eastAsia" w:ascii="宋体" w:hAnsi="宋体" w:eastAsia="仿宋"/>
          <w:color w:val="000000"/>
          <w:sz w:val="24"/>
          <w:highlight w:val="none"/>
          <w:lang w:bidi="en-US"/>
        </w:rPr>
        <w:t>本项目属于未预留份额专门面向中小企业采购的采购项目，以及预留份额项目中的非预留部分采购时，对小微企业的投标报价按照投标人须知前附表规定的比例给予扣除；</w:t>
      </w:r>
      <w:r>
        <w:rPr>
          <w:rFonts w:hint="eastAsia" w:ascii="宋体" w:hAnsi="宋体" w:eastAsia="仿宋"/>
          <w:color w:val="000000"/>
          <w:sz w:val="24"/>
          <w:highlight w:val="none"/>
        </w:rPr>
        <w:t>接受大中型企业与小微企业组成联合体或者允许大中型企业向一家或者多家小微企业分包的，对于联合协议或者分包意向协议约定小微企业的合同份额占到合同总金额30%以上的，对联合体或者大中型企业的报价按照投标人须知前附表规定的比例给予报价扣除。用扣除后的价格参加评审。组成联合体或者接受分包的小微企业与联合体内其他企业、分包企业之间存在直接控股、管理关系的，不享受价格扣除优惠政策。</w:t>
      </w:r>
    </w:p>
    <w:p w14:paraId="02D37EBD">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11.2.4 根据《关于政府采购支持监狱企业发展有关问题的通知》(财库〔2014〕68号)，监狱企业视同小型、微型企业。监狱企业参加政府采购活动时，提供由省级以上监狱管理局、戒毒管理局(含新疆生产建设兵团)出具的属于监狱企业的证明文件，无需提供《中小企业声明函》。</w:t>
      </w:r>
    </w:p>
    <w:p w14:paraId="4A67F668">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11.2.5 按照《财政部 民政部 中国残疾人联合会关于促进残疾人就业政府采购政策的通知》（财库〔2017〕141号）的规定，在</w:t>
      </w:r>
      <w:r>
        <w:rPr>
          <w:rFonts w:hint="eastAsia" w:ascii="宋体" w:hAnsi="宋体" w:eastAsia="仿宋"/>
          <w:color w:val="000000"/>
          <w:sz w:val="24"/>
          <w:highlight w:val="none"/>
        </w:rPr>
        <w:t>政府</w:t>
      </w:r>
      <w:r>
        <w:rPr>
          <w:rFonts w:hint="eastAsia" w:ascii="宋体" w:hAnsi="宋体" w:eastAsia="仿宋"/>
          <w:color w:val="000000"/>
          <w:sz w:val="24"/>
          <w:highlight w:val="none"/>
          <w:lang w:bidi="en-US"/>
        </w:rPr>
        <w:t>采购活动中，符合条件的残疾人福利性单位视同小型、微型企业，享受评审价格扣除的政府采购政策。符合条件的残疾人福利性单位在参加政府采购活动时，应当提供招标文件规定格式的《残疾人福利性单位声明函》，无需提供《中小企业声明函》。</w:t>
      </w:r>
    </w:p>
    <w:p w14:paraId="600170DA">
      <w:pPr>
        <w:widowControl/>
        <w:adjustRightInd w:val="0"/>
        <w:snapToGrid w:val="0"/>
        <w:spacing w:line="360" w:lineRule="auto"/>
        <w:ind w:firstLine="480" w:firstLineChars="200"/>
        <w:rPr>
          <w:rFonts w:ascii="宋体" w:hAnsi="宋体" w:eastAsia="仿宋"/>
          <w:color w:val="000000"/>
          <w:sz w:val="24"/>
          <w:highlight w:val="none"/>
          <w:lang w:bidi="en-US"/>
        </w:rPr>
      </w:pPr>
      <w:r>
        <w:rPr>
          <w:rFonts w:hint="eastAsia" w:ascii="宋体" w:hAnsi="宋体" w:eastAsia="仿宋"/>
          <w:color w:val="000000"/>
          <w:sz w:val="24"/>
          <w:highlight w:val="none"/>
          <w:lang w:bidi="en-US"/>
        </w:rPr>
        <w:t>11.2.6 监狱企业、残疾人福利性单位属于小微企业的，不重复享受中小企业价格评审优惠政策。</w:t>
      </w:r>
    </w:p>
    <w:p w14:paraId="627DF215">
      <w:pPr>
        <w:widowControl/>
        <w:adjustRightInd w:val="0"/>
        <w:snapToGrid w:val="0"/>
        <w:spacing w:line="360" w:lineRule="auto"/>
        <w:ind w:firstLine="482" w:firstLineChars="200"/>
        <w:outlineLvl w:val="2"/>
        <w:rPr>
          <w:rFonts w:hint="eastAsia" w:ascii="宋体" w:hAnsi="宋体" w:eastAsia="仿宋"/>
          <w:b/>
          <w:bCs/>
          <w:color w:val="000000"/>
          <w:kern w:val="0"/>
          <w:sz w:val="24"/>
          <w:highlight w:val="none"/>
          <w:lang w:bidi="en-US"/>
        </w:rPr>
      </w:pPr>
      <w:r>
        <w:rPr>
          <w:rFonts w:hint="eastAsia" w:ascii="宋体" w:hAnsi="宋体" w:eastAsia="仿宋"/>
          <w:b/>
          <w:bCs/>
          <w:color w:val="000000"/>
          <w:kern w:val="0"/>
          <w:sz w:val="24"/>
          <w:highlight w:val="none"/>
          <w:lang w:bidi="en-US"/>
        </w:rPr>
        <w:t>11.3 采购本国货物、工程和服务</w:t>
      </w:r>
    </w:p>
    <w:p w14:paraId="18CD1D92">
      <w:pPr>
        <w:widowControl/>
        <w:adjustRightInd w:val="0"/>
        <w:snapToGrid w:val="0"/>
        <w:spacing w:line="360" w:lineRule="auto"/>
        <w:ind w:firstLine="480" w:firstLineChars="200"/>
        <w:rPr>
          <w:rFonts w:ascii="宋体" w:hAnsi="宋体" w:eastAsia="仿宋"/>
          <w:color w:val="000000"/>
          <w:sz w:val="24"/>
          <w:highlight w:val="none"/>
          <w:lang w:bidi="en-US"/>
        </w:rPr>
      </w:pPr>
      <w:r>
        <w:rPr>
          <w:rFonts w:hint="eastAsia" w:ascii="宋体" w:hAnsi="宋体" w:eastAsia="仿宋"/>
          <w:color w:val="000000"/>
          <w:sz w:val="24"/>
          <w:highlight w:val="none"/>
          <w:lang w:bidi="en-US"/>
        </w:rPr>
        <w:t>11</w:t>
      </w:r>
      <w:r>
        <w:rPr>
          <w:rFonts w:ascii="宋体" w:hAnsi="宋体" w:eastAsia="仿宋"/>
          <w:color w:val="000000"/>
          <w:sz w:val="24"/>
          <w:highlight w:val="none"/>
          <w:lang w:bidi="en-US"/>
        </w:rPr>
        <w:t>.</w:t>
      </w:r>
      <w:r>
        <w:rPr>
          <w:rFonts w:hint="eastAsia" w:ascii="宋体" w:hAnsi="宋体" w:eastAsia="仿宋"/>
          <w:color w:val="000000"/>
          <w:sz w:val="24"/>
          <w:highlight w:val="none"/>
          <w:lang w:bidi="en-US"/>
        </w:rPr>
        <w:t>3</w:t>
      </w:r>
      <w:r>
        <w:rPr>
          <w:rFonts w:ascii="宋体" w:hAnsi="宋体" w:eastAsia="仿宋"/>
          <w:color w:val="000000"/>
          <w:sz w:val="24"/>
          <w:highlight w:val="none"/>
          <w:lang w:bidi="en-US"/>
        </w:rPr>
        <w:t>.1 政府采购应当采购本国货物、工程和服务。但有《中华人民共和国政府采购法》第十条规定情形的除外。</w:t>
      </w:r>
    </w:p>
    <w:p w14:paraId="1221E49D">
      <w:pPr>
        <w:widowControl/>
        <w:adjustRightInd w:val="0"/>
        <w:snapToGrid w:val="0"/>
        <w:spacing w:line="360" w:lineRule="auto"/>
        <w:ind w:firstLine="480" w:firstLineChars="200"/>
        <w:rPr>
          <w:rFonts w:ascii="宋体" w:hAnsi="宋体" w:eastAsia="仿宋"/>
          <w:color w:val="000000"/>
          <w:sz w:val="24"/>
          <w:highlight w:val="none"/>
          <w:lang w:bidi="en-US"/>
        </w:rPr>
      </w:pPr>
      <w:r>
        <w:rPr>
          <w:rFonts w:hint="eastAsia" w:ascii="宋体" w:hAnsi="宋体" w:eastAsia="仿宋"/>
          <w:color w:val="000000"/>
          <w:sz w:val="24"/>
          <w:highlight w:val="none"/>
          <w:lang w:bidi="en-US"/>
        </w:rPr>
        <w:t>11</w:t>
      </w:r>
      <w:r>
        <w:rPr>
          <w:rFonts w:ascii="宋体" w:hAnsi="宋体" w:eastAsia="仿宋"/>
          <w:color w:val="000000"/>
          <w:sz w:val="24"/>
          <w:highlight w:val="none"/>
          <w:lang w:bidi="en-US"/>
        </w:rPr>
        <w:t>.</w:t>
      </w:r>
      <w:r>
        <w:rPr>
          <w:rFonts w:hint="eastAsia" w:ascii="宋体" w:hAnsi="宋体" w:eastAsia="仿宋"/>
          <w:color w:val="000000"/>
          <w:sz w:val="24"/>
          <w:highlight w:val="none"/>
          <w:lang w:bidi="en-US"/>
        </w:rPr>
        <w:t>3</w:t>
      </w:r>
      <w:r>
        <w:rPr>
          <w:rFonts w:ascii="宋体" w:hAnsi="宋体" w:eastAsia="仿宋"/>
          <w:color w:val="000000"/>
          <w:sz w:val="24"/>
          <w:highlight w:val="none"/>
          <w:lang w:bidi="en-US"/>
        </w:rPr>
        <w:t>.2 本项目进口产品采购情况见投标人须知前附表。本项目如接受非本国货物、工程、服务参与投标，则具体要求见第</w:t>
      </w:r>
      <w:r>
        <w:rPr>
          <w:rFonts w:hint="eastAsia" w:ascii="宋体" w:hAnsi="宋体" w:eastAsia="仿宋"/>
          <w:color w:val="000000"/>
          <w:sz w:val="24"/>
          <w:highlight w:val="none"/>
          <w:lang w:bidi="en-US"/>
        </w:rPr>
        <w:t>三</w:t>
      </w:r>
      <w:r>
        <w:rPr>
          <w:rFonts w:ascii="宋体" w:hAnsi="宋体" w:eastAsia="仿宋"/>
          <w:color w:val="000000"/>
          <w:sz w:val="24"/>
          <w:highlight w:val="none"/>
          <w:lang w:bidi="en-US"/>
        </w:rPr>
        <w:t>章《采购需求》。</w:t>
      </w:r>
    </w:p>
    <w:p w14:paraId="4DB0CAE6">
      <w:pPr>
        <w:widowControl/>
        <w:adjustRightInd w:val="0"/>
        <w:snapToGrid w:val="0"/>
        <w:spacing w:line="360" w:lineRule="auto"/>
        <w:ind w:firstLine="480" w:firstLineChars="200"/>
        <w:rPr>
          <w:rFonts w:ascii="宋体" w:hAnsi="宋体" w:eastAsia="仿宋"/>
          <w:color w:val="000000"/>
          <w:sz w:val="24"/>
          <w:highlight w:val="none"/>
          <w:lang w:bidi="en-US"/>
        </w:rPr>
      </w:pPr>
      <w:r>
        <w:rPr>
          <w:rFonts w:hint="eastAsia" w:ascii="宋体" w:hAnsi="宋体" w:eastAsia="仿宋"/>
          <w:color w:val="000000"/>
          <w:sz w:val="24"/>
          <w:highlight w:val="none"/>
          <w:lang w:bidi="en-US"/>
        </w:rPr>
        <w:t>11</w:t>
      </w:r>
      <w:r>
        <w:rPr>
          <w:rFonts w:ascii="宋体" w:hAnsi="宋体" w:eastAsia="仿宋"/>
          <w:color w:val="000000"/>
          <w:sz w:val="24"/>
          <w:highlight w:val="none"/>
          <w:lang w:bidi="en-US"/>
        </w:rPr>
        <w:t>.</w:t>
      </w:r>
      <w:r>
        <w:rPr>
          <w:rFonts w:hint="eastAsia" w:ascii="宋体" w:hAnsi="宋体" w:eastAsia="仿宋"/>
          <w:color w:val="000000"/>
          <w:sz w:val="24"/>
          <w:highlight w:val="none"/>
          <w:lang w:bidi="en-US"/>
        </w:rPr>
        <w:t>3</w:t>
      </w:r>
      <w:r>
        <w:rPr>
          <w:rFonts w:ascii="宋体" w:hAnsi="宋体" w:eastAsia="仿宋"/>
          <w:color w:val="000000"/>
          <w:sz w:val="24"/>
          <w:highlight w:val="none"/>
          <w:lang w:bidi="en-US"/>
        </w:rPr>
        <w:t>.3 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A708A29">
      <w:pPr>
        <w:widowControl/>
        <w:adjustRightInd w:val="0"/>
        <w:snapToGrid w:val="0"/>
        <w:spacing w:line="360" w:lineRule="auto"/>
        <w:ind w:firstLine="482" w:firstLineChars="200"/>
        <w:outlineLvl w:val="2"/>
        <w:rPr>
          <w:rFonts w:hint="eastAsia" w:ascii="宋体" w:hAnsi="宋体" w:eastAsia="仿宋"/>
          <w:b/>
          <w:bCs/>
          <w:color w:val="000000"/>
          <w:kern w:val="0"/>
          <w:sz w:val="24"/>
          <w:highlight w:val="none"/>
          <w:lang w:bidi="en-US"/>
        </w:rPr>
      </w:pPr>
      <w:r>
        <w:rPr>
          <w:rFonts w:hint="eastAsia" w:ascii="宋体" w:hAnsi="宋体" w:eastAsia="仿宋"/>
          <w:b/>
          <w:bCs/>
          <w:color w:val="000000"/>
          <w:kern w:val="0"/>
          <w:sz w:val="24"/>
          <w:highlight w:val="none"/>
          <w:lang w:bidi="en-US"/>
        </w:rPr>
        <w:t>11.4 需要执行的其他政府采购政策</w:t>
      </w:r>
    </w:p>
    <w:p w14:paraId="0BA6F7B2">
      <w:pPr>
        <w:widowControl/>
        <w:adjustRightInd w:val="0"/>
        <w:snapToGrid w:val="0"/>
        <w:spacing w:line="360" w:lineRule="auto"/>
        <w:ind w:firstLine="480" w:firstLineChars="200"/>
        <w:rPr>
          <w:rFonts w:ascii="宋体" w:hAnsi="宋体" w:eastAsia="仿宋"/>
          <w:color w:val="000000"/>
          <w:sz w:val="24"/>
          <w:highlight w:val="none"/>
          <w:lang w:bidi="en-US"/>
        </w:rPr>
      </w:pPr>
      <w:r>
        <w:rPr>
          <w:rFonts w:hint="eastAsia" w:ascii="宋体" w:hAnsi="宋体" w:eastAsia="仿宋"/>
          <w:color w:val="000000"/>
          <w:sz w:val="24"/>
          <w:highlight w:val="none"/>
          <w:lang w:bidi="en-US"/>
        </w:rPr>
        <w:t>需要执行的其他政府采购政策：见投标人须知前附表。</w:t>
      </w:r>
    </w:p>
    <w:p w14:paraId="7CC90A6E">
      <w:pPr>
        <w:pStyle w:val="3"/>
        <w:rPr>
          <w:rStyle w:val="107"/>
          <w:rFonts w:hint="eastAsia" w:ascii="宋体" w:hAnsi="宋体" w:eastAsia="仿宋"/>
          <w:b/>
          <w:bCs/>
          <w:color w:val="000000"/>
          <w:sz w:val="24"/>
          <w:szCs w:val="24"/>
          <w:highlight w:val="none"/>
        </w:rPr>
      </w:pPr>
      <w:r>
        <w:rPr>
          <w:rStyle w:val="107"/>
          <w:rFonts w:hint="eastAsia" w:ascii="宋体" w:hAnsi="宋体" w:eastAsia="仿宋"/>
          <w:b/>
          <w:bCs/>
          <w:color w:val="000000"/>
          <w:sz w:val="24"/>
          <w:szCs w:val="24"/>
          <w:highlight w:val="none"/>
        </w:rPr>
        <w:t>12. 需要补充的其他内容</w:t>
      </w:r>
    </w:p>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14:paraId="211F0DCB">
      <w:pPr>
        <w:widowControl/>
        <w:adjustRightInd w:val="0"/>
        <w:snapToGrid w:val="0"/>
        <w:spacing w:line="360" w:lineRule="auto"/>
        <w:ind w:firstLine="480" w:firstLineChars="200"/>
        <w:rPr>
          <w:rFonts w:hint="eastAsia" w:eastAsia="仿宋"/>
          <w:color w:val="000000"/>
          <w:sz w:val="24"/>
          <w:highlight w:val="none"/>
          <w:lang w:bidi="en-US"/>
        </w:rPr>
      </w:pPr>
      <w:bookmarkStart w:id="745" w:name="_Toc455587087"/>
      <w:bookmarkStart w:id="746" w:name="_Toc455587271"/>
      <w:bookmarkStart w:id="747" w:name="_Toc466024554"/>
      <w:bookmarkStart w:id="748" w:name="_Toc458504872"/>
      <w:bookmarkStart w:id="749" w:name="_Toc445554745"/>
      <w:r>
        <w:rPr>
          <w:rFonts w:hint="eastAsia" w:eastAsia="仿宋"/>
          <w:color w:val="000000"/>
          <w:sz w:val="24"/>
          <w:highlight w:val="none"/>
          <w:lang w:bidi="en-US"/>
        </w:rPr>
        <w:t>需要补充的其他内容</w:t>
      </w:r>
      <w:bookmarkEnd w:id="745"/>
      <w:bookmarkEnd w:id="746"/>
      <w:bookmarkEnd w:id="747"/>
      <w:bookmarkEnd w:id="748"/>
      <w:bookmarkEnd w:id="749"/>
      <w:r>
        <w:rPr>
          <w:rFonts w:hint="eastAsia" w:eastAsia="仿宋"/>
          <w:color w:val="000000"/>
          <w:sz w:val="24"/>
          <w:highlight w:val="none"/>
          <w:lang w:bidi="en-US"/>
        </w:rPr>
        <w:t>：见投标人须知前附表。</w:t>
      </w:r>
    </w:p>
    <w:p w14:paraId="69ABC36F">
      <w:pPr>
        <w:pStyle w:val="3"/>
        <w:jc w:val="center"/>
        <w:rPr>
          <w:rFonts w:eastAsia="黑体"/>
          <w:highlight w:val="none"/>
        </w:rPr>
      </w:pPr>
      <w:r>
        <w:rPr>
          <w:rFonts w:ascii="宋体" w:hAnsi="宋体" w:eastAsia="仿宋"/>
          <w:szCs w:val="21"/>
          <w:highlight w:val="none"/>
        </w:rPr>
        <w:br w:type="page"/>
      </w:r>
      <w:bookmarkStart w:id="750" w:name="_Toc24418"/>
      <w:bookmarkStart w:id="751" w:name="_Hlk44246314"/>
      <w:r>
        <w:rPr>
          <w:rFonts w:eastAsia="黑体"/>
          <w:highlight w:val="none"/>
        </w:rPr>
        <w:t>附件</w:t>
      </w:r>
      <w:r>
        <w:rPr>
          <w:rFonts w:hint="eastAsia" w:eastAsia="黑体"/>
          <w:highlight w:val="none"/>
        </w:rPr>
        <w:t>一</w:t>
      </w:r>
      <w:r>
        <w:rPr>
          <w:rFonts w:eastAsia="黑体"/>
          <w:highlight w:val="none"/>
        </w:rPr>
        <w:t>：</w:t>
      </w:r>
      <w:r>
        <w:rPr>
          <w:rFonts w:hint="eastAsia" w:eastAsia="黑体"/>
          <w:highlight w:val="none"/>
        </w:rPr>
        <w:t>全流程电子招标采购</w:t>
      </w:r>
      <w:r>
        <w:rPr>
          <w:rFonts w:eastAsia="黑体"/>
          <w:highlight w:val="none"/>
        </w:rPr>
        <w:t>具体要求</w:t>
      </w:r>
      <w:bookmarkEnd w:id="750"/>
    </w:p>
    <w:bookmarkEnd w:id="751"/>
    <w:p w14:paraId="3A29616E">
      <w:pPr>
        <w:spacing w:line="400" w:lineRule="exact"/>
        <w:ind w:firstLine="420" w:firstLineChars="200"/>
        <w:rPr>
          <w:rFonts w:ascii="黑体" w:hAnsi="黑体" w:eastAsia="黑体"/>
          <w:highlight w:val="none"/>
        </w:rPr>
      </w:pPr>
      <w:r>
        <w:rPr>
          <w:rFonts w:hint="eastAsia" w:ascii="黑体" w:hAnsi="黑体" w:eastAsia="黑体"/>
          <w:highlight w:val="none"/>
        </w:rPr>
        <w:t>说明：当采用非招标方式进行全流程电子采购活动时，按照本规定执行，其中本要求“投标人”按“供应商”理解，“投标文件”按“响应文件”理解，“招标文件”按“采购文件”理解，“投标文件递交截止时间”按“首次递交响应文件截止时间”理解，“开标”按“开启响应文件”理解，“</w:t>
      </w:r>
      <w:r>
        <w:rPr>
          <w:rFonts w:ascii="黑体" w:hAnsi="黑体" w:eastAsia="黑体"/>
          <w:highlight w:val="none"/>
        </w:rPr>
        <w:t>评标委员会</w:t>
      </w:r>
      <w:r>
        <w:rPr>
          <w:rFonts w:hint="eastAsia" w:ascii="黑体" w:hAnsi="黑体" w:eastAsia="黑体"/>
          <w:highlight w:val="none"/>
        </w:rPr>
        <w:t>”按“评审小组”理解，“投标无效”按“响应文件无效”理解。</w:t>
      </w:r>
    </w:p>
    <w:p w14:paraId="5C7C2813">
      <w:pPr>
        <w:spacing w:line="400" w:lineRule="exact"/>
        <w:ind w:firstLine="420" w:firstLineChars="200"/>
        <w:rPr>
          <w:rFonts w:ascii="黑体" w:hAnsi="黑体" w:eastAsia="黑体"/>
          <w:highlight w:val="none"/>
        </w:rPr>
      </w:pPr>
    </w:p>
    <w:p w14:paraId="3B6FC4CD">
      <w:pPr>
        <w:spacing w:line="400" w:lineRule="exact"/>
        <w:ind w:firstLine="420" w:firstLineChars="200"/>
        <w:rPr>
          <w:rFonts w:hint="eastAsia" w:ascii="黑体" w:hAnsi="黑体" w:eastAsia="黑体"/>
          <w:highlight w:val="none"/>
        </w:rPr>
      </w:pPr>
      <w:r>
        <w:rPr>
          <w:rFonts w:hint="eastAsia" w:ascii="黑体" w:hAnsi="黑体" w:eastAsia="黑体"/>
          <w:highlight w:val="none"/>
        </w:rPr>
        <w:t>一</w:t>
      </w:r>
      <w:r>
        <w:rPr>
          <w:rFonts w:ascii="黑体" w:hAnsi="黑体" w:eastAsia="黑体"/>
          <w:highlight w:val="none"/>
        </w:rPr>
        <w:t>、</w:t>
      </w:r>
      <w:r>
        <w:rPr>
          <w:rFonts w:hint="eastAsia"/>
          <w:highlight w:val="none"/>
        </w:rPr>
        <w:t>CA</w:t>
      </w:r>
      <w:r>
        <w:rPr>
          <w:rFonts w:hint="eastAsia" w:ascii="黑体" w:hAnsi="黑体" w:eastAsia="黑体"/>
          <w:highlight w:val="none"/>
        </w:rPr>
        <w:t>证书办理和</w:t>
      </w:r>
      <w:r>
        <w:rPr>
          <w:rFonts w:ascii="黑体" w:hAnsi="黑体" w:eastAsia="黑体"/>
          <w:highlight w:val="none"/>
        </w:rPr>
        <w:t>注意事项</w:t>
      </w:r>
    </w:p>
    <w:p w14:paraId="237FFA79">
      <w:pPr>
        <w:spacing w:line="400" w:lineRule="exact"/>
        <w:ind w:firstLine="420" w:firstLineChars="200"/>
        <w:rPr>
          <w:highlight w:val="none"/>
        </w:rPr>
      </w:pPr>
      <w:r>
        <w:rPr>
          <w:rFonts w:ascii="宋体" w:hAnsi="宋体"/>
          <w:highlight w:val="none"/>
        </w:rPr>
        <w:t>1.</w:t>
      </w:r>
      <w:r>
        <w:rPr>
          <w:rFonts w:hint="eastAsia" w:ascii="宋体" w:hAnsi="宋体"/>
          <w:highlight w:val="none"/>
        </w:rPr>
        <w:t>本项目采用全流程电子招标采购方式，</w:t>
      </w:r>
      <w:r>
        <w:rPr>
          <w:rFonts w:hint="eastAsia"/>
          <w:highlight w:val="none"/>
        </w:rPr>
        <w:t>潜在投标人应及时办理CA证书，用于对投标文件进行电子签章及加、解密。</w:t>
      </w:r>
    </w:p>
    <w:p w14:paraId="3DD3CDA9">
      <w:pPr>
        <w:spacing w:line="400" w:lineRule="exact"/>
        <w:ind w:firstLine="420" w:firstLineChars="200"/>
        <w:rPr>
          <w:bCs/>
          <w:color w:val="000000"/>
          <w:highlight w:val="none"/>
        </w:rPr>
      </w:pPr>
      <w:r>
        <w:rPr>
          <w:rFonts w:ascii="宋体" w:hAnsi="宋体"/>
          <w:highlight w:val="none"/>
        </w:rPr>
        <w:t>2.</w:t>
      </w:r>
      <w:r>
        <w:rPr>
          <w:rFonts w:hint="eastAsia" w:ascii="宋体" w:hAnsi="宋体"/>
          <w:highlight w:val="none"/>
        </w:rPr>
        <w:t>CA</w:t>
      </w:r>
      <w:r>
        <w:rPr>
          <w:rFonts w:hint="eastAsia"/>
          <w:highlight w:val="none"/>
        </w:rPr>
        <w:t>证书</w:t>
      </w:r>
      <w:r>
        <w:rPr>
          <w:rFonts w:hint="eastAsia" w:ascii="宋体" w:hAnsi="宋体"/>
          <w:highlight w:val="none"/>
        </w:rPr>
        <w:t>办理详</w:t>
      </w:r>
      <w:r>
        <w:rPr>
          <w:rFonts w:hint="eastAsia" w:ascii="宋体" w:hAnsi="宋体"/>
          <w:color w:val="000000"/>
          <w:highlight w:val="none"/>
        </w:rPr>
        <w:t>见</w:t>
      </w:r>
      <w:r>
        <w:rPr>
          <w:rFonts w:hint="eastAsia"/>
          <w:bCs/>
          <w:color w:val="000000"/>
          <w:highlight w:val="none"/>
        </w:rPr>
        <w:t>《优质采平台CA数字证书办理说明》：</w:t>
      </w:r>
    </w:p>
    <w:p w14:paraId="36D711CA">
      <w:pPr>
        <w:spacing w:line="400" w:lineRule="exact"/>
        <w:rPr>
          <w:rFonts w:hint="eastAsia"/>
          <w:b/>
          <w:bCs/>
          <w:color w:val="000000"/>
          <w:highlight w:val="none"/>
        </w:rPr>
      </w:pPr>
      <w:r>
        <w:rPr>
          <w:bCs/>
          <w:color w:val="000000"/>
          <w:highlight w:val="none"/>
          <w:u w:val="single"/>
        </w:rPr>
        <w:fldChar w:fldCharType="begin"/>
      </w:r>
      <w:r>
        <w:rPr>
          <w:bCs/>
          <w:color w:val="000000"/>
          <w:highlight w:val="none"/>
          <w:u w:val="single"/>
        </w:rPr>
        <w:instrText xml:space="preserve"> HYPERLINK "http://www.youzhicai.com/ActivityTopic/AdviceDetail/8f80a7ec-911f-4c4d-a123-f8849880f045" </w:instrText>
      </w:r>
      <w:r>
        <w:rPr>
          <w:bCs/>
          <w:color w:val="000000"/>
          <w:highlight w:val="none"/>
          <w:u w:val="single"/>
        </w:rPr>
        <w:fldChar w:fldCharType="separate"/>
      </w:r>
      <w:r>
        <w:rPr>
          <w:rStyle w:val="58"/>
          <w:bCs/>
          <w:color w:val="000000"/>
          <w:highlight w:val="none"/>
        </w:rPr>
        <w:t>http://www.youzhicai.com/ActivityTopic/AdviceDetail/8f80a7ec-911f-4c4d-a123-f</w:t>
      </w:r>
      <w:bookmarkStart w:id="752" w:name="_Hlt105085548"/>
      <w:bookmarkStart w:id="753" w:name="_Hlt105085547"/>
      <w:r>
        <w:rPr>
          <w:rStyle w:val="58"/>
          <w:bCs/>
          <w:color w:val="000000"/>
          <w:highlight w:val="none"/>
        </w:rPr>
        <w:t>8</w:t>
      </w:r>
      <w:bookmarkEnd w:id="752"/>
      <w:bookmarkEnd w:id="753"/>
      <w:r>
        <w:rPr>
          <w:rStyle w:val="58"/>
          <w:bCs/>
          <w:color w:val="000000"/>
          <w:highlight w:val="none"/>
        </w:rPr>
        <w:t>849880f045</w:t>
      </w:r>
      <w:r>
        <w:rPr>
          <w:bCs/>
          <w:color w:val="000000"/>
          <w:highlight w:val="none"/>
          <w:u w:val="single"/>
        </w:rPr>
        <w:fldChar w:fldCharType="end"/>
      </w:r>
      <w:r>
        <w:rPr>
          <w:bCs/>
          <w:color w:val="000000"/>
          <w:highlight w:val="none"/>
        </w:rPr>
        <w:t>。</w:t>
      </w:r>
    </w:p>
    <w:p w14:paraId="667AA1B1">
      <w:pPr>
        <w:spacing w:line="400" w:lineRule="exact"/>
        <w:ind w:firstLine="420" w:firstLineChars="200"/>
        <w:rPr>
          <w:color w:val="000000"/>
          <w:highlight w:val="none"/>
        </w:rPr>
      </w:pPr>
      <w:r>
        <w:rPr>
          <w:rFonts w:ascii="宋体" w:hAnsi="宋体"/>
          <w:color w:val="000000"/>
          <w:highlight w:val="none"/>
        </w:rPr>
        <w:t>3.</w:t>
      </w:r>
      <w:r>
        <w:rPr>
          <w:rFonts w:hint="eastAsia" w:ascii="宋体" w:hAnsi="宋体"/>
          <w:color w:val="000000"/>
          <w:highlight w:val="none"/>
        </w:rPr>
        <w:t>CA</w:t>
      </w:r>
      <w:r>
        <w:rPr>
          <w:rFonts w:hint="eastAsia"/>
          <w:color w:val="000000"/>
          <w:highlight w:val="none"/>
        </w:rPr>
        <w:t>证书</w:t>
      </w:r>
      <w:r>
        <w:rPr>
          <w:rFonts w:hint="eastAsia" w:ascii="宋体" w:hAnsi="宋体"/>
          <w:color w:val="000000"/>
          <w:highlight w:val="none"/>
        </w:rPr>
        <w:t>到期或即将到期，须在递交投标文件前办理续期。</w:t>
      </w:r>
    </w:p>
    <w:p w14:paraId="7FF82532">
      <w:pPr>
        <w:spacing w:line="400" w:lineRule="exact"/>
        <w:ind w:firstLine="420"/>
        <w:rPr>
          <w:color w:val="000000"/>
          <w:highlight w:val="none"/>
        </w:rPr>
      </w:pPr>
      <w:r>
        <w:rPr>
          <w:rFonts w:hint="eastAsia" w:ascii="宋体" w:hAnsi="宋体"/>
          <w:color w:val="000000"/>
          <w:highlight w:val="none"/>
        </w:rPr>
        <w:t>4</w:t>
      </w:r>
      <w:r>
        <w:rPr>
          <w:rFonts w:ascii="宋体" w:hAnsi="宋体"/>
          <w:color w:val="000000"/>
          <w:highlight w:val="none"/>
        </w:rPr>
        <w:t>.</w:t>
      </w:r>
      <w:r>
        <w:rPr>
          <w:rFonts w:hint="eastAsia" w:ascii="宋体" w:hAnsi="宋体"/>
          <w:color w:val="000000"/>
          <w:highlight w:val="none"/>
        </w:rPr>
        <w:t>CA锁</w:t>
      </w:r>
      <w:r>
        <w:rPr>
          <w:rFonts w:hint="eastAsia"/>
          <w:color w:val="000000"/>
          <w:highlight w:val="none"/>
        </w:rPr>
        <w:t>遗失、损坏等无法使用，须在递交投标文件前补办CA锁。</w:t>
      </w:r>
    </w:p>
    <w:p w14:paraId="7CF708D1">
      <w:pPr>
        <w:spacing w:line="400" w:lineRule="exact"/>
        <w:ind w:firstLine="420"/>
        <w:rPr>
          <w:color w:val="000000"/>
          <w:highlight w:val="none"/>
        </w:rPr>
      </w:pPr>
      <w:r>
        <w:rPr>
          <w:rFonts w:ascii="宋体" w:hAnsi="宋体"/>
          <w:color w:val="000000"/>
          <w:highlight w:val="none"/>
        </w:rPr>
        <w:t>5.</w:t>
      </w:r>
      <w:r>
        <w:rPr>
          <w:rFonts w:hint="eastAsia" w:ascii="宋体" w:hAnsi="宋体"/>
          <w:color w:val="000000"/>
          <w:highlight w:val="none"/>
        </w:rPr>
        <w:t>企业</w:t>
      </w:r>
      <w:r>
        <w:rPr>
          <w:rFonts w:hint="eastAsia"/>
          <w:color w:val="000000"/>
          <w:highlight w:val="none"/>
        </w:rPr>
        <w:t>信息（包括但不限于企业名称和法定代表人信息）发生变更的，须在递交投标文件前变更CA证书。</w:t>
      </w:r>
    </w:p>
    <w:p w14:paraId="28C257AC">
      <w:pPr>
        <w:spacing w:line="400" w:lineRule="exact"/>
        <w:rPr>
          <w:rFonts w:ascii="宋体" w:hAnsi="宋体"/>
          <w:color w:val="000000"/>
          <w:highlight w:val="none"/>
        </w:rPr>
      </w:pPr>
      <w:r>
        <w:rPr>
          <w:rFonts w:ascii="宋体" w:hAnsi="宋体"/>
          <w:color w:val="000000"/>
          <w:highlight w:val="none"/>
        </w:rPr>
        <w:tab/>
      </w:r>
      <w:r>
        <w:rPr>
          <w:rFonts w:ascii="宋体" w:hAnsi="宋体"/>
          <w:color w:val="000000"/>
          <w:highlight w:val="none"/>
        </w:rPr>
        <w:t>6.</w:t>
      </w:r>
      <w:r>
        <w:rPr>
          <w:rFonts w:hint="eastAsia" w:ascii="宋体" w:hAnsi="宋体"/>
          <w:color w:val="000000"/>
          <w:highlight w:val="none"/>
        </w:rPr>
        <w:t>投标人由于</w:t>
      </w:r>
      <w:r>
        <w:rPr>
          <w:rFonts w:hint="eastAsia"/>
          <w:color w:val="000000"/>
          <w:highlight w:val="none"/>
        </w:rPr>
        <w:t>CA证书</w:t>
      </w:r>
      <w:r>
        <w:rPr>
          <w:rFonts w:hint="eastAsia" w:ascii="宋体" w:hAnsi="宋体"/>
          <w:color w:val="000000"/>
          <w:highlight w:val="none"/>
        </w:rPr>
        <w:t>遗失、损坏、更换、续期、企业信息变更等情况导致投标文件无法解密的，由投标人自行承担责任；</w:t>
      </w:r>
    </w:p>
    <w:p w14:paraId="5A150004">
      <w:pPr>
        <w:spacing w:line="400" w:lineRule="exact"/>
        <w:ind w:firstLine="420" w:firstLineChars="200"/>
        <w:rPr>
          <w:rFonts w:ascii="宋体" w:hAnsi="宋体"/>
          <w:color w:val="000000"/>
          <w:highlight w:val="none"/>
        </w:rPr>
      </w:pPr>
      <w:r>
        <w:rPr>
          <w:rFonts w:ascii="宋体" w:hAnsi="宋体"/>
          <w:color w:val="000000"/>
          <w:highlight w:val="none"/>
        </w:rPr>
        <w:t>7.</w:t>
      </w:r>
      <w:r>
        <w:rPr>
          <w:rFonts w:hint="eastAsia" w:ascii="宋体" w:hAnsi="宋体"/>
          <w:color w:val="000000"/>
          <w:highlight w:val="none"/>
        </w:rPr>
        <w:t>加密和解密投标文件</w:t>
      </w:r>
      <w:r>
        <w:rPr>
          <w:rFonts w:hint="eastAsia"/>
          <w:color w:val="000000"/>
          <w:highlight w:val="none"/>
        </w:rPr>
        <w:t>必须使用同一个CA证书</w:t>
      </w:r>
      <w:r>
        <w:rPr>
          <w:rFonts w:hint="eastAsia" w:ascii="宋体" w:hAnsi="宋体"/>
          <w:color w:val="000000"/>
          <w:highlight w:val="none"/>
        </w:rPr>
        <w:t>。</w:t>
      </w:r>
    </w:p>
    <w:p w14:paraId="2BE94B89">
      <w:pPr>
        <w:spacing w:line="400" w:lineRule="exact"/>
        <w:ind w:firstLine="420" w:firstLineChars="200"/>
        <w:rPr>
          <w:rFonts w:ascii="黑体" w:hAnsi="黑体" w:eastAsia="黑体"/>
          <w:color w:val="000000"/>
          <w:highlight w:val="none"/>
        </w:rPr>
      </w:pPr>
      <w:r>
        <w:rPr>
          <w:rFonts w:hint="eastAsia" w:ascii="黑体" w:hAnsi="黑体" w:eastAsia="黑体"/>
          <w:color w:val="000000"/>
          <w:highlight w:val="none"/>
        </w:rPr>
        <w:t>二</w:t>
      </w:r>
      <w:r>
        <w:rPr>
          <w:rFonts w:ascii="黑体" w:hAnsi="黑体" w:eastAsia="黑体"/>
          <w:color w:val="000000"/>
          <w:highlight w:val="none"/>
        </w:rPr>
        <w:t>、制作、签章、加密、上传电子投标文件</w:t>
      </w:r>
    </w:p>
    <w:p w14:paraId="4E8A193C">
      <w:pPr>
        <w:spacing w:line="400" w:lineRule="exact"/>
        <w:ind w:firstLine="420" w:firstLineChars="200"/>
        <w:rPr>
          <w:rStyle w:val="58"/>
          <w:color w:val="000000"/>
          <w:highlight w:val="none"/>
        </w:rPr>
      </w:pPr>
      <w:r>
        <w:rPr>
          <w:rFonts w:ascii="宋体" w:hAnsi="宋体"/>
          <w:color w:val="000000"/>
          <w:highlight w:val="none"/>
        </w:rPr>
        <w:t>8.</w:t>
      </w:r>
      <w:r>
        <w:rPr>
          <w:rFonts w:hint="eastAsia" w:ascii="宋体" w:hAnsi="宋体"/>
          <w:color w:val="000000"/>
          <w:highlight w:val="none"/>
        </w:rPr>
        <w:t>本项目采用全流程电子化招标采购方式，潜在</w:t>
      </w:r>
      <w:r>
        <w:rPr>
          <w:rFonts w:hint="eastAsia"/>
          <w:color w:val="000000"/>
          <w:highlight w:val="none"/>
        </w:rPr>
        <w:t>投标人需使用</w:t>
      </w:r>
      <w:r>
        <w:rPr>
          <w:rFonts w:hint="eastAsia" w:ascii="宋体" w:hAnsi="宋体"/>
          <w:color w:val="000000"/>
          <w:highlight w:val="none"/>
        </w:rPr>
        <w:t>“</w:t>
      </w:r>
      <w:r>
        <w:rPr>
          <w:rFonts w:ascii="宋体" w:hAnsi="宋体"/>
          <w:color w:val="000000"/>
          <w:highlight w:val="none"/>
        </w:rPr>
        <w:t>优质采投标工具</w:t>
      </w:r>
      <w:r>
        <w:rPr>
          <w:rFonts w:hint="eastAsia" w:ascii="宋体" w:hAnsi="宋体"/>
          <w:color w:val="000000"/>
          <w:highlight w:val="none"/>
        </w:rPr>
        <w:t>客户端”（以下简称“投标工具”）制作</w:t>
      </w:r>
      <w:r>
        <w:rPr>
          <w:color w:val="000000"/>
          <w:highlight w:val="none"/>
        </w:rPr>
        <w:t>电子投标文件</w:t>
      </w:r>
      <w:r>
        <w:rPr>
          <w:rFonts w:hint="eastAsia"/>
          <w:color w:val="000000"/>
          <w:highlight w:val="none"/>
        </w:rPr>
        <w:t>，</w:t>
      </w:r>
      <w:r>
        <w:rPr>
          <w:rFonts w:hint="eastAsia" w:ascii="宋体" w:hAnsi="宋体"/>
          <w:color w:val="000000"/>
          <w:highlight w:val="none"/>
        </w:rPr>
        <w:t>投标工具及操作说明下载地址：</w:t>
      </w:r>
      <w:r>
        <w:rPr>
          <w:rStyle w:val="58"/>
          <w:rFonts w:hint="eastAsia"/>
          <w:color w:val="000000"/>
          <w:highlight w:val="none"/>
        </w:rPr>
        <w:fldChar w:fldCharType="begin"/>
      </w:r>
      <w:r>
        <w:rPr>
          <w:rStyle w:val="58"/>
          <w:rFonts w:hint="eastAsia"/>
          <w:color w:val="000000"/>
          <w:highlight w:val="none"/>
        </w:rPr>
        <w:instrText xml:space="preserve"> HYPERLINK "https://toolcdn.youzhicai.com/tools/BidderTools.zip" </w:instrText>
      </w:r>
      <w:r>
        <w:rPr>
          <w:rStyle w:val="58"/>
          <w:rFonts w:hint="eastAsia"/>
          <w:color w:val="000000"/>
          <w:highlight w:val="none"/>
        </w:rPr>
        <w:fldChar w:fldCharType="separate"/>
      </w:r>
      <w:r>
        <w:rPr>
          <w:rStyle w:val="58"/>
          <w:rFonts w:hint="eastAsia"/>
          <w:color w:val="000000"/>
          <w:highlight w:val="none"/>
        </w:rPr>
        <w:t>https://toolcdn.youzhicai.com/tools/BidderTools.zip</w:t>
      </w:r>
      <w:r>
        <w:rPr>
          <w:rStyle w:val="58"/>
          <w:rFonts w:hint="eastAsia"/>
          <w:color w:val="000000"/>
          <w:highlight w:val="none"/>
        </w:rPr>
        <w:fldChar w:fldCharType="end"/>
      </w:r>
      <w:r>
        <w:rPr>
          <w:rStyle w:val="58"/>
          <w:rFonts w:hint="eastAsia"/>
          <w:color w:val="000000"/>
          <w:highlight w:val="none"/>
        </w:rPr>
        <w:t>。</w:t>
      </w:r>
    </w:p>
    <w:p w14:paraId="3C4DBA79">
      <w:pPr>
        <w:spacing w:line="400" w:lineRule="exact"/>
        <w:ind w:firstLine="420" w:firstLineChars="200"/>
        <w:rPr>
          <w:rStyle w:val="58"/>
          <w:color w:val="000000"/>
          <w:highlight w:val="none"/>
        </w:rPr>
      </w:pPr>
      <w:r>
        <w:rPr>
          <w:rStyle w:val="58"/>
          <w:color w:val="000000"/>
          <w:highlight w:val="none"/>
        </w:rPr>
        <w:tab/>
      </w:r>
      <w:r>
        <w:rPr>
          <w:rStyle w:val="58"/>
          <w:color w:val="000000"/>
          <w:highlight w:val="none"/>
        </w:rPr>
        <w:t>8.1.投标工具建议在window7或windows10操作系统下使用；</w:t>
      </w:r>
    </w:p>
    <w:p w14:paraId="253E4E25">
      <w:pPr>
        <w:spacing w:line="400" w:lineRule="exact"/>
        <w:ind w:firstLine="420" w:firstLineChars="200"/>
        <w:rPr>
          <w:rFonts w:hint="eastAsia"/>
          <w:bCs/>
          <w:color w:val="000000"/>
          <w:sz w:val="18"/>
          <w:highlight w:val="none"/>
        </w:rPr>
      </w:pPr>
      <w:r>
        <w:rPr>
          <w:rStyle w:val="58"/>
          <w:color w:val="000000"/>
          <w:highlight w:val="none"/>
        </w:rPr>
        <w:tab/>
      </w:r>
      <w:r>
        <w:rPr>
          <w:rStyle w:val="58"/>
          <w:color w:val="000000"/>
          <w:highlight w:val="none"/>
        </w:rPr>
        <w:t>8.2.电子投标文件编制建议使用</w:t>
      </w:r>
      <w:r>
        <w:rPr>
          <w:color w:val="000000"/>
          <w:highlight w:val="none"/>
        </w:rPr>
        <w:t>office2010版本。</w:t>
      </w:r>
    </w:p>
    <w:p w14:paraId="359396A2">
      <w:pPr>
        <w:wordWrap w:val="0"/>
        <w:spacing w:line="400" w:lineRule="exact"/>
        <w:rPr>
          <w:bCs/>
          <w:color w:val="000000"/>
          <w:highlight w:val="none"/>
          <w:u w:val="single"/>
        </w:rPr>
      </w:pPr>
      <w:r>
        <w:rPr>
          <w:rFonts w:ascii="宋体" w:hAnsi="宋体"/>
          <w:color w:val="000000"/>
          <w:highlight w:val="none"/>
        </w:rPr>
        <w:tab/>
      </w:r>
      <w:r>
        <w:rPr>
          <w:rFonts w:hint="eastAsia" w:ascii="宋体" w:hAnsi="宋体"/>
          <w:color w:val="000000"/>
          <w:highlight w:val="none"/>
        </w:rPr>
        <w:t>9</w:t>
      </w:r>
      <w:r>
        <w:rPr>
          <w:rFonts w:ascii="宋体" w:hAnsi="宋体"/>
          <w:color w:val="000000"/>
          <w:highlight w:val="none"/>
        </w:rPr>
        <w:t>.</w:t>
      </w:r>
      <w:r>
        <w:rPr>
          <w:rFonts w:hint="eastAsia"/>
          <w:color w:val="000000"/>
          <w:highlight w:val="none"/>
        </w:rPr>
        <w:t>潜在投标人制作电子投标文件后，需在</w:t>
      </w:r>
      <w:r>
        <w:rPr>
          <w:rFonts w:hint="eastAsia" w:ascii="宋体" w:hAnsi="宋体"/>
          <w:color w:val="000000"/>
          <w:highlight w:val="none"/>
        </w:rPr>
        <w:t>投标工具</w:t>
      </w:r>
      <w:r>
        <w:rPr>
          <w:rFonts w:hint="eastAsia"/>
          <w:color w:val="000000"/>
          <w:highlight w:val="none"/>
        </w:rPr>
        <w:t>对</w:t>
      </w:r>
      <w:r>
        <w:rPr>
          <w:color w:val="000000"/>
          <w:highlight w:val="none"/>
        </w:rPr>
        <w:t>电子</w:t>
      </w:r>
      <w:r>
        <w:rPr>
          <w:rFonts w:hint="eastAsia"/>
          <w:color w:val="000000"/>
          <w:highlight w:val="none"/>
        </w:rPr>
        <w:t>投标文件进行电子签章（项目有特殊说明的除外），并使用CA</w:t>
      </w:r>
      <w:r>
        <w:rPr>
          <w:rFonts w:hint="eastAsia" w:ascii="宋体" w:hAnsi="宋体"/>
          <w:color w:val="000000"/>
          <w:highlight w:val="none"/>
        </w:rPr>
        <w:t>证书进行</w:t>
      </w:r>
      <w:r>
        <w:rPr>
          <w:rFonts w:hint="eastAsia"/>
          <w:color w:val="000000"/>
          <w:highlight w:val="none"/>
        </w:rPr>
        <w:t>加密。在</w:t>
      </w:r>
      <w:r>
        <w:rPr>
          <w:rFonts w:hint="eastAsia" w:ascii="宋体" w:hAnsi="宋体"/>
          <w:color w:val="000000"/>
          <w:highlight w:val="none"/>
        </w:rPr>
        <w:t>投标工具使用</w:t>
      </w:r>
      <w:r>
        <w:rPr>
          <w:rFonts w:ascii="宋体" w:hAnsi="宋体"/>
          <w:color w:val="000000"/>
          <w:highlight w:val="none"/>
        </w:rPr>
        <w:t>CA证书</w:t>
      </w:r>
      <w:r>
        <w:rPr>
          <w:rFonts w:hint="eastAsia"/>
          <w:color w:val="000000"/>
          <w:highlight w:val="none"/>
        </w:rPr>
        <w:t>时需安装“优质采数字证书助手”</w:t>
      </w:r>
      <w:r>
        <w:rPr>
          <w:rFonts w:hint="eastAsia" w:ascii="宋体" w:hAnsi="宋体"/>
          <w:color w:val="000000"/>
          <w:highlight w:val="none"/>
        </w:rPr>
        <w:t xml:space="preserve"> （即数字证书驱动）</w:t>
      </w:r>
      <w:r>
        <w:rPr>
          <w:rFonts w:hint="eastAsia"/>
          <w:color w:val="000000"/>
          <w:highlight w:val="none"/>
        </w:rPr>
        <w:t>，下载地址：</w:t>
      </w:r>
      <w:r>
        <w:rPr>
          <w:rStyle w:val="58"/>
          <w:rFonts w:hint="eastAsia"/>
          <w:color w:val="000000"/>
          <w:highlight w:val="none"/>
        </w:rPr>
        <w:fldChar w:fldCharType="begin"/>
      </w:r>
      <w:r>
        <w:rPr>
          <w:rStyle w:val="58"/>
          <w:rFonts w:hint="eastAsia"/>
          <w:color w:val="000000"/>
          <w:highlight w:val="none"/>
        </w:rPr>
        <w:instrText xml:space="preserve"> HYPERLINK "https://toolcdn.youzhicai.com/ca.zip" </w:instrText>
      </w:r>
      <w:r>
        <w:rPr>
          <w:rStyle w:val="58"/>
          <w:rFonts w:hint="eastAsia"/>
          <w:color w:val="000000"/>
          <w:highlight w:val="none"/>
        </w:rPr>
        <w:fldChar w:fldCharType="separate"/>
      </w:r>
      <w:r>
        <w:rPr>
          <w:rStyle w:val="58"/>
          <w:rFonts w:hint="eastAsia"/>
          <w:color w:val="000000"/>
          <w:highlight w:val="none"/>
        </w:rPr>
        <w:t>https://toolcdn.youzhicai.com/ca.zip</w:t>
      </w:r>
      <w:r>
        <w:rPr>
          <w:rStyle w:val="58"/>
          <w:rFonts w:hint="eastAsia"/>
          <w:color w:val="000000"/>
          <w:highlight w:val="none"/>
        </w:rPr>
        <w:fldChar w:fldCharType="end"/>
      </w:r>
      <w:r>
        <w:rPr>
          <w:rStyle w:val="58"/>
          <w:rFonts w:hint="eastAsia"/>
          <w:color w:val="000000"/>
          <w:highlight w:val="none"/>
        </w:rPr>
        <w:t>。</w:t>
      </w:r>
    </w:p>
    <w:p w14:paraId="408DADF6">
      <w:pPr>
        <w:wordWrap w:val="0"/>
        <w:spacing w:line="400" w:lineRule="exact"/>
        <w:rPr>
          <w:rFonts w:ascii="宋体" w:hAnsi="宋体"/>
          <w:highlight w:val="none"/>
        </w:rPr>
      </w:pPr>
      <w:r>
        <w:rPr>
          <w:highlight w:val="none"/>
        </w:rPr>
        <w:tab/>
      </w:r>
      <w:r>
        <w:rPr>
          <w:rFonts w:ascii="宋体" w:hAnsi="宋体"/>
          <w:highlight w:val="none"/>
        </w:rPr>
        <w:t>10.</w:t>
      </w:r>
      <w:r>
        <w:rPr>
          <w:rFonts w:hint="eastAsia" w:ascii="宋体" w:hAnsi="宋体"/>
          <w:highlight w:val="none"/>
        </w:rPr>
        <w:t>潜在投标人完成制作、签章、加密投标文件后，需在</w:t>
      </w:r>
      <w:r>
        <w:rPr>
          <w:rFonts w:hint="eastAsia"/>
          <w:highlight w:val="none"/>
        </w:rPr>
        <w:t>招标文件规定的投标截止时间前在</w:t>
      </w:r>
      <w:r>
        <w:rPr>
          <w:rFonts w:hint="eastAsia" w:ascii="宋体" w:hAnsi="宋体"/>
          <w:highlight w:val="none"/>
        </w:rPr>
        <w:t>投标工具</w:t>
      </w:r>
      <w:r>
        <w:rPr>
          <w:rFonts w:hint="eastAsia"/>
          <w:highlight w:val="none"/>
        </w:rPr>
        <w:t>完成上传。</w:t>
      </w:r>
      <w:r>
        <w:rPr>
          <w:rFonts w:hint="eastAsia" w:ascii="宋体" w:hAnsi="宋体"/>
          <w:highlight w:val="none"/>
        </w:rPr>
        <w:t>投标截止时间以优质采云采购平台（</w:t>
      </w:r>
      <w:r>
        <w:rPr>
          <w:rFonts w:ascii="宋体" w:hAnsi="宋体"/>
          <w:highlight w:val="none"/>
        </w:rPr>
        <w:t>www.youzhicai.com</w:t>
      </w:r>
      <w:r>
        <w:rPr>
          <w:rFonts w:hint="eastAsia" w:ascii="宋体" w:hAnsi="宋体"/>
          <w:highlight w:val="none"/>
        </w:rPr>
        <w:t>）系统的时间为准，如未在投标截止时间前完成电子投标文件上传，系统将自动关闭上传通道。潜在投标人未完成电子投标文件上传的，视为没有递交投标文件。</w:t>
      </w:r>
    </w:p>
    <w:p w14:paraId="565DBCFE">
      <w:pPr>
        <w:wordWrap w:val="0"/>
        <w:spacing w:line="400" w:lineRule="exact"/>
        <w:ind w:firstLine="420"/>
        <w:rPr>
          <w:rFonts w:ascii="宋体" w:hAnsi="宋体"/>
          <w:highlight w:val="none"/>
        </w:rPr>
      </w:pPr>
      <w:r>
        <w:rPr>
          <w:rFonts w:hint="eastAsia" w:ascii="宋体" w:hAnsi="宋体"/>
          <w:highlight w:val="none"/>
        </w:rPr>
        <w:t>1</w:t>
      </w:r>
      <w:r>
        <w:rPr>
          <w:rFonts w:ascii="宋体" w:hAnsi="宋体"/>
          <w:highlight w:val="none"/>
        </w:rPr>
        <w:t>1.</w:t>
      </w:r>
      <w:r>
        <w:rPr>
          <w:rFonts w:hint="eastAsia" w:ascii="宋体" w:hAnsi="宋体"/>
          <w:highlight w:val="none"/>
        </w:rPr>
        <w:t>潜在投标人在投标文件递交截止时间前，可以对其所递交的电子投标文件进行撤回，修改后重新上传。</w:t>
      </w:r>
    </w:p>
    <w:p w14:paraId="2B9B91AD">
      <w:pPr>
        <w:spacing w:line="400" w:lineRule="exact"/>
        <w:ind w:firstLine="420" w:firstLineChars="200"/>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潜在投标人在制作、签章、加密、上传电子投标文件过程中，若存在技术操作问题，请及时联系优质采云采购平台客服人员，客服电话：</w:t>
      </w:r>
      <w:r>
        <w:rPr>
          <w:rFonts w:ascii="宋体" w:hAnsi="宋体"/>
          <w:highlight w:val="none"/>
        </w:rPr>
        <w:t>400-0099-555</w:t>
      </w:r>
      <w:r>
        <w:rPr>
          <w:rFonts w:hint="eastAsia" w:ascii="宋体" w:hAnsi="宋体"/>
          <w:highlight w:val="none"/>
        </w:rPr>
        <w:t>，</w:t>
      </w:r>
      <w:r>
        <w:rPr>
          <w:rFonts w:ascii="宋体" w:hAnsi="宋体"/>
          <w:highlight w:val="none"/>
        </w:rPr>
        <w:t>0551-62220164</w:t>
      </w:r>
      <w:r>
        <w:rPr>
          <w:rFonts w:hint="eastAsia" w:ascii="宋体" w:hAnsi="宋体"/>
          <w:highlight w:val="none"/>
        </w:rPr>
        <w:t>。</w:t>
      </w:r>
    </w:p>
    <w:p w14:paraId="0229B764">
      <w:pPr>
        <w:spacing w:line="400" w:lineRule="exact"/>
        <w:ind w:firstLine="420" w:firstLineChars="200"/>
        <w:rPr>
          <w:rFonts w:ascii="黑体" w:hAnsi="黑体" w:eastAsia="黑体"/>
          <w:highlight w:val="none"/>
        </w:rPr>
      </w:pPr>
      <w:r>
        <w:rPr>
          <w:rFonts w:hint="eastAsia" w:ascii="黑体" w:hAnsi="黑体" w:eastAsia="黑体"/>
          <w:highlight w:val="none"/>
        </w:rPr>
        <w:t>三</w:t>
      </w:r>
      <w:r>
        <w:rPr>
          <w:rFonts w:ascii="黑体" w:hAnsi="黑体" w:eastAsia="黑体"/>
          <w:highlight w:val="none"/>
        </w:rPr>
        <w:t>、</w:t>
      </w:r>
      <w:r>
        <w:rPr>
          <w:rFonts w:hint="eastAsia" w:ascii="黑体" w:hAnsi="黑体" w:eastAsia="黑体"/>
          <w:highlight w:val="none"/>
        </w:rPr>
        <w:t>开标</w:t>
      </w:r>
      <w:r>
        <w:rPr>
          <w:rFonts w:ascii="黑体" w:hAnsi="黑体" w:eastAsia="黑体"/>
          <w:highlight w:val="none"/>
        </w:rPr>
        <w:t>和解密</w:t>
      </w:r>
    </w:p>
    <w:p w14:paraId="4DF770F9">
      <w:pPr>
        <w:spacing w:line="400" w:lineRule="exact"/>
        <w:ind w:firstLine="420" w:firstLineChars="200"/>
        <w:rPr>
          <w:rFonts w:ascii="宋体" w:hAnsi="宋体"/>
          <w:highlight w:val="none"/>
        </w:rPr>
      </w:pPr>
      <w:r>
        <w:rPr>
          <w:rFonts w:ascii="宋体" w:hAnsi="宋体"/>
          <w:highlight w:val="none"/>
        </w:rPr>
        <w:t>13.</w:t>
      </w:r>
      <w:r>
        <w:rPr>
          <w:rFonts w:hint="eastAsia" w:ascii="宋体" w:hAnsi="宋体"/>
          <w:highlight w:val="none"/>
        </w:rPr>
        <w:t>采购人或采购代理机构工作人员（以下简称工作人员）根据有关规定登录系统组织开标。投标文件递交截止时间后由投标人使用</w:t>
      </w:r>
      <w:r>
        <w:rPr>
          <w:rFonts w:hint="eastAsia"/>
          <w:highlight w:val="none"/>
        </w:rPr>
        <w:t>CA证书</w:t>
      </w:r>
      <w:r>
        <w:rPr>
          <w:rFonts w:hint="eastAsia" w:ascii="宋体" w:hAnsi="宋体"/>
          <w:highlight w:val="none"/>
        </w:rPr>
        <w:t>解密投标文件，工作人员导入已解密投标文件并公布开标结果。</w:t>
      </w:r>
    </w:p>
    <w:p w14:paraId="1AA470D3">
      <w:pPr>
        <w:spacing w:line="400" w:lineRule="exact"/>
        <w:ind w:firstLine="420" w:firstLineChars="200"/>
        <w:rPr>
          <w:rFonts w:ascii="宋体" w:hAnsi="宋体"/>
          <w:highlight w:val="none"/>
        </w:rPr>
      </w:pPr>
      <w:r>
        <w:rPr>
          <w:rFonts w:ascii="宋体" w:hAnsi="宋体"/>
          <w:highlight w:val="none"/>
        </w:rPr>
        <w:t>14.</w:t>
      </w:r>
      <w:r>
        <w:rPr>
          <w:rFonts w:hint="eastAsia" w:ascii="宋体" w:hAnsi="宋体"/>
          <w:highlight w:val="none"/>
        </w:rPr>
        <w:t>投标文件可远程解密，投标人无需到达开标现场。招标文件“投标人须知”中另有规定的，从其规定。</w:t>
      </w:r>
    </w:p>
    <w:p w14:paraId="1CD58348">
      <w:pPr>
        <w:spacing w:line="400" w:lineRule="exact"/>
        <w:ind w:firstLine="420" w:firstLineChars="200"/>
        <w:rPr>
          <w:rFonts w:ascii="宋体" w:hAnsi="宋体"/>
          <w:highlight w:val="none"/>
        </w:rPr>
      </w:pPr>
      <w:r>
        <w:rPr>
          <w:rFonts w:ascii="宋体" w:hAnsi="宋体"/>
          <w:highlight w:val="none"/>
        </w:rPr>
        <w:t>15.</w:t>
      </w:r>
      <w:r>
        <w:rPr>
          <w:rFonts w:hint="eastAsia" w:ascii="宋体" w:hAnsi="宋体"/>
          <w:highlight w:val="none"/>
        </w:rPr>
        <w:t>潜在投标人须按照招标文件的要求在投标文件递交截止时间前登录投标工具并保持在线，关注开标互动大厅消息直到项目评审结束。</w:t>
      </w:r>
    </w:p>
    <w:p w14:paraId="709E1B1C">
      <w:pPr>
        <w:spacing w:line="400" w:lineRule="exact"/>
        <w:ind w:firstLine="420" w:firstLineChars="200"/>
        <w:rPr>
          <w:rFonts w:ascii="宋体" w:hAnsi="宋体"/>
          <w:highlight w:val="none"/>
        </w:rPr>
      </w:pPr>
      <w:r>
        <w:rPr>
          <w:rFonts w:ascii="宋体" w:hAnsi="宋体"/>
          <w:highlight w:val="none"/>
        </w:rPr>
        <w:t>16.</w:t>
      </w:r>
      <w:r>
        <w:rPr>
          <w:rFonts w:hint="eastAsia" w:ascii="宋体" w:hAnsi="宋体"/>
          <w:highlight w:val="none"/>
        </w:rPr>
        <w:t>投标文件解密时限为投标文件递交截止时间后</w:t>
      </w:r>
      <w:r>
        <w:rPr>
          <w:rFonts w:ascii="宋体" w:hAnsi="宋体"/>
          <w:highlight w:val="none"/>
        </w:rPr>
        <w:t>30</w:t>
      </w:r>
      <w:r>
        <w:rPr>
          <w:rFonts w:hint="eastAsia" w:ascii="宋体" w:hAnsi="宋体"/>
          <w:highlight w:val="none"/>
        </w:rPr>
        <w:t>分钟（招标文件</w:t>
      </w:r>
      <w:r>
        <w:rPr>
          <w:rFonts w:ascii="宋体" w:hAnsi="宋体"/>
          <w:highlight w:val="none"/>
        </w:rPr>
        <w:t>“</w:t>
      </w:r>
      <w:r>
        <w:rPr>
          <w:rFonts w:hint="eastAsia" w:ascii="宋体" w:hAnsi="宋体"/>
          <w:highlight w:val="none"/>
        </w:rPr>
        <w:t>投标人须知</w:t>
      </w:r>
      <w:r>
        <w:rPr>
          <w:rFonts w:ascii="宋体" w:hAnsi="宋体"/>
          <w:highlight w:val="none"/>
        </w:rPr>
        <w:t>”</w:t>
      </w:r>
      <w:r>
        <w:rPr>
          <w:rFonts w:hint="eastAsia" w:ascii="宋体" w:hAnsi="宋体"/>
          <w:highlight w:val="none"/>
        </w:rPr>
        <w:t>中另有规定的，从其规定）。潜在投标人须在投标文件解密时限内完成投标文件解密，未能成功解密的视为放弃投标。招标文件</w:t>
      </w:r>
      <w:r>
        <w:rPr>
          <w:rFonts w:ascii="宋体" w:hAnsi="宋体"/>
          <w:highlight w:val="none"/>
        </w:rPr>
        <w:t>“</w:t>
      </w:r>
      <w:r>
        <w:rPr>
          <w:rFonts w:hint="eastAsia" w:ascii="宋体" w:hAnsi="宋体"/>
          <w:highlight w:val="none"/>
        </w:rPr>
        <w:t>投标人须知</w:t>
      </w:r>
      <w:r>
        <w:rPr>
          <w:rFonts w:ascii="宋体" w:hAnsi="宋体"/>
          <w:highlight w:val="none"/>
        </w:rPr>
        <w:t>”</w:t>
      </w:r>
      <w:r>
        <w:rPr>
          <w:rFonts w:hint="eastAsia" w:ascii="宋体" w:hAnsi="宋体"/>
          <w:highlight w:val="none"/>
        </w:rPr>
        <w:t>中对投标文件解密设有线下补救方案的，执行该补救方案。</w:t>
      </w:r>
    </w:p>
    <w:p w14:paraId="7E5A5D6F">
      <w:pPr>
        <w:spacing w:line="400" w:lineRule="exact"/>
        <w:ind w:firstLine="420" w:firstLineChars="200"/>
        <w:rPr>
          <w:rFonts w:ascii="黑体" w:hAnsi="黑体" w:eastAsia="黑体"/>
          <w:highlight w:val="none"/>
        </w:rPr>
      </w:pPr>
      <w:r>
        <w:rPr>
          <w:rFonts w:hint="eastAsia" w:ascii="黑体" w:hAnsi="黑体" w:eastAsia="黑体"/>
          <w:highlight w:val="none"/>
        </w:rPr>
        <w:t>四</w:t>
      </w:r>
      <w:r>
        <w:rPr>
          <w:rFonts w:ascii="黑体" w:hAnsi="黑体" w:eastAsia="黑体"/>
          <w:highlight w:val="none"/>
        </w:rPr>
        <w:t>、</w:t>
      </w:r>
      <w:r>
        <w:rPr>
          <w:rFonts w:hint="eastAsia" w:ascii="黑体" w:hAnsi="黑体" w:eastAsia="黑体"/>
          <w:highlight w:val="none"/>
        </w:rPr>
        <w:t>评标</w:t>
      </w:r>
      <w:r>
        <w:rPr>
          <w:rFonts w:ascii="黑体" w:hAnsi="黑体" w:eastAsia="黑体"/>
          <w:highlight w:val="none"/>
        </w:rPr>
        <w:t>和询标</w:t>
      </w:r>
    </w:p>
    <w:p w14:paraId="37397575">
      <w:pPr>
        <w:spacing w:line="400" w:lineRule="exact"/>
        <w:ind w:firstLine="420" w:firstLineChars="200"/>
        <w:rPr>
          <w:rFonts w:ascii="宋体" w:hAnsi="宋体"/>
          <w:highlight w:val="none"/>
        </w:rPr>
      </w:pPr>
      <w:r>
        <w:rPr>
          <w:rFonts w:ascii="宋体" w:hAnsi="宋体"/>
          <w:highlight w:val="none"/>
        </w:rPr>
        <w:t>17.</w:t>
      </w:r>
      <w:r>
        <w:rPr>
          <w:rFonts w:hint="eastAsia" w:ascii="宋体" w:hAnsi="宋体"/>
          <w:highlight w:val="none"/>
        </w:rPr>
        <w:t>评标委员会通过优质采电子评标工具将需要澄清、说明或补正的内容以询标函的形式发送给投标人，投标人</w:t>
      </w:r>
      <w:r>
        <w:rPr>
          <w:rFonts w:ascii="宋体" w:hAnsi="宋体"/>
          <w:highlight w:val="none"/>
        </w:rPr>
        <w:t>/</w:t>
      </w:r>
      <w:r>
        <w:rPr>
          <w:rFonts w:hint="eastAsia" w:ascii="宋体" w:hAnsi="宋体"/>
          <w:highlight w:val="none"/>
        </w:rPr>
        <w:t>供应商应登录投标工具并保持在线状态，以便及时接收评标委员会可能发出的询标函，并在询标函载明的时间内回复，若投标人未及时回复，视为放弃澄清。</w:t>
      </w:r>
    </w:p>
    <w:p w14:paraId="29186145">
      <w:pPr>
        <w:spacing w:line="400" w:lineRule="exact"/>
        <w:ind w:firstLine="420" w:firstLineChars="200"/>
        <w:rPr>
          <w:rFonts w:ascii="黑体" w:hAnsi="黑体" w:eastAsia="黑体"/>
          <w:highlight w:val="none"/>
        </w:rPr>
      </w:pPr>
      <w:r>
        <w:rPr>
          <w:rFonts w:hint="eastAsia" w:ascii="黑体" w:hAnsi="黑体" w:eastAsia="黑体"/>
          <w:highlight w:val="none"/>
        </w:rPr>
        <w:t>五、异常情形</w:t>
      </w:r>
    </w:p>
    <w:p w14:paraId="0B83DBCE">
      <w:pPr>
        <w:spacing w:line="400" w:lineRule="exact"/>
        <w:ind w:firstLine="420" w:firstLineChars="200"/>
        <w:rPr>
          <w:rFonts w:ascii="宋体" w:hAnsi="宋体"/>
          <w:highlight w:val="none"/>
        </w:rPr>
      </w:pPr>
      <w:r>
        <w:rPr>
          <w:rFonts w:hint="eastAsia" w:ascii="宋体" w:hAnsi="宋体"/>
          <w:highlight w:val="none"/>
        </w:rPr>
        <w:t>1</w:t>
      </w:r>
      <w:r>
        <w:rPr>
          <w:rFonts w:ascii="宋体" w:hAnsi="宋体"/>
          <w:highlight w:val="none"/>
        </w:rPr>
        <w:t>8</w:t>
      </w:r>
      <w:r>
        <w:rPr>
          <w:rFonts w:hint="eastAsia" w:ascii="宋体" w:hAnsi="宋体"/>
          <w:highlight w:val="none"/>
        </w:rPr>
        <w:t>.出现下列情形导致电子交易系统无法正常运行，影响招投标过程的公平、公正和信息安全，经第三方机构认定后，各方当事人免责：</w:t>
      </w:r>
    </w:p>
    <w:p w14:paraId="387CE272">
      <w:pPr>
        <w:spacing w:line="400" w:lineRule="exact"/>
        <w:ind w:firstLine="420" w:firstLineChars="200"/>
        <w:rPr>
          <w:rFonts w:ascii="宋体" w:hAnsi="宋体"/>
          <w:highlight w:val="none"/>
        </w:rPr>
      </w:pPr>
      <w:r>
        <w:rPr>
          <w:rFonts w:hint="eastAsia" w:ascii="宋体" w:hAnsi="宋体"/>
          <w:highlight w:val="none"/>
        </w:rPr>
        <w:t>(1)网络、服务器、数据库发生故障造成无法访问或使用的；</w:t>
      </w:r>
    </w:p>
    <w:p w14:paraId="3F83274B">
      <w:pPr>
        <w:spacing w:line="400" w:lineRule="exact"/>
        <w:ind w:firstLine="420" w:firstLineChars="200"/>
        <w:rPr>
          <w:rFonts w:ascii="宋体" w:hAnsi="宋体"/>
          <w:highlight w:val="none"/>
        </w:rPr>
      </w:pPr>
      <w:r>
        <w:rPr>
          <w:rFonts w:hint="eastAsia" w:ascii="宋体" w:hAnsi="宋体"/>
          <w:highlight w:val="none"/>
        </w:rPr>
        <w:t>(2)电力系统发生故障导致电子服务系统或电子交易系统无法运行；</w:t>
      </w:r>
    </w:p>
    <w:p w14:paraId="37644494">
      <w:pPr>
        <w:spacing w:line="400" w:lineRule="exact"/>
        <w:ind w:firstLine="420" w:firstLineChars="200"/>
        <w:rPr>
          <w:rFonts w:ascii="宋体" w:hAnsi="宋体"/>
          <w:highlight w:val="none"/>
        </w:rPr>
      </w:pPr>
      <w:r>
        <w:rPr>
          <w:rFonts w:hint="eastAsia" w:ascii="宋体" w:hAnsi="宋体"/>
          <w:highlight w:val="none"/>
        </w:rPr>
        <w:t>(3)出现网络攻击、病毒入侵以及电子服务系统或电子交易系统安全漏洞导致无法正常提供服务的；</w:t>
      </w:r>
    </w:p>
    <w:p w14:paraId="6A0E712D">
      <w:pPr>
        <w:spacing w:line="400" w:lineRule="exact"/>
        <w:ind w:firstLine="420" w:firstLineChars="200"/>
        <w:rPr>
          <w:rFonts w:ascii="宋体" w:hAnsi="宋体"/>
          <w:highlight w:val="none"/>
        </w:rPr>
      </w:pPr>
      <w:r>
        <w:rPr>
          <w:rFonts w:hint="eastAsia" w:ascii="宋体" w:hAnsi="宋体"/>
          <w:highlight w:val="none"/>
        </w:rPr>
        <w:t>(4)其他无法保证招投标过程公平、公正和信息安全的情形。</w:t>
      </w:r>
    </w:p>
    <w:p w14:paraId="4F39AB05">
      <w:pPr>
        <w:spacing w:line="400" w:lineRule="exact"/>
        <w:ind w:firstLine="420" w:firstLineChars="200"/>
        <w:rPr>
          <w:rFonts w:ascii="黑体" w:hAnsi="黑体" w:eastAsia="黑体"/>
          <w:highlight w:val="none"/>
        </w:rPr>
      </w:pPr>
      <w:r>
        <w:rPr>
          <w:rFonts w:hint="eastAsia" w:ascii="黑体" w:hAnsi="黑体" w:eastAsia="黑体"/>
          <w:highlight w:val="none"/>
        </w:rPr>
        <w:t>六、异常情形处理</w:t>
      </w:r>
    </w:p>
    <w:p w14:paraId="54FF38B2">
      <w:pPr>
        <w:spacing w:line="400" w:lineRule="exact"/>
        <w:ind w:firstLine="420" w:firstLineChars="200"/>
        <w:rPr>
          <w:highlight w:val="none"/>
        </w:rPr>
      </w:pPr>
      <w:r>
        <w:rPr>
          <w:rFonts w:hint="eastAsia"/>
          <w:highlight w:val="none"/>
        </w:rPr>
        <w:t>1</w:t>
      </w:r>
      <w:r>
        <w:rPr>
          <w:highlight w:val="none"/>
        </w:rPr>
        <w:t>9</w:t>
      </w:r>
      <w:r>
        <w:rPr>
          <w:rFonts w:hint="eastAsia"/>
          <w:highlight w:val="none"/>
        </w:rPr>
        <w:t>.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23766041">
      <w:pPr>
        <w:spacing w:line="400" w:lineRule="exact"/>
        <w:ind w:firstLine="420" w:firstLineChars="200"/>
        <w:rPr>
          <w:highlight w:val="none"/>
        </w:rPr>
      </w:pPr>
      <w:r>
        <w:rPr>
          <w:rFonts w:hint="eastAsia"/>
          <w:highlight w:val="none"/>
        </w:rPr>
        <w:t>（1）项目中止，中止期限由采购人或采购代理机构根据项目具体情况确定。中止期限届满后中止情形尚未消除的，采购人或采购代理机构可以根据实际情况决定延长中止期限。决定延长中止期限的，应向投标人发出延长中止期限通知，并发布公布。</w:t>
      </w:r>
    </w:p>
    <w:p w14:paraId="0B42137F">
      <w:pPr>
        <w:spacing w:line="400" w:lineRule="exact"/>
        <w:ind w:firstLine="420" w:firstLineChars="200"/>
        <w:rPr>
          <w:highlight w:val="none"/>
        </w:rPr>
      </w:pPr>
      <w:r>
        <w:rPr>
          <w:rFonts w:hint="eastAsia"/>
          <w:highlight w:val="none"/>
        </w:rPr>
        <w:t>（2）项目恢复，导致项目中止的情形消除后，采购人或采购代理机构应当尽快恢复招投标程序，向投标人发出恢复交易通知，并发布公布；已发出延长中止期限通知的，按通知执行。</w:t>
      </w:r>
    </w:p>
    <w:p w14:paraId="0262B38A">
      <w:pPr>
        <w:widowControl/>
        <w:adjustRightInd w:val="0"/>
        <w:snapToGrid w:val="0"/>
        <w:spacing w:line="360" w:lineRule="auto"/>
        <w:ind w:firstLine="420" w:firstLineChars="200"/>
        <w:rPr>
          <w:rFonts w:hint="eastAsia" w:ascii="宋体" w:hAnsi="宋体" w:eastAsia="仿宋"/>
          <w:szCs w:val="21"/>
          <w:highlight w:val="none"/>
        </w:rPr>
      </w:pPr>
    </w:p>
    <w:p w14:paraId="3351BDBA">
      <w:pPr>
        <w:spacing w:line="360" w:lineRule="auto"/>
        <w:jc w:val="center"/>
        <w:outlineLvl w:val="1"/>
        <w:rPr>
          <w:rFonts w:hint="eastAsia" w:ascii="Cambria" w:hAnsi="Cambria" w:eastAsia="黑体"/>
          <w:b/>
          <w:bCs/>
          <w:sz w:val="32"/>
          <w:szCs w:val="32"/>
          <w:highlight w:val="none"/>
        </w:rPr>
      </w:pPr>
      <w:r>
        <w:rPr>
          <w:rFonts w:hint="eastAsia" w:ascii="宋体" w:hAnsi="宋体" w:eastAsia="仿宋"/>
          <w:szCs w:val="21"/>
          <w:highlight w:val="none"/>
        </w:rPr>
        <w:br w:type="page"/>
      </w:r>
      <w:r>
        <w:rPr>
          <w:rFonts w:ascii="Cambria" w:hAnsi="Cambria" w:eastAsia="黑体"/>
          <w:b/>
          <w:bCs/>
          <w:sz w:val="32"/>
          <w:szCs w:val="32"/>
          <w:highlight w:val="none"/>
        </w:rPr>
        <w:t>附件</w:t>
      </w:r>
      <w:r>
        <w:rPr>
          <w:rFonts w:hint="eastAsia" w:ascii="Cambria" w:hAnsi="Cambria" w:eastAsia="黑体"/>
          <w:b/>
          <w:bCs/>
          <w:sz w:val="32"/>
          <w:szCs w:val="32"/>
          <w:highlight w:val="none"/>
        </w:rPr>
        <w:t>二</w:t>
      </w:r>
      <w:r>
        <w:rPr>
          <w:rFonts w:ascii="Cambria" w:hAnsi="Cambria" w:eastAsia="黑体"/>
          <w:b/>
          <w:bCs/>
          <w:sz w:val="32"/>
          <w:szCs w:val="32"/>
          <w:highlight w:val="none"/>
        </w:rPr>
        <w:t>：</w:t>
      </w:r>
      <w:r>
        <w:rPr>
          <w:rFonts w:hint="eastAsia" w:ascii="Cambria" w:hAnsi="Cambria" w:eastAsia="黑体"/>
          <w:b/>
          <w:bCs/>
          <w:sz w:val="32"/>
          <w:szCs w:val="32"/>
          <w:highlight w:val="none"/>
        </w:rPr>
        <w:t>政府采购供应商询问函和质疑函范本</w:t>
      </w:r>
    </w:p>
    <w:p w14:paraId="244081A4">
      <w:pPr>
        <w:spacing w:line="360" w:lineRule="auto"/>
        <w:jc w:val="center"/>
        <w:rPr>
          <w:rFonts w:hint="eastAsia" w:ascii="仿宋" w:hAnsi="仿宋" w:eastAsia="仿宋" w:cs="仿宋"/>
          <w:b/>
          <w:bCs/>
          <w:sz w:val="32"/>
          <w:szCs w:val="44"/>
          <w:highlight w:val="none"/>
        </w:rPr>
      </w:pPr>
      <w:r>
        <w:rPr>
          <w:rFonts w:hint="eastAsia" w:ascii="仿宋" w:hAnsi="仿宋" w:eastAsia="仿宋" w:cs="仿宋"/>
          <w:b/>
          <w:bCs/>
          <w:sz w:val="32"/>
          <w:szCs w:val="44"/>
          <w:highlight w:val="none"/>
        </w:rPr>
        <w:t>询问函范本</w:t>
      </w:r>
    </w:p>
    <w:p w14:paraId="0D2D696B">
      <w:pPr>
        <w:adjustRightInd w:val="0"/>
        <w:snapToGrid w:val="0"/>
        <w:spacing w:line="360" w:lineRule="auto"/>
        <w:ind w:firstLine="480" w:firstLineChars="200"/>
        <w:jc w:val="center"/>
        <w:rPr>
          <w:rFonts w:hint="eastAsia" w:ascii="仿宋" w:hAnsi="仿宋" w:eastAsia="仿宋" w:cs="仿宋"/>
          <w:b/>
          <w:bCs/>
          <w:sz w:val="32"/>
          <w:szCs w:val="44"/>
          <w:highlight w:val="none"/>
        </w:rPr>
      </w:pPr>
      <w:r>
        <w:rPr>
          <w:rFonts w:hint="eastAsia" w:ascii="宋体" w:hAnsi="宋体" w:cs="仿宋"/>
          <w:i/>
          <w:iCs/>
          <w:sz w:val="24"/>
          <w:highlight w:val="none"/>
        </w:rPr>
        <w:t>（如为对采购文件或采购程序的询问或疑问，请按询问函范本或电子交易系统中网上询问格式附件进行提交）</w:t>
      </w:r>
    </w:p>
    <w:p w14:paraId="378D5297">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某采购单位、某采购代理机构：</w:t>
      </w:r>
    </w:p>
    <w:p w14:paraId="360A9D71">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我单位拟参与某项目(某编号)的采购活动，现有以下内容(或条款)存在疑问(或无法理解)，特提出询问。</w:t>
      </w:r>
    </w:p>
    <w:p w14:paraId="5C2DF73F">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一、(事项一)</w:t>
      </w:r>
    </w:p>
    <w:p w14:paraId="4180B6FE">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1、(内容或条款)</w:t>
      </w:r>
    </w:p>
    <w:p w14:paraId="5053CF8E">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2、(说明疑问或无法理解原因)</w:t>
      </w:r>
    </w:p>
    <w:p w14:paraId="36228B51">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3、(建议)</w:t>
      </w:r>
    </w:p>
    <w:p w14:paraId="095716BC">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二、(事项二)</w:t>
      </w:r>
    </w:p>
    <w:p w14:paraId="01CF6985">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w:t>
      </w:r>
    </w:p>
    <w:p w14:paraId="6AEC8ECF">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随附相关证明材料如下： </w:t>
      </w:r>
    </w:p>
    <w:p w14:paraId="29473EEC">
      <w:pPr>
        <w:spacing w:line="360" w:lineRule="auto"/>
        <w:ind w:firstLine="4228" w:firstLineChars="1762"/>
        <w:rPr>
          <w:rFonts w:hint="eastAsia" w:ascii="仿宋" w:hAnsi="仿宋" w:eastAsia="仿宋" w:cs="仿宋"/>
          <w:sz w:val="24"/>
          <w:highlight w:val="none"/>
          <w:u w:val="single"/>
        </w:rPr>
      </w:pPr>
      <w:r>
        <w:rPr>
          <w:rFonts w:hint="eastAsia" w:ascii="仿宋" w:hAnsi="仿宋" w:eastAsia="仿宋" w:cs="仿宋"/>
          <w:sz w:val="24"/>
          <w:highlight w:val="none"/>
        </w:rPr>
        <w:t>联 系 人：</w:t>
      </w:r>
      <w:r>
        <w:rPr>
          <w:rFonts w:hint="eastAsia" w:ascii="仿宋" w:hAnsi="仿宋" w:eastAsia="仿宋" w:cs="仿宋"/>
          <w:sz w:val="24"/>
          <w:highlight w:val="none"/>
          <w:u w:val="single"/>
        </w:rPr>
        <w:t xml:space="preserve">              </w:t>
      </w:r>
    </w:p>
    <w:p w14:paraId="7B24DC3A">
      <w:pPr>
        <w:spacing w:line="360" w:lineRule="auto"/>
        <w:ind w:firstLine="4228" w:firstLineChars="1762"/>
        <w:rPr>
          <w:rFonts w:hint="eastAsia" w:ascii="仿宋" w:hAnsi="仿宋" w:eastAsia="仿宋" w:cs="仿宋"/>
          <w:sz w:val="24"/>
          <w:highlight w:val="none"/>
          <w:u w:val="single"/>
        </w:rPr>
      </w:pPr>
      <w:r>
        <w:rPr>
          <w:rFonts w:hint="eastAsia" w:ascii="仿宋" w:hAnsi="仿宋" w:eastAsia="仿宋" w:cs="仿宋"/>
          <w:sz w:val="24"/>
          <w:highlight w:val="none"/>
        </w:rPr>
        <w:t>联系电话：</w:t>
      </w:r>
      <w:r>
        <w:rPr>
          <w:rFonts w:hint="eastAsia" w:ascii="仿宋" w:hAnsi="仿宋" w:eastAsia="仿宋" w:cs="仿宋"/>
          <w:sz w:val="24"/>
          <w:highlight w:val="none"/>
          <w:u w:val="single"/>
        </w:rPr>
        <w:t xml:space="preserve">              </w:t>
      </w:r>
    </w:p>
    <w:p w14:paraId="6424FFAA">
      <w:pPr>
        <w:tabs>
          <w:tab w:val="left" w:pos="630"/>
        </w:tabs>
        <w:spacing w:line="360" w:lineRule="auto"/>
        <w:ind w:firstLine="4228" w:firstLineChars="1762"/>
        <w:rPr>
          <w:rFonts w:hint="eastAsia" w:ascii="仿宋" w:hAnsi="仿宋" w:eastAsia="仿宋" w:cs="仿宋"/>
          <w:sz w:val="24"/>
          <w:highlight w:val="none"/>
          <w:u w:val="singl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p>
    <w:p w14:paraId="43798717">
      <w:pPr>
        <w:rPr>
          <w:rFonts w:ascii="宋体" w:hAnsi="宋体"/>
          <w:b/>
          <w:sz w:val="52"/>
          <w:highlight w:val="none"/>
        </w:rPr>
      </w:pPr>
      <w:r>
        <w:rPr>
          <w:rFonts w:hint="eastAsia" w:ascii="仿宋" w:hAnsi="仿宋" w:eastAsia="仿宋" w:cs="仿宋"/>
          <w:b/>
          <w:bCs/>
          <w:sz w:val="32"/>
          <w:szCs w:val="44"/>
          <w:highlight w:val="none"/>
        </w:rPr>
        <w:br w:type="page"/>
      </w:r>
    </w:p>
    <w:p w14:paraId="796A8A1B">
      <w:pPr>
        <w:jc w:val="center"/>
        <w:rPr>
          <w:rFonts w:ascii="仿宋" w:hAnsi="仿宋" w:eastAsia="仿宋" w:cs="仿宋"/>
          <w:b/>
          <w:bCs/>
          <w:sz w:val="32"/>
          <w:szCs w:val="44"/>
          <w:highlight w:val="none"/>
        </w:rPr>
      </w:pPr>
      <w:r>
        <w:rPr>
          <w:rFonts w:hint="eastAsia" w:ascii="仿宋" w:hAnsi="仿宋" w:eastAsia="仿宋" w:cs="仿宋"/>
          <w:b/>
          <w:bCs/>
          <w:sz w:val="32"/>
          <w:szCs w:val="44"/>
          <w:highlight w:val="none"/>
        </w:rPr>
        <w:t>质疑函范本</w:t>
      </w:r>
    </w:p>
    <w:p w14:paraId="7F4317FD">
      <w:pPr>
        <w:adjustRightInd w:val="0"/>
        <w:snapToGrid w:val="0"/>
        <w:spacing w:before="240" w:beforeLines="100"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一、质疑供应商基本信息</w:t>
      </w:r>
    </w:p>
    <w:p w14:paraId="0E412C76">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质疑供应商：</w:t>
      </w:r>
      <w:r>
        <w:rPr>
          <w:rFonts w:hint="eastAsia" w:ascii="仿宋" w:hAnsi="仿宋" w:eastAsia="仿宋" w:cs="仿宋"/>
          <w:sz w:val="24"/>
          <w:highlight w:val="none"/>
          <w:u w:val="dotted"/>
        </w:rPr>
        <w:t xml:space="preserve">                                        </w:t>
      </w:r>
    </w:p>
    <w:p w14:paraId="137D0B7D">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p>
    <w:p w14:paraId="3FD6AEC9">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联系人：</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p>
    <w:p w14:paraId="46455C83">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授权代表：</w:t>
      </w:r>
      <w:r>
        <w:rPr>
          <w:rFonts w:hint="eastAsia" w:ascii="仿宋" w:hAnsi="仿宋" w:eastAsia="仿宋" w:cs="仿宋"/>
          <w:sz w:val="24"/>
          <w:highlight w:val="none"/>
          <w:u w:val="dotted"/>
        </w:rPr>
        <w:t xml:space="preserve">                                          </w:t>
      </w:r>
    </w:p>
    <w:p w14:paraId="20FCBABE">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联系电话：</w:t>
      </w:r>
      <w:r>
        <w:rPr>
          <w:rFonts w:hint="eastAsia" w:ascii="仿宋" w:hAnsi="仿宋" w:eastAsia="仿宋" w:cs="仿宋"/>
          <w:sz w:val="24"/>
          <w:highlight w:val="none"/>
          <w:u w:val="dotted"/>
        </w:rPr>
        <w:t xml:space="preserve">                                          </w:t>
      </w:r>
    </w:p>
    <w:p w14:paraId="69FC2E70">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地址： </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邮编：</w:t>
      </w:r>
      <w:r>
        <w:rPr>
          <w:rFonts w:hint="eastAsia" w:ascii="仿宋" w:hAnsi="仿宋" w:eastAsia="仿宋" w:cs="仿宋"/>
          <w:sz w:val="24"/>
          <w:highlight w:val="none"/>
          <w:u w:val="dotted"/>
        </w:rPr>
        <w:t xml:space="preserve">               </w:t>
      </w:r>
    </w:p>
    <w:p w14:paraId="6C22FE55">
      <w:pPr>
        <w:adjustRightInd w:val="0"/>
        <w:snapToGrid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二、质疑项目基本情况</w:t>
      </w:r>
    </w:p>
    <w:p w14:paraId="5F366D33">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质疑项目的名称：</w:t>
      </w:r>
      <w:r>
        <w:rPr>
          <w:rFonts w:hint="eastAsia" w:ascii="仿宋" w:hAnsi="仿宋" w:eastAsia="仿宋" w:cs="仿宋"/>
          <w:sz w:val="24"/>
          <w:highlight w:val="none"/>
          <w:u w:val="dotted"/>
        </w:rPr>
        <w:t xml:space="preserve">                                      </w:t>
      </w:r>
    </w:p>
    <w:p w14:paraId="00D56101">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质疑项目的编号：</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包号：</w:t>
      </w:r>
      <w:r>
        <w:rPr>
          <w:rFonts w:hint="eastAsia" w:ascii="仿宋" w:hAnsi="仿宋" w:eastAsia="仿宋" w:cs="仿宋"/>
          <w:sz w:val="24"/>
          <w:highlight w:val="none"/>
          <w:u w:val="dotted"/>
        </w:rPr>
        <w:t xml:space="preserve">                 </w:t>
      </w:r>
    </w:p>
    <w:p w14:paraId="0A4FE504">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采购人名称：</w:t>
      </w:r>
      <w:r>
        <w:rPr>
          <w:rFonts w:hint="eastAsia" w:ascii="仿宋" w:hAnsi="仿宋" w:eastAsia="仿宋" w:cs="仿宋"/>
          <w:sz w:val="24"/>
          <w:highlight w:val="none"/>
          <w:u w:val="dotted"/>
        </w:rPr>
        <w:t xml:space="preserve">                                          </w:t>
      </w:r>
    </w:p>
    <w:p w14:paraId="680E34B1">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采购文件获取日期：</w:t>
      </w:r>
      <w:r>
        <w:rPr>
          <w:rFonts w:hint="eastAsia" w:ascii="仿宋" w:hAnsi="仿宋" w:eastAsia="仿宋" w:cs="仿宋"/>
          <w:sz w:val="24"/>
          <w:highlight w:val="none"/>
          <w:u w:val="dotted"/>
        </w:rPr>
        <w:t xml:space="preserve">                                    </w:t>
      </w:r>
    </w:p>
    <w:p w14:paraId="6E31F10A">
      <w:pPr>
        <w:adjustRightInd w:val="0"/>
        <w:snapToGrid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三、质疑事项具体内容</w:t>
      </w:r>
    </w:p>
    <w:p w14:paraId="5F310F0E">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质疑事项1：</w:t>
      </w:r>
      <w:r>
        <w:rPr>
          <w:rFonts w:hint="eastAsia" w:ascii="仿宋" w:hAnsi="仿宋" w:eastAsia="仿宋" w:cs="仿宋"/>
          <w:sz w:val="24"/>
          <w:highlight w:val="none"/>
          <w:u w:val="dotted"/>
        </w:rPr>
        <w:t xml:space="preserve">                                         </w:t>
      </w:r>
    </w:p>
    <w:p w14:paraId="127B503B">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事实依据：</w:t>
      </w:r>
      <w:r>
        <w:rPr>
          <w:rFonts w:hint="eastAsia" w:ascii="仿宋" w:hAnsi="仿宋" w:eastAsia="仿宋" w:cs="仿宋"/>
          <w:sz w:val="24"/>
          <w:highlight w:val="none"/>
          <w:u w:val="dotted"/>
        </w:rPr>
        <w:t xml:space="preserve">                                          </w:t>
      </w:r>
    </w:p>
    <w:p w14:paraId="270C059F">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p>
    <w:p w14:paraId="11364D05">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法律依据：</w:t>
      </w:r>
      <w:r>
        <w:rPr>
          <w:rFonts w:hint="eastAsia" w:ascii="仿宋" w:hAnsi="仿宋" w:eastAsia="仿宋" w:cs="仿宋"/>
          <w:sz w:val="24"/>
          <w:highlight w:val="none"/>
          <w:u w:val="dotted"/>
        </w:rPr>
        <w:t xml:space="preserve">                                          </w:t>
      </w:r>
    </w:p>
    <w:p w14:paraId="73B24509">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u w:val="dotted"/>
        </w:rPr>
        <w:t xml:space="preserve">                                                    </w:t>
      </w:r>
    </w:p>
    <w:p w14:paraId="7ACCD978">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质疑事项2</w:t>
      </w:r>
    </w:p>
    <w:p w14:paraId="4B85536C">
      <w:pPr>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w:t>
      </w:r>
    </w:p>
    <w:p w14:paraId="64D11BCB">
      <w:pPr>
        <w:adjustRightInd w:val="0"/>
        <w:snapToGrid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四、与质疑事项相关的质疑请求</w:t>
      </w:r>
    </w:p>
    <w:p w14:paraId="19DEFD37">
      <w:pPr>
        <w:adjustRightInd w:val="0"/>
        <w:snapToGrid w:val="0"/>
        <w:spacing w:line="360" w:lineRule="auto"/>
        <w:rPr>
          <w:rFonts w:hint="eastAsia" w:ascii="仿宋" w:hAnsi="仿宋" w:eastAsia="仿宋" w:cs="仿宋"/>
          <w:sz w:val="24"/>
          <w:highlight w:val="none"/>
          <w:u w:val="dotted"/>
        </w:rPr>
      </w:pPr>
      <w:r>
        <w:rPr>
          <w:rFonts w:hint="eastAsia" w:ascii="仿宋" w:hAnsi="仿宋" w:eastAsia="仿宋" w:cs="仿宋"/>
          <w:sz w:val="24"/>
          <w:highlight w:val="none"/>
        </w:rPr>
        <w:t>请求：</w:t>
      </w:r>
      <w:r>
        <w:rPr>
          <w:rFonts w:hint="eastAsia" w:ascii="仿宋" w:hAnsi="仿宋" w:eastAsia="仿宋" w:cs="仿宋"/>
          <w:sz w:val="24"/>
          <w:highlight w:val="none"/>
          <w:u w:val="dotted"/>
        </w:rPr>
        <w:t xml:space="preserve">                                               </w:t>
      </w:r>
    </w:p>
    <w:p w14:paraId="14E30232">
      <w:pPr>
        <w:spacing w:line="360" w:lineRule="auto"/>
        <w:rPr>
          <w:rFonts w:hint="eastAsia" w:ascii="仿宋" w:hAnsi="仿宋" w:eastAsia="仿宋" w:cs="仿宋"/>
          <w:sz w:val="24"/>
          <w:highlight w:val="none"/>
        </w:rPr>
      </w:pPr>
      <w:r>
        <w:rPr>
          <w:rFonts w:hint="eastAsia" w:ascii="仿宋" w:hAnsi="仿宋" w:eastAsia="仿宋" w:cs="仿宋"/>
          <w:sz w:val="24"/>
          <w:highlight w:val="none"/>
        </w:rPr>
        <w:t>签字(签章)：</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公章：</w:t>
      </w:r>
      <w:r>
        <w:rPr>
          <w:rFonts w:hint="eastAsia" w:ascii="仿宋" w:hAnsi="仿宋" w:eastAsia="仿宋" w:cs="仿宋"/>
          <w:sz w:val="24"/>
          <w:highlight w:val="none"/>
          <w:u w:val="dotted"/>
        </w:rPr>
        <w:t xml:space="preserve">                </w:t>
      </w:r>
    </w:p>
    <w:p w14:paraId="06D1BF0A">
      <w:pPr>
        <w:spacing w:line="360" w:lineRule="auto"/>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dotted"/>
        </w:rPr>
        <w:t xml:space="preserve">                   </w:t>
      </w:r>
      <w:r>
        <w:rPr>
          <w:rFonts w:hint="eastAsia" w:ascii="仿宋" w:hAnsi="仿宋" w:eastAsia="仿宋" w:cs="仿宋"/>
          <w:sz w:val="24"/>
          <w:highlight w:val="none"/>
        </w:rPr>
        <w:t xml:space="preserve"> </w:t>
      </w:r>
    </w:p>
    <w:p w14:paraId="72BAD458">
      <w:pPr>
        <w:widowControl/>
        <w:jc w:val="left"/>
        <w:rPr>
          <w:rFonts w:ascii="仿宋" w:hAnsi="仿宋" w:eastAsia="仿宋" w:cs="仿宋"/>
          <w:sz w:val="32"/>
          <w:szCs w:val="32"/>
          <w:highlight w:val="none"/>
        </w:rPr>
      </w:pPr>
      <w:r>
        <w:rPr>
          <w:rFonts w:ascii="仿宋" w:hAnsi="仿宋" w:eastAsia="仿宋" w:cs="仿宋"/>
          <w:sz w:val="32"/>
          <w:szCs w:val="32"/>
          <w:highlight w:val="none"/>
        </w:rPr>
        <w:br w:type="page"/>
      </w:r>
    </w:p>
    <w:p w14:paraId="4B25D052">
      <w:pPr>
        <w:rPr>
          <w:rFonts w:hint="eastAsia" w:ascii="仿宋" w:hAnsi="仿宋" w:eastAsia="仿宋" w:cs="仿宋"/>
          <w:b/>
          <w:sz w:val="28"/>
          <w:szCs w:val="32"/>
          <w:highlight w:val="none"/>
        </w:rPr>
      </w:pPr>
      <w:bookmarkStart w:id="754" w:name="_Toc11441"/>
      <w:r>
        <w:rPr>
          <w:rFonts w:hint="eastAsia" w:ascii="仿宋" w:hAnsi="仿宋" w:eastAsia="仿宋" w:cs="仿宋"/>
          <w:b/>
          <w:sz w:val="28"/>
          <w:szCs w:val="32"/>
          <w:highlight w:val="none"/>
        </w:rPr>
        <w:t>质疑函制作说明：</w:t>
      </w:r>
      <w:bookmarkEnd w:id="754"/>
    </w:p>
    <w:p w14:paraId="24142545">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rPr>
        <w:t>1.供应商提出质疑时，应提交质疑函和必要的证明材料。</w:t>
      </w:r>
    </w:p>
    <w:p w14:paraId="361A511B">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rPr>
        <w:t>2.质疑供应商若委托授权代表进行质疑的，质疑函应按要求列明“授权代表”的有关内容，并在附件中提交由质疑供应商签署的授权委托书。授权委托书应载明授权代表的姓名或者名称、代理事项、具体权限、期限和相关事项。</w:t>
      </w:r>
    </w:p>
    <w:p w14:paraId="2BF807B8">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rPr>
        <w:t>3.质疑供应商若对项目的某一采购包进行质疑，质疑函中应列明具体包号。</w:t>
      </w:r>
    </w:p>
    <w:p w14:paraId="6A3AE1F2">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rPr>
        <w:t>4.质疑函的质疑事项应具体、明确，并有必要的事实依据和法律依据。</w:t>
      </w:r>
    </w:p>
    <w:p w14:paraId="75D051AB">
      <w:pPr>
        <w:spacing w:line="360" w:lineRule="auto"/>
        <w:ind w:firstLine="435"/>
        <w:rPr>
          <w:rFonts w:hint="eastAsia" w:ascii="仿宋" w:hAnsi="仿宋" w:eastAsia="仿宋" w:cs="仿宋"/>
          <w:sz w:val="24"/>
          <w:highlight w:val="none"/>
        </w:rPr>
      </w:pPr>
      <w:r>
        <w:rPr>
          <w:rFonts w:hint="eastAsia" w:ascii="仿宋" w:hAnsi="仿宋" w:eastAsia="仿宋" w:cs="仿宋"/>
          <w:sz w:val="24"/>
          <w:highlight w:val="none"/>
        </w:rPr>
        <w:t>5.质疑函的质疑请求应与质疑事项相关。</w:t>
      </w:r>
    </w:p>
    <w:p w14:paraId="6C70DB46">
      <w:pPr>
        <w:spacing w:line="360" w:lineRule="auto"/>
        <w:ind w:firstLine="435"/>
        <w:rPr>
          <w:rFonts w:hint="eastAsia" w:ascii="宋体" w:hAnsi="宋体" w:cs="宋体"/>
          <w:szCs w:val="28"/>
          <w:highlight w:val="none"/>
        </w:rPr>
      </w:pPr>
      <w:r>
        <w:rPr>
          <w:rFonts w:hint="eastAsia" w:ascii="仿宋" w:hAnsi="仿宋" w:eastAsia="仿宋" w:cs="仿宋"/>
          <w:sz w:val="24"/>
          <w:highlight w:val="none"/>
        </w:rPr>
        <w:t>6.质疑供应商为自然人的，质疑函应由本人签字；质疑供应商为法人或者其他组织的，质疑函应由法定代表人/主要负责人/其授权代表签字或者盖签字章，并加盖公章。</w:t>
      </w:r>
    </w:p>
    <w:p w14:paraId="5195D357">
      <w:pPr>
        <w:widowControl/>
        <w:adjustRightInd w:val="0"/>
        <w:snapToGrid w:val="0"/>
        <w:spacing w:line="360" w:lineRule="auto"/>
        <w:ind w:firstLine="420" w:firstLineChars="200"/>
        <w:rPr>
          <w:rFonts w:hint="eastAsia" w:ascii="宋体" w:hAnsi="宋体" w:eastAsia="仿宋"/>
          <w:szCs w:val="21"/>
          <w:highlight w:val="none"/>
        </w:rPr>
      </w:pPr>
    </w:p>
    <w:p w14:paraId="39896958">
      <w:pPr>
        <w:widowControl/>
        <w:adjustRightInd w:val="0"/>
        <w:snapToGrid w:val="0"/>
        <w:spacing w:line="360" w:lineRule="auto"/>
        <w:ind w:firstLine="420" w:firstLineChars="200"/>
        <w:rPr>
          <w:rFonts w:hint="eastAsia" w:ascii="宋体" w:hAnsi="宋体" w:eastAsia="仿宋"/>
          <w:szCs w:val="21"/>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3D2D6D0">
      <w:pPr>
        <w:pStyle w:val="2"/>
        <w:widowControl/>
        <w:snapToGrid w:val="0"/>
        <w:spacing w:before="0" w:after="0" w:line="360" w:lineRule="auto"/>
        <w:jc w:val="center"/>
        <w:rPr>
          <w:rFonts w:hint="eastAsia" w:ascii="宋体" w:hAnsi="宋体" w:eastAsia="仿宋"/>
          <w:highlight w:val="none"/>
        </w:rPr>
      </w:pPr>
      <w:bookmarkStart w:id="755" w:name="_Toc466024555"/>
      <w:bookmarkStart w:id="756" w:name="_Toc24366"/>
      <w:bookmarkStart w:id="757" w:name="_Toc445554746"/>
      <w:bookmarkStart w:id="758" w:name="_Toc152042375"/>
      <w:bookmarkStart w:id="759" w:name="_Toc152045598"/>
      <w:bookmarkStart w:id="760" w:name="_Toc342296244"/>
      <w:bookmarkStart w:id="761" w:name="_Toc342296242"/>
      <w:bookmarkStart w:id="762" w:name="_Toc144974565"/>
      <w:bookmarkStart w:id="763" w:name="_Toc342297701"/>
      <w:bookmarkStart w:id="764" w:name="_Toc179632616"/>
      <w:bookmarkStart w:id="765" w:name="_Toc241459648"/>
      <w:bookmarkStart w:id="766" w:name="_Toc342297699"/>
      <w:r>
        <w:rPr>
          <w:rFonts w:hint="eastAsia" w:ascii="宋体" w:hAnsi="宋体" w:eastAsia="仿宋"/>
          <w:highlight w:val="none"/>
        </w:rPr>
        <w:t>第三章  采购需求</w:t>
      </w:r>
      <w:bookmarkEnd w:id="755"/>
      <w:bookmarkEnd w:id="756"/>
      <w:bookmarkEnd w:id="757"/>
    </w:p>
    <w:p w14:paraId="18277835">
      <w:pPr>
        <w:pStyle w:val="3"/>
        <w:spacing w:line="360" w:lineRule="auto"/>
        <w:rPr>
          <w:rStyle w:val="107"/>
          <w:rFonts w:ascii="宋体" w:hAnsi="宋体" w:eastAsia="仿宋"/>
          <w:b/>
          <w:bCs/>
          <w:sz w:val="24"/>
          <w:szCs w:val="24"/>
          <w:highlight w:val="none"/>
        </w:rPr>
      </w:pPr>
      <w:bookmarkStart w:id="767" w:name="_Toc455587089"/>
      <w:bookmarkStart w:id="768" w:name="_Toc455587273"/>
      <w:bookmarkStart w:id="769" w:name="_Toc466024556"/>
      <w:bookmarkStart w:id="770" w:name="_Toc445554747"/>
      <w:r>
        <w:rPr>
          <w:rStyle w:val="107"/>
          <w:rFonts w:hint="eastAsia" w:ascii="宋体" w:hAnsi="宋体" w:eastAsia="仿宋"/>
          <w:b/>
          <w:bCs/>
          <w:sz w:val="24"/>
          <w:szCs w:val="24"/>
          <w:highlight w:val="none"/>
        </w:rPr>
        <w:t xml:space="preserve">1. </w:t>
      </w:r>
      <w:bookmarkEnd w:id="767"/>
      <w:bookmarkEnd w:id="768"/>
      <w:bookmarkEnd w:id="769"/>
      <w:r>
        <w:rPr>
          <w:rStyle w:val="107"/>
          <w:rFonts w:hint="eastAsia" w:ascii="宋体" w:hAnsi="宋体" w:eastAsia="仿宋"/>
          <w:b/>
          <w:bCs/>
          <w:sz w:val="24"/>
          <w:szCs w:val="24"/>
          <w:highlight w:val="none"/>
        </w:rPr>
        <w:t>总体说明</w:t>
      </w:r>
    </w:p>
    <w:p w14:paraId="5C5EC9EA">
      <w:pPr>
        <w:widowControl/>
        <w:tabs>
          <w:tab w:val="left" w:pos="1406"/>
        </w:tabs>
        <w:snapToGrid w:val="0"/>
        <w:spacing w:line="360" w:lineRule="auto"/>
        <w:ind w:firstLine="480" w:firstLineChars="200"/>
        <w:rPr>
          <w:rFonts w:hint="eastAsia" w:ascii="宋体" w:hAnsi="宋体" w:eastAsia="仿宋"/>
          <w:color w:val="FF0000"/>
          <w:sz w:val="24"/>
          <w:highlight w:val="none"/>
        </w:rPr>
      </w:pPr>
      <w:r>
        <w:rPr>
          <w:rFonts w:hint="eastAsia" w:ascii="宋体" w:hAnsi="宋体" w:eastAsia="仿宋"/>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1F4755D6">
      <w:pPr>
        <w:widowControl/>
        <w:tabs>
          <w:tab w:val="left" w:pos="1406"/>
        </w:tabs>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1E22601C">
      <w:pPr>
        <w:widowControl/>
        <w:tabs>
          <w:tab w:val="left" w:pos="1406"/>
        </w:tabs>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1.3 除非有特别说明，本章中所列的具体参数或参数范围，均理解为采购人可接受的最低要求。</w:t>
      </w:r>
    </w:p>
    <w:p w14:paraId="79C8CDE0">
      <w:pPr>
        <w:widowControl/>
        <w:tabs>
          <w:tab w:val="left" w:pos="1406"/>
        </w:tabs>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sz w:val="24"/>
          <w:highlight w:val="none"/>
        </w:rPr>
        <w:t>进口产品的认定按照财政部文件《关于政府采购进口产品管理有关问题的通知》（财办库〔2008〕248号）规定，整机设备内元器件不做限制。</w:t>
      </w:r>
    </w:p>
    <w:p w14:paraId="24F653F3">
      <w:pPr>
        <w:widowControl/>
        <w:tabs>
          <w:tab w:val="left" w:pos="1406"/>
        </w:tabs>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37429F5C">
      <w:pPr>
        <w:pStyle w:val="3"/>
        <w:spacing w:line="360" w:lineRule="auto"/>
        <w:rPr>
          <w:rStyle w:val="107"/>
          <w:rFonts w:hint="eastAsia" w:ascii="宋体" w:hAnsi="宋体" w:eastAsia="仿宋"/>
          <w:b/>
          <w:bCs/>
          <w:sz w:val="24"/>
          <w:szCs w:val="24"/>
          <w:highlight w:val="none"/>
        </w:rPr>
      </w:pPr>
      <w:bookmarkStart w:id="771" w:name="_Toc455587090"/>
      <w:bookmarkStart w:id="772" w:name="_Toc466024557"/>
      <w:bookmarkStart w:id="773" w:name="_Toc455587274"/>
      <w:r>
        <w:rPr>
          <w:rStyle w:val="107"/>
          <w:rFonts w:hint="eastAsia" w:ascii="宋体" w:hAnsi="宋体" w:eastAsia="仿宋"/>
          <w:b/>
          <w:bCs/>
          <w:sz w:val="24"/>
          <w:szCs w:val="24"/>
          <w:highlight w:val="none"/>
        </w:rPr>
        <w:t>2. 采购内容及范围</w:t>
      </w:r>
      <w:bookmarkEnd w:id="771"/>
      <w:bookmarkEnd w:id="772"/>
      <w:bookmarkEnd w:id="773"/>
    </w:p>
    <w:p w14:paraId="46E2736A">
      <w:pPr>
        <w:widowControl/>
        <w:tabs>
          <w:tab w:val="left" w:pos="1406"/>
        </w:tabs>
        <w:snapToGrid w:val="0"/>
        <w:spacing w:line="360" w:lineRule="auto"/>
        <w:ind w:firstLine="412" w:firstLineChars="171"/>
        <w:rPr>
          <w:rFonts w:hint="eastAsia" w:ascii="宋体" w:hAnsi="宋体"/>
          <w:b/>
          <w:sz w:val="24"/>
          <w:highlight w:val="none"/>
        </w:rPr>
      </w:pPr>
      <w:r>
        <w:rPr>
          <w:rFonts w:hint="eastAsia" w:ascii="宋体" w:hAnsi="宋体" w:eastAsia="仿宋"/>
          <w:b/>
          <w:sz w:val="24"/>
          <w:highlight w:val="none"/>
        </w:rPr>
        <w:t>2.1 采购内容</w:t>
      </w:r>
    </w:p>
    <w:tbl>
      <w:tblPr>
        <w:tblStyle w:val="48"/>
        <w:tblW w:w="10058"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880"/>
        <w:gridCol w:w="791"/>
        <w:gridCol w:w="1848"/>
        <w:gridCol w:w="777"/>
        <w:gridCol w:w="846"/>
        <w:gridCol w:w="1204"/>
        <w:gridCol w:w="1240"/>
        <w:gridCol w:w="1702"/>
        <w:gridCol w:w="770"/>
      </w:tblGrid>
      <w:tr w14:paraId="43798C7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8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859FF0E">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sz w:val="24"/>
                <w:highlight w:val="none"/>
              </w:rPr>
            </w:pPr>
            <w:r>
              <w:rPr>
                <w:rFonts w:hint="eastAsia" w:ascii="宋体" w:hAnsi="宋体" w:eastAsia="仿宋" w:cs="Times New Roman"/>
                <w:sz w:val="24"/>
                <w:highlight w:val="none"/>
              </w:rPr>
              <w:t>包号</w:t>
            </w:r>
          </w:p>
        </w:tc>
        <w:tc>
          <w:tcPr>
            <w:tcW w:w="7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2108669">
            <w:pPr>
              <w:keepNext w:val="0"/>
              <w:keepLines w:val="0"/>
              <w:widowControl/>
              <w:suppressLineNumbers w:val="0"/>
              <w:autoSpaceDN w:val="0"/>
              <w:spacing w:before="0" w:beforeAutospacing="0" w:after="0" w:afterAutospacing="0"/>
              <w:ind w:left="0" w:right="0"/>
              <w:jc w:val="center"/>
              <w:rPr>
                <w:rFonts w:hint="default" w:ascii="Calibri" w:hAnsi="宋体" w:cs="Times New Roman"/>
                <w:sz w:val="24"/>
                <w:highlight w:val="none"/>
              </w:rPr>
            </w:pPr>
            <w:r>
              <w:rPr>
                <w:rFonts w:hint="default" w:ascii="宋体" w:hAnsi="宋体" w:eastAsia="仿宋" w:cs="Times New Roman"/>
                <w:sz w:val="24"/>
                <w:highlight w:val="none"/>
              </w:rPr>
              <w:t>序号</w:t>
            </w:r>
          </w:p>
        </w:tc>
        <w:tc>
          <w:tcPr>
            <w:tcW w:w="18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BA4A3F">
            <w:pPr>
              <w:keepNext w:val="0"/>
              <w:keepLines w:val="0"/>
              <w:widowControl/>
              <w:suppressLineNumbers w:val="0"/>
              <w:autoSpaceDN w:val="0"/>
              <w:spacing w:before="0" w:beforeAutospacing="0" w:after="0" w:afterAutospacing="0"/>
              <w:ind w:left="0" w:right="0"/>
              <w:jc w:val="center"/>
              <w:rPr>
                <w:rFonts w:hint="default" w:ascii="Calibri" w:hAnsi="宋体" w:cs="Times New Roman"/>
                <w:sz w:val="24"/>
                <w:highlight w:val="none"/>
              </w:rPr>
            </w:pPr>
            <w:r>
              <w:rPr>
                <w:rFonts w:hint="eastAsia" w:ascii="宋体" w:hAnsi="宋体" w:eastAsia="仿宋" w:cs="Times New Roman"/>
                <w:sz w:val="24"/>
                <w:highlight w:val="none"/>
              </w:rPr>
              <w:t>标的</w:t>
            </w:r>
            <w:r>
              <w:rPr>
                <w:rFonts w:hint="default" w:ascii="宋体" w:hAnsi="宋体" w:eastAsia="仿宋" w:cs="Times New Roman"/>
                <w:sz w:val="24"/>
                <w:highlight w:val="none"/>
              </w:rPr>
              <w:t>名称</w:t>
            </w:r>
          </w:p>
        </w:tc>
        <w:tc>
          <w:tcPr>
            <w:tcW w:w="7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49D65E">
            <w:pPr>
              <w:keepNext w:val="0"/>
              <w:keepLines w:val="0"/>
              <w:widowControl/>
              <w:suppressLineNumbers w:val="0"/>
              <w:autoSpaceDN w:val="0"/>
              <w:spacing w:before="0" w:beforeAutospacing="0" w:after="0" w:afterAutospacing="0"/>
              <w:ind w:left="0" w:right="0"/>
              <w:jc w:val="center"/>
              <w:rPr>
                <w:rFonts w:hint="eastAsia" w:ascii="Calibri" w:hAnsi="宋体" w:cs="Times New Roman"/>
                <w:sz w:val="24"/>
                <w:highlight w:val="none"/>
              </w:rPr>
            </w:pPr>
            <w:r>
              <w:rPr>
                <w:rFonts w:hint="eastAsia" w:ascii="Calibri" w:hAnsi="宋体" w:eastAsia="仿宋" w:cs="Times New Roman"/>
                <w:sz w:val="24"/>
                <w:highlight w:val="none"/>
              </w:rPr>
              <w:t>单位</w:t>
            </w:r>
          </w:p>
        </w:tc>
        <w:tc>
          <w:tcPr>
            <w:tcW w:w="8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885FFB4">
            <w:pPr>
              <w:keepNext w:val="0"/>
              <w:keepLines w:val="0"/>
              <w:widowControl/>
              <w:suppressLineNumbers w:val="0"/>
              <w:autoSpaceDN w:val="0"/>
              <w:spacing w:before="0" w:beforeAutospacing="0" w:after="0" w:afterAutospacing="0"/>
              <w:ind w:left="0" w:right="0"/>
              <w:jc w:val="center"/>
              <w:rPr>
                <w:rFonts w:hint="default" w:ascii="Calibri" w:hAnsi="宋体" w:cs="Times New Roman"/>
                <w:sz w:val="24"/>
                <w:highlight w:val="none"/>
              </w:rPr>
            </w:pPr>
            <w:r>
              <w:rPr>
                <w:rFonts w:hint="eastAsia" w:ascii="宋体" w:hAnsi="宋体" w:eastAsia="仿宋" w:cs="Times New Roman"/>
                <w:sz w:val="24"/>
                <w:highlight w:val="none"/>
              </w:rPr>
              <w:t>数量</w:t>
            </w:r>
          </w:p>
        </w:tc>
        <w:tc>
          <w:tcPr>
            <w:tcW w:w="12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59CEB98">
            <w:pPr>
              <w:keepNext w:val="0"/>
              <w:keepLines w:val="0"/>
              <w:widowControl/>
              <w:suppressLineNumbers w:val="0"/>
              <w:autoSpaceDN w:val="0"/>
              <w:spacing w:before="0" w:beforeAutospacing="0" w:after="0" w:afterAutospacing="0"/>
              <w:ind w:left="0" w:right="0"/>
              <w:jc w:val="center"/>
              <w:rPr>
                <w:rFonts w:hint="eastAsia" w:ascii="Calibri" w:hAnsi="宋体" w:eastAsia="仿宋" w:cs="Times New Roman"/>
                <w:sz w:val="24"/>
                <w:highlight w:val="none"/>
                <w:lang w:eastAsia="zh-CN"/>
              </w:rPr>
            </w:pPr>
            <w:r>
              <w:rPr>
                <w:rFonts w:hint="eastAsia" w:ascii="Calibri" w:hAnsi="宋体" w:eastAsia="仿宋" w:cs="Times New Roman"/>
                <w:sz w:val="24"/>
                <w:highlight w:val="none"/>
              </w:rPr>
              <w:t>单套限价</w:t>
            </w:r>
            <w:r>
              <w:rPr>
                <w:rFonts w:hint="eastAsia" w:ascii="Calibri" w:hAnsi="宋体" w:eastAsia="仿宋" w:cs="Times New Roman"/>
                <w:sz w:val="24"/>
                <w:highlight w:val="none"/>
                <w:lang w:eastAsia="zh-CN"/>
              </w:rPr>
              <w:t>（</w:t>
            </w:r>
            <w:r>
              <w:rPr>
                <w:rFonts w:hint="eastAsia" w:ascii="Calibri" w:hAnsi="宋体" w:eastAsia="仿宋" w:cs="Times New Roman"/>
                <w:sz w:val="24"/>
                <w:highlight w:val="none"/>
                <w:lang w:val="en-US" w:eastAsia="zh-CN"/>
              </w:rPr>
              <w:t>万元</w:t>
            </w:r>
            <w:r>
              <w:rPr>
                <w:rFonts w:hint="eastAsia" w:ascii="Calibri" w:hAnsi="宋体" w:eastAsia="仿宋" w:cs="Times New Roman"/>
                <w:sz w:val="24"/>
                <w:highlight w:val="none"/>
                <w:lang w:eastAsia="zh-CN"/>
              </w:rPr>
              <w:t>）</w:t>
            </w:r>
          </w:p>
        </w:tc>
        <w:tc>
          <w:tcPr>
            <w:tcW w:w="12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6F76C68">
            <w:pPr>
              <w:keepNext w:val="0"/>
              <w:keepLines w:val="0"/>
              <w:widowControl/>
              <w:suppressLineNumbers w:val="0"/>
              <w:autoSpaceDN w:val="0"/>
              <w:spacing w:before="0" w:beforeAutospacing="0" w:after="0" w:afterAutospacing="0"/>
              <w:ind w:left="0" w:right="0"/>
              <w:jc w:val="center"/>
              <w:rPr>
                <w:rFonts w:hint="default" w:ascii="Calibri" w:hAnsi="宋体" w:eastAsia="仿宋" w:cs="Times New Roman"/>
                <w:sz w:val="24"/>
                <w:highlight w:val="none"/>
              </w:rPr>
            </w:pPr>
            <w:r>
              <w:rPr>
                <w:rFonts w:hint="eastAsia" w:ascii="Calibri" w:hAnsi="宋体" w:eastAsia="仿宋" w:cs="Times New Roman"/>
                <w:sz w:val="24"/>
                <w:highlight w:val="none"/>
              </w:rPr>
              <w:t>所属行业</w:t>
            </w:r>
          </w:p>
        </w:tc>
        <w:tc>
          <w:tcPr>
            <w:tcW w:w="17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26646CE8">
            <w:pPr>
              <w:keepNext w:val="0"/>
              <w:keepLines w:val="0"/>
              <w:widowControl/>
              <w:suppressLineNumbers w:val="0"/>
              <w:autoSpaceDN w:val="0"/>
              <w:spacing w:before="0" w:beforeAutospacing="0" w:after="0" w:afterAutospacing="0"/>
              <w:ind w:left="0" w:right="0"/>
              <w:jc w:val="center"/>
              <w:rPr>
                <w:rFonts w:hint="default" w:ascii="Calibri" w:hAnsi="宋体" w:eastAsia="仿宋" w:cs="Times New Roman"/>
                <w:sz w:val="24"/>
                <w:highlight w:val="none"/>
              </w:rPr>
            </w:pPr>
            <w:r>
              <w:rPr>
                <w:rFonts w:hint="eastAsia" w:ascii="Calibri" w:hAnsi="宋体" w:eastAsia="仿宋" w:cs="Times New Roman"/>
                <w:sz w:val="24"/>
                <w:highlight w:val="none"/>
              </w:rPr>
              <w:t>是否接受进口</w:t>
            </w:r>
          </w:p>
        </w:tc>
        <w:tc>
          <w:tcPr>
            <w:tcW w:w="7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1C13805">
            <w:pPr>
              <w:keepNext w:val="0"/>
              <w:keepLines w:val="0"/>
              <w:widowControl/>
              <w:suppressLineNumbers w:val="0"/>
              <w:autoSpaceDN w:val="0"/>
              <w:spacing w:before="0" w:beforeAutospacing="0" w:after="0" w:afterAutospacing="0"/>
              <w:ind w:left="0" w:right="0"/>
              <w:jc w:val="center"/>
              <w:rPr>
                <w:rFonts w:hint="eastAsia" w:ascii="Calibri" w:hAnsi="宋体" w:eastAsia="仿宋" w:cs="Times New Roman"/>
                <w:color w:val="FF0000"/>
                <w:sz w:val="24"/>
                <w:highlight w:val="none"/>
              </w:rPr>
            </w:pPr>
            <w:r>
              <w:rPr>
                <w:rFonts w:hint="eastAsia" w:ascii="宋体" w:hAnsi="宋体" w:eastAsia="仿宋" w:cs="Times New Roman"/>
                <w:sz w:val="24"/>
                <w:highlight w:val="none"/>
              </w:rPr>
              <w:t>备注</w:t>
            </w:r>
          </w:p>
        </w:tc>
      </w:tr>
      <w:tr w14:paraId="5CE36190">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PrEx>
        <w:trPr>
          <w:jc w:val="center"/>
        </w:trPr>
        <w:tc>
          <w:tcPr>
            <w:tcW w:w="88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18E2245E">
            <w:pPr>
              <w:keepNext w:val="0"/>
              <w:keepLines w:val="0"/>
              <w:widowControl/>
              <w:suppressLineNumbers w:val="0"/>
              <w:autoSpaceDN w:val="0"/>
              <w:spacing w:before="0" w:beforeAutospacing="0" w:after="0" w:afterAutospacing="0"/>
              <w:ind w:left="0" w:right="0"/>
              <w:jc w:val="center"/>
              <w:rPr>
                <w:rFonts w:hint="default" w:ascii="宋体" w:hAnsi="宋体" w:eastAsia="仿宋" w:cs="Times New Roman"/>
                <w:sz w:val="24"/>
                <w:highlight w:val="none"/>
              </w:rPr>
            </w:pPr>
            <w:r>
              <w:rPr>
                <w:rFonts w:hint="eastAsia" w:ascii="宋体" w:hAnsi="宋体" w:eastAsia="仿宋" w:cs="Times New Roman"/>
                <w:sz w:val="24"/>
                <w:highlight w:val="none"/>
              </w:rPr>
              <w:t>第1包</w:t>
            </w:r>
          </w:p>
        </w:tc>
        <w:tc>
          <w:tcPr>
            <w:tcW w:w="79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76D86F85">
            <w:pPr>
              <w:keepNext w:val="0"/>
              <w:keepLines w:val="0"/>
              <w:widowControl/>
              <w:suppressLineNumbers w:val="0"/>
              <w:autoSpaceDN w:val="0"/>
              <w:spacing w:before="0" w:beforeAutospacing="0" w:after="0" w:afterAutospacing="0"/>
              <w:ind w:left="0" w:right="0"/>
              <w:jc w:val="center"/>
              <w:rPr>
                <w:rFonts w:hint="default" w:ascii="Calibri" w:hAnsi="宋体" w:cs="Times New Roman"/>
                <w:sz w:val="24"/>
                <w:highlight w:val="none"/>
              </w:rPr>
            </w:pPr>
            <w:r>
              <w:rPr>
                <w:rFonts w:hint="default" w:ascii="宋体" w:hAnsi="宋体" w:eastAsia="仿宋" w:cs="Times New Roman"/>
                <w:sz w:val="24"/>
                <w:highlight w:val="none"/>
              </w:rPr>
              <w:t>1</w:t>
            </w:r>
          </w:p>
        </w:tc>
        <w:tc>
          <w:tcPr>
            <w:tcW w:w="1848"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6FF36050">
            <w:pPr>
              <w:keepNext w:val="0"/>
              <w:keepLines w:val="0"/>
              <w:widowControl/>
              <w:suppressLineNumbers w:val="0"/>
              <w:spacing w:before="0" w:beforeAutospacing="0" w:after="0" w:afterAutospacing="0"/>
              <w:ind w:left="0" w:right="0"/>
              <w:jc w:val="center"/>
              <w:textAlignment w:val="center"/>
              <w:rPr>
                <w:rFonts w:hint="eastAsia" w:ascii="宋体" w:hAnsi="宋体" w:eastAsia="仿宋" w:cs="Times New Roman"/>
                <w:sz w:val="24"/>
                <w:highlight w:val="none"/>
                <w:lang w:val="en-US" w:eastAsia="zh-CN"/>
              </w:rPr>
            </w:pPr>
            <w:r>
              <w:rPr>
                <w:rFonts w:hint="eastAsia" w:ascii="仿宋" w:hAnsi="仿宋" w:eastAsia="仿宋" w:cs="仿宋"/>
                <w:i w:val="0"/>
                <w:iCs w:val="0"/>
                <w:color w:val="auto"/>
                <w:kern w:val="0"/>
                <w:sz w:val="24"/>
                <w:szCs w:val="24"/>
                <w:highlight w:val="none"/>
                <w:u w:val="none"/>
                <w:lang w:val="en-US" w:eastAsia="zh-CN" w:bidi="ar"/>
              </w:rPr>
              <w:t>核磁共振成像系统（MR）1.5T（高配）</w:t>
            </w:r>
          </w:p>
        </w:tc>
        <w:tc>
          <w:tcPr>
            <w:tcW w:w="777"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30E33D36">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sz w:val="24"/>
                <w:highlight w:val="none"/>
              </w:rPr>
            </w:pPr>
            <w:r>
              <w:rPr>
                <w:rFonts w:hint="eastAsia" w:ascii="宋体" w:hAnsi="宋体" w:eastAsia="仿宋" w:cs="Times New Roman"/>
                <w:color w:val="auto"/>
                <w:sz w:val="24"/>
                <w:highlight w:val="none"/>
              </w:rPr>
              <w:t>套</w:t>
            </w:r>
          </w:p>
        </w:tc>
        <w:tc>
          <w:tcPr>
            <w:tcW w:w="84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0FF32957">
            <w:pPr>
              <w:keepNext w:val="0"/>
              <w:keepLines w:val="0"/>
              <w:widowControl/>
              <w:suppressLineNumbers w:val="0"/>
              <w:autoSpaceDN w:val="0"/>
              <w:spacing w:before="0" w:beforeAutospacing="0" w:after="0" w:afterAutospacing="0"/>
              <w:ind w:left="0" w:right="0"/>
              <w:jc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仿宋" w:cs="Times New Roman"/>
                <w:color w:val="auto"/>
                <w:sz w:val="24"/>
                <w:highlight w:val="none"/>
                <w:lang w:val="en-US" w:eastAsia="zh-CN"/>
              </w:rPr>
              <w:t>1</w:t>
            </w:r>
          </w:p>
        </w:tc>
        <w:tc>
          <w:tcPr>
            <w:tcW w:w="120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A490575">
            <w:pPr>
              <w:keepNext w:val="0"/>
              <w:keepLines w:val="0"/>
              <w:widowControl/>
              <w:suppressLineNumbers w:val="0"/>
              <w:autoSpaceDN w:val="0"/>
              <w:spacing w:before="0" w:beforeAutospacing="0" w:after="0" w:afterAutospacing="0"/>
              <w:ind w:left="0" w:right="0"/>
              <w:jc w:val="center"/>
              <w:rPr>
                <w:rFonts w:hint="default" w:ascii="宋体" w:hAnsi="宋体" w:eastAsia="仿宋" w:cs="Times New Roman"/>
                <w:sz w:val="24"/>
                <w:highlight w:val="none"/>
                <w:lang w:val="en-US" w:eastAsia="zh-CN"/>
              </w:rPr>
            </w:pPr>
            <w:r>
              <w:rPr>
                <w:rFonts w:hint="eastAsia" w:ascii="宋体" w:hAnsi="宋体" w:eastAsia="仿宋" w:cs="Times New Roman"/>
                <w:color w:val="auto"/>
                <w:sz w:val="24"/>
                <w:highlight w:val="none"/>
                <w:lang w:val="en-US" w:eastAsia="zh-CN"/>
              </w:rPr>
              <w:t>1000</w:t>
            </w:r>
          </w:p>
        </w:tc>
        <w:tc>
          <w:tcPr>
            <w:tcW w:w="124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27C842B">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sz w:val="24"/>
                <w:highlight w:val="none"/>
              </w:rPr>
            </w:pPr>
            <w:r>
              <w:rPr>
                <w:rFonts w:hint="eastAsia" w:ascii="宋体" w:hAnsi="宋体" w:eastAsia="仿宋" w:cs="Times New Roman"/>
                <w:color w:val="auto"/>
                <w:sz w:val="24"/>
                <w:highlight w:val="none"/>
              </w:rPr>
              <w:t>工业</w:t>
            </w:r>
          </w:p>
        </w:tc>
        <w:tc>
          <w:tcPr>
            <w:tcW w:w="1702"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493661FD">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sz w:val="24"/>
                <w:highlight w:val="none"/>
              </w:rPr>
            </w:pPr>
            <w:r>
              <w:rPr>
                <w:rFonts w:hint="eastAsia" w:ascii="宋体" w:hAnsi="宋体" w:eastAsia="仿宋" w:cs="Times New Roman"/>
                <w:color w:val="auto"/>
                <w:sz w:val="24"/>
                <w:highlight w:val="none"/>
              </w:rPr>
              <w:t>否</w:t>
            </w:r>
          </w:p>
        </w:tc>
        <w:tc>
          <w:tcPr>
            <w:tcW w:w="770"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14:paraId="5E752D9A">
            <w:pPr>
              <w:keepNext w:val="0"/>
              <w:keepLines w:val="0"/>
              <w:widowControl/>
              <w:suppressLineNumbers w:val="0"/>
              <w:autoSpaceDN w:val="0"/>
              <w:spacing w:before="0" w:beforeAutospacing="0" w:after="0" w:afterAutospacing="0"/>
              <w:ind w:left="0" w:right="0"/>
              <w:jc w:val="center"/>
              <w:rPr>
                <w:rFonts w:hint="eastAsia" w:ascii="宋体" w:hAnsi="宋体" w:eastAsia="仿宋" w:cs="Times New Roman"/>
                <w:sz w:val="24"/>
                <w:highlight w:val="none"/>
                <w:lang w:val="en-US" w:eastAsia="zh-CN"/>
              </w:rPr>
            </w:pPr>
          </w:p>
        </w:tc>
      </w:tr>
    </w:tbl>
    <w:p w14:paraId="47A1672F">
      <w:pPr>
        <w:widowControl/>
        <w:tabs>
          <w:tab w:val="left" w:pos="1406"/>
        </w:tabs>
        <w:snapToGrid w:val="0"/>
        <w:spacing w:line="360" w:lineRule="auto"/>
        <w:ind w:firstLine="412" w:firstLineChars="171"/>
        <w:rPr>
          <w:rFonts w:hint="eastAsia" w:ascii="宋体" w:hAnsi="宋体" w:eastAsia="仿宋"/>
          <w:b/>
          <w:sz w:val="24"/>
          <w:highlight w:val="none"/>
        </w:rPr>
      </w:pPr>
      <w:r>
        <w:rPr>
          <w:rFonts w:hint="eastAsia" w:ascii="宋体" w:hAnsi="宋体" w:eastAsia="仿宋"/>
          <w:b/>
          <w:sz w:val="24"/>
          <w:highlight w:val="none"/>
        </w:rPr>
        <w:t>2.2 采购范围</w:t>
      </w:r>
    </w:p>
    <w:p w14:paraId="2C732AAF">
      <w:pPr>
        <w:pStyle w:val="25"/>
        <w:widowControl/>
        <w:snapToGrid w:val="0"/>
        <w:spacing w:line="360" w:lineRule="auto"/>
        <w:ind w:firstLine="480" w:firstLineChars="200"/>
        <w:rPr>
          <w:rFonts w:hint="eastAsia" w:hAnsi="宋体" w:eastAsia="仿宋"/>
          <w:sz w:val="24"/>
          <w:highlight w:val="none"/>
        </w:rPr>
      </w:pPr>
      <w:r>
        <w:rPr>
          <w:rFonts w:hint="eastAsia" w:hAnsi="宋体" w:eastAsia="仿宋"/>
          <w:sz w:val="24"/>
          <w:szCs w:val="24"/>
          <w:highlight w:val="none"/>
        </w:rPr>
        <w:t>包括所有货物的供货、包装运输（包括卸车及就位至采购人指定的安装地点）、安装、调试、技术服务、培训、售后服务等所有内容。</w:t>
      </w:r>
    </w:p>
    <w:p w14:paraId="0291C27E">
      <w:pPr>
        <w:pStyle w:val="3"/>
        <w:spacing w:line="360" w:lineRule="auto"/>
        <w:rPr>
          <w:rFonts w:ascii="宋体" w:hAnsi="宋体" w:eastAsia="仿宋"/>
          <w:sz w:val="24"/>
          <w:highlight w:val="none"/>
        </w:rPr>
      </w:pPr>
      <w:r>
        <w:rPr>
          <w:rFonts w:hint="eastAsia" w:ascii="宋体" w:hAnsi="宋体" w:eastAsia="仿宋"/>
          <w:sz w:val="24"/>
          <w:highlight w:val="none"/>
        </w:rPr>
        <w:t>3</w:t>
      </w:r>
      <w:r>
        <w:rPr>
          <w:rFonts w:ascii="宋体" w:hAnsi="宋体" w:eastAsia="仿宋"/>
          <w:sz w:val="24"/>
          <w:highlight w:val="none"/>
        </w:rPr>
        <w:t>. 商务要求</w:t>
      </w:r>
    </w:p>
    <w:p w14:paraId="6A8444F5">
      <w:pPr>
        <w:spacing w:line="360" w:lineRule="auto"/>
        <w:rPr>
          <w:rFonts w:hint="eastAsia" w:ascii="仿宋" w:hAnsi="仿宋" w:eastAsia="仿宋" w:cs="仿宋"/>
          <w:b/>
          <w:bCs/>
          <w:sz w:val="24"/>
          <w:szCs w:val="32"/>
          <w:highlight w:val="none"/>
        </w:rPr>
      </w:pPr>
      <w:r>
        <w:rPr>
          <w:rFonts w:hint="eastAsia" w:ascii="仿宋" w:hAnsi="仿宋" w:eastAsia="仿宋" w:cs="仿宋"/>
          <w:b/>
          <w:bCs/>
          <w:sz w:val="24"/>
          <w:szCs w:val="32"/>
          <w:highlight w:val="none"/>
        </w:rPr>
        <w:t>除非有特别说明，本条为实质性要求。</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479"/>
      </w:tblGrid>
      <w:tr w14:paraId="5EBC2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5E32B0FC">
            <w:pPr>
              <w:keepNext w:val="0"/>
              <w:keepLines w:val="0"/>
              <w:widowControl/>
              <w:suppressLineNumbers w:val="0"/>
              <w:spacing w:before="0" w:beforeAutospacing="0" w:after="0" w:afterAutospacing="0" w:line="360" w:lineRule="auto"/>
              <w:ind w:left="0" w:right="0"/>
              <w:jc w:val="center"/>
              <w:rPr>
                <w:rFonts w:hint="eastAsia" w:ascii="宋体" w:hAnsi="宋体" w:eastAsia="仿宋" w:cs="Times New Roman"/>
                <w:sz w:val="24"/>
                <w:highlight w:val="none"/>
              </w:rPr>
            </w:pPr>
            <w:r>
              <w:rPr>
                <w:rFonts w:hint="eastAsia" w:ascii="宋体" w:hAnsi="宋体" w:eastAsia="仿宋" w:cs="Times New Roman"/>
                <w:sz w:val="24"/>
                <w:highlight w:val="none"/>
              </w:rPr>
              <w:t>交付（实施）的时间（期限）</w:t>
            </w:r>
          </w:p>
        </w:tc>
        <w:tc>
          <w:tcPr>
            <w:tcW w:w="7479" w:type="dxa"/>
            <w:noWrap w:val="0"/>
            <w:vAlign w:val="top"/>
          </w:tcPr>
          <w:p w14:paraId="53FA9D52">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color w:val="000000"/>
                <w:sz w:val="24"/>
                <w:highlight w:val="none"/>
              </w:rPr>
            </w:pPr>
            <w:r>
              <w:rPr>
                <w:rFonts w:hint="eastAsia" w:ascii="楷体" w:hAnsi="楷体" w:eastAsia="仿宋" w:cs="Calibri"/>
                <w:color w:val="000000"/>
                <w:sz w:val="24"/>
                <w:highlight w:val="none"/>
              </w:rPr>
              <w:t>合同生效后60日历天内完成供货安装调试。</w:t>
            </w:r>
          </w:p>
          <w:p w14:paraId="51D74212">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sz w:val="24"/>
                <w:highlight w:val="none"/>
              </w:rPr>
            </w:pPr>
            <w:r>
              <w:rPr>
                <w:rFonts w:hint="eastAsia" w:ascii="宋体" w:hAnsi="宋体" w:eastAsia="仿宋" w:cs="Calibri"/>
                <w:sz w:val="24"/>
                <w:highlight w:val="none"/>
              </w:rPr>
              <w:t>是否接受负偏离：</w:t>
            </w:r>
            <w:r>
              <w:rPr>
                <w:rFonts w:hint="eastAsia" w:ascii="楷体" w:hAnsi="楷体" w:eastAsia="仿宋" w:cs="Calibri"/>
                <w:sz w:val="24"/>
                <w:highlight w:val="none"/>
              </w:rPr>
              <w:t>☑不接受</w:t>
            </w:r>
          </w:p>
          <w:p w14:paraId="65058A3E">
            <w:pPr>
              <w:pStyle w:val="93"/>
              <w:keepNext w:val="0"/>
              <w:keepLines w:val="0"/>
              <w:suppressLineNumbers w:val="0"/>
              <w:spacing w:before="0" w:beforeAutospacing="0" w:after="0" w:afterAutospacing="0" w:line="360" w:lineRule="auto"/>
              <w:ind w:left="0" w:right="0" w:firstLine="48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203B3DC7">
            <w:pPr>
              <w:pStyle w:val="93"/>
              <w:keepNext w:val="0"/>
              <w:keepLines w:val="0"/>
              <w:suppressLineNumbers w:val="0"/>
              <w:spacing w:before="0" w:beforeAutospacing="0" w:after="0" w:afterAutospacing="0" w:line="360" w:lineRule="auto"/>
              <w:ind w:left="0" w:right="0" w:firstLine="2160" w:firstLineChars="900"/>
              <w:rPr>
                <w:rFonts w:hint="eastAsia" w:ascii="宋体" w:hAnsi="宋体" w:eastAsia="仿宋" w:cs="Times New Roman"/>
                <w:sz w:val="24"/>
                <w:highlight w:val="none"/>
              </w:rPr>
            </w:pPr>
            <w:r>
              <w:rPr>
                <w:rFonts w:hint="eastAsia" w:ascii="楷体" w:hAnsi="楷体" w:eastAsia="仿宋" w:cs="Calibri"/>
                <w:sz w:val="24"/>
                <w:highlight w:val="none"/>
              </w:rPr>
              <w:t>允许偏</w:t>
            </w:r>
            <w:r>
              <w:rPr>
                <w:rFonts w:hint="eastAsia" w:ascii="楷体" w:hAnsi="楷体" w:eastAsia="仿宋" w:cs="Calibri"/>
                <w:color w:val="auto"/>
                <w:sz w:val="24"/>
                <w:highlight w:val="none"/>
              </w:rPr>
              <w:t>离的幅度：</w:t>
            </w:r>
            <w:r>
              <w:rPr>
                <w:rFonts w:hint="eastAsia" w:ascii="宋体" w:hAnsi="宋体" w:eastAsia="仿宋" w:cs="Calibri"/>
                <w:color w:val="auto"/>
                <w:sz w:val="24"/>
                <w:highlight w:val="none"/>
              </w:rPr>
              <w:t>/</w:t>
            </w:r>
          </w:p>
        </w:tc>
      </w:tr>
      <w:tr w14:paraId="19A0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51A3C4D8">
            <w:pPr>
              <w:keepNext w:val="0"/>
              <w:keepLines w:val="0"/>
              <w:widowControl/>
              <w:suppressLineNumbers w:val="0"/>
              <w:spacing w:before="0" w:beforeAutospacing="0" w:after="0" w:afterAutospacing="0" w:line="360" w:lineRule="auto"/>
              <w:ind w:left="0" w:right="0"/>
              <w:jc w:val="center"/>
              <w:rPr>
                <w:rFonts w:hint="eastAsia" w:ascii="宋体" w:hAnsi="宋体" w:eastAsia="仿宋" w:cs="Times New Roman"/>
                <w:sz w:val="24"/>
                <w:highlight w:val="none"/>
              </w:rPr>
            </w:pPr>
            <w:r>
              <w:rPr>
                <w:rFonts w:hint="eastAsia" w:ascii="宋体" w:hAnsi="宋体" w:eastAsia="仿宋" w:cs="Times New Roman"/>
                <w:sz w:val="24"/>
                <w:highlight w:val="none"/>
              </w:rPr>
              <w:t>交付（实施）的地点（范围）</w:t>
            </w:r>
          </w:p>
        </w:tc>
        <w:tc>
          <w:tcPr>
            <w:tcW w:w="7479" w:type="dxa"/>
            <w:noWrap w:val="0"/>
            <w:vAlign w:val="center"/>
          </w:tcPr>
          <w:p w14:paraId="5E71010D">
            <w:pPr>
              <w:pStyle w:val="93"/>
              <w:keepNext w:val="0"/>
              <w:keepLines w:val="0"/>
              <w:suppressLineNumbers w:val="0"/>
              <w:spacing w:before="0" w:beforeAutospacing="0" w:after="0" w:afterAutospacing="0" w:line="360" w:lineRule="auto"/>
              <w:ind w:left="0" w:right="0" w:firstLine="0" w:firstLineChars="0"/>
              <w:jc w:val="left"/>
              <w:rPr>
                <w:rFonts w:hint="default" w:ascii="宋体" w:hAnsi="宋体" w:eastAsia="仿宋" w:cs="Times New Roman"/>
                <w:sz w:val="24"/>
                <w:highlight w:val="none"/>
              </w:rPr>
            </w:pPr>
            <w:r>
              <w:rPr>
                <w:rFonts w:hint="eastAsia" w:ascii="宋体" w:hAnsi="宋体" w:eastAsia="仿宋" w:cs="Times New Roman"/>
                <w:sz w:val="24"/>
                <w:highlight w:val="none"/>
              </w:rPr>
              <w:t>安徽省，采购人或使用单位指定地点</w:t>
            </w:r>
          </w:p>
        </w:tc>
      </w:tr>
      <w:tr w14:paraId="7892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7626EDBC">
            <w:pPr>
              <w:pStyle w:val="93"/>
              <w:keepNext w:val="0"/>
              <w:keepLines w:val="0"/>
              <w:suppressLineNumbers w:val="0"/>
              <w:spacing w:before="0" w:beforeAutospacing="0" w:after="0" w:afterAutospacing="0" w:line="360" w:lineRule="auto"/>
              <w:ind w:left="0" w:right="0" w:firstLine="0" w:firstLineChars="0"/>
              <w:jc w:val="center"/>
              <w:rPr>
                <w:rFonts w:hint="default" w:ascii="宋体" w:hAnsi="宋体" w:eastAsia="仿宋" w:cs="Times New Roman"/>
                <w:sz w:val="24"/>
                <w:highlight w:val="none"/>
              </w:rPr>
            </w:pPr>
            <w:r>
              <w:rPr>
                <w:rFonts w:hint="eastAsia" w:ascii="宋体" w:hAnsi="宋体" w:eastAsia="仿宋" w:cs="Times New Roman"/>
                <w:sz w:val="24"/>
                <w:highlight w:val="none"/>
              </w:rPr>
              <w:t>付款方式</w:t>
            </w:r>
          </w:p>
        </w:tc>
        <w:tc>
          <w:tcPr>
            <w:tcW w:w="7479" w:type="dxa"/>
            <w:noWrap w:val="0"/>
            <w:vAlign w:val="top"/>
          </w:tcPr>
          <w:p w14:paraId="29D53373">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sz w:val="24"/>
                <w:highlight w:val="none"/>
              </w:rPr>
            </w:pPr>
            <w:r>
              <w:rPr>
                <w:rFonts w:hint="eastAsia" w:ascii="宋体" w:hAnsi="宋体" w:eastAsia="仿宋" w:cs="Calibri"/>
                <w:sz w:val="24"/>
                <w:highlight w:val="none"/>
              </w:rPr>
              <w:t>（1）供货合同签订且所投产品货到使用单位指定地点，提交所在市卫健委汇总后报安徽省卫生健康委员会，由安徽省卫生健康委员会统一支付超长期国债资金（以下简称“到货款”）。</w:t>
            </w:r>
          </w:p>
          <w:p w14:paraId="44609BE7">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sz w:val="24"/>
                <w:highlight w:val="none"/>
              </w:rPr>
            </w:pPr>
            <w:r>
              <w:rPr>
                <w:rFonts w:hint="eastAsia" w:ascii="宋体" w:hAnsi="宋体" w:eastAsia="仿宋" w:cs="Calibri"/>
                <w:sz w:val="24"/>
                <w:highlight w:val="none"/>
              </w:rPr>
              <w:t>（2）货物安装、验收合格后，各使用单位在收到发票后向中标人支付对应分合同剩余款项（以下简称“尾款”）。</w:t>
            </w:r>
          </w:p>
          <w:p w14:paraId="6129CDA3">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sz w:val="24"/>
                <w:highlight w:val="none"/>
              </w:rPr>
            </w:pPr>
            <w:r>
              <w:rPr>
                <w:rFonts w:hint="eastAsia" w:ascii="宋体" w:hAnsi="宋体" w:eastAsia="仿宋" w:cs="Calibri"/>
                <w:sz w:val="24"/>
                <w:highlight w:val="none"/>
              </w:rPr>
              <w:t>（3）安徽省卫生健康委员会支付的到货款与各使用单位支付的尾款之和为对应使用单位分合同的合同总额。</w:t>
            </w:r>
          </w:p>
          <w:p w14:paraId="31F750FA">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仿宋" w:cs="Calibri"/>
                <w:sz w:val="24"/>
                <w:highlight w:val="none"/>
              </w:rPr>
            </w:pPr>
            <w:r>
              <w:rPr>
                <w:rFonts w:hint="eastAsia" w:ascii="宋体" w:hAnsi="宋体" w:eastAsia="仿宋" w:cs="Calibri"/>
                <w:sz w:val="24"/>
                <w:highlight w:val="none"/>
              </w:rPr>
              <w:t>（4）如果招标公告附件中列明的某使用单位“超长期国债资金付款金额”不小于分合同合同总额的90%，则安徽省卫生健康委员会支付的到货款为分合同合同总额的90%，使用单位支付的尾款为其分合同合同总额的10%。（5）如果招标公告附件中列明的某使用单位“超长期国债资金付款金额”小于分合同合同总额的90%，则安徽省卫生健康委员会支付的到货款为招标公告附件中列明的“超长期国债资金付款金额”，使用单位支付的尾款为其分合同合同总额扣除招标公告附件中列明的“超长期国债资金付款金额”的剩余金额。</w:t>
            </w:r>
          </w:p>
          <w:p w14:paraId="3C6B3EEC">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sz w:val="24"/>
                <w:highlight w:val="none"/>
              </w:rPr>
            </w:pPr>
            <w:r>
              <w:rPr>
                <w:rFonts w:hint="eastAsia" w:ascii="宋体" w:hAnsi="宋体" w:eastAsia="仿宋" w:cs="Calibri"/>
                <w:sz w:val="24"/>
                <w:highlight w:val="none"/>
              </w:rPr>
              <w:t>是否接受负偏离：</w:t>
            </w:r>
            <w:r>
              <w:rPr>
                <w:rFonts w:hint="eastAsia" w:ascii="楷体" w:hAnsi="楷体" w:eastAsia="仿宋" w:cs="Calibri"/>
                <w:sz w:val="24"/>
                <w:highlight w:val="none"/>
              </w:rPr>
              <w:t>☑不接受</w:t>
            </w:r>
          </w:p>
          <w:p w14:paraId="2884D90F">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74FE0D98">
            <w:pPr>
              <w:keepNext w:val="0"/>
              <w:keepLines w:val="0"/>
              <w:widowControl/>
              <w:suppressLineNumbers w:val="0"/>
              <w:adjustRightInd w:val="0"/>
              <w:snapToGrid w:val="0"/>
              <w:spacing w:before="0" w:beforeAutospacing="0" w:after="0" w:afterAutospacing="0" w:line="360" w:lineRule="auto"/>
              <w:ind w:left="0" w:right="0" w:firstLine="1920" w:firstLineChars="800"/>
              <w:rPr>
                <w:rFonts w:hint="default" w:ascii="宋体" w:hAnsi="宋体" w:eastAsia="仿宋" w:cs="Times New Roman"/>
                <w:sz w:val="24"/>
                <w:highlight w:val="none"/>
              </w:rPr>
            </w:pPr>
            <w:r>
              <w:rPr>
                <w:rFonts w:hint="eastAsia" w:ascii="楷体" w:hAnsi="楷体" w:eastAsia="仿宋" w:cs="Calibri"/>
                <w:sz w:val="24"/>
                <w:highlight w:val="none"/>
              </w:rPr>
              <w:t>允许偏离的幅度：</w:t>
            </w:r>
            <w:r>
              <w:rPr>
                <w:rFonts w:hint="eastAsia" w:ascii="仿宋" w:hAnsi="仿宋" w:eastAsia="仿宋" w:cs="仿宋"/>
                <w:iCs/>
                <w:color w:val="0000FF"/>
                <w:sz w:val="24"/>
                <w:highlight w:val="none"/>
              </w:rPr>
              <w:t>/</w:t>
            </w:r>
          </w:p>
        </w:tc>
      </w:tr>
      <w:tr w14:paraId="64EF8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223EB3F8">
            <w:pPr>
              <w:pStyle w:val="93"/>
              <w:keepNext w:val="0"/>
              <w:keepLines w:val="0"/>
              <w:suppressLineNumbers w:val="0"/>
              <w:spacing w:before="0" w:beforeAutospacing="0" w:after="0" w:afterAutospacing="0" w:line="360" w:lineRule="auto"/>
              <w:ind w:left="0" w:right="0" w:firstLine="0" w:firstLineChars="0"/>
              <w:jc w:val="center"/>
              <w:rPr>
                <w:rFonts w:hint="default" w:ascii="宋体" w:hAnsi="宋体" w:eastAsia="仿宋" w:cs="Times New Roman"/>
                <w:sz w:val="24"/>
                <w:highlight w:val="none"/>
              </w:rPr>
            </w:pPr>
            <w:r>
              <w:rPr>
                <w:rFonts w:hint="eastAsia" w:ascii="宋体" w:hAnsi="宋体" w:eastAsia="仿宋" w:cs="Calibri"/>
                <w:sz w:val="24"/>
                <w:highlight w:val="none"/>
              </w:rPr>
              <w:t>质量保证期</w:t>
            </w:r>
          </w:p>
        </w:tc>
        <w:tc>
          <w:tcPr>
            <w:tcW w:w="7479" w:type="dxa"/>
            <w:noWrap w:val="0"/>
            <w:vAlign w:val="top"/>
          </w:tcPr>
          <w:p w14:paraId="1D17D5DC">
            <w:pPr>
              <w:keepNext w:val="0"/>
              <w:keepLines w:val="0"/>
              <w:widowControl/>
              <w:suppressLineNumbers w:val="0"/>
              <w:adjustRightInd w:val="0"/>
              <w:snapToGrid w:val="0"/>
              <w:spacing w:before="0" w:beforeAutospacing="0" w:after="0" w:afterAutospacing="0" w:line="360" w:lineRule="auto"/>
              <w:ind w:left="0" w:right="0"/>
              <w:rPr>
                <w:rFonts w:hint="default" w:ascii="宋体" w:hAnsi="宋体" w:eastAsia="仿宋" w:cs="Calibri"/>
                <w:sz w:val="24"/>
                <w:highlight w:val="none"/>
              </w:rPr>
            </w:pPr>
            <w:r>
              <w:rPr>
                <w:rFonts w:hint="eastAsia" w:ascii="宋体" w:hAnsi="宋体" w:eastAsia="仿宋" w:cs="Calibri"/>
                <w:sz w:val="24"/>
                <w:highlight w:val="none"/>
              </w:rPr>
              <w:t>质量保证期：</w:t>
            </w:r>
            <w:r>
              <w:rPr>
                <w:rFonts w:hint="eastAsia" w:ascii="宋体" w:hAnsi="宋体" w:eastAsia="仿宋" w:cs="Calibri"/>
                <w:sz w:val="24"/>
                <w:highlight w:val="none"/>
                <w:lang w:val="en-US" w:eastAsia="zh-CN"/>
              </w:rPr>
              <w:t>整机（含易损件等）</w:t>
            </w:r>
            <w:r>
              <w:rPr>
                <w:rFonts w:hint="eastAsia" w:ascii="宋体" w:hAnsi="宋体" w:eastAsia="仿宋" w:cs="Calibri"/>
                <w:sz w:val="24"/>
                <w:highlight w:val="none"/>
              </w:rPr>
              <w:t>自验收合格之日起</w:t>
            </w:r>
            <w:r>
              <w:rPr>
                <w:rFonts w:hint="eastAsia" w:ascii="仿宋" w:hAnsi="仿宋" w:eastAsia="仿宋" w:cs="仿宋"/>
                <w:iCs/>
                <w:sz w:val="24"/>
                <w:highlight w:val="none"/>
                <w:lang w:val="en-US" w:eastAsia="zh-CN"/>
              </w:rPr>
              <w:t>3</w:t>
            </w:r>
            <w:r>
              <w:rPr>
                <w:rFonts w:hint="eastAsia" w:ascii="仿宋" w:hAnsi="仿宋" w:eastAsia="仿宋" w:cs="仿宋"/>
                <w:iCs/>
                <w:sz w:val="24"/>
                <w:highlight w:val="none"/>
              </w:rPr>
              <w:t>年</w:t>
            </w:r>
            <w:r>
              <w:rPr>
                <w:rFonts w:hint="eastAsia" w:ascii="仿宋" w:hAnsi="仿宋" w:eastAsia="仿宋" w:cs="仿宋"/>
                <w:iCs/>
                <w:sz w:val="24"/>
                <w:highlight w:val="none"/>
                <w:lang w:eastAsia="zh-CN"/>
              </w:rPr>
              <w:t>，</w:t>
            </w:r>
            <w:r>
              <w:rPr>
                <w:rFonts w:hint="eastAsia" w:ascii="仿宋" w:hAnsi="仿宋" w:eastAsia="仿宋" w:cs="仿宋"/>
                <w:iCs/>
                <w:sz w:val="24"/>
                <w:highlight w:val="none"/>
                <w:lang w:val="en-US" w:eastAsia="zh-CN"/>
              </w:rPr>
              <w:t>更换后的零部件质保期为3年（从更换之日起计算）</w:t>
            </w:r>
            <w:r>
              <w:rPr>
                <w:rFonts w:hint="eastAsia" w:ascii="宋体" w:hAnsi="宋体" w:eastAsia="仿宋" w:cs="Calibri"/>
                <w:b/>
                <w:bCs/>
                <w:sz w:val="24"/>
                <w:highlight w:val="none"/>
              </w:rPr>
              <w:t>。（如本招标文件第三章采购需求部分关于质量保证期的要求与本处不一致，则以采购需求部分规定为准。）</w:t>
            </w:r>
          </w:p>
          <w:p w14:paraId="2A153CD0">
            <w:pPr>
              <w:keepNext w:val="0"/>
              <w:keepLines w:val="0"/>
              <w:widowControl/>
              <w:suppressLineNumbers w:val="0"/>
              <w:adjustRightInd w:val="0"/>
              <w:snapToGrid w:val="0"/>
              <w:spacing w:before="0" w:beforeAutospacing="0" w:after="0" w:afterAutospacing="0" w:line="360" w:lineRule="auto"/>
              <w:ind w:left="0" w:right="0"/>
              <w:rPr>
                <w:rFonts w:hint="eastAsia" w:ascii="楷体" w:hAnsi="楷体" w:eastAsia="仿宋" w:cs="Calibri"/>
                <w:sz w:val="24"/>
                <w:highlight w:val="none"/>
              </w:rPr>
            </w:pPr>
            <w:r>
              <w:rPr>
                <w:rFonts w:hint="eastAsia" w:ascii="宋体" w:hAnsi="宋体" w:eastAsia="仿宋" w:cs="Calibri"/>
                <w:sz w:val="24"/>
                <w:highlight w:val="none"/>
              </w:rPr>
              <w:t>是否接受负偏离：</w:t>
            </w:r>
            <w:r>
              <w:rPr>
                <w:rFonts w:hint="eastAsia" w:ascii="楷体" w:hAnsi="楷体" w:eastAsia="仿宋" w:cs="Calibri"/>
                <w:sz w:val="24"/>
                <w:highlight w:val="none"/>
              </w:rPr>
              <w:t>☑不接受</w:t>
            </w:r>
          </w:p>
          <w:p w14:paraId="64220BD4">
            <w:pPr>
              <w:pStyle w:val="93"/>
              <w:keepNext w:val="0"/>
              <w:keepLines w:val="0"/>
              <w:suppressLineNumbers w:val="0"/>
              <w:spacing w:before="0" w:beforeAutospacing="0" w:after="0" w:afterAutospacing="0" w:line="360" w:lineRule="auto"/>
              <w:ind w:left="0" w:right="0" w:firstLine="480"/>
              <w:rPr>
                <w:rFonts w:hint="eastAsia" w:ascii="楷体" w:hAnsi="楷体" w:eastAsia="仿宋" w:cs="Calibri"/>
                <w:sz w:val="24"/>
                <w:highlight w:val="none"/>
              </w:rPr>
            </w:pPr>
            <w:r>
              <w:rPr>
                <w:rFonts w:hint="eastAsia" w:ascii="楷体" w:hAnsi="楷体" w:eastAsia="仿宋" w:cs="Calibri"/>
                <w:sz w:val="24"/>
                <w:highlight w:val="none"/>
              </w:rPr>
              <w:t xml:space="preserve">            □接受：</w:t>
            </w:r>
          </w:p>
          <w:p w14:paraId="573A2C2F">
            <w:pPr>
              <w:pStyle w:val="93"/>
              <w:keepNext w:val="0"/>
              <w:keepLines w:val="0"/>
              <w:suppressLineNumbers w:val="0"/>
              <w:spacing w:before="0" w:beforeAutospacing="0" w:after="0" w:afterAutospacing="0" w:line="360" w:lineRule="auto"/>
              <w:ind w:left="0" w:right="0" w:firstLine="1920" w:firstLineChars="800"/>
              <w:rPr>
                <w:rFonts w:hint="default" w:ascii="宋体" w:hAnsi="宋体" w:eastAsia="仿宋" w:cs="Times New Roman"/>
                <w:sz w:val="24"/>
                <w:highlight w:val="none"/>
              </w:rPr>
            </w:pPr>
            <w:r>
              <w:rPr>
                <w:rFonts w:hint="eastAsia" w:ascii="楷体" w:hAnsi="楷体" w:eastAsia="仿宋" w:cs="Calibri"/>
                <w:sz w:val="24"/>
                <w:highlight w:val="none"/>
              </w:rPr>
              <w:t>允许偏离的幅度：</w:t>
            </w:r>
            <w:r>
              <w:rPr>
                <w:rFonts w:hint="eastAsia" w:ascii="仿宋" w:hAnsi="仿宋" w:eastAsia="仿宋" w:cs="仿宋"/>
                <w:iCs/>
                <w:color w:val="0000FF"/>
                <w:sz w:val="24"/>
                <w:highlight w:val="none"/>
              </w:rPr>
              <w:t>/</w:t>
            </w:r>
          </w:p>
        </w:tc>
      </w:tr>
    </w:tbl>
    <w:p w14:paraId="0A536BD6">
      <w:pPr>
        <w:pStyle w:val="93"/>
        <w:spacing w:line="360" w:lineRule="auto"/>
        <w:ind w:firstLine="480"/>
        <w:rPr>
          <w:rFonts w:ascii="宋体" w:hAnsi="宋体" w:eastAsia="仿宋"/>
          <w:color w:val="FF0000"/>
          <w:sz w:val="24"/>
          <w:highlight w:val="none"/>
        </w:rPr>
      </w:pPr>
    </w:p>
    <w:bookmarkEnd w:id="770"/>
    <w:p w14:paraId="60AB37FA">
      <w:pPr>
        <w:pStyle w:val="25"/>
        <w:widowControl/>
        <w:snapToGrid w:val="0"/>
        <w:spacing w:line="360" w:lineRule="auto"/>
        <w:outlineLvl w:val="1"/>
        <w:rPr>
          <w:rStyle w:val="107"/>
          <w:rFonts w:hint="eastAsia" w:ascii="宋体" w:hAnsi="宋体" w:eastAsia="仿宋"/>
          <w:sz w:val="24"/>
          <w:szCs w:val="24"/>
          <w:highlight w:val="none"/>
        </w:rPr>
      </w:pPr>
      <w:r>
        <w:rPr>
          <w:rFonts w:hint="eastAsia" w:hAnsi="宋体" w:eastAsia="仿宋"/>
          <w:sz w:val="24"/>
          <w:szCs w:val="24"/>
          <w:highlight w:val="none"/>
        </w:rPr>
        <w:br w:type="page"/>
      </w:r>
      <w:bookmarkStart w:id="774" w:name="_Toc466024558"/>
      <w:bookmarkStart w:id="775" w:name="_Toc455587091"/>
      <w:bookmarkStart w:id="776" w:name="_Toc455587275"/>
      <w:bookmarkStart w:id="777" w:name="_Toc445554749"/>
      <w:r>
        <w:rPr>
          <w:rStyle w:val="107"/>
          <w:rFonts w:hint="eastAsia" w:ascii="宋体" w:hAnsi="宋体" w:eastAsia="仿宋"/>
          <w:sz w:val="24"/>
          <w:szCs w:val="24"/>
          <w:highlight w:val="none"/>
        </w:rPr>
        <w:t>4. 技术要求</w:t>
      </w:r>
      <w:bookmarkEnd w:id="774"/>
      <w:bookmarkEnd w:id="775"/>
      <w:bookmarkEnd w:id="776"/>
      <w:bookmarkEnd w:id="777"/>
    </w:p>
    <w:p w14:paraId="1BD8F151">
      <w:pPr>
        <w:pStyle w:val="25"/>
        <w:widowControl/>
        <w:snapToGrid w:val="0"/>
        <w:spacing w:line="360" w:lineRule="auto"/>
        <w:ind w:firstLine="482" w:firstLineChars="200"/>
        <w:outlineLvl w:val="2"/>
        <w:rPr>
          <w:rFonts w:hint="eastAsia" w:hAnsi="宋体" w:eastAsia="仿宋"/>
          <w:b/>
          <w:bCs/>
          <w:sz w:val="24"/>
          <w:szCs w:val="24"/>
          <w:highlight w:val="none"/>
        </w:rPr>
      </w:pPr>
      <w:r>
        <w:rPr>
          <w:rFonts w:hint="eastAsia" w:hAnsi="宋体" w:eastAsia="仿宋"/>
          <w:b/>
          <w:bCs/>
          <w:sz w:val="24"/>
          <w:szCs w:val="24"/>
          <w:highlight w:val="none"/>
        </w:rPr>
        <w:t>4.1标识符号</w:t>
      </w:r>
    </w:p>
    <w:tbl>
      <w:tblPr>
        <w:tblStyle w:val="48"/>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5"/>
        <w:gridCol w:w="1401"/>
        <w:gridCol w:w="6188"/>
      </w:tblGrid>
      <w:tr w14:paraId="0FCB3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6" w:type="pct"/>
            <w:noWrap w:val="0"/>
            <w:vAlign w:val="center"/>
          </w:tcPr>
          <w:p w14:paraId="625A704F">
            <w:pPr>
              <w:keepNext w:val="0"/>
              <w:keepLines w:val="0"/>
              <w:suppressLineNumbers w:val="0"/>
              <w:spacing w:before="0" w:beforeAutospacing="0" w:after="0" w:afterAutospacing="0"/>
              <w:ind w:left="0" w:right="0"/>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标识类型</w:t>
            </w:r>
          </w:p>
        </w:tc>
        <w:tc>
          <w:tcPr>
            <w:tcW w:w="719" w:type="pct"/>
            <w:noWrap w:val="0"/>
            <w:vAlign w:val="center"/>
          </w:tcPr>
          <w:p w14:paraId="7DD46DC6">
            <w:pPr>
              <w:keepNext w:val="0"/>
              <w:keepLines w:val="0"/>
              <w:suppressLineNumbers w:val="0"/>
              <w:spacing w:before="0" w:beforeAutospacing="0" w:after="0" w:afterAutospacing="0"/>
              <w:ind w:left="0" w:right="0"/>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标识符号</w:t>
            </w:r>
          </w:p>
        </w:tc>
        <w:tc>
          <w:tcPr>
            <w:tcW w:w="3173" w:type="pct"/>
            <w:noWrap w:val="0"/>
            <w:vAlign w:val="center"/>
          </w:tcPr>
          <w:p w14:paraId="1364663D">
            <w:pPr>
              <w:keepNext w:val="0"/>
              <w:keepLines w:val="0"/>
              <w:suppressLineNumbers w:val="0"/>
              <w:spacing w:before="0" w:beforeAutospacing="0" w:after="0" w:afterAutospacing="0"/>
              <w:ind w:left="0" w:right="0"/>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标识符号含义</w:t>
            </w:r>
          </w:p>
        </w:tc>
      </w:tr>
      <w:tr w14:paraId="2BE2F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06" w:type="pct"/>
            <w:noWrap w:val="0"/>
            <w:vAlign w:val="center"/>
          </w:tcPr>
          <w:p w14:paraId="4A2E834C">
            <w:pPr>
              <w:keepNext w:val="0"/>
              <w:keepLines w:val="0"/>
              <w:suppressLineNumbers w:val="0"/>
              <w:spacing w:before="0" w:beforeAutospacing="0" w:after="0" w:afterAutospacing="0"/>
              <w:ind w:left="0" w:right="0"/>
              <w:jc w:val="center"/>
              <w:rPr>
                <w:rFonts w:hint="default" w:ascii="仿宋" w:hAnsi="仿宋" w:eastAsia="仿宋" w:cs="仿宋"/>
                <w:color w:val="000000"/>
                <w:sz w:val="24"/>
                <w:highlight w:val="none"/>
              </w:rPr>
            </w:pPr>
            <w:r>
              <w:rPr>
                <w:rFonts w:hint="eastAsia" w:ascii="仿宋" w:hAnsi="仿宋" w:eastAsia="仿宋" w:cs="仿宋"/>
                <w:color w:val="000000"/>
                <w:sz w:val="24"/>
                <w:highlight w:val="none"/>
              </w:rPr>
              <w:t>核心产品</w:t>
            </w:r>
          </w:p>
        </w:tc>
        <w:tc>
          <w:tcPr>
            <w:tcW w:w="719" w:type="pct"/>
            <w:noWrap w:val="0"/>
            <w:vAlign w:val="center"/>
          </w:tcPr>
          <w:p w14:paraId="015AAD2D">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3173" w:type="pct"/>
            <w:noWrap w:val="0"/>
            <w:vAlign w:val="center"/>
          </w:tcPr>
          <w:p w14:paraId="73699BD4">
            <w:pPr>
              <w:keepNext w:val="0"/>
              <w:keepLines w:val="0"/>
              <w:suppressLineNumbers w:val="0"/>
              <w:spacing w:before="0" w:beforeAutospacing="0" w:after="0" w:afterAutospacing="0"/>
              <w:ind w:left="0" w:right="0"/>
              <w:jc w:val="center"/>
              <w:rPr>
                <w:rFonts w:hint="default" w:ascii="仿宋" w:hAnsi="仿宋" w:eastAsia="仿宋" w:cs="仿宋"/>
                <w:b/>
                <w:bCs/>
                <w:color w:val="000000"/>
                <w:sz w:val="24"/>
                <w:highlight w:val="none"/>
              </w:rPr>
            </w:pPr>
            <w:r>
              <w:rPr>
                <w:rFonts w:hint="eastAsia" w:ascii="仿宋" w:hAnsi="仿宋" w:eastAsia="仿宋" w:cs="仿宋"/>
                <w:b/>
                <w:bCs/>
                <w:color w:val="000000"/>
                <w:sz w:val="24"/>
                <w:highlight w:val="none"/>
              </w:rPr>
              <w:t>标的属于核心产品</w:t>
            </w:r>
          </w:p>
        </w:tc>
      </w:tr>
      <w:tr w14:paraId="237D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55" w:type="dxa"/>
            <w:noWrap w:val="0"/>
            <w:vAlign w:val="center"/>
          </w:tcPr>
          <w:p w14:paraId="342B5C94">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实质性参数</w:t>
            </w:r>
          </w:p>
        </w:tc>
        <w:tc>
          <w:tcPr>
            <w:tcW w:w="719" w:type="pct"/>
            <w:noWrap w:val="0"/>
            <w:vAlign w:val="center"/>
          </w:tcPr>
          <w:p w14:paraId="79AA1D9B">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3173" w:type="pct"/>
            <w:noWrap w:val="0"/>
            <w:vAlign w:val="center"/>
          </w:tcPr>
          <w:p w14:paraId="50D21CAE">
            <w:pPr>
              <w:keepNext w:val="0"/>
              <w:keepLines w:val="0"/>
              <w:suppressLineNumbers w:val="0"/>
              <w:spacing w:before="0" w:beforeAutospacing="0" w:after="0" w:afterAutospacing="0"/>
              <w:ind w:left="0" w:right="0"/>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负偏离或未响应视为实质性不响应招标文件要求</w:t>
            </w:r>
          </w:p>
        </w:tc>
      </w:tr>
      <w:tr w14:paraId="0916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55" w:type="dxa"/>
            <w:noWrap w:val="0"/>
            <w:vAlign w:val="center"/>
          </w:tcPr>
          <w:p w14:paraId="23E47292">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核心参数</w:t>
            </w:r>
          </w:p>
        </w:tc>
        <w:tc>
          <w:tcPr>
            <w:tcW w:w="719" w:type="pct"/>
            <w:noWrap w:val="0"/>
            <w:vAlign w:val="center"/>
          </w:tcPr>
          <w:p w14:paraId="4DCF9992">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3173" w:type="pct"/>
            <w:noWrap w:val="0"/>
            <w:vAlign w:val="center"/>
          </w:tcPr>
          <w:p w14:paraId="30858FC2">
            <w:pPr>
              <w:keepNext w:val="0"/>
              <w:keepLines w:val="0"/>
              <w:suppressLineNumbers w:val="0"/>
              <w:spacing w:before="0" w:beforeAutospacing="0" w:after="0" w:afterAutospacing="0"/>
              <w:ind w:left="0" w:right="0"/>
              <w:jc w:val="center"/>
              <w:rPr>
                <w:rFonts w:hint="eastAsia" w:ascii="仿宋" w:hAnsi="仿宋" w:eastAsia="仿宋" w:cs="仿宋"/>
                <w:b/>
                <w:bCs/>
                <w:color w:val="000000"/>
                <w:sz w:val="24"/>
                <w:highlight w:val="none"/>
              </w:rPr>
            </w:pPr>
            <w:r>
              <w:rPr>
                <w:rFonts w:hint="eastAsia" w:ascii="仿宋" w:hAnsi="仿宋" w:eastAsia="仿宋" w:cs="仿宋"/>
                <w:color w:val="000000"/>
                <w:sz w:val="24"/>
                <w:highlight w:val="none"/>
              </w:rPr>
              <w:t>评分项</w:t>
            </w:r>
          </w:p>
        </w:tc>
      </w:tr>
      <w:tr w14:paraId="694F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155" w:type="dxa"/>
            <w:noWrap w:val="0"/>
            <w:vAlign w:val="center"/>
          </w:tcPr>
          <w:p w14:paraId="12ABF30B">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重要参数</w:t>
            </w:r>
          </w:p>
        </w:tc>
        <w:tc>
          <w:tcPr>
            <w:tcW w:w="719" w:type="pct"/>
            <w:noWrap w:val="0"/>
            <w:vAlign w:val="center"/>
          </w:tcPr>
          <w:p w14:paraId="6C6B4493">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3173" w:type="pct"/>
            <w:noWrap w:val="0"/>
            <w:vAlign w:val="center"/>
          </w:tcPr>
          <w:p w14:paraId="7B908F82">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评分项</w:t>
            </w:r>
          </w:p>
        </w:tc>
      </w:tr>
      <w:tr w14:paraId="0315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2155" w:type="dxa"/>
            <w:vMerge w:val="restart"/>
            <w:noWrap w:val="0"/>
            <w:vAlign w:val="center"/>
          </w:tcPr>
          <w:p w14:paraId="76E815C2">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一般参数</w:t>
            </w:r>
          </w:p>
        </w:tc>
        <w:tc>
          <w:tcPr>
            <w:tcW w:w="719" w:type="pct"/>
            <w:vMerge w:val="restart"/>
            <w:noWrap w:val="0"/>
            <w:vAlign w:val="center"/>
          </w:tcPr>
          <w:p w14:paraId="19494097">
            <w:pPr>
              <w:keepNext w:val="0"/>
              <w:keepLines w:val="0"/>
              <w:suppressLineNumbers w:val="0"/>
              <w:spacing w:before="0" w:beforeAutospacing="0" w:after="0" w:afterAutospacing="0"/>
              <w:ind w:left="0" w:right="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无标识</w:t>
            </w:r>
          </w:p>
        </w:tc>
        <w:tc>
          <w:tcPr>
            <w:tcW w:w="3173" w:type="pct"/>
            <w:noWrap w:val="0"/>
            <w:vAlign w:val="center"/>
          </w:tcPr>
          <w:p w14:paraId="44E4E6A8">
            <w:pPr>
              <w:keepNext w:val="0"/>
              <w:keepLines w:val="0"/>
              <w:suppressLineNumbers w:val="0"/>
              <w:spacing w:before="0" w:beforeAutospacing="0" w:after="0" w:afterAutospacing="0"/>
              <w:ind w:left="0" w:right="0"/>
              <w:jc w:val="left"/>
              <w:rPr>
                <w:rFonts w:hint="eastAsia" w:ascii="Times New Roman" w:hAnsi="Times New Roman" w:cs="Times New Roman"/>
                <w:color w:val="000000"/>
                <w:highlight w:val="none"/>
              </w:rPr>
            </w:pPr>
            <w:r>
              <w:rPr>
                <w:rFonts w:hint="default" w:ascii="Times New Roman" w:hAnsi="Times New Roman" w:cs="Times New Roman"/>
                <w:color w:val="000000"/>
                <w:highlight w:val="none"/>
              </w:rPr>
              <w:sym w:font="Wingdings 2" w:char="0052"/>
            </w:r>
            <w:r>
              <w:rPr>
                <w:rFonts w:hint="eastAsia" w:ascii="仿宋" w:hAnsi="仿宋" w:eastAsia="仿宋" w:cs="仿宋"/>
                <w:color w:val="000000"/>
                <w:sz w:val="24"/>
                <w:highlight w:val="none"/>
              </w:rPr>
              <w:t>评分项</w:t>
            </w:r>
          </w:p>
        </w:tc>
      </w:tr>
      <w:tr w14:paraId="0FF4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06" w:type="pct"/>
            <w:vMerge w:val="continue"/>
            <w:noWrap w:val="0"/>
            <w:vAlign w:val="center"/>
          </w:tcPr>
          <w:p w14:paraId="053BDF87">
            <w:pPr>
              <w:keepNext w:val="0"/>
              <w:keepLines w:val="0"/>
              <w:suppressLineNumbers w:val="0"/>
              <w:spacing w:before="0" w:beforeAutospacing="0" w:after="0" w:afterAutospacing="0"/>
              <w:ind w:left="0" w:right="0"/>
              <w:jc w:val="left"/>
              <w:rPr>
                <w:rFonts w:hint="default" w:ascii="Calibri" w:hAnsi="Calibri" w:cs="Times New Roman"/>
                <w:color w:val="000000"/>
                <w:highlight w:val="none"/>
              </w:rPr>
            </w:pPr>
          </w:p>
        </w:tc>
        <w:tc>
          <w:tcPr>
            <w:tcW w:w="719" w:type="pct"/>
            <w:vMerge w:val="continue"/>
            <w:noWrap w:val="0"/>
            <w:vAlign w:val="center"/>
          </w:tcPr>
          <w:p w14:paraId="42237F7B">
            <w:pPr>
              <w:keepNext w:val="0"/>
              <w:keepLines w:val="0"/>
              <w:suppressLineNumbers w:val="0"/>
              <w:spacing w:before="0" w:beforeAutospacing="0" w:after="0" w:afterAutospacing="0"/>
              <w:ind w:left="0" w:right="0"/>
              <w:jc w:val="left"/>
              <w:rPr>
                <w:rFonts w:hint="default" w:ascii="Calibri" w:hAnsi="Calibri" w:cs="Times New Roman"/>
                <w:color w:val="000000"/>
                <w:highlight w:val="none"/>
              </w:rPr>
            </w:pPr>
          </w:p>
        </w:tc>
        <w:tc>
          <w:tcPr>
            <w:tcW w:w="3173" w:type="pct"/>
            <w:noWrap w:val="0"/>
            <w:vAlign w:val="center"/>
          </w:tcPr>
          <w:p w14:paraId="703C9AB9">
            <w:pPr>
              <w:keepNext w:val="0"/>
              <w:keepLines w:val="0"/>
              <w:suppressLineNumbers w:val="0"/>
              <w:spacing w:before="0" w:beforeAutospacing="0" w:after="0" w:afterAutospacing="0"/>
              <w:ind w:left="0" w:right="0"/>
              <w:jc w:val="left"/>
              <w:rPr>
                <w:rFonts w:hint="default" w:ascii="Times New Roman" w:hAnsi="Times New Roman" w:eastAsia="仿宋" w:cs="Times New Roman"/>
                <w:color w:val="000000"/>
                <w:highlight w:val="none"/>
              </w:rPr>
            </w:pPr>
            <w:r>
              <w:rPr>
                <w:rFonts w:hint="default" w:ascii="Times New Roman" w:hAnsi="Times New Roman" w:cs="Times New Roman"/>
                <w:color w:val="000000"/>
                <w:highlight w:val="none"/>
              </w:rPr>
              <w:sym w:font="Wingdings 2" w:char="00A3"/>
            </w:r>
            <w:r>
              <w:rPr>
                <w:rFonts w:hint="eastAsia" w:ascii="宋体" w:hAnsi="宋体" w:eastAsia="仿宋" w:cs="Calibri"/>
                <w:color w:val="000000"/>
                <w:sz w:val="24"/>
                <w:highlight w:val="none"/>
              </w:rPr>
              <w:t>...</w:t>
            </w:r>
          </w:p>
        </w:tc>
      </w:tr>
      <w:tr w14:paraId="021C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7638D857">
            <w:pPr>
              <w:keepNext w:val="0"/>
              <w:keepLines w:val="0"/>
              <w:suppressLineNumbers w:val="0"/>
              <w:spacing w:before="0" w:beforeAutospacing="0" w:after="0" w:afterAutospacing="0" w:line="360" w:lineRule="auto"/>
              <w:ind w:left="0" w:right="0"/>
              <w:jc w:val="left"/>
              <w:rPr>
                <w:rFonts w:hint="eastAsia" w:ascii="仿宋" w:hAnsi="仿宋" w:eastAsia="仿宋" w:cs="仿宋"/>
                <w:b/>
                <w:sz w:val="24"/>
                <w:szCs w:val="18"/>
                <w:highlight w:val="none"/>
              </w:rPr>
            </w:pPr>
            <w:r>
              <w:rPr>
                <w:rFonts w:hint="eastAsia" w:ascii="仿宋" w:hAnsi="仿宋" w:eastAsia="仿宋" w:cs="仿宋"/>
                <w:b/>
                <w:sz w:val="24"/>
                <w:szCs w:val="18"/>
                <w:highlight w:val="none"/>
              </w:rPr>
              <w:t>注：</w:t>
            </w:r>
          </w:p>
          <w:p w14:paraId="65B33BEB">
            <w:pPr>
              <w:keepNext w:val="0"/>
              <w:keepLines w:val="0"/>
              <w:numPr>
                <w:ilvl w:val="0"/>
                <w:numId w:val="2"/>
              </w:numPr>
              <w:suppressLineNumbers w:val="0"/>
              <w:spacing w:before="0" w:beforeAutospacing="0" w:after="0" w:afterAutospacing="0" w:line="360" w:lineRule="auto"/>
              <w:ind w:left="0" w:right="0"/>
              <w:jc w:val="left"/>
              <w:rPr>
                <w:rFonts w:hint="eastAsia" w:ascii="仿宋" w:hAnsi="仿宋" w:eastAsia="仿宋" w:cs="仿宋"/>
                <w:b/>
                <w:sz w:val="24"/>
                <w:szCs w:val="18"/>
                <w:highlight w:val="none"/>
              </w:rPr>
            </w:pPr>
            <w:r>
              <w:rPr>
                <w:rFonts w:hint="eastAsia" w:ascii="仿宋" w:hAnsi="仿宋" w:eastAsia="仿宋" w:cs="仿宋"/>
                <w:b/>
                <w:sz w:val="24"/>
                <w:szCs w:val="18"/>
                <w:highlight w:val="none"/>
              </w:rPr>
              <w:t>对于标注“★”、“</w:t>
            </w:r>
            <w:r>
              <w:rPr>
                <w:rFonts w:hint="eastAsia" w:ascii="仿宋" w:hAnsi="仿宋" w:eastAsia="仿宋" w:cs="仿宋"/>
                <w:color w:val="000000"/>
                <w:sz w:val="24"/>
                <w:highlight w:val="none"/>
              </w:rPr>
              <w:t>█”、“●”</w:t>
            </w:r>
            <w:r>
              <w:rPr>
                <w:rFonts w:hint="eastAsia" w:ascii="仿宋" w:hAnsi="仿宋" w:eastAsia="仿宋" w:cs="仿宋"/>
                <w:b/>
                <w:sz w:val="24"/>
                <w:szCs w:val="18"/>
                <w:highlight w:val="none"/>
              </w:rPr>
              <w:t>号项技术性能参数的响应情况，以招标文件明确要求的材料为准，若招标文件未明确要求则以所投产品制造商公开发布的资料或产品技术白皮书或产品彩页或检测机构出具的检测报告或功能界面截图或官网功能截图或评标委员会认可的其他证明材料为准。若所投产品制造商公开发布的资料与检测机构出具的检测报告不一致，以检测机构出具的检测报告为准。为便于评审，投标人对证明材料中的关键参数进行标注并标注页码。</w:t>
            </w:r>
          </w:p>
          <w:p w14:paraId="7FC2D218">
            <w:pPr>
              <w:keepNext w:val="0"/>
              <w:keepLines w:val="0"/>
              <w:suppressLineNumbers w:val="0"/>
              <w:spacing w:before="0" w:beforeAutospacing="0" w:after="0" w:afterAutospacing="0" w:line="360" w:lineRule="auto"/>
              <w:ind w:left="0" w:right="0"/>
              <w:jc w:val="left"/>
              <w:rPr>
                <w:rFonts w:hint="eastAsia" w:ascii="仿宋" w:hAnsi="仿宋" w:eastAsia="仿宋" w:cs="仿宋"/>
                <w:b/>
                <w:sz w:val="24"/>
                <w:szCs w:val="18"/>
                <w:highlight w:val="none"/>
              </w:rPr>
            </w:pPr>
            <w:r>
              <w:rPr>
                <w:rFonts w:hint="eastAsia" w:ascii="仿宋" w:hAnsi="仿宋" w:eastAsia="仿宋" w:cs="仿宋"/>
                <w:b/>
                <w:sz w:val="24"/>
                <w:szCs w:val="18"/>
                <w:highlight w:val="none"/>
              </w:rPr>
              <w:t>2）所有技术参数及要求使用单位验收时将逐条核对，如发现与实际情况不符、虚假响应等，使用单位有权终止合同并报相关监管部门，由此产生的责任与后果均由中标人承担。</w:t>
            </w:r>
          </w:p>
          <w:p w14:paraId="3A250AEF">
            <w:pPr>
              <w:keepNext w:val="0"/>
              <w:keepLines w:val="0"/>
              <w:suppressLineNumbers w:val="0"/>
              <w:spacing w:before="0" w:beforeAutospacing="0" w:after="0" w:afterAutospacing="0" w:line="360" w:lineRule="auto"/>
              <w:ind w:left="0" w:right="0"/>
              <w:jc w:val="left"/>
              <w:rPr>
                <w:rFonts w:hint="eastAsia" w:ascii="仿宋" w:hAnsi="仿宋" w:cs="仿宋"/>
                <w:color w:val="0000FF"/>
                <w:sz w:val="24"/>
                <w:highlight w:val="none"/>
              </w:rPr>
            </w:pPr>
            <w:r>
              <w:rPr>
                <w:rFonts w:hint="eastAsia" w:ascii="仿宋" w:hAnsi="仿宋" w:eastAsia="仿宋" w:cs="仿宋"/>
                <w:b/>
                <w:bCs/>
                <w:color w:val="000000"/>
                <w:kern w:val="0"/>
                <w:sz w:val="24"/>
                <w:highlight w:val="none"/>
                <w:lang w:bidi="ar"/>
              </w:rPr>
              <w:t>3）标识条款中如包含多条子项技术参数或要求，则需满足或优于该标识条款内所有子项技术参数或要求方为响应。</w:t>
            </w:r>
          </w:p>
        </w:tc>
      </w:tr>
    </w:tbl>
    <w:p w14:paraId="421E54DA">
      <w:pPr>
        <w:pStyle w:val="25"/>
        <w:widowControl/>
        <w:snapToGrid w:val="0"/>
        <w:spacing w:line="360" w:lineRule="auto"/>
        <w:ind w:firstLine="480" w:firstLineChars="200"/>
        <w:rPr>
          <w:rFonts w:hint="eastAsia" w:hAnsi="宋体" w:eastAsia="仿宋"/>
          <w:color w:val="FF0000"/>
          <w:sz w:val="24"/>
          <w:szCs w:val="24"/>
          <w:highlight w:val="none"/>
        </w:rPr>
      </w:pPr>
    </w:p>
    <w:p w14:paraId="48B3129A">
      <w:pPr>
        <w:pStyle w:val="25"/>
        <w:widowControl/>
        <w:snapToGrid w:val="0"/>
        <w:spacing w:line="360" w:lineRule="auto"/>
        <w:ind w:firstLine="482" w:firstLineChars="200"/>
        <w:outlineLvl w:val="2"/>
        <w:rPr>
          <w:rFonts w:hint="eastAsia" w:hAnsi="宋体" w:eastAsia="仿宋"/>
          <w:b/>
          <w:bCs/>
          <w:sz w:val="24"/>
          <w:szCs w:val="24"/>
          <w:highlight w:val="none"/>
        </w:rPr>
      </w:pPr>
      <w:r>
        <w:rPr>
          <w:rFonts w:hint="eastAsia" w:hAnsi="宋体" w:eastAsia="仿宋"/>
          <w:b/>
          <w:bCs/>
          <w:sz w:val="24"/>
          <w:szCs w:val="24"/>
          <w:highlight w:val="none"/>
        </w:rPr>
        <w:t>4.2技术要求表</w:t>
      </w:r>
    </w:p>
    <w:p w14:paraId="73C1556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宋体" w:eastAsia="仿宋" w:cs="Times New Roman"/>
          <w:b/>
          <w:bCs/>
          <w:color w:val="auto"/>
          <w:sz w:val="24"/>
          <w:szCs w:val="24"/>
          <w:highlight w:val="none"/>
          <w:lang w:val="en-US" w:eastAsia="zh-CN"/>
        </w:rPr>
      </w:pPr>
      <w:bookmarkStart w:id="778" w:name="_Toc526265690"/>
      <w:bookmarkStart w:id="779" w:name="_Toc525819966"/>
      <w:bookmarkStart w:id="780" w:name="_Toc512544433"/>
      <w:bookmarkStart w:id="781" w:name="_Toc517011813"/>
      <w:bookmarkStart w:id="782" w:name="_Toc493440806"/>
      <w:bookmarkStart w:id="783" w:name="_Toc493432669"/>
      <w:bookmarkStart w:id="784" w:name="_Toc515539871"/>
      <w:bookmarkStart w:id="785" w:name="_Toc512611688"/>
      <w:bookmarkStart w:id="786" w:name="_Toc493440974"/>
      <w:r>
        <w:rPr>
          <w:rFonts w:hint="eastAsia" w:ascii="Times New Roman" w:hAnsi="宋体" w:eastAsia="仿宋" w:cs="Times New Roman"/>
          <w:b w:val="0"/>
          <w:bCs w:val="0"/>
          <w:color w:val="auto"/>
          <w:sz w:val="24"/>
          <w:szCs w:val="24"/>
          <w:highlight w:val="none"/>
          <w:lang w:val="en-US" w:eastAsia="zh-CN"/>
        </w:rPr>
        <w:t>说明：以下技术要求均为单台（套）设备技术要求及配置。</w:t>
      </w:r>
    </w:p>
    <w:p w14:paraId="78895D64">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hAnsi="宋体" w:eastAsia="仿宋" w:cs="Times New Roman"/>
          <w:b w:val="0"/>
          <w:bCs w:val="0"/>
          <w:color w:val="auto"/>
          <w:sz w:val="24"/>
          <w:szCs w:val="24"/>
          <w:highlight w:val="none"/>
          <w:lang w:val="en-US" w:eastAsia="zh-CN"/>
        </w:rPr>
      </w:pPr>
      <w:r>
        <w:rPr>
          <w:rFonts w:hint="eastAsia" w:ascii="Times New Roman" w:hAnsi="宋体" w:eastAsia="仿宋" w:cs="Times New Roman"/>
          <w:b/>
          <w:bCs/>
          <w:color w:val="auto"/>
          <w:sz w:val="24"/>
          <w:szCs w:val="24"/>
          <w:highlight w:val="none"/>
          <w:lang w:val="en-US" w:eastAsia="zh-CN"/>
        </w:rPr>
        <w:t>核磁共振成像系统（MR）1.5T（</w:t>
      </w:r>
      <w:r>
        <w:rPr>
          <w:rFonts w:hint="eastAsia" w:hAnsi="宋体" w:eastAsia="仿宋" w:cs="Times New Roman"/>
          <w:b/>
          <w:bCs/>
          <w:color w:val="auto"/>
          <w:sz w:val="24"/>
          <w:szCs w:val="24"/>
          <w:highlight w:val="none"/>
          <w:lang w:val="en-US" w:eastAsia="zh-CN"/>
        </w:rPr>
        <w:t>高配</w:t>
      </w:r>
      <w:r>
        <w:rPr>
          <w:rFonts w:hint="eastAsia" w:ascii="Times New Roman" w:hAnsi="宋体" w:eastAsia="仿宋" w:cs="Times New Roman"/>
          <w:b/>
          <w:bCs/>
          <w:color w:val="auto"/>
          <w:sz w:val="24"/>
          <w:szCs w:val="24"/>
          <w:highlight w:val="none"/>
          <w:lang w:val="en-US" w:eastAsia="zh-CN"/>
        </w:rPr>
        <w:t>）</w:t>
      </w:r>
    </w:p>
    <w:p w14:paraId="437A729D">
      <w:pPr>
        <w:spacing w:line="360" w:lineRule="auto"/>
        <w:ind w:firstLine="480" w:firstLineChars="200"/>
        <w:rPr>
          <w:rFonts w:hAnsi="宋体" w:eastAsia="仿宋"/>
          <w:sz w:val="24"/>
        </w:rPr>
      </w:pPr>
      <w:r>
        <w:rPr>
          <w:rFonts w:hint="eastAsia" w:hAnsi="宋体" w:eastAsia="仿宋"/>
          <w:sz w:val="24"/>
        </w:rPr>
        <w:t>实质性参数（负偏离或未响应视为实质性不响应招标文件要求）：</w:t>
      </w:r>
    </w:p>
    <w:p w14:paraId="4C34C7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kern w:val="2"/>
          <w:sz w:val="24"/>
          <w:szCs w:val="24"/>
          <w:highlight w:val="none"/>
          <w:lang w:val="en-US" w:eastAsia="zh-CN" w:bidi="ar-SA"/>
        </w:rPr>
        <w:t>★1</w:t>
      </w:r>
      <w:r>
        <w:rPr>
          <w:rFonts w:hint="default" w:hAnsi="宋体" w:eastAsia="仿宋" w:cs="Times New Roman"/>
          <w:b w:val="0"/>
          <w:bCs w:val="0"/>
          <w:color w:val="auto"/>
          <w:kern w:val="2"/>
          <w:sz w:val="24"/>
          <w:szCs w:val="24"/>
          <w:highlight w:val="none"/>
          <w:lang w:val="en-US" w:eastAsia="zh-CN" w:bidi="ar-SA"/>
        </w:rPr>
        <w:t>．</w:t>
      </w:r>
      <w:r>
        <w:rPr>
          <w:rFonts w:hint="default" w:hAnsi="宋体" w:eastAsia="仿宋" w:cs="Times New Roman"/>
          <w:b w:val="0"/>
          <w:bCs w:val="0"/>
          <w:color w:val="auto"/>
          <w:sz w:val="24"/>
          <w:szCs w:val="24"/>
          <w:highlight w:val="none"/>
          <w:lang w:val="en-US" w:eastAsia="zh-CN"/>
        </w:rPr>
        <w:t>磁场强度≥1.5T</w:t>
      </w:r>
      <w:r>
        <w:rPr>
          <w:rFonts w:hint="eastAsia" w:hAnsi="宋体" w:eastAsia="仿宋" w:cs="Times New Roman"/>
          <w:b w:val="0"/>
          <w:bCs w:val="0"/>
          <w:color w:val="auto"/>
          <w:sz w:val="24"/>
          <w:szCs w:val="24"/>
          <w:highlight w:val="none"/>
          <w:lang w:val="en-US" w:eastAsia="zh-CN"/>
        </w:rPr>
        <w:t>；</w:t>
      </w:r>
    </w:p>
    <w:p w14:paraId="16EF4F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kern w:val="2"/>
          <w:sz w:val="24"/>
          <w:szCs w:val="24"/>
          <w:highlight w:val="none"/>
          <w:lang w:val="en-US" w:eastAsia="zh-CN" w:bidi="ar-SA"/>
        </w:rPr>
        <w:t>★2</w:t>
      </w:r>
      <w:r>
        <w:rPr>
          <w:rFonts w:hint="default" w:hAnsi="宋体" w:eastAsia="仿宋" w:cs="Times New Roman"/>
          <w:b w:val="0"/>
          <w:bCs w:val="0"/>
          <w:color w:val="auto"/>
          <w:kern w:val="2"/>
          <w:sz w:val="24"/>
          <w:szCs w:val="24"/>
          <w:highlight w:val="none"/>
          <w:lang w:val="en-US" w:eastAsia="zh-CN" w:bidi="ar-SA"/>
        </w:rPr>
        <w:t>．</w:t>
      </w:r>
      <w:r>
        <w:rPr>
          <w:rFonts w:hint="eastAsia" w:hAnsi="宋体" w:eastAsia="仿宋" w:cs="Times New Roman"/>
          <w:b w:val="0"/>
          <w:bCs w:val="0"/>
          <w:color w:val="auto"/>
          <w:sz w:val="24"/>
          <w:szCs w:val="24"/>
          <w:highlight w:val="none"/>
          <w:lang w:val="en-US" w:eastAsia="zh-CN"/>
        </w:rPr>
        <w:t>患者检查孔径≥70cm；</w:t>
      </w:r>
    </w:p>
    <w:p w14:paraId="419939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kern w:val="2"/>
          <w:sz w:val="24"/>
          <w:szCs w:val="24"/>
          <w:highlight w:val="none"/>
          <w:lang w:val="en-US" w:eastAsia="zh-CN" w:bidi="ar-SA"/>
        </w:rPr>
        <w:t>★3</w:t>
      </w:r>
      <w:r>
        <w:rPr>
          <w:rFonts w:hint="default" w:hAnsi="宋体" w:eastAsia="仿宋" w:cs="Times New Roman"/>
          <w:b w:val="0"/>
          <w:bCs w:val="0"/>
          <w:color w:val="auto"/>
          <w:kern w:val="2"/>
          <w:sz w:val="24"/>
          <w:szCs w:val="24"/>
          <w:highlight w:val="none"/>
          <w:lang w:val="en-US" w:eastAsia="zh-CN" w:bidi="ar-SA"/>
        </w:rPr>
        <w:t>．</w:t>
      </w:r>
      <w:r>
        <w:rPr>
          <w:rFonts w:hint="default" w:hAnsi="宋体" w:eastAsia="仿宋" w:cs="Times New Roman"/>
          <w:b w:val="0"/>
          <w:bCs w:val="0"/>
          <w:color w:val="auto"/>
          <w:sz w:val="24"/>
          <w:szCs w:val="24"/>
          <w:highlight w:val="none"/>
          <w:lang w:val="en-US" w:eastAsia="zh-CN"/>
        </w:rPr>
        <w:t>原厂免费质保期≥3年</w:t>
      </w:r>
      <w:r>
        <w:rPr>
          <w:rFonts w:hint="eastAsia" w:hAnsi="宋体" w:eastAsia="仿宋" w:cs="Times New Roman"/>
          <w:b w:val="0"/>
          <w:bCs w:val="0"/>
          <w:color w:val="auto"/>
          <w:sz w:val="24"/>
          <w:szCs w:val="24"/>
          <w:highlight w:val="none"/>
          <w:lang w:val="en-US" w:eastAsia="zh-CN"/>
        </w:rPr>
        <w:t>；</w:t>
      </w:r>
    </w:p>
    <w:p w14:paraId="4B3068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kern w:val="2"/>
          <w:sz w:val="24"/>
          <w:szCs w:val="24"/>
          <w:highlight w:val="none"/>
          <w:lang w:val="en-US" w:eastAsia="zh-CN" w:bidi="ar-SA"/>
        </w:rPr>
        <w:t>★4</w:t>
      </w:r>
      <w:r>
        <w:rPr>
          <w:rFonts w:hint="default" w:hAnsi="宋体" w:eastAsia="仿宋" w:cs="Times New Roman"/>
          <w:b w:val="0"/>
          <w:bCs w:val="0"/>
          <w:color w:val="auto"/>
          <w:kern w:val="2"/>
          <w:sz w:val="24"/>
          <w:szCs w:val="24"/>
          <w:highlight w:val="none"/>
          <w:lang w:val="en-US" w:eastAsia="zh-CN" w:bidi="ar-SA"/>
        </w:rPr>
        <w:t>．</w:t>
      </w:r>
      <w:r>
        <w:rPr>
          <w:rFonts w:hint="default" w:hAnsi="宋体" w:eastAsia="仿宋" w:cs="Times New Roman"/>
          <w:b w:val="0"/>
          <w:bCs w:val="0"/>
          <w:color w:val="auto"/>
          <w:sz w:val="24"/>
          <w:szCs w:val="24"/>
          <w:highlight w:val="none"/>
          <w:lang w:val="en-US" w:eastAsia="zh-CN"/>
        </w:rPr>
        <w:t>提供水冷机、磁共振专用恒温恒湿精密空调</w:t>
      </w:r>
      <w:r>
        <w:rPr>
          <w:rFonts w:hint="eastAsia" w:hAnsi="宋体" w:eastAsia="仿宋" w:cs="Times New Roman"/>
          <w:b w:val="0"/>
          <w:bCs w:val="0"/>
          <w:color w:val="auto"/>
          <w:sz w:val="24"/>
          <w:szCs w:val="24"/>
          <w:highlight w:val="none"/>
          <w:lang w:val="en-US" w:eastAsia="zh-CN"/>
        </w:rPr>
        <w:t>；</w:t>
      </w:r>
    </w:p>
    <w:p w14:paraId="21CFE40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kern w:val="2"/>
          <w:sz w:val="24"/>
          <w:szCs w:val="24"/>
          <w:highlight w:val="none"/>
          <w:lang w:val="en-US" w:eastAsia="zh-CN" w:bidi="ar-SA"/>
        </w:rPr>
        <w:t>★5．提供原厂最高版本，具有与主机同样功能的独立后处理工作站一套。需提供相关证明材料；</w:t>
      </w:r>
    </w:p>
    <w:p w14:paraId="4F87A6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kern w:val="2"/>
          <w:sz w:val="24"/>
          <w:szCs w:val="24"/>
          <w:highlight w:val="none"/>
          <w:lang w:val="en-US" w:eastAsia="zh-CN" w:bidi="ar-SA"/>
        </w:rPr>
        <w:t>★6</w:t>
      </w:r>
      <w:r>
        <w:rPr>
          <w:rFonts w:hint="default" w:hAnsi="宋体" w:eastAsia="仿宋" w:cs="Times New Roman"/>
          <w:b w:val="0"/>
          <w:bCs w:val="0"/>
          <w:color w:val="auto"/>
          <w:kern w:val="2"/>
          <w:sz w:val="24"/>
          <w:szCs w:val="24"/>
          <w:highlight w:val="none"/>
          <w:lang w:val="en-US" w:eastAsia="zh-CN" w:bidi="ar-SA"/>
        </w:rPr>
        <w:t>．</w:t>
      </w:r>
      <w:r>
        <w:rPr>
          <w:rFonts w:hint="default" w:hAnsi="宋体" w:eastAsia="仿宋" w:cs="Times New Roman"/>
          <w:b w:val="0"/>
          <w:bCs w:val="0"/>
          <w:color w:val="auto"/>
          <w:sz w:val="24"/>
          <w:szCs w:val="24"/>
          <w:highlight w:val="none"/>
          <w:lang w:val="en-US" w:eastAsia="zh-CN"/>
        </w:rPr>
        <w:t>须承诺提供匹配所投产品的所有扫描及后处理软件（提供承诺函）</w:t>
      </w:r>
      <w:r>
        <w:rPr>
          <w:rFonts w:hint="eastAsia" w:hAnsi="宋体" w:eastAsia="仿宋" w:cs="Times New Roman"/>
          <w:b w:val="0"/>
          <w:bCs w:val="0"/>
          <w:color w:val="auto"/>
          <w:sz w:val="24"/>
          <w:szCs w:val="24"/>
          <w:highlight w:val="none"/>
          <w:lang w:val="en-US" w:eastAsia="zh-CN"/>
        </w:rPr>
        <w:t>；</w:t>
      </w:r>
    </w:p>
    <w:p w14:paraId="2EEEF5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kern w:val="2"/>
          <w:sz w:val="24"/>
          <w:szCs w:val="24"/>
          <w:highlight w:val="none"/>
          <w:lang w:val="en-US" w:eastAsia="zh-CN" w:bidi="ar-SA"/>
        </w:rPr>
        <w:t>★7</w:t>
      </w:r>
      <w:r>
        <w:rPr>
          <w:rFonts w:hint="default" w:hAnsi="宋体" w:eastAsia="仿宋" w:cs="Times New Roman"/>
          <w:b w:val="0"/>
          <w:bCs w:val="0"/>
          <w:color w:val="auto"/>
          <w:kern w:val="2"/>
          <w:sz w:val="24"/>
          <w:szCs w:val="24"/>
          <w:highlight w:val="none"/>
          <w:lang w:val="en-US" w:eastAsia="zh-CN" w:bidi="ar-SA"/>
        </w:rPr>
        <w:t>．</w:t>
      </w:r>
      <w:r>
        <w:rPr>
          <w:rFonts w:hint="eastAsia" w:hAnsi="宋体" w:eastAsia="仿宋"/>
          <w:sz w:val="24"/>
        </w:rPr>
        <w:t>提供无磁转运床1张，无磁轮椅1个</w:t>
      </w:r>
      <w:r>
        <w:rPr>
          <w:rFonts w:hint="default" w:hAnsi="宋体" w:eastAsia="仿宋" w:cs="Times New Roman"/>
          <w:b w:val="0"/>
          <w:bCs w:val="0"/>
          <w:color w:val="auto"/>
          <w:sz w:val="24"/>
          <w:szCs w:val="24"/>
          <w:highlight w:val="none"/>
          <w:lang w:val="en-US" w:eastAsia="zh-CN"/>
        </w:rPr>
        <w:t>。</w:t>
      </w:r>
    </w:p>
    <w:p w14:paraId="650CE83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r>
        <w:rPr>
          <w:rFonts w:hint="eastAsia" w:hAnsi="宋体" w:eastAsia="仿宋"/>
          <w:sz w:val="24"/>
        </w:rPr>
        <w:t>上述要求提供证明材料，未要求的提供承诺函承诺满足相关要求，承诺函格式自拟，未提供视为无效投标。</w:t>
      </w:r>
    </w:p>
    <w:p w14:paraId="6AF4AA8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p>
    <w:p w14:paraId="5BAA83C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sz w:val="24"/>
          <w:lang w:val="en-US" w:eastAsia="zh-CN"/>
        </w:rPr>
      </w:pPr>
      <w:r>
        <w:rPr>
          <w:rFonts w:hint="eastAsia" w:hAnsi="宋体" w:eastAsia="仿宋"/>
          <w:sz w:val="24"/>
        </w:rPr>
        <w:t>核心参数、重要参数及一般参数：</w:t>
      </w:r>
    </w:p>
    <w:p w14:paraId="22573CF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█一、为保证技术先进性和前沿技术平台，各家需要提供uMR680或Voyager AIR或Ambition等磁共振机型，其他未提到的品牌提供同档次机型，并提供评标委员会认可的证明材料</w:t>
      </w:r>
    </w:p>
    <w:p w14:paraId="2E6033F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二、投标产品的磁体、梯度系统，射频系统与磁共振整机为同一品牌（提供第三方检测报告或相关证书证明或承诺函）；</w:t>
      </w:r>
    </w:p>
    <w:p w14:paraId="2930DD2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三、磁体系统：</w:t>
      </w:r>
    </w:p>
    <w:p w14:paraId="64A1204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1</w:t>
      </w:r>
      <w:r>
        <w:rPr>
          <w:rFonts w:hint="default" w:hAnsi="宋体" w:eastAsia="仿宋" w:cs="Times New Roman"/>
          <w:b w:val="0"/>
          <w:bCs w:val="0"/>
          <w:color w:val="auto"/>
          <w:sz w:val="24"/>
          <w:szCs w:val="24"/>
          <w:highlight w:val="none"/>
          <w:lang w:val="en-US" w:eastAsia="zh-CN"/>
        </w:rPr>
        <w:t>、磁场均匀度典型值(Typical)，采用V-RMS 24 plane plot测量法。以下参数，请提供datasheet（技术白皮书）证明：10cmDSV≤0.008ppm、20cmDSV≤0.035ppm、30cmDSV≤0.1ppm、40cmDSV≤0.6ppm、50cmDSV≤5.5ppm</w:t>
      </w:r>
      <w:r>
        <w:rPr>
          <w:rFonts w:hint="eastAsia" w:hAnsi="宋体" w:eastAsia="仿宋" w:cs="Times New Roman"/>
          <w:b w:val="0"/>
          <w:bCs w:val="0"/>
          <w:color w:val="auto"/>
          <w:sz w:val="24"/>
          <w:szCs w:val="24"/>
          <w:highlight w:val="none"/>
          <w:lang w:val="en-US" w:eastAsia="zh-CN"/>
        </w:rPr>
        <w:t>；</w:t>
      </w:r>
    </w:p>
    <w:p w14:paraId="33DBF82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2、磁体长度（不含外壳）≥150cm；</w:t>
      </w:r>
    </w:p>
    <w:p w14:paraId="740DAE39">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3</w:t>
      </w:r>
      <w:r>
        <w:rPr>
          <w:rFonts w:hint="default" w:hAnsi="宋体" w:eastAsia="仿宋" w:cs="Times New Roman"/>
          <w:b w:val="0"/>
          <w:bCs w:val="0"/>
          <w:color w:val="auto"/>
          <w:sz w:val="24"/>
          <w:szCs w:val="24"/>
          <w:highlight w:val="none"/>
          <w:lang w:val="en-US" w:eastAsia="zh-CN"/>
        </w:rPr>
        <w:t>、匀场方式：同时具备主动匀场+被动匀场</w:t>
      </w:r>
      <w:r>
        <w:rPr>
          <w:rFonts w:hint="eastAsia" w:hAnsi="宋体" w:eastAsia="仿宋" w:cs="Times New Roman"/>
          <w:b w:val="0"/>
          <w:bCs w:val="0"/>
          <w:color w:val="auto"/>
          <w:sz w:val="24"/>
          <w:szCs w:val="24"/>
          <w:highlight w:val="none"/>
          <w:lang w:val="en-US" w:eastAsia="zh-CN"/>
        </w:rPr>
        <w:t>；</w:t>
      </w:r>
    </w:p>
    <w:p w14:paraId="3007E6C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四、梯度系统：</w:t>
      </w:r>
    </w:p>
    <w:p w14:paraId="0E33D77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●4</w:t>
      </w:r>
      <w:r>
        <w:rPr>
          <w:rFonts w:hint="default" w:hAnsi="宋体" w:eastAsia="仿宋" w:cs="Times New Roman"/>
          <w:b w:val="0"/>
          <w:bCs w:val="0"/>
          <w:color w:val="auto"/>
          <w:sz w:val="24"/>
          <w:szCs w:val="24"/>
          <w:highlight w:val="none"/>
          <w:lang w:val="en-US" w:eastAsia="zh-CN"/>
        </w:rPr>
        <w:t>、最大单轴梯度场强(X/Y/Z轴可同时达到，非有效值)≥</w:t>
      </w:r>
      <w:r>
        <w:rPr>
          <w:rFonts w:hint="eastAsia" w:hAnsi="宋体" w:eastAsia="仿宋" w:cs="Times New Roman"/>
          <w:b w:val="0"/>
          <w:bCs w:val="0"/>
          <w:color w:val="auto"/>
          <w:sz w:val="24"/>
          <w:szCs w:val="24"/>
          <w:highlight w:val="none"/>
          <w:lang w:val="en-US" w:eastAsia="zh-CN"/>
        </w:rPr>
        <w:t>45</w:t>
      </w:r>
      <w:r>
        <w:rPr>
          <w:rFonts w:hint="default" w:hAnsi="宋体" w:eastAsia="仿宋" w:cs="Times New Roman"/>
          <w:b w:val="0"/>
          <w:bCs w:val="0"/>
          <w:color w:val="auto"/>
          <w:sz w:val="24"/>
          <w:szCs w:val="24"/>
          <w:highlight w:val="none"/>
          <w:lang w:val="en-US" w:eastAsia="zh-CN"/>
        </w:rPr>
        <w:t xml:space="preserve"> mT/m；</w:t>
      </w:r>
    </w:p>
    <w:p w14:paraId="627FF42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●5</w:t>
      </w:r>
      <w:r>
        <w:rPr>
          <w:rFonts w:hint="default" w:hAnsi="宋体" w:eastAsia="仿宋" w:cs="Times New Roman"/>
          <w:b w:val="0"/>
          <w:bCs w:val="0"/>
          <w:color w:val="auto"/>
          <w:sz w:val="24"/>
          <w:szCs w:val="24"/>
          <w:highlight w:val="none"/>
          <w:lang w:val="en-US" w:eastAsia="zh-CN"/>
        </w:rPr>
        <w:t>、最大单轴梯度切换率(X/Y/Z轴可同时达到，非有效值)≥</w:t>
      </w:r>
      <w:r>
        <w:rPr>
          <w:rFonts w:hint="eastAsia" w:hAnsi="宋体" w:eastAsia="仿宋" w:cs="Times New Roman"/>
          <w:b w:val="0"/>
          <w:bCs w:val="0"/>
          <w:color w:val="auto"/>
          <w:sz w:val="24"/>
          <w:szCs w:val="24"/>
          <w:highlight w:val="none"/>
          <w:lang w:val="en-US" w:eastAsia="zh-CN"/>
        </w:rPr>
        <w:t>200</w:t>
      </w:r>
      <w:r>
        <w:rPr>
          <w:rFonts w:hint="default" w:hAnsi="宋体" w:eastAsia="仿宋" w:cs="Times New Roman"/>
          <w:b w:val="0"/>
          <w:bCs w:val="0"/>
          <w:color w:val="auto"/>
          <w:sz w:val="24"/>
          <w:szCs w:val="24"/>
          <w:highlight w:val="none"/>
          <w:lang w:val="en-US" w:eastAsia="zh-CN"/>
        </w:rPr>
        <w:t>T/m/s；</w:t>
      </w:r>
    </w:p>
    <w:p w14:paraId="659AA3F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五、射频系统：</w:t>
      </w:r>
    </w:p>
    <w:p w14:paraId="74F90CB0">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6</w:t>
      </w:r>
      <w:r>
        <w:rPr>
          <w:rFonts w:hint="default" w:hAnsi="宋体" w:eastAsia="仿宋" w:cs="Times New Roman"/>
          <w:b w:val="0"/>
          <w:bCs w:val="0"/>
          <w:color w:val="auto"/>
          <w:sz w:val="24"/>
          <w:szCs w:val="24"/>
          <w:highlight w:val="none"/>
          <w:lang w:val="en-US" w:eastAsia="zh-CN"/>
        </w:rPr>
        <w:t>、射频发射功率≥1</w:t>
      </w:r>
      <w:r>
        <w:rPr>
          <w:rFonts w:hint="eastAsia" w:hAnsi="宋体" w:eastAsia="仿宋" w:cs="Times New Roman"/>
          <w:b w:val="0"/>
          <w:bCs w:val="0"/>
          <w:color w:val="auto"/>
          <w:sz w:val="24"/>
          <w:szCs w:val="24"/>
          <w:highlight w:val="none"/>
          <w:lang w:val="en-US" w:eastAsia="zh-CN"/>
        </w:rPr>
        <w:t>6</w:t>
      </w:r>
      <w:r>
        <w:rPr>
          <w:rFonts w:hint="default" w:hAnsi="宋体" w:eastAsia="仿宋" w:cs="Times New Roman"/>
          <w:b w:val="0"/>
          <w:bCs w:val="0"/>
          <w:color w:val="auto"/>
          <w:sz w:val="24"/>
          <w:szCs w:val="24"/>
          <w:highlight w:val="none"/>
          <w:lang w:val="en-US" w:eastAsia="zh-CN"/>
        </w:rPr>
        <w:t>kW</w:t>
      </w:r>
      <w:r>
        <w:rPr>
          <w:rFonts w:hint="eastAsia" w:hAnsi="宋体" w:eastAsia="仿宋" w:cs="Times New Roman"/>
          <w:b w:val="0"/>
          <w:bCs w:val="0"/>
          <w:color w:val="auto"/>
          <w:sz w:val="24"/>
          <w:szCs w:val="24"/>
          <w:highlight w:val="none"/>
          <w:lang w:val="en-US" w:eastAsia="zh-CN"/>
        </w:rPr>
        <w:t>；</w:t>
      </w:r>
    </w:p>
    <w:p w14:paraId="454172A7">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7</w:t>
      </w:r>
      <w:r>
        <w:rPr>
          <w:rFonts w:hint="default" w:hAnsi="宋体" w:eastAsia="仿宋" w:cs="Times New Roman"/>
          <w:b w:val="0"/>
          <w:bCs w:val="0"/>
          <w:color w:val="auto"/>
          <w:sz w:val="24"/>
          <w:szCs w:val="24"/>
          <w:highlight w:val="none"/>
          <w:lang w:val="en-US" w:eastAsia="zh-CN"/>
        </w:rPr>
        <w:t>、射频接收采样率≥</w:t>
      </w:r>
      <w:r>
        <w:rPr>
          <w:rFonts w:hint="eastAsia" w:hAnsi="宋体" w:eastAsia="仿宋" w:cs="Times New Roman"/>
          <w:b w:val="0"/>
          <w:bCs w:val="0"/>
          <w:color w:val="auto"/>
          <w:sz w:val="24"/>
          <w:szCs w:val="24"/>
          <w:highlight w:val="none"/>
          <w:lang w:val="en-US" w:eastAsia="zh-CN"/>
        </w:rPr>
        <w:t>8</w:t>
      </w:r>
      <w:r>
        <w:rPr>
          <w:rFonts w:hint="default" w:hAnsi="宋体" w:eastAsia="仿宋" w:cs="Times New Roman"/>
          <w:b w:val="0"/>
          <w:bCs w:val="0"/>
          <w:color w:val="auto"/>
          <w:sz w:val="24"/>
          <w:szCs w:val="24"/>
          <w:highlight w:val="none"/>
          <w:lang w:val="en-US" w:eastAsia="zh-CN"/>
        </w:rPr>
        <w:t>0MHz</w:t>
      </w:r>
      <w:r>
        <w:rPr>
          <w:rFonts w:hint="eastAsia" w:hAnsi="宋体" w:eastAsia="仿宋" w:cs="Times New Roman"/>
          <w:b w:val="0"/>
          <w:bCs w:val="0"/>
          <w:color w:val="auto"/>
          <w:sz w:val="24"/>
          <w:szCs w:val="24"/>
          <w:highlight w:val="none"/>
          <w:lang w:val="en-US" w:eastAsia="zh-CN"/>
        </w:rPr>
        <w:t>；</w:t>
      </w:r>
    </w:p>
    <w:p w14:paraId="2F4213C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●8</w:t>
      </w:r>
      <w:r>
        <w:rPr>
          <w:rFonts w:hint="default" w:hAnsi="宋体" w:eastAsia="仿宋" w:cs="Times New Roman"/>
          <w:b w:val="0"/>
          <w:bCs w:val="0"/>
          <w:color w:val="auto"/>
          <w:sz w:val="24"/>
          <w:szCs w:val="24"/>
          <w:highlight w:val="none"/>
          <w:lang w:val="en-US" w:eastAsia="zh-CN"/>
        </w:rPr>
        <w:t xml:space="preserve">、单个扫描野内射频同时并行接收通道数≥ </w:t>
      </w:r>
      <w:r>
        <w:rPr>
          <w:rFonts w:hint="eastAsia" w:hAnsi="宋体" w:eastAsia="仿宋" w:cs="Times New Roman"/>
          <w:b w:val="0"/>
          <w:bCs w:val="0"/>
          <w:color w:val="auto"/>
          <w:sz w:val="24"/>
          <w:szCs w:val="24"/>
          <w:highlight w:val="none"/>
          <w:lang w:val="en-US" w:eastAsia="zh-CN"/>
        </w:rPr>
        <w:t>32；</w:t>
      </w:r>
    </w:p>
    <w:p w14:paraId="54BAF7C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9</w:t>
      </w:r>
      <w:r>
        <w:rPr>
          <w:rFonts w:hint="default" w:hAnsi="宋体" w:eastAsia="仿宋" w:cs="Times New Roman"/>
          <w:b w:val="0"/>
          <w:bCs w:val="0"/>
          <w:color w:val="auto"/>
          <w:sz w:val="24"/>
          <w:szCs w:val="24"/>
          <w:highlight w:val="none"/>
          <w:lang w:val="en-US" w:eastAsia="zh-CN"/>
        </w:rPr>
        <w:t>、提供原厂头颈联合线圈≥16单元（非组合）</w:t>
      </w:r>
      <w:r>
        <w:rPr>
          <w:rFonts w:hint="eastAsia" w:hAnsi="宋体" w:eastAsia="仿宋" w:cs="Times New Roman"/>
          <w:b w:val="0"/>
          <w:bCs w:val="0"/>
          <w:color w:val="auto"/>
          <w:sz w:val="24"/>
          <w:szCs w:val="24"/>
          <w:highlight w:val="none"/>
          <w:lang w:val="en-US" w:eastAsia="zh-CN"/>
        </w:rPr>
        <w:t>；</w:t>
      </w:r>
    </w:p>
    <w:p w14:paraId="40424FA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10</w:t>
      </w:r>
      <w:r>
        <w:rPr>
          <w:rFonts w:hint="default" w:hAnsi="宋体" w:eastAsia="仿宋" w:cs="Times New Roman"/>
          <w:b w:val="0"/>
          <w:bCs w:val="0"/>
          <w:color w:val="auto"/>
          <w:sz w:val="24"/>
          <w:szCs w:val="24"/>
          <w:highlight w:val="none"/>
          <w:lang w:val="en-US" w:eastAsia="zh-CN"/>
        </w:rPr>
        <w:t>、提供原厂脊柱相控阵线圈≥21单元（非组合）</w:t>
      </w:r>
      <w:r>
        <w:rPr>
          <w:rFonts w:hint="eastAsia" w:hAnsi="宋体" w:eastAsia="仿宋" w:cs="Times New Roman"/>
          <w:b w:val="0"/>
          <w:bCs w:val="0"/>
          <w:color w:val="auto"/>
          <w:sz w:val="24"/>
          <w:szCs w:val="24"/>
          <w:highlight w:val="none"/>
          <w:lang w:val="en-US" w:eastAsia="zh-CN"/>
        </w:rPr>
        <w:t>；</w:t>
      </w:r>
    </w:p>
    <w:p w14:paraId="2B23767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11</w:t>
      </w:r>
      <w:r>
        <w:rPr>
          <w:rFonts w:hint="default" w:hAnsi="宋体" w:eastAsia="仿宋" w:cs="Times New Roman"/>
          <w:b w:val="0"/>
          <w:bCs w:val="0"/>
          <w:color w:val="auto"/>
          <w:sz w:val="24"/>
          <w:szCs w:val="24"/>
          <w:highlight w:val="none"/>
          <w:lang w:val="en-US" w:eastAsia="zh-CN"/>
        </w:rPr>
        <w:t>、提供原厂相控阵体部线圈≥12单元（非组合）</w:t>
      </w:r>
      <w:r>
        <w:rPr>
          <w:rFonts w:hint="eastAsia" w:hAnsi="宋体" w:eastAsia="仿宋" w:cs="Times New Roman"/>
          <w:b w:val="0"/>
          <w:bCs w:val="0"/>
          <w:color w:val="auto"/>
          <w:sz w:val="24"/>
          <w:szCs w:val="24"/>
          <w:highlight w:val="none"/>
          <w:lang w:val="en-US" w:eastAsia="zh-CN"/>
        </w:rPr>
        <w:t>；</w:t>
      </w:r>
    </w:p>
    <w:p w14:paraId="2C44D69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12</w:t>
      </w:r>
      <w:r>
        <w:rPr>
          <w:rFonts w:hint="default" w:hAnsi="宋体" w:eastAsia="仿宋" w:cs="Times New Roman"/>
          <w:b w:val="0"/>
          <w:bCs w:val="0"/>
          <w:color w:val="auto"/>
          <w:sz w:val="24"/>
          <w:szCs w:val="24"/>
          <w:highlight w:val="none"/>
          <w:lang w:val="en-US" w:eastAsia="zh-CN"/>
        </w:rPr>
        <w:t>、提供原厂最高通道数大柔性多功能线圈、原厂最高通道数小柔性多功能线圈各一套</w:t>
      </w:r>
      <w:r>
        <w:rPr>
          <w:rFonts w:hint="eastAsia" w:hAnsi="宋体" w:eastAsia="仿宋" w:cs="Times New Roman"/>
          <w:b w:val="0"/>
          <w:bCs w:val="0"/>
          <w:color w:val="auto"/>
          <w:sz w:val="24"/>
          <w:szCs w:val="24"/>
          <w:highlight w:val="none"/>
          <w:lang w:val="en-US" w:eastAsia="zh-CN"/>
        </w:rPr>
        <w:t>；</w:t>
      </w:r>
    </w:p>
    <w:p w14:paraId="2E11212D">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宋体" w:eastAsia="仿宋" w:cs="Times New Roman"/>
          <w:b w:val="0"/>
          <w:bCs w:val="0"/>
          <w:color w:val="auto"/>
          <w:sz w:val="24"/>
          <w:szCs w:val="24"/>
          <w:highlight w:val="none"/>
          <w:lang w:val="en-US" w:eastAsia="zh-CN"/>
        </w:rPr>
      </w:pPr>
      <w:r>
        <w:rPr>
          <w:rFonts w:hint="eastAsia" w:ascii="Times New Roman" w:hAnsi="宋体" w:eastAsia="仿宋" w:cs="Times New Roman"/>
          <w:b w:val="0"/>
          <w:bCs w:val="0"/>
          <w:color w:val="auto"/>
          <w:sz w:val="24"/>
          <w:szCs w:val="24"/>
          <w:highlight w:val="none"/>
          <w:lang w:val="en-US" w:eastAsia="zh-CN"/>
        </w:rPr>
        <w:t>13</w:t>
      </w:r>
      <w:r>
        <w:rPr>
          <w:rFonts w:hint="default" w:ascii="Times New Roman" w:hAnsi="宋体" w:eastAsia="仿宋" w:cs="Times New Roman"/>
          <w:b w:val="0"/>
          <w:bCs w:val="0"/>
          <w:color w:val="auto"/>
          <w:sz w:val="24"/>
          <w:szCs w:val="24"/>
          <w:highlight w:val="none"/>
          <w:lang w:val="en-US" w:eastAsia="zh-CN"/>
        </w:rPr>
        <w:t>、提供原厂乳腺专用相控阵线圈（专用线圈，不可用环形线圈等线圈组合替代）≥8单元</w:t>
      </w:r>
      <w:r>
        <w:rPr>
          <w:rFonts w:hint="eastAsia" w:ascii="Times New Roman" w:hAnsi="宋体" w:eastAsia="仿宋" w:cs="Times New Roman"/>
          <w:b w:val="0"/>
          <w:bCs w:val="0"/>
          <w:color w:val="auto"/>
          <w:sz w:val="24"/>
          <w:szCs w:val="24"/>
          <w:highlight w:val="none"/>
          <w:lang w:val="en-US" w:eastAsia="zh-CN"/>
        </w:rPr>
        <w:t>；</w:t>
      </w:r>
    </w:p>
    <w:p w14:paraId="1B76A42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宋体" w:eastAsia="仿宋" w:cs="Times New Roman"/>
          <w:b w:val="0"/>
          <w:bCs w:val="0"/>
          <w:color w:val="auto"/>
          <w:sz w:val="24"/>
          <w:szCs w:val="24"/>
          <w:highlight w:val="none"/>
          <w:lang w:val="en-US" w:eastAsia="zh-CN"/>
        </w:rPr>
      </w:pPr>
      <w:r>
        <w:rPr>
          <w:rFonts w:hint="eastAsia" w:ascii="Times New Roman" w:hAnsi="宋体" w:eastAsia="仿宋" w:cs="Times New Roman"/>
          <w:b w:val="0"/>
          <w:bCs w:val="0"/>
          <w:color w:val="auto"/>
          <w:sz w:val="24"/>
          <w:szCs w:val="24"/>
          <w:highlight w:val="none"/>
          <w:lang w:val="en-US" w:eastAsia="zh-CN"/>
        </w:rPr>
        <w:t>14</w:t>
      </w:r>
      <w:r>
        <w:rPr>
          <w:rFonts w:hint="default" w:ascii="Times New Roman" w:hAnsi="宋体" w:eastAsia="仿宋" w:cs="Times New Roman"/>
          <w:b w:val="0"/>
          <w:bCs w:val="0"/>
          <w:color w:val="auto"/>
          <w:sz w:val="24"/>
          <w:szCs w:val="24"/>
          <w:highlight w:val="none"/>
          <w:lang w:val="en-US" w:eastAsia="zh-CN"/>
        </w:rPr>
        <w:t>、提供原厂膝关节专用相控阵线圈（专用线圈，不可用环形线圈等线圈组合替代）≥8单元</w:t>
      </w:r>
      <w:r>
        <w:rPr>
          <w:rFonts w:hint="eastAsia" w:ascii="Times New Roman" w:hAnsi="宋体" w:eastAsia="仿宋" w:cs="Times New Roman"/>
          <w:b w:val="0"/>
          <w:bCs w:val="0"/>
          <w:color w:val="auto"/>
          <w:sz w:val="24"/>
          <w:szCs w:val="24"/>
          <w:highlight w:val="none"/>
          <w:lang w:val="en-US" w:eastAsia="zh-CN"/>
        </w:rPr>
        <w:t>；</w:t>
      </w:r>
    </w:p>
    <w:p w14:paraId="2C01213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宋体" w:eastAsia="仿宋" w:cs="Times New Roman"/>
          <w:b w:val="0"/>
          <w:bCs w:val="0"/>
          <w:color w:val="auto"/>
          <w:sz w:val="24"/>
          <w:szCs w:val="24"/>
          <w:highlight w:val="none"/>
          <w:lang w:val="en-US" w:eastAsia="zh-CN"/>
        </w:rPr>
      </w:pPr>
      <w:r>
        <w:rPr>
          <w:rFonts w:hint="eastAsia" w:ascii="Times New Roman" w:hAnsi="宋体" w:eastAsia="仿宋" w:cs="Times New Roman"/>
          <w:b w:val="0"/>
          <w:bCs w:val="0"/>
          <w:color w:val="auto"/>
          <w:sz w:val="24"/>
          <w:szCs w:val="24"/>
          <w:highlight w:val="none"/>
          <w:lang w:val="en-US" w:eastAsia="zh-CN"/>
        </w:rPr>
        <w:t>15</w:t>
      </w:r>
      <w:r>
        <w:rPr>
          <w:rFonts w:hint="default" w:ascii="Times New Roman" w:hAnsi="宋体" w:eastAsia="仿宋" w:cs="Times New Roman"/>
          <w:b w:val="0"/>
          <w:bCs w:val="0"/>
          <w:color w:val="auto"/>
          <w:sz w:val="24"/>
          <w:szCs w:val="24"/>
          <w:highlight w:val="none"/>
          <w:lang w:val="en-US" w:eastAsia="zh-CN"/>
        </w:rPr>
        <w:t>、提供原厂肩关节专用相控阵线圈（专用线圈，不可用环形线圈等线圈组合替代）≥3单元</w:t>
      </w:r>
      <w:r>
        <w:rPr>
          <w:rFonts w:hint="eastAsia" w:ascii="Times New Roman" w:hAnsi="宋体" w:eastAsia="仿宋" w:cs="Times New Roman"/>
          <w:b w:val="0"/>
          <w:bCs w:val="0"/>
          <w:color w:val="auto"/>
          <w:sz w:val="24"/>
          <w:szCs w:val="24"/>
          <w:highlight w:val="none"/>
          <w:lang w:val="en-US" w:eastAsia="zh-CN"/>
        </w:rPr>
        <w:t>；</w:t>
      </w:r>
    </w:p>
    <w:p w14:paraId="3B9A7B3F">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Times New Roman" w:hAnsi="宋体" w:eastAsia="仿宋" w:cs="Times New Roman"/>
          <w:b w:val="0"/>
          <w:bCs w:val="0"/>
          <w:color w:val="auto"/>
          <w:sz w:val="24"/>
          <w:szCs w:val="24"/>
          <w:highlight w:val="none"/>
          <w:lang w:val="en-US" w:eastAsia="zh-CN"/>
        </w:rPr>
      </w:pPr>
      <w:r>
        <w:rPr>
          <w:rFonts w:hint="eastAsia" w:ascii="Times New Roman" w:hAnsi="宋体" w:eastAsia="仿宋" w:cs="Times New Roman"/>
          <w:b w:val="0"/>
          <w:bCs w:val="0"/>
          <w:color w:val="auto"/>
          <w:sz w:val="24"/>
          <w:szCs w:val="24"/>
          <w:highlight w:val="none"/>
          <w:lang w:val="en-US" w:eastAsia="zh-CN"/>
        </w:rPr>
        <w:t>16</w:t>
      </w:r>
      <w:r>
        <w:rPr>
          <w:rFonts w:hint="default" w:ascii="Times New Roman" w:hAnsi="宋体" w:eastAsia="仿宋" w:cs="Times New Roman"/>
          <w:b w:val="0"/>
          <w:bCs w:val="0"/>
          <w:color w:val="auto"/>
          <w:sz w:val="24"/>
          <w:szCs w:val="24"/>
          <w:highlight w:val="none"/>
          <w:lang w:val="en-US" w:eastAsia="zh-CN"/>
        </w:rPr>
        <w:t>、提供足踝关节专用相控阵线圈（专用线圈，不可用环形线圈等线圈组合替代）≥8单元</w:t>
      </w:r>
      <w:r>
        <w:rPr>
          <w:rFonts w:hint="eastAsia" w:ascii="Times New Roman" w:hAnsi="宋体" w:eastAsia="仿宋" w:cs="Times New Roman"/>
          <w:b w:val="0"/>
          <w:bCs w:val="0"/>
          <w:color w:val="auto"/>
          <w:sz w:val="24"/>
          <w:szCs w:val="24"/>
          <w:highlight w:val="none"/>
          <w:lang w:val="en-US" w:eastAsia="zh-CN"/>
        </w:rPr>
        <w:t>；</w:t>
      </w:r>
    </w:p>
    <w:p w14:paraId="41DF970B">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ascii="Times New Roman" w:hAnsi="宋体" w:eastAsia="仿宋" w:cs="Times New Roman"/>
          <w:b w:val="0"/>
          <w:bCs w:val="0"/>
          <w:color w:val="auto"/>
          <w:sz w:val="24"/>
          <w:szCs w:val="24"/>
          <w:highlight w:val="none"/>
          <w:lang w:val="en-US" w:eastAsia="zh-CN"/>
        </w:rPr>
      </w:pPr>
      <w:r>
        <w:rPr>
          <w:rFonts w:hint="eastAsia" w:ascii="Times New Roman" w:hAnsi="宋体" w:eastAsia="仿宋" w:cs="Times New Roman"/>
          <w:b w:val="0"/>
          <w:bCs w:val="0"/>
          <w:color w:val="auto"/>
          <w:sz w:val="24"/>
          <w:szCs w:val="24"/>
          <w:highlight w:val="none"/>
          <w:lang w:val="en-US" w:eastAsia="zh-CN"/>
        </w:rPr>
        <w:t>17</w:t>
      </w:r>
      <w:r>
        <w:rPr>
          <w:rFonts w:hint="default" w:ascii="Times New Roman" w:hAnsi="宋体" w:eastAsia="仿宋" w:cs="Times New Roman"/>
          <w:b w:val="0"/>
          <w:bCs w:val="0"/>
          <w:color w:val="auto"/>
          <w:sz w:val="24"/>
          <w:szCs w:val="24"/>
          <w:highlight w:val="none"/>
          <w:lang w:val="en-US" w:eastAsia="zh-CN"/>
        </w:rPr>
        <w:t>、提供外周血管专用相控阵线圈（专用线圈，不可用环形线圈等线圈组合替代）≥8单元</w:t>
      </w:r>
      <w:r>
        <w:rPr>
          <w:rFonts w:hint="eastAsia" w:ascii="Times New Roman" w:hAnsi="宋体" w:eastAsia="仿宋" w:cs="Times New Roman"/>
          <w:b w:val="0"/>
          <w:bCs w:val="0"/>
          <w:color w:val="auto"/>
          <w:sz w:val="24"/>
          <w:szCs w:val="24"/>
          <w:highlight w:val="none"/>
          <w:lang w:val="en-US" w:eastAsia="zh-CN"/>
        </w:rPr>
        <w:t>；</w:t>
      </w:r>
    </w:p>
    <w:p w14:paraId="1888A6B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█18</w:t>
      </w:r>
      <w:r>
        <w:rPr>
          <w:rFonts w:hint="default" w:hAnsi="宋体" w:eastAsia="仿宋" w:cs="Times New Roman"/>
          <w:b w:val="0"/>
          <w:bCs w:val="0"/>
          <w:color w:val="auto"/>
          <w:sz w:val="24"/>
          <w:szCs w:val="24"/>
          <w:highlight w:val="none"/>
          <w:lang w:val="en-US" w:eastAsia="zh-CN"/>
        </w:rPr>
        <w:t xml:space="preserve">、检查床上线圈接口总数≥ </w:t>
      </w:r>
      <w:r>
        <w:rPr>
          <w:rFonts w:hint="eastAsia" w:hAnsi="宋体" w:eastAsia="仿宋" w:cs="Times New Roman"/>
          <w:b w:val="0"/>
          <w:bCs w:val="0"/>
          <w:color w:val="auto"/>
          <w:sz w:val="24"/>
          <w:szCs w:val="24"/>
          <w:highlight w:val="none"/>
          <w:lang w:val="en-US" w:eastAsia="zh-CN"/>
        </w:rPr>
        <w:t>3</w:t>
      </w:r>
      <w:r>
        <w:rPr>
          <w:rFonts w:hint="default" w:hAnsi="宋体" w:eastAsia="仿宋" w:cs="Times New Roman"/>
          <w:b w:val="0"/>
          <w:bCs w:val="0"/>
          <w:color w:val="auto"/>
          <w:sz w:val="24"/>
          <w:szCs w:val="24"/>
          <w:highlight w:val="none"/>
          <w:lang w:val="en-US" w:eastAsia="zh-CN"/>
        </w:rPr>
        <w:t>个，且可同时接驳使用</w:t>
      </w:r>
      <w:r>
        <w:rPr>
          <w:rFonts w:hint="eastAsia" w:hAnsi="宋体" w:eastAsia="仿宋" w:cs="Times New Roman"/>
          <w:b w:val="0"/>
          <w:bCs w:val="0"/>
          <w:color w:val="auto"/>
          <w:sz w:val="24"/>
          <w:szCs w:val="24"/>
          <w:highlight w:val="none"/>
          <w:lang w:val="en-US" w:eastAsia="zh-CN"/>
        </w:rPr>
        <w:t>。</w:t>
      </w:r>
    </w:p>
    <w:p w14:paraId="5030827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六、扫描环境：</w:t>
      </w:r>
    </w:p>
    <w:p w14:paraId="187FE132">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19</w:t>
      </w:r>
      <w:r>
        <w:rPr>
          <w:rFonts w:hint="default" w:hAnsi="宋体" w:eastAsia="仿宋" w:cs="Times New Roman"/>
          <w:b w:val="0"/>
          <w:bCs w:val="0"/>
          <w:color w:val="auto"/>
          <w:sz w:val="24"/>
          <w:szCs w:val="24"/>
          <w:highlight w:val="none"/>
          <w:lang w:val="en-US" w:eastAsia="zh-CN"/>
        </w:rPr>
        <w:t>、检查床最低床位高度 ≤5</w:t>
      </w:r>
      <w:r>
        <w:rPr>
          <w:rFonts w:hint="eastAsia" w:hAnsi="宋体" w:eastAsia="仿宋" w:cs="Times New Roman"/>
          <w:b w:val="0"/>
          <w:bCs w:val="0"/>
          <w:color w:val="auto"/>
          <w:sz w:val="24"/>
          <w:szCs w:val="24"/>
          <w:highlight w:val="none"/>
          <w:lang w:val="en-US" w:eastAsia="zh-CN"/>
        </w:rPr>
        <w:t>9</w:t>
      </w:r>
      <w:r>
        <w:rPr>
          <w:rFonts w:hint="default" w:hAnsi="宋体" w:eastAsia="仿宋" w:cs="Times New Roman"/>
          <w:b w:val="0"/>
          <w:bCs w:val="0"/>
          <w:color w:val="auto"/>
          <w:sz w:val="24"/>
          <w:szCs w:val="24"/>
          <w:highlight w:val="none"/>
          <w:lang w:val="en-US" w:eastAsia="zh-CN"/>
        </w:rPr>
        <w:t>cm</w:t>
      </w:r>
      <w:r>
        <w:rPr>
          <w:rFonts w:hint="eastAsia" w:hAnsi="宋体" w:eastAsia="仿宋" w:cs="Times New Roman"/>
          <w:b w:val="0"/>
          <w:bCs w:val="0"/>
          <w:color w:val="auto"/>
          <w:sz w:val="24"/>
          <w:szCs w:val="24"/>
          <w:highlight w:val="none"/>
          <w:lang w:val="en-US" w:eastAsia="zh-CN"/>
        </w:rPr>
        <w:t>；</w:t>
      </w:r>
    </w:p>
    <w:p w14:paraId="35666D21">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20</w:t>
      </w:r>
      <w:r>
        <w:rPr>
          <w:rFonts w:hint="default" w:hAnsi="宋体" w:eastAsia="仿宋" w:cs="Times New Roman"/>
          <w:b w:val="0"/>
          <w:bCs w:val="0"/>
          <w:color w:val="auto"/>
          <w:sz w:val="24"/>
          <w:szCs w:val="24"/>
          <w:highlight w:val="none"/>
          <w:lang w:val="en-US" w:eastAsia="zh-CN"/>
        </w:rPr>
        <w:t>、提供呼吸门控技术</w:t>
      </w:r>
      <w:r>
        <w:rPr>
          <w:rFonts w:hint="eastAsia" w:hAnsi="宋体" w:eastAsia="仿宋" w:cs="Times New Roman"/>
          <w:b w:val="0"/>
          <w:bCs w:val="0"/>
          <w:color w:val="auto"/>
          <w:sz w:val="24"/>
          <w:szCs w:val="24"/>
          <w:highlight w:val="none"/>
          <w:lang w:val="en-US" w:eastAsia="zh-CN"/>
        </w:rPr>
        <w:t>；</w:t>
      </w:r>
    </w:p>
    <w:p w14:paraId="3074191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七、计算机系统：</w:t>
      </w:r>
    </w:p>
    <w:p w14:paraId="0AAAAFA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21</w:t>
      </w:r>
      <w:r>
        <w:rPr>
          <w:rFonts w:hint="default" w:hAnsi="宋体" w:eastAsia="仿宋" w:cs="Times New Roman"/>
          <w:b w:val="0"/>
          <w:bCs w:val="0"/>
          <w:color w:val="auto"/>
          <w:sz w:val="24"/>
          <w:szCs w:val="24"/>
          <w:highlight w:val="none"/>
          <w:lang w:val="en-US" w:eastAsia="zh-CN"/>
        </w:rPr>
        <w:t>、</w:t>
      </w:r>
      <w:r>
        <w:rPr>
          <w:rFonts w:hint="eastAsia" w:hAnsi="宋体" w:eastAsia="仿宋"/>
          <w:sz w:val="24"/>
        </w:rPr>
        <w:t>计算机配置厂家自述；</w:t>
      </w:r>
      <w:r>
        <w:rPr>
          <w:rFonts w:hint="default" w:hAnsi="宋体" w:eastAsia="仿宋" w:cs="Times New Roman"/>
          <w:b w:val="0"/>
          <w:bCs w:val="0"/>
          <w:color w:val="auto"/>
          <w:sz w:val="24"/>
          <w:szCs w:val="24"/>
          <w:highlight w:val="none"/>
          <w:lang w:val="en-US" w:eastAsia="zh-CN"/>
        </w:rPr>
        <w:t>；</w:t>
      </w:r>
    </w:p>
    <w:p w14:paraId="5E5D57C6">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八、扫描参数：</w:t>
      </w:r>
    </w:p>
    <w:p w14:paraId="2A0BFD08">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22</w:t>
      </w:r>
      <w:r>
        <w:rPr>
          <w:rFonts w:hint="default" w:hAnsi="宋体" w:eastAsia="仿宋" w:cs="Times New Roman"/>
          <w:b w:val="0"/>
          <w:bCs w:val="0"/>
          <w:color w:val="auto"/>
          <w:sz w:val="24"/>
          <w:szCs w:val="24"/>
          <w:highlight w:val="none"/>
          <w:lang w:val="en-US" w:eastAsia="zh-CN"/>
        </w:rPr>
        <w:t>、2D扫描最薄层厚≤0.1mm</w:t>
      </w:r>
      <w:r>
        <w:rPr>
          <w:rFonts w:hint="eastAsia" w:hAnsi="宋体" w:eastAsia="仿宋" w:cs="Times New Roman"/>
          <w:b w:val="0"/>
          <w:bCs w:val="0"/>
          <w:color w:val="auto"/>
          <w:sz w:val="24"/>
          <w:szCs w:val="24"/>
          <w:highlight w:val="none"/>
          <w:lang w:val="en-US" w:eastAsia="zh-CN"/>
        </w:rPr>
        <w:t>；</w:t>
      </w:r>
    </w:p>
    <w:p w14:paraId="2650B07E">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23</w:t>
      </w:r>
      <w:r>
        <w:rPr>
          <w:rFonts w:hint="default" w:hAnsi="宋体" w:eastAsia="仿宋" w:cs="Times New Roman"/>
          <w:b w:val="0"/>
          <w:bCs w:val="0"/>
          <w:color w:val="auto"/>
          <w:sz w:val="24"/>
          <w:szCs w:val="24"/>
          <w:highlight w:val="none"/>
          <w:lang w:val="en-US" w:eastAsia="zh-CN"/>
        </w:rPr>
        <w:t>、3D扫描最薄层厚≤0.</w:t>
      </w:r>
      <w:r>
        <w:rPr>
          <w:rFonts w:hint="eastAsia" w:hAnsi="宋体" w:eastAsia="仿宋" w:cs="Times New Roman"/>
          <w:b w:val="0"/>
          <w:bCs w:val="0"/>
          <w:color w:val="auto"/>
          <w:sz w:val="24"/>
          <w:szCs w:val="24"/>
          <w:highlight w:val="none"/>
          <w:lang w:val="en-US" w:eastAsia="zh-CN"/>
        </w:rPr>
        <w:t>1</w:t>
      </w:r>
      <w:r>
        <w:rPr>
          <w:rFonts w:hint="default" w:hAnsi="宋体" w:eastAsia="仿宋" w:cs="Times New Roman"/>
          <w:b w:val="0"/>
          <w:bCs w:val="0"/>
          <w:color w:val="auto"/>
          <w:sz w:val="24"/>
          <w:szCs w:val="24"/>
          <w:highlight w:val="none"/>
          <w:lang w:val="en-US" w:eastAsia="zh-CN"/>
        </w:rPr>
        <w:t>mm</w:t>
      </w:r>
      <w:r>
        <w:rPr>
          <w:rFonts w:hint="eastAsia" w:hAnsi="宋体" w:eastAsia="仿宋" w:cs="Times New Roman"/>
          <w:b w:val="0"/>
          <w:bCs w:val="0"/>
          <w:color w:val="auto"/>
          <w:sz w:val="24"/>
          <w:szCs w:val="24"/>
          <w:highlight w:val="none"/>
          <w:lang w:val="en-US" w:eastAsia="zh-CN"/>
        </w:rPr>
        <w:t>；</w:t>
      </w:r>
    </w:p>
    <w:p w14:paraId="492F63CC">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九、序列及后处理：</w:t>
      </w:r>
    </w:p>
    <w:p w14:paraId="411AEBB3">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default"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●24</w:t>
      </w:r>
      <w:r>
        <w:rPr>
          <w:rFonts w:hint="default" w:hAnsi="宋体" w:eastAsia="仿宋" w:cs="Times New Roman"/>
          <w:b w:val="0"/>
          <w:bCs w:val="0"/>
          <w:color w:val="auto"/>
          <w:sz w:val="24"/>
          <w:szCs w:val="24"/>
          <w:highlight w:val="none"/>
          <w:lang w:val="en-US" w:eastAsia="zh-CN"/>
        </w:rPr>
        <w:t>、人工智能图像重建技术：具备人工智能图像重建技术 , 请需提供最新的磁共振 AI加速或重建技术，如IQMR、SupMR 等类似技术，并提供相关证明材料</w:t>
      </w:r>
      <w:r>
        <w:rPr>
          <w:rFonts w:hint="eastAsia" w:hAnsi="宋体" w:eastAsia="仿宋" w:cs="Times New Roman"/>
          <w:b w:val="0"/>
          <w:bCs w:val="0"/>
          <w:color w:val="auto"/>
          <w:sz w:val="24"/>
          <w:szCs w:val="24"/>
          <w:highlight w:val="none"/>
          <w:lang w:val="en-US" w:eastAsia="zh-CN"/>
        </w:rPr>
        <w:t>；</w:t>
      </w:r>
    </w:p>
    <w:p w14:paraId="6678230A">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cs="Times New Roman"/>
          <w:b w:val="0"/>
          <w:bCs w:val="0"/>
          <w:color w:val="auto"/>
          <w:sz w:val="24"/>
          <w:szCs w:val="24"/>
          <w:highlight w:val="none"/>
          <w:lang w:val="en-US" w:eastAsia="zh-CN"/>
        </w:rPr>
      </w:pPr>
      <w:r>
        <w:rPr>
          <w:rFonts w:hint="eastAsia" w:hAnsi="宋体" w:eastAsia="仿宋" w:cs="Times New Roman"/>
          <w:b w:val="0"/>
          <w:bCs w:val="0"/>
          <w:color w:val="auto"/>
          <w:sz w:val="24"/>
          <w:szCs w:val="24"/>
          <w:highlight w:val="none"/>
          <w:lang w:val="en-US" w:eastAsia="zh-CN"/>
        </w:rPr>
        <w:t>25</w:t>
      </w:r>
      <w:r>
        <w:rPr>
          <w:rFonts w:hint="default" w:hAnsi="宋体" w:eastAsia="仿宋" w:cs="Times New Roman"/>
          <w:b w:val="0"/>
          <w:bCs w:val="0"/>
          <w:color w:val="auto"/>
          <w:sz w:val="24"/>
          <w:szCs w:val="24"/>
          <w:highlight w:val="none"/>
          <w:lang w:val="en-US" w:eastAsia="zh-CN"/>
        </w:rPr>
        <w:t>、全身压缩感知技术：提供全身压缩感知技术（提供技术白皮书或datasheet证明）</w:t>
      </w:r>
      <w:r>
        <w:rPr>
          <w:rFonts w:hint="eastAsia" w:hAnsi="宋体" w:eastAsia="仿宋" w:cs="Times New Roman"/>
          <w:b w:val="0"/>
          <w:bCs w:val="0"/>
          <w:color w:val="auto"/>
          <w:sz w:val="24"/>
          <w:szCs w:val="24"/>
          <w:highlight w:val="none"/>
          <w:lang w:val="en-US" w:eastAsia="zh-CN"/>
        </w:rPr>
        <w:t>；</w:t>
      </w:r>
    </w:p>
    <w:p w14:paraId="2A3851D5">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hAnsi="宋体" w:eastAsia="仿宋"/>
          <w:sz w:val="24"/>
        </w:rPr>
      </w:pPr>
    </w:p>
    <w:p w14:paraId="2E9EF055">
      <w:pPr>
        <w:pStyle w:val="25"/>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4.3 须单独报价配件（或附件）一览表</w:t>
      </w:r>
    </w:p>
    <w:p w14:paraId="159C015D">
      <w:pPr>
        <w:pStyle w:val="25"/>
        <w:widowControl/>
        <w:snapToGrid w:val="0"/>
        <w:spacing w:line="360" w:lineRule="auto"/>
        <w:ind w:firstLine="480" w:firstLineChars="200"/>
        <w:outlineLvl w:val="2"/>
        <w:rPr>
          <w:rFonts w:hint="eastAsia" w:hAnsi="宋体" w:eastAsia="仿宋"/>
          <w:b w:val="0"/>
          <w:bCs w:val="0"/>
          <w:color w:val="auto"/>
          <w:sz w:val="24"/>
          <w:szCs w:val="24"/>
          <w:highlight w:val="none"/>
        </w:rPr>
      </w:pPr>
      <w:r>
        <w:rPr>
          <w:rFonts w:hint="eastAsia" w:hAnsi="宋体" w:eastAsia="仿宋"/>
          <w:b w:val="0"/>
          <w:bCs w:val="0"/>
          <w:color w:val="auto"/>
          <w:sz w:val="24"/>
          <w:szCs w:val="24"/>
          <w:highlight w:val="none"/>
        </w:rPr>
        <w:t>说明:以下配件（或附件）计入本次投标总价的数量均为单台(套)设备</w:t>
      </w:r>
      <w:r>
        <w:rPr>
          <w:rFonts w:hint="eastAsia" w:hAnsi="宋体" w:eastAsia="仿宋"/>
          <w:b w:val="0"/>
          <w:bCs w:val="0"/>
          <w:color w:val="auto"/>
          <w:sz w:val="24"/>
          <w:szCs w:val="24"/>
          <w:highlight w:val="none"/>
          <w:lang w:val="en-US" w:eastAsia="zh-CN"/>
        </w:rPr>
        <w:t>需求数量</w:t>
      </w:r>
      <w:r>
        <w:rPr>
          <w:rFonts w:hint="eastAsia" w:hAnsi="宋体" w:eastAsia="仿宋"/>
          <w:b w:val="0"/>
          <w:bCs w:val="0"/>
          <w:color w:val="auto"/>
          <w:sz w:val="24"/>
          <w:szCs w:val="24"/>
          <w:highlight w:val="none"/>
        </w:rPr>
        <w:t>。</w:t>
      </w:r>
    </w:p>
    <w:p w14:paraId="0CB881D2">
      <w:pPr>
        <w:pStyle w:val="25"/>
        <w:widowControl/>
        <w:snapToGrid w:val="0"/>
        <w:spacing w:line="360" w:lineRule="auto"/>
        <w:ind w:firstLine="482" w:firstLineChars="200"/>
        <w:outlineLvl w:val="2"/>
        <w:rPr>
          <w:rFonts w:hint="default" w:hAnsi="宋体" w:eastAsia="仿宋"/>
          <w:b/>
          <w:bCs/>
          <w:color w:val="auto"/>
          <w:sz w:val="24"/>
          <w:szCs w:val="24"/>
          <w:highlight w:val="none"/>
          <w:lang w:val="en-US" w:eastAsia="zh-CN"/>
        </w:rPr>
      </w:pPr>
      <w:r>
        <w:rPr>
          <w:rFonts w:hint="default" w:hAnsi="宋体" w:eastAsia="仿宋"/>
          <w:b/>
          <w:bCs/>
          <w:color w:val="auto"/>
          <w:sz w:val="24"/>
          <w:szCs w:val="24"/>
          <w:highlight w:val="none"/>
          <w:lang w:val="en-US" w:eastAsia="zh-CN"/>
        </w:rPr>
        <w:t>核磁共振成像系统（MR）1.5T（高配）</w:t>
      </w:r>
    </w:p>
    <w:tbl>
      <w:tblPr>
        <w:tblStyle w:val="48"/>
        <w:tblW w:w="498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2"/>
        <w:gridCol w:w="3902"/>
        <w:gridCol w:w="1218"/>
        <w:gridCol w:w="3780"/>
      </w:tblGrid>
      <w:tr w14:paraId="52385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474" w:type="pct"/>
            <w:noWrap w:val="0"/>
            <w:vAlign w:val="center"/>
          </w:tcPr>
          <w:p w14:paraId="1734AD3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序号</w:t>
            </w:r>
          </w:p>
        </w:tc>
        <w:tc>
          <w:tcPr>
            <w:tcW w:w="1983" w:type="pct"/>
            <w:noWrap w:val="0"/>
            <w:vAlign w:val="center"/>
          </w:tcPr>
          <w:p w14:paraId="6752FA3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配件（或附件）名称</w:t>
            </w:r>
          </w:p>
        </w:tc>
        <w:tc>
          <w:tcPr>
            <w:tcW w:w="619" w:type="pct"/>
            <w:noWrap w:val="0"/>
            <w:vAlign w:val="center"/>
          </w:tcPr>
          <w:p w14:paraId="4003ED1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单位</w:t>
            </w:r>
          </w:p>
        </w:tc>
        <w:tc>
          <w:tcPr>
            <w:tcW w:w="1921" w:type="pct"/>
            <w:noWrap w:val="0"/>
            <w:vAlign w:val="center"/>
          </w:tcPr>
          <w:p w14:paraId="23C890EC">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计入本次投标总价的数量</w:t>
            </w:r>
          </w:p>
          <w:p w14:paraId="23BB5C1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rPr>
            </w:pPr>
            <w:r>
              <w:rPr>
                <w:rFonts w:hint="eastAsia" w:ascii="仿宋" w:hAnsi="仿宋" w:eastAsia="仿宋" w:cs="仿宋"/>
                <w:color w:val="auto"/>
                <w:kern w:val="0"/>
                <w:sz w:val="22"/>
                <w:szCs w:val="22"/>
                <w:highlight w:val="none"/>
              </w:rPr>
              <w:t>（数量为0则不计入</w:t>
            </w:r>
            <w:r>
              <w:rPr>
                <w:rFonts w:hint="eastAsia" w:ascii="仿宋" w:hAnsi="仿宋" w:eastAsia="仿宋" w:cs="仿宋"/>
                <w:color w:val="auto"/>
                <w:kern w:val="0"/>
                <w:sz w:val="22"/>
                <w:szCs w:val="22"/>
                <w:highlight w:val="none"/>
                <w:lang w:val="en-US" w:eastAsia="zh-CN"/>
              </w:rPr>
              <w:t>本</w:t>
            </w:r>
            <w:r>
              <w:rPr>
                <w:rFonts w:hint="eastAsia" w:ascii="仿宋" w:hAnsi="仿宋" w:eastAsia="仿宋" w:cs="仿宋"/>
                <w:color w:val="auto"/>
                <w:kern w:val="0"/>
                <w:sz w:val="22"/>
                <w:szCs w:val="22"/>
                <w:highlight w:val="none"/>
              </w:rPr>
              <w:t>次投标总价）</w:t>
            </w:r>
          </w:p>
        </w:tc>
      </w:tr>
      <w:tr w14:paraId="1913B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74" w:type="pct"/>
            <w:noWrap w:val="0"/>
            <w:vAlign w:val="center"/>
          </w:tcPr>
          <w:p w14:paraId="49C73DD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w:t>
            </w:r>
          </w:p>
        </w:tc>
        <w:tc>
          <w:tcPr>
            <w:tcW w:w="1983" w:type="pct"/>
            <w:noWrap w:val="0"/>
            <w:vAlign w:val="center"/>
          </w:tcPr>
          <w:p w14:paraId="72621A4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rPr>
              <w:t>水冷机</w:t>
            </w:r>
          </w:p>
        </w:tc>
        <w:tc>
          <w:tcPr>
            <w:tcW w:w="619" w:type="pct"/>
            <w:noWrap w:val="0"/>
            <w:vAlign w:val="center"/>
          </w:tcPr>
          <w:p w14:paraId="278FC01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台</w:t>
            </w:r>
          </w:p>
        </w:tc>
        <w:tc>
          <w:tcPr>
            <w:tcW w:w="1921" w:type="pct"/>
            <w:noWrap w:val="0"/>
            <w:vAlign w:val="center"/>
          </w:tcPr>
          <w:p w14:paraId="4DCB395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w:t>
            </w:r>
          </w:p>
        </w:tc>
      </w:tr>
      <w:tr w14:paraId="3E942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74" w:type="pct"/>
            <w:noWrap w:val="0"/>
            <w:vAlign w:val="center"/>
          </w:tcPr>
          <w:p w14:paraId="69E4671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2</w:t>
            </w:r>
          </w:p>
        </w:tc>
        <w:tc>
          <w:tcPr>
            <w:tcW w:w="1983" w:type="pct"/>
            <w:noWrap w:val="0"/>
            <w:vAlign w:val="center"/>
          </w:tcPr>
          <w:p w14:paraId="3244AEA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rPr>
              <w:t>磁共振专用恒温恒湿精密空调</w:t>
            </w:r>
          </w:p>
        </w:tc>
        <w:tc>
          <w:tcPr>
            <w:tcW w:w="619" w:type="pct"/>
            <w:noWrap w:val="0"/>
            <w:vAlign w:val="center"/>
          </w:tcPr>
          <w:p w14:paraId="11C119F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台</w:t>
            </w:r>
          </w:p>
        </w:tc>
        <w:tc>
          <w:tcPr>
            <w:tcW w:w="1921" w:type="pct"/>
            <w:noWrap w:val="0"/>
            <w:vAlign w:val="center"/>
          </w:tcPr>
          <w:p w14:paraId="197632F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rPr>
              <w:t>1</w:t>
            </w:r>
          </w:p>
        </w:tc>
      </w:tr>
      <w:tr w14:paraId="14468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74" w:type="pct"/>
            <w:noWrap w:val="0"/>
            <w:vAlign w:val="center"/>
          </w:tcPr>
          <w:p w14:paraId="757FBEF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3</w:t>
            </w:r>
          </w:p>
        </w:tc>
        <w:tc>
          <w:tcPr>
            <w:tcW w:w="1983" w:type="pct"/>
            <w:noWrap w:val="0"/>
            <w:vAlign w:val="center"/>
          </w:tcPr>
          <w:p w14:paraId="3547BD3F">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后处理工作站</w:t>
            </w:r>
          </w:p>
        </w:tc>
        <w:tc>
          <w:tcPr>
            <w:tcW w:w="619" w:type="pct"/>
            <w:noWrap w:val="0"/>
            <w:vAlign w:val="center"/>
          </w:tcPr>
          <w:p w14:paraId="55F9DEA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套</w:t>
            </w:r>
          </w:p>
        </w:tc>
        <w:tc>
          <w:tcPr>
            <w:tcW w:w="1921" w:type="pct"/>
            <w:noWrap w:val="0"/>
            <w:vAlign w:val="center"/>
          </w:tcPr>
          <w:p w14:paraId="310BC9B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r>
      <w:tr w14:paraId="76B12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74" w:type="pct"/>
            <w:noWrap w:val="0"/>
            <w:vAlign w:val="center"/>
          </w:tcPr>
          <w:p w14:paraId="41F31FED">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4</w:t>
            </w:r>
          </w:p>
        </w:tc>
        <w:tc>
          <w:tcPr>
            <w:tcW w:w="1983" w:type="pct"/>
            <w:noWrap w:val="0"/>
            <w:vAlign w:val="center"/>
          </w:tcPr>
          <w:p w14:paraId="5251529C">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无磁转运床</w:t>
            </w:r>
          </w:p>
        </w:tc>
        <w:tc>
          <w:tcPr>
            <w:tcW w:w="619" w:type="pct"/>
            <w:noWrap w:val="0"/>
            <w:vAlign w:val="center"/>
          </w:tcPr>
          <w:p w14:paraId="3533BAC4">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张</w:t>
            </w:r>
          </w:p>
        </w:tc>
        <w:tc>
          <w:tcPr>
            <w:tcW w:w="1921" w:type="pct"/>
            <w:noWrap w:val="0"/>
            <w:vAlign w:val="center"/>
          </w:tcPr>
          <w:p w14:paraId="678E050F">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r>
      <w:tr w14:paraId="26301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474" w:type="pct"/>
            <w:noWrap w:val="0"/>
            <w:vAlign w:val="center"/>
          </w:tcPr>
          <w:p w14:paraId="10F88B7F">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5</w:t>
            </w:r>
          </w:p>
        </w:tc>
        <w:tc>
          <w:tcPr>
            <w:tcW w:w="1983" w:type="pct"/>
            <w:noWrap w:val="0"/>
            <w:vAlign w:val="center"/>
          </w:tcPr>
          <w:p w14:paraId="2340B555">
            <w:pPr>
              <w:keepNext w:val="0"/>
              <w:keepLines w:val="0"/>
              <w:suppressLineNumbers w:val="0"/>
              <w:adjustRightInd w:val="0"/>
              <w:snapToGrid w:val="0"/>
              <w:spacing w:before="0" w:beforeAutospacing="0" w:after="0" w:afterAutospacing="0"/>
              <w:ind w:left="0" w:right="0"/>
              <w:jc w:val="center"/>
              <w:rPr>
                <w:rFonts w:hint="eastAsia"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无磁轮椅</w:t>
            </w:r>
          </w:p>
        </w:tc>
        <w:tc>
          <w:tcPr>
            <w:tcW w:w="619" w:type="pct"/>
            <w:noWrap w:val="0"/>
            <w:vAlign w:val="center"/>
          </w:tcPr>
          <w:p w14:paraId="4380B853">
            <w:pPr>
              <w:keepNext w:val="0"/>
              <w:keepLines w:val="0"/>
              <w:suppressLineNumbers w:val="0"/>
              <w:adjustRightInd w:val="0"/>
              <w:snapToGrid w:val="0"/>
              <w:spacing w:before="0" w:beforeAutospacing="0" w:after="0" w:afterAutospacing="0"/>
              <w:ind w:left="0" w:right="0"/>
              <w:jc w:val="center"/>
              <w:rPr>
                <w:rFonts w:hint="default" w:ascii="仿宋" w:hAnsi="仿宋" w:eastAsia="仿宋" w:cs="仿宋"/>
                <w:color w:val="auto"/>
                <w:kern w:val="2"/>
                <w:sz w:val="22"/>
                <w:szCs w:val="22"/>
                <w:highlight w:val="none"/>
                <w:lang w:val="en-US" w:eastAsia="zh-CN" w:bidi="ar-SA"/>
              </w:rPr>
            </w:pPr>
            <w:r>
              <w:rPr>
                <w:rFonts w:hint="eastAsia" w:ascii="仿宋" w:hAnsi="仿宋" w:eastAsia="仿宋" w:cs="仿宋"/>
                <w:color w:val="auto"/>
                <w:kern w:val="2"/>
                <w:sz w:val="22"/>
                <w:szCs w:val="22"/>
                <w:highlight w:val="none"/>
                <w:lang w:val="en-US" w:eastAsia="zh-CN" w:bidi="ar-SA"/>
              </w:rPr>
              <w:t>个</w:t>
            </w:r>
          </w:p>
        </w:tc>
        <w:tc>
          <w:tcPr>
            <w:tcW w:w="1921" w:type="pct"/>
            <w:noWrap w:val="0"/>
            <w:vAlign w:val="center"/>
          </w:tcPr>
          <w:p w14:paraId="2B7B770C">
            <w:pPr>
              <w:keepNext w:val="0"/>
              <w:keepLines w:val="0"/>
              <w:widowControl/>
              <w:suppressLineNumbers w:val="0"/>
              <w:adjustRightInd w:val="0"/>
              <w:snapToGrid w:val="0"/>
              <w:spacing w:before="0" w:beforeAutospacing="0" w:after="0" w:afterAutospacing="0"/>
              <w:ind w:left="0" w:right="0"/>
              <w:jc w:val="center"/>
              <w:rPr>
                <w:rFonts w:hint="default" w:ascii="仿宋" w:hAnsi="仿宋" w:eastAsia="仿宋" w:cs="仿宋"/>
                <w:color w:val="auto"/>
                <w:kern w:val="0"/>
                <w:sz w:val="22"/>
                <w:szCs w:val="22"/>
                <w:highlight w:val="none"/>
                <w:lang w:val="en-US" w:eastAsia="zh-CN" w:bidi="ar-SA"/>
              </w:rPr>
            </w:pPr>
            <w:r>
              <w:rPr>
                <w:rFonts w:hint="eastAsia" w:ascii="仿宋" w:hAnsi="仿宋" w:eastAsia="仿宋" w:cs="仿宋"/>
                <w:color w:val="auto"/>
                <w:kern w:val="0"/>
                <w:sz w:val="22"/>
                <w:szCs w:val="22"/>
                <w:highlight w:val="none"/>
                <w:lang w:val="en-US" w:eastAsia="zh-CN" w:bidi="ar-SA"/>
              </w:rPr>
              <w:t>1</w:t>
            </w:r>
          </w:p>
        </w:tc>
      </w:tr>
    </w:tbl>
    <w:p w14:paraId="34BC6C9D">
      <w:pPr>
        <w:adjustRightInd w:val="0"/>
        <w:snapToGrid w:val="0"/>
        <w:spacing w:before="120" w:after="120" w:line="360" w:lineRule="auto"/>
        <w:ind w:firstLine="440" w:firstLineChars="200"/>
        <w:rPr>
          <w:rFonts w:hint="eastAsia" w:ascii="Times New Roman" w:hAnsi="Times New Roman" w:eastAsia="仿宋" w:cs="Times New Roman"/>
          <w:color w:val="000000"/>
          <w:sz w:val="22"/>
          <w:szCs w:val="22"/>
          <w:highlight w:val="none"/>
        </w:rPr>
      </w:pPr>
      <w:r>
        <w:rPr>
          <w:rFonts w:hint="eastAsia" w:ascii="Times New Roman" w:hAnsi="Times New Roman" w:eastAsia="仿宋" w:cs="Times New Roman"/>
          <w:color w:val="000000"/>
          <w:sz w:val="22"/>
          <w:szCs w:val="22"/>
          <w:highlight w:val="none"/>
        </w:rPr>
        <w:t>备注：</w:t>
      </w:r>
    </w:p>
    <w:p w14:paraId="25311AEC">
      <w:pPr>
        <w:adjustRightInd w:val="0"/>
        <w:snapToGrid w:val="0"/>
        <w:spacing w:before="120" w:after="120" w:line="360" w:lineRule="auto"/>
        <w:ind w:firstLine="440" w:firstLineChars="200"/>
        <w:rPr>
          <w:rFonts w:hint="eastAsia" w:ascii="Times New Roman" w:hAnsi="Times New Roman" w:eastAsia="仿宋" w:cs="Times New Roman"/>
          <w:color w:val="000000"/>
          <w:sz w:val="22"/>
          <w:szCs w:val="22"/>
          <w:highlight w:val="none"/>
        </w:rPr>
      </w:pPr>
      <w:r>
        <w:rPr>
          <w:rFonts w:hint="eastAsia" w:ascii="Times New Roman" w:hAnsi="Times New Roman" w:eastAsia="仿宋" w:cs="Times New Roman"/>
          <w:color w:val="000000"/>
          <w:sz w:val="22"/>
          <w:szCs w:val="22"/>
          <w:highlight w:val="none"/>
        </w:rPr>
        <w:t>（1）报价配件（或附件）的计入本次投标总价的数量为计划采购数量，仅作为投标报价的依据，不作为最终结算与支付的依据；</w:t>
      </w:r>
    </w:p>
    <w:p w14:paraId="5DF5A143">
      <w:pPr>
        <w:adjustRightInd w:val="0"/>
        <w:snapToGrid w:val="0"/>
        <w:spacing w:before="120" w:after="120" w:line="360" w:lineRule="auto"/>
        <w:ind w:firstLine="440" w:firstLineChars="200"/>
        <w:rPr>
          <w:rFonts w:hint="eastAsia" w:ascii="Times New Roman" w:hAnsi="Times New Roman" w:eastAsia="仿宋" w:cs="Times New Roman"/>
          <w:color w:val="000000"/>
          <w:sz w:val="22"/>
          <w:szCs w:val="22"/>
          <w:highlight w:val="none"/>
        </w:rPr>
      </w:pPr>
      <w:r>
        <w:rPr>
          <w:rFonts w:hint="eastAsia" w:ascii="Times New Roman" w:hAnsi="Times New Roman" w:eastAsia="仿宋" w:cs="Times New Roman"/>
          <w:color w:val="000000"/>
          <w:sz w:val="22"/>
          <w:szCs w:val="22"/>
          <w:highlight w:val="none"/>
        </w:rPr>
        <w:t>（2）各使用单位可根据临床使用需求决定选择性采购招标文件中列明须单独报价的配件（或附件），实际合同价格为相应标准配置设备中标价格与未选择采购（减少）配件（或附件）价格的相应价格之差。</w:t>
      </w:r>
    </w:p>
    <w:p w14:paraId="69A3A66C">
      <w:pPr>
        <w:pStyle w:val="25"/>
        <w:widowControl/>
        <w:snapToGrid w:val="0"/>
        <w:spacing w:line="360" w:lineRule="auto"/>
        <w:ind w:firstLine="482" w:firstLineChars="200"/>
        <w:outlineLvl w:val="2"/>
        <w:rPr>
          <w:rFonts w:hAnsi="宋体" w:eastAsia="仿宋"/>
          <w:b/>
          <w:bCs/>
          <w:sz w:val="24"/>
          <w:szCs w:val="24"/>
          <w:highlight w:val="none"/>
        </w:rPr>
      </w:pPr>
      <w:r>
        <w:rPr>
          <w:rFonts w:hint="eastAsia" w:hAnsi="宋体" w:eastAsia="仿宋"/>
          <w:b/>
          <w:bCs/>
          <w:sz w:val="24"/>
          <w:szCs w:val="24"/>
          <w:highlight w:val="none"/>
        </w:rPr>
        <w:t>4.4 试验检测</w:t>
      </w:r>
      <w:bookmarkEnd w:id="778"/>
      <w:bookmarkEnd w:id="779"/>
      <w:bookmarkEnd w:id="780"/>
      <w:bookmarkEnd w:id="781"/>
      <w:bookmarkEnd w:id="782"/>
      <w:bookmarkEnd w:id="783"/>
      <w:bookmarkEnd w:id="784"/>
      <w:bookmarkEnd w:id="785"/>
      <w:bookmarkEnd w:id="786"/>
      <w:r>
        <w:rPr>
          <w:rFonts w:hint="eastAsia" w:hAnsi="宋体" w:eastAsia="仿宋"/>
          <w:b/>
          <w:bCs/>
          <w:sz w:val="24"/>
          <w:szCs w:val="24"/>
          <w:highlight w:val="none"/>
        </w:rPr>
        <w:t>要求</w:t>
      </w:r>
    </w:p>
    <w:p w14:paraId="67325D5C">
      <w:pPr>
        <w:adjustRightInd w:val="0"/>
        <w:snapToGrid w:val="0"/>
        <w:spacing w:before="120" w:after="120" w:line="360" w:lineRule="auto"/>
        <w:ind w:firstLine="480" w:firstLineChars="200"/>
        <w:rPr>
          <w:rFonts w:eastAsia="仿宋"/>
          <w:color w:val="000000"/>
          <w:sz w:val="24"/>
          <w:highlight w:val="none"/>
        </w:rPr>
      </w:pPr>
      <w:r>
        <w:rPr>
          <w:rFonts w:hint="eastAsia" w:eastAsia="仿宋"/>
          <w:color w:val="000000"/>
          <w:sz w:val="24"/>
          <w:highlight w:val="none"/>
        </w:rPr>
        <w:t>无</w:t>
      </w:r>
    </w:p>
    <w:p w14:paraId="03211C55">
      <w:pPr>
        <w:pStyle w:val="25"/>
        <w:widowControl/>
        <w:snapToGrid w:val="0"/>
        <w:spacing w:line="360" w:lineRule="auto"/>
        <w:ind w:firstLine="482" w:firstLineChars="200"/>
        <w:outlineLvl w:val="2"/>
        <w:rPr>
          <w:rFonts w:hint="eastAsia" w:hAnsi="宋体" w:eastAsia="仿宋"/>
          <w:b/>
          <w:bCs/>
          <w:sz w:val="24"/>
          <w:szCs w:val="24"/>
          <w:highlight w:val="none"/>
        </w:rPr>
      </w:pPr>
      <w:bookmarkStart w:id="787" w:name="_Toc512611689"/>
      <w:bookmarkStart w:id="788" w:name="_Toc512544434"/>
      <w:bookmarkStart w:id="789" w:name="_Toc493432670"/>
      <w:bookmarkStart w:id="790" w:name="_Toc525819967"/>
      <w:bookmarkStart w:id="791" w:name="_Toc517011814"/>
      <w:bookmarkStart w:id="792" w:name="_Toc493440807"/>
      <w:bookmarkStart w:id="793" w:name="_Toc526265691"/>
      <w:bookmarkStart w:id="794" w:name="_Toc493440975"/>
      <w:bookmarkStart w:id="795" w:name="_Toc515539872"/>
      <w:r>
        <w:rPr>
          <w:rFonts w:hint="eastAsia" w:hAnsi="宋体" w:eastAsia="仿宋"/>
          <w:b/>
          <w:bCs/>
          <w:sz w:val="24"/>
          <w:szCs w:val="24"/>
          <w:highlight w:val="none"/>
        </w:rPr>
        <w:t>4.5 质量要求与验收标准</w:t>
      </w:r>
      <w:bookmarkEnd w:id="787"/>
      <w:bookmarkEnd w:id="788"/>
      <w:bookmarkEnd w:id="789"/>
      <w:bookmarkEnd w:id="790"/>
      <w:bookmarkEnd w:id="791"/>
      <w:bookmarkEnd w:id="792"/>
      <w:bookmarkEnd w:id="793"/>
      <w:bookmarkEnd w:id="794"/>
      <w:bookmarkEnd w:id="795"/>
    </w:p>
    <w:p w14:paraId="7564727C">
      <w:pPr>
        <w:adjustRightInd w:val="0"/>
        <w:snapToGrid w:val="0"/>
        <w:spacing w:before="120" w:after="120" w:line="360" w:lineRule="auto"/>
        <w:ind w:firstLine="480" w:firstLineChars="200"/>
        <w:rPr>
          <w:rFonts w:eastAsia="仿宋"/>
          <w:sz w:val="24"/>
          <w:highlight w:val="none"/>
        </w:rPr>
      </w:pPr>
      <w:r>
        <w:rPr>
          <w:rFonts w:hint="eastAsia" w:eastAsia="仿宋"/>
          <w:sz w:val="24"/>
          <w:highlight w:val="none"/>
        </w:rPr>
        <w:t>符合国家、省、市法律法规及行业标准。</w:t>
      </w:r>
    </w:p>
    <w:p w14:paraId="5160139E">
      <w:pPr>
        <w:pStyle w:val="25"/>
        <w:widowControl/>
        <w:snapToGrid w:val="0"/>
        <w:spacing w:line="360" w:lineRule="auto"/>
        <w:ind w:firstLine="482" w:firstLineChars="200"/>
        <w:outlineLvl w:val="2"/>
        <w:rPr>
          <w:rFonts w:hint="eastAsia" w:hAnsi="宋体" w:eastAsia="仿宋"/>
          <w:b/>
          <w:bCs/>
          <w:sz w:val="24"/>
          <w:szCs w:val="24"/>
          <w:highlight w:val="none"/>
        </w:rPr>
      </w:pPr>
      <w:bookmarkStart w:id="796" w:name="_Toc493440976"/>
      <w:bookmarkStart w:id="797" w:name="_Toc493440808"/>
      <w:bookmarkStart w:id="798" w:name="_Toc512544435"/>
      <w:bookmarkStart w:id="799" w:name="_Toc517011815"/>
      <w:bookmarkStart w:id="800" w:name="_Toc493432671"/>
      <w:bookmarkStart w:id="801" w:name="_Toc526265692"/>
      <w:bookmarkStart w:id="802" w:name="_Toc512611690"/>
      <w:bookmarkStart w:id="803" w:name="_Toc525819968"/>
      <w:bookmarkStart w:id="804" w:name="_Toc515539873"/>
      <w:r>
        <w:rPr>
          <w:rFonts w:hint="eastAsia" w:hAnsi="宋体" w:eastAsia="仿宋"/>
          <w:b/>
          <w:bCs/>
          <w:sz w:val="24"/>
          <w:szCs w:val="24"/>
          <w:highlight w:val="none"/>
        </w:rPr>
        <w:t>4.</w:t>
      </w:r>
      <w:bookmarkEnd w:id="796"/>
      <w:bookmarkEnd w:id="797"/>
      <w:bookmarkEnd w:id="798"/>
      <w:bookmarkEnd w:id="799"/>
      <w:bookmarkEnd w:id="800"/>
      <w:bookmarkEnd w:id="801"/>
      <w:bookmarkEnd w:id="802"/>
      <w:bookmarkEnd w:id="803"/>
      <w:bookmarkEnd w:id="804"/>
      <w:bookmarkStart w:id="805" w:name="_Toc493440977"/>
      <w:bookmarkStart w:id="806" w:name="_Toc515539874"/>
      <w:bookmarkStart w:id="807" w:name="_Toc493432672"/>
      <w:bookmarkStart w:id="808" w:name="_Toc517011816"/>
      <w:bookmarkStart w:id="809" w:name="_Toc512611691"/>
      <w:bookmarkStart w:id="810" w:name="_Toc525819969"/>
      <w:bookmarkStart w:id="811" w:name="_Toc493440809"/>
      <w:bookmarkStart w:id="812" w:name="_Toc512544436"/>
      <w:bookmarkStart w:id="813" w:name="_Toc526265693"/>
      <w:r>
        <w:rPr>
          <w:rFonts w:hint="eastAsia" w:hAnsi="宋体" w:eastAsia="仿宋"/>
          <w:b/>
          <w:bCs/>
          <w:sz w:val="24"/>
          <w:szCs w:val="24"/>
          <w:highlight w:val="none"/>
        </w:rPr>
        <w:t>6 质量保证期服务要求</w:t>
      </w:r>
      <w:bookmarkEnd w:id="805"/>
      <w:bookmarkEnd w:id="806"/>
      <w:bookmarkEnd w:id="807"/>
      <w:bookmarkEnd w:id="808"/>
      <w:bookmarkEnd w:id="809"/>
      <w:bookmarkEnd w:id="810"/>
      <w:bookmarkEnd w:id="811"/>
      <w:bookmarkEnd w:id="812"/>
      <w:bookmarkEnd w:id="813"/>
    </w:p>
    <w:p w14:paraId="10F53831">
      <w:pPr>
        <w:adjustRightInd w:val="0"/>
        <w:snapToGrid w:val="0"/>
        <w:spacing w:line="360" w:lineRule="auto"/>
        <w:ind w:firstLine="480" w:firstLineChars="200"/>
        <w:rPr>
          <w:rFonts w:hint="eastAsia" w:ascii="Times New Roman" w:hAnsi="Times New Roman" w:eastAsia="仿宋" w:cs="Times New Roman"/>
          <w:sz w:val="24"/>
          <w:highlight w:val="none"/>
          <w:lang w:val="en-US" w:eastAsia="zh-CN"/>
        </w:rPr>
      </w:pPr>
      <w:r>
        <w:rPr>
          <w:rFonts w:hint="eastAsia" w:eastAsia="仿宋"/>
          <w:sz w:val="24"/>
          <w:highlight w:val="none"/>
        </w:rPr>
        <w:t>中标人</w:t>
      </w:r>
      <w:r>
        <w:rPr>
          <w:rFonts w:eastAsia="仿宋"/>
          <w:sz w:val="24"/>
          <w:highlight w:val="none"/>
        </w:rPr>
        <w:t>提供的技术人员、工具、备件和联系方式，质量保证期服务响应、到达现场和解决问题的时限</w:t>
      </w:r>
      <w:r>
        <w:rPr>
          <w:rFonts w:ascii="Times New Roman" w:hAnsi="Times New Roman" w:eastAsia="仿宋" w:cs="Times New Roman"/>
          <w:sz w:val="24"/>
          <w:highlight w:val="none"/>
        </w:rPr>
        <w:t>，</w:t>
      </w:r>
      <w:r>
        <w:rPr>
          <w:rFonts w:hint="eastAsia" w:ascii="Times New Roman" w:hAnsi="Times New Roman" w:eastAsia="仿宋" w:cs="Times New Roman"/>
          <w:sz w:val="24"/>
          <w:highlight w:val="none"/>
        </w:rPr>
        <w:t>中标人</w:t>
      </w:r>
      <w:r>
        <w:rPr>
          <w:rFonts w:ascii="Times New Roman" w:hAnsi="Times New Roman" w:eastAsia="仿宋" w:cs="Times New Roman"/>
          <w:sz w:val="24"/>
          <w:highlight w:val="none"/>
        </w:rPr>
        <w:t>技术人员的交通、食宿费用承担主体，</w:t>
      </w:r>
      <w:r>
        <w:rPr>
          <w:rFonts w:hint="eastAsia" w:ascii="Times New Roman" w:hAnsi="Times New Roman" w:eastAsia="仿宋" w:cs="Times New Roman"/>
          <w:sz w:val="24"/>
          <w:highlight w:val="none"/>
        </w:rPr>
        <w:t>中标人</w:t>
      </w:r>
      <w:r>
        <w:rPr>
          <w:rFonts w:ascii="Times New Roman" w:hAnsi="Times New Roman" w:eastAsia="仿宋" w:cs="Times New Roman"/>
          <w:sz w:val="24"/>
          <w:highlight w:val="none"/>
        </w:rPr>
        <w:t>技术人员撤换费用承担主体，质量保证期服务情况记录要求等</w:t>
      </w:r>
      <w:r>
        <w:rPr>
          <w:rFonts w:hint="eastAsia" w:ascii="Times New Roman" w:hAnsi="Times New Roman" w:eastAsia="仿宋" w:cs="Times New Roman"/>
          <w:sz w:val="24"/>
          <w:highlight w:val="none"/>
          <w:lang w:val="en-US" w:eastAsia="zh-CN"/>
        </w:rPr>
        <w:t>。</w:t>
      </w:r>
    </w:p>
    <w:p w14:paraId="56882AD0">
      <w:pPr>
        <w:adjustRightInd w:val="0"/>
        <w:snapToGrid w:val="0"/>
        <w:spacing w:line="360" w:lineRule="auto"/>
        <w:ind w:firstLine="482" w:firstLineChars="200"/>
        <w:rPr>
          <w:rFonts w:hint="eastAsia" w:ascii="宋体" w:hAnsi="宋体" w:eastAsia="仿宋" w:cs="Times New Roman"/>
          <w:b/>
          <w:bCs/>
          <w:kern w:val="2"/>
          <w:sz w:val="24"/>
          <w:szCs w:val="24"/>
          <w:highlight w:val="none"/>
          <w:lang w:val="en-US" w:eastAsia="zh-CN" w:bidi="ar-SA"/>
        </w:rPr>
      </w:pPr>
      <w:r>
        <w:rPr>
          <w:rFonts w:hint="eastAsia" w:ascii="宋体" w:hAnsi="宋体" w:eastAsia="仿宋" w:cs="Times New Roman"/>
          <w:b/>
          <w:bCs/>
          <w:kern w:val="2"/>
          <w:sz w:val="24"/>
          <w:szCs w:val="24"/>
          <w:highlight w:val="none"/>
          <w:lang w:val="en-US" w:eastAsia="zh-CN" w:bidi="ar-SA"/>
        </w:rPr>
        <w:t>4.7 技术培训要求</w:t>
      </w:r>
    </w:p>
    <w:p w14:paraId="489312DB">
      <w:pPr>
        <w:adjustRightInd w:val="0"/>
        <w:snapToGrid w:val="0"/>
        <w:spacing w:line="360" w:lineRule="auto"/>
        <w:ind w:firstLine="480" w:firstLineChars="200"/>
        <w:rPr>
          <w:rFonts w:eastAsia="仿宋"/>
          <w:color w:val="000000"/>
          <w:sz w:val="24"/>
          <w:highlight w:val="none"/>
        </w:rPr>
      </w:pPr>
      <w:r>
        <w:rPr>
          <w:rFonts w:hint="eastAsia" w:ascii="Times New Roman" w:hAnsi="Times New Roman" w:eastAsia="仿宋" w:cs="Times New Roman"/>
          <w:sz w:val="24"/>
          <w:highlight w:val="none"/>
          <w:lang w:val="en-US" w:eastAsia="zh-CN"/>
        </w:rPr>
        <w:t>中标人应提供现场技术培训，及远程技术支持等，为使用人员提供技术指导，保证使用人员正常操作设备各种功能。</w:t>
      </w:r>
    </w:p>
    <w:p w14:paraId="5CEE192E">
      <w:pPr>
        <w:pStyle w:val="3"/>
        <w:spacing w:line="360" w:lineRule="auto"/>
        <w:rPr>
          <w:rFonts w:hint="eastAsia" w:ascii="Times New Roman" w:hAnsi="Times New Roman" w:eastAsia="仿宋"/>
          <w:sz w:val="24"/>
          <w:szCs w:val="24"/>
          <w:highlight w:val="none"/>
        </w:rPr>
      </w:pPr>
      <w:bookmarkStart w:id="814" w:name="_Toc525819970"/>
      <w:bookmarkStart w:id="815" w:name="_Toc515539875"/>
      <w:bookmarkStart w:id="816" w:name="_Toc526265694"/>
      <w:bookmarkStart w:id="817" w:name="_Toc493440979"/>
      <w:bookmarkStart w:id="818" w:name="_Toc493432674"/>
      <w:bookmarkStart w:id="819" w:name="_Toc512544437"/>
      <w:bookmarkStart w:id="820" w:name="_Toc493440811"/>
      <w:bookmarkStart w:id="821" w:name="_Toc517011817"/>
      <w:bookmarkStart w:id="822" w:name="_Toc512611692"/>
      <w:r>
        <w:rPr>
          <w:rStyle w:val="107"/>
          <w:rFonts w:hint="eastAsia" w:ascii="宋体" w:hAnsi="宋体" w:eastAsia="仿宋"/>
          <w:b/>
          <w:bCs/>
          <w:sz w:val="24"/>
          <w:szCs w:val="24"/>
          <w:highlight w:val="none"/>
        </w:rPr>
        <w:t>5. 其他</w:t>
      </w:r>
      <w:bookmarkEnd w:id="814"/>
      <w:bookmarkEnd w:id="815"/>
      <w:bookmarkEnd w:id="816"/>
      <w:bookmarkEnd w:id="817"/>
      <w:bookmarkEnd w:id="818"/>
      <w:bookmarkEnd w:id="819"/>
      <w:bookmarkEnd w:id="820"/>
      <w:bookmarkEnd w:id="821"/>
      <w:bookmarkEnd w:id="822"/>
    </w:p>
    <w:p w14:paraId="02339172">
      <w:pPr>
        <w:spacing w:line="360" w:lineRule="auto"/>
        <w:ind w:firstLine="482" w:firstLineChars="200"/>
        <w:jc w:val="left"/>
        <w:rPr>
          <w:rFonts w:hint="eastAsia" w:eastAsia="仿宋"/>
          <w:b/>
          <w:sz w:val="24"/>
          <w:highlight w:val="none"/>
          <w:lang w:val="en-US" w:eastAsia="zh-CN"/>
        </w:rPr>
      </w:pPr>
      <w:r>
        <w:rPr>
          <w:rFonts w:hint="eastAsia" w:eastAsia="仿宋"/>
          <w:b/>
          <w:sz w:val="24"/>
          <w:highlight w:val="none"/>
        </w:rPr>
        <w:t>5.1</w:t>
      </w:r>
      <w:bookmarkStart w:id="823" w:name="OLE_LINK16"/>
      <w:r>
        <w:rPr>
          <w:rFonts w:hint="eastAsia" w:eastAsia="仿宋"/>
          <w:b/>
          <w:sz w:val="24"/>
          <w:highlight w:val="none"/>
        </w:rPr>
        <w:t>投标文件中须提供由投标人负责所投产品售后维保工作的质保承诺函，明确</w:t>
      </w:r>
      <w:r>
        <w:rPr>
          <w:rFonts w:hint="eastAsia" w:eastAsia="仿宋"/>
          <w:b/>
          <w:sz w:val="24"/>
          <w:highlight w:val="none"/>
          <w:lang w:eastAsia="zh-CN"/>
        </w:rPr>
        <w:t>质量保证期</w:t>
      </w:r>
      <w:r>
        <w:rPr>
          <w:rFonts w:hint="eastAsia" w:eastAsia="仿宋"/>
          <w:b/>
          <w:sz w:val="24"/>
          <w:highlight w:val="none"/>
        </w:rPr>
        <w:t>时长及</w:t>
      </w:r>
      <w:r>
        <w:rPr>
          <w:rFonts w:hint="eastAsia" w:eastAsia="仿宋"/>
          <w:b/>
          <w:sz w:val="24"/>
          <w:highlight w:val="none"/>
          <w:lang w:eastAsia="zh-CN"/>
        </w:rPr>
        <w:t>质量保证期</w:t>
      </w:r>
      <w:r>
        <w:rPr>
          <w:rFonts w:hint="eastAsia" w:eastAsia="仿宋"/>
          <w:b/>
          <w:sz w:val="24"/>
          <w:highlight w:val="none"/>
        </w:rPr>
        <w:t>外的相应维保价格。</w:t>
      </w:r>
      <w:bookmarkEnd w:id="823"/>
      <w:r>
        <w:rPr>
          <w:rFonts w:hint="eastAsia" w:eastAsia="仿宋"/>
          <w:b/>
          <w:sz w:val="24"/>
          <w:highlight w:val="none"/>
          <w:lang w:val="en-US" w:eastAsia="zh-CN"/>
        </w:rPr>
        <w:t>投标人在投标文件中提供</w:t>
      </w:r>
      <w:r>
        <w:rPr>
          <w:rFonts w:hint="eastAsia" w:eastAsia="仿宋"/>
          <w:b/>
          <w:sz w:val="24"/>
          <w:highlight w:val="none"/>
          <w:lang w:eastAsia="zh-CN"/>
        </w:rPr>
        <w:t>质保期外备件及易损件</w:t>
      </w:r>
      <w:r>
        <w:rPr>
          <w:rFonts w:hint="eastAsia" w:eastAsia="仿宋"/>
          <w:b/>
          <w:sz w:val="24"/>
          <w:highlight w:val="none"/>
          <w:lang w:val="en-US" w:eastAsia="zh-CN"/>
        </w:rPr>
        <w:t>报价清单，并对</w:t>
      </w:r>
      <w:r>
        <w:rPr>
          <w:rFonts w:hint="eastAsia" w:eastAsia="仿宋"/>
          <w:b/>
          <w:sz w:val="24"/>
          <w:highlight w:val="none"/>
          <w:lang w:eastAsia="zh-CN"/>
        </w:rPr>
        <w:t>质保期满后每年的维保服务费用</w:t>
      </w:r>
      <w:r>
        <w:rPr>
          <w:rFonts w:hint="eastAsia" w:eastAsia="仿宋"/>
          <w:b/>
          <w:sz w:val="24"/>
          <w:highlight w:val="none"/>
          <w:lang w:val="en-US" w:eastAsia="zh-CN"/>
        </w:rPr>
        <w:t>进行报价，明确维保服务内容。</w:t>
      </w:r>
    </w:p>
    <w:p w14:paraId="4F541269">
      <w:pPr>
        <w:spacing w:line="360" w:lineRule="auto"/>
        <w:ind w:firstLine="482" w:firstLineChars="200"/>
        <w:jc w:val="left"/>
        <w:rPr>
          <w:rFonts w:hint="eastAsia" w:eastAsia="仿宋"/>
          <w:b/>
          <w:sz w:val="24"/>
          <w:highlight w:val="none"/>
          <w:u w:val="single"/>
        </w:rPr>
      </w:pPr>
      <w:r>
        <w:rPr>
          <w:rFonts w:hint="eastAsia" w:eastAsia="仿宋"/>
          <w:b/>
          <w:sz w:val="24"/>
          <w:highlight w:val="none"/>
          <w:lang w:val="en-US" w:eastAsia="zh-CN"/>
        </w:rPr>
        <w:t>注：核磁共振成像系统（MR）质保期满后每年维保服务（全保）报价超过实际合同价格7.9%的投标将被否决。</w:t>
      </w:r>
    </w:p>
    <w:p w14:paraId="6531CA40">
      <w:pPr>
        <w:spacing w:line="360" w:lineRule="auto"/>
        <w:ind w:firstLine="480" w:firstLineChars="200"/>
        <w:jc w:val="left"/>
        <w:rPr>
          <w:rFonts w:eastAsia="仿宋"/>
          <w:sz w:val="24"/>
          <w:highlight w:val="none"/>
        </w:rPr>
      </w:pPr>
      <w:r>
        <w:rPr>
          <w:rFonts w:hint="eastAsia" w:eastAsia="仿宋"/>
          <w:sz w:val="24"/>
          <w:highlight w:val="none"/>
        </w:rPr>
        <w:t>5.2 本项目如涉及与使用单位在用信息系统（包含但不限于：HIS系统、PACS系统、电子病例系统、远程影像平台、外联平台等，相关接口信息可现场踏勘获悉）与本项目设备接入需求产生的系统改造、第三方系统对接所需等费用均已包含在本项目投标报价中，由中标人与相关第三方协商，采购人和使用单位不再为此支付任何费用。</w:t>
      </w:r>
    </w:p>
    <w:p w14:paraId="235AFC1E">
      <w:pPr>
        <w:spacing w:line="360" w:lineRule="auto"/>
        <w:ind w:firstLine="480" w:firstLineChars="200"/>
        <w:jc w:val="left"/>
        <w:rPr>
          <w:rFonts w:hint="eastAsia" w:eastAsia="仿宋"/>
          <w:sz w:val="24"/>
          <w:highlight w:val="none"/>
        </w:rPr>
      </w:pPr>
      <w:r>
        <w:rPr>
          <w:rFonts w:hint="eastAsia" w:eastAsia="仿宋"/>
          <w:sz w:val="24"/>
          <w:highlight w:val="none"/>
        </w:rPr>
        <w:t>5.3 履约验收方式</w:t>
      </w:r>
    </w:p>
    <w:p w14:paraId="7643FCF4">
      <w:pPr>
        <w:spacing w:line="360" w:lineRule="auto"/>
        <w:ind w:firstLine="480" w:firstLineChars="200"/>
        <w:jc w:val="left"/>
        <w:rPr>
          <w:rFonts w:eastAsia="仿宋"/>
          <w:sz w:val="24"/>
          <w:highlight w:val="none"/>
        </w:rPr>
      </w:pPr>
      <w:r>
        <w:rPr>
          <w:rFonts w:hint="eastAsia" w:eastAsia="仿宋"/>
          <w:sz w:val="24"/>
          <w:highlight w:val="none"/>
        </w:rPr>
        <w:t>5.3.1</w:t>
      </w:r>
      <w:r>
        <w:rPr>
          <w:rFonts w:eastAsia="仿宋"/>
          <w:sz w:val="24"/>
          <w:highlight w:val="none"/>
        </w:rPr>
        <w:t>履约验收主体：设备使用</w:t>
      </w:r>
      <w:r>
        <w:rPr>
          <w:rFonts w:hint="eastAsia" w:eastAsia="仿宋"/>
          <w:sz w:val="24"/>
          <w:highlight w:val="none"/>
        </w:rPr>
        <w:t>单位</w:t>
      </w:r>
      <w:r>
        <w:rPr>
          <w:rFonts w:eastAsia="仿宋"/>
          <w:sz w:val="24"/>
          <w:highlight w:val="none"/>
        </w:rPr>
        <w:t>、中标人。同时使用</w:t>
      </w:r>
      <w:r>
        <w:rPr>
          <w:rFonts w:hint="eastAsia" w:eastAsia="仿宋"/>
          <w:sz w:val="24"/>
          <w:highlight w:val="none"/>
        </w:rPr>
        <w:t>单位</w:t>
      </w:r>
      <w:r>
        <w:rPr>
          <w:rFonts w:eastAsia="仿宋"/>
          <w:sz w:val="24"/>
          <w:highlight w:val="none"/>
        </w:rPr>
        <w:t>可以视情况邀请参加本项目的其他投标人或者第三方专业机构及专家参与验收，相关验收意见作为验收的参考资料。</w:t>
      </w:r>
    </w:p>
    <w:p w14:paraId="26AEF33E">
      <w:pPr>
        <w:spacing w:line="360" w:lineRule="auto"/>
        <w:ind w:firstLine="480" w:firstLineChars="200"/>
        <w:jc w:val="left"/>
        <w:rPr>
          <w:rFonts w:eastAsia="仿宋"/>
          <w:sz w:val="24"/>
          <w:highlight w:val="none"/>
        </w:rPr>
      </w:pPr>
      <w:r>
        <w:rPr>
          <w:rFonts w:hint="eastAsia" w:eastAsia="仿宋"/>
          <w:sz w:val="24"/>
          <w:highlight w:val="none"/>
        </w:rPr>
        <w:t>5.3.2</w:t>
      </w:r>
      <w:r>
        <w:rPr>
          <w:rFonts w:eastAsia="仿宋"/>
          <w:sz w:val="24"/>
          <w:highlight w:val="none"/>
        </w:rPr>
        <w:t>履约验收时间及程序：</w:t>
      </w:r>
    </w:p>
    <w:p w14:paraId="1BAF4F40">
      <w:pPr>
        <w:spacing w:line="360" w:lineRule="auto"/>
        <w:ind w:firstLine="480" w:firstLineChars="200"/>
        <w:jc w:val="left"/>
        <w:rPr>
          <w:rFonts w:eastAsia="仿宋"/>
          <w:sz w:val="24"/>
          <w:highlight w:val="none"/>
        </w:rPr>
      </w:pPr>
      <w:r>
        <w:rPr>
          <w:rFonts w:eastAsia="仿宋"/>
          <w:sz w:val="24"/>
          <w:highlight w:val="none"/>
        </w:rPr>
        <w:t>（1）到货检验：货物运抵使用</w:t>
      </w:r>
      <w:r>
        <w:rPr>
          <w:rFonts w:hint="eastAsia" w:eastAsia="仿宋"/>
          <w:sz w:val="24"/>
          <w:highlight w:val="none"/>
        </w:rPr>
        <w:t>单位所在地点或使用单位指定地点</w:t>
      </w:r>
      <w:r>
        <w:rPr>
          <w:rFonts w:eastAsia="仿宋"/>
          <w:sz w:val="24"/>
          <w:highlight w:val="none"/>
        </w:rPr>
        <w:t>后，由使用</w:t>
      </w:r>
      <w:r>
        <w:rPr>
          <w:rFonts w:hint="eastAsia" w:eastAsia="仿宋"/>
          <w:sz w:val="24"/>
          <w:highlight w:val="none"/>
        </w:rPr>
        <w:t>单位</w:t>
      </w:r>
      <w:r>
        <w:rPr>
          <w:rFonts w:eastAsia="仿宋"/>
          <w:sz w:val="24"/>
          <w:highlight w:val="none"/>
        </w:rPr>
        <w:t>及中标人共同开箱对照采购清单进行到货验收。</w:t>
      </w:r>
    </w:p>
    <w:p w14:paraId="27F5D5F2">
      <w:pPr>
        <w:spacing w:line="360" w:lineRule="auto"/>
        <w:ind w:firstLine="480" w:firstLineChars="200"/>
        <w:jc w:val="left"/>
        <w:rPr>
          <w:rFonts w:eastAsia="仿宋"/>
          <w:sz w:val="24"/>
          <w:highlight w:val="none"/>
        </w:rPr>
      </w:pPr>
      <w:r>
        <w:rPr>
          <w:rFonts w:eastAsia="仿宋"/>
          <w:sz w:val="24"/>
          <w:highlight w:val="none"/>
        </w:rPr>
        <w:t>（2）安装调试检验：中标人将设备安装、调试完成后，由使用</w:t>
      </w:r>
      <w:r>
        <w:rPr>
          <w:rFonts w:hint="eastAsia" w:eastAsia="仿宋"/>
          <w:sz w:val="24"/>
          <w:highlight w:val="none"/>
        </w:rPr>
        <w:t>单位</w:t>
      </w:r>
      <w:r>
        <w:rPr>
          <w:rFonts w:eastAsia="仿宋"/>
          <w:sz w:val="24"/>
          <w:highlight w:val="none"/>
        </w:rPr>
        <w:t>组织验收人员对安装调试情况进行验收。</w:t>
      </w:r>
    </w:p>
    <w:p w14:paraId="0FEBDB38">
      <w:pPr>
        <w:spacing w:line="360" w:lineRule="auto"/>
        <w:ind w:firstLine="480" w:firstLineChars="200"/>
        <w:jc w:val="left"/>
        <w:rPr>
          <w:rFonts w:eastAsia="仿宋"/>
          <w:sz w:val="24"/>
          <w:highlight w:val="none"/>
        </w:rPr>
      </w:pPr>
      <w:r>
        <w:rPr>
          <w:rFonts w:eastAsia="仿宋"/>
          <w:sz w:val="24"/>
          <w:highlight w:val="none"/>
        </w:rPr>
        <w:t>（3）最终验收：由使用</w:t>
      </w:r>
      <w:r>
        <w:rPr>
          <w:rFonts w:hint="eastAsia" w:eastAsia="仿宋"/>
          <w:sz w:val="24"/>
          <w:highlight w:val="none"/>
        </w:rPr>
        <w:t>单位</w:t>
      </w:r>
      <w:r>
        <w:rPr>
          <w:rFonts w:eastAsia="仿宋"/>
          <w:sz w:val="24"/>
          <w:highlight w:val="none"/>
        </w:rPr>
        <w:t>组织验收人员进行最终验收。</w:t>
      </w:r>
    </w:p>
    <w:p w14:paraId="202B643E">
      <w:pPr>
        <w:spacing w:line="360" w:lineRule="auto"/>
        <w:ind w:firstLine="480" w:firstLineChars="200"/>
        <w:jc w:val="left"/>
        <w:rPr>
          <w:rFonts w:eastAsia="仿宋"/>
          <w:sz w:val="24"/>
          <w:highlight w:val="none"/>
        </w:rPr>
      </w:pPr>
      <w:r>
        <w:rPr>
          <w:rFonts w:hint="eastAsia" w:eastAsia="仿宋"/>
          <w:sz w:val="24"/>
          <w:highlight w:val="none"/>
        </w:rPr>
        <w:t>5.3.3</w:t>
      </w:r>
      <w:r>
        <w:rPr>
          <w:rFonts w:eastAsia="仿宋"/>
          <w:sz w:val="24"/>
          <w:highlight w:val="none"/>
        </w:rPr>
        <w:t>履约验收内容</w:t>
      </w:r>
    </w:p>
    <w:p w14:paraId="2785DCBF">
      <w:pPr>
        <w:spacing w:line="360" w:lineRule="auto"/>
        <w:ind w:firstLine="480" w:firstLineChars="200"/>
        <w:jc w:val="left"/>
        <w:rPr>
          <w:rFonts w:eastAsia="仿宋"/>
          <w:sz w:val="24"/>
          <w:highlight w:val="none"/>
        </w:rPr>
      </w:pPr>
      <w:r>
        <w:rPr>
          <w:rFonts w:eastAsia="仿宋"/>
          <w:sz w:val="24"/>
          <w:highlight w:val="none"/>
        </w:rPr>
        <w:t>验收内容包括招标文件中的每一项技术和商务要求的履约情况。</w:t>
      </w:r>
    </w:p>
    <w:p w14:paraId="569B611D">
      <w:pPr>
        <w:spacing w:line="360" w:lineRule="auto"/>
        <w:ind w:firstLine="480" w:firstLineChars="200"/>
        <w:jc w:val="left"/>
        <w:rPr>
          <w:rFonts w:eastAsia="仿宋"/>
          <w:sz w:val="24"/>
          <w:highlight w:val="none"/>
        </w:rPr>
      </w:pPr>
      <w:r>
        <w:rPr>
          <w:rFonts w:hint="eastAsia" w:eastAsia="仿宋"/>
          <w:sz w:val="24"/>
          <w:highlight w:val="none"/>
        </w:rPr>
        <w:t>5.3.4</w:t>
      </w:r>
      <w:r>
        <w:rPr>
          <w:rFonts w:eastAsia="仿宋"/>
          <w:sz w:val="24"/>
          <w:highlight w:val="none"/>
        </w:rPr>
        <w:t>履约验收验收标准</w:t>
      </w:r>
    </w:p>
    <w:p w14:paraId="6275E1FC">
      <w:pPr>
        <w:spacing w:line="360" w:lineRule="auto"/>
        <w:ind w:firstLine="480" w:firstLineChars="200"/>
        <w:jc w:val="left"/>
        <w:rPr>
          <w:rFonts w:hint="eastAsia" w:eastAsia="仿宋"/>
          <w:sz w:val="24"/>
          <w:highlight w:val="none"/>
        </w:rPr>
      </w:pPr>
      <w:r>
        <w:rPr>
          <w:rFonts w:eastAsia="仿宋"/>
          <w:sz w:val="24"/>
          <w:highlight w:val="none"/>
        </w:rPr>
        <w:t>招标文件、中标人的投标文件、合同及国家有关的质量标准规定，均为验收标准及依据</w:t>
      </w:r>
      <w:r>
        <w:rPr>
          <w:rFonts w:hint="eastAsia" w:eastAsia="仿宋"/>
          <w:sz w:val="24"/>
          <w:highlight w:val="none"/>
        </w:rPr>
        <w:t>。</w:t>
      </w:r>
    </w:p>
    <w:p w14:paraId="1BD53784">
      <w:pPr>
        <w:spacing w:line="360" w:lineRule="auto"/>
        <w:ind w:firstLine="480" w:firstLineChars="200"/>
        <w:jc w:val="left"/>
        <w:rPr>
          <w:rFonts w:eastAsia="仿宋"/>
          <w:sz w:val="24"/>
          <w:highlight w:val="none"/>
        </w:rPr>
      </w:pPr>
      <w:r>
        <w:rPr>
          <w:rFonts w:hint="eastAsia" w:eastAsia="仿宋"/>
          <w:sz w:val="24"/>
          <w:highlight w:val="none"/>
        </w:rPr>
        <w:t xml:space="preserve">5.4 </w:t>
      </w:r>
      <w:r>
        <w:rPr>
          <w:rFonts w:eastAsia="仿宋"/>
          <w:sz w:val="24"/>
          <w:highlight w:val="none"/>
        </w:rPr>
        <w:t>投标人需按招标文件要求，对要求单独报价的配件</w:t>
      </w:r>
      <w:r>
        <w:rPr>
          <w:rFonts w:hint="eastAsia" w:eastAsia="仿宋"/>
          <w:sz w:val="24"/>
          <w:highlight w:val="none"/>
        </w:rPr>
        <w:t>（或附件）</w:t>
      </w:r>
      <w:r>
        <w:rPr>
          <w:rFonts w:eastAsia="仿宋"/>
          <w:sz w:val="24"/>
          <w:highlight w:val="none"/>
        </w:rPr>
        <w:t>进行单独报价，计入投标</w:t>
      </w:r>
      <w:r>
        <w:rPr>
          <w:rFonts w:hint="eastAsia" w:eastAsia="仿宋"/>
          <w:sz w:val="24"/>
          <w:highlight w:val="none"/>
        </w:rPr>
        <w:t>报</w:t>
      </w:r>
      <w:r>
        <w:rPr>
          <w:rFonts w:eastAsia="仿宋"/>
          <w:sz w:val="24"/>
          <w:highlight w:val="none"/>
        </w:rPr>
        <w:t>价或不计入投标</w:t>
      </w:r>
      <w:r>
        <w:rPr>
          <w:rFonts w:hint="eastAsia" w:eastAsia="仿宋"/>
          <w:sz w:val="24"/>
          <w:highlight w:val="none"/>
        </w:rPr>
        <w:t>报</w:t>
      </w:r>
      <w:r>
        <w:rPr>
          <w:rFonts w:eastAsia="仿宋"/>
          <w:sz w:val="24"/>
          <w:highlight w:val="none"/>
        </w:rPr>
        <w:t>价（详见第六章投标文件格式表3-2《单独报价配件</w:t>
      </w:r>
      <w:r>
        <w:rPr>
          <w:rFonts w:hint="eastAsia" w:eastAsia="仿宋"/>
          <w:sz w:val="24"/>
          <w:highlight w:val="none"/>
        </w:rPr>
        <w:t>（或附件）</w:t>
      </w:r>
      <w:r>
        <w:rPr>
          <w:rFonts w:eastAsia="仿宋"/>
          <w:sz w:val="24"/>
          <w:highlight w:val="none"/>
        </w:rPr>
        <w:t>一览表》）。</w:t>
      </w:r>
    </w:p>
    <w:p w14:paraId="1C7577F9">
      <w:pPr>
        <w:spacing w:line="360" w:lineRule="auto"/>
        <w:ind w:firstLine="480" w:firstLineChars="200"/>
        <w:jc w:val="left"/>
        <w:rPr>
          <w:rFonts w:hint="eastAsia" w:eastAsia="仿宋"/>
          <w:sz w:val="24"/>
          <w:highlight w:val="none"/>
        </w:rPr>
      </w:pPr>
      <w:r>
        <w:rPr>
          <w:rFonts w:hint="eastAsia" w:eastAsia="仿宋"/>
          <w:sz w:val="24"/>
          <w:highlight w:val="none"/>
        </w:rPr>
        <w:t>在签订分合同时，各使用单位可根据临床适用需求决定选择性采购招标文件中列明须单独报价的配件（或附件），实际合同价格为相应标准配置设备中标价格与未选择采购配件（或附件）价格的相应价格之差。选择采购内容的执行价格不得高于投标文件中承诺的价格。投标人不得以货物的实际供货数量有变化为理由要求对各种货物的单价进行变更或拒签合同。</w:t>
      </w:r>
    </w:p>
    <w:p w14:paraId="0AD12BEB">
      <w:pPr>
        <w:spacing w:line="360" w:lineRule="auto"/>
        <w:ind w:firstLine="480" w:firstLineChars="200"/>
        <w:jc w:val="left"/>
        <w:rPr>
          <w:rFonts w:hint="eastAsia" w:eastAsia="仿宋"/>
          <w:sz w:val="24"/>
          <w:highlight w:val="none"/>
        </w:rPr>
      </w:pPr>
      <w:r>
        <w:rPr>
          <w:rFonts w:hint="eastAsia" w:eastAsia="仿宋"/>
          <w:sz w:val="24"/>
          <w:highlight w:val="none"/>
        </w:rPr>
        <w:t>5.5应急服务要求：中标人应在中国境内方便的地点设置备件库，存入必须的备件，保证10年以上零部件供应期，中标人应对设备故障等突发状况及时响应。若24小时内未修复设备故障，提供备用设备供院方使用。</w:t>
      </w:r>
    </w:p>
    <w:p w14:paraId="4E256FB1">
      <w:pPr>
        <w:spacing w:line="360" w:lineRule="auto"/>
        <w:ind w:firstLine="480" w:firstLineChars="200"/>
        <w:jc w:val="left"/>
        <w:rPr>
          <w:rFonts w:hint="eastAsia" w:eastAsia="仿宋"/>
          <w:sz w:val="24"/>
          <w:highlight w:val="none"/>
        </w:rPr>
      </w:pPr>
      <w:r>
        <w:rPr>
          <w:rFonts w:hint="eastAsia" w:eastAsia="仿宋"/>
          <w:sz w:val="24"/>
          <w:highlight w:val="none"/>
        </w:rPr>
        <w:t>5.6 安装调试、验收试验及质量保证</w:t>
      </w:r>
    </w:p>
    <w:p w14:paraId="57780173">
      <w:pPr>
        <w:spacing w:line="360" w:lineRule="auto"/>
        <w:ind w:firstLine="480" w:firstLineChars="200"/>
        <w:jc w:val="left"/>
        <w:rPr>
          <w:rFonts w:hint="eastAsia" w:eastAsia="仿宋"/>
          <w:sz w:val="24"/>
          <w:highlight w:val="none"/>
        </w:rPr>
      </w:pPr>
      <w:r>
        <w:rPr>
          <w:rFonts w:hint="eastAsia" w:eastAsia="仿宋"/>
          <w:sz w:val="24"/>
          <w:highlight w:val="none"/>
        </w:rPr>
        <w:t>5.6.1中标人在设备安装地点负责安装、调试。</w:t>
      </w:r>
    </w:p>
    <w:p w14:paraId="0E3FF9D9">
      <w:pPr>
        <w:spacing w:line="360" w:lineRule="auto"/>
        <w:ind w:firstLine="480" w:firstLineChars="200"/>
        <w:jc w:val="left"/>
        <w:rPr>
          <w:rFonts w:hint="eastAsia" w:eastAsia="仿宋"/>
          <w:sz w:val="24"/>
          <w:highlight w:val="none"/>
        </w:rPr>
      </w:pPr>
      <w:r>
        <w:rPr>
          <w:rFonts w:hint="eastAsia" w:eastAsia="仿宋"/>
          <w:sz w:val="24"/>
          <w:highlight w:val="none"/>
        </w:rPr>
        <w:t>5.6.2具体设备验收标准和程序按采购人要求执行，下列验收程序可参照执行：</w:t>
      </w:r>
    </w:p>
    <w:p w14:paraId="0B6E3941">
      <w:pPr>
        <w:spacing w:line="360" w:lineRule="auto"/>
        <w:ind w:firstLine="480" w:firstLineChars="200"/>
        <w:jc w:val="left"/>
        <w:rPr>
          <w:rFonts w:hint="eastAsia" w:eastAsia="仿宋"/>
          <w:sz w:val="24"/>
          <w:highlight w:val="none"/>
        </w:rPr>
      </w:pPr>
      <w:r>
        <w:rPr>
          <w:rFonts w:hint="eastAsia" w:eastAsia="仿宋"/>
          <w:sz w:val="24"/>
          <w:highlight w:val="none"/>
        </w:rPr>
        <w:t>（1）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4B8A59B1">
      <w:pPr>
        <w:spacing w:line="360" w:lineRule="auto"/>
        <w:ind w:firstLine="480" w:firstLineChars="200"/>
        <w:jc w:val="left"/>
        <w:rPr>
          <w:rFonts w:hint="eastAsia" w:eastAsia="仿宋"/>
          <w:sz w:val="24"/>
          <w:highlight w:val="none"/>
        </w:rPr>
      </w:pPr>
      <w:r>
        <w:rPr>
          <w:rFonts w:hint="eastAsia" w:eastAsia="仿宋"/>
          <w:sz w:val="24"/>
          <w:highlight w:val="none"/>
        </w:rPr>
        <w:t>（2）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1EAC6646">
      <w:pPr>
        <w:spacing w:line="360" w:lineRule="auto"/>
        <w:ind w:firstLine="480" w:firstLineChars="200"/>
        <w:jc w:val="left"/>
        <w:rPr>
          <w:rFonts w:hint="eastAsia" w:eastAsia="仿宋"/>
          <w:sz w:val="24"/>
          <w:highlight w:val="none"/>
        </w:rPr>
      </w:pPr>
      <w:r>
        <w:rPr>
          <w:rFonts w:hint="eastAsia" w:eastAsia="仿宋"/>
          <w:sz w:val="24"/>
          <w:highlight w:val="none"/>
        </w:rPr>
        <w:t>（3）中标人应根据采购人使用单位的技术要求提供相应的产品。由中标人所提供的设备部件间的连线和插接件均应视为设备内部器件，包含在相应的设备之中。</w:t>
      </w:r>
    </w:p>
    <w:p w14:paraId="23C8E553">
      <w:pPr>
        <w:spacing w:line="360" w:lineRule="auto"/>
        <w:ind w:firstLine="480" w:firstLineChars="200"/>
        <w:jc w:val="left"/>
        <w:rPr>
          <w:rFonts w:hint="eastAsia" w:eastAsia="仿宋"/>
          <w:sz w:val="24"/>
          <w:highlight w:val="none"/>
        </w:rPr>
      </w:pPr>
      <w:r>
        <w:rPr>
          <w:rFonts w:hint="eastAsia" w:eastAsia="仿宋"/>
          <w:sz w:val="24"/>
          <w:highlight w:val="none"/>
        </w:rPr>
        <w:t>（4）运行测试及最终验收。在系统安装、调试结束后，采购人对其进行全面的测试，对测试中暴露出来的问题，中标人应及时进行整改，系统最终测试完毕经验收合格后，采购人应向中标人签发最终验收证明。</w:t>
      </w:r>
    </w:p>
    <w:p w14:paraId="29E1E6A3">
      <w:pPr>
        <w:spacing w:line="360" w:lineRule="auto"/>
        <w:ind w:firstLine="480" w:firstLineChars="200"/>
        <w:jc w:val="left"/>
        <w:rPr>
          <w:rFonts w:hint="eastAsia" w:eastAsia="仿宋"/>
          <w:sz w:val="24"/>
          <w:highlight w:val="none"/>
        </w:rPr>
      </w:pPr>
      <w:r>
        <w:rPr>
          <w:rFonts w:hint="eastAsia" w:eastAsia="仿宋"/>
          <w:sz w:val="24"/>
          <w:highlight w:val="none"/>
        </w:rPr>
        <w:t>（5）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2B9BECA3">
      <w:pPr>
        <w:spacing w:line="360" w:lineRule="auto"/>
        <w:ind w:firstLine="480" w:firstLineChars="200"/>
        <w:jc w:val="left"/>
        <w:rPr>
          <w:rFonts w:hint="eastAsia" w:eastAsia="仿宋"/>
          <w:sz w:val="24"/>
          <w:highlight w:val="none"/>
        </w:rPr>
      </w:pPr>
      <w:r>
        <w:rPr>
          <w:rFonts w:hint="eastAsia" w:eastAsia="仿宋"/>
          <w:sz w:val="24"/>
          <w:highlight w:val="none"/>
        </w:rPr>
        <w:t>5.6.3如设备在验收时有一个或多个指标未能达到要求而属于中标人责任时，则中标人自费采取有效措施，在规定时间内使之达到保证指标。如在规定的时间内仍达不到合格标准时，则中标人应向采购人赔偿。</w:t>
      </w:r>
    </w:p>
    <w:p w14:paraId="1ACCB9F3">
      <w:pPr>
        <w:spacing w:line="360" w:lineRule="auto"/>
        <w:ind w:firstLine="480" w:firstLineChars="200"/>
        <w:jc w:val="left"/>
        <w:rPr>
          <w:rFonts w:hint="eastAsia" w:eastAsia="仿宋"/>
          <w:sz w:val="24"/>
          <w:highlight w:val="none"/>
        </w:rPr>
      </w:pPr>
      <w:r>
        <w:rPr>
          <w:rFonts w:hint="eastAsia" w:eastAsia="仿宋"/>
          <w:sz w:val="24"/>
          <w:highlight w:val="none"/>
        </w:rPr>
        <w:t>5.7 包装运输</w:t>
      </w:r>
    </w:p>
    <w:p w14:paraId="4DD41E53">
      <w:pPr>
        <w:spacing w:line="360" w:lineRule="auto"/>
        <w:ind w:firstLine="480" w:firstLineChars="200"/>
        <w:jc w:val="left"/>
        <w:rPr>
          <w:rFonts w:hint="eastAsia" w:eastAsia="仿宋"/>
          <w:sz w:val="24"/>
          <w:highlight w:val="none"/>
        </w:rPr>
      </w:pPr>
      <w:r>
        <w:rPr>
          <w:rFonts w:hint="eastAsia" w:eastAsia="仿宋"/>
          <w:sz w:val="24"/>
          <w:highlight w:val="none"/>
        </w:rPr>
        <w:t>（1）中标人负责设备包装、办理运输和保险，将设备安全运抵交货地点。</w:t>
      </w:r>
    </w:p>
    <w:p w14:paraId="7FDE69B3">
      <w:pPr>
        <w:spacing w:line="360" w:lineRule="auto"/>
        <w:ind w:firstLine="480" w:firstLineChars="200"/>
        <w:jc w:val="left"/>
        <w:rPr>
          <w:rFonts w:hint="eastAsia" w:eastAsia="仿宋"/>
          <w:sz w:val="24"/>
          <w:highlight w:val="none"/>
        </w:rPr>
      </w:pPr>
      <w:r>
        <w:rPr>
          <w:rFonts w:hint="eastAsia" w:eastAsia="仿宋"/>
          <w:sz w:val="24"/>
          <w:highlight w:val="none"/>
        </w:rPr>
        <w:t>（2）设备制造完成并通过试验后应及时包装，否则应得到切实的保护，确保其不受污损。</w:t>
      </w:r>
    </w:p>
    <w:p w14:paraId="156738DD">
      <w:pPr>
        <w:spacing w:line="360" w:lineRule="auto"/>
        <w:ind w:firstLine="480" w:firstLineChars="200"/>
        <w:jc w:val="left"/>
        <w:rPr>
          <w:rFonts w:hint="eastAsia" w:eastAsia="仿宋"/>
          <w:sz w:val="24"/>
          <w:highlight w:val="none"/>
        </w:rPr>
      </w:pPr>
      <w:r>
        <w:rPr>
          <w:rFonts w:hint="eastAsia" w:eastAsia="仿宋"/>
          <w:sz w:val="24"/>
          <w:highlight w:val="none"/>
        </w:rPr>
        <w:t>（3）在包装箱外应标明采购人的订货号、发货号。</w:t>
      </w:r>
    </w:p>
    <w:p w14:paraId="3DD1CB3C">
      <w:pPr>
        <w:spacing w:line="360" w:lineRule="auto"/>
        <w:ind w:firstLine="480" w:firstLineChars="200"/>
        <w:jc w:val="left"/>
        <w:rPr>
          <w:rFonts w:hint="eastAsia" w:eastAsia="仿宋"/>
          <w:sz w:val="24"/>
          <w:highlight w:val="none"/>
        </w:rPr>
      </w:pPr>
      <w:r>
        <w:rPr>
          <w:rFonts w:hint="eastAsia" w:eastAsia="仿宋"/>
          <w:sz w:val="24"/>
          <w:highlight w:val="none"/>
        </w:rPr>
        <w:t>（4）各种包装应能确保各零部件在运输过程中不致遭到损坏、丢失、变形、受潮和腐蚀。</w:t>
      </w:r>
    </w:p>
    <w:p w14:paraId="0EFD41D2">
      <w:pPr>
        <w:spacing w:line="360" w:lineRule="auto"/>
        <w:ind w:firstLine="480" w:firstLineChars="200"/>
        <w:jc w:val="left"/>
        <w:rPr>
          <w:rFonts w:hint="eastAsia" w:eastAsia="仿宋"/>
          <w:sz w:val="24"/>
          <w:highlight w:val="none"/>
        </w:rPr>
      </w:pPr>
      <w:r>
        <w:rPr>
          <w:rFonts w:hint="eastAsia" w:eastAsia="仿宋"/>
          <w:sz w:val="24"/>
          <w:highlight w:val="none"/>
        </w:rPr>
        <w:t>（5）包装箱上应有明显的包装储运图示标志。</w:t>
      </w:r>
    </w:p>
    <w:p w14:paraId="646A04B4">
      <w:pPr>
        <w:spacing w:line="360" w:lineRule="auto"/>
        <w:ind w:firstLine="480" w:firstLineChars="200"/>
        <w:jc w:val="left"/>
        <w:rPr>
          <w:rFonts w:hint="eastAsia" w:eastAsia="仿宋"/>
          <w:sz w:val="24"/>
          <w:highlight w:val="none"/>
        </w:rPr>
      </w:pPr>
      <w:r>
        <w:rPr>
          <w:rFonts w:hint="eastAsia" w:eastAsia="仿宋"/>
          <w:sz w:val="24"/>
          <w:highlight w:val="none"/>
        </w:rPr>
        <w:t>（6）整体产品或分别运输的部件都要适应运输和装载的要求。</w:t>
      </w:r>
    </w:p>
    <w:p w14:paraId="3CAD3F8F">
      <w:pPr>
        <w:spacing w:line="360" w:lineRule="auto"/>
        <w:ind w:firstLine="480" w:firstLineChars="200"/>
        <w:jc w:val="left"/>
        <w:rPr>
          <w:rFonts w:hint="eastAsia" w:eastAsia="仿宋"/>
          <w:sz w:val="24"/>
          <w:highlight w:val="none"/>
        </w:rPr>
      </w:pPr>
      <w:r>
        <w:rPr>
          <w:rFonts w:hint="eastAsia" w:eastAsia="仿宋"/>
          <w:sz w:val="24"/>
          <w:highlight w:val="none"/>
        </w:rPr>
        <w:t>（7）随产品提供的技术资料应完整无缺。</w:t>
      </w:r>
    </w:p>
    <w:p w14:paraId="2CA49552">
      <w:pPr>
        <w:spacing w:line="360" w:lineRule="auto"/>
        <w:ind w:firstLine="480" w:firstLineChars="200"/>
        <w:jc w:val="left"/>
        <w:rPr>
          <w:rFonts w:hint="eastAsia" w:eastAsia="仿宋"/>
          <w:sz w:val="24"/>
          <w:highlight w:val="none"/>
        </w:rPr>
      </w:pPr>
      <w:r>
        <w:rPr>
          <w:rFonts w:hint="eastAsia" w:eastAsia="仿宋"/>
          <w:sz w:val="24"/>
          <w:highlight w:val="none"/>
        </w:rPr>
        <w:t>5.8 投标人所投产品应为性能稳定、安全的成熟设备，故障率低、维修便利，并在投标文件中针对所投产品技术先进性、设备性能、配置情况、设计等方面进行阐述说明，提供相应证明材料。</w:t>
      </w:r>
    </w:p>
    <w:p w14:paraId="5998B295">
      <w:pPr>
        <w:pStyle w:val="2"/>
        <w:widowControl/>
        <w:spacing w:before="0" w:after="0" w:line="240" w:lineRule="auto"/>
        <w:jc w:val="center"/>
        <w:rPr>
          <w:rFonts w:hint="eastAsia" w:ascii="宋体" w:hAnsi="宋体" w:eastAsia="仿宋"/>
          <w:highlight w:val="none"/>
        </w:rPr>
      </w:pPr>
      <w:bookmarkStart w:id="824" w:name="_Toc9357"/>
      <w:bookmarkStart w:id="825" w:name="_Toc466024564"/>
      <w:bookmarkStart w:id="826" w:name="_Toc445554765"/>
      <w:r>
        <w:rPr>
          <w:rFonts w:hint="eastAsia" w:ascii="宋体" w:hAnsi="宋体" w:eastAsia="仿宋"/>
          <w:highlight w:val="none"/>
        </w:rPr>
        <w:br w:type="page"/>
      </w:r>
      <w:r>
        <w:rPr>
          <w:rFonts w:hint="eastAsia" w:ascii="宋体" w:hAnsi="宋体" w:eastAsia="仿宋"/>
          <w:highlight w:val="none"/>
        </w:rPr>
        <w:t>第四章  资格审查和评标办法（综合评分法）</w:t>
      </w:r>
      <w:bookmarkEnd w:id="824"/>
    </w:p>
    <w:bookmarkEnd w:id="758"/>
    <w:bookmarkEnd w:id="759"/>
    <w:bookmarkEnd w:id="760"/>
    <w:bookmarkEnd w:id="761"/>
    <w:bookmarkEnd w:id="762"/>
    <w:bookmarkEnd w:id="763"/>
    <w:bookmarkEnd w:id="764"/>
    <w:bookmarkEnd w:id="765"/>
    <w:bookmarkEnd w:id="766"/>
    <w:bookmarkEnd w:id="825"/>
    <w:bookmarkEnd w:id="826"/>
    <w:p w14:paraId="279002E9">
      <w:pPr>
        <w:pStyle w:val="3"/>
        <w:jc w:val="center"/>
        <w:rPr>
          <w:rFonts w:hint="eastAsia" w:eastAsia="仿宋"/>
          <w:highlight w:val="none"/>
        </w:rPr>
      </w:pPr>
      <w:r>
        <w:rPr>
          <w:rFonts w:hint="eastAsia" w:eastAsia="仿宋"/>
          <w:highlight w:val="none"/>
        </w:rPr>
        <w:t>第一节  资格审查</w:t>
      </w:r>
    </w:p>
    <w:p w14:paraId="4D07E40F">
      <w:pPr>
        <w:spacing w:line="360" w:lineRule="auto"/>
        <w:jc w:val="center"/>
        <w:rPr>
          <w:rFonts w:hint="eastAsia" w:eastAsia="仿宋"/>
          <w:b/>
          <w:sz w:val="28"/>
          <w:szCs w:val="28"/>
          <w:highlight w:val="none"/>
        </w:rPr>
      </w:pPr>
      <w:r>
        <w:rPr>
          <w:rFonts w:hint="eastAsia" w:eastAsia="仿宋"/>
          <w:b/>
          <w:sz w:val="28"/>
          <w:szCs w:val="28"/>
          <w:highlight w:val="none"/>
        </w:rPr>
        <w:t>资格审查办法前附表</w:t>
      </w:r>
    </w:p>
    <w:p w14:paraId="2C6438BB">
      <w:pPr>
        <w:widowControl/>
        <w:adjustRightInd w:val="0"/>
        <w:snapToGrid w:val="0"/>
        <w:spacing w:before="240" w:beforeLines="100" w:after="120" w:afterLines="50" w:line="360" w:lineRule="auto"/>
        <w:ind w:firstLine="482" w:firstLineChars="200"/>
        <w:rPr>
          <w:rFonts w:hint="eastAsia" w:ascii="宋体" w:hAnsi="宋体" w:eastAsia="仿宋"/>
          <w:b/>
          <w:bCs/>
          <w:sz w:val="24"/>
          <w:highlight w:val="none"/>
        </w:rPr>
      </w:pPr>
      <w:r>
        <w:rPr>
          <w:rFonts w:hint="eastAsia" w:ascii="宋体" w:hAnsi="宋体" w:eastAsia="仿宋"/>
          <w:b/>
          <w:bCs/>
          <w:sz w:val="24"/>
          <w:highlight w:val="none"/>
        </w:rPr>
        <w:t>本《资格审查办法前附表》是对本节《资格审查》的具体补充和修改，如有不一致，以本《资格审查办法前附表》为准。</w:t>
      </w:r>
    </w:p>
    <w:tbl>
      <w:tblPr>
        <w:tblStyle w:val="48"/>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06"/>
        <w:gridCol w:w="3109"/>
        <w:gridCol w:w="4284"/>
      </w:tblGrid>
      <w:tr w14:paraId="4D168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jc w:val="center"/>
        </w:trPr>
        <w:tc>
          <w:tcPr>
            <w:tcW w:w="5000" w:type="pct"/>
            <w:gridSpan w:val="4"/>
            <w:tcBorders>
              <w:bottom w:val="single" w:color="auto" w:sz="4" w:space="0"/>
            </w:tcBorders>
            <w:noWrap w:val="0"/>
            <w:vAlign w:val="center"/>
          </w:tcPr>
          <w:p w14:paraId="53AE67C4">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sz w:val="24"/>
                <w:highlight w:val="none"/>
              </w:rPr>
            </w:pPr>
            <w:r>
              <w:rPr>
                <w:rFonts w:hint="eastAsia" w:ascii="宋体" w:hAnsi="宋体" w:cs="Times New Roman"/>
                <w:b/>
                <w:sz w:val="24"/>
                <w:szCs w:val="22"/>
                <w:highlight w:val="none"/>
              </w:rPr>
              <w:t>资格审查办法前附表</w:t>
            </w:r>
          </w:p>
        </w:tc>
      </w:tr>
      <w:tr w14:paraId="2756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46D322B7">
            <w:pPr>
              <w:keepNext w:val="0"/>
              <w:keepLines w:val="0"/>
              <w:suppressLineNumbers w:val="0"/>
              <w:adjustRightInd w:val="0"/>
              <w:snapToGrid w:val="0"/>
              <w:spacing w:before="0" w:beforeAutospacing="0" w:after="0" w:afterAutospacing="0"/>
              <w:ind w:left="0" w:right="-10"/>
              <w:jc w:val="center"/>
              <w:rPr>
                <w:rFonts w:hint="default" w:ascii="宋体" w:hAnsi="宋体" w:cs="Times New Roman"/>
                <w:sz w:val="24"/>
                <w:highlight w:val="none"/>
              </w:rPr>
            </w:pPr>
            <w:r>
              <w:rPr>
                <w:rFonts w:hint="eastAsia" w:ascii="宋体" w:hAnsi="宋体" w:cs="Times New Roman"/>
                <w:sz w:val="24"/>
                <w:highlight w:val="none"/>
              </w:rPr>
              <w:t>序号</w:t>
            </w:r>
          </w:p>
        </w:tc>
        <w:tc>
          <w:tcPr>
            <w:tcW w:w="950" w:type="pct"/>
            <w:tcBorders>
              <w:bottom w:val="single" w:color="auto" w:sz="4" w:space="0"/>
            </w:tcBorders>
            <w:noWrap w:val="0"/>
            <w:vAlign w:val="center"/>
          </w:tcPr>
          <w:p w14:paraId="65BE9E92">
            <w:pPr>
              <w:pStyle w:val="182"/>
              <w:keepNext w:val="0"/>
              <w:keepLines w:val="0"/>
              <w:suppressLineNumbers w:val="0"/>
              <w:pBdr>
                <w:bottom w:val="none" w:color="auto" w:sz="0" w:space="0"/>
              </w:pBdr>
              <w:tabs>
                <w:tab w:val="clear" w:pos="4153"/>
                <w:tab w:val="clear" w:pos="8306"/>
              </w:tabs>
              <w:snapToGrid w:val="0"/>
              <w:spacing w:before="0" w:beforeAutospacing="0" w:after="0" w:afterAutospacing="0" w:line="240" w:lineRule="auto"/>
              <w:ind w:left="0" w:right="-10"/>
              <w:textAlignment w:val="auto"/>
              <w:rPr>
                <w:rFonts w:hint="default" w:ascii="宋体" w:hAnsi="宋体" w:cs="Times New Roman"/>
                <w:kern w:val="2"/>
                <w:szCs w:val="24"/>
                <w:highlight w:val="none"/>
              </w:rPr>
            </w:pPr>
            <w:r>
              <w:rPr>
                <w:rFonts w:hint="eastAsia" w:ascii="宋体" w:hAnsi="宋体" w:cs="Times New Roman"/>
                <w:kern w:val="2"/>
                <w:szCs w:val="24"/>
                <w:highlight w:val="none"/>
              </w:rPr>
              <w:t>审查因素</w:t>
            </w:r>
          </w:p>
        </w:tc>
        <w:tc>
          <w:tcPr>
            <w:tcW w:w="1550" w:type="pct"/>
            <w:tcBorders>
              <w:bottom w:val="single" w:color="auto" w:sz="4" w:space="0"/>
            </w:tcBorders>
            <w:noWrap w:val="0"/>
            <w:vAlign w:val="center"/>
          </w:tcPr>
          <w:p w14:paraId="1042A662">
            <w:pPr>
              <w:keepNext w:val="0"/>
              <w:keepLines w:val="0"/>
              <w:suppressLineNumbers w:val="0"/>
              <w:adjustRightInd w:val="0"/>
              <w:snapToGrid w:val="0"/>
              <w:spacing w:before="0" w:beforeAutospacing="0" w:after="0" w:afterAutospacing="0"/>
              <w:ind w:left="0" w:right="-10"/>
              <w:jc w:val="center"/>
              <w:rPr>
                <w:rFonts w:hint="default" w:ascii="宋体" w:hAnsi="宋体" w:cs="Times New Roman"/>
                <w:sz w:val="24"/>
                <w:highlight w:val="none"/>
              </w:rPr>
            </w:pPr>
            <w:r>
              <w:rPr>
                <w:rFonts w:hint="eastAsia" w:ascii="宋体" w:hAnsi="宋体" w:cs="Times New Roman"/>
                <w:sz w:val="24"/>
                <w:highlight w:val="none"/>
              </w:rPr>
              <w:t>审查标准</w:t>
            </w:r>
          </w:p>
        </w:tc>
        <w:tc>
          <w:tcPr>
            <w:tcW w:w="2136" w:type="pct"/>
            <w:tcBorders>
              <w:bottom w:val="single" w:color="auto" w:sz="4" w:space="0"/>
            </w:tcBorders>
            <w:noWrap w:val="0"/>
            <w:vAlign w:val="center"/>
          </w:tcPr>
          <w:p w14:paraId="53CF6590">
            <w:pPr>
              <w:keepNext w:val="0"/>
              <w:keepLines w:val="0"/>
              <w:suppressLineNumbers w:val="0"/>
              <w:adjustRightInd w:val="0"/>
              <w:snapToGrid w:val="0"/>
              <w:spacing w:before="0" w:beforeAutospacing="0" w:after="0" w:afterAutospacing="0"/>
              <w:ind w:left="0" w:right="-10"/>
              <w:jc w:val="center"/>
              <w:rPr>
                <w:rFonts w:hint="default" w:ascii="宋体" w:hAnsi="宋体" w:cs="Times New Roman"/>
                <w:sz w:val="24"/>
                <w:highlight w:val="none"/>
              </w:rPr>
            </w:pPr>
            <w:r>
              <w:rPr>
                <w:rFonts w:hint="eastAsia" w:ascii="宋体" w:hAnsi="宋体" w:cs="Times New Roman"/>
                <w:sz w:val="24"/>
                <w:highlight w:val="none"/>
              </w:rPr>
              <w:t>格式及材料要求</w:t>
            </w:r>
          </w:p>
        </w:tc>
      </w:tr>
      <w:tr w14:paraId="15CEC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2" w:type="pct"/>
            <w:tcBorders>
              <w:bottom w:val="single" w:color="auto" w:sz="4" w:space="0"/>
            </w:tcBorders>
            <w:noWrap w:val="0"/>
            <w:vAlign w:val="center"/>
          </w:tcPr>
          <w:p w14:paraId="6754C848">
            <w:pPr>
              <w:keepNext w:val="0"/>
              <w:keepLines w:val="0"/>
              <w:suppressLineNumbers w:val="0"/>
              <w:spacing w:before="0" w:beforeAutospacing="0" w:after="50" w:afterAutospacing="0"/>
              <w:ind w:left="0" w:right="-10"/>
              <w:jc w:val="center"/>
              <w:rPr>
                <w:rFonts w:hint="eastAsia" w:ascii="仿宋" w:hAnsi="仿宋" w:eastAsia="仿宋" w:cs="仿宋"/>
                <w:sz w:val="24"/>
                <w:szCs w:val="28"/>
                <w:highlight w:val="none"/>
              </w:rPr>
            </w:pPr>
            <w:r>
              <w:rPr>
                <w:rFonts w:hint="eastAsia" w:ascii="仿宋" w:hAnsi="仿宋" w:eastAsia="仿宋" w:cs="仿宋"/>
                <w:sz w:val="24"/>
                <w:szCs w:val="28"/>
                <w:highlight w:val="none"/>
              </w:rPr>
              <w:t>1</w:t>
            </w:r>
          </w:p>
        </w:tc>
        <w:tc>
          <w:tcPr>
            <w:tcW w:w="950" w:type="pct"/>
            <w:tcBorders>
              <w:bottom w:val="single" w:color="auto" w:sz="4" w:space="0"/>
            </w:tcBorders>
            <w:noWrap w:val="0"/>
            <w:vAlign w:val="center"/>
          </w:tcPr>
          <w:p w14:paraId="46BBDAA3">
            <w:pPr>
              <w:keepNext w:val="0"/>
              <w:keepLines w:val="0"/>
              <w:suppressLineNumbers w:val="0"/>
              <w:spacing w:before="0" w:beforeAutospacing="0" w:after="50" w:afterAutospacing="0"/>
              <w:ind w:left="0" w:right="-10"/>
              <w:jc w:val="center"/>
              <w:rPr>
                <w:rFonts w:hint="eastAsia" w:ascii="仿宋" w:hAnsi="仿宋" w:eastAsia="仿宋" w:cs="仿宋"/>
                <w:sz w:val="24"/>
                <w:szCs w:val="28"/>
                <w:highlight w:val="none"/>
              </w:rPr>
            </w:pPr>
            <w:r>
              <w:rPr>
                <w:rFonts w:hint="eastAsia" w:ascii="仿宋" w:hAnsi="仿宋" w:eastAsia="仿宋" w:cs="仿宋"/>
                <w:sz w:val="24"/>
                <w:szCs w:val="28"/>
                <w:highlight w:val="none"/>
              </w:rPr>
              <w:t>营业执照等证明材料</w:t>
            </w:r>
          </w:p>
        </w:tc>
        <w:tc>
          <w:tcPr>
            <w:tcW w:w="1550" w:type="pct"/>
            <w:tcBorders>
              <w:bottom w:val="single" w:color="auto" w:sz="4" w:space="0"/>
            </w:tcBorders>
            <w:noWrap w:val="0"/>
            <w:vAlign w:val="center"/>
          </w:tcPr>
          <w:p w14:paraId="5BD59F81">
            <w:pPr>
              <w:keepNext w:val="0"/>
              <w:keepLines w:val="0"/>
              <w:suppressLineNumbers w:val="0"/>
              <w:spacing w:before="0" w:beforeAutospacing="0" w:after="50" w:afterAutospacing="0"/>
              <w:ind w:left="0" w:right="-1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投标人为企业（包括公司、合伙企业、个人独资企业）的，提供有效的营业执照；</w:t>
            </w:r>
          </w:p>
          <w:p w14:paraId="1FBAB7DC">
            <w:pPr>
              <w:keepNext w:val="0"/>
              <w:keepLines w:val="0"/>
              <w:suppressLineNumbers w:val="0"/>
              <w:spacing w:before="0" w:beforeAutospacing="0" w:after="50" w:afterAutospacing="0"/>
              <w:ind w:left="0" w:right="-1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投标人为事业单位的，提供有效的事业单位法人证书；</w:t>
            </w:r>
          </w:p>
          <w:p w14:paraId="7F2CCB00">
            <w:pPr>
              <w:keepNext w:val="0"/>
              <w:keepLines w:val="0"/>
              <w:suppressLineNumbers w:val="0"/>
              <w:spacing w:before="0" w:beforeAutospacing="0" w:after="50" w:afterAutospacing="0"/>
              <w:ind w:left="0" w:right="-1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投标人为社会团体的，提供有效的社会团体法人登记证书；</w:t>
            </w:r>
          </w:p>
          <w:p w14:paraId="3613AE21">
            <w:pPr>
              <w:keepNext w:val="0"/>
              <w:keepLines w:val="0"/>
              <w:suppressLineNumbers w:val="0"/>
              <w:spacing w:before="0" w:beforeAutospacing="0" w:after="50" w:afterAutospacing="0"/>
              <w:ind w:left="0" w:right="-1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投标人为个体工商户的，提供有效的营业执照；</w:t>
            </w:r>
          </w:p>
          <w:p w14:paraId="34AD6017">
            <w:pPr>
              <w:keepNext w:val="0"/>
              <w:keepLines w:val="0"/>
              <w:suppressLineNumbers w:val="0"/>
              <w:spacing w:before="0" w:beforeAutospacing="0" w:after="50" w:afterAutospacing="0"/>
              <w:ind w:left="0" w:right="-1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投标人为不具法人资格的专业服务机构的，提供有效的执业许可证等证明材料；</w:t>
            </w:r>
          </w:p>
          <w:p w14:paraId="11C69733">
            <w:pPr>
              <w:keepNext w:val="0"/>
              <w:keepLines w:val="0"/>
              <w:suppressLineNumbers w:val="0"/>
              <w:spacing w:before="0" w:beforeAutospacing="0" w:after="50" w:afterAutospacing="0"/>
              <w:ind w:left="0" w:right="-1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投标人为自然人的，提供有效的自然人身份证明；</w:t>
            </w:r>
          </w:p>
          <w:p w14:paraId="1A7656D8">
            <w:pPr>
              <w:keepNext w:val="0"/>
              <w:keepLines w:val="0"/>
              <w:suppressLineNumbers w:val="0"/>
              <w:spacing w:before="0" w:beforeAutospacing="0" w:after="50" w:afterAutospacing="0"/>
              <w:ind w:left="0" w:right="-10"/>
              <w:jc w:val="left"/>
              <w:rPr>
                <w:rFonts w:hint="eastAsia" w:ascii="仿宋" w:hAnsi="仿宋" w:eastAsia="仿宋" w:cs="仿宋"/>
                <w:sz w:val="24"/>
                <w:szCs w:val="28"/>
                <w:highlight w:val="none"/>
              </w:rPr>
            </w:pPr>
            <w:r>
              <w:rPr>
                <w:rFonts w:hint="eastAsia" w:ascii="仿宋" w:hAnsi="仿宋" w:eastAsia="仿宋" w:cs="仿宋"/>
                <w:sz w:val="24"/>
                <w:szCs w:val="28"/>
                <w:highlight w:val="none"/>
              </w:rPr>
              <w:t>其他投标人应按照有关法律、法规和规章规定，提供有效的相应证明材料。</w:t>
            </w:r>
          </w:p>
          <w:p w14:paraId="22784B08">
            <w:pPr>
              <w:pStyle w:val="4"/>
              <w:suppressLineNumbers w:val="0"/>
              <w:spacing w:before="0" w:beforeAutospacing="0" w:after="0" w:afterAutospacing="0" w:line="240" w:lineRule="auto"/>
              <w:ind w:left="0" w:right="0"/>
              <w:outlineLvl w:val="2"/>
              <w:rPr>
                <w:rFonts w:hint="default" w:cs="Times New Roman"/>
                <w:highlight w:val="none"/>
                <w:lang w:eastAsia="zh-CN"/>
              </w:rPr>
            </w:pPr>
            <w:r>
              <w:rPr>
                <w:rFonts w:hint="eastAsia" w:ascii="仿宋" w:hAnsi="仿宋" w:eastAsia="仿宋" w:cs="仿宋"/>
                <w:b w:val="0"/>
                <w:bCs w:val="0"/>
                <w:kern w:val="2"/>
                <w:sz w:val="24"/>
                <w:szCs w:val="28"/>
                <w:highlight w:val="none"/>
                <w:lang w:eastAsia="zh-CN" w:bidi="ar-SA"/>
              </w:rPr>
              <w:t>分支机构还应提供授权书或证明授权其独立开展业务的证明材料。</w:t>
            </w:r>
          </w:p>
        </w:tc>
        <w:tc>
          <w:tcPr>
            <w:tcW w:w="2136" w:type="pct"/>
            <w:noWrap w:val="0"/>
            <w:vAlign w:val="center"/>
          </w:tcPr>
          <w:p w14:paraId="54B781BF">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仿宋" w:hAnsi="仿宋" w:eastAsia="仿宋" w:cs="仿宋"/>
                <w:sz w:val="24"/>
                <w:highlight w:val="none"/>
              </w:rPr>
              <w:t>提供扫描件或电子证照，</w:t>
            </w:r>
            <w:r>
              <w:rPr>
                <w:rFonts w:hint="eastAsia" w:ascii="宋体" w:hAnsi="宋体" w:eastAsia="仿宋" w:cs="Times New Roman"/>
                <w:sz w:val="24"/>
                <w:highlight w:val="none"/>
              </w:rPr>
              <w:t>详见第六章投标文件格式</w:t>
            </w:r>
            <w:r>
              <w:rPr>
                <w:rFonts w:hint="eastAsia" w:ascii="宋体" w:hAnsi="宋体" w:eastAsia="仿宋" w:cs="Times New Roman"/>
                <w:sz w:val="24"/>
                <w:highlight w:val="none"/>
                <w:lang w:val="en-US" w:eastAsia="zh-CN"/>
              </w:rPr>
              <w:t>七</w:t>
            </w:r>
            <w:r>
              <w:rPr>
                <w:rFonts w:hint="eastAsia" w:ascii="宋体" w:hAnsi="宋体" w:eastAsia="仿宋" w:cs="Times New Roman"/>
                <w:sz w:val="24"/>
                <w:highlight w:val="none"/>
              </w:rPr>
              <w:t>（一）</w:t>
            </w:r>
          </w:p>
        </w:tc>
      </w:tr>
      <w:tr w14:paraId="184A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03A17046">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sz w:val="24"/>
                <w:highlight w:val="none"/>
              </w:rPr>
            </w:pPr>
            <w:r>
              <w:rPr>
                <w:rFonts w:hint="eastAsia" w:ascii="宋体" w:hAnsi="宋体" w:cs="Times New Roman"/>
                <w:sz w:val="24"/>
                <w:highlight w:val="none"/>
              </w:rPr>
              <w:t>2</w:t>
            </w:r>
          </w:p>
        </w:tc>
        <w:tc>
          <w:tcPr>
            <w:tcW w:w="950" w:type="pct"/>
            <w:tcBorders>
              <w:bottom w:val="single" w:color="auto" w:sz="4" w:space="0"/>
            </w:tcBorders>
            <w:noWrap w:val="0"/>
            <w:vAlign w:val="center"/>
          </w:tcPr>
          <w:p w14:paraId="57974B42">
            <w:pPr>
              <w:keepNext w:val="0"/>
              <w:keepLines w:val="0"/>
              <w:suppressLineNumbers w:val="0"/>
              <w:spacing w:before="0" w:beforeAutospacing="0" w:after="50" w:afterAutospacing="0"/>
              <w:ind w:left="0" w:right="-10"/>
              <w:jc w:val="center"/>
              <w:rPr>
                <w:rFonts w:hint="default" w:ascii="宋体" w:hAnsi="宋体" w:cs="Times New Roman"/>
                <w:sz w:val="24"/>
                <w:szCs w:val="28"/>
                <w:highlight w:val="none"/>
              </w:rPr>
            </w:pPr>
            <w:r>
              <w:rPr>
                <w:rFonts w:hint="eastAsia" w:ascii="宋体" w:hAnsi="宋体" w:eastAsia="仿宋" w:cs="Times New Roman"/>
                <w:sz w:val="24"/>
                <w:highlight w:val="none"/>
              </w:rPr>
              <w:t>信用状况</w:t>
            </w:r>
          </w:p>
        </w:tc>
        <w:tc>
          <w:tcPr>
            <w:tcW w:w="1550" w:type="pct"/>
            <w:tcBorders>
              <w:bottom w:val="single" w:color="auto" w:sz="4" w:space="0"/>
            </w:tcBorders>
            <w:noWrap w:val="0"/>
            <w:vAlign w:val="center"/>
          </w:tcPr>
          <w:p w14:paraId="3B39AA92">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kern w:val="0"/>
                <w:sz w:val="24"/>
                <w:highlight w:val="none"/>
              </w:rPr>
              <w:t>符合第二章“投标人须知”正文第1.3.3项要求，</w:t>
            </w:r>
            <w:r>
              <w:rPr>
                <w:rFonts w:hint="eastAsia" w:ascii="宋体" w:hAnsi="宋体" w:eastAsia="仿宋" w:cs="Times New Roman"/>
                <w:sz w:val="24"/>
                <w:highlight w:val="none"/>
              </w:rPr>
              <w:t>信用状况只依据下述查询平台（网址）发布的信息：</w:t>
            </w:r>
          </w:p>
          <w:p w14:paraId="6307B4D3">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sz w:val="24"/>
                <w:szCs w:val="24"/>
                <w:highlight w:val="none"/>
              </w:rPr>
            </w:pPr>
            <w:r>
              <w:rPr>
                <w:rFonts w:hint="eastAsia" w:ascii="宋体" w:hAnsi="宋体" w:eastAsia="仿宋" w:cs="Times New Roman"/>
                <w:sz w:val="24"/>
                <w:szCs w:val="24"/>
                <w:highlight w:val="none"/>
              </w:rPr>
              <w:t>（</w:t>
            </w:r>
            <w:r>
              <w:rPr>
                <w:rFonts w:hint="default" w:ascii="Calibri" w:hAnsi="Calibri" w:eastAsia="仿宋" w:cs="Times New Roman"/>
                <w:sz w:val="24"/>
                <w:szCs w:val="24"/>
                <w:highlight w:val="none"/>
              </w:rPr>
              <w:t>1</w:t>
            </w:r>
            <w:r>
              <w:rPr>
                <w:rFonts w:hint="eastAsia" w:ascii="宋体" w:hAnsi="宋体" w:eastAsia="仿宋" w:cs="Times New Roman"/>
                <w:sz w:val="24"/>
                <w:szCs w:val="24"/>
                <w:highlight w:val="none"/>
              </w:rPr>
              <w:t>）信用中国</w:t>
            </w:r>
            <w:r>
              <w:rPr>
                <w:rFonts w:hint="default" w:ascii="Calibri" w:hAnsi="Calibri" w:eastAsia="仿宋" w:cs="Times New Roman"/>
                <w:sz w:val="24"/>
                <w:szCs w:val="24"/>
                <w:highlight w:val="none"/>
              </w:rPr>
              <w:t>网站</w:t>
            </w:r>
          </w:p>
          <w:p w14:paraId="061EB646">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sz w:val="24"/>
                <w:szCs w:val="24"/>
                <w:highlight w:val="none"/>
              </w:rPr>
            </w:pPr>
            <w:r>
              <w:rPr>
                <w:rFonts w:hint="default" w:ascii="Calibri" w:hAnsi="Calibri" w:eastAsia="仿宋" w:cs="Times New Roman"/>
                <w:sz w:val="24"/>
                <w:szCs w:val="24"/>
                <w:highlight w:val="none"/>
              </w:rPr>
              <w:t>（www.creditchina.gov.cn）；</w:t>
            </w:r>
          </w:p>
          <w:p w14:paraId="654959C4">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sz w:val="24"/>
                <w:szCs w:val="24"/>
                <w:highlight w:val="none"/>
              </w:rPr>
            </w:pPr>
            <w:r>
              <w:rPr>
                <w:rFonts w:hint="default" w:ascii="Calibri" w:hAnsi="Calibri" w:eastAsia="仿宋" w:cs="Times New Roman"/>
                <w:sz w:val="24"/>
                <w:szCs w:val="24"/>
                <w:highlight w:val="none"/>
              </w:rPr>
              <w:t>（2）中国执行信息公开网</w:t>
            </w:r>
          </w:p>
          <w:p w14:paraId="59DAF071">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sz w:val="24"/>
                <w:szCs w:val="24"/>
                <w:highlight w:val="none"/>
              </w:rPr>
            </w:pPr>
            <w:r>
              <w:rPr>
                <w:rFonts w:hint="default" w:ascii="Calibri" w:hAnsi="Calibri" w:eastAsia="仿宋" w:cs="Times New Roman"/>
                <w:sz w:val="24"/>
                <w:szCs w:val="24"/>
                <w:highlight w:val="none"/>
              </w:rPr>
              <w:t>（http://zxgk.court.gov.cn/）</w:t>
            </w:r>
            <w:r>
              <w:rPr>
                <w:rFonts w:hint="eastAsia" w:ascii="Calibri" w:hAnsi="Calibri" w:eastAsia="仿宋" w:cs="Times New Roman"/>
                <w:sz w:val="24"/>
                <w:szCs w:val="24"/>
                <w:highlight w:val="none"/>
              </w:rPr>
              <w:t>；</w:t>
            </w:r>
          </w:p>
          <w:p w14:paraId="0134EB13">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sz w:val="24"/>
                <w:szCs w:val="24"/>
                <w:highlight w:val="none"/>
              </w:rPr>
            </w:pPr>
            <w:r>
              <w:rPr>
                <w:rFonts w:hint="eastAsia" w:ascii="Calibri" w:hAnsi="Calibri" w:eastAsia="仿宋" w:cs="Times New Roman"/>
                <w:sz w:val="24"/>
                <w:szCs w:val="24"/>
                <w:highlight w:val="none"/>
              </w:rPr>
              <w:t>（3）</w:t>
            </w:r>
            <w:r>
              <w:rPr>
                <w:rFonts w:hint="default" w:ascii="Calibri" w:hAnsi="Calibri" w:eastAsia="仿宋" w:cs="Times New Roman"/>
                <w:sz w:val="24"/>
                <w:szCs w:val="24"/>
                <w:highlight w:val="none"/>
              </w:rPr>
              <w:t>中国政府采购网</w:t>
            </w:r>
          </w:p>
          <w:p w14:paraId="09F50FDA">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sz w:val="24"/>
                <w:szCs w:val="24"/>
                <w:highlight w:val="none"/>
              </w:rPr>
            </w:pPr>
            <w:r>
              <w:rPr>
                <w:rFonts w:hint="default" w:ascii="Calibri" w:hAnsi="Calibri" w:eastAsia="仿宋" w:cs="Times New Roman"/>
                <w:sz w:val="24"/>
                <w:szCs w:val="24"/>
                <w:highlight w:val="none"/>
              </w:rPr>
              <w:t>（http://www.ccgp.gov.cn/）</w:t>
            </w:r>
            <w:r>
              <w:rPr>
                <w:rFonts w:hint="eastAsia" w:ascii="Calibri" w:hAnsi="Calibri" w:eastAsia="仿宋" w:cs="Times New Roman"/>
                <w:sz w:val="24"/>
                <w:szCs w:val="24"/>
                <w:highlight w:val="none"/>
              </w:rPr>
              <w:t>；</w:t>
            </w:r>
          </w:p>
          <w:p w14:paraId="064D7EBC">
            <w:pPr>
              <w:pStyle w:val="156"/>
              <w:keepNext w:val="0"/>
              <w:keepLines w:val="0"/>
              <w:suppressLineNumbers w:val="0"/>
              <w:overflowPunct w:val="0"/>
              <w:autoSpaceDE w:val="0"/>
              <w:autoSpaceDN w:val="0"/>
              <w:adjustRightInd w:val="0"/>
              <w:spacing w:before="0" w:beforeAutospacing="0" w:after="0" w:afterAutospacing="0"/>
              <w:ind w:left="0" w:right="0"/>
              <w:rPr>
                <w:rFonts w:hint="default" w:ascii="Calibri" w:hAnsi="Calibri" w:eastAsia="仿宋" w:cs="Times New Roman"/>
                <w:sz w:val="24"/>
                <w:szCs w:val="24"/>
                <w:highlight w:val="none"/>
              </w:rPr>
            </w:pPr>
            <w:r>
              <w:rPr>
                <w:rFonts w:hint="default" w:ascii="Calibri" w:hAnsi="Calibri" w:eastAsia="仿宋" w:cs="Times New Roman"/>
                <w:sz w:val="24"/>
                <w:szCs w:val="24"/>
                <w:highlight w:val="none"/>
              </w:rPr>
              <w:t>（4）国家企业信用信息公示系统</w:t>
            </w:r>
          </w:p>
          <w:p w14:paraId="7A0039AB">
            <w:pPr>
              <w:pStyle w:val="4"/>
              <w:suppressLineNumbers w:val="0"/>
              <w:spacing w:before="0" w:beforeAutospacing="0" w:after="0" w:afterAutospacing="0" w:line="240" w:lineRule="auto"/>
              <w:ind w:left="0" w:right="0"/>
              <w:outlineLvl w:val="2"/>
              <w:rPr>
                <w:rFonts w:hint="default" w:cs="Times New Roman"/>
                <w:highlight w:val="none"/>
              </w:rPr>
            </w:pPr>
            <w:r>
              <w:rPr>
                <w:rFonts w:hint="default" w:ascii="Times New Roman" w:hAnsi="Times New Roman" w:eastAsia="仿宋" w:cs="Times New Roman"/>
                <w:b w:val="0"/>
                <w:bCs w:val="0"/>
                <w:sz w:val="24"/>
                <w:highlight w:val="none"/>
                <w:lang w:eastAsia="zh-CN" w:bidi="ar-SA"/>
              </w:rPr>
              <w:t>（http://www.gsxt.gov.cn/）</w:t>
            </w:r>
            <w:r>
              <w:rPr>
                <w:rFonts w:hint="eastAsia" w:ascii="Times New Roman" w:hAnsi="Times New Roman" w:eastAsia="仿宋" w:cs="Times New Roman"/>
                <w:b w:val="0"/>
                <w:bCs w:val="0"/>
                <w:sz w:val="24"/>
                <w:highlight w:val="none"/>
                <w:lang w:eastAsia="zh-CN" w:bidi="ar-SA"/>
              </w:rPr>
              <w:t>。</w:t>
            </w:r>
          </w:p>
        </w:tc>
        <w:tc>
          <w:tcPr>
            <w:tcW w:w="2136" w:type="pct"/>
            <w:tcBorders>
              <w:bottom w:val="single" w:color="auto" w:sz="4" w:space="0"/>
            </w:tcBorders>
            <w:noWrap w:val="0"/>
            <w:vAlign w:val="center"/>
          </w:tcPr>
          <w:p w14:paraId="2DD640F8">
            <w:pPr>
              <w:keepNext w:val="0"/>
              <w:keepLines w:val="0"/>
              <w:widowControl/>
              <w:suppressLineNumbers w:val="0"/>
              <w:adjustRightInd w:val="0"/>
              <w:snapToGrid w:val="0"/>
              <w:spacing w:before="0" w:beforeAutospacing="0" w:after="0" w:afterAutospacing="0"/>
              <w:ind w:left="0" w:right="0"/>
              <w:rPr>
                <w:rFonts w:hint="eastAsia" w:ascii="宋体" w:hAnsi="宋体" w:cs="Times New Roman"/>
                <w:sz w:val="24"/>
                <w:highlight w:val="none"/>
              </w:rPr>
            </w:pPr>
            <w:r>
              <w:rPr>
                <w:rFonts w:hint="eastAsia" w:ascii="宋体" w:hAnsi="宋体" w:eastAsia="仿宋" w:cs="宋体"/>
                <w:sz w:val="24"/>
                <w:highlight w:val="none"/>
              </w:rPr>
              <w:t>采购人或采购代理机构查询</w:t>
            </w:r>
          </w:p>
        </w:tc>
      </w:tr>
      <w:tr w14:paraId="07F1C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09AEBB43">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sz w:val="24"/>
                <w:highlight w:val="none"/>
              </w:rPr>
            </w:pPr>
            <w:r>
              <w:rPr>
                <w:rFonts w:hint="eastAsia" w:ascii="宋体" w:hAnsi="宋体" w:cs="Times New Roman"/>
                <w:sz w:val="24"/>
                <w:highlight w:val="none"/>
              </w:rPr>
              <w:t>3</w:t>
            </w:r>
          </w:p>
        </w:tc>
        <w:tc>
          <w:tcPr>
            <w:tcW w:w="950" w:type="pct"/>
            <w:tcBorders>
              <w:bottom w:val="single" w:color="auto" w:sz="4" w:space="0"/>
            </w:tcBorders>
            <w:noWrap w:val="0"/>
            <w:vAlign w:val="center"/>
          </w:tcPr>
          <w:p w14:paraId="2F348CAB">
            <w:pPr>
              <w:keepNext w:val="0"/>
              <w:keepLines w:val="0"/>
              <w:suppressLineNumbers w:val="0"/>
              <w:spacing w:before="0" w:beforeAutospacing="0" w:after="50" w:afterAutospacing="0"/>
              <w:ind w:left="0" w:right="-10"/>
              <w:jc w:val="center"/>
              <w:rPr>
                <w:rFonts w:hint="default" w:ascii="宋体" w:hAnsi="宋体" w:cs="Times New Roman"/>
                <w:sz w:val="24"/>
                <w:szCs w:val="18"/>
                <w:highlight w:val="none"/>
              </w:rPr>
            </w:pPr>
            <w:r>
              <w:rPr>
                <w:rFonts w:hint="eastAsia" w:ascii="宋体" w:hAnsi="宋体" w:eastAsia="仿宋" w:cs="Times New Roman"/>
                <w:sz w:val="24"/>
                <w:highlight w:val="none"/>
              </w:rPr>
              <w:t>政府采购供应商资格承诺函</w:t>
            </w:r>
          </w:p>
        </w:tc>
        <w:tc>
          <w:tcPr>
            <w:tcW w:w="1550" w:type="pct"/>
            <w:tcBorders>
              <w:bottom w:val="single" w:color="auto" w:sz="4" w:space="0"/>
            </w:tcBorders>
            <w:noWrap w:val="0"/>
            <w:vAlign w:val="center"/>
          </w:tcPr>
          <w:p w14:paraId="4E55B5FF">
            <w:pPr>
              <w:keepNext w:val="0"/>
              <w:keepLines w:val="0"/>
              <w:suppressLineNumbers w:val="0"/>
              <w:spacing w:before="0" w:beforeAutospacing="0" w:after="50" w:afterAutospacing="0"/>
              <w:ind w:left="0" w:right="-10"/>
              <w:jc w:val="center"/>
              <w:rPr>
                <w:rFonts w:hint="eastAsia" w:ascii="宋体" w:hAnsi="宋体" w:eastAsia="仿宋" w:cs="Times New Roman"/>
                <w:sz w:val="24"/>
                <w:szCs w:val="28"/>
                <w:highlight w:val="none"/>
              </w:rPr>
            </w:pPr>
            <w:r>
              <w:rPr>
                <w:rFonts w:hint="eastAsia" w:ascii="宋体" w:hAnsi="宋体" w:eastAsia="仿宋" w:cs="Times New Roman"/>
                <w:sz w:val="24"/>
                <w:highlight w:val="none"/>
              </w:rPr>
              <w:t>格式、填写要求符合招标文件规定并加盖投标人电子签章。</w:t>
            </w:r>
          </w:p>
        </w:tc>
        <w:tc>
          <w:tcPr>
            <w:tcW w:w="2136" w:type="pct"/>
            <w:tcBorders>
              <w:bottom w:val="single" w:color="auto" w:sz="4" w:space="0"/>
            </w:tcBorders>
            <w:noWrap w:val="0"/>
            <w:vAlign w:val="center"/>
          </w:tcPr>
          <w:p w14:paraId="3E6EAB34">
            <w:pPr>
              <w:keepNext w:val="0"/>
              <w:keepLines w:val="0"/>
              <w:suppressLineNumbers w:val="0"/>
              <w:adjustRightInd w:val="0"/>
              <w:snapToGrid w:val="0"/>
              <w:spacing w:before="0" w:beforeAutospacing="0" w:after="0" w:afterAutospacing="0"/>
              <w:ind w:left="0" w:right="-10"/>
              <w:jc w:val="left"/>
              <w:rPr>
                <w:rFonts w:hint="eastAsia" w:ascii="宋体" w:hAnsi="宋体" w:cs="Times New Roman"/>
                <w:sz w:val="24"/>
                <w:highlight w:val="none"/>
              </w:rPr>
            </w:pPr>
            <w:r>
              <w:rPr>
                <w:rFonts w:hint="eastAsia" w:ascii="宋体" w:hAnsi="宋体" w:eastAsia="仿宋" w:cs="Times New Roman"/>
                <w:sz w:val="24"/>
                <w:highlight w:val="none"/>
              </w:rPr>
              <w:t>详见第六章投标文件格式</w:t>
            </w:r>
            <w:r>
              <w:rPr>
                <w:rFonts w:hint="eastAsia" w:ascii="宋体" w:hAnsi="宋体" w:eastAsia="仿宋" w:cs="Times New Roman"/>
                <w:sz w:val="24"/>
                <w:highlight w:val="none"/>
                <w:lang w:val="en-US" w:eastAsia="zh-CN"/>
              </w:rPr>
              <w:t>七</w:t>
            </w:r>
            <w:r>
              <w:rPr>
                <w:rFonts w:hint="eastAsia" w:ascii="宋体" w:hAnsi="宋体" w:eastAsia="仿宋" w:cs="Times New Roman"/>
                <w:sz w:val="24"/>
                <w:highlight w:val="none"/>
              </w:rPr>
              <w:t>（二）</w:t>
            </w:r>
          </w:p>
        </w:tc>
      </w:tr>
      <w:tr w14:paraId="5776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noWrap w:val="0"/>
            <w:vAlign w:val="center"/>
          </w:tcPr>
          <w:p w14:paraId="6EFDA342">
            <w:pPr>
              <w:keepNext w:val="0"/>
              <w:keepLines w:val="0"/>
              <w:suppressLineNumbers w:val="0"/>
              <w:adjustRightInd w:val="0"/>
              <w:snapToGrid w:val="0"/>
              <w:spacing w:before="0" w:beforeAutospacing="0" w:after="0" w:afterAutospacing="0"/>
              <w:ind w:left="0" w:right="-10"/>
              <w:jc w:val="center"/>
              <w:rPr>
                <w:rFonts w:hint="eastAsia" w:ascii="宋体" w:hAnsi="宋体" w:cs="Times New Roman"/>
                <w:sz w:val="24"/>
                <w:highlight w:val="none"/>
              </w:rPr>
            </w:pPr>
            <w:r>
              <w:rPr>
                <w:rFonts w:hint="eastAsia" w:ascii="宋体" w:hAnsi="宋体" w:cs="Times New Roman"/>
                <w:sz w:val="24"/>
                <w:highlight w:val="none"/>
              </w:rPr>
              <w:t>4</w:t>
            </w:r>
          </w:p>
        </w:tc>
        <w:tc>
          <w:tcPr>
            <w:tcW w:w="950" w:type="pct"/>
            <w:noWrap w:val="0"/>
            <w:vAlign w:val="center"/>
          </w:tcPr>
          <w:p w14:paraId="141F9729">
            <w:pPr>
              <w:keepNext w:val="0"/>
              <w:keepLines w:val="0"/>
              <w:suppressLineNumbers w:val="0"/>
              <w:spacing w:before="0" w:beforeAutospacing="0" w:after="50" w:afterAutospacing="0"/>
              <w:ind w:left="0" w:right="-10"/>
              <w:jc w:val="center"/>
              <w:rPr>
                <w:rFonts w:hint="eastAsia" w:ascii="宋体" w:hAnsi="宋体" w:eastAsia="仿宋" w:cs="Times New Roman"/>
                <w:sz w:val="24"/>
                <w:highlight w:val="none"/>
              </w:rPr>
            </w:pPr>
            <w:r>
              <w:rPr>
                <w:rFonts w:hint="eastAsia" w:ascii="宋体" w:hAnsi="宋体" w:eastAsia="仿宋" w:cs="Times New Roman"/>
                <w:sz w:val="24"/>
                <w:highlight w:val="none"/>
              </w:rPr>
              <w:t>资质要求</w:t>
            </w:r>
          </w:p>
        </w:tc>
        <w:tc>
          <w:tcPr>
            <w:tcW w:w="1550" w:type="pct"/>
            <w:noWrap w:val="0"/>
            <w:vAlign w:val="center"/>
          </w:tcPr>
          <w:p w14:paraId="6EBED576">
            <w:pPr>
              <w:keepNext w:val="0"/>
              <w:keepLines w:val="0"/>
              <w:suppressLineNumbers w:val="0"/>
              <w:spacing w:before="0" w:beforeAutospacing="0" w:after="50" w:afterAutospacing="0"/>
              <w:ind w:left="0" w:right="-10" w:rightChars="0"/>
              <w:jc w:val="both"/>
              <w:rPr>
                <w:rFonts w:hint="eastAsia" w:ascii="宋体" w:hAnsi="宋体" w:eastAsia="仿宋" w:cs="Times New Roman"/>
                <w:sz w:val="24"/>
                <w:highlight w:val="none"/>
              </w:rPr>
            </w:pPr>
            <w:r>
              <w:rPr>
                <w:rFonts w:hint="eastAsia" w:ascii="宋体" w:hAnsi="宋体" w:eastAsia="仿宋" w:cs="Times New Roman"/>
                <w:color w:val="auto"/>
                <w:sz w:val="24"/>
                <w:highlight w:val="none"/>
              </w:rPr>
              <w:t>符合招标公告中资格要求。</w:t>
            </w:r>
          </w:p>
        </w:tc>
        <w:tc>
          <w:tcPr>
            <w:tcW w:w="2136" w:type="pct"/>
            <w:noWrap w:val="0"/>
            <w:vAlign w:val="center"/>
          </w:tcPr>
          <w:p w14:paraId="0835CC24">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rPr>
              <w:t>投标人在投标文件中需提供以下资格审查材料：</w:t>
            </w:r>
          </w:p>
          <w:p w14:paraId="298DBC94">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rPr>
              <w:t>1、投标主体证明材料</w:t>
            </w:r>
          </w:p>
          <w:p w14:paraId="5FFD47A8">
            <w:pPr>
              <w:keepNext w:val="0"/>
              <w:keepLines w:val="0"/>
              <w:suppressLineNumbers w:val="0"/>
              <w:spacing w:before="0" w:beforeAutospacing="0" w:after="0" w:afterAutospacing="0"/>
              <w:ind w:left="0" w:right="0"/>
              <w:jc w:val="left"/>
              <w:rPr>
                <w:rFonts w:hint="eastAsia" w:ascii="宋体" w:hAnsi="宋体" w:eastAsia="仿宋" w:cs="Times New Roman"/>
                <w:sz w:val="24"/>
                <w:highlight w:val="none"/>
              </w:rPr>
            </w:pPr>
            <w:r>
              <w:rPr>
                <w:rFonts w:hint="eastAsia" w:ascii="宋体" w:hAnsi="宋体" w:eastAsia="仿宋" w:cs="Times New Roman"/>
                <w:sz w:val="24"/>
                <w:highlight w:val="none"/>
              </w:rPr>
              <w:t>(1)制造商（或制造商所在的集团公司）设立的贸易公司参与投标时须提供：</w:t>
            </w:r>
          </w:p>
          <w:p w14:paraId="0E36D816">
            <w:pPr>
              <w:keepNext w:val="0"/>
              <w:keepLines w:val="0"/>
              <w:suppressLineNumbers w:val="0"/>
              <w:spacing w:before="0" w:beforeAutospacing="0" w:after="0" w:afterAutospacing="0"/>
              <w:ind w:left="0" w:right="0"/>
              <w:jc w:val="left"/>
              <w:rPr>
                <w:rFonts w:hint="eastAsia" w:ascii="宋体" w:hAnsi="宋体" w:eastAsia="仿宋" w:cs="Times New Roman"/>
                <w:sz w:val="24"/>
                <w:highlight w:val="none"/>
              </w:rPr>
            </w:pPr>
            <w:r>
              <w:rPr>
                <w:rFonts w:hint="eastAsia" w:ascii="宋体" w:hAnsi="宋体" w:eastAsia="仿宋" w:cs="Times New Roman"/>
                <w:sz w:val="24"/>
                <w:highlight w:val="none"/>
              </w:rPr>
              <w:t>①制造商及贸易公司之间的关系证明（或：集团公司、制造商及贸易公司之间的关系证明），主要体现制造商及贸易公司之间股权关系（或：集团公司、制造商及贸易公司之间的股权关系），涉及的各方主体均须在证明上盖章。</w:t>
            </w:r>
          </w:p>
          <w:p w14:paraId="7695AF76">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lang w:val="en-US" w:eastAsia="zh-CN"/>
              </w:rPr>
              <w:t>②</w:t>
            </w:r>
            <w:r>
              <w:rPr>
                <w:rFonts w:hint="eastAsia" w:ascii="宋体" w:hAnsi="宋体" w:eastAsia="仿宋" w:cs="Times New Roman"/>
                <w:sz w:val="24"/>
                <w:highlight w:val="none"/>
              </w:rPr>
              <w:t>贸易公司仅销售本制造商（或制造商所在的集团公司）产品的承诺。</w:t>
            </w:r>
          </w:p>
          <w:p w14:paraId="5E5844E4">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rPr>
              <w:t>2、资质证明材料：</w:t>
            </w:r>
          </w:p>
          <w:p w14:paraId="51D68454">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rPr>
              <w:t>(1)有效的医疗器械生产许可证（或医疗器械生产备案证明材料或承诺函）；</w:t>
            </w:r>
          </w:p>
          <w:p w14:paraId="65E46E5E">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rPr>
              <w:t>(2)投标人资格要求第3.1.2条所述视同制造商的贸易公司参与投标时提供：医疗器械经营许可证（或医疗器械经营备案证明材料或承诺函，或投标产品免于经营备案的证明）。</w:t>
            </w:r>
          </w:p>
          <w:p w14:paraId="03D493FB">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rPr>
              <w:t>(3)投标产品有效的医疗器械注册证（或医疗器械备案证明材料或承诺函）。</w:t>
            </w:r>
          </w:p>
          <w:p w14:paraId="1412C3F0">
            <w:pPr>
              <w:keepNext w:val="0"/>
              <w:keepLines w:val="0"/>
              <w:suppressLineNumbers w:val="0"/>
              <w:spacing w:before="0" w:beforeAutospacing="0" w:after="50" w:afterAutospacing="0"/>
              <w:ind w:left="0" w:right="-10"/>
              <w:jc w:val="left"/>
              <w:rPr>
                <w:rFonts w:hint="eastAsia" w:ascii="宋体" w:hAnsi="宋体" w:eastAsia="仿宋" w:cs="Times New Roman"/>
                <w:sz w:val="24"/>
                <w:highlight w:val="none"/>
              </w:rPr>
            </w:pPr>
            <w:r>
              <w:rPr>
                <w:rFonts w:hint="eastAsia" w:ascii="宋体" w:hAnsi="宋体" w:eastAsia="仿宋" w:cs="Times New Roman"/>
                <w:sz w:val="24"/>
                <w:highlight w:val="none"/>
              </w:rPr>
              <w:t>(4)投标产品为射线装置时提供：若投标人为投标人资格要求第3.1.2条所述视同制造商的贸易公司，应提供投标人有效的辐射安全许可证和所投产品制造商有效的辐射安全许可证；若投标人为所投产品制造商，应提供有效的辐射安全许可证。</w:t>
            </w:r>
          </w:p>
          <w:p w14:paraId="6D1CDA67">
            <w:pPr>
              <w:keepNext w:val="0"/>
              <w:keepLines w:val="0"/>
              <w:suppressLineNumbers w:val="0"/>
              <w:spacing w:before="0" w:beforeAutospacing="0" w:after="50" w:afterAutospacing="0"/>
              <w:ind w:left="0" w:right="-10" w:rightChars="0"/>
              <w:jc w:val="left"/>
              <w:rPr>
                <w:rFonts w:hint="eastAsia" w:ascii="宋体" w:hAnsi="宋体" w:eastAsia="仿宋" w:cs="Times New Roman"/>
                <w:sz w:val="24"/>
                <w:highlight w:val="none"/>
              </w:rPr>
            </w:pPr>
            <w:r>
              <w:rPr>
                <w:rFonts w:hint="eastAsia" w:ascii="宋体" w:hAnsi="宋体" w:eastAsia="仿宋" w:cs="Times New Roman"/>
                <w:sz w:val="24"/>
                <w:highlight w:val="none"/>
              </w:rPr>
              <w:t>3、投标人认为需要提交的其他资格证明材料。</w:t>
            </w:r>
          </w:p>
        </w:tc>
      </w:tr>
    </w:tbl>
    <w:p w14:paraId="36399E3D">
      <w:pPr>
        <w:pStyle w:val="157"/>
        <w:adjustRightInd w:val="0"/>
        <w:snapToGrid w:val="0"/>
        <w:spacing w:before="0" w:line="360" w:lineRule="auto"/>
        <w:ind w:firstLine="482" w:firstLineChars="200"/>
        <w:rPr>
          <w:rFonts w:hint="eastAsia" w:ascii="宋体" w:hAnsi="宋体" w:eastAsia="仿宋"/>
          <w:b/>
          <w:sz w:val="24"/>
          <w:szCs w:val="24"/>
          <w:highlight w:val="none"/>
        </w:rPr>
      </w:pPr>
    </w:p>
    <w:p w14:paraId="21AAEA2E">
      <w:pPr>
        <w:pStyle w:val="157"/>
        <w:adjustRightInd w:val="0"/>
        <w:snapToGrid w:val="0"/>
        <w:spacing w:before="0" w:line="360" w:lineRule="auto"/>
        <w:ind w:firstLine="482" w:firstLineChars="200"/>
        <w:jc w:val="center"/>
        <w:rPr>
          <w:rFonts w:ascii="宋体" w:hAnsi="宋体" w:eastAsia="仿宋"/>
          <w:b/>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38711F88">
      <w:pPr>
        <w:pStyle w:val="3"/>
        <w:rPr>
          <w:rStyle w:val="107"/>
          <w:rFonts w:hint="eastAsia" w:ascii="宋体" w:hAnsi="宋体" w:eastAsia="仿宋"/>
          <w:b/>
          <w:bCs/>
          <w:sz w:val="24"/>
          <w:szCs w:val="24"/>
          <w:highlight w:val="none"/>
        </w:rPr>
      </w:pPr>
      <w:bookmarkStart w:id="827" w:name="_Toc417623587"/>
      <w:bookmarkStart w:id="828" w:name="_Toc324404867"/>
      <w:r>
        <w:rPr>
          <w:rStyle w:val="107"/>
          <w:rFonts w:hint="eastAsia" w:ascii="宋体" w:hAnsi="宋体" w:eastAsia="仿宋"/>
          <w:b/>
          <w:bCs/>
          <w:sz w:val="24"/>
          <w:szCs w:val="24"/>
          <w:highlight w:val="none"/>
        </w:rPr>
        <w:t>1. 资格审查办法</w:t>
      </w:r>
      <w:bookmarkEnd w:id="827"/>
      <w:bookmarkEnd w:id="828"/>
    </w:p>
    <w:p w14:paraId="406E928B">
      <w:pPr>
        <w:snapToGrid w:val="0"/>
        <w:spacing w:line="360" w:lineRule="auto"/>
        <w:ind w:firstLine="480" w:firstLineChars="200"/>
        <w:rPr>
          <w:rFonts w:hint="eastAsia" w:ascii="宋体" w:hAnsi="宋体" w:eastAsia="仿宋"/>
          <w:sz w:val="24"/>
          <w:highlight w:val="none"/>
        </w:rPr>
      </w:pPr>
      <w:bookmarkStart w:id="829" w:name="_Hlk44246459"/>
      <w:r>
        <w:rPr>
          <w:rFonts w:hint="eastAsia" w:ascii="宋体" w:hAnsi="宋体" w:eastAsia="仿宋"/>
          <w:color w:val="000000"/>
          <w:sz w:val="24"/>
          <w:highlight w:val="none"/>
        </w:rPr>
        <w:t>公开招标采购项目开标结束后，采购人或者采购代理机构应当依法组建资格审查小组，按资格</w:t>
      </w:r>
      <w:r>
        <w:rPr>
          <w:rFonts w:hint="eastAsia" w:ascii="宋体" w:hAnsi="宋体" w:eastAsia="仿宋"/>
          <w:color w:val="auto"/>
          <w:sz w:val="24"/>
          <w:highlight w:val="none"/>
        </w:rPr>
        <w:t>审查办法前附表中的审查标准对投标人的资格进行审查。符合本章第一节第2条规定审查标准的投标人均通过资格审查</w:t>
      </w:r>
      <w:r>
        <w:rPr>
          <w:rFonts w:hint="eastAsia" w:ascii="宋体" w:hAnsi="宋体" w:eastAsia="仿宋"/>
          <w:sz w:val="24"/>
          <w:highlight w:val="none"/>
        </w:rPr>
        <w:t>。</w:t>
      </w:r>
    </w:p>
    <w:bookmarkEnd w:id="829"/>
    <w:p w14:paraId="1C401071">
      <w:pPr>
        <w:pStyle w:val="3"/>
        <w:rPr>
          <w:rStyle w:val="107"/>
          <w:rFonts w:hint="eastAsia" w:ascii="宋体" w:hAnsi="宋体" w:eastAsia="仿宋"/>
          <w:b/>
          <w:bCs/>
          <w:sz w:val="24"/>
          <w:szCs w:val="24"/>
          <w:highlight w:val="none"/>
        </w:rPr>
      </w:pPr>
      <w:r>
        <w:rPr>
          <w:rStyle w:val="107"/>
          <w:rFonts w:hint="eastAsia" w:ascii="宋体" w:hAnsi="宋体" w:eastAsia="仿宋"/>
          <w:b/>
          <w:bCs/>
          <w:sz w:val="24"/>
          <w:szCs w:val="24"/>
          <w:highlight w:val="none"/>
        </w:rPr>
        <w:t>2. 资格审查标准</w:t>
      </w:r>
    </w:p>
    <w:p w14:paraId="5351D9F2">
      <w:pPr>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审查标准：见资格审查办法前附表。</w:t>
      </w:r>
    </w:p>
    <w:p w14:paraId="4B1E3ED9">
      <w:pPr>
        <w:pStyle w:val="3"/>
        <w:rPr>
          <w:rStyle w:val="107"/>
          <w:rFonts w:hint="eastAsia" w:ascii="宋体" w:hAnsi="宋体" w:eastAsia="仿宋"/>
          <w:b/>
          <w:bCs/>
          <w:sz w:val="24"/>
          <w:szCs w:val="24"/>
          <w:highlight w:val="none"/>
        </w:rPr>
      </w:pPr>
      <w:r>
        <w:rPr>
          <w:rStyle w:val="107"/>
          <w:rFonts w:hint="eastAsia" w:ascii="宋体" w:hAnsi="宋体" w:eastAsia="仿宋"/>
          <w:b/>
          <w:bCs/>
          <w:sz w:val="24"/>
          <w:szCs w:val="24"/>
          <w:highlight w:val="none"/>
        </w:rPr>
        <w:t>3. 资格审查程序</w:t>
      </w:r>
    </w:p>
    <w:p w14:paraId="0F4F4C0D">
      <w:pPr>
        <w:pStyle w:val="4"/>
        <w:adjustRightInd w:val="0"/>
        <w:ind w:firstLine="482" w:firstLineChars="200"/>
        <w:rPr>
          <w:rFonts w:hint="eastAsia" w:eastAsia="仿宋"/>
          <w:sz w:val="24"/>
          <w:highlight w:val="none"/>
          <w:lang w:eastAsia="zh-CN"/>
        </w:rPr>
      </w:pPr>
      <w:r>
        <w:rPr>
          <w:rFonts w:hint="eastAsia" w:eastAsia="仿宋"/>
          <w:sz w:val="24"/>
          <w:highlight w:val="none"/>
          <w:lang w:eastAsia="zh-CN"/>
        </w:rPr>
        <w:t>3.1 资格审查</w:t>
      </w:r>
    </w:p>
    <w:p w14:paraId="72AFA61F">
      <w:pPr>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3.1.1 资格审查小组按照规定的资格审查标准，对各投标人依次进行审查。有一项不符合审查标准的，资格审查不合格，其投标无效。</w:t>
      </w:r>
    </w:p>
    <w:p w14:paraId="4EC50269">
      <w:pPr>
        <w:snapToGrid w:val="0"/>
        <w:spacing w:line="360" w:lineRule="auto"/>
        <w:ind w:firstLine="480" w:firstLineChars="200"/>
        <w:rPr>
          <w:rFonts w:ascii="宋体" w:hAnsi="宋体" w:eastAsia="仿宋"/>
          <w:sz w:val="24"/>
          <w:highlight w:val="none"/>
        </w:rPr>
      </w:pPr>
      <w:r>
        <w:rPr>
          <w:rFonts w:ascii="宋体" w:hAnsi="宋体" w:eastAsia="仿宋"/>
          <w:sz w:val="24"/>
          <w:highlight w:val="none"/>
        </w:rPr>
        <w:t>3.</w:t>
      </w:r>
      <w:r>
        <w:rPr>
          <w:rFonts w:hint="eastAsia" w:ascii="宋体" w:hAnsi="宋体" w:eastAsia="仿宋"/>
          <w:sz w:val="24"/>
          <w:highlight w:val="none"/>
        </w:rPr>
        <w:t>1.</w:t>
      </w:r>
      <w:r>
        <w:rPr>
          <w:rFonts w:ascii="宋体" w:hAnsi="宋体" w:eastAsia="仿宋"/>
          <w:sz w:val="24"/>
          <w:highlight w:val="none"/>
        </w:rPr>
        <w:t>2</w:t>
      </w:r>
      <w:r>
        <w:rPr>
          <w:rFonts w:hint="eastAsia" w:ascii="宋体" w:hAnsi="宋体" w:eastAsia="仿宋"/>
          <w:sz w:val="24"/>
          <w:highlight w:val="none"/>
        </w:rPr>
        <w:t xml:space="preserve"> </w:t>
      </w:r>
      <w:r>
        <w:rPr>
          <w:rFonts w:ascii="宋体" w:hAnsi="宋体" w:eastAsia="仿宋"/>
          <w:sz w:val="24"/>
          <w:highlight w:val="none"/>
        </w:rPr>
        <w:t>投标人有以下情形之一的，</w:t>
      </w:r>
      <w:r>
        <w:rPr>
          <w:rFonts w:hint="eastAsia" w:ascii="宋体" w:hAnsi="宋体" w:eastAsia="仿宋"/>
          <w:sz w:val="24"/>
          <w:highlight w:val="none"/>
        </w:rPr>
        <w:t>资格审查不合格，其投标无效</w:t>
      </w:r>
      <w:r>
        <w:rPr>
          <w:rFonts w:ascii="宋体" w:hAnsi="宋体" w:eastAsia="仿宋"/>
          <w:sz w:val="24"/>
          <w:highlight w:val="none"/>
        </w:rPr>
        <w:t>：</w:t>
      </w:r>
    </w:p>
    <w:p w14:paraId="5051DA08">
      <w:pPr>
        <w:snapToGrid w:val="0"/>
        <w:spacing w:line="360" w:lineRule="auto"/>
        <w:ind w:firstLine="480" w:firstLineChars="200"/>
        <w:rPr>
          <w:rFonts w:hint="eastAsia" w:ascii="宋体" w:hAnsi="宋体" w:eastAsia="仿宋"/>
          <w:sz w:val="24"/>
          <w:highlight w:val="none"/>
        </w:rPr>
      </w:pPr>
      <w:r>
        <w:rPr>
          <w:rFonts w:ascii="宋体" w:hAnsi="宋体" w:eastAsia="仿宋"/>
          <w:sz w:val="24"/>
          <w:highlight w:val="none"/>
        </w:rPr>
        <w:t>（</w:t>
      </w:r>
      <w:r>
        <w:rPr>
          <w:rFonts w:hint="eastAsia" w:ascii="宋体" w:hAnsi="宋体" w:eastAsia="仿宋"/>
          <w:sz w:val="24"/>
          <w:highlight w:val="none"/>
        </w:rPr>
        <w:t>1</w:t>
      </w:r>
      <w:r>
        <w:rPr>
          <w:rFonts w:ascii="宋体" w:hAnsi="宋体" w:eastAsia="仿宋"/>
          <w:sz w:val="24"/>
          <w:highlight w:val="none"/>
        </w:rPr>
        <w:t>）有弄虚作假、</w:t>
      </w:r>
      <w:r>
        <w:rPr>
          <w:rFonts w:hint="eastAsia" w:ascii="宋体" w:hAnsi="宋体" w:eastAsia="仿宋"/>
          <w:sz w:val="24"/>
          <w:highlight w:val="none"/>
        </w:rPr>
        <w:t>向资格审查小组</w:t>
      </w:r>
      <w:r>
        <w:rPr>
          <w:rFonts w:ascii="宋体" w:hAnsi="宋体" w:eastAsia="仿宋"/>
          <w:sz w:val="24"/>
          <w:highlight w:val="none"/>
        </w:rPr>
        <w:t>行贿等违法行为</w:t>
      </w:r>
      <w:r>
        <w:rPr>
          <w:rFonts w:hint="eastAsia" w:ascii="宋体" w:hAnsi="宋体" w:eastAsia="仿宋"/>
          <w:sz w:val="24"/>
          <w:highlight w:val="none"/>
        </w:rPr>
        <w:t>；</w:t>
      </w:r>
    </w:p>
    <w:p w14:paraId="139994DE">
      <w:pPr>
        <w:snapToGrid w:val="0"/>
        <w:spacing w:line="360" w:lineRule="auto"/>
        <w:ind w:firstLine="480" w:firstLineChars="200"/>
        <w:rPr>
          <w:rFonts w:ascii="宋体" w:hAnsi="宋体" w:eastAsia="仿宋"/>
          <w:sz w:val="24"/>
          <w:highlight w:val="none"/>
        </w:rPr>
      </w:pPr>
      <w:r>
        <w:rPr>
          <w:rFonts w:hint="eastAsia" w:ascii="宋体" w:hAnsi="宋体" w:eastAsia="仿宋"/>
          <w:sz w:val="24"/>
          <w:highlight w:val="none"/>
        </w:rPr>
        <w:t>（2）不按照资格审查小组要求澄清、补正的</w:t>
      </w:r>
      <w:r>
        <w:rPr>
          <w:rFonts w:ascii="宋体" w:hAnsi="宋体" w:eastAsia="仿宋"/>
          <w:sz w:val="24"/>
          <w:highlight w:val="none"/>
        </w:rPr>
        <w:t>。</w:t>
      </w:r>
    </w:p>
    <w:p w14:paraId="42DA9AD2">
      <w:pPr>
        <w:pStyle w:val="4"/>
        <w:adjustRightInd w:val="0"/>
        <w:ind w:firstLine="482" w:firstLineChars="200"/>
        <w:rPr>
          <w:rFonts w:hint="eastAsia" w:eastAsia="仿宋"/>
          <w:sz w:val="24"/>
          <w:highlight w:val="none"/>
          <w:lang w:eastAsia="zh-CN"/>
        </w:rPr>
      </w:pPr>
      <w:r>
        <w:rPr>
          <w:rFonts w:hint="eastAsia" w:eastAsia="仿宋"/>
          <w:sz w:val="24"/>
          <w:highlight w:val="none"/>
          <w:lang w:eastAsia="zh-CN"/>
        </w:rPr>
        <w:t>3.2 投标文件澄清</w:t>
      </w:r>
    </w:p>
    <w:p w14:paraId="41078C16">
      <w:pPr>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3.</w:t>
      </w:r>
      <w:r>
        <w:rPr>
          <w:rFonts w:hint="eastAsia" w:ascii="宋体" w:hAnsi="宋体" w:eastAsia="仿宋"/>
          <w:color w:val="000000"/>
          <w:sz w:val="24"/>
          <w:highlight w:val="none"/>
        </w:rPr>
        <w:t>2</w:t>
      </w:r>
      <w:r>
        <w:rPr>
          <w:rFonts w:ascii="宋体" w:hAnsi="宋体" w:eastAsia="仿宋"/>
          <w:color w:val="000000"/>
          <w:sz w:val="24"/>
          <w:highlight w:val="none"/>
        </w:rPr>
        <w:t>.1</w:t>
      </w:r>
      <w:r>
        <w:rPr>
          <w:rFonts w:hint="eastAsia" w:ascii="宋体" w:hAnsi="宋体" w:eastAsia="仿宋"/>
          <w:color w:val="000000"/>
          <w:sz w:val="24"/>
          <w:highlight w:val="none"/>
        </w:rPr>
        <w:t xml:space="preserve"> </w:t>
      </w:r>
      <w:r>
        <w:rPr>
          <w:rFonts w:ascii="宋体" w:hAnsi="宋体" w:eastAsia="仿宋"/>
          <w:color w:val="000000"/>
          <w:sz w:val="24"/>
          <w:highlight w:val="none"/>
        </w:rPr>
        <w:t>在</w:t>
      </w:r>
      <w:r>
        <w:rPr>
          <w:rFonts w:hint="eastAsia" w:ascii="宋体" w:hAnsi="宋体" w:eastAsia="仿宋"/>
          <w:color w:val="000000"/>
          <w:sz w:val="24"/>
          <w:highlight w:val="none"/>
        </w:rPr>
        <w:t>资格审查</w:t>
      </w:r>
      <w:r>
        <w:rPr>
          <w:rFonts w:ascii="宋体" w:hAnsi="宋体" w:eastAsia="仿宋"/>
          <w:color w:val="000000"/>
          <w:sz w:val="24"/>
          <w:highlight w:val="none"/>
        </w:rPr>
        <w:t>过程中，</w:t>
      </w:r>
      <w:r>
        <w:rPr>
          <w:rFonts w:hint="eastAsia" w:ascii="宋体" w:hAnsi="宋体" w:eastAsia="仿宋"/>
          <w:color w:val="000000"/>
          <w:sz w:val="24"/>
          <w:highlight w:val="none"/>
        </w:rPr>
        <w:t>资格审查小组</w:t>
      </w:r>
      <w:r>
        <w:rPr>
          <w:rFonts w:ascii="宋体" w:hAnsi="宋体" w:eastAsia="仿宋"/>
          <w:color w:val="000000"/>
          <w:sz w:val="24"/>
          <w:highlight w:val="none"/>
        </w:rPr>
        <w:t>可以书面形式要求投标人对投标文件中含义不明确、对同类问题表述不一致或者有明显文字错误的内容作必要的澄清、说明或补正。澄清、说明或补正应以书面方式进行。</w:t>
      </w:r>
      <w:r>
        <w:rPr>
          <w:rFonts w:hint="eastAsia" w:ascii="宋体" w:hAnsi="宋体" w:eastAsia="仿宋"/>
          <w:color w:val="000000"/>
          <w:sz w:val="24"/>
          <w:highlight w:val="none"/>
        </w:rPr>
        <w:t>资格审查小组</w:t>
      </w:r>
      <w:r>
        <w:rPr>
          <w:rFonts w:ascii="宋体" w:hAnsi="宋体" w:eastAsia="仿宋"/>
          <w:color w:val="000000"/>
          <w:sz w:val="24"/>
          <w:highlight w:val="none"/>
        </w:rPr>
        <w:t>不接受投标人主动提出的澄清、说明或补正。</w:t>
      </w:r>
    </w:p>
    <w:p w14:paraId="6A7D4AD5">
      <w:pPr>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3.</w:t>
      </w:r>
      <w:r>
        <w:rPr>
          <w:rFonts w:hint="eastAsia" w:ascii="宋体" w:hAnsi="宋体" w:eastAsia="仿宋"/>
          <w:color w:val="000000"/>
          <w:sz w:val="24"/>
          <w:highlight w:val="none"/>
        </w:rPr>
        <w:t>2</w:t>
      </w:r>
      <w:r>
        <w:rPr>
          <w:rFonts w:ascii="宋体" w:hAnsi="宋体" w:eastAsia="仿宋"/>
          <w:color w:val="000000"/>
          <w:sz w:val="24"/>
          <w:highlight w:val="none"/>
        </w:rPr>
        <w:t>.2</w:t>
      </w:r>
      <w:r>
        <w:rPr>
          <w:rFonts w:hint="eastAsia" w:ascii="宋体" w:hAnsi="宋体" w:eastAsia="仿宋"/>
          <w:color w:val="000000"/>
          <w:sz w:val="24"/>
          <w:highlight w:val="none"/>
        </w:rPr>
        <w:t xml:space="preserve"> </w:t>
      </w:r>
      <w:r>
        <w:rPr>
          <w:rFonts w:ascii="宋体" w:hAnsi="宋体" w:eastAsia="仿宋"/>
          <w:color w:val="000000"/>
          <w:sz w:val="24"/>
          <w:highlight w:val="none"/>
        </w:rPr>
        <w:t>澄清、说明或补正不得超出投标文件的范围且不得改变投标文件的实质性内容，并构成投标文件的组成部分。</w:t>
      </w:r>
    </w:p>
    <w:p w14:paraId="5C290886">
      <w:pPr>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3.</w:t>
      </w:r>
      <w:r>
        <w:rPr>
          <w:rFonts w:hint="eastAsia" w:ascii="宋体" w:hAnsi="宋体" w:eastAsia="仿宋"/>
          <w:color w:val="000000"/>
          <w:sz w:val="24"/>
          <w:highlight w:val="none"/>
        </w:rPr>
        <w:t>2</w:t>
      </w:r>
      <w:r>
        <w:rPr>
          <w:rFonts w:ascii="宋体" w:hAnsi="宋体" w:eastAsia="仿宋"/>
          <w:color w:val="000000"/>
          <w:sz w:val="24"/>
          <w:highlight w:val="none"/>
        </w:rPr>
        <w:t>.3</w:t>
      </w:r>
      <w:r>
        <w:rPr>
          <w:rFonts w:hint="eastAsia" w:ascii="宋体" w:hAnsi="宋体" w:eastAsia="仿宋"/>
          <w:color w:val="000000"/>
          <w:sz w:val="24"/>
          <w:highlight w:val="none"/>
        </w:rPr>
        <w:t xml:space="preserve"> 资格审查小组</w:t>
      </w:r>
      <w:r>
        <w:rPr>
          <w:rFonts w:ascii="宋体" w:hAnsi="宋体" w:eastAsia="仿宋"/>
          <w:color w:val="000000"/>
          <w:sz w:val="24"/>
          <w:highlight w:val="none"/>
        </w:rPr>
        <w:t>对投标人提交的澄清、说明或补正有疑问的，可以要求投标人进一步澄清、说明或补正，直至满足</w:t>
      </w:r>
      <w:r>
        <w:rPr>
          <w:rFonts w:hint="eastAsia" w:ascii="宋体" w:hAnsi="宋体" w:eastAsia="仿宋"/>
          <w:color w:val="000000"/>
          <w:sz w:val="24"/>
          <w:highlight w:val="none"/>
        </w:rPr>
        <w:t>资格审查小组</w:t>
      </w:r>
      <w:r>
        <w:rPr>
          <w:rFonts w:ascii="宋体" w:hAnsi="宋体" w:eastAsia="仿宋"/>
          <w:color w:val="000000"/>
          <w:sz w:val="24"/>
          <w:highlight w:val="none"/>
        </w:rPr>
        <w:t>的要求。</w:t>
      </w:r>
    </w:p>
    <w:p w14:paraId="182988BC">
      <w:pPr>
        <w:pStyle w:val="4"/>
        <w:adjustRightInd w:val="0"/>
        <w:ind w:firstLine="482" w:firstLineChars="200"/>
        <w:rPr>
          <w:rFonts w:hint="eastAsia" w:eastAsia="仿宋"/>
          <w:sz w:val="24"/>
          <w:highlight w:val="none"/>
          <w:lang w:eastAsia="zh-CN"/>
        </w:rPr>
      </w:pPr>
      <w:r>
        <w:rPr>
          <w:rFonts w:hint="eastAsia" w:eastAsia="仿宋"/>
          <w:sz w:val="24"/>
          <w:highlight w:val="none"/>
          <w:lang w:eastAsia="zh-CN"/>
        </w:rPr>
        <w:t>3.3 资格审查结果</w:t>
      </w:r>
    </w:p>
    <w:p w14:paraId="1E48BDFF">
      <w:pPr>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3.</w:t>
      </w:r>
      <w:r>
        <w:rPr>
          <w:rFonts w:hint="eastAsia" w:ascii="宋体" w:hAnsi="宋体" w:eastAsia="仿宋"/>
          <w:color w:val="000000"/>
          <w:sz w:val="24"/>
          <w:highlight w:val="none"/>
        </w:rPr>
        <w:t>3</w:t>
      </w:r>
      <w:r>
        <w:rPr>
          <w:rFonts w:ascii="宋体" w:hAnsi="宋体" w:eastAsia="仿宋"/>
          <w:color w:val="000000"/>
          <w:sz w:val="24"/>
          <w:highlight w:val="none"/>
        </w:rPr>
        <w:t>.1</w:t>
      </w:r>
      <w:r>
        <w:rPr>
          <w:rFonts w:hint="eastAsia" w:ascii="宋体" w:hAnsi="宋体" w:eastAsia="仿宋"/>
          <w:color w:val="000000"/>
          <w:sz w:val="24"/>
          <w:highlight w:val="none"/>
        </w:rPr>
        <w:t xml:space="preserve"> 资格审查完成后，资格审查小组应当出具各投标人资格审查结果的书面意见</w:t>
      </w:r>
      <w:r>
        <w:rPr>
          <w:rFonts w:ascii="宋体" w:hAnsi="宋体" w:eastAsia="仿宋"/>
          <w:color w:val="000000"/>
          <w:sz w:val="24"/>
          <w:highlight w:val="none"/>
        </w:rPr>
        <w:t>。</w:t>
      </w:r>
    </w:p>
    <w:p w14:paraId="26D322E9">
      <w:pPr>
        <w:snapToGrid w:val="0"/>
        <w:spacing w:line="360" w:lineRule="auto"/>
        <w:ind w:firstLine="480" w:firstLineChars="200"/>
        <w:rPr>
          <w:rFonts w:hint="eastAsia" w:ascii="宋体" w:hAnsi="宋体" w:eastAsia="仿宋"/>
          <w:color w:val="000000"/>
          <w:sz w:val="24"/>
          <w:highlight w:val="none"/>
        </w:rPr>
      </w:pPr>
      <w:r>
        <w:rPr>
          <w:rFonts w:ascii="宋体" w:hAnsi="宋体" w:eastAsia="仿宋"/>
          <w:color w:val="000000"/>
          <w:sz w:val="24"/>
          <w:highlight w:val="none"/>
        </w:rPr>
        <w:t>3.</w:t>
      </w:r>
      <w:r>
        <w:rPr>
          <w:rFonts w:hint="eastAsia" w:ascii="宋体" w:hAnsi="宋体" w:eastAsia="仿宋"/>
          <w:color w:val="000000"/>
          <w:sz w:val="24"/>
          <w:highlight w:val="none"/>
        </w:rPr>
        <w:t>3</w:t>
      </w:r>
      <w:r>
        <w:rPr>
          <w:rFonts w:ascii="宋体" w:hAnsi="宋体" w:eastAsia="仿宋"/>
          <w:color w:val="000000"/>
          <w:sz w:val="24"/>
          <w:highlight w:val="none"/>
        </w:rPr>
        <w:t>.2</w:t>
      </w:r>
      <w:r>
        <w:rPr>
          <w:rFonts w:hint="eastAsia" w:ascii="宋体" w:hAnsi="宋体" w:eastAsia="仿宋"/>
          <w:color w:val="000000"/>
          <w:sz w:val="24"/>
          <w:highlight w:val="none"/>
        </w:rPr>
        <w:t xml:space="preserve"> 只有通过资格审查的投标人才能进入下一步的评标程序</w:t>
      </w:r>
      <w:r>
        <w:rPr>
          <w:rFonts w:ascii="宋体" w:hAnsi="宋体" w:eastAsia="仿宋"/>
          <w:color w:val="000000"/>
          <w:sz w:val="24"/>
          <w:highlight w:val="none"/>
        </w:rPr>
        <w:t>。</w:t>
      </w:r>
    </w:p>
    <w:p w14:paraId="20C1CEE6">
      <w:pPr>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3.3.3 合格投标人不足3家的，按废标处理。</w:t>
      </w:r>
    </w:p>
    <w:p w14:paraId="0F7B632B">
      <w:pPr>
        <w:pStyle w:val="157"/>
        <w:adjustRightInd w:val="0"/>
        <w:snapToGrid w:val="0"/>
        <w:spacing w:before="0" w:line="360" w:lineRule="auto"/>
        <w:ind w:firstLine="482" w:firstLineChars="200"/>
        <w:jc w:val="center"/>
        <w:rPr>
          <w:rFonts w:hint="eastAsia" w:ascii="宋体" w:hAnsi="宋体" w:eastAsia="仿宋"/>
          <w:b/>
          <w:sz w:val="24"/>
          <w:szCs w:val="24"/>
          <w:highlight w:val="none"/>
        </w:rPr>
      </w:pPr>
    </w:p>
    <w:p w14:paraId="645EAB11">
      <w:pPr>
        <w:pStyle w:val="157"/>
        <w:adjustRightInd w:val="0"/>
        <w:snapToGrid w:val="0"/>
        <w:spacing w:before="0" w:line="360" w:lineRule="auto"/>
        <w:ind w:firstLine="482" w:firstLineChars="200"/>
        <w:jc w:val="center"/>
        <w:rPr>
          <w:rFonts w:ascii="宋体" w:hAnsi="宋体" w:eastAsia="仿宋"/>
          <w:b/>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2AD7B6EC">
      <w:pPr>
        <w:pStyle w:val="3"/>
        <w:jc w:val="center"/>
        <w:rPr>
          <w:rFonts w:hint="eastAsia" w:eastAsia="仿宋"/>
          <w:highlight w:val="none"/>
        </w:rPr>
      </w:pPr>
      <w:r>
        <w:rPr>
          <w:rFonts w:hint="eastAsia" w:eastAsia="仿宋"/>
          <w:highlight w:val="none"/>
        </w:rPr>
        <w:t>第二节  评标办法</w:t>
      </w:r>
    </w:p>
    <w:p w14:paraId="12BAC7D3">
      <w:pPr>
        <w:pStyle w:val="157"/>
        <w:adjustRightInd w:val="0"/>
        <w:snapToGrid w:val="0"/>
        <w:spacing w:before="0" w:line="360" w:lineRule="auto"/>
        <w:ind w:firstLine="562" w:firstLineChars="200"/>
        <w:jc w:val="center"/>
        <w:rPr>
          <w:rFonts w:hint="eastAsia" w:ascii="宋体" w:hAnsi="宋体" w:eastAsia="仿宋"/>
          <w:b/>
          <w:highlight w:val="none"/>
        </w:rPr>
      </w:pPr>
      <w:r>
        <w:rPr>
          <w:rFonts w:hint="eastAsia" w:ascii="宋体" w:hAnsi="宋体" w:eastAsia="仿宋"/>
          <w:b/>
          <w:highlight w:val="none"/>
        </w:rPr>
        <w:t>评标办法前附表</w:t>
      </w:r>
    </w:p>
    <w:p w14:paraId="1741EA2E">
      <w:pPr>
        <w:widowControl/>
        <w:adjustRightInd w:val="0"/>
        <w:snapToGrid w:val="0"/>
        <w:spacing w:before="240" w:beforeLines="100" w:after="120" w:afterLines="50" w:line="360" w:lineRule="auto"/>
        <w:ind w:firstLine="482" w:firstLineChars="200"/>
        <w:rPr>
          <w:rFonts w:hint="eastAsia" w:ascii="宋体" w:hAnsi="宋体" w:eastAsia="仿宋"/>
          <w:b/>
          <w:sz w:val="28"/>
          <w:szCs w:val="28"/>
          <w:highlight w:val="none"/>
        </w:rPr>
      </w:pPr>
      <w:r>
        <w:rPr>
          <w:rFonts w:hint="eastAsia" w:ascii="宋体" w:hAnsi="宋体" w:eastAsia="仿宋"/>
          <w:b/>
          <w:bCs/>
          <w:sz w:val="24"/>
          <w:highlight w:val="none"/>
        </w:rPr>
        <w:t>本《评标办法前附表》是对本节《评标办法》的具体补充和修改，如有不一致，以本《评标办法前附表》为准。</w:t>
      </w:r>
    </w:p>
    <w:p w14:paraId="69AB7846">
      <w:pPr>
        <w:pStyle w:val="157"/>
        <w:adjustRightInd w:val="0"/>
        <w:snapToGrid w:val="0"/>
        <w:spacing w:before="0" w:line="360" w:lineRule="auto"/>
        <w:ind w:firstLine="482" w:firstLineChars="200"/>
        <w:rPr>
          <w:rFonts w:hint="eastAsia" w:ascii="楷体_GB2312" w:hAnsi="宋体" w:eastAsia="楷体_GB2312"/>
          <w:b/>
          <w:i/>
          <w:color w:val="0000FF"/>
          <w:sz w:val="24"/>
          <w:szCs w:val="24"/>
          <w:highlight w:val="none"/>
        </w:rPr>
      </w:pPr>
      <w:r>
        <w:rPr>
          <w:rFonts w:hint="eastAsia" w:ascii="宋体" w:hAnsi="宋体" w:eastAsia="仿宋"/>
          <w:b/>
          <w:sz w:val="24"/>
          <w:szCs w:val="24"/>
          <w:highlight w:val="none"/>
        </w:rPr>
        <w:t>1. 符合性审查表</w:t>
      </w:r>
    </w:p>
    <w:tbl>
      <w:tblPr>
        <w:tblStyle w:val="48"/>
        <w:tblW w:w="925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1843"/>
        <w:gridCol w:w="6533"/>
      </w:tblGrid>
      <w:tr w14:paraId="53F4E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877" w:type="dxa"/>
            <w:noWrap w:val="0"/>
            <w:vAlign w:val="center"/>
          </w:tcPr>
          <w:p w14:paraId="7BFDB458">
            <w:pPr>
              <w:keepNext w:val="0"/>
              <w:keepLines w:val="0"/>
              <w:widowControl/>
              <w:suppressLineNumbers w:val="0"/>
              <w:spacing w:before="0" w:beforeAutospacing="0" w:after="0" w:afterAutospacing="0"/>
              <w:ind w:left="0" w:right="0"/>
              <w:jc w:val="center"/>
              <w:rPr>
                <w:rFonts w:hint="eastAsia" w:ascii="宋体" w:hAnsi="宋体" w:cs="Times New Roman"/>
                <w:b/>
                <w:kern w:val="0"/>
                <w:sz w:val="24"/>
                <w:highlight w:val="none"/>
              </w:rPr>
            </w:pPr>
            <w:r>
              <w:rPr>
                <w:rFonts w:hint="eastAsia" w:ascii="宋体" w:hAnsi="宋体" w:eastAsia="仿宋" w:cs="Times New Roman"/>
                <w:b/>
                <w:kern w:val="0"/>
                <w:sz w:val="24"/>
                <w:highlight w:val="none"/>
              </w:rPr>
              <w:t>条款号</w:t>
            </w:r>
          </w:p>
        </w:tc>
        <w:tc>
          <w:tcPr>
            <w:tcW w:w="1843" w:type="dxa"/>
            <w:noWrap w:val="0"/>
            <w:vAlign w:val="center"/>
          </w:tcPr>
          <w:p w14:paraId="702771F5">
            <w:pPr>
              <w:keepNext w:val="0"/>
              <w:keepLines w:val="0"/>
              <w:widowControl/>
              <w:suppressLineNumbers w:val="0"/>
              <w:spacing w:before="0" w:beforeAutospacing="0" w:after="0" w:afterAutospacing="0"/>
              <w:ind w:left="0" w:right="0"/>
              <w:jc w:val="center"/>
              <w:rPr>
                <w:rFonts w:hint="default" w:ascii="宋体" w:hAnsi="宋体" w:cs="Times New Roman"/>
                <w:b/>
                <w:kern w:val="0"/>
                <w:sz w:val="24"/>
                <w:highlight w:val="none"/>
              </w:rPr>
            </w:pPr>
            <w:r>
              <w:rPr>
                <w:rFonts w:hint="eastAsia" w:ascii="宋体" w:hAnsi="宋体" w:eastAsia="仿宋" w:cs="Times New Roman"/>
                <w:b/>
                <w:kern w:val="0"/>
                <w:sz w:val="24"/>
                <w:highlight w:val="none"/>
              </w:rPr>
              <w:t>审查因素</w:t>
            </w:r>
          </w:p>
        </w:tc>
        <w:tc>
          <w:tcPr>
            <w:tcW w:w="6533" w:type="dxa"/>
            <w:noWrap w:val="0"/>
            <w:vAlign w:val="center"/>
          </w:tcPr>
          <w:p w14:paraId="7A69CB07">
            <w:pPr>
              <w:keepNext w:val="0"/>
              <w:keepLines w:val="0"/>
              <w:widowControl/>
              <w:suppressLineNumbers w:val="0"/>
              <w:spacing w:before="0" w:beforeAutospacing="0" w:after="0" w:afterAutospacing="0"/>
              <w:ind w:left="0" w:right="0"/>
              <w:jc w:val="center"/>
              <w:rPr>
                <w:rFonts w:hint="default" w:ascii="宋体" w:hAnsi="宋体" w:cs="Times New Roman"/>
                <w:b/>
                <w:kern w:val="0"/>
                <w:sz w:val="24"/>
                <w:highlight w:val="none"/>
              </w:rPr>
            </w:pPr>
            <w:r>
              <w:rPr>
                <w:rFonts w:hint="eastAsia" w:ascii="宋体" w:hAnsi="宋体" w:eastAsia="仿宋" w:cs="Times New Roman"/>
                <w:b/>
                <w:kern w:val="0"/>
                <w:sz w:val="24"/>
                <w:highlight w:val="none"/>
              </w:rPr>
              <w:t>审查标准</w:t>
            </w:r>
          </w:p>
        </w:tc>
      </w:tr>
      <w:tr w14:paraId="6AD96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restart"/>
            <w:noWrap w:val="0"/>
            <w:vAlign w:val="center"/>
          </w:tcPr>
          <w:p w14:paraId="5A640040">
            <w:pPr>
              <w:keepNext w:val="0"/>
              <w:keepLines w:val="0"/>
              <w:widowControl/>
              <w:suppressLineNumbers w:val="0"/>
              <w:spacing w:before="0" w:beforeAutospacing="0" w:after="0" w:afterAutospacing="0"/>
              <w:ind w:left="0" w:right="0"/>
              <w:jc w:val="center"/>
              <w:rPr>
                <w:rFonts w:hint="default" w:ascii="宋体" w:hAnsi="宋体" w:eastAsia="仿宋" w:cs="Times New Roman"/>
                <w:kern w:val="0"/>
                <w:sz w:val="24"/>
                <w:highlight w:val="none"/>
              </w:rPr>
            </w:pPr>
            <w:r>
              <w:rPr>
                <w:rFonts w:hint="eastAsia" w:ascii="宋体" w:hAnsi="宋体" w:eastAsia="仿宋" w:cs="Times New Roman"/>
                <w:kern w:val="0"/>
                <w:sz w:val="24"/>
                <w:highlight w:val="none"/>
              </w:rPr>
              <w:t>3.1.2</w:t>
            </w:r>
          </w:p>
        </w:tc>
        <w:tc>
          <w:tcPr>
            <w:tcW w:w="1843" w:type="dxa"/>
            <w:noWrap w:val="0"/>
            <w:vAlign w:val="center"/>
          </w:tcPr>
          <w:p w14:paraId="26701946">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投标人名称</w:t>
            </w:r>
          </w:p>
        </w:tc>
        <w:tc>
          <w:tcPr>
            <w:tcW w:w="6533" w:type="dxa"/>
            <w:noWrap w:val="0"/>
            <w:vAlign w:val="center"/>
          </w:tcPr>
          <w:p w14:paraId="2AD6627F">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与营业执照（或事业单位法人证书等证明材料）一致</w:t>
            </w:r>
          </w:p>
        </w:tc>
      </w:tr>
      <w:tr w14:paraId="54959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4454DB7D">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32860BD4">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投标文件签署</w:t>
            </w:r>
          </w:p>
        </w:tc>
        <w:tc>
          <w:tcPr>
            <w:tcW w:w="6533" w:type="dxa"/>
            <w:noWrap w:val="0"/>
            <w:vAlign w:val="center"/>
          </w:tcPr>
          <w:p w14:paraId="4D321806">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投标文件签字盖章符合招标文件规定</w:t>
            </w:r>
          </w:p>
        </w:tc>
      </w:tr>
      <w:tr w14:paraId="05CC1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334BDF9B">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1F65B510">
            <w:pPr>
              <w:keepNext w:val="0"/>
              <w:keepLines w:val="0"/>
              <w:suppressLineNumbers w:val="0"/>
              <w:spacing w:before="0" w:beforeAutospacing="0" w:after="0" w:afterAutospacing="0" w:line="240" w:lineRule="exact"/>
              <w:ind w:left="0" w:right="0"/>
              <w:rPr>
                <w:rFonts w:hint="eastAsia" w:ascii="宋体" w:hAnsi="宋体" w:cs="Times New Roman"/>
                <w:sz w:val="24"/>
                <w:highlight w:val="none"/>
              </w:rPr>
            </w:pPr>
            <w:r>
              <w:rPr>
                <w:rFonts w:hint="eastAsia" w:ascii="宋体" w:hAnsi="宋体" w:eastAsia="仿宋" w:cs="Times New Roman"/>
                <w:sz w:val="24"/>
                <w:highlight w:val="none"/>
              </w:rPr>
              <w:t>法定代表人（单位负责人）身份证明及授权委托书</w:t>
            </w:r>
          </w:p>
        </w:tc>
        <w:tc>
          <w:tcPr>
            <w:tcW w:w="6533" w:type="dxa"/>
            <w:noWrap w:val="0"/>
            <w:vAlign w:val="center"/>
          </w:tcPr>
          <w:p w14:paraId="1D85BBCA">
            <w:pPr>
              <w:keepNext w:val="0"/>
              <w:keepLines w:val="0"/>
              <w:suppressLineNumbers w:val="0"/>
              <w:spacing w:before="0" w:beforeAutospacing="0" w:after="0" w:afterAutospacing="0" w:line="240" w:lineRule="exact"/>
              <w:ind w:left="0" w:right="0"/>
              <w:rPr>
                <w:rFonts w:hint="eastAsia" w:ascii="宋体" w:hAnsi="宋体" w:cs="Times New Roman"/>
                <w:sz w:val="24"/>
                <w:highlight w:val="none"/>
              </w:rPr>
            </w:pPr>
            <w:r>
              <w:rPr>
                <w:rFonts w:hint="eastAsia" w:ascii="宋体" w:hAnsi="宋体" w:eastAsia="仿宋" w:cs="Times New Roman"/>
                <w:sz w:val="24"/>
                <w:highlight w:val="none"/>
              </w:rPr>
              <w:t>法定代表人（单位负责人）身份证明及授权委托书符合招标文件规定的格式，按规定格式签字盖章</w:t>
            </w:r>
          </w:p>
        </w:tc>
      </w:tr>
      <w:tr w14:paraId="56E408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C5954E8">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7DFB201C">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投标文件格式</w:t>
            </w:r>
          </w:p>
        </w:tc>
        <w:tc>
          <w:tcPr>
            <w:tcW w:w="6533" w:type="dxa"/>
            <w:noWrap w:val="0"/>
            <w:vAlign w:val="center"/>
          </w:tcPr>
          <w:p w14:paraId="527DB923">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符合招标文件给定格式要求，实质性内容齐全，关键内容、字迹清晰可辨</w:t>
            </w:r>
          </w:p>
        </w:tc>
      </w:tr>
      <w:tr w14:paraId="71D6C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02EB875">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4EECB40D">
            <w:pPr>
              <w:keepNext w:val="0"/>
              <w:keepLines w:val="0"/>
              <w:widowControl/>
              <w:suppressLineNumbers w:val="0"/>
              <w:spacing w:before="0" w:beforeAutospacing="0" w:after="0" w:afterAutospacing="0"/>
              <w:ind w:left="0" w:right="0"/>
              <w:jc w:val="left"/>
              <w:rPr>
                <w:rFonts w:hint="eastAsia" w:ascii="宋体" w:hAnsi="宋体" w:eastAsia="仿宋" w:cs="Times New Roman"/>
                <w:kern w:val="0"/>
                <w:sz w:val="24"/>
                <w:highlight w:val="none"/>
              </w:rPr>
            </w:pPr>
            <w:r>
              <w:rPr>
                <w:rFonts w:hint="eastAsia" w:ascii="宋体" w:hAnsi="宋体" w:eastAsia="仿宋" w:cs="Times New Roman"/>
                <w:kern w:val="0"/>
                <w:sz w:val="24"/>
                <w:highlight w:val="none"/>
              </w:rPr>
              <w:t>联合体投标</w:t>
            </w:r>
          </w:p>
          <w:p w14:paraId="7C6F64D1">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（如适用）</w:t>
            </w:r>
          </w:p>
        </w:tc>
        <w:tc>
          <w:tcPr>
            <w:tcW w:w="6533" w:type="dxa"/>
            <w:noWrap w:val="0"/>
            <w:vAlign w:val="center"/>
          </w:tcPr>
          <w:p w14:paraId="7F625C52">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提供联合体协议书，并明确联合体牵头人</w:t>
            </w:r>
          </w:p>
        </w:tc>
      </w:tr>
      <w:tr w14:paraId="58E72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4584767">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7FB22841">
            <w:pPr>
              <w:keepNext w:val="0"/>
              <w:keepLines w:val="0"/>
              <w:widowControl/>
              <w:suppressLineNumbers w:val="0"/>
              <w:spacing w:before="0" w:beforeAutospacing="0" w:after="0" w:afterAutospacing="0"/>
              <w:ind w:left="0" w:right="0"/>
              <w:rPr>
                <w:rFonts w:hint="eastAsia" w:ascii="宋体" w:hAnsi="宋体" w:eastAsia="仿宋" w:cs="Times New Roman"/>
                <w:kern w:val="0"/>
                <w:sz w:val="24"/>
                <w:highlight w:val="none"/>
              </w:rPr>
            </w:pPr>
            <w:r>
              <w:rPr>
                <w:rFonts w:hint="eastAsia" w:ascii="宋体" w:hAnsi="宋体" w:eastAsia="仿宋" w:cs="Times New Roman"/>
                <w:kern w:val="0"/>
                <w:sz w:val="24"/>
                <w:highlight w:val="none"/>
              </w:rPr>
              <w:t>投标范围</w:t>
            </w:r>
          </w:p>
        </w:tc>
        <w:tc>
          <w:tcPr>
            <w:tcW w:w="6533" w:type="dxa"/>
            <w:noWrap w:val="0"/>
            <w:vAlign w:val="center"/>
          </w:tcPr>
          <w:p w14:paraId="05D53D6B">
            <w:pPr>
              <w:keepNext w:val="0"/>
              <w:keepLines w:val="0"/>
              <w:widowControl/>
              <w:suppressLineNumbers w:val="0"/>
              <w:spacing w:before="0" w:beforeAutospacing="0" w:after="0" w:afterAutospacing="0"/>
              <w:ind w:left="0" w:right="0"/>
              <w:jc w:val="left"/>
              <w:rPr>
                <w:rFonts w:hint="eastAsia" w:ascii="宋体" w:hAnsi="宋体" w:cs="Times New Roman"/>
                <w:kern w:val="0"/>
                <w:sz w:val="24"/>
                <w:highlight w:val="none"/>
              </w:rPr>
            </w:pPr>
            <w:r>
              <w:rPr>
                <w:rFonts w:hint="eastAsia" w:ascii="宋体" w:hAnsi="宋体" w:eastAsia="仿宋" w:cs="Times New Roman"/>
                <w:kern w:val="0"/>
                <w:sz w:val="24"/>
                <w:highlight w:val="none"/>
              </w:rPr>
              <w:t>符合招标文件要求</w:t>
            </w:r>
          </w:p>
        </w:tc>
      </w:tr>
      <w:tr w14:paraId="569D2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1AA9617">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78ECFE6D">
            <w:pPr>
              <w:keepNext w:val="0"/>
              <w:keepLines w:val="0"/>
              <w:widowControl/>
              <w:suppressLineNumbers w:val="0"/>
              <w:spacing w:before="0" w:beforeAutospacing="0" w:after="0" w:afterAutospacing="0"/>
              <w:ind w:left="0" w:right="0"/>
              <w:rPr>
                <w:rFonts w:hint="default" w:ascii="宋体" w:hAnsi="宋体" w:cs="Times New Roman"/>
                <w:kern w:val="0"/>
                <w:sz w:val="24"/>
                <w:highlight w:val="none"/>
              </w:rPr>
            </w:pPr>
            <w:r>
              <w:rPr>
                <w:rFonts w:hint="eastAsia" w:ascii="宋体" w:hAnsi="宋体" w:eastAsia="仿宋" w:cs="Times New Roman"/>
                <w:kern w:val="0"/>
                <w:sz w:val="24"/>
                <w:highlight w:val="none"/>
              </w:rPr>
              <w:t>投标报价</w:t>
            </w:r>
          </w:p>
        </w:tc>
        <w:tc>
          <w:tcPr>
            <w:tcW w:w="6533" w:type="dxa"/>
            <w:noWrap w:val="0"/>
            <w:vAlign w:val="top"/>
          </w:tcPr>
          <w:p w14:paraId="79BDE97D">
            <w:pPr>
              <w:keepNext w:val="0"/>
              <w:keepLines w:val="0"/>
              <w:widowControl/>
              <w:suppressLineNumbers w:val="0"/>
              <w:spacing w:before="0" w:beforeAutospacing="0" w:after="0" w:afterAutospacing="0"/>
              <w:ind w:left="0" w:right="0"/>
              <w:jc w:val="left"/>
              <w:rPr>
                <w:rFonts w:hint="eastAsia" w:ascii="宋体" w:hAnsi="宋体" w:eastAsia="仿宋" w:cs="Times New Roman"/>
                <w:kern w:val="0"/>
                <w:sz w:val="24"/>
                <w:highlight w:val="none"/>
              </w:rPr>
            </w:pPr>
            <w:r>
              <w:rPr>
                <w:rFonts w:hint="eastAsia" w:ascii="宋体" w:hAnsi="宋体" w:eastAsia="仿宋" w:cs="仿宋_GB2312"/>
                <w:sz w:val="24"/>
                <w:highlight w:val="none"/>
                <w:lang w:val="zh-CN"/>
              </w:rPr>
              <w:t>投标报价不得超过</w:t>
            </w:r>
            <w:r>
              <w:rPr>
                <w:rFonts w:hint="eastAsia" w:ascii="宋体" w:hAnsi="宋体" w:eastAsia="仿宋" w:cs="仿宋_GB2312"/>
                <w:sz w:val="24"/>
                <w:highlight w:val="none"/>
              </w:rPr>
              <w:t>预算金额或</w:t>
            </w:r>
            <w:r>
              <w:rPr>
                <w:rFonts w:hint="eastAsia" w:ascii="宋体" w:hAnsi="宋体" w:eastAsia="仿宋" w:cs="仿宋_GB2312"/>
                <w:sz w:val="24"/>
                <w:highlight w:val="none"/>
                <w:lang w:val="zh-CN"/>
              </w:rPr>
              <w:t>最高限价，</w:t>
            </w:r>
            <w:r>
              <w:rPr>
                <w:rFonts w:hint="eastAsia" w:ascii="宋体" w:hAnsi="宋体" w:eastAsia="仿宋" w:cs="Times New Roman"/>
                <w:sz w:val="24"/>
                <w:highlight w:val="none"/>
              </w:rPr>
              <w:t>只能有一个有效报价，不得提交选择性报价（按招标文件规定提交备选投标方案的除外），</w:t>
            </w:r>
            <w:r>
              <w:rPr>
                <w:rFonts w:hint="eastAsia" w:ascii="宋体" w:hAnsi="宋体" w:eastAsia="仿宋" w:cs="Times New Roman"/>
                <w:sz w:val="24"/>
                <w:highlight w:val="none"/>
                <w:lang w:bidi="ar"/>
              </w:rPr>
              <w:t>符合第二章投标人须知第3.2款要求</w:t>
            </w:r>
          </w:p>
        </w:tc>
      </w:tr>
      <w:tr w14:paraId="588EA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7FB3507">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54D0361C">
            <w:pPr>
              <w:pStyle w:val="156"/>
              <w:keepNext w:val="0"/>
              <w:keepLines w:val="0"/>
              <w:suppressLineNumbers w:val="0"/>
              <w:spacing w:before="0" w:beforeAutospacing="0" w:after="0" w:afterAutospacing="0"/>
              <w:ind w:left="0" w:right="0"/>
              <w:rPr>
                <w:rFonts w:hint="default" w:ascii="宋体" w:hAnsi="宋体" w:eastAsia="仿宋" w:cs="Times New Roman"/>
                <w:sz w:val="24"/>
                <w:szCs w:val="24"/>
                <w:highlight w:val="none"/>
              </w:rPr>
            </w:pPr>
            <w:r>
              <w:rPr>
                <w:rFonts w:hint="eastAsia" w:ascii="宋体" w:hAnsi="宋体" w:eastAsia="仿宋" w:cs="Times New Roman"/>
                <w:sz w:val="24"/>
                <w:szCs w:val="24"/>
                <w:highlight w:val="none"/>
              </w:rPr>
              <w:t>商务要求</w:t>
            </w:r>
          </w:p>
        </w:tc>
        <w:tc>
          <w:tcPr>
            <w:tcW w:w="6533" w:type="dxa"/>
            <w:noWrap w:val="0"/>
            <w:vAlign w:val="center"/>
          </w:tcPr>
          <w:p w14:paraId="53E00750">
            <w:pPr>
              <w:pStyle w:val="156"/>
              <w:keepNext w:val="0"/>
              <w:keepLines w:val="0"/>
              <w:suppressLineNumbers w:val="0"/>
              <w:spacing w:before="0" w:beforeAutospacing="0" w:after="0" w:afterAutospacing="0"/>
              <w:ind w:left="0" w:right="0"/>
              <w:rPr>
                <w:rFonts w:hint="default" w:ascii="宋体" w:hAnsi="宋体" w:eastAsia="仿宋" w:cs="Times New Roman"/>
                <w:sz w:val="24"/>
                <w:szCs w:val="24"/>
                <w:highlight w:val="none"/>
              </w:rPr>
            </w:pPr>
            <w:r>
              <w:rPr>
                <w:rFonts w:hint="eastAsia" w:ascii="宋体" w:hAnsi="宋体" w:eastAsia="仿宋" w:cs="Times New Roman"/>
                <w:sz w:val="24"/>
                <w:highlight w:val="none"/>
              </w:rPr>
              <w:t>符合实质性要求，偏离范围和项数符合招标文件规定</w:t>
            </w:r>
          </w:p>
        </w:tc>
      </w:tr>
      <w:tr w14:paraId="45EC7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3C4F719C">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0FDFCD84">
            <w:pPr>
              <w:keepNext w:val="0"/>
              <w:keepLines w:val="0"/>
              <w:widowControl/>
              <w:suppressLineNumbers w:val="0"/>
              <w:spacing w:before="0" w:beforeAutospacing="0" w:after="0" w:afterAutospacing="0"/>
              <w:ind w:left="0" w:right="0"/>
              <w:rPr>
                <w:rFonts w:hint="eastAsia" w:ascii="宋体" w:hAnsi="宋体" w:eastAsia="仿宋" w:cs="Times New Roman"/>
                <w:kern w:val="0"/>
                <w:sz w:val="24"/>
                <w:highlight w:val="none"/>
              </w:rPr>
            </w:pPr>
            <w:r>
              <w:rPr>
                <w:rFonts w:hint="eastAsia" w:ascii="宋体" w:hAnsi="宋体" w:eastAsia="仿宋" w:cs="Times New Roman"/>
                <w:kern w:val="0"/>
                <w:sz w:val="24"/>
                <w:highlight w:val="none"/>
              </w:rPr>
              <w:t>技术要求</w:t>
            </w:r>
          </w:p>
        </w:tc>
        <w:tc>
          <w:tcPr>
            <w:tcW w:w="6533" w:type="dxa"/>
            <w:noWrap w:val="0"/>
            <w:vAlign w:val="center"/>
          </w:tcPr>
          <w:p w14:paraId="5753F514">
            <w:pPr>
              <w:keepNext w:val="0"/>
              <w:keepLines w:val="0"/>
              <w:widowControl/>
              <w:suppressLineNumbers w:val="0"/>
              <w:spacing w:before="0" w:beforeAutospacing="0" w:after="0" w:afterAutospacing="0"/>
              <w:ind w:left="0" w:right="0"/>
              <w:jc w:val="left"/>
              <w:rPr>
                <w:rFonts w:hint="default" w:ascii="宋体" w:hAnsi="宋体" w:cs="Times New Roman"/>
                <w:kern w:val="0"/>
                <w:sz w:val="24"/>
                <w:highlight w:val="none"/>
              </w:rPr>
            </w:pPr>
            <w:r>
              <w:rPr>
                <w:rFonts w:hint="eastAsia" w:ascii="宋体" w:hAnsi="宋体" w:eastAsia="仿宋" w:cs="Times New Roman"/>
                <w:kern w:val="0"/>
                <w:sz w:val="24"/>
                <w:highlight w:val="none"/>
              </w:rPr>
              <w:t>符合实质性要求，偏离范围和项数符合招标文件规定</w:t>
            </w:r>
          </w:p>
        </w:tc>
      </w:tr>
      <w:tr w14:paraId="23558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0264098">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2649DC11">
            <w:pPr>
              <w:keepNext w:val="0"/>
              <w:keepLines w:val="0"/>
              <w:widowControl/>
              <w:suppressLineNumbers w:val="0"/>
              <w:spacing w:before="0" w:beforeAutospacing="0" w:after="0" w:afterAutospacing="0"/>
              <w:ind w:left="0" w:right="0"/>
              <w:rPr>
                <w:rFonts w:hint="default" w:ascii="宋体" w:hAnsi="宋体" w:cs="Times New Roman"/>
                <w:kern w:val="0"/>
                <w:sz w:val="24"/>
                <w:highlight w:val="none"/>
              </w:rPr>
            </w:pPr>
            <w:r>
              <w:rPr>
                <w:rFonts w:hint="eastAsia" w:ascii="宋体" w:hAnsi="宋体" w:eastAsia="仿宋" w:cs="Times New Roman"/>
                <w:kern w:val="0"/>
                <w:sz w:val="24"/>
                <w:highlight w:val="none"/>
              </w:rPr>
              <w:t>投标有效期</w:t>
            </w:r>
          </w:p>
        </w:tc>
        <w:tc>
          <w:tcPr>
            <w:tcW w:w="6533" w:type="dxa"/>
            <w:noWrap w:val="0"/>
            <w:vAlign w:val="center"/>
          </w:tcPr>
          <w:p w14:paraId="1617A244">
            <w:pPr>
              <w:keepNext w:val="0"/>
              <w:keepLines w:val="0"/>
              <w:widowControl/>
              <w:suppressLineNumbers w:val="0"/>
              <w:spacing w:before="0" w:beforeAutospacing="0" w:after="0" w:afterAutospacing="0"/>
              <w:ind w:left="0" w:right="0"/>
              <w:jc w:val="left"/>
              <w:rPr>
                <w:rFonts w:hint="eastAsia" w:ascii="宋体" w:hAnsi="宋体" w:cs="Times New Roman"/>
                <w:kern w:val="0"/>
                <w:sz w:val="24"/>
                <w:highlight w:val="none"/>
              </w:rPr>
            </w:pPr>
            <w:r>
              <w:rPr>
                <w:rFonts w:hint="eastAsia" w:ascii="宋体" w:hAnsi="宋体" w:eastAsia="仿宋" w:cs="Times New Roman"/>
                <w:kern w:val="0"/>
                <w:sz w:val="24"/>
                <w:highlight w:val="none"/>
              </w:rPr>
              <w:t>符合招标文件要求</w:t>
            </w:r>
          </w:p>
        </w:tc>
      </w:tr>
      <w:tr w14:paraId="12B6C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39384DF7">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17D581F6">
            <w:pPr>
              <w:pStyle w:val="156"/>
              <w:keepNext w:val="0"/>
              <w:keepLines w:val="0"/>
              <w:suppressLineNumbers w:val="0"/>
              <w:adjustRightInd w:val="0"/>
              <w:spacing w:before="0" w:beforeAutospacing="0" w:after="0" w:afterAutospacing="0"/>
              <w:ind w:left="0" w:right="0"/>
              <w:rPr>
                <w:rFonts w:hint="eastAsia" w:ascii="宋体" w:hAnsi="宋体" w:cs="Times New Roman"/>
                <w:sz w:val="24"/>
                <w:szCs w:val="24"/>
                <w:highlight w:val="none"/>
              </w:rPr>
            </w:pPr>
            <w:r>
              <w:rPr>
                <w:rFonts w:hint="eastAsia" w:ascii="宋体" w:hAnsi="宋体" w:eastAsia="仿宋" w:cs="Times New Roman"/>
                <w:sz w:val="24"/>
                <w:szCs w:val="24"/>
                <w:highlight w:val="none"/>
              </w:rPr>
              <w:t>进口产品</w:t>
            </w:r>
          </w:p>
        </w:tc>
        <w:tc>
          <w:tcPr>
            <w:tcW w:w="6533" w:type="dxa"/>
            <w:noWrap w:val="0"/>
            <w:vAlign w:val="center"/>
          </w:tcPr>
          <w:p w14:paraId="76324187">
            <w:pPr>
              <w:pStyle w:val="156"/>
              <w:keepNext w:val="0"/>
              <w:keepLines w:val="0"/>
              <w:suppressLineNumbers w:val="0"/>
              <w:adjustRightInd w:val="0"/>
              <w:spacing w:before="0" w:beforeAutospacing="0" w:after="0" w:afterAutospacing="0"/>
              <w:ind w:left="0" w:right="0"/>
              <w:rPr>
                <w:rFonts w:hint="eastAsia" w:ascii="宋体" w:hAnsi="宋体" w:cs="Times New Roman"/>
                <w:sz w:val="24"/>
                <w:szCs w:val="24"/>
                <w:highlight w:val="none"/>
              </w:rPr>
            </w:pPr>
            <w:r>
              <w:rPr>
                <w:rFonts w:hint="eastAsia" w:ascii="宋体" w:hAnsi="宋体" w:eastAsia="仿宋" w:cs="Times New Roman"/>
                <w:sz w:val="24"/>
                <w:szCs w:val="24"/>
                <w:highlight w:val="none"/>
              </w:rPr>
              <w:t>不接受进口产品投标的，投标产品不得为进口产品（执行</w:t>
            </w:r>
            <w:r>
              <w:rPr>
                <w:rFonts w:hint="default" w:ascii="宋体" w:hAnsi="宋体" w:eastAsia="仿宋" w:cs="Times New Roman"/>
                <w:sz w:val="24"/>
                <w:szCs w:val="24"/>
                <w:highlight w:val="none"/>
              </w:rPr>
              <w:t>财办库</w:t>
            </w:r>
            <w:r>
              <w:rPr>
                <w:rFonts w:hint="eastAsia" w:ascii="宋体" w:hAnsi="宋体" w:eastAsia="仿宋" w:cs="Times New Roman"/>
                <w:sz w:val="24"/>
                <w:szCs w:val="24"/>
                <w:highlight w:val="none"/>
              </w:rPr>
              <w:t>〔2008〕</w:t>
            </w:r>
            <w:r>
              <w:rPr>
                <w:rFonts w:hint="default" w:ascii="宋体" w:hAnsi="宋体" w:eastAsia="仿宋" w:cs="Times New Roman"/>
                <w:sz w:val="24"/>
                <w:szCs w:val="24"/>
                <w:highlight w:val="none"/>
              </w:rPr>
              <w:t>248号</w:t>
            </w:r>
            <w:r>
              <w:rPr>
                <w:rFonts w:hint="eastAsia" w:ascii="宋体" w:hAnsi="宋体" w:eastAsia="仿宋" w:cs="Times New Roman"/>
                <w:sz w:val="24"/>
                <w:szCs w:val="24"/>
                <w:highlight w:val="none"/>
              </w:rPr>
              <w:t>文件规定）</w:t>
            </w:r>
          </w:p>
        </w:tc>
      </w:tr>
      <w:tr w14:paraId="61276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0132ABF1">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22D5938E">
            <w:pPr>
              <w:pStyle w:val="156"/>
              <w:keepNext w:val="0"/>
              <w:keepLines w:val="0"/>
              <w:suppressLineNumbers w:val="0"/>
              <w:adjustRightInd w:val="0"/>
              <w:spacing w:before="0" w:beforeAutospacing="0" w:after="0" w:afterAutospacing="0"/>
              <w:ind w:left="0" w:right="0"/>
              <w:rPr>
                <w:rFonts w:hint="eastAsia" w:ascii="宋体" w:hAnsi="宋体" w:eastAsia="仿宋" w:cs="Times New Roman"/>
                <w:color w:val="FF0000"/>
                <w:sz w:val="24"/>
                <w:szCs w:val="24"/>
                <w:highlight w:val="none"/>
              </w:rPr>
            </w:pPr>
            <w:r>
              <w:rPr>
                <w:rFonts w:hint="eastAsia" w:ascii="宋体" w:hAnsi="宋体" w:eastAsia="仿宋" w:cs="Times New Roman"/>
                <w:sz w:val="24"/>
                <w:szCs w:val="24"/>
                <w:highlight w:val="none"/>
              </w:rPr>
              <w:t>强制采购节能产品</w:t>
            </w:r>
          </w:p>
        </w:tc>
        <w:tc>
          <w:tcPr>
            <w:tcW w:w="6533" w:type="dxa"/>
            <w:noWrap w:val="0"/>
            <w:vAlign w:val="center"/>
          </w:tcPr>
          <w:p w14:paraId="4A6ECD1C">
            <w:pPr>
              <w:pStyle w:val="156"/>
              <w:keepNext w:val="0"/>
              <w:keepLines w:val="0"/>
              <w:suppressLineNumbers w:val="0"/>
              <w:adjustRightInd w:val="0"/>
              <w:spacing w:before="0" w:beforeAutospacing="0" w:after="0" w:afterAutospacing="0"/>
              <w:ind w:left="0" w:right="0"/>
              <w:rPr>
                <w:rFonts w:hint="eastAsia" w:ascii="宋体" w:hAnsi="宋体" w:eastAsia="仿宋" w:cs="Times New Roman"/>
                <w:sz w:val="24"/>
                <w:szCs w:val="24"/>
                <w:highlight w:val="none"/>
              </w:rPr>
            </w:pPr>
            <w:r>
              <w:rPr>
                <w:rFonts w:hint="eastAsia" w:ascii="宋体" w:hAnsi="宋体" w:eastAsia="仿宋" w:cs="Times New Roman"/>
                <w:sz w:val="24"/>
                <w:szCs w:val="24"/>
                <w:highlight w:val="none"/>
              </w:rPr>
              <w:t>采购标的若属于《节能产品政府采购品目清单》范围中政府强制采购产品，则投标人提供产品须获得国家确定的认证机构出具的、处于有效期之内的节能（水）产品认证证书</w:t>
            </w:r>
          </w:p>
        </w:tc>
      </w:tr>
      <w:tr w14:paraId="590AC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66F7E78">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49A9CF98">
            <w:pPr>
              <w:pStyle w:val="156"/>
              <w:keepNext w:val="0"/>
              <w:keepLines w:val="0"/>
              <w:suppressLineNumbers w:val="0"/>
              <w:adjustRightInd w:val="0"/>
              <w:spacing w:before="0" w:beforeAutospacing="0" w:after="0" w:afterAutospacing="0"/>
              <w:ind w:left="0" w:right="0"/>
              <w:rPr>
                <w:rFonts w:hint="eastAsia" w:ascii="宋体" w:hAnsi="宋体" w:eastAsia="仿宋" w:cs="Times New Roman"/>
                <w:color w:val="FF0000"/>
                <w:sz w:val="24"/>
                <w:szCs w:val="24"/>
                <w:highlight w:val="none"/>
              </w:rPr>
            </w:pPr>
            <w:r>
              <w:rPr>
                <w:rFonts w:hint="eastAsia" w:ascii="宋体" w:hAnsi="宋体" w:eastAsia="仿宋" w:cs="Times New Roman"/>
                <w:sz w:val="24"/>
                <w:szCs w:val="24"/>
                <w:highlight w:val="none"/>
              </w:rPr>
              <w:t>投标文件制作机器识别码</w:t>
            </w:r>
          </w:p>
        </w:tc>
        <w:tc>
          <w:tcPr>
            <w:tcW w:w="6533" w:type="dxa"/>
            <w:noWrap w:val="0"/>
            <w:vAlign w:val="center"/>
          </w:tcPr>
          <w:p w14:paraId="709844CD">
            <w:pPr>
              <w:pStyle w:val="156"/>
              <w:keepNext w:val="0"/>
              <w:keepLines w:val="0"/>
              <w:suppressLineNumbers w:val="0"/>
              <w:adjustRightInd w:val="0"/>
              <w:spacing w:before="0" w:beforeAutospacing="0" w:after="0" w:afterAutospacing="0"/>
              <w:ind w:left="0" w:right="0"/>
              <w:rPr>
                <w:rFonts w:hint="eastAsia" w:ascii="宋体" w:hAnsi="宋体" w:eastAsia="仿宋" w:cs="Times New Roman"/>
                <w:sz w:val="24"/>
                <w:szCs w:val="24"/>
                <w:highlight w:val="none"/>
              </w:rPr>
            </w:pPr>
            <w:r>
              <w:rPr>
                <w:rFonts w:hint="eastAsia" w:ascii="宋体" w:hAnsi="宋体" w:eastAsia="仿宋" w:cs="Times New Roman"/>
                <w:sz w:val="24"/>
                <w:szCs w:val="24"/>
                <w:highlight w:val="none"/>
              </w:rPr>
              <w:t>不同投标人未出现使用相同的投标文件制作机器识别码进行投标的情形</w:t>
            </w:r>
          </w:p>
        </w:tc>
      </w:tr>
      <w:tr w14:paraId="35A50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7E610238">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15AFF349">
            <w:pPr>
              <w:keepNext w:val="0"/>
              <w:keepLines w:val="0"/>
              <w:widowControl/>
              <w:suppressLineNumbers w:val="0"/>
              <w:spacing w:before="0" w:beforeAutospacing="0" w:after="0" w:afterAutospacing="0"/>
              <w:ind w:left="0" w:right="0"/>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权利义务</w:t>
            </w:r>
          </w:p>
        </w:tc>
        <w:tc>
          <w:tcPr>
            <w:tcW w:w="6533" w:type="dxa"/>
            <w:noWrap w:val="0"/>
            <w:vAlign w:val="center"/>
          </w:tcPr>
          <w:p w14:paraId="685422DF">
            <w:pPr>
              <w:keepNext w:val="0"/>
              <w:keepLines w:val="0"/>
              <w:widowControl/>
              <w:suppressLineNumbers w:val="0"/>
              <w:spacing w:before="0" w:beforeAutospacing="0" w:after="0" w:afterAutospacing="0"/>
              <w:ind w:left="0" w:right="0"/>
              <w:jc w:val="left"/>
              <w:rPr>
                <w:rFonts w:hint="default" w:ascii="宋体" w:hAnsi="宋体" w:cs="Times New Roman"/>
                <w:color w:val="auto"/>
                <w:kern w:val="0"/>
                <w:sz w:val="24"/>
                <w:highlight w:val="none"/>
              </w:rPr>
            </w:pPr>
            <w:r>
              <w:rPr>
                <w:rFonts w:hint="eastAsia" w:ascii="宋体" w:hAnsi="宋体" w:eastAsia="仿宋" w:cs="Times New Roman"/>
                <w:color w:val="auto"/>
                <w:kern w:val="0"/>
                <w:sz w:val="24"/>
                <w:highlight w:val="none"/>
              </w:rPr>
              <w:t>符合招标文件合同条款要求，未另行设定采购人不能接受的采购人应承担的义务，未对投标人的义务予以削弱</w:t>
            </w:r>
          </w:p>
        </w:tc>
      </w:tr>
      <w:tr w14:paraId="39D2A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45514F12">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74028773">
            <w:pPr>
              <w:pStyle w:val="156"/>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bCs/>
                <w:color w:val="auto"/>
                <w:sz w:val="24"/>
                <w:szCs w:val="24"/>
                <w:highlight w:val="none"/>
              </w:rPr>
              <w:t>提供同一品牌产品</w:t>
            </w:r>
          </w:p>
        </w:tc>
        <w:tc>
          <w:tcPr>
            <w:tcW w:w="6533" w:type="dxa"/>
            <w:noWrap w:val="0"/>
            <w:vAlign w:val="center"/>
          </w:tcPr>
          <w:p w14:paraId="01D33250">
            <w:pPr>
              <w:pStyle w:val="156"/>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bCs/>
                <w:color w:val="auto"/>
                <w:sz w:val="24"/>
                <w:szCs w:val="24"/>
                <w:highlight w:val="none"/>
              </w:rPr>
              <w:t>单一产品采购项目中，提供同一品牌产品的不同投标人参加同一包项下投标的，以一家投标人计算有效投标人数量。非单一产品采购项目中，提供任意核心产品为同一品牌且通过资格审查、符合性审查的不同投标人参加同一包项下投标的，以一家投标人计算有效投标人数量。若有效投标人不足三家，本项目废标</w:t>
            </w:r>
          </w:p>
        </w:tc>
      </w:tr>
      <w:tr w14:paraId="69210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183068F2">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4529ACFB">
            <w:pPr>
              <w:pStyle w:val="156"/>
              <w:keepNext w:val="0"/>
              <w:keepLines w:val="0"/>
              <w:suppressLineNumbers w:val="0"/>
              <w:spacing w:before="0" w:beforeAutospacing="0" w:after="0" w:afterAutospacing="0"/>
              <w:ind w:left="0" w:right="0"/>
              <w:rPr>
                <w:rFonts w:hint="default"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低价说明</w:t>
            </w:r>
          </w:p>
        </w:tc>
        <w:tc>
          <w:tcPr>
            <w:tcW w:w="6533" w:type="dxa"/>
            <w:noWrap w:val="0"/>
            <w:vAlign w:val="center"/>
          </w:tcPr>
          <w:p w14:paraId="4A6BD586">
            <w:pPr>
              <w:pStyle w:val="156"/>
              <w:keepNext w:val="0"/>
              <w:keepLines w:val="0"/>
              <w:suppressLineNumbers w:val="0"/>
              <w:spacing w:before="0" w:beforeAutospacing="0" w:after="0" w:afterAutospacing="0"/>
              <w:ind w:left="0" w:right="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rPr>
              <w:t>投标人的报价明显低于其他通过符合性审查投标人的报价，评标委员会要求其提供书面说明时，投标人不能证明其报价合理性的，投标无效。</w:t>
            </w:r>
          </w:p>
        </w:tc>
      </w:tr>
      <w:tr w14:paraId="19BE8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top"/>
          </w:tcPr>
          <w:p w14:paraId="51FE9059">
            <w:pPr>
              <w:keepNext w:val="0"/>
              <w:keepLines w:val="0"/>
              <w:widowControl/>
              <w:suppressLineNumbers w:val="0"/>
              <w:spacing w:before="0" w:beforeAutospacing="0" w:after="0" w:afterAutospacing="0"/>
              <w:ind w:left="0" w:right="0"/>
              <w:jc w:val="center"/>
              <w:rPr>
                <w:rFonts w:hint="eastAsia" w:ascii="宋体" w:hAnsi="宋体" w:cs="Times New Roman"/>
                <w:kern w:val="0"/>
                <w:sz w:val="24"/>
                <w:highlight w:val="none"/>
              </w:rPr>
            </w:pPr>
          </w:p>
        </w:tc>
        <w:tc>
          <w:tcPr>
            <w:tcW w:w="1843" w:type="dxa"/>
            <w:noWrap w:val="0"/>
            <w:vAlign w:val="center"/>
          </w:tcPr>
          <w:p w14:paraId="7A0A9B08">
            <w:pPr>
              <w:pStyle w:val="156"/>
              <w:keepNext w:val="0"/>
              <w:keepLines w:val="0"/>
              <w:suppressLineNumbers w:val="0"/>
              <w:spacing w:before="0" w:beforeAutospacing="0" w:after="0" w:afterAutospacing="0"/>
              <w:ind w:left="0" w:right="0"/>
              <w:rPr>
                <w:rFonts w:hint="default" w:ascii="宋体" w:hAnsi="宋体" w:cs="Times New Roman"/>
                <w:sz w:val="24"/>
                <w:szCs w:val="24"/>
                <w:highlight w:val="none"/>
              </w:rPr>
            </w:pPr>
            <w:r>
              <w:rPr>
                <w:rFonts w:hint="eastAsia" w:ascii="宋体" w:hAnsi="宋体" w:eastAsia="仿宋" w:cs="Times New Roman"/>
                <w:sz w:val="24"/>
                <w:szCs w:val="24"/>
                <w:highlight w:val="none"/>
              </w:rPr>
              <w:t>其他</w:t>
            </w:r>
          </w:p>
        </w:tc>
        <w:tc>
          <w:tcPr>
            <w:tcW w:w="6533" w:type="dxa"/>
            <w:noWrap w:val="0"/>
            <w:vAlign w:val="center"/>
          </w:tcPr>
          <w:p w14:paraId="2046FF7D">
            <w:pPr>
              <w:pStyle w:val="156"/>
              <w:keepNext w:val="0"/>
              <w:keepLines w:val="0"/>
              <w:suppressLineNumbers w:val="0"/>
              <w:spacing w:before="0" w:beforeAutospacing="0" w:after="0" w:afterAutospacing="0"/>
              <w:ind w:left="0" w:right="0"/>
              <w:rPr>
                <w:rFonts w:hint="eastAsia" w:ascii="宋体" w:hAnsi="宋体" w:eastAsia="仿宋" w:cs="Times New Roman"/>
                <w:sz w:val="24"/>
                <w:szCs w:val="24"/>
                <w:highlight w:val="none"/>
              </w:rPr>
            </w:pPr>
            <w:r>
              <w:rPr>
                <w:rFonts w:hint="eastAsia" w:ascii="宋体" w:hAnsi="宋体" w:eastAsia="仿宋" w:cs="Times New Roman"/>
                <w:sz w:val="24"/>
                <w:szCs w:val="24"/>
                <w:highlight w:val="none"/>
              </w:rPr>
              <w:t>符合法律、行政法规规定的其他条件</w:t>
            </w:r>
          </w:p>
          <w:p w14:paraId="1C816017">
            <w:pPr>
              <w:pStyle w:val="156"/>
              <w:keepNext w:val="0"/>
              <w:keepLines w:val="0"/>
              <w:suppressLineNumbers w:val="0"/>
              <w:spacing w:before="0" w:beforeAutospacing="0" w:after="0" w:afterAutospacing="0"/>
              <w:ind w:left="0" w:right="0"/>
              <w:rPr>
                <w:rFonts w:hint="eastAsia" w:ascii="宋体" w:hAnsi="宋体" w:eastAsia="仿宋" w:cs="Times New Roman"/>
                <w:sz w:val="24"/>
                <w:szCs w:val="24"/>
                <w:highlight w:val="none"/>
              </w:rPr>
            </w:pPr>
            <w:r>
              <w:rPr>
                <w:rFonts w:hint="eastAsia" w:ascii="宋体" w:hAnsi="宋体" w:eastAsia="仿宋" w:cs="Times New Roman"/>
                <w:sz w:val="24"/>
                <w:szCs w:val="24"/>
                <w:highlight w:val="none"/>
              </w:rPr>
              <w:t>不符合招标文件列明的其他投标无效的情形</w:t>
            </w:r>
          </w:p>
        </w:tc>
      </w:tr>
    </w:tbl>
    <w:p w14:paraId="0C4FB464">
      <w:pPr>
        <w:pStyle w:val="157"/>
        <w:numPr>
          <w:ilvl w:val="0"/>
          <w:numId w:val="3"/>
        </w:numPr>
        <w:adjustRightInd w:val="0"/>
        <w:snapToGrid w:val="0"/>
        <w:spacing w:before="0" w:line="360" w:lineRule="auto"/>
        <w:ind w:firstLine="482" w:firstLineChars="200"/>
        <w:rPr>
          <w:rFonts w:hint="eastAsia" w:ascii="宋体" w:hAnsi="宋体" w:eastAsia="仿宋"/>
          <w:b/>
          <w:sz w:val="24"/>
          <w:szCs w:val="24"/>
          <w:highlight w:val="none"/>
        </w:rPr>
      </w:pPr>
      <w:r>
        <w:rPr>
          <w:rFonts w:ascii="宋体" w:hAnsi="宋体" w:eastAsia="仿宋"/>
          <w:b/>
          <w:sz w:val="24"/>
          <w:szCs w:val="24"/>
          <w:highlight w:val="none"/>
        </w:rPr>
        <w:br w:type="page"/>
      </w:r>
      <w:r>
        <w:rPr>
          <w:rFonts w:hint="eastAsia" w:ascii="宋体" w:hAnsi="宋体" w:eastAsia="仿宋"/>
          <w:b/>
          <w:sz w:val="24"/>
          <w:szCs w:val="24"/>
          <w:highlight w:val="none"/>
        </w:rPr>
        <w:t>详细评审表</w:t>
      </w:r>
    </w:p>
    <w:tbl>
      <w:tblPr>
        <w:tblStyle w:val="48"/>
        <w:tblW w:w="952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708"/>
        <w:gridCol w:w="1701"/>
        <w:gridCol w:w="4253"/>
        <w:gridCol w:w="1984"/>
      </w:tblGrid>
      <w:tr w14:paraId="74242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2F03D003">
            <w:pPr>
              <w:keepNext w:val="0"/>
              <w:keepLines w:val="0"/>
              <w:suppressLineNumbers w:val="0"/>
              <w:snapToGrid w:val="0"/>
              <w:spacing w:before="0" w:beforeAutospacing="0" w:after="0" w:afterAutospacing="0" w:line="288" w:lineRule="auto"/>
              <w:ind w:left="0" w:right="0"/>
              <w:jc w:val="center"/>
              <w:rPr>
                <w:rFonts w:hint="eastAsia" w:ascii="Calibri" w:hAnsi="Calibri" w:cs="Times New Roman"/>
                <w:b/>
                <w:color w:val="000000"/>
                <w:sz w:val="24"/>
                <w:highlight w:val="none"/>
              </w:rPr>
            </w:pPr>
            <w:r>
              <w:rPr>
                <w:rFonts w:hint="eastAsia" w:ascii="Calibri" w:hAnsi="Calibri" w:eastAsia="仿宋" w:cs="Times New Roman"/>
                <w:b/>
                <w:color w:val="000000"/>
                <w:sz w:val="24"/>
                <w:highlight w:val="none"/>
              </w:rPr>
              <w:t>条款号</w:t>
            </w:r>
          </w:p>
        </w:tc>
        <w:tc>
          <w:tcPr>
            <w:tcW w:w="1701" w:type="dxa"/>
            <w:noWrap w:val="0"/>
            <w:vAlign w:val="center"/>
          </w:tcPr>
          <w:p w14:paraId="29F8C89D">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000000"/>
                <w:sz w:val="24"/>
                <w:highlight w:val="none"/>
              </w:rPr>
            </w:pPr>
            <w:r>
              <w:rPr>
                <w:rFonts w:hint="default" w:ascii="Calibri" w:hAnsi="Calibri" w:eastAsia="仿宋" w:cs="Times New Roman"/>
                <w:b/>
                <w:color w:val="000000"/>
                <w:sz w:val="24"/>
                <w:highlight w:val="none"/>
              </w:rPr>
              <w:t>条款内容</w:t>
            </w:r>
          </w:p>
        </w:tc>
        <w:tc>
          <w:tcPr>
            <w:tcW w:w="4253" w:type="dxa"/>
            <w:noWrap w:val="0"/>
            <w:vAlign w:val="center"/>
          </w:tcPr>
          <w:p w14:paraId="577B3645">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000000"/>
                <w:sz w:val="24"/>
                <w:highlight w:val="none"/>
              </w:rPr>
            </w:pPr>
            <w:r>
              <w:rPr>
                <w:rFonts w:hint="default" w:ascii="Calibri" w:hAnsi="Calibri" w:eastAsia="仿宋" w:cs="Times New Roman"/>
                <w:b/>
                <w:color w:val="000000"/>
                <w:sz w:val="24"/>
                <w:highlight w:val="none"/>
              </w:rPr>
              <w:t>编列内容</w:t>
            </w:r>
          </w:p>
        </w:tc>
        <w:tc>
          <w:tcPr>
            <w:tcW w:w="1984" w:type="dxa"/>
            <w:noWrap w:val="0"/>
            <w:vAlign w:val="center"/>
          </w:tcPr>
          <w:p w14:paraId="0AE4FEC8">
            <w:pPr>
              <w:keepNext w:val="0"/>
              <w:keepLines w:val="0"/>
              <w:widowControl/>
              <w:suppressLineNumbers w:val="0"/>
              <w:snapToGrid w:val="0"/>
              <w:spacing w:before="0" w:beforeAutospacing="0" w:after="0" w:afterAutospacing="0" w:line="288" w:lineRule="auto"/>
              <w:ind w:left="0" w:right="0"/>
              <w:jc w:val="center"/>
              <w:rPr>
                <w:rFonts w:hint="default" w:ascii="宋体" w:hAnsi="宋体" w:cs="Times New Roman"/>
                <w:b/>
                <w:kern w:val="0"/>
                <w:sz w:val="24"/>
                <w:highlight w:val="none"/>
              </w:rPr>
            </w:pPr>
            <w:r>
              <w:rPr>
                <w:rFonts w:hint="eastAsia" w:ascii="宋体" w:hAnsi="宋体" w:eastAsia="仿宋" w:cs="Times New Roman"/>
                <w:b/>
                <w:kern w:val="0"/>
                <w:sz w:val="24"/>
                <w:highlight w:val="none"/>
              </w:rPr>
              <w:t>备注</w:t>
            </w:r>
          </w:p>
        </w:tc>
      </w:tr>
      <w:tr w14:paraId="34FB3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48C40162">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kern w:val="0"/>
                <w:sz w:val="24"/>
                <w:highlight w:val="none"/>
              </w:rPr>
            </w:pPr>
            <w:r>
              <w:rPr>
                <w:rFonts w:hint="eastAsia" w:ascii="宋体" w:hAnsi="宋体" w:eastAsia="仿宋" w:cs="Times New Roman"/>
                <w:color w:val="000000"/>
                <w:sz w:val="24"/>
                <w:highlight w:val="none"/>
              </w:rPr>
              <w:t>3.2.1</w:t>
            </w:r>
          </w:p>
        </w:tc>
        <w:tc>
          <w:tcPr>
            <w:tcW w:w="1701" w:type="dxa"/>
            <w:noWrap w:val="0"/>
            <w:vAlign w:val="center"/>
          </w:tcPr>
          <w:p w14:paraId="0F3D8CC3">
            <w:pPr>
              <w:keepNext w:val="0"/>
              <w:keepLines w:val="0"/>
              <w:suppressLineNumbers w:val="0"/>
              <w:snapToGrid w:val="0"/>
              <w:spacing w:before="0" w:beforeAutospacing="0" w:after="0" w:afterAutospacing="0" w:line="288" w:lineRule="auto"/>
              <w:ind w:left="0" w:right="0"/>
              <w:jc w:val="center"/>
              <w:rPr>
                <w:rFonts w:hint="default" w:ascii="宋体" w:hAnsi="宋体" w:eastAsia="仿宋" w:cs="Times New Roman"/>
                <w:color w:val="000000"/>
                <w:sz w:val="24"/>
                <w:highlight w:val="none"/>
              </w:rPr>
            </w:pPr>
            <w:r>
              <w:rPr>
                <w:rFonts w:hint="default" w:ascii="宋体" w:hAnsi="宋体" w:eastAsia="仿宋" w:cs="Times New Roman"/>
                <w:color w:val="000000"/>
                <w:sz w:val="24"/>
                <w:highlight w:val="none"/>
              </w:rPr>
              <w:t>分值构成</w:t>
            </w:r>
          </w:p>
          <w:p w14:paraId="60009948">
            <w:pPr>
              <w:keepNext w:val="0"/>
              <w:keepLines w:val="0"/>
              <w:suppressLineNumbers w:val="0"/>
              <w:snapToGrid w:val="0"/>
              <w:spacing w:before="0" w:beforeAutospacing="0" w:after="0" w:afterAutospacing="0" w:line="288" w:lineRule="auto"/>
              <w:ind w:left="0" w:right="0"/>
              <w:jc w:val="center"/>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rPr>
              <w:t>（</w:t>
            </w:r>
            <w:r>
              <w:rPr>
                <w:rFonts w:hint="default" w:ascii="宋体" w:hAnsi="宋体" w:eastAsia="仿宋" w:cs="Times New Roman"/>
                <w:color w:val="000000"/>
                <w:sz w:val="24"/>
                <w:highlight w:val="none"/>
              </w:rPr>
              <w:t>总分100分</w:t>
            </w:r>
            <w:r>
              <w:rPr>
                <w:rFonts w:hint="eastAsia" w:ascii="宋体" w:hAnsi="宋体" w:eastAsia="仿宋" w:cs="Times New Roman"/>
                <w:color w:val="000000"/>
                <w:sz w:val="24"/>
                <w:highlight w:val="none"/>
              </w:rPr>
              <w:t>）</w:t>
            </w:r>
          </w:p>
        </w:tc>
        <w:tc>
          <w:tcPr>
            <w:tcW w:w="4253" w:type="dxa"/>
            <w:noWrap w:val="0"/>
            <w:vAlign w:val="center"/>
          </w:tcPr>
          <w:p w14:paraId="1CAE4A35">
            <w:pPr>
              <w:keepNext w:val="0"/>
              <w:keepLines w:val="0"/>
              <w:suppressLineNumbers w:val="0"/>
              <w:snapToGrid w:val="0"/>
              <w:spacing w:before="0" w:beforeAutospacing="0" w:after="0" w:afterAutospacing="0" w:line="288" w:lineRule="auto"/>
              <w:ind w:left="0" w:right="0"/>
              <w:jc w:val="left"/>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rPr>
              <w:t>商务部分：</w:t>
            </w:r>
            <w:r>
              <w:rPr>
                <w:rFonts w:hint="eastAsia" w:ascii="宋体" w:hAnsi="宋体" w:eastAsia="仿宋" w:cs="Times New Roman"/>
                <w:color w:val="000000"/>
                <w:sz w:val="24"/>
                <w:highlight w:val="none"/>
                <w:lang w:val="en-US" w:eastAsia="zh-CN"/>
              </w:rPr>
              <w:t>31</w:t>
            </w:r>
            <w:r>
              <w:rPr>
                <w:rFonts w:hint="eastAsia" w:ascii="宋体" w:hAnsi="宋体" w:eastAsia="仿宋" w:cs="Times New Roman"/>
                <w:color w:val="000000"/>
                <w:sz w:val="24"/>
                <w:highlight w:val="none"/>
              </w:rPr>
              <w:t>分</w:t>
            </w:r>
          </w:p>
          <w:p w14:paraId="2EA7274F">
            <w:pPr>
              <w:keepNext w:val="0"/>
              <w:keepLines w:val="0"/>
              <w:suppressLineNumbers w:val="0"/>
              <w:snapToGrid w:val="0"/>
              <w:spacing w:before="0" w:beforeAutospacing="0" w:after="0" w:afterAutospacing="0" w:line="288" w:lineRule="auto"/>
              <w:ind w:left="0" w:right="0"/>
              <w:jc w:val="left"/>
              <w:rPr>
                <w:rFonts w:hint="default" w:ascii="宋体" w:hAnsi="宋体" w:eastAsia="仿宋" w:cs="Times New Roman"/>
                <w:color w:val="000000"/>
                <w:sz w:val="24"/>
                <w:highlight w:val="none"/>
              </w:rPr>
            </w:pPr>
            <w:r>
              <w:rPr>
                <w:rFonts w:hint="eastAsia" w:ascii="宋体" w:hAnsi="宋体" w:eastAsia="仿宋" w:cs="Times New Roman"/>
                <w:color w:val="000000"/>
                <w:sz w:val="24"/>
                <w:highlight w:val="none"/>
              </w:rPr>
              <w:t>技术部分：</w:t>
            </w:r>
            <w:r>
              <w:rPr>
                <w:rFonts w:hint="eastAsia" w:ascii="宋体" w:hAnsi="宋体" w:eastAsia="仿宋" w:cs="Times New Roman"/>
                <w:color w:val="000000"/>
                <w:sz w:val="24"/>
                <w:highlight w:val="none"/>
                <w:lang w:val="en-US" w:eastAsia="zh-CN"/>
              </w:rPr>
              <w:t>39</w:t>
            </w:r>
            <w:r>
              <w:rPr>
                <w:rFonts w:hint="default" w:ascii="宋体" w:hAnsi="宋体" w:eastAsia="仿宋" w:cs="Times New Roman"/>
                <w:color w:val="000000"/>
                <w:sz w:val="24"/>
                <w:highlight w:val="none"/>
              </w:rPr>
              <w:t>分</w:t>
            </w:r>
          </w:p>
          <w:p w14:paraId="6F449E64">
            <w:pPr>
              <w:keepNext w:val="0"/>
              <w:keepLines w:val="0"/>
              <w:suppressLineNumbers w:val="0"/>
              <w:snapToGrid w:val="0"/>
              <w:spacing w:before="0" w:beforeAutospacing="0" w:after="0" w:afterAutospacing="0" w:line="288" w:lineRule="auto"/>
              <w:ind w:left="0" w:right="0"/>
              <w:jc w:val="left"/>
              <w:rPr>
                <w:rFonts w:hint="default" w:ascii="宋体" w:hAnsi="宋体" w:eastAsia="仿宋" w:cs="Times New Roman"/>
                <w:color w:val="000000"/>
                <w:sz w:val="24"/>
                <w:highlight w:val="none"/>
              </w:rPr>
            </w:pPr>
            <w:r>
              <w:rPr>
                <w:rFonts w:hint="default" w:ascii="宋体" w:hAnsi="宋体" w:eastAsia="仿宋" w:cs="Times New Roman"/>
                <w:color w:val="000000"/>
                <w:sz w:val="24"/>
                <w:highlight w:val="none"/>
              </w:rPr>
              <w:t>投标报价：</w:t>
            </w:r>
            <w:r>
              <w:rPr>
                <w:rFonts w:hint="eastAsia" w:ascii="宋体" w:hAnsi="宋体" w:eastAsia="仿宋" w:cs="Times New Roman"/>
                <w:color w:val="000000"/>
                <w:sz w:val="24"/>
                <w:highlight w:val="none"/>
              </w:rPr>
              <w:t>30</w:t>
            </w:r>
            <w:r>
              <w:rPr>
                <w:rFonts w:hint="default" w:ascii="宋体" w:hAnsi="宋体" w:eastAsia="仿宋" w:cs="Times New Roman"/>
                <w:color w:val="000000"/>
                <w:sz w:val="24"/>
                <w:highlight w:val="none"/>
              </w:rPr>
              <w:t>分</w:t>
            </w:r>
            <w:r>
              <w:rPr>
                <w:rFonts w:hint="eastAsia" w:ascii="宋体" w:hAnsi="宋体" w:eastAsia="仿宋" w:cs="Times New Roman"/>
                <w:color w:val="000000"/>
                <w:sz w:val="24"/>
                <w:highlight w:val="none"/>
              </w:rPr>
              <w:t>（投标报价满分分值）</w:t>
            </w:r>
          </w:p>
        </w:tc>
        <w:tc>
          <w:tcPr>
            <w:tcW w:w="1984" w:type="dxa"/>
            <w:noWrap w:val="0"/>
            <w:vAlign w:val="top"/>
          </w:tcPr>
          <w:p w14:paraId="0A51C903">
            <w:pPr>
              <w:keepNext w:val="0"/>
              <w:keepLines w:val="0"/>
              <w:widowControl/>
              <w:suppressLineNumbers w:val="0"/>
              <w:snapToGrid w:val="0"/>
              <w:spacing w:before="0" w:beforeAutospacing="0" w:after="0" w:afterAutospacing="0" w:line="288" w:lineRule="auto"/>
              <w:ind w:left="0" w:right="0"/>
              <w:jc w:val="left"/>
              <w:rPr>
                <w:rFonts w:hint="default" w:ascii="宋体" w:hAnsi="宋体" w:cs="Times New Roman"/>
                <w:kern w:val="0"/>
                <w:sz w:val="24"/>
                <w:highlight w:val="none"/>
              </w:rPr>
            </w:pPr>
          </w:p>
        </w:tc>
      </w:tr>
      <w:tr w14:paraId="2356A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341FB05E">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000000"/>
                <w:sz w:val="24"/>
                <w:highlight w:val="none"/>
              </w:rPr>
            </w:pPr>
            <w:r>
              <w:rPr>
                <w:rFonts w:hint="eastAsia" w:ascii="宋体" w:hAnsi="宋体" w:eastAsia="仿宋" w:cs="Times New Roman"/>
                <w:color w:val="000000"/>
                <w:sz w:val="24"/>
                <w:highlight w:val="none"/>
              </w:rPr>
              <w:t>3.2.2</w:t>
            </w:r>
          </w:p>
        </w:tc>
        <w:tc>
          <w:tcPr>
            <w:tcW w:w="1701" w:type="dxa"/>
            <w:noWrap w:val="0"/>
            <w:vAlign w:val="center"/>
          </w:tcPr>
          <w:p w14:paraId="32EEC71B">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color w:val="000000"/>
                <w:sz w:val="24"/>
                <w:highlight w:val="none"/>
              </w:rPr>
            </w:pPr>
            <w:r>
              <w:rPr>
                <w:rFonts w:hint="eastAsia" w:ascii="Calibri" w:hAnsi="Calibri" w:eastAsia="仿宋" w:cs="Times New Roman"/>
                <w:color w:val="000000"/>
                <w:sz w:val="24"/>
                <w:highlight w:val="none"/>
              </w:rPr>
              <w:t>评标基准价计算方法</w:t>
            </w:r>
          </w:p>
        </w:tc>
        <w:tc>
          <w:tcPr>
            <w:tcW w:w="4253" w:type="dxa"/>
            <w:noWrap w:val="0"/>
            <w:vAlign w:val="center"/>
          </w:tcPr>
          <w:p w14:paraId="4E1F454E">
            <w:pPr>
              <w:keepNext w:val="0"/>
              <w:keepLines w:val="0"/>
              <w:suppressLineNumbers w:val="0"/>
              <w:snapToGrid w:val="0"/>
              <w:spacing w:before="0" w:beforeAutospacing="0" w:after="0" w:afterAutospacing="0" w:line="288" w:lineRule="auto"/>
              <w:ind w:left="0" w:right="0"/>
              <w:rPr>
                <w:rFonts w:hint="eastAsia" w:ascii="Times New Roman" w:hAnsi="Times New Roman" w:eastAsia="仿宋" w:cs="Times New Roman"/>
                <w:color w:val="000000"/>
                <w:sz w:val="24"/>
                <w:highlight w:val="none"/>
              </w:rPr>
            </w:pPr>
            <w:r>
              <w:rPr>
                <w:rFonts w:hint="eastAsia" w:ascii="Times New Roman" w:hAnsi="Times New Roman" w:eastAsia="仿宋" w:cs="Times New Roman"/>
                <w:color w:val="000000"/>
                <w:sz w:val="24"/>
                <w:highlight w:val="none"/>
              </w:rPr>
              <w:t>有效的投标报价中的最低价作为评标基准价</w:t>
            </w:r>
          </w:p>
        </w:tc>
        <w:tc>
          <w:tcPr>
            <w:tcW w:w="1984" w:type="dxa"/>
            <w:noWrap w:val="0"/>
            <w:vAlign w:val="center"/>
          </w:tcPr>
          <w:p w14:paraId="4CD60F51">
            <w:pPr>
              <w:keepNext w:val="0"/>
              <w:keepLines w:val="0"/>
              <w:suppressLineNumbers w:val="0"/>
              <w:snapToGrid w:val="0"/>
              <w:spacing w:before="0" w:beforeAutospacing="0" w:after="0" w:afterAutospacing="0" w:line="288" w:lineRule="auto"/>
              <w:ind w:left="0" w:right="0"/>
              <w:rPr>
                <w:rFonts w:hint="eastAsia" w:ascii="Times New Roman" w:hAnsi="Times New Roman" w:eastAsia="仿宋" w:cs="Times New Roman"/>
                <w:color w:val="000000"/>
                <w:sz w:val="24"/>
                <w:highlight w:val="none"/>
              </w:rPr>
            </w:pPr>
            <w:r>
              <w:rPr>
                <w:rFonts w:hint="eastAsia" w:ascii="Times New Roman" w:hAnsi="Times New Roman" w:eastAsia="仿宋" w:cs="Times New Roman"/>
                <w:color w:val="000000"/>
                <w:sz w:val="24"/>
                <w:highlight w:val="none"/>
              </w:rPr>
              <w:t>符合价格扣除政策的，用扣除后的价格参与计算、评分</w:t>
            </w:r>
          </w:p>
        </w:tc>
      </w:tr>
      <w:tr w14:paraId="01D90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585" w:type="dxa"/>
            <w:gridSpan w:val="2"/>
            <w:noWrap w:val="0"/>
            <w:vAlign w:val="center"/>
          </w:tcPr>
          <w:p w14:paraId="073B8D3F">
            <w:pPr>
              <w:keepNext w:val="0"/>
              <w:keepLines w:val="0"/>
              <w:suppressLineNumbers w:val="0"/>
              <w:snapToGrid w:val="0"/>
              <w:spacing w:before="0" w:beforeAutospacing="0" w:after="0" w:afterAutospacing="0" w:line="288" w:lineRule="auto"/>
              <w:ind w:left="0" w:right="0"/>
              <w:jc w:val="center"/>
              <w:rPr>
                <w:rFonts w:hint="eastAsia" w:ascii="Calibri" w:hAnsi="Calibri" w:cs="Times New Roman"/>
                <w:b/>
                <w:color w:val="000000"/>
                <w:sz w:val="24"/>
                <w:highlight w:val="none"/>
              </w:rPr>
            </w:pPr>
            <w:r>
              <w:rPr>
                <w:rFonts w:hint="eastAsia" w:ascii="Calibri" w:hAnsi="Calibri" w:eastAsia="仿宋" w:cs="Times New Roman"/>
                <w:b/>
                <w:color w:val="000000"/>
                <w:sz w:val="24"/>
                <w:highlight w:val="none"/>
              </w:rPr>
              <w:t>条款号</w:t>
            </w:r>
          </w:p>
        </w:tc>
        <w:tc>
          <w:tcPr>
            <w:tcW w:w="1701" w:type="dxa"/>
            <w:noWrap w:val="0"/>
            <w:vAlign w:val="center"/>
          </w:tcPr>
          <w:p w14:paraId="10778F07">
            <w:pPr>
              <w:keepNext w:val="0"/>
              <w:keepLines w:val="0"/>
              <w:suppressLineNumbers w:val="0"/>
              <w:snapToGrid w:val="0"/>
              <w:spacing w:before="0" w:beforeAutospacing="0" w:after="0" w:afterAutospacing="0" w:line="288" w:lineRule="auto"/>
              <w:ind w:left="0" w:right="0"/>
              <w:jc w:val="center"/>
              <w:rPr>
                <w:rFonts w:hint="default" w:ascii="Calibri" w:hAnsi="Calibri" w:cs="Times New Roman"/>
                <w:b/>
                <w:color w:val="000000"/>
                <w:sz w:val="24"/>
                <w:highlight w:val="none"/>
              </w:rPr>
            </w:pPr>
            <w:r>
              <w:rPr>
                <w:rFonts w:hint="eastAsia" w:ascii="Calibri" w:hAnsi="Calibri" w:eastAsia="仿宋" w:cs="Times New Roman"/>
                <w:b/>
                <w:color w:val="000000"/>
                <w:sz w:val="24"/>
                <w:highlight w:val="none"/>
              </w:rPr>
              <w:t>评分因素</w:t>
            </w:r>
          </w:p>
        </w:tc>
        <w:tc>
          <w:tcPr>
            <w:tcW w:w="6237" w:type="dxa"/>
            <w:gridSpan w:val="2"/>
            <w:noWrap w:val="0"/>
            <w:vAlign w:val="center"/>
          </w:tcPr>
          <w:p w14:paraId="26DA2CFB">
            <w:pPr>
              <w:keepNext w:val="0"/>
              <w:keepLines w:val="0"/>
              <w:widowControl/>
              <w:suppressLineNumbers w:val="0"/>
              <w:snapToGrid w:val="0"/>
              <w:spacing w:before="0" w:beforeAutospacing="0" w:after="0" w:afterAutospacing="0" w:line="288" w:lineRule="auto"/>
              <w:ind w:left="0" w:right="0"/>
              <w:jc w:val="center"/>
              <w:rPr>
                <w:rFonts w:hint="default" w:ascii="宋体" w:hAnsi="宋体" w:cs="Times New Roman"/>
                <w:b/>
                <w:kern w:val="0"/>
                <w:sz w:val="24"/>
                <w:highlight w:val="none"/>
              </w:rPr>
            </w:pPr>
            <w:r>
              <w:rPr>
                <w:rFonts w:hint="eastAsia" w:ascii="Calibri" w:hAnsi="Calibri" w:eastAsia="仿宋" w:cs="Times New Roman"/>
                <w:b/>
                <w:color w:val="000000"/>
                <w:sz w:val="24"/>
                <w:highlight w:val="none"/>
              </w:rPr>
              <w:t>评分标准</w:t>
            </w:r>
          </w:p>
        </w:tc>
      </w:tr>
      <w:tr w14:paraId="7E1C5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6" w:hRule="atLeast"/>
        </w:trPr>
        <w:tc>
          <w:tcPr>
            <w:tcW w:w="877" w:type="dxa"/>
            <w:vMerge w:val="restart"/>
            <w:noWrap w:val="0"/>
            <w:vAlign w:val="center"/>
          </w:tcPr>
          <w:p w14:paraId="0ED07019">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r>
              <w:rPr>
                <w:rFonts w:hint="eastAsia" w:ascii="仿宋" w:hAnsi="仿宋" w:eastAsia="仿宋" w:cs="仿宋"/>
                <w:sz w:val="24"/>
                <w:highlight w:val="none"/>
              </w:rPr>
              <w:t>3.2.3（1）商务部分</w:t>
            </w:r>
          </w:p>
        </w:tc>
        <w:tc>
          <w:tcPr>
            <w:tcW w:w="708" w:type="dxa"/>
            <w:noWrap w:val="0"/>
            <w:vAlign w:val="center"/>
          </w:tcPr>
          <w:p w14:paraId="25BD3C4E">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701" w:type="dxa"/>
            <w:noWrap w:val="0"/>
            <w:vAlign w:val="center"/>
          </w:tcPr>
          <w:p w14:paraId="3BD4D657">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所投产品业绩</w:t>
            </w:r>
          </w:p>
          <w:p w14:paraId="40B55EB5">
            <w:pPr>
              <w:keepNext w:val="0"/>
              <w:keepLines w:val="0"/>
              <w:widowControl/>
              <w:suppressLineNumbers w:val="0"/>
              <w:snapToGrid w:val="0"/>
              <w:spacing w:before="0" w:beforeAutospacing="0" w:after="0" w:afterAutospacing="0" w:line="360" w:lineRule="auto"/>
              <w:ind w:left="0" w:right="0"/>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5分）</w:t>
            </w:r>
          </w:p>
        </w:tc>
        <w:tc>
          <w:tcPr>
            <w:tcW w:w="6237" w:type="dxa"/>
            <w:gridSpan w:val="2"/>
            <w:noWrap w:val="0"/>
            <w:vAlign w:val="center"/>
          </w:tcPr>
          <w:p w14:paraId="12301652">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lang w:val="en-US" w:eastAsia="zh-CN"/>
              </w:rPr>
            </w:pPr>
            <w:r>
              <w:rPr>
                <w:rFonts w:hint="eastAsia" w:ascii="仿宋" w:hAnsi="仿宋" w:eastAsia="仿宋" w:cs="仿宋"/>
                <w:bCs/>
                <w:color w:val="auto"/>
                <w:sz w:val="24"/>
                <w:szCs w:val="20"/>
                <w:highlight w:val="none"/>
                <w:lang w:val="en-US" w:eastAsia="zh-CN"/>
              </w:rPr>
              <w:t>根据投标文件</w:t>
            </w:r>
            <w:r>
              <w:rPr>
                <w:rFonts w:hint="eastAsia" w:ascii="仿宋" w:hAnsi="仿宋" w:eastAsia="仿宋" w:cs="仿宋"/>
                <w:bCs/>
                <w:color w:val="auto"/>
                <w:sz w:val="24"/>
                <w:szCs w:val="20"/>
                <w:highlight w:val="none"/>
              </w:rPr>
              <w:t>中提供的自2022年1月1日以来（以合同签订时间为准）与所投产品同品牌</w:t>
            </w:r>
            <w:r>
              <w:rPr>
                <w:rFonts w:hint="eastAsia" w:ascii="仿宋" w:hAnsi="仿宋" w:eastAsia="仿宋" w:cs="仿宋"/>
                <w:bCs/>
                <w:color w:val="auto"/>
                <w:sz w:val="24"/>
                <w:szCs w:val="20"/>
                <w:highlight w:val="none"/>
                <w:lang w:val="en-US" w:eastAsia="zh-CN"/>
              </w:rPr>
              <w:t>同型号</w:t>
            </w:r>
            <w:r>
              <w:rPr>
                <w:rFonts w:hint="eastAsia" w:ascii="仿宋" w:hAnsi="仿宋" w:eastAsia="仿宋" w:cs="仿宋"/>
                <w:bCs/>
                <w:color w:val="auto"/>
                <w:sz w:val="24"/>
                <w:szCs w:val="20"/>
                <w:highlight w:val="none"/>
              </w:rPr>
              <w:t>产品在医疗机构的供货</w:t>
            </w:r>
            <w:r>
              <w:rPr>
                <w:rFonts w:hint="default" w:ascii="仿宋" w:hAnsi="仿宋" w:eastAsia="仿宋" w:cs="仿宋"/>
                <w:bCs/>
                <w:color w:val="auto"/>
                <w:sz w:val="24"/>
                <w:szCs w:val="20"/>
                <w:highlight w:val="none"/>
              </w:rPr>
              <w:t>业绩</w:t>
            </w:r>
            <w:r>
              <w:rPr>
                <w:rFonts w:hint="eastAsia" w:ascii="仿宋" w:hAnsi="仿宋" w:eastAsia="仿宋" w:cs="仿宋"/>
                <w:bCs/>
                <w:color w:val="auto"/>
                <w:sz w:val="24"/>
                <w:szCs w:val="20"/>
                <w:highlight w:val="none"/>
              </w:rPr>
              <w:t>数量进行评审，</w:t>
            </w:r>
            <w:r>
              <w:rPr>
                <w:rFonts w:hint="eastAsia" w:ascii="仿宋" w:hAnsi="仿宋" w:eastAsia="仿宋" w:cs="仿宋"/>
                <w:bCs/>
                <w:color w:val="auto"/>
                <w:sz w:val="24"/>
                <w:szCs w:val="20"/>
                <w:highlight w:val="none"/>
                <w:lang w:val="en-US" w:eastAsia="zh-CN"/>
              </w:rPr>
              <w:t>每提供一台得0.2分</w:t>
            </w:r>
            <w:r>
              <w:rPr>
                <w:rFonts w:hint="eastAsia" w:ascii="仿宋" w:hAnsi="仿宋" w:eastAsia="仿宋" w:cs="仿宋"/>
                <w:bCs/>
                <w:color w:val="auto"/>
                <w:sz w:val="24"/>
                <w:szCs w:val="20"/>
                <w:highlight w:val="none"/>
              </w:rPr>
              <w:t>，</w:t>
            </w:r>
            <w:r>
              <w:rPr>
                <w:rFonts w:hint="eastAsia" w:ascii="仿宋" w:hAnsi="仿宋" w:eastAsia="仿宋" w:cs="仿宋"/>
                <w:bCs/>
                <w:color w:val="auto"/>
                <w:sz w:val="24"/>
                <w:szCs w:val="20"/>
                <w:highlight w:val="none"/>
                <w:lang w:val="en-US" w:eastAsia="zh-CN"/>
              </w:rPr>
              <w:t>满分5分，</w:t>
            </w:r>
            <w:r>
              <w:rPr>
                <w:rFonts w:hint="eastAsia" w:ascii="仿宋" w:hAnsi="仿宋" w:eastAsia="仿宋" w:cs="仿宋"/>
                <w:bCs/>
                <w:color w:val="auto"/>
                <w:sz w:val="24"/>
                <w:szCs w:val="20"/>
                <w:highlight w:val="none"/>
              </w:rPr>
              <w:t>无业绩证明材料的不得分。</w:t>
            </w:r>
          </w:p>
          <w:p w14:paraId="49505460">
            <w:pPr>
              <w:keepNext w:val="0"/>
              <w:keepLines w:val="0"/>
              <w:widowControl/>
              <w:suppressLineNumbers w:val="0"/>
              <w:snapToGrid w:val="0"/>
              <w:spacing w:before="0" w:beforeAutospacing="0" w:after="0" w:afterAutospacing="0" w:line="360" w:lineRule="auto"/>
              <w:ind w:left="0" w:right="0"/>
              <w:rPr>
                <w:rFonts w:hint="eastAsia" w:ascii="楷体" w:hAnsi="楷体" w:eastAsia="仿宋" w:cs="Times New Roman"/>
                <w:i/>
                <w:iCs/>
                <w:color w:val="auto"/>
                <w:kern w:val="0"/>
                <w:sz w:val="24"/>
                <w:highlight w:val="none"/>
              </w:rPr>
            </w:pPr>
            <w:r>
              <w:rPr>
                <w:rFonts w:hint="eastAsia" w:ascii="仿宋" w:hAnsi="仿宋" w:eastAsia="仿宋" w:cs="仿宋"/>
                <w:b/>
                <w:bCs/>
                <w:color w:val="auto"/>
                <w:sz w:val="24"/>
                <w:highlight w:val="none"/>
              </w:rPr>
              <w:t>注：（1）所投标包非单一产品时，本项以核心产品（主机）业绩计分；（2）此处业绩系指产品业绩，不限合同签订的供货主体，但最终使用单位须为医疗机构；（3）投标文件中提供中标（成交）公告网站截图、中标（成交）通知书、合同和供货发票扫描件。提供的上述材料中所有内容均不得涂改、遮盖，发票中购买方名称须为最终使用单位或该项目招标人（或采购人）。如合同中无法体现签订时间、产品品牌型号、使用单位等评审因素的，须同时提供该项目的招标人（或采购人）或最终使用单位加盖公章的证明材料扫描件，否则不计入业绩数量。</w:t>
            </w:r>
          </w:p>
        </w:tc>
      </w:tr>
      <w:tr w14:paraId="5EDAF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60A708D3">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p>
        </w:tc>
        <w:tc>
          <w:tcPr>
            <w:tcW w:w="708" w:type="dxa"/>
            <w:noWrap w:val="0"/>
            <w:vAlign w:val="center"/>
          </w:tcPr>
          <w:p w14:paraId="73A29500">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701" w:type="dxa"/>
            <w:noWrap w:val="0"/>
            <w:vAlign w:val="center"/>
          </w:tcPr>
          <w:p w14:paraId="1B7B4C88">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体系认证</w:t>
            </w:r>
          </w:p>
          <w:p w14:paraId="3D92AEAA">
            <w:pPr>
              <w:keepNext w:val="0"/>
              <w:keepLines w:val="0"/>
              <w:widowControl/>
              <w:suppressLineNumbers w:val="0"/>
              <w:snapToGrid w:val="0"/>
              <w:spacing w:before="0" w:beforeAutospacing="0" w:after="0" w:afterAutospacing="0" w:line="360" w:lineRule="auto"/>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w:t>
            </w:r>
          </w:p>
        </w:tc>
        <w:tc>
          <w:tcPr>
            <w:tcW w:w="6237" w:type="dxa"/>
            <w:gridSpan w:val="2"/>
            <w:noWrap w:val="0"/>
            <w:vAlign w:val="center"/>
          </w:tcPr>
          <w:p w14:paraId="7A094271">
            <w:pPr>
              <w:keepNext w:val="0"/>
              <w:keepLines w:val="0"/>
              <w:widowControl/>
              <w:numPr>
                <w:ilvl w:val="0"/>
                <w:numId w:val="0"/>
              </w:numPr>
              <w:suppressLineNumbers w:val="0"/>
              <w:tabs>
                <w:tab w:val="left" w:pos="312"/>
              </w:tabs>
              <w:snapToGrid w:val="0"/>
              <w:spacing w:before="0" w:beforeAutospacing="0" w:after="0" w:afterAutospacing="0" w:line="360" w:lineRule="auto"/>
              <w:ind w:left="0" w:right="0"/>
              <w:jc w:val="left"/>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val="en-US" w:eastAsia="zh-CN"/>
              </w:rPr>
              <w:t>1.</w:t>
            </w:r>
            <w:r>
              <w:rPr>
                <w:rFonts w:hint="eastAsia" w:ascii="仿宋" w:hAnsi="仿宋" w:eastAsia="仿宋" w:cs="仿宋"/>
                <w:bCs/>
                <w:color w:val="auto"/>
                <w:sz w:val="24"/>
                <w:szCs w:val="20"/>
                <w:highlight w:val="none"/>
              </w:rPr>
              <w:t>投标人具有满足《商品售后服务评价体系》的售后服务认证证书的，五星级得3分，四星级得2分，三星级得1分，其他不得分。</w:t>
            </w:r>
          </w:p>
          <w:p w14:paraId="6D252BFD">
            <w:pPr>
              <w:keepNext w:val="0"/>
              <w:keepLines w:val="0"/>
              <w:widowControl/>
              <w:suppressLineNumbers w:val="0"/>
              <w:snapToGrid w:val="0"/>
              <w:spacing w:before="0" w:beforeAutospacing="0" w:after="0" w:afterAutospacing="0" w:line="360" w:lineRule="auto"/>
              <w:ind w:left="0" w:right="0"/>
              <w:jc w:val="left"/>
              <w:rPr>
                <w:rFonts w:hint="default" w:ascii="仿宋" w:hAnsi="仿宋" w:eastAsia="仿宋" w:cs="仿宋"/>
                <w:bCs/>
                <w:color w:val="auto"/>
                <w:sz w:val="24"/>
                <w:szCs w:val="20"/>
                <w:highlight w:val="none"/>
              </w:rPr>
            </w:pPr>
            <w:r>
              <w:rPr>
                <w:rFonts w:hint="eastAsia" w:ascii="仿宋" w:hAnsi="仿宋" w:eastAsia="仿宋" w:cs="仿宋"/>
                <w:b/>
                <w:color w:val="auto"/>
                <w:sz w:val="24"/>
                <w:szCs w:val="20"/>
                <w:highlight w:val="none"/>
              </w:rPr>
              <w:t>注：投标文件中提供上述证书扫描件及上述认证在全国认证认可信息公共服务平台认证信息查询截图。</w:t>
            </w:r>
          </w:p>
          <w:p w14:paraId="2DD1B741">
            <w:pPr>
              <w:keepNext w:val="0"/>
              <w:keepLines w:val="0"/>
              <w:widowControl/>
              <w:suppressLineNumbers w:val="0"/>
              <w:snapToGrid w:val="0"/>
              <w:spacing w:before="0" w:beforeAutospacing="0" w:after="0" w:afterAutospacing="0" w:line="360" w:lineRule="auto"/>
              <w:ind w:left="0" w:right="0"/>
              <w:jc w:val="left"/>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2.投标人具有经中国国家认证认可监督管理委员会认可的认证机构颁发的有效期内的质量管理体系认证证书、职业健康与安全管理体系认证证书、环境管理体系认证证书的和医疗器械质量管理体系认证证书，每提供一个得0.5分，满分2分。</w:t>
            </w:r>
          </w:p>
          <w:p w14:paraId="3D5C648C">
            <w:pPr>
              <w:keepNext w:val="0"/>
              <w:keepLines w:val="0"/>
              <w:widowControl/>
              <w:suppressLineNumbers w:val="0"/>
              <w:snapToGrid w:val="0"/>
              <w:spacing w:before="0" w:beforeAutospacing="0" w:after="0" w:afterAutospacing="0" w:line="360" w:lineRule="auto"/>
              <w:ind w:left="0" w:right="0"/>
              <w:jc w:val="left"/>
              <w:rPr>
                <w:rFonts w:hint="default" w:ascii="宋体" w:hAnsi="宋体" w:cs="Times New Roman"/>
                <w:color w:val="auto"/>
                <w:szCs w:val="22"/>
                <w:highlight w:val="none"/>
              </w:rPr>
            </w:pPr>
            <w:r>
              <w:rPr>
                <w:rFonts w:hint="eastAsia" w:ascii="仿宋" w:hAnsi="仿宋" w:eastAsia="仿宋" w:cs="仿宋"/>
                <w:b/>
                <w:color w:val="auto"/>
                <w:sz w:val="24"/>
                <w:szCs w:val="20"/>
                <w:highlight w:val="none"/>
              </w:rPr>
              <w:t>注：投标文件中提供上述证书扫描件及上述认证在全国认证认可信息公共服务平台认证信息查询截图。</w:t>
            </w:r>
          </w:p>
        </w:tc>
      </w:tr>
      <w:tr w14:paraId="73E96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92E2FEE">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p>
        </w:tc>
        <w:tc>
          <w:tcPr>
            <w:tcW w:w="708" w:type="dxa"/>
            <w:noWrap w:val="0"/>
            <w:vAlign w:val="center"/>
          </w:tcPr>
          <w:p w14:paraId="2C2F27ED">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trike w:val="0"/>
                <w:dstrike w:val="0"/>
                <w:sz w:val="24"/>
                <w:highlight w:val="none"/>
              </w:rPr>
            </w:pPr>
            <w:r>
              <w:rPr>
                <w:rFonts w:hint="eastAsia" w:ascii="仿宋" w:hAnsi="仿宋" w:eastAsia="仿宋" w:cs="仿宋"/>
                <w:strike w:val="0"/>
                <w:dstrike w:val="0"/>
                <w:sz w:val="24"/>
                <w:highlight w:val="none"/>
              </w:rPr>
              <w:t>3</w:t>
            </w:r>
          </w:p>
        </w:tc>
        <w:tc>
          <w:tcPr>
            <w:tcW w:w="1701" w:type="dxa"/>
            <w:noWrap w:val="0"/>
            <w:vAlign w:val="center"/>
          </w:tcPr>
          <w:p w14:paraId="3E661277">
            <w:pPr>
              <w:keepNext w:val="0"/>
              <w:keepLines w:val="0"/>
              <w:suppressLineNumbers w:val="0"/>
              <w:snapToGrid w:val="0"/>
              <w:spacing w:before="0" w:beforeAutospacing="0" w:after="0" w:afterAutospacing="0" w:line="360" w:lineRule="auto"/>
              <w:ind w:left="0" w:right="0"/>
              <w:jc w:val="center"/>
              <w:rPr>
                <w:rFonts w:hint="default" w:ascii="楷体" w:hAnsi="楷体" w:eastAsia="楷体" w:cs="Times New Roman"/>
                <w:strike w:val="0"/>
                <w:dstrike w:val="0"/>
                <w:color w:val="auto"/>
                <w:sz w:val="24"/>
                <w:highlight w:val="none"/>
              </w:rPr>
            </w:pPr>
            <w:r>
              <w:rPr>
                <w:rFonts w:hint="eastAsia" w:ascii="仿宋" w:hAnsi="仿宋" w:eastAsia="仿宋" w:cs="仿宋"/>
                <w:strike w:val="0"/>
                <w:dstrike w:val="0"/>
                <w:color w:val="auto"/>
                <w:sz w:val="24"/>
                <w:highlight w:val="none"/>
              </w:rPr>
              <w:t>质量保证期（</w:t>
            </w:r>
            <w:r>
              <w:rPr>
                <w:rFonts w:hint="eastAsia" w:ascii="仿宋" w:hAnsi="仿宋" w:eastAsia="仿宋" w:cs="仿宋"/>
                <w:strike w:val="0"/>
                <w:dstrike w:val="0"/>
                <w:color w:val="auto"/>
                <w:sz w:val="24"/>
                <w:highlight w:val="none"/>
                <w:lang w:val="en-US" w:eastAsia="zh-CN"/>
              </w:rPr>
              <w:t>1</w:t>
            </w:r>
            <w:r>
              <w:rPr>
                <w:rFonts w:hint="eastAsia" w:ascii="仿宋" w:hAnsi="仿宋" w:eastAsia="仿宋" w:cs="仿宋"/>
                <w:strike w:val="0"/>
                <w:dstrike w:val="0"/>
                <w:color w:val="auto"/>
                <w:sz w:val="24"/>
                <w:highlight w:val="none"/>
              </w:rPr>
              <w:t>分）</w:t>
            </w:r>
          </w:p>
        </w:tc>
        <w:tc>
          <w:tcPr>
            <w:tcW w:w="6237" w:type="dxa"/>
            <w:gridSpan w:val="2"/>
            <w:noWrap w:val="0"/>
            <w:vAlign w:val="center"/>
          </w:tcPr>
          <w:p w14:paraId="1BA8CBEF">
            <w:pPr>
              <w:keepNext w:val="0"/>
              <w:keepLines w:val="0"/>
              <w:suppressLineNumbers w:val="0"/>
              <w:snapToGrid w:val="0"/>
              <w:spacing w:before="0" w:beforeAutospacing="0" w:after="0" w:afterAutospacing="0" w:line="360" w:lineRule="auto"/>
              <w:ind w:left="0" w:right="0"/>
              <w:rPr>
                <w:rFonts w:hint="eastAsia" w:ascii="仿宋" w:hAnsi="仿宋" w:eastAsia="仿宋" w:cs="仿宋"/>
                <w:bCs/>
                <w:strike w:val="0"/>
                <w:dstrike w:val="0"/>
                <w:color w:val="auto"/>
                <w:sz w:val="24"/>
                <w:szCs w:val="20"/>
                <w:highlight w:val="none"/>
              </w:rPr>
            </w:pPr>
            <w:r>
              <w:rPr>
                <w:rFonts w:hint="eastAsia" w:ascii="仿宋" w:hAnsi="仿宋" w:eastAsia="仿宋" w:cs="仿宋"/>
                <w:bCs/>
                <w:strike w:val="0"/>
                <w:dstrike w:val="0"/>
                <w:color w:val="auto"/>
                <w:sz w:val="24"/>
                <w:szCs w:val="20"/>
                <w:highlight w:val="none"/>
              </w:rPr>
              <w:t>在招标文件规定的整机（含易损件）质量保证期基础上，每延长1年得</w:t>
            </w:r>
            <w:r>
              <w:rPr>
                <w:rFonts w:hint="eastAsia" w:ascii="仿宋" w:hAnsi="仿宋" w:eastAsia="仿宋" w:cs="仿宋"/>
                <w:bCs/>
                <w:strike w:val="0"/>
                <w:dstrike w:val="0"/>
                <w:color w:val="auto"/>
                <w:sz w:val="24"/>
                <w:szCs w:val="20"/>
                <w:highlight w:val="none"/>
                <w:lang w:val="en-US" w:eastAsia="zh-CN"/>
              </w:rPr>
              <w:t>0.5</w:t>
            </w:r>
            <w:r>
              <w:rPr>
                <w:rFonts w:hint="eastAsia" w:ascii="仿宋" w:hAnsi="仿宋" w:eastAsia="仿宋" w:cs="仿宋"/>
                <w:bCs/>
                <w:strike w:val="0"/>
                <w:dstrike w:val="0"/>
                <w:color w:val="auto"/>
                <w:sz w:val="24"/>
                <w:szCs w:val="20"/>
                <w:highlight w:val="none"/>
              </w:rPr>
              <w:t>分，满分</w:t>
            </w:r>
            <w:r>
              <w:rPr>
                <w:rFonts w:hint="eastAsia" w:ascii="仿宋" w:hAnsi="仿宋" w:eastAsia="仿宋" w:cs="仿宋"/>
                <w:bCs/>
                <w:strike w:val="0"/>
                <w:dstrike w:val="0"/>
                <w:color w:val="auto"/>
                <w:sz w:val="24"/>
                <w:szCs w:val="20"/>
                <w:highlight w:val="none"/>
                <w:lang w:val="en-US" w:eastAsia="zh-CN"/>
              </w:rPr>
              <w:t>1</w:t>
            </w:r>
            <w:r>
              <w:rPr>
                <w:rFonts w:hint="eastAsia" w:ascii="仿宋" w:hAnsi="仿宋" w:eastAsia="仿宋" w:cs="仿宋"/>
                <w:bCs/>
                <w:strike w:val="0"/>
                <w:dstrike w:val="0"/>
                <w:color w:val="auto"/>
                <w:sz w:val="24"/>
                <w:szCs w:val="20"/>
                <w:highlight w:val="none"/>
              </w:rPr>
              <w:t>分。</w:t>
            </w:r>
          </w:p>
          <w:p w14:paraId="51E02D80">
            <w:pPr>
              <w:keepNext w:val="0"/>
              <w:keepLines w:val="0"/>
              <w:suppressLineNumbers w:val="0"/>
              <w:snapToGrid w:val="0"/>
              <w:spacing w:before="0" w:beforeAutospacing="0" w:after="0" w:afterAutospacing="0" w:line="360" w:lineRule="auto"/>
              <w:ind w:left="0" w:right="0"/>
              <w:rPr>
                <w:rFonts w:hint="eastAsia" w:ascii="仿宋" w:hAnsi="仿宋" w:eastAsia="仿宋" w:cs="仿宋"/>
                <w:b/>
                <w:strike w:val="0"/>
                <w:dstrike w:val="0"/>
                <w:color w:val="auto"/>
                <w:sz w:val="24"/>
                <w:szCs w:val="20"/>
                <w:highlight w:val="none"/>
              </w:rPr>
            </w:pPr>
            <w:r>
              <w:rPr>
                <w:rFonts w:hint="eastAsia" w:ascii="仿宋" w:hAnsi="仿宋" w:eastAsia="仿宋" w:cs="仿宋"/>
                <w:b/>
                <w:strike w:val="0"/>
                <w:dstrike w:val="0"/>
                <w:color w:val="auto"/>
                <w:sz w:val="24"/>
                <w:szCs w:val="20"/>
                <w:highlight w:val="none"/>
              </w:rPr>
              <w:t>注：</w:t>
            </w:r>
          </w:p>
          <w:p w14:paraId="69320473">
            <w:pPr>
              <w:keepNext w:val="0"/>
              <w:keepLines w:val="0"/>
              <w:numPr>
                <w:ilvl w:val="0"/>
                <w:numId w:val="4"/>
              </w:numPr>
              <w:suppressLineNumbers w:val="0"/>
              <w:snapToGrid w:val="0"/>
              <w:spacing w:before="0" w:beforeAutospacing="0" w:after="0" w:afterAutospacing="0" w:line="360" w:lineRule="auto"/>
              <w:ind w:left="0" w:right="0"/>
              <w:rPr>
                <w:rFonts w:hint="eastAsia" w:ascii="仿宋" w:hAnsi="仿宋" w:eastAsia="仿宋" w:cs="仿宋"/>
                <w:b/>
                <w:strike w:val="0"/>
                <w:dstrike w:val="0"/>
                <w:color w:val="auto"/>
                <w:sz w:val="24"/>
                <w:szCs w:val="20"/>
                <w:highlight w:val="none"/>
              </w:rPr>
            </w:pPr>
            <w:r>
              <w:rPr>
                <w:rFonts w:hint="eastAsia" w:ascii="仿宋" w:hAnsi="仿宋" w:eastAsia="仿宋" w:cs="仿宋"/>
                <w:b/>
                <w:strike w:val="0"/>
                <w:dstrike w:val="0"/>
                <w:color w:val="auto"/>
                <w:sz w:val="24"/>
                <w:szCs w:val="20"/>
                <w:highlight w:val="none"/>
              </w:rPr>
              <w:t>以商务要求偏离表为准；以整年计算，不足1年不得分，需提供质量保证期承诺函（格式自拟，需加盖投标人单位公章）；</w:t>
            </w:r>
          </w:p>
          <w:p w14:paraId="7099EB6F">
            <w:pPr>
              <w:keepNext w:val="0"/>
              <w:keepLines w:val="0"/>
              <w:numPr>
                <w:ilvl w:val="0"/>
                <w:numId w:val="4"/>
              </w:numPr>
              <w:suppressLineNumbers w:val="0"/>
              <w:snapToGrid w:val="0"/>
              <w:spacing w:before="0" w:beforeAutospacing="0" w:after="0" w:afterAutospacing="0" w:line="360" w:lineRule="auto"/>
              <w:ind w:left="0" w:right="0"/>
              <w:rPr>
                <w:rFonts w:hint="eastAsia" w:ascii="仿宋" w:hAnsi="仿宋" w:eastAsia="仿宋" w:cs="仿宋"/>
                <w:b/>
                <w:strike w:val="0"/>
                <w:dstrike w:val="0"/>
                <w:color w:val="auto"/>
                <w:sz w:val="24"/>
                <w:szCs w:val="18"/>
                <w:highlight w:val="none"/>
              </w:rPr>
            </w:pPr>
            <w:r>
              <w:rPr>
                <w:rFonts w:hint="eastAsia" w:ascii="Calibri" w:hAnsi="Calibri" w:eastAsia="仿宋" w:cs="Times New Roman"/>
                <w:b/>
                <w:strike w:val="0"/>
                <w:dstrike w:val="0"/>
                <w:color w:val="auto"/>
                <w:sz w:val="24"/>
                <w:highlight w:val="none"/>
              </w:rPr>
              <w:t>投标文件中须提供由投标人负责所投产品售后维保工作的质保承诺函，明确</w:t>
            </w:r>
            <w:r>
              <w:rPr>
                <w:rFonts w:hint="eastAsia" w:ascii="Calibri" w:hAnsi="Calibri" w:eastAsia="仿宋" w:cs="Times New Roman"/>
                <w:b/>
                <w:strike w:val="0"/>
                <w:dstrike w:val="0"/>
                <w:color w:val="auto"/>
                <w:sz w:val="24"/>
                <w:highlight w:val="none"/>
                <w:lang w:eastAsia="zh-CN"/>
              </w:rPr>
              <w:t>质量保证期</w:t>
            </w:r>
            <w:r>
              <w:rPr>
                <w:rFonts w:hint="eastAsia" w:ascii="Calibri" w:hAnsi="Calibri" w:eastAsia="仿宋" w:cs="Times New Roman"/>
                <w:b/>
                <w:strike w:val="0"/>
                <w:dstrike w:val="0"/>
                <w:color w:val="auto"/>
                <w:sz w:val="24"/>
                <w:highlight w:val="none"/>
              </w:rPr>
              <w:t>时长及</w:t>
            </w:r>
            <w:r>
              <w:rPr>
                <w:rFonts w:hint="eastAsia" w:ascii="Calibri" w:hAnsi="Calibri" w:eastAsia="仿宋" w:cs="Times New Roman"/>
                <w:b/>
                <w:strike w:val="0"/>
                <w:dstrike w:val="0"/>
                <w:color w:val="auto"/>
                <w:sz w:val="24"/>
                <w:highlight w:val="none"/>
                <w:lang w:eastAsia="zh-CN"/>
              </w:rPr>
              <w:t>质量保证期</w:t>
            </w:r>
            <w:r>
              <w:rPr>
                <w:rFonts w:hint="eastAsia" w:ascii="Calibri" w:hAnsi="Calibri" w:eastAsia="仿宋" w:cs="Times New Roman"/>
                <w:b/>
                <w:strike w:val="0"/>
                <w:dstrike w:val="0"/>
                <w:color w:val="auto"/>
                <w:sz w:val="24"/>
                <w:highlight w:val="none"/>
              </w:rPr>
              <w:t>外的相应维保价格。</w:t>
            </w:r>
          </w:p>
        </w:tc>
      </w:tr>
      <w:tr w14:paraId="7F747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665F2FE7">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p>
        </w:tc>
        <w:tc>
          <w:tcPr>
            <w:tcW w:w="708" w:type="dxa"/>
            <w:noWrap w:val="0"/>
            <w:vAlign w:val="center"/>
          </w:tcPr>
          <w:p w14:paraId="0444F5D0">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r>
              <w:rPr>
                <w:rFonts w:hint="eastAsia" w:ascii="宋体" w:hAnsi="宋体" w:eastAsia="仿宋" w:cs="Times New Roman"/>
                <w:kern w:val="0"/>
                <w:sz w:val="24"/>
                <w:highlight w:val="none"/>
                <w:lang w:val="en-US" w:eastAsia="zh-CN"/>
              </w:rPr>
              <w:t>4</w:t>
            </w:r>
          </w:p>
        </w:tc>
        <w:tc>
          <w:tcPr>
            <w:tcW w:w="1701" w:type="dxa"/>
            <w:noWrap w:val="0"/>
            <w:vAlign w:val="center"/>
          </w:tcPr>
          <w:p w14:paraId="27F6FD15">
            <w:pPr>
              <w:keepNext w:val="0"/>
              <w:keepLines w:val="0"/>
              <w:widowControl/>
              <w:suppressLineNumbers w:val="0"/>
              <w:shd w:val="clear" w:color="auto" w:fill="auto"/>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应急服务方案（5分）</w:t>
            </w:r>
          </w:p>
        </w:tc>
        <w:tc>
          <w:tcPr>
            <w:tcW w:w="6237" w:type="dxa"/>
            <w:gridSpan w:val="2"/>
            <w:noWrap w:val="0"/>
            <w:vAlign w:val="center"/>
          </w:tcPr>
          <w:p w14:paraId="03901D7B">
            <w:pPr>
              <w:keepNext w:val="0"/>
              <w:keepLines w:val="0"/>
              <w:widowControl/>
              <w:suppressLineNumbers w:val="0"/>
              <w:adjustRightInd w:val="0"/>
              <w:snapToGrid w:val="0"/>
              <w:spacing w:before="0" w:beforeAutospacing="0" w:after="0" w:afterAutospacing="0" w:line="360" w:lineRule="auto"/>
              <w:ind w:left="0" w:right="0"/>
              <w:rPr>
                <w:rFonts w:hint="eastAsia" w:ascii="仿宋" w:hAnsi="仿宋" w:eastAsia="仿宋" w:cs="仿宋"/>
                <w:sz w:val="24"/>
                <w:highlight w:val="none"/>
              </w:rPr>
            </w:pPr>
            <w:r>
              <w:rPr>
                <w:rFonts w:hint="eastAsia" w:ascii="仿宋" w:hAnsi="仿宋" w:eastAsia="仿宋" w:cs="仿宋"/>
                <w:sz w:val="24"/>
                <w:highlight w:val="none"/>
              </w:rPr>
              <w:t>根据投标人提供的应急服务方案内容的</w:t>
            </w:r>
            <w:r>
              <w:rPr>
                <w:rFonts w:hint="eastAsia" w:ascii="仿宋" w:hAnsi="仿宋" w:eastAsia="仿宋" w:cs="仿宋"/>
                <w:sz w:val="24"/>
                <w:highlight w:val="none"/>
                <w:lang w:val="en-US" w:eastAsia="zh-CN"/>
              </w:rPr>
              <w:t>详细</w:t>
            </w:r>
            <w:r>
              <w:rPr>
                <w:rFonts w:hint="eastAsia" w:ascii="仿宋" w:hAnsi="仿宋" w:eastAsia="仿宋" w:cs="仿宋"/>
                <w:sz w:val="24"/>
                <w:highlight w:val="none"/>
              </w:rPr>
              <w:t>程度、可行性、实用性、针对性等进行评分：</w:t>
            </w:r>
          </w:p>
          <w:p w14:paraId="175749C7">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1</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应急服务方案</w:t>
            </w:r>
            <w:r>
              <w:rPr>
                <w:rFonts w:hint="eastAsia" w:ascii="仿宋" w:hAnsi="仿宋" w:eastAsia="仿宋" w:cs="仿宋"/>
                <w:bCs/>
                <w:sz w:val="24"/>
                <w:szCs w:val="20"/>
                <w:highlight w:val="none"/>
                <w:lang w:val="en-US" w:eastAsia="zh-CN"/>
              </w:rPr>
              <w:t>优于本项目采购需求</w:t>
            </w:r>
            <w:r>
              <w:rPr>
                <w:rFonts w:hint="eastAsia" w:ascii="仿宋" w:hAnsi="仿宋" w:eastAsia="仿宋" w:cs="仿宋"/>
                <w:bCs/>
                <w:sz w:val="24"/>
                <w:szCs w:val="20"/>
                <w:highlight w:val="none"/>
              </w:rPr>
              <w:t>，</w:t>
            </w:r>
            <w:r>
              <w:rPr>
                <w:rFonts w:hint="eastAsia" w:ascii="仿宋" w:hAnsi="仿宋" w:eastAsia="仿宋" w:cs="仿宋"/>
                <w:bCs/>
                <w:sz w:val="24"/>
                <w:szCs w:val="20"/>
                <w:highlight w:val="none"/>
                <w:lang w:val="en-US" w:eastAsia="zh-CN"/>
              </w:rPr>
              <w:t>完整详细，</w:t>
            </w:r>
            <w:r>
              <w:rPr>
                <w:rFonts w:hint="eastAsia" w:ascii="仿宋" w:hAnsi="仿宋" w:eastAsia="仿宋" w:cs="仿宋"/>
                <w:bCs/>
                <w:sz w:val="24"/>
                <w:szCs w:val="20"/>
                <w:highlight w:val="none"/>
              </w:rPr>
              <w:t>备品备件供应可以得到充分保障，应急服务响应及时，方案实用性强的</w:t>
            </w:r>
            <w:r>
              <w:rPr>
                <w:rFonts w:hint="eastAsia" w:ascii="仿宋" w:hAnsi="仿宋" w:eastAsia="仿宋" w:cs="仿宋"/>
                <w:bCs/>
                <w:sz w:val="24"/>
                <w:szCs w:val="20"/>
                <w:highlight w:val="none"/>
                <w:lang w:val="en-US" w:eastAsia="zh-CN"/>
              </w:rPr>
              <w:t>，</w:t>
            </w:r>
            <w:r>
              <w:rPr>
                <w:rFonts w:hint="eastAsia" w:ascii="仿宋" w:hAnsi="仿宋" w:eastAsia="仿宋" w:cs="仿宋"/>
                <w:bCs/>
                <w:sz w:val="24"/>
                <w:szCs w:val="20"/>
                <w:highlight w:val="none"/>
              </w:rPr>
              <w:t>得5分；</w:t>
            </w:r>
          </w:p>
          <w:p w14:paraId="3F5A13DA">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2</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应急服务方案</w:t>
            </w:r>
            <w:r>
              <w:rPr>
                <w:rFonts w:hint="eastAsia" w:ascii="仿宋" w:hAnsi="仿宋" w:eastAsia="仿宋" w:cs="仿宋"/>
                <w:bCs/>
                <w:sz w:val="24"/>
                <w:szCs w:val="20"/>
                <w:highlight w:val="none"/>
                <w:lang w:val="en-US" w:eastAsia="zh-CN"/>
              </w:rPr>
              <w:t>适合</w:t>
            </w:r>
            <w:r>
              <w:rPr>
                <w:rFonts w:hint="eastAsia" w:ascii="仿宋" w:hAnsi="仿宋" w:eastAsia="仿宋" w:cs="仿宋"/>
                <w:bCs/>
                <w:sz w:val="24"/>
                <w:szCs w:val="20"/>
                <w:highlight w:val="none"/>
              </w:rPr>
              <w:t>本项目采购需求，完整详细，备品备件供应可以得到保障，应急服务响应</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及时，方案实用性</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强的，得</w:t>
            </w:r>
            <w:r>
              <w:rPr>
                <w:rFonts w:hint="eastAsia" w:ascii="仿宋" w:hAnsi="仿宋" w:eastAsia="仿宋" w:cs="仿宋"/>
                <w:bCs/>
                <w:sz w:val="24"/>
                <w:szCs w:val="20"/>
                <w:highlight w:val="none"/>
                <w:lang w:eastAsia="zh-CN"/>
              </w:rPr>
              <w:t>4</w:t>
            </w:r>
            <w:r>
              <w:rPr>
                <w:rFonts w:hint="eastAsia" w:ascii="仿宋" w:hAnsi="仿宋" w:eastAsia="仿宋" w:cs="仿宋"/>
                <w:bCs/>
                <w:sz w:val="24"/>
                <w:szCs w:val="20"/>
                <w:highlight w:val="none"/>
              </w:rPr>
              <w:t>分；</w:t>
            </w:r>
          </w:p>
          <w:p w14:paraId="687648BA">
            <w:pPr>
              <w:keepNext w:val="0"/>
              <w:keepLines w:val="0"/>
              <w:numPr>
                <w:ilvl w:val="0"/>
                <w:numId w:val="0"/>
              </w:numPr>
              <w:suppressLineNumbers w:val="0"/>
              <w:snapToGrid w:val="0"/>
              <w:spacing w:before="0" w:beforeAutospacing="0" w:after="0" w:afterAutospacing="0" w:line="360" w:lineRule="auto"/>
              <w:ind w:left="0" w:right="0"/>
              <w:rPr>
                <w:rFonts w:hint="default" w:ascii="Calibri" w:hAnsi="Calibri" w:cs="Times New Roman"/>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3</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应急服务方案</w:t>
            </w:r>
            <w:r>
              <w:rPr>
                <w:rFonts w:hint="eastAsia" w:ascii="仿宋" w:hAnsi="仿宋" w:eastAsia="仿宋" w:cs="仿宋"/>
                <w:bCs/>
                <w:sz w:val="24"/>
                <w:szCs w:val="20"/>
                <w:highlight w:val="none"/>
                <w:lang w:val="en-US" w:eastAsia="zh-CN"/>
              </w:rPr>
              <w:t>基本适合</w:t>
            </w:r>
            <w:r>
              <w:rPr>
                <w:rFonts w:hint="eastAsia" w:ascii="仿宋" w:hAnsi="仿宋" w:eastAsia="仿宋" w:cs="仿宋"/>
                <w:bCs/>
                <w:sz w:val="24"/>
                <w:szCs w:val="20"/>
                <w:highlight w:val="none"/>
              </w:rPr>
              <w:t>本项目采购需求，</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完整</w:t>
            </w:r>
            <w:r>
              <w:rPr>
                <w:rFonts w:hint="eastAsia" w:ascii="仿宋" w:hAnsi="仿宋" w:eastAsia="仿宋" w:cs="仿宋"/>
                <w:bCs/>
                <w:sz w:val="24"/>
                <w:szCs w:val="20"/>
                <w:highlight w:val="none"/>
                <w:lang w:val="en-US" w:eastAsia="zh-CN"/>
              </w:rPr>
              <w:t>详细</w:t>
            </w:r>
            <w:r>
              <w:rPr>
                <w:rFonts w:hint="eastAsia" w:ascii="仿宋" w:hAnsi="仿宋" w:eastAsia="仿宋" w:cs="仿宋"/>
                <w:bCs/>
                <w:sz w:val="24"/>
                <w:szCs w:val="20"/>
                <w:highlight w:val="none"/>
              </w:rPr>
              <w:t>，备品备件供应</w:t>
            </w:r>
            <w:r>
              <w:rPr>
                <w:rFonts w:hint="eastAsia" w:ascii="仿宋" w:hAnsi="仿宋" w:eastAsia="仿宋" w:cs="仿宋"/>
                <w:bCs/>
                <w:sz w:val="24"/>
                <w:szCs w:val="20"/>
                <w:highlight w:val="none"/>
                <w:lang w:val="en-US" w:eastAsia="zh-CN"/>
              </w:rPr>
              <w:t>基本</w:t>
            </w:r>
            <w:r>
              <w:rPr>
                <w:rFonts w:hint="eastAsia" w:ascii="仿宋" w:hAnsi="仿宋" w:eastAsia="仿宋" w:cs="仿宋"/>
                <w:bCs/>
                <w:sz w:val="24"/>
                <w:szCs w:val="20"/>
                <w:highlight w:val="none"/>
              </w:rPr>
              <w:t>可以得到保障，应急服务</w:t>
            </w:r>
            <w:r>
              <w:rPr>
                <w:rFonts w:hint="eastAsia" w:ascii="仿宋" w:hAnsi="仿宋" w:eastAsia="仿宋" w:cs="仿宋"/>
                <w:bCs/>
                <w:sz w:val="24"/>
                <w:szCs w:val="20"/>
                <w:highlight w:val="none"/>
                <w:lang w:val="en-US" w:eastAsia="zh-CN"/>
              </w:rPr>
              <w:t>能够响应</w:t>
            </w:r>
            <w:r>
              <w:rPr>
                <w:rFonts w:hint="eastAsia" w:ascii="仿宋" w:hAnsi="仿宋" w:eastAsia="仿宋" w:cs="仿宋"/>
                <w:bCs/>
                <w:sz w:val="24"/>
                <w:szCs w:val="20"/>
                <w:highlight w:val="none"/>
              </w:rPr>
              <w:t>，方案</w:t>
            </w:r>
            <w:r>
              <w:rPr>
                <w:rFonts w:hint="eastAsia" w:ascii="仿宋" w:hAnsi="仿宋" w:eastAsia="仿宋" w:cs="仿宋"/>
                <w:bCs/>
                <w:sz w:val="24"/>
                <w:szCs w:val="20"/>
                <w:highlight w:val="none"/>
                <w:lang w:val="en-US" w:eastAsia="zh-CN"/>
              </w:rPr>
              <w:t>具有一定</w:t>
            </w:r>
            <w:r>
              <w:rPr>
                <w:rFonts w:hint="eastAsia" w:ascii="仿宋" w:hAnsi="仿宋" w:eastAsia="仿宋" w:cs="仿宋"/>
                <w:bCs/>
                <w:sz w:val="24"/>
                <w:szCs w:val="20"/>
                <w:highlight w:val="none"/>
              </w:rPr>
              <w:t>实用性，得</w:t>
            </w:r>
            <w:r>
              <w:rPr>
                <w:rFonts w:hint="eastAsia" w:ascii="仿宋" w:hAnsi="仿宋" w:eastAsia="仿宋" w:cs="仿宋"/>
                <w:bCs/>
                <w:sz w:val="24"/>
                <w:szCs w:val="20"/>
                <w:highlight w:val="none"/>
                <w:lang w:val="en-US" w:eastAsia="zh-CN"/>
              </w:rPr>
              <w:t>3</w:t>
            </w:r>
            <w:r>
              <w:rPr>
                <w:rFonts w:hint="eastAsia" w:ascii="仿宋" w:hAnsi="仿宋" w:eastAsia="仿宋" w:cs="仿宋"/>
                <w:bCs/>
                <w:sz w:val="24"/>
                <w:szCs w:val="20"/>
                <w:highlight w:val="none"/>
              </w:rPr>
              <w:t>分；</w:t>
            </w:r>
          </w:p>
          <w:p w14:paraId="4F9A4EA6">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4</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备品备件供应</w:t>
            </w:r>
            <w:r>
              <w:rPr>
                <w:rFonts w:hint="eastAsia" w:ascii="仿宋" w:hAnsi="仿宋" w:eastAsia="仿宋" w:cs="仿宋"/>
                <w:bCs/>
                <w:sz w:val="24"/>
                <w:szCs w:val="20"/>
                <w:highlight w:val="none"/>
                <w:lang w:val="en-US" w:eastAsia="zh-CN"/>
              </w:rPr>
              <w:t>的</w:t>
            </w:r>
            <w:r>
              <w:rPr>
                <w:rFonts w:hint="eastAsia" w:ascii="仿宋" w:hAnsi="仿宋" w:eastAsia="仿宋" w:cs="仿宋"/>
                <w:bCs/>
                <w:sz w:val="24"/>
                <w:szCs w:val="20"/>
                <w:highlight w:val="none"/>
              </w:rPr>
              <w:t>保障</w:t>
            </w:r>
            <w:r>
              <w:rPr>
                <w:rFonts w:hint="eastAsia" w:ascii="仿宋" w:hAnsi="仿宋" w:eastAsia="仿宋" w:cs="仿宋"/>
                <w:bCs/>
                <w:sz w:val="24"/>
                <w:szCs w:val="20"/>
                <w:highlight w:val="none"/>
                <w:lang w:val="en-US" w:eastAsia="zh-CN"/>
              </w:rPr>
              <w:t>措施有待提升</w:t>
            </w:r>
            <w:r>
              <w:rPr>
                <w:rFonts w:hint="eastAsia" w:ascii="仿宋" w:hAnsi="仿宋" w:eastAsia="仿宋" w:cs="仿宋"/>
                <w:bCs/>
                <w:sz w:val="24"/>
                <w:szCs w:val="20"/>
                <w:highlight w:val="none"/>
              </w:rPr>
              <w:t>，应急服务</w:t>
            </w:r>
            <w:r>
              <w:rPr>
                <w:rFonts w:hint="eastAsia" w:ascii="仿宋" w:hAnsi="仿宋" w:eastAsia="仿宋" w:cs="仿宋"/>
                <w:bCs/>
                <w:sz w:val="24"/>
                <w:szCs w:val="20"/>
                <w:highlight w:val="none"/>
                <w:lang w:val="en-US" w:eastAsia="zh-CN"/>
              </w:rPr>
              <w:t>响应及时</w:t>
            </w:r>
            <w:r>
              <w:rPr>
                <w:rFonts w:hint="eastAsia" w:ascii="仿宋" w:hAnsi="仿宋" w:eastAsia="仿宋" w:cs="仿宋"/>
                <w:bCs/>
                <w:sz w:val="24"/>
                <w:szCs w:val="20"/>
                <w:highlight w:val="none"/>
              </w:rPr>
              <w:t>性</w:t>
            </w:r>
            <w:r>
              <w:rPr>
                <w:rFonts w:hint="eastAsia" w:ascii="仿宋" w:hAnsi="仿宋" w:eastAsia="仿宋" w:cs="仿宋"/>
                <w:bCs/>
                <w:sz w:val="24"/>
                <w:szCs w:val="20"/>
                <w:highlight w:val="none"/>
                <w:lang w:val="en-US" w:eastAsia="zh-CN"/>
              </w:rPr>
              <w:t>有待提高</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方案实用性</w:t>
            </w:r>
            <w:r>
              <w:rPr>
                <w:rFonts w:hint="eastAsia" w:ascii="仿宋" w:hAnsi="仿宋" w:eastAsia="仿宋" w:cs="仿宋"/>
                <w:bCs/>
                <w:sz w:val="24"/>
                <w:szCs w:val="20"/>
                <w:highlight w:val="none"/>
                <w:lang w:val="en-US" w:eastAsia="zh-CN"/>
              </w:rPr>
              <w:t>有待改善</w:t>
            </w:r>
            <w:r>
              <w:rPr>
                <w:rFonts w:hint="eastAsia" w:ascii="仿宋" w:hAnsi="仿宋" w:eastAsia="仿宋" w:cs="仿宋"/>
                <w:bCs/>
                <w:sz w:val="24"/>
                <w:szCs w:val="20"/>
                <w:highlight w:val="none"/>
              </w:rPr>
              <w:t>，得</w:t>
            </w:r>
            <w:r>
              <w:rPr>
                <w:rFonts w:hint="eastAsia" w:ascii="仿宋" w:hAnsi="仿宋" w:eastAsia="仿宋" w:cs="仿宋"/>
                <w:bCs/>
                <w:sz w:val="24"/>
                <w:szCs w:val="20"/>
                <w:highlight w:val="none"/>
                <w:lang w:val="en-US" w:eastAsia="zh-CN"/>
              </w:rPr>
              <w:t>2</w:t>
            </w:r>
            <w:r>
              <w:rPr>
                <w:rFonts w:hint="eastAsia" w:ascii="仿宋" w:hAnsi="仿宋" w:eastAsia="仿宋" w:cs="仿宋"/>
                <w:bCs/>
                <w:sz w:val="24"/>
                <w:szCs w:val="20"/>
                <w:highlight w:val="none"/>
              </w:rPr>
              <w:t>分；</w:t>
            </w:r>
          </w:p>
          <w:p w14:paraId="1E6E270C">
            <w:pPr>
              <w:keepNext w:val="0"/>
              <w:keepLines w:val="0"/>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5</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应急服务方案</w:t>
            </w:r>
            <w:r>
              <w:rPr>
                <w:rFonts w:hint="eastAsia" w:ascii="仿宋" w:hAnsi="仿宋" w:eastAsia="仿宋" w:cs="仿宋"/>
                <w:bCs/>
                <w:sz w:val="24"/>
                <w:szCs w:val="20"/>
                <w:highlight w:val="none"/>
                <w:lang w:val="en-US" w:eastAsia="zh-CN"/>
              </w:rPr>
              <w:t>不适合</w:t>
            </w:r>
            <w:r>
              <w:rPr>
                <w:rFonts w:hint="eastAsia" w:ascii="仿宋" w:hAnsi="仿宋" w:eastAsia="仿宋" w:cs="仿宋"/>
                <w:bCs/>
                <w:sz w:val="24"/>
                <w:szCs w:val="20"/>
                <w:highlight w:val="none"/>
              </w:rPr>
              <w:t>本项目采购需求，</w:t>
            </w:r>
            <w:r>
              <w:rPr>
                <w:rFonts w:hint="eastAsia" w:ascii="仿宋" w:hAnsi="仿宋" w:eastAsia="仿宋" w:cs="仿宋"/>
                <w:bCs/>
                <w:sz w:val="24"/>
                <w:szCs w:val="20"/>
                <w:highlight w:val="none"/>
                <w:lang w:val="en-US" w:eastAsia="zh-CN"/>
              </w:rPr>
              <w:t>不够</w:t>
            </w:r>
            <w:r>
              <w:rPr>
                <w:rFonts w:hint="eastAsia" w:ascii="仿宋" w:hAnsi="仿宋" w:eastAsia="仿宋" w:cs="仿宋"/>
                <w:bCs/>
                <w:sz w:val="24"/>
                <w:szCs w:val="20"/>
                <w:highlight w:val="none"/>
              </w:rPr>
              <w:t>完整</w:t>
            </w:r>
            <w:r>
              <w:rPr>
                <w:rFonts w:hint="eastAsia" w:ascii="仿宋" w:hAnsi="仿宋" w:eastAsia="仿宋" w:cs="仿宋"/>
                <w:bCs/>
                <w:sz w:val="24"/>
                <w:szCs w:val="20"/>
                <w:highlight w:val="none"/>
                <w:lang w:val="en-US" w:eastAsia="zh-CN"/>
              </w:rPr>
              <w:t>详细</w:t>
            </w:r>
            <w:r>
              <w:rPr>
                <w:rFonts w:hint="eastAsia" w:ascii="仿宋" w:hAnsi="仿宋" w:eastAsia="仿宋" w:cs="仿宋"/>
                <w:bCs/>
                <w:sz w:val="24"/>
                <w:szCs w:val="20"/>
                <w:highlight w:val="none"/>
              </w:rPr>
              <w:t>，备品备件供应</w:t>
            </w:r>
            <w:r>
              <w:rPr>
                <w:rFonts w:hint="eastAsia" w:ascii="仿宋" w:hAnsi="仿宋" w:eastAsia="仿宋" w:cs="仿宋"/>
                <w:bCs/>
                <w:sz w:val="24"/>
                <w:szCs w:val="20"/>
                <w:highlight w:val="none"/>
                <w:lang w:val="en-US" w:eastAsia="zh-CN"/>
              </w:rPr>
              <w:t>难以</w:t>
            </w:r>
            <w:r>
              <w:rPr>
                <w:rFonts w:hint="eastAsia" w:ascii="仿宋" w:hAnsi="仿宋" w:eastAsia="仿宋" w:cs="仿宋"/>
                <w:bCs/>
                <w:sz w:val="24"/>
                <w:szCs w:val="20"/>
                <w:highlight w:val="none"/>
              </w:rPr>
              <w:t>保障，</w:t>
            </w:r>
            <w:r>
              <w:rPr>
                <w:rFonts w:hint="eastAsia" w:ascii="仿宋" w:hAnsi="仿宋" w:eastAsia="仿宋" w:cs="仿宋"/>
                <w:bCs/>
                <w:sz w:val="24"/>
                <w:szCs w:val="20"/>
                <w:highlight w:val="none"/>
                <w:lang w:val="en-US" w:eastAsia="zh-CN"/>
              </w:rPr>
              <w:t>不具有实用性，</w:t>
            </w:r>
            <w:r>
              <w:rPr>
                <w:rFonts w:hint="eastAsia" w:ascii="仿宋" w:hAnsi="仿宋" w:eastAsia="仿宋" w:cs="仿宋"/>
                <w:bCs/>
                <w:sz w:val="24"/>
                <w:szCs w:val="20"/>
                <w:highlight w:val="none"/>
              </w:rPr>
              <w:t>得</w:t>
            </w:r>
            <w:r>
              <w:rPr>
                <w:rFonts w:hint="eastAsia" w:ascii="仿宋" w:hAnsi="仿宋" w:eastAsia="仿宋" w:cs="仿宋"/>
                <w:bCs/>
                <w:sz w:val="24"/>
                <w:szCs w:val="20"/>
                <w:highlight w:val="none"/>
                <w:lang w:val="en-US" w:eastAsia="zh-CN"/>
              </w:rPr>
              <w:t>1</w:t>
            </w:r>
            <w:r>
              <w:rPr>
                <w:rFonts w:hint="eastAsia" w:ascii="仿宋" w:hAnsi="仿宋" w:eastAsia="仿宋" w:cs="仿宋"/>
                <w:bCs/>
                <w:sz w:val="24"/>
                <w:szCs w:val="20"/>
                <w:highlight w:val="none"/>
              </w:rPr>
              <w:t>分；</w:t>
            </w:r>
          </w:p>
          <w:p w14:paraId="565157D8">
            <w:pPr>
              <w:keepNext w:val="0"/>
              <w:keepLines w:val="0"/>
              <w:widowControl/>
              <w:suppressLineNumbers w:val="0"/>
              <w:shd w:val="clear" w:color="auto" w:fill="auto"/>
              <w:adjustRightInd w:val="0"/>
              <w:snapToGrid w:val="0"/>
              <w:spacing w:before="0" w:beforeAutospacing="0" w:after="0" w:afterAutospacing="0" w:line="360" w:lineRule="auto"/>
              <w:ind w:left="0" w:right="0"/>
              <w:rPr>
                <w:rFonts w:hint="eastAsia" w:ascii="仿宋" w:hAnsi="仿宋" w:eastAsia="仿宋" w:cs="仿宋"/>
                <w:bCs/>
                <w:color w:val="auto"/>
                <w:sz w:val="24"/>
                <w:szCs w:val="20"/>
                <w:highlight w:val="none"/>
                <w:lang w:eastAsia="zh-CN"/>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6</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未提供方案的不得分。</w:t>
            </w:r>
          </w:p>
        </w:tc>
      </w:tr>
      <w:tr w14:paraId="23B23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2B66401B">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p>
        </w:tc>
        <w:tc>
          <w:tcPr>
            <w:tcW w:w="708" w:type="dxa"/>
            <w:noWrap w:val="0"/>
            <w:vAlign w:val="center"/>
          </w:tcPr>
          <w:p w14:paraId="65987AD8">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r>
              <w:rPr>
                <w:rFonts w:hint="eastAsia" w:ascii="宋体" w:hAnsi="宋体" w:eastAsia="仿宋" w:cs="Times New Roman"/>
                <w:kern w:val="0"/>
                <w:sz w:val="24"/>
                <w:highlight w:val="none"/>
                <w:lang w:val="en-US" w:eastAsia="zh-CN"/>
              </w:rPr>
              <w:t>5</w:t>
            </w:r>
          </w:p>
        </w:tc>
        <w:tc>
          <w:tcPr>
            <w:tcW w:w="1701" w:type="dxa"/>
            <w:noWrap w:val="0"/>
            <w:vAlign w:val="center"/>
          </w:tcPr>
          <w:p w14:paraId="7AC4BF8D">
            <w:pPr>
              <w:keepNext w:val="0"/>
              <w:keepLines w:val="0"/>
              <w:suppressLineNumbers w:val="0"/>
              <w:snapToGrid/>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bCs/>
                <w:color w:val="auto"/>
                <w:sz w:val="24"/>
                <w:highlight w:val="none"/>
                <w:lang w:val="en-US" w:eastAsia="zh-CN"/>
              </w:rPr>
              <w:t>供货安装方案（5分）</w:t>
            </w:r>
          </w:p>
        </w:tc>
        <w:tc>
          <w:tcPr>
            <w:tcW w:w="6237" w:type="dxa"/>
            <w:gridSpan w:val="2"/>
            <w:noWrap w:val="0"/>
            <w:vAlign w:val="center"/>
          </w:tcPr>
          <w:p w14:paraId="43570BD1">
            <w:pPr>
              <w:keepNext w:val="0"/>
              <w:keepLines w:val="0"/>
              <w:numPr>
                <w:ilvl w:val="0"/>
                <w:numId w:val="0"/>
              </w:numPr>
              <w:suppressLineNumbers w:val="0"/>
              <w:snapToGrid/>
              <w:spacing w:before="0" w:beforeAutospacing="0" w:after="0" w:afterAutospacing="0" w:line="360" w:lineRule="auto"/>
              <w:ind w:left="0" w:right="0"/>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rPr>
              <w:t>根据投标人提供的针对本项目的供货安装方案，方案</w:t>
            </w:r>
            <w:r>
              <w:rPr>
                <w:rFonts w:hint="eastAsia" w:ascii="仿宋" w:hAnsi="仿宋" w:eastAsia="仿宋" w:cs="仿宋"/>
                <w:bCs/>
                <w:color w:val="auto"/>
                <w:sz w:val="24"/>
                <w:highlight w:val="none"/>
                <w:lang w:val="en-US" w:eastAsia="zh-CN"/>
              </w:rPr>
              <w:t>内容从</w:t>
            </w:r>
            <w:r>
              <w:rPr>
                <w:rFonts w:hint="eastAsia" w:ascii="仿宋" w:hAnsi="仿宋" w:eastAsia="仿宋" w:cs="仿宋"/>
                <w:bCs/>
                <w:color w:val="auto"/>
                <w:sz w:val="24"/>
                <w:highlight w:val="none"/>
              </w:rPr>
              <w:t>货物配送运输</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确保本项目</w:t>
            </w:r>
            <w:r>
              <w:rPr>
                <w:rFonts w:hint="eastAsia" w:ascii="仿宋" w:hAnsi="仿宋" w:eastAsia="仿宋" w:cs="仿宋"/>
                <w:bCs/>
                <w:color w:val="auto"/>
                <w:sz w:val="24"/>
                <w:highlight w:val="none"/>
              </w:rPr>
              <w:t>保质保量准时完成</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货物安装、调试</w:t>
            </w:r>
            <w:r>
              <w:rPr>
                <w:rFonts w:hint="eastAsia" w:ascii="仿宋" w:hAnsi="仿宋" w:eastAsia="仿宋" w:cs="仿宋"/>
                <w:bCs/>
                <w:color w:val="auto"/>
                <w:sz w:val="24"/>
                <w:highlight w:val="none"/>
                <w:lang w:val="en-US" w:eastAsia="zh-CN"/>
              </w:rPr>
              <w:t>等方面考虑，</w:t>
            </w:r>
            <w:r>
              <w:rPr>
                <w:rFonts w:hint="eastAsia" w:ascii="仿宋" w:hAnsi="仿宋" w:eastAsia="仿宋" w:cs="仿宋"/>
                <w:bCs/>
                <w:color w:val="auto"/>
                <w:sz w:val="24"/>
                <w:highlight w:val="none"/>
              </w:rPr>
              <w:t>由评标委员会进行综合评</w:t>
            </w:r>
            <w:r>
              <w:rPr>
                <w:rFonts w:hint="eastAsia" w:ascii="仿宋" w:hAnsi="仿宋" w:eastAsia="仿宋" w:cs="仿宋"/>
                <w:bCs/>
                <w:color w:val="auto"/>
                <w:sz w:val="24"/>
                <w:highlight w:val="none"/>
                <w:lang w:val="en-US" w:eastAsia="zh-CN"/>
              </w:rPr>
              <w:t>分</w:t>
            </w:r>
            <w:r>
              <w:rPr>
                <w:rFonts w:hint="eastAsia" w:ascii="仿宋" w:hAnsi="仿宋" w:eastAsia="仿宋" w:cs="仿宋"/>
                <w:bCs/>
                <w:color w:val="auto"/>
                <w:sz w:val="24"/>
                <w:highlight w:val="none"/>
                <w:lang w:eastAsia="zh-CN"/>
              </w:rPr>
              <w:t>：</w:t>
            </w:r>
          </w:p>
          <w:p w14:paraId="05A0BEB7">
            <w:pPr>
              <w:keepNext w:val="0"/>
              <w:keepLines w:val="0"/>
              <w:numPr>
                <w:ilvl w:val="0"/>
                <w:numId w:val="0"/>
              </w:numPr>
              <w:suppressLineNumbers w:val="0"/>
              <w:snapToGrid/>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1</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供货</w:t>
            </w:r>
            <w:r>
              <w:rPr>
                <w:rFonts w:hint="eastAsia" w:ascii="仿宋" w:hAnsi="仿宋" w:eastAsia="仿宋" w:cs="仿宋"/>
                <w:bCs/>
                <w:color w:val="auto"/>
                <w:sz w:val="24"/>
                <w:highlight w:val="none"/>
                <w:lang w:val="en-US" w:eastAsia="zh-CN"/>
              </w:rPr>
              <w:t>安装</w:t>
            </w:r>
            <w:r>
              <w:rPr>
                <w:rFonts w:hint="eastAsia" w:ascii="仿宋" w:hAnsi="仿宋" w:eastAsia="仿宋" w:cs="仿宋"/>
                <w:bCs/>
                <w:color w:val="auto"/>
                <w:sz w:val="24"/>
                <w:highlight w:val="none"/>
              </w:rPr>
              <w:t>方案优于本项目采购需求，完整详细，可行性、实用性、针对性强，得5分；</w:t>
            </w:r>
          </w:p>
          <w:p w14:paraId="03994A7E">
            <w:pPr>
              <w:keepNext w:val="0"/>
              <w:keepLines w:val="0"/>
              <w:numPr>
                <w:ilvl w:val="0"/>
                <w:numId w:val="0"/>
              </w:numPr>
              <w:suppressLineNumbers w:val="0"/>
              <w:snapToGrid/>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供货</w:t>
            </w:r>
            <w:r>
              <w:rPr>
                <w:rFonts w:hint="eastAsia" w:ascii="仿宋" w:hAnsi="仿宋" w:eastAsia="仿宋" w:cs="仿宋"/>
                <w:bCs/>
                <w:color w:val="auto"/>
                <w:sz w:val="24"/>
                <w:highlight w:val="none"/>
                <w:lang w:val="en-US" w:eastAsia="zh-CN"/>
              </w:rPr>
              <w:t>安装</w:t>
            </w:r>
            <w:r>
              <w:rPr>
                <w:rFonts w:hint="eastAsia" w:ascii="仿宋" w:hAnsi="仿宋" w:eastAsia="仿宋" w:cs="仿宋"/>
                <w:bCs/>
                <w:color w:val="auto"/>
                <w:sz w:val="24"/>
                <w:highlight w:val="none"/>
              </w:rPr>
              <w:t>方案</w:t>
            </w:r>
            <w:r>
              <w:rPr>
                <w:rFonts w:hint="eastAsia" w:ascii="仿宋" w:hAnsi="仿宋" w:eastAsia="仿宋" w:cs="仿宋"/>
                <w:bCs/>
                <w:color w:val="auto"/>
                <w:sz w:val="24"/>
                <w:highlight w:val="none"/>
                <w:lang w:val="en-US" w:eastAsia="zh-CN"/>
              </w:rPr>
              <w:t>适合</w:t>
            </w:r>
            <w:r>
              <w:rPr>
                <w:rFonts w:hint="eastAsia" w:ascii="仿宋" w:hAnsi="仿宋" w:eastAsia="仿宋" w:cs="仿宋"/>
                <w:bCs/>
                <w:color w:val="auto"/>
                <w:sz w:val="24"/>
                <w:highlight w:val="none"/>
              </w:rPr>
              <w:t>本项目采购需求，</w:t>
            </w:r>
            <w:r>
              <w:rPr>
                <w:rFonts w:hint="eastAsia" w:ascii="仿宋" w:hAnsi="仿宋" w:eastAsia="仿宋" w:cs="仿宋"/>
                <w:bCs/>
                <w:color w:val="auto"/>
                <w:sz w:val="24"/>
                <w:highlight w:val="none"/>
                <w:lang w:val="en-US" w:eastAsia="zh-CN"/>
              </w:rPr>
              <w:t>较</w:t>
            </w:r>
            <w:r>
              <w:rPr>
                <w:rFonts w:hint="eastAsia" w:ascii="仿宋" w:hAnsi="仿宋" w:eastAsia="仿宋" w:cs="仿宋"/>
                <w:bCs/>
                <w:color w:val="auto"/>
                <w:sz w:val="24"/>
                <w:highlight w:val="none"/>
              </w:rPr>
              <w:t>完整详细，可行性、实用性、针对性</w:t>
            </w:r>
            <w:r>
              <w:rPr>
                <w:rFonts w:hint="eastAsia" w:ascii="仿宋" w:hAnsi="仿宋" w:eastAsia="仿宋" w:cs="仿宋"/>
                <w:bCs/>
                <w:color w:val="auto"/>
                <w:sz w:val="24"/>
                <w:highlight w:val="none"/>
                <w:lang w:val="en-US" w:eastAsia="zh-CN"/>
              </w:rPr>
              <w:t>较</w:t>
            </w:r>
            <w:r>
              <w:rPr>
                <w:rFonts w:hint="eastAsia" w:ascii="仿宋" w:hAnsi="仿宋" w:eastAsia="仿宋" w:cs="仿宋"/>
                <w:bCs/>
                <w:color w:val="auto"/>
                <w:sz w:val="24"/>
                <w:highlight w:val="none"/>
              </w:rPr>
              <w:t>强，得</w:t>
            </w: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分；</w:t>
            </w:r>
          </w:p>
          <w:p w14:paraId="17C4FC80">
            <w:pPr>
              <w:keepNext w:val="0"/>
              <w:keepLines w:val="0"/>
              <w:numPr>
                <w:ilvl w:val="0"/>
                <w:numId w:val="0"/>
              </w:numPr>
              <w:suppressLineNumbers w:val="0"/>
              <w:snapToGrid/>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3</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供货</w:t>
            </w:r>
            <w:r>
              <w:rPr>
                <w:rFonts w:hint="eastAsia" w:ascii="仿宋" w:hAnsi="仿宋" w:eastAsia="仿宋" w:cs="仿宋"/>
                <w:bCs/>
                <w:color w:val="auto"/>
                <w:sz w:val="24"/>
                <w:highlight w:val="none"/>
                <w:lang w:val="en-US" w:eastAsia="zh-CN"/>
              </w:rPr>
              <w:t>安装</w:t>
            </w:r>
            <w:r>
              <w:rPr>
                <w:rFonts w:hint="eastAsia" w:ascii="仿宋" w:hAnsi="仿宋" w:eastAsia="仿宋" w:cs="仿宋"/>
                <w:bCs/>
                <w:color w:val="auto"/>
                <w:sz w:val="24"/>
                <w:highlight w:val="none"/>
              </w:rPr>
              <w:t>方案</w:t>
            </w:r>
            <w:r>
              <w:rPr>
                <w:rFonts w:hint="eastAsia" w:ascii="仿宋" w:hAnsi="仿宋" w:eastAsia="仿宋" w:cs="仿宋"/>
                <w:bCs/>
                <w:color w:val="auto"/>
                <w:sz w:val="24"/>
                <w:highlight w:val="none"/>
                <w:lang w:val="en-US" w:eastAsia="zh-CN"/>
              </w:rPr>
              <w:t>基本满足</w:t>
            </w:r>
            <w:r>
              <w:rPr>
                <w:rFonts w:hint="eastAsia" w:ascii="仿宋" w:hAnsi="仿宋" w:eastAsia="仿宋" w:cs="仿宋"/>
                <w:bCs/>
                <w:color w:val="auto"/>
                <w:sz w:val="24"/>
                <w:highlight w:val="none"/>
              </w:rPr>
              <w:t>本项目采购需求，基本全面，具有可行性</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实用性和针对性，得3分；</w:t>
            </w:r>
          </w:p>
          <w:p w14:paraId="2E29A8A7">
            <w:pPr>
              <w:keepNext w:val="0"/>
              <w:keepLines w:val="0"/>
              <w:numPr>
                <w:ilvl w:val="0"/>
                <w:numId w:val="0"/>
              </w:numPr>
              <w:suppressLineNumbers w:val="0"/>
              <w:snapToGrid/>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供货</w:t>
            </w:r>
            <w:r>
              <w:rPr>
                <w:rFonts w:hint="eastAsia" w:ascii="仿宋" w:hAnsi="仿宋" w:eastAsia="仿宋" w:cs="仿宋"/>
                <w:bCs/>
                <w:color w:val="auto"/>
                <w:sz w:val="24"/>
                <w:highlight w:val="none"/>
                <w:lang w:val="en-US" w:eastAsia="zh-CN"/>
              </w:rPr>
              <w:t>安装</w:t>
            </w:r>
            <w:r>
              <w:rPr>
                <w:rFonts w:hint="eastAsia" w:ascii="仿宋" w:hAnsi="仿宋" w:eastAsia="仿宋" w:cs="仿宋"/>
                <w:bCs/>
                <w:color w:val="auto"/>
                <w:sz w:val="24"/>
                <w:highlight w:val="none"/>
              </w:rPr>
              <w:t>方案及计划安排有待提升，可行性、实用性</w:t>
            </w:r>
            <w:r>
              <w:rPr>
                <w:rFonts w:hint="eastAsia" w:ascii="仿宋" w:hAnsi="仿宋" w:eastAsia="仿宋" w:cs="仿宋"/>
                <w:bCs/>
                <w:color w:val="auto"/>
                <w:sz w:val="24"/>
                <w:highlight w:val="none"/>
                <w:lang w:val="en-US" w:eastAsia="zh-CN"/>
              </w:rPr>
              <w:t>和</w:t>
            </w:r>
            <w:r>
              <w:rPr>
                <w:rFonts w:hint="eastAsia" w:ascii="仿宋" w:hAnsi="仿宋" w:eastAsia="仿宋" w:cs="仿宋"/>
                <w:bCs/>
                <w:color w:val="auto"/>
                <w:sz w:val="24"/>
                <w:highlight w:val="none"/>
              </w:rPr>
              <w:t>针对性有待改善，得</w:t>
            </w:r>
            <w:r>
              <w:rPr>
                <w:rFonts w:hint="eastAsia" w:ascii="仿宋" w:hAnsi="仿宋" w:eastAsia="仿宋" w:cs="仿宋"/>
                <w:bCs/>
                <w:color w:val="auto"/>
                <w:sz w:val="24"/>
                <w:highlight w:val="none"/>
                <w:lang w:val="en-US" w:eastAsia="zh-CN"/>
              </w:rPr>
              <w:t>2</w:t>
            </w:r>
            <w:r>
              <w:rPr>
                <w:rFonts w:hint="eastAsia" w:ascii="仿宋" w:hAnsi="仿宋" w:eastAsia="仿宋" w:cs="仿宋"/>
                <w:bCs/>
                <w:color w:val="auto"/>
                <w:sz w:val="24"/>
                <w:highlight w:val="none"/>
              </w:rPr>
              <w:t>分；</w:t>
            </w:r>
          </w:p>
          <w:p w14:paraId="502EB90E">
            <w:pPr>
              <w:keepNext w:val="0"/>
              <w:keepLines w:val="0"/>
              <w:numPr>
                <w:ilvl w:val="0"/>
                <w:numId w:val="0"/>
              </w:numPr>
              <w:suppressLineNumbers w:val="0"/>
              <w:snapToGrid/>
              <w:spacing w:before="0" w:beforeAutospacing="0" w:after="0" w:afterAutospacing="0" w:line="360" w:lineRule="auto"/>
              <w:ind w:left="0" w:right="0"/>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5</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供货</w:t>
            </w:r>
            <w:r>
              <w:rPr>
                <w:rFonts w:hint="eastAsia" w:ascii="仿宋" w:hAnsi="仿宋" w:eastAsia="仿宋" w:cs="仿宋"/>
                <w:bCs/>
                <w:color w:val="auto"/>
                <w:sz w:val="24"/>
                <w:highlight w:val="none"/>
                <w:lang w:val="en-US" w:eastAsia="zh-CN"/>
              </w:rPr>
              <w:t>安装</w:t>
            </w:r>
            <w:r>
              <w:rPr>
                <w:rFonts w:hint="eastAsia" w:ascii="仿宋" w:hAnsi="仿宋" w:eastAsia="仿宋" w:cs="仿宋"/>
                <w:bCs/>
                <w:color w:val="auto"/>
                <w:sz w:val="24"/>
                <w:highlight w:val="none"/>
              </w:rPr>
              <w:t>方案</w:t>
            </w:r>
            <w:r>
              <w:rPr>
                <w:rFonts w:hint="eastAsia" w:ascii="仿宋" w:hAnsi="仿宋" w:eastAsia="仿宋" w:cs="仿宋"/>
                <w:bCs/>
                <w:color w:val="auto"/>
                <w:sz w:val="24"/>
                <w:highlight w:val="none"/>
                <w:lang w:val="en-US" w:eastAsia="zh-CN"/>
              </w:rPr>
              <w:t>无法满足项目需求</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lang w:val="en-US" w:eastAsia="zh-CN"/>
              </w:rPr>
              <w:t>不具有</w:t>
            </w:r>
            <w:r>
              <w:rPr>
                <w:rFonts w:hint="eastAsia" w:ascii="仿宋" w:hAnsi="仿宋" w:eastAsia="仿宋" w:cs="仿宋"/>
                <w:bCs/>
                <w:color w:val="auto"/>
                <w:sz w:val="24"/>
                <w:highlight w:val="none"/>
              </w:rPr>
              <w:t>实用性</w:t>
            </w:r>
            <w:r>
              <w:rPr>
                <w:rFonts w:hint="eastAsia" w:ascii="仿宋" w:hAnsi="仿宋" w:eastAsia="仿宋" w:cs="仿宋"/>
                <w:bCs/>
                <w:color w:val="auto"/>
                <w:sz w:val="24"/>
                <w:highlight w:val="none"/>
                <w:lang w:eastAsia="zh-CN"/>
              </w:rPr>
              <w:t>、</w:t>
            </w:r>
            <w:r>
              <w:rPr>
                <w:rFonts w:hint="eastAsia" w:ascii="仿宋" w:hAnsi="仿宋" w:eastAsia="仿宋" w:cs="仿宋"/>
                <w:bCs/>
                <w:color w:val="auto"/>
                <w:sz w:val="24"/>
                <w:highlight w:val="none"/>
              </w:rPr>
              <w:t>针对性，得1分；</w:t>
            </w:r>
          </w:p>
          <w:p w14:paraId="732FC473">
            <w:pPr>
              <w:keepNext w:val="0"/>
              <w:keepLines w:val="0"/>
              <w:numPr>
                <w:ilvl w:val="0"/>
                <w:numId w:val="0"/>
              </w:numPr>
              <w:suppressLineNumbers w:val="0"/>
              <w:snapToGrid/>
              <w:spacing w:before="0" w:beforeAutospacing="0" w:after="0" w:afterAutospacing="0" w:line="360" w:lineRule="auto"/>
              <w:ind w:left="0" w:leftChars="0" w:right="0" w:firstLine="0" w:firstLineChars="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highlight w:val="none"/>
                <w:lang w:val="en-US" w:eastAsia="zh-CN"/>
              </w:rPr>
              <w:t>（6）未提供方案的不得分。</w:t>
            </w:r>
          </w:p>
        </w:tc>
      </w:tr>
      <w:tr w14:paraId="47E1F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5B3AA957">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p>
        </w:tc>
        <w:tc>
          <w:tcPr>
            <w:tcW w:w="708" w:type="dxa"/>
            <w:noWrap w:val="0"/>
            <w:vAlign w:val="center"/>
          </w:tcPr>
          <w:p w14:paraId="1B13CE34">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6</w:t>
            </w:r>
          </w:p>
        </w:tc>
        <w:tc>
          <w:tcPr>
            <w:tcW w:w="1701" w:type="dxa"/>
            <w:noWrap w:val="0"/>
            <w:vAlign w:val="center"/>
          </w:tcPr>
          <w:p w14:paraId="38212D33">
            <w:pPr>
              <w:keepNext w:val="0"/>
              <w:keepLines w:val="0"/>
              <w:widowControl/>
              <w:suppressLineNumbers w:val="0"/>
              <w:adjustRightInd w:val="0"/>
              <w:snapToGrid w:val="0"/>
              <w:spacing w:before="0" w:beforeAutospacing="0" w:after="0" w:afterAutospacing="0" w:line="360" w:lineRule="auto"/>
              <w:ind w:left="0" w:right="0"/>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售后服务</w:t>
            </w:r>
            <w:r>
              <w:rPr>
                <w:rFonts w:hint="eastAsia" w:ascii="仿宋" w:hAnsi="仿宋" w:eastAsia="仿宋" w:cs="仿宋"/>
                <w:color w:val="auto"/>
                <w:sz w:val="24"/>
                <w:highlight w:val="none"/>
                <w:lang w:val="en-US" w:eastAsia="zh-CN"/>
              </w:rPr>
              <w:t>方案</w:t>
            </w:r>
          </w:p>
          <w:p w14:paraId="6512B605">
            <w:pPr>
              <w:keepNext w:val="0"/>
              <w:keepLines w:val="0"/>
              <w:suppressLineNumbers w:val="0"/>
              <w:snapToGrid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5</w:t>
            </w:r>
            <w:r>
              <w:rPr>
                <w:rFonts w:hint="eastAsia" w:ascii="仿宋" w:hAnsi="仿宋" w:eastAsia="仿宋" w:cs="仿宋"/>
                <w:color w:val="auto"/>
                <w:sz w:val="24"/>
                <w:highlight w:val="none"/>
              </w:rPr>
              <w:t>分）</w:t>
            </w:r>
          </w:p>
        </w:tc>
        <w:tc>
          <w:tcPr>
            <w:tcW w:w="6237" w:type="dxa"/>
            <w:gridSpan w:val="2"/>
            <w:noWrap w:val="0"/>
            <w:vAlign w:val="center"/>
          </w:tcPr>
          <w:p w14:paraId="0BD4B62F">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rPr>
              <w:t>根据投标人提供的售后服务方案进行综合评审：</w:t>
            </w:r>
          </w:p>
          <w:p w14:paraId="189A424E">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1</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对本项目的特点和难点理解准确，售后服务方案优于本项目采购需求，完整详细，可行性、实用性和针对性强，得5分；</w:t>
            </w:r>
          </w:p>
          <w:p w14:paraId="5CA30B4D">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2</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对本项目的特点和难点理解较准确，售后服务方案适合本项目采购需求，完整详细，可行性、实用性和针对性较强，得4分；</w:t>
            </w:r>
          </w:p>
          <w:p w14:paraId="3599384B">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3</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对本项目的特点和难点理解基本准确，售后服务方案基本适合本项目采购需求，较完整详细，具有可行性、实用性和针对性，得3分；</w:t>
            </w:r>
          </w:p>
          <w:p w14:paraId="1A3FF5A4">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4</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对本项目的特点和难点理解有待提升，，售后服务方案可行性、实用性和针对性有待改善，得2分；</w:t>
            </w:r>
          </w:p>
          <w:p w14:paraId="00227EC5">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sz w:val="24"/>
                <w:szCs w:val="20"/>
                <w:highlight w:val="none"/>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5</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对本项目的特点和难点理解不准确，技术培训方案不适合本项目采购需求，不够完整详细，不具有可行性，得1分；</w:t>
            </w:r>
          </w:p>
          <w:p w14:paraId="4EABA3E7">
            <w:pPr>
              <w:keepNext w:val="0"/>
              <w:keepLines w:val="0"/>
              <w:suppressLineNumbers w:val="0"/>
              <w:spacing w:before="0" w:beforeAutospacing="0" w:after="0" w:afterAutospacing="0"/>
              <w:ind w:left="0" w:right="0"/>
              <w:rPr>
                <w:rFonts w:hint="eastAsia" w:ascii="仿宋" w:hAnsi="仿宋" w:eastAsia="仿宋" w:cs="仿宋"/>
                <w:bCs/>
                <w:color w:val="auto"/>
                <w:sz w:val="24"/>
                <w:szCs w:val="20"/>
                <w:highlight w:val="none"/>
                <w:lang w:eastAsia="zh-CN"/>
              </w:rPr>
            </w:pP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lang w:val="en-US" w:eastAsia="zh-CN"/>
              </w:rPr>
              <w:t>6</w:t>
            </w:r>
            <w:r>
              <w:rPr>
                <w:rFonts w:hint="eastAsia" w:ascii="仿宋" w:hAnsi="仿宋" w:eastAsia="仿宋" w:cs="仿宋"/>
                <w:bCs/>
                <w:color w:val="auto"/>
                <w:sz w:val="24"/>
                <w:szCs w:val="20"/>
                <w:highlight w:val="none"/>
                <w:lang w:eastAsia="zh-CN"/>
              </w:rPr>
              <w:t>）</w:t>
            </w:r>
            <w:r>
              <w:rPr>
                <w:rFonts w:hint="eastAsia" w:ascii="仿宋" w:hAnsi="仿宋" w:eastAsia="仿宋" w:cs="仿宋"/>
                <w:bCs/>
                <w:color w:val="auto"/>
                <w:sz w:val="24"/>
                <w:szCs w:val="20"/>
                <w:highlight w:val="none"/>
              </w:rPr>
              <w:t>未提供方案的不得分。</w:t>
            </w:r>
          </w:p>
        </w:tc>
      </w:tr>
      <w:tr w14:paraId="2EB56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vMerge w:val="continue"/>
            <w:noWrap w:val="0"/>
            <w:vAlign w:val="center"/>
          </w:tcPr>
          <w:p w14:paraId="0E07C467">
            <w:pPr>
              <w:keepNext w:val="0"/>
              <w:keepLines w:val="0"/>
              <w:widowControl/>
              <w:suppressLineNumbers w:val="0"/>
              <w:snapToGrid w:val="0"/>
              <w:spacing w:before="0" w:beforeAutospacing="0" w:after="0" w:afterAutospacing="0" w:line="288" w:lineRule="auto"/>
              <w:ind w:left="0" w:right="0"/>
              <w:rPr>
                <w:rFonts w:hint="eastAsia" w:ascii="仿宋" w:hAnsi="仿宋" w:eastAsia="仿宋" w:cs="仿宋"/>
                <w:sz w:val="24"/>
                <w:highlight w:val="none"/>
              </w:rPr>
            </w:pPr>
          </w:p>
        </w:tc>
        <w:tc>
          <w:tcPr>
            <w:tcW w:w="708" w:type="dxa"/>
            <w:noWrap w:val="0"/>
            <w:vAlign w:val="center"/>
          </w:tcPr>
          <w:p w14:paraId="06150FF2">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r>
              <w:rPr>
                <w:rFonts w:hint="eastAsia" w:ascii="宋体" w:hAnsi="宋体" w:eastAsia="仿宋" w:cs="Times New Roman"/>
                <w:kern w:val="0"/>
                <w:sz w:val="24"/>
                <w:highlight w:val="none"/>
                <w:lang w:val="en-US" w:eastAsia="zh-CN"/>
              </w:rPr>
              <w:t>7</w:t>
            </w:r>
          </w:p>
        </w:tc>
        <w:tc>
          <w:tcPr>
            <w:tcW w:w="1701" w:type="dxa"/>
            <w:noWrap w:val="0"/>
            <w:vAlign w:val="center"/>
          </w:tcPr>
          <w:p w14:paraId="40AAFEB6">
            <w:pPr>
              <w:keepNext w:val="0"/>
              <w:keepLines w:val="0"/>
              <w:widowControl/>
              <w:suppressLineNumbers w:val="0"/>
              <w:adjustRightInd w:val="0"/>
              <w:snapToGrid w:val="0"/>
              <w:spacing w:before="0" w:beforeAutospacing="0" w:after="0" w:afterAutospacing="0" w:line="360" w:lineRule="auto"/>
              <w:ind w:left="0" w:right="0"/>
              <w:jc w:val="center"/>
              <w:rPr>
                <w:rFonts w:hint="default" w:ascii="楷体" w:hAnsi="楷体" w:eastAsia="楷体" w:cs="Times New Roman"/>
                <w:color w:val="auto"/>
                <w:sz w:val="24"/>
                <w:highlight w:val="none"/>
              </w:rPr>
            </w:pPr>
            <w:r>
              <w:rPr>
                <w:rFonts w:hint="eastAsia" w:ascii="仿宋" w:hAnsi="仿宋" w:eastAsia="仿宋" w:cs="仿宋"/>
                <w:sz w:val="24"/>
                <w:highlight w:val="none"/>
                <w:lang w:val="en-US" w:eastAsia="zh-CN"/>
              </w:rPr>
              <w:t>技术</w:t>
            </w:r>
            <w:r>
              <w:rPr>
                <w:rFonts w:hint="eastAsia" w:ascii="仿宋" w:hAnsi="仿宋" w:eastAsia="仿宋" w:cs="仿宋"/>
                <w:sz w:val="24"/>
                <w:highlight w:val="none"/>
              </w:rPr>
              <w:t>培训方案（</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分）</w:t>
            </w:r>
          </w:p>
        </w:tc>
        <w:tc>
          <w:tcPr>
            <w:tcW w:w="6237" w:type="dxa"/>
            <w:gridSpan w:val="2"/>
            <w:noWrap w:val="0"/>
            <w:vAlign w:val="center"/>
          </w:tcPr>
          <w:p w14:paraId="79F42830">
            <w:pPr>
              <w:keepNext w:val="0"/>
              <w:keepLines w:val="0"/>
              <w:widowControl/>
              <w:suppressLineNumbers w:val="0"/>
              <w:adjustRightInd w:val="0"/>
              <w:snapToGrid w:val="0"/>
              <w:spacing w:before="0" w:beforeAutospacing="0" w:after="0" w:afterAutospacing="0" w:line="360" w:lineRule="auto"/>
              <w:ind w:left="0" w:right="0"/>
              <w:rPr>
                <w:rFonts w:hint="eastAsia" w:ascii="仿宋" w:hAnsi="仿宋" w:eastAsia="仿宋" w:cs="仿宋"/>
                <w:sz w:val="24"/>
                <w:highlight w:val="none"/>
              </w:rPr>
            </w:pPr>
            <w:r>
              <w:rPr>
                <w:rFonts w:hint="eastAsia" w:ascii="仿宋" w:hAnsi="仿宋" w:eastAsia="仿宋" w:cs="仿宋"/>
                <w:sz w:val="24"/>
                <w:highlight w:val="none"/>
              </w:rPr>
              <w:t>根据投标人提供的</w:t>
            </w:r>
            <w:r>
              <w:rPr>
                <w:rFonts w:hint="eastAsia" w:ascii="仿宋" w:hAnsi="仿宋" w:eastAsia="仿宋" w:cs="仿宋"/>
                <w:sz w:val="24"/>
                <w:highlight w:val="none"/>
                <w:lang w:val="en-US" w:eastAsia="zh-CN"/>
              </w:rPr>
              <w:t>技术</w:t>
            </w:r>
            <w:r>
              <w:rPr>
                <w:rFonts w:hint="eastAsia" w:ascii="仿宋" w:hAnsi="仿宋" w:eastAsia="仿宋" w:cs="仿宋"/>
                <w:sz w:val="24"/>
                <w:highlight w:val="none"/>
              </w:rPr>
              <w:t>培训方案内容的</w:t>
            </w:r>
            <w:r>
              <w:rPr>
                <w:rFonts w:hint="eastAsia" w:ascii="仿宋" w:hAnsi="仿宋" w:eastAsia="仿宋" w:cs="仿宋"/>
                <w:sz w:val="24"/>
                <w:highlight w:val="none"/>
                <w:lang w:val="en-US" w:eastAsia="zh-CN"/>
              </w:rPr>
              <w:t>详细</w:t>
            </w:r>
            <w:r>
              <w:rPr>
                <w:rFonts w:hint="eastAsia" w:ascii="仿宋" w:hAnsi="仿宋" w:eastAsia="仿宋" w:cs="仿宋"/>
                <w:sz w:val="24"/>
                <w:highlight w:val="none"/>
              </w:rPr>
              <w:t>程度、可行性、实用性、针对性等进行评分：</w:t>
            </w:r>
          </w:p>
          <w:p w14:paraId="56B431D7">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val="en-US" w:eastAsia="zh-CN"/>
              </w:rPr>
              <w:t>（1）对本项目的特点和难点理解准确</w:t>
            </w:r>
            <w:r>
              <w:rPr>
                <w:rFonts w:hint="eastAsia" w:ascii="仿宋" w:hAnsi="仿宋" w:eastAsia="仿宋" w:cs="仿宋"/>
                <w:bCs/>
                <w:sz w:val="24"/>
                <w:szCs w:val="20"/>
                <w:highlight w:val="none"/>
              </w:rPr>
              <w:t>，技术培训方案</w:t>
            </w:r>
            <w:r>
              <w:rPr>
                <w:rFonts w:hint="eastAsia" w:ascii="仿宋" w:hAnsi="仿宋" w:eastAsia="仿宋" w:cs="仿宋"/>
                <w:bCs/>
                <w:sz w:val="24"/>
                <w:szCs w:val="20"/>
                <w:highlight w:val="none"/>
                <w:lang w:val="en-US" w:eastAsia="zh-CN"/>
              </w:rPr>
              <w:t>优于本项目采购需求</w:t>
            </w:r>
            <w:r>
              <w:rPr>
                <w:rFonts w:hint="eastAsia" w:ascii="仿宋" w:hAnsi="仿宋" w:eastAsia="仿宋" w:cs="仿宋"/>
                <w:bCs/>
                <w:sz w:val="24"/>
                <w:szCs w:val="20"/>
                <w:highlight w:val="none"/>
              </w:rPr>
              <w:t>，</w:t>
            </w:r>
            <w:r>
              <w:rPr>
                <w:rFonts w:hint="eastAsia" w:ascii="仿宋" w:hAnsi="仿宋" w:eastAsia="仿宋" w:cs="仿宋"/>
                <w:bCs/>
                <w:sz w:val="24"/>
                <w:szCs w:val="20"/>
                <w:highlight w:val="none"/>
                <w:lang w:val="en-US" w:eastAsia="zh-CN"/>
              </w:rPr>
              <w:t>完整详细，可行性、实用性、针对性强，</w:t>
            </w:r>
            <w:r>
              <w:rPr>
                <w:rFonts w:hint="eastAsia" w:ascii="仿宋" w:hAnsi="仿宋" w:eastAsia="仿宋" w:cs="仿宋"/>
                <w:bCs/>
                <w:sz w:val="24"/>
                <w:szCs w:val="20"/>
                <w:highlight w:val="none"/>
              </w:rPr>
              <w:t>得5分；</w:t>
            </w:r>
          </w:p>
          <w:p w14:paraId="74BF4362">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2</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对本项目的特点和难点理解</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准确，技术培训方案</w:t>
            </w:r>
            <w:r>
              <w:rPr>
                <w:rFonts w:hint="eastAsia" w:ascii="仿宋" w:hAnsi="仿宋" w:eastAsia="仿宋" w:cs="仿宋"/>
                <w:bCs/>
                <w:sz w:val="24"/>
                <w:szCs w:val="20"/>
                <w:highlight w:val="none"/>
                <w:lang w:val="en-US" w:eastAsia="zh-CN"/>
              </w:rPr>
              <w:t>适合</w:t>
            </w:r>
            <w:r>
              <w:rPr>
                <w:rFonts w:hint="eastAsia" w:ascii="仿宋" w:hAnsi="仿宋" w:eastAsia="仿宋" w:cs="仿宋"/>
                <w:bCs/>
                <w:sz w:val="24"/>
                <w:szCs w:val="20"/>
                <w:highlight w:val="none"/>
              </w:rPr>
              <w:t>本项目采购需求，完整详细，可行性、实用性、针对性</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强，得</w:t>
            </w:r>
            <w:r>
              <w:rPr>
                <w:rFonts w:hint="eastAsia" w:ascii="仿宋" w:hAnsi="仿宋" w:eastAsia="仿宋" w:cs="仿宋"/>
                <w:bCs/>
                <w:sz w:val="24"/>
                <w:szCs w:val="20"/>
                <w:highlight w:val="none"/>
                <w:lang w:eastAsia="zh-CN"/>
              </w:rPr>
              <w:t>4</w:t>
            </w:r>
            <w:r>
              <w:rPr>
                <w:rFonts w:hint="eastAsia" w:ascii="仿宋" w:hAnsi="仿宋" w:eastAsia="仿宋" w:cs="仿宋"/>
                <w:bCs/>
                <w:sz w:val="24"/>
                <w:szCs w:val="20"/>
                <w:highlight w:val="none"/>
              </w:rPr>
              <w:t>分；</w:t>
            </w:r>
          </w:p>
          <w:p w14:paraId="39DAC593">
            <w:pPr>
              <w:keepNext w:val="0"/>
              <w:keepLines w:val="0"/>
              <w:numPr>
                <w:ilvl w:val="0"/>
                <w:numId w:val="0"/>
              </w:numPr>
              <w:suppressLineNumbers w:val="0"/>
              <w:snapToGrid w:val="0"/>
              <w:spacing w:before="0" w:beforeAutospacing="0" w:after="0" w:afterAutospacing="0" w:line="360" w:lineRule="auto"/>
              <w:ind w:left="0" w:right="0"/>
              <w:rPr>
                <w:rFonts w:hint="default" w:ascii="Calibri" w:hAnsi="Calibri" w:cs="Times New Roman"/>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3</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对本项目的特点和难点理解</w:t>
            </w:r>
            <w:r>
              <w:rPr>
                <w:rFonts w:hint="eastAsia" w:ascii="仿宋" w:hAnsi="仿宋" w:eastAsia="仿宋" w:cs="仿宋"/>
                <w:bCs/>
                <w:sz w:val="24"/>
                <w:szCs w:val="20"/>
                <w:highlight w:val="none"/>
                <w:lang w:val="en-US" w:eastAsia="zh-CN"/>
              </w:rPr>
              <w:t>基本</w:t>
            </w:r>
            <w:r>
              <w:rPr>
                <w:rFonts w:hint="eastAsia" w:ascii="仿宋" w:hAnsi="仿宋" w:eastAsia="仿宋" w:cs="仿宋"/>
                <w:bCs/>
                <w:sz w:val="24"/>
                <w:szCs w:val="20"/>
                <w:highlight w:val="none"/>
              </w:rPr>
              <w:t>准确，技术培训方案</w:t>
            </w:r>
            <w:r>
              <w:rPr>
                <w:rFonts w:hint="eastAsia" w:ascii="仿宋" w:hAnsi="仿宋" w:eastAsia="仿宋" w:cs="仿宋"/>
                <w:bCs/>
                <w:sz w:val="24"/>
                <w:szCs w:val="20"/>
                <w:highlight w:val="none"/>
                <w:lang w:val="en-US" w:eastAsia="zh-CN"/>
              </w:rPr>
              <w:t>基本适合</w:t>
            </w:r>
            <w:r>
              <w:rPr>
                <w:rFonts w:hint="eastAsia" w:ascii="仿宋" w:hAnsi="仿宋" w:eastAsia="仿宋" w:cs="仿宋"/>
                <w:bCs/>
                <w:sz w:val="24"/>
                <w:szCs w:val="20"/>
                <w:highlight w:val="none"/>
              </w:rPr>
              <w:t>本项目采购需求，</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完整</w:t>
            </w:r>
            <w:r>
              <w:rPr>
                <w:rFonts w:hint="eastAsia" w:ascii="仿宋" w:hAnsi="仿宋" w:eastAsia="仿宋" w:cs="仿宋"/>
                <w:bCs/>
                <w:sz w:val="24"/>
                <w:szCs w:val="20"/>
                <w:highlight w:val="none"/>
                <w:lang w:val="en-US" w:eastAsia="zh-CN"/>
              </w:rPr>
              <w:t>详细</w:t>
            </w:r>
            <w:r>
              <w:rPr>
                <w:rFonts w:hint="eastAsia" w:ascii="仿宋" w:hAnsi="仿宋" w:eastAsia="仿宋" w:cs="仿宋"/>
                <w:bCs/>
                <w:sz w:val="24"/>
                <w:szCs w:val="20"/>
                <w:highlight w:val="none"/>
              </w:rPr>
              <w:t>，</w:t>
            </w:r>
            <w:r>
              <w:rPr>
                <w:rFonts w:hint="eastAsia" w:ascii="仿宋" w:hAnsi="仿宋" w:eastAsia="仿宋" w:cs="仿宋"/>
                <w:bCs/>
                <w:sz w:val="24"/>
                <w:szCs w:val="20"/>
                <w:highlight w:val="none"/>
                <w:lang w:val="en-US" w:eastAsia="zh-CN"/>
              </w:rPr>
              <w:t>具有</w:t>
            </w:r>
            <w:r>
              <w:rPr>
                <w:rFonts w:hint="eastAsia" w:ascii="仿宋" w:hAnsi="仿宋" w:eastAsia="仿宋" w:cs="仿宋"/>
                <w:bCs/>
                <w:sz w:val="24"/>
                <w:szCs w:val="20"/>
                <w:highlight w:val="none"/>
              </w:rPr>
              <w:t>可行性、实用性</w:t>
            </w:r>
            <w:r>
              <w:rPr>
                <w:rFonts w:hint="eastAsia" w:ascii="仿宋" w:hAnsi="仿宋" w:eastAsia="仿宋" w:cs="仿宋"/>
                <w:bCs/>
                <w:sz w:val="24"/>
                <w:szCs w:val="20"/>
                <w:highlight w:val="none"/>
                <w:lang w:val="en-US" w:eastAsia="zh-CN"/>
              </w:rPr>
              <w:t>和</w:t>
            </w:r>
            <w:r>
              <w:rPr>
                <w:rFonts w:hint="eastAsia" w:ascii="仿宋" w:hAnsi="仿宋" w:eastAsia="仿宋" w:cs="仿宋"/>
                <w:bCs/>
                <w:sz w:val="24"/>
                <w:szCs w:val="20"/>
                <w:highlight w:val="none"/>
              </w:rPr>
              <w:t>针对性，得</w:t>
            </w:r>
            <w:r>
              <w:rPr>
                <w:rFonts w:hint="eastAsia" w:ascii="仿宋" w:hAnsi="仿宋" w:eastAsia="仿宋" w:cs="仿宋"/>
                <w:bCs/>
                <w:sz w:val="24"/>
                <w:szCs w:val="20"/>
                <w:highlight w:val="none"/>
                <w:lang w:val="en-US" w:eastAsia="zh-CN"/>
              </w:rPr>
              <w:t>3</w:t>
            </w:r>
            <w:r>
              <w:rPr>
                <w:rFonts w:hint="eastAsia" w:ascii="仿宋" w:hAnsi="仿宋" w:eastAsia="仿宋" w:cs="仿宋"/>
                <w:bCs/>
                <w:sz w:val="24"/>
                <w:szCs w:val="20"/>
                <w:highlight w:val="none"/>
              </w:rPr>
              <w:t>分；</w:t>
            </w:r>
          </w:p>
          <w:p w14:paraId="1E467F9F">
            <w:pPr>
              <w:keepNext w:val="0"/>
              <w:keepLines w:val="0"/>
              <w:numPr>
                <w:ilvl w:val="0"/>
                <w:numId w:val="0"/>
              </w:numPr>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4</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对本项目的特点和难点理解</w:t>
            </w:r>
            <w:r>
              <w:rPr>
                <w:rFonts w:hint="eastAsia" w:ascii="仿宋" w:hAnsi="仿宋" w:eastAsia="仿宋" w:cs="仿宋"/>
                <w:bCs/>
                <w:sz w:val="24"/>
                <w:szCs w:val="20"/>
                <w:highlight w:val="none"/>
                <w:lang w:val="en-US" w:eastAsia="zh-CN"/>
              </w:rPr>
              <w:t>有待提升</w:t>
            </w:r>
            <w:r>
              <w:rPr>
                <w:rFonts w:hint="eastAsia" w:ascii="仿宋" w:hAnsi="仿宋" w:eastAsia="仿宋" w:cs="仿宋"/>
                <w:bCs/>
                <w:sz w:val="24"/>
                <w:szCs w:val="20"/>
                <w:highlight w:val="none"/>
              </w:rPr>
              <w:t>，技术培训方案可行性、实用性</w:t>
            </w:r>
            <w:r>
              <w:rPr>
                <w:rFonts w:hint="eastAsia" w:ascii="仿宋" w:hAnsi="仿宋" w:eastAsia="仿宋" w:cs="仿宋"/>
                <w:bCs/>
                <w:sz w:val="24"/>
                <w:szCs w:val="20"/>
                <w:highlight w:val="none"/>
                <w:lang w:val="en-US" w:eastAsia="zh-CN"/>
              </w:rPr>
              <w:t>和</w:t>
            </w:r>
            <w:r>
              <w:rPr>
                <w:rFonts w:hint="eastAsia" w:ascii="仿宋" w:hAnsi="仿宋" w:eastAsia="仿宋" w:cs="仿宋"/>
                <w:bCs/>
                <w:sz w:val="24"/>
                <w:szCs w:val="20"/>
                <w:highlight w:val="none"/>
              </w:rPr>
              <w:t>针对性</w:t>
            </w:r>
            <w:r>
              <w:rPr>
                <w:rFonts w:hint="eastAsia" w:ascii="仿宋" w:hAnsi="仿宋" w:eastAsia="仿宋" w:cs="仿宋"/>
                <w:bCs/>
                <w:sz w:val="24"/>
                <w:szCs w:val="20"/>
                <w:highlight w:val="none"/>
                <w:lang w:val="en-US" w:eastAsia="zh-CN"/>
              </w:rPr>
              <w:t>有待改善</w:t>
            </w:r>
            <w:r>
              <w:rPr>
                <w:rFonts w:hint="eastAsia" w:ascii="仿宋" w:hAnsi="仿宋" w:eastAsia="仿宋" w:cs="仿宋"/>
                <w:bCs/>
                <w:sz w:val="24"/>
                <w:szCs w:val="20"/>
                <w:highlight w:val="none"/>
              </w:rPr>
              <w:t>，得</w:t>
            </w:r>
            <w:r>
              <w:rPr>
                <w:rFonts w:hint="eastAsia" w:ascii="仿宋" w:hAnsi="仿宋" w:eastAsia="仿宋" w:cs="仿宋"/>
                <w:bCs/>
                <w:sz w:val="24"/>
                <w:szCs w:val="20"/>
                <w:highlight w:val="none"/>
                <w:lang w:val="en-US" w:eastAsia="zh-CN"/>
              </w:rPr>
              <w:t>2</w:t>
            </w:r>
            <w:r>
              <w:rPr>
                <w:rFonts w:hint="eastAsia" w:ascii="仿宋" w:hAnsi="仿宋" w:eastAsia="仿宋" w:cs="仿宋"/>
                <w:bCs/>
                <w:sz w:val="24"/>
                <w:szCs w:val="20"/>
                <w:highlight w:val="none"/>
              </w:rPr>
              <w:t>分；</w:t>
            </w:r>
          </w:p>
          <w:p w14:paraId="5CB18274">
            <w:pPr>
              <w:keepNext w:val="0"/>
              <w:keepLines w:val="0"/>
              <w:suppressLineNumbers w:val="0"/>
              <w:snapToGrid w:val="0"/>
              <w:spacing w:before="0" w:beforeAutospacing="0" w:after="0" w:afterAutospacing="0" w:line="360" w:lineRule="auto"/>
              <w:ind w:left="0" w:right="0"/>
              <w:rPr>
                <w:rFonts w:hint="eastAsia" w:ascii="仿宋" w:hAnsi="仿宋" w:eastAsia="仿宋" w:cs="仿宋"/>
                <w:bCs/>
                <w:sz w:val="24"/>
                <w:szCs w:val="20"/>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5</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对本项目的特点和难点理解</w:t>
            </w:r>
            <w:r>
              <w:rPr>
                <w:rFonts w:hint="eastAsia" w:ascii="仿宋" w:hAnsi="仿宋" w:eastAsia="仿宋" w:cs="仿宋"/>
                <w:bCs/>
                <w:sz w:val="24"/>
                <w:szCs w:val="20"/>
                <w:highlight w:val="none"/>
                <w:lang w:val="en-US" w:eastAsia="zh-CN"/>
              </w:rPr>
              <w:t>不准确</w:t>
            </w:r>
            <w:r>
              <w:rPr>
                <w:rFonts w:hint="eastAsia" w:ascii="仿宋" w:hAnsi="仿宋" w:eastAsia="仿宋" w:cs="仿宋"/>
                <w:bCs/>
                <w:sz w:val="24"/>
                <w:szCs w:val="20"/>
                <w:highlight w:val="none"/>
              </w:rPr>
              <w:t>，技术培训方案</w:t>
            </w:r>
            <w:r>
              <w:rPr>
                <w:rFonts w:hint="eastAsia" w:ascii="仿宋" w:hAnsi="仿宋" w:eastAsia="仿宋" w:cs="仿宋"/>
                <w:bCs/>
                <w:sz w:val="24"/>
                <w:szCs w:val="20"/>
                <w:highlight w:val="none"/>
                <w:lang w:val="en-US" w:eastAsia="zh-CN"/>
              </w:rPr>
              <w:t>不适合</w:t>
            </w:r>
            <w:r>
              <w:rPr>
                <w:rFonts w:hint="eastAsia" w:ascii="仿宋" w:hAnsi="仿宋" w:eastAsia="仿宋" w:cs="仿宋"/>
                <w:bCs/>
                <w:sz w:val="24"/>
                <w:szCs w:val="20"/>
                <w:highlight w:val="none"/>
              </w:rPr>
              <w:t>本项目采购需求，</w:t>
            </w:r>
            <w:r>
              <w:rPr>
                <w:rFonts w:hint="eastAsia" w:ascii="仿宋" w:hAnsi="仿宋" w:eastAsia="仿宋" w:cs="仿宋"/>
                <w:bCs/>
                <w:sz w:val="24"/>
                <w:szCs w:val="20"/>
                <w:highlight w:val="none"/>
                <w:lang w:val="en-US" w:eastAsia="zh-CN"/>
              </w:rPr>
              <w:t>不够完整详细，不具有</w:t>
            </w:r>
            <w:r>
              <w:rPr>
                <w:rFonts w:hint="eastAsia" w:ascii="仿宋" w:hAnsi="仿宋" w:eastAsia="仿宋" w:cs="仿宋"/>
                <w:bCs/>
                <w:sz w:val="24"/>
                <w:szCs w:val="20"/>
                <w:highlight w:val="none"/>
              </w:rPr>
              <w:t>可行性，得</w:t>
            </w:r>
            <w:r>
              <w:rPr>
                <w:rFonts w:hint="eastAsia" w:ascii="仿宋" w:hAnsi="仿宋" w:eastAsia="仿宋" w:cs="仿宋"/>
                <w:bCs/>
                <w:sz w:val="24"/>
                <w:szCs w:val="20"/>
                <w:highlight w:val="none"/>
                <w:lang w:val="en-US" w:eastAsia="zh-CN"/>
              </w:rPr>
              <w:t>1</w:t>
            </w:r>
            <w:r>
              <w:rPr>
                <w:rFonts w:hint="eastAsia" w:ascii="仿宋" w:hAnsi="仿宋" w:eastAsia="仿宋" w:cs="仿宋"/>
                <w:bCs/>
                <w:sz w:val="24"/>
                <w:szCs w:val="20"/>
                <w:highlight w:val="none"/>
              </w:rPr>
              <w:t>分；</w:t>
            </w:r>
          </w:p>
          <w:p w14:paraId="0443C176">
            <w:pPr>
              <w:keepNext w:val="0"/>
              <w:keepLines w:val="0"/>
              <w:suppressLineNumbers w:val="0"/>
              <w:snapToGrid w:val="0"/>
              <w:spacing w:before="0" w:beforeAutospacing="0" w:after="0" w:afterAutospacing="0" w:line="360" w:lineRule="auto"/>
              <w:ind w:left="0" w:right="0"/>
              <w:rPr>
                <w:rFonts w:hint="eastAsia" w:ascii="仿宋" w:hAnsi="仿宋" w:eastAsia="仿宋" w:cs="仿宋"/>
                <w:b/>
                <w:color w:val="auto"/>
                <w:sz w:val="24"/>
                <w:szCs w:val="18"/>
                <w:highlight w:val="none"/>
              </w:rPr>
            </w:pP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lang w:val="en-US" w:eastAsia="zh-CN"/>
              </w:rPr>
              <w:t>6</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未提供方案的不得分。</w:t>
            </w:r>
          </w:p>
        </w:tc>
      </w:tr>
      <w:tr w14:paraId="4D97B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trPr>
        <w:tc>
          <w:tcPr>
            <w:tcW w:w="877" w:type="dxa"/>
            <w:vMerge w:val="restart"/>
            <w:noWrap w:val="0"/>
            <w:vAlign w:val="center"/>
          </w:tcPr>
          <w:p w14:paraId="69C60E1A">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color w:val="0000FF"/>
                <w:kern w:val="0"/>
                <w:sz w:val="24"/>
                <w:highlight w:val="none"/>
              </w:rPr>
            </w:pPr>
            <w:r>
              <w:rPr>
                <w:rFonts w:hint="eastAsia" w:ascii="仿宋" w:hAnsi="仿宋" w:eastAsia="仿宋" w:cs="仿宋"/>
                <w:sz w:val="24"/>
                <w:highlight w:val="none"/>
              </w:rPr>
              <w:t>3.2.3（2）技术部分</w:t>
            </w:r>
          </w:p>
        </w:tc>
        <w:tc>
          <w:tcPr>
            <w:tcW w:w="708" w:type="dxa"/>
            <w:noWrap w:val="0"/>
            <w:vAlign w:val="center"/>
          </w:tcPr>
          <w:p w14:paraId="1E2D99E4">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宋体" w:cs="Times New Roman"/>
                <w:color w:val="0000FF"/>
                <w:kern w:val="0"/>
                <w:sz w:val="24"/>
                <w:highlight w:val="none"/>
                <w:lang w:eastAsia="zh-CN"/>
              </w:rPr>
            </w:pPr>
            <w:r>
              <w:rPr>
                <w:rFonts w:hint="eastAsia" w:ascii="仿宋" w:hAnsi="仿宋" w:eastAsia="仿宋" w:cs="仿宋"/>
                <w:bCs/>
                <w:sz w:val="24"/>
                <w:szCs w:val="20"/>
                <w:highlight w:val="none"/>
                <w:lang w:val="en-US" w:eastAsia="zh-CN"/>
              </w:rPr>
              <w:t>8</w:t>
            </w:r>
          </w:p>
        </w:tc>
        <w:tc>
          <w:tcPr>
            <w:tcW w:w="1701" w:type="dxa"/>
            <w:noWrap w:val="0"/>
            <w:vAlign w:val="center"/>
          </w:tcPr>
          <w:p w14:paraId="09DB207C">
            <w:pPr>
              <w:keepNext w:val="0"/>
              <w:keepLines w:val="0"/>
              <w:widowControl/>
              <w:suppressLineNumbers w:val="0"/>
              <w:snapToGrid w:val="0"/>
              <w:spacing w:before="0" w:beforeAutospacing="0" w:after="0" w:afterAutospacing="0" w:line="360" w:lineRule="auto"/>
              <w:ind w:left="0" w:right="0"/>
              <w:jc w:val="center"/>
              <w:rPr>
                <w:rFonts w:hint="default" w:ascii="楷体" w:hAnsi="楷体" w:eastAsia="楷体" w:cs="Times New Roman"/>
                <w:color w:val="0000FF"/>
                <w:sz w:val="24"/>
                <w:highlight w:val="none"/>
              </w:rPr>
            </w:pPr>
            <w:r>
              <w:rPr>
                <w:rFonts w:hint="eastAsia" w:ascii="仿宋" w:hAnsi="仿宋" w:eastAsia="仿宋" w:cs="仿宋"/>
                <w:bCs/>
                <w:sz w:val="24"/>
                <w:szCs w:val="20"/>
                <w:highlight w:val="none"/>
              </w:rPr>
              <w:t>产品的技术参数（35分）</w:t>
            </w:r>
          </w:p>
        </w:tc>
        <w:tc>
          <w:tcPr>
            <w:tcW w:w="6237" w:type="dxa"/>
            <w:gridSpan w:val="2"/>
            <w:noWrap w:val="0"/>
            <w:vAlign w:val="center"/>
          </w:tcPr>
          <w:p w14:paraId="70B58976">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sz w:val="24"/>
                <w:szCs w:val="20"/>
                <w:highlight w:val="none"/>
                <w:lang w:val="en-US" w:eastAsia="zh-CN" w:bidi="ar-SA"/>
              </w:rPr>
              <w:t>1.根据投标文件与招标文件要求的核心参数（标记“■”的技术参数）偏离情况进行评分。每满足一项得3分，共2项，满分6分。</w:t>
            </w:r>
          </w:p>
          <w:p w14:paraId="5F506F70">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sz w:val="24"/>
                <w:szCs w:val="20"/>
                <w:highlight w:val="none"/>
                <w:lang w:val="en-US" w:eastAsia="zh-CN" w:bidi="ar-SA"/>
              </w:rPr>
              <w:t>2.根据投标文件与招标文件要求的重要参数（标记“●”的技术参数）偏离情况进行评分。每满足一项得2分，共4项，满分8分。</w:t>
            </w:r>
          </w:p>
          <w:p w14:paraId="677464FB">
            <w:pPr>
              <w:keepNext w:val="0"/>
              <w:keepLines w:val="0"/>
              <w:suppressLineNumbers w:val="0"/>
              <w:snapToGrid w:val="0"/>
              <w:spacing w:before="0" w:beforeAutospacing="0" w:after="0" w:afterAutospacing="0" w:line="360" w:lineRule="auto"/>
              <w:ind w:left="0" w:right="0"/>
              <w:rPr>
                <w:rFonts w:hint="eastAsia" w:ascii="仿宋" w:hAnsi="仿宋" w:eastAsia="仿宋" w:cs="仿宋"/>
                <w:bCs/>
                <w:color w:val="auto"/>
                <w:kern w:val="2"/>
                <w:sz w:val="24"/>
                <w:szCs w:val="20"/>
                <w:highlight w:val="none"/>
                <w:lang w:val="en-US" w:eastAsia="zh-CN" w:bidi="ar-SA"/>
              </w:rPr>
            </w:pPr>
            <w:r>
              <w:rPr>
                <w:rFonts w:hint="eastAsia" w:ascii="仿宋" w:hAnsi="仿宋" w:eastAsia="仿宋" w:cs="仿宋"/>
                <w:bCs/>
                <w:color w:val="auto"/>
                <w:kern w:val="2"/>
                <w:sz w:val="24"/>
                <w:szCs w:val="20"/>
                <w:highlight w:val="none"/>
                <w:lang w:val="en-US" w:eastAsia="zh-CN" w:bidi="ar-SA"/>
              </w:rPr>
              <w:t>3.根据投标文件与招标文件要求的一般参数(无标识技术参数)偏离情况进行评分。一般技术参数条款评审得分=（投标人满足一般技术参数条款的数量÷一般技术参数条款的总数量）×一般技术参数设定分值，保留小数点后两位，一般技术参数条款的总数量为21项，满分21分。</w:t>
            </w:r>
          </w:p>
          <w:p w14:paraId="7623FA58">
            <w:pPr>
              <w:keepNext w:val="0"/>
              <w:keepLines w:val="0"/>
              <w:suppressLineNumbers w:val="0"/>
              <w:snapToGrid w:val="0"/>
              <w:spacing w:before="0" w:beforeAutospacing="0" w:after="0" w:afterAutospacing="0" w:line="360" w:lineRule="auto"/>
              <w:ind w:left="0" w:right="0"/>
              <w:rPr>
                <w:rFonts w:hint="default" w:ascii="楷体" w:hAnsi="楷体" w:eastAsia="楷体" w:cs="Times New Roman"/>
                <w:color w:val="0000FF"/>
                <w:kern w:val="0"/>
                <w:sz w:val="24"/>
                <w:highlight w:val="none"/>
              </w:rPr>
            </w:pPr>
            <w:r>
              <w:rPr>
                <w:rFonts w:hint="eastAsia" w:ascii="仿宋" w:hAnsi="仿宋" w:eastAsia="仿宋" w:cs="仿宋"/>
                <w:b/>
                <w:bCs/>
                <w:color w:val="auto"/>
                <w:sz w:val="24"/>
                <w:szCs w:val="20"/>
                <w:highlight w:val="none"/>
              </w:rPr>
              <w:t>注：</w:t>
            </w:r>
            <w:r>
              <w:rPr>
                <w:rFonts w:hint="eastAsia" w:ascii="仿宋" w:hAnsi="仿宋" w:eastAsia="仿宋" w:cs="仿宋"/>
                <w:b/>
                <w:color w:val="auto"/>
                <w:sz w:val="24"/>
                <w:szCs w:val="18"/>
                <w:highlight w:val="none"/>
              </w:rPr>
              <w:t>对于标注</w:t>
            </w:r>
            <w:r>
              <w:rPr>
                <w:rFonts w:hint="eastAsia" w:ascii="仿宋" w:hAnsi="仿宋" w:eastAsia="仿宋" w:cs="仿宋"/>
                <w:bCs/>
                <w:color w:val="auto"/>
                <w:sz w:val="24"/>
                <w:szCs w:val="20"/>
                <w:highlight w:val="none"/>
                <w:lang w:bidi="ar"/>
              </w:rPr>
              <w:t>“</w:t>
            </w:r>
            <w:r>
              <w:rPr>
                <w:rFonts w:hint="eastAsia" w:ascii="仿宋" w:hAnsi="仿宋" w:eastAsia="仿宋" w:cs="仿宋"/>
                <w:color w:val="000000"/>
                <w:sz w:val="24"/>
                <w:highlight w:val="none"/>
              </w:rPr>
              <w:t>█</w:t>
            </w:r>
            <w:r>
              <w:rPr>
                <w:rFonts w:hint="eastAsia" w:ascii="仿宋" w:hAnsi="仿宋" w:eastAsia="仿宋" w:cs="仿宋"/>
                <w:bCs/>
                <w:color w:val="auto"/>
                <w:sz w:val="24"/>
                <w:szCs w:val="20"/>
                <w:highlight w:val="none"/>
                <w:lang w:bidi="ar"/>
              </w:rPr>
              <w:t>”</w:t>
            </w:r>
            <w:r>
              <w:rPr>
                <w:rFonts w:hint="eastAsia" w:ascii="仿宋" w:hAnsi="仿宋" w:eastAsia="仿宋" w:cs="仿宋"/>
                <w:bCs/>
                <w:color w:val="auto"/>
                <w:sz w:val="24"/>
                <w:szCs w:val="20"/>
                <w:highlight w:val="none"/>
                <w:lang w:eastAsia="zh-CN" w:bidi="ar"/>
              </w:rPr>
              <w:t>、</w:t>
            </w:r>
            <w:r>
              <w:rPr>
                <w:rFonts w:hint="eastAsia" w:ascii="仿宋" w:hAnsi="仿宋" w:eastAsia="仿宋" w:cs="仿宋"/>
                <w:bCs/>
                <w:color w:val="auto"/>
                <w:sz w:val="24"/>
                <w:szCs w:val="20"/>
                <w:highlight w:val="none"/>
                <w:lang w:bidi="ar"/>
              </w:rPr>
              <w:t>“</w:t>
            </w:r>
            <w:r>
              <w:rPr>
                <w:rFonts w:hint="eastAsia" w:ascii="仿宋" w:hAnsi="仿宋" w:eastAsia="仿宋" w:cs="仿宋"/>
                <w:color w:val="auto"/>
                <w:sz w:val="24"/>
                <w:highlight w:val="none"/>
                <w:lang w:bidi="ar"/>
              </w:rPr>
              <w:t>●</w:t>
            </w:r>
            <w:r>
              <w:rPr>
                <w:rFonts w:hint="eastAsia" w:ascii="仿宋" w:hAnsi="仿宋" w:eastAsia="仿宋" w:cs="仿宋"/>
                <w:bCs/>
                <w:color w:val="auto"/>
                <w:sz w:val="24"/>
                <w:szCs w:val="20"/>
                <w:highlight w:val="none"/>
                <w:lang w:bidi="ar"/>
              </w:rPr>
              <w:t>”</w:t>
            </w:r>
            <w:r>
              <w:rPr>
                <w:rFonts w:hint="eastAsia" w:ascii="仿宋" w:hAnsi="仿宋" w:eastAsia="仿宋" w:cs="仿宋"/>
                <w:b/>
                <w:color w:val="auto"/>
                <w:sz w:val="24"/>
                <w:szCs w:val="18"/>
                <w:highlight w:val="none"/>
              </w:rPr>
              <w:t>号项技术性能参数的响应情况，以招标文件明确要求的材料为准，若招标文件未明确要求则以所投产品制造商公开发布的资料或产品技术白皮书或产品彩页或检测机构出具的检测报告或功能界面截图或官网功能截图或评标委员会认可的其他证明材料为准。若所投产品制造商公开发布的资料与检测机构出具的检测报告不一致，以检测机构出具的检测报告为准。</w:t>
            </w:r>
          </w:p>
        </w:tc>
      </w:tr>
      <w:tr w14:paraId="3F581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877" w:type="dxa"/>
            <w:vMerge w:val="continue"/>
            <w:noWrap w:val="0"/>
            <w:vAlign w:val="center"/>
          </w:tcPr>
          <w:p w14:paraId="09378F4E">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sz w:val="24"/>
                <w:highlight w:val="none"/>
              </w:rPr>
            </w:pPr>
          </w:p>
        </w:tc>
        <w:tc>
          <w:tcPr>
            <w:tcW w:w="708" w:type="dxa"/>
            <w:noWrap w:val="0"/>
            <w:vAlign w:val="center"/>
          </w:tcPr>
          <w:p w14:paraId="58BE2170">
            <w:pPr>
              <w:keepNext w:val="0"/>
              <w:keepLines w:val="0"/>
              <w:widowControl/>
              <w:suppressLineNumbers w:val="0"/>
              <w:snapToGrid w:val="0"/>
              <w:spacing w:before="0" w:beforeAutospacing="0" w:after="0" w:afterAutospacing="0" w:line="288" w:lineRule="auto"/>
              <w:ind w:left="0" w:right="0"/>
              <w:jc w:val="center"/>
              <w:rPr>
                <w:rFonts w:hint="eastAsia" w:ascii="仿宋" w:hAnsi="仿宋" w:eastAsia="仿宋" w:cs="仿宋"/>
                <w:bCs/>
                <w:sz w:val="24"/>
                <w:szCs w:val="20"/>
                <w:highlight w:val="none"/>
                <w:lang w:eastAsia="zh-CN"/>
              </w:rPr>
            </w:pPr>
            <w:r>
              <w:rPr>
                <w:rFonts w:hint="eastAsia" w:ascii="仿宋" w:hAnsi="仿宋" w:eastAsia="仿宋" w:cs="仿宋"/>
                <w:bCs/>
                <w:sz w:val="24"/>
                <w:szCs w:val="20"/>
                <w:highlight w:val="none"/>
                <w:lang w:val="en-US" w:eastAsia="zh-CN"/>
              </w:rPr>
              <w:t>9</w:t>
            </w:r>
          </w:p>
        </w:tc>
        <w:tc>
          <w:tcPr>
            <w:tcW w:w="1701" w:type="dxa"/>
            <w:noWrap w:val="0"/>
            <w:vAlign w:val="center"/>
          </w:tcPr>
          <w:p w14:paraId="7DBBA971">
            <w:pPr>
              <w:keepNext w:val="0"/>
              <w:keepLines w:val="0"/>
              <w:widowControl/>
              <w:suppressLineNumbers w:val="0"/>
              <w:snapToGrid w:val="0"/>
              <w:spacing w:before="0" w:beforeAutospacing="0" w:after="0" w:afterAutospacing="0" w:line="360" w:lineRule="auto"/>
              <w:ind w:left="0" w:right="0"/>
              <w:jc w:val="center"/>
              <w:rPr>
                <w:rFonts w:hint="eastAsia" w:ascii="仿宋" w:hAnsi="仿宋" w:eastAsia="仿宋" w:cs="仿宋"/>
                <w:bCs/>
                <w:sz w:val="24"/>
                <w:szCs w:val="20"/>
                <w:highlight w:val="none"/>
              </w:rPr>
            </w:pPr>
            <w:r>
              <w:rPr>
                <w:rFonts w:hint="eastAsia" w:ascii="仿宋" w:hAnsi="仿宋" w:eastAsia="仿宋" w:cs="仿宋"/>
                <w:bCs/>
                <w:sz w:val="24"/>
                <w:szCs w:val="20"/>
                <w:highlight w:val="none"/>
              </w:rPr>
              <w:t>产品综合评价（</w:t>
            </w:r>
            <w:r>
              <w:rPr>
                <w:rFonts w:hint="eastAsia" w:ascii="仿宋" w:hAnsi="仿宋" w:eastAsia="仿宋" w:cs="仿宋"/>
                <w:bCs/>
                <w:sz w:val="24"/>
                <w:szCs w:val="20"/>
                <w:highlight w:val="none"/>
                <w:lang w:val="en-US" w:eastAsia="zh-CN"/>
              </w:rPr>
              <w:t>4</w:t>
            </w:r>
            <w:r>
              <w:rPr>
                <w:rFonts w:hint="eastAsia" w:ascii="仿宋" w:hAnsi="仿宋" w:eastAsia="仿宋" w:cs="仿宋"/>
                <w:bCs/>
                <w:sz w:val="24"/>
                <w:szCs w:val="20"/>
                <w:highlight w:val="none"/>
              </w:rPr>
              <w:t>分）</w:t>
            </w:r>
          </w:p>
        </w:tc>
        <w:tc>
          <w:tcPr>
            <w:tcW w:w="6237" w:type="dxa"/>
            <w:gridSpan w:val="2"/>
            <w:noWrap w:val="0"/>
            <w:vAlign w:val="center"/>
          </w:tcPr>
          <w:p w14:paraId="0ABB32B0">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textAlignment w:val="auto"/>
              <w:rPr>
                <w:rFonts w:hint="eastAsia" w:ascii="仿宋" w:hAnsi="仿宋" w:eastAsia="仿宋" w:cs="仿宋"/>
                <w:bCs/>
                <w:sz w:val="24"/>
                <w:szCs w:val="20"/>
                <w:highlight w:val="none"/>
                <w:lang w:eastAsia="zh-CN"/>
              </w:rPr>
            </w:pPr>
            <w:r>
              <w:rPr>
                <w:rFonts w:hint="eastAsia" w:ascii="仿宋" w:hAnsi="仿宋" w:eastAsia="仿宋" w:cs="仿宋"/>
                <w:bCs/>
                <w:sz w:val="24"/>
                <w:szCs w:val="20"/>
                <w:highlight w:val="none"/>
              </w:rPr>
              <w:t>评标委员会根据投标人所投产品的技术先进性、设备性能、</w:t>
            </w:r>
            <w:r>
              <w:rPr>
                <w:rFonts w:hint="eastAsia" w:ascii="仿宋" w:hAnsi="仿宋" w:eastAsia="仿宋" w:cs="仿宋"/>
                <w:bCs/>
                <w:sz w:val="24"/>
                <w:szCs w:val="20"/>
                <w:highlight w:val="none"/>
                <w:lang w:val="en-US" w:eastAsia="zh-CN"/>
              </w:rPr>
              <w:t>配置情况</w:t>
            </w:r>
            <w:r>
              <w:rPr>
                <w:rFonts w:hint="eastAsia" w:ascii="仿宋" w:hAnsi="仿宋" w:eastAsia="仿宋" w:cs="仿宋"/>
                <w:bCs/>
                <w:sz w:val="24"/>
                <w:szCs w:val="20"/>
                <w:highlight w:val="none"/>
              </w:rPr>
              <w:t>、</w:t>
            </w:r>
            <w:r>
              <w:rPr>
                <w:rFonts w:hint="eastAsia" w:ascii="仿宋" w:hAnsi="仿宋" w:eastAsia="仿宋" w:cs="仿宋"/>
                <w:bCs/>
                <w:sz w:val="24"/>
                <w:szCs w:val="20"/>
                <w:highlight w:val="none"/>
                <w:lang w:val="en-US" w:eastAsia="zh-CN"/>
              </w:rPr>
              <w:t>设计</w:t>
            </w:r>
            <w:r>
              <w:rPr>
                <w:rFonts w:hint="eastAsia" w:ascii="仿宋" w:hAnsi="仿宋" w:eastAsia="仿宋" w:cs="仿宋"/>
                <w:bCs/>
                <w:sz w:val="24"/>
                <w:szCs w:val="20"/>
                <w:highlight w:val="none"/>
              </w:rPr>
              <w:t>等方面进行评分</w:t>
            </w:r>
            <w:r>
              <w:rPr>
                <w:rFonts w:hint="eastAsia" w:ascii="仿宋" w:hAnsi="仿宋" w:eastAsia="仿宋" w:cs="仿宋"/>
                <w:bCs/>
                <w:sz w:val="24"/>
                <w:szCs w:val="20"/>
                <w:highlight w:val="none"/>
                <w:lang w:eastAsia="zh-CN"/>
              </w:rPr>
              <w:t>。</w:t>
            </w:r>
          </w:p>
          <w:p w14:paraId="239D1740">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eastAsia" w:ascii="仿宋" w:hAnsi="仿宋" w:eastAsia="仿宋" w:cs="仿宋"/>
                <w:bCs/>
                <w:sz w:val="24"/>
                <w:szCs w:val="20"/>
                <w:highlight w:val="none"/>
                <w:lang w:eastAsia="zh-CN"/>
              </w:rPr>
            </w:pPr>
            <w:r>
              <w:rPr>
                <w:rFonts w:hint="eastAsia" w:ascii="仿宋" w:hAnsi="仿宋" w:eastAsia="仿宋" w:cs="仿宋"/>
                <w:bCs/>
                <w:sz w:val="24"/>
                <w:szCs w:val="20"/>
                <w:highlight w:val="none"/>
                <w:lang w:val="en-US" w:eastAsia="zh-CN"/>
              </w:rPr>
              <w:t>1.所投产品</w:t>
            </w:r>
            <w:r>
              <w:rPr>
                <w:rFonts w:hint="eastAsia" w:ascii="仿宋" w:hAnsi="仿宋" w:eastAsia="仿宋" w:cs="仿宋"/>
                <w:bCs/>
                <w:sz w:val="24"/>
                <w:szCs w:val="20"/>
                <w:highlight w:val="none"/>
              </w:rPr>
              <w:t>技术先进</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设备性能</w:t>
            </w:r>
            <w:r>
              <w:rPr>
                <w:rFonts w:hint="eastAsia" w:ascii="仿宋" w:hAnsi="仿宋" w:eastAsia="仿宋" w:cs="仿宋"/>
                <w:bCs/>
                <w:sz w:val="24"/>
                <w:szCs w:val="20"/>
                <w:highlight w:val="none"/>
                <w:lang w:val="en-US" w:eastAsia="zh-CN"/>
              </w:rPr>
              <w:t>稳定</w:t>
            </w:r>
            <w:r>
              <w:rPr>
                <w:rFonts w:hint="eastAsia" w:ascii="仿宋" w:hAnsi="仿宋" w:eastAsia="仿宋" w:cs="仿宋"/>
                <w:bCs/>
                <w:sz w:val="24"/>
                <w:szCs w:val="20"/>
                <w:highlight w:val="none"/>
                <w:lang w:eastAsia="zh-CN"/>
              </w:rPr>
              <w:t>，</w:t>
            </w:r>
            <w:r>
              <w:rPr>
                <w:rFonts w:hint="eastAsia" w:ascii="仿宋" w:hAnsi="仿宋" w:eastAsia="仿宋" w:cs="仿宋"/>
                <w:bCs/>
                <w:sz w:val="24"/>
                <w:szCs w:val="20"/>
                <w:highlight w:val="none"/>
              </w:rPr>
              <w:t>产品配置丰富、设计人性化的得</w:t>
            </w:r>
            <w:r>
              <w:rPr>
                <w:rFonts w:hint="eastAsia" w:ascii="仿宋" w:hAnsi="仿宋" w:eastAsia="仿宋" w:cs="仿宋"/>
                <w:bCs/>
                <w:sz w:val="24"/>
                <w:szCs w:val="20"/>
                <w:highlight w:val="none"/>
                <w:lang w:val="en-US" w:eastAsia="zh-CN"/>
              </w:rPr>
              <w:t>4</w:t>
            </w:r>
            <w:r>
              <w:rPr>
                <w:rFonts w:hint="eastAsia" w:ascii="仿宋" w:hAnsi="仿宋" w:eastAsia="仿宋" w:cs="仿宋"/>
                <w:bCs/>
                <w:sz w:val="24"/>
                <w:szCs w:val="20"/>
                <w:highlight w:val="none"/>
              </w:rPr>
              <w:t>分</w:t>
            </w:r>
            <w:r>
              <w:rPr>
                <w:rFonts w:hint="eastAsia" w:ascii="仿宋" w:hAnsi="仿宋" w:eastAsia="仿宋" w:cs="仿宋"/>
                <w:bCs/>
                <w:sz w:val="24"/>
                <w:szCs w:val="20"/>
                <w:highlight w:val="none"/>
                <w:lang w:eastAsia="zh-CN"/>
              </w:rPr>
              <w:t>；</w:t>
            </w:r>
          </w:p>
          <w:p w14:paraId="788535C3">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Calibri" w:hAnsi="Calibri" w:cs="Times New Roman"/>
                <w:highlight w:val="none"/>
              </w:rPr>
            </w:pPr>
            <w:r>
              <w:rPr>
                <w:rFonts w:hint="eastAsia" w:ascii="仿宋" w:hAnsi="仿宋" w:eastAsia="仿宋" w:cs="仿宋"/>
                <w:bCs/>
                <w:sz w:val="24"/>
                <w:szCs w:val="20"/>
                <w:highlight w:val="none"/>
                <w:lang w:val="en-US" w:eastAsia="zh-CN"/>
              </w:rPr>
              <w:t>2.</w:t>
            </w:r>
            <w:r>
              <w:rPr>
                <w:rFonts w:hint="eastAsia" w:ascii="仿宋" w:hAnsi="仿宋" w:eastAsia="仿宋" w:cs="仿宋"/>
                <w:bCs/>
                <w:sz w:val="24"/>
                <w:szCs w:val="20"/>
                <w:highlight w:val="none"/>
              </w:rPr>
              <w:t>所投产品技术</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先进，设备性能</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稳定，产品配置</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丰富、设计</w:t>
            </w:r>
            <w:r>
              <w:rPr>
                <w:rFonts w:hint="eastAsia" w:ascii="仿宋" w:hAnsi="仿宋" w:eastAsia="仿宋" w:cs="仿宋"/>
                <w:bCs/>
                <w:sz w:val="24"/>
                <w:szCs w:val="20"/>
                <w:highlight w:val="none"/>
                <w:lang w:val="en-US" w:eastAsia="zh-CN"/>
              </w:rPr>
              <w:t>较</w:t>
            </w:r>
            <w:r>
              <w:rPr>
                <w:rFonts w:hint="eastAsia" w:ascii="仿宋" w:hAnsi="仿宋" w:eastAsia="仿宋" w:cs="仿宋"/>
                <w:bCs/>
                <w:sz w:val="24"/>
                <w:szCs w:val="20"/>
                <w:highlight w:val="none"/>
              </w:rPr>
              <w:t>人性化的得</w:t>
            </w:r>
            <w:r>
              <w:rPr>
                <w:rFonts w:hint="eastAsia" w:ascii="仿宋" w:hAnsi="仿宋" w:eastAsia="仿宋" w:cs="仿宋"/>
                <w:bCs/>
                <w:sz w:val="24"/>
                <w:szCs w:val="20"/>
                <w:highlight w:val="none"/>
                <w:lang w:val="en-US" w:eastAsia="zh-CN"/>
              </w:rPr>
              <w:t>2</w:t>
            </w:r>
            <w:r>
              <w:rPr>
                <w:rFonts w:hint="eastAsia" w:ascii="仿宋" w:hAnsi="仿宋" w:eastAsia="仿宋" w:cs="仿宋"/>
                <w:bCs/>
                <w:sz w:val="24"/>
                <w:szCs w:val="20"/>
                <w:highlight w:val="none"/>
              </w:rPr>
              <w:t>分；</w:t>
            </w:r>
          </w:p>
          <w:p w14:paraId="6DA4417B">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Calibri" w:hAnsi="Calibri" w:cs="Times New Roman"/>
                <w:highlight w:val="none"/>
              </w:rPr>
            </w:pPr>
            <w:r>
              <w:rPr>
                <w:rFonts w:hint="eastAsia" w:ascii="仿宋" w:hAnsi="仿宋" w:eastAsia="仿宋" w:cs="仿宋"/>
                <w:bCs/>
                <w:sz w:val="24"/>
                <w:szCs w:val="20"/>
                <w:highlight w:val="none"/>
                <w:lang w:val="en-US" w:eastAsia="zh-CN"/>
              </w:rPr>
              <w:t>3.</w:t>
            </w:r>
            <w:r>
              <w:rPr>
                <w:rFonts w:hint="eastAsia" w:ascii="仿宋" w:hAnsi="仿宋" w:eastAsia="仿宋" w:cs="仿宋"/>
                <w:bCs/>
                <w:sz w:val="24"/>
                <w:szCs w:val="20"/>
                <w:highlight w:val="none"/>
              </w:rPr>
              <w:t>所投产品技术待提升、性能稳定措施待加强，配置待优化、设计待提高的得</w:t>
            </w:r>
            <w:r>
              <w:rPr>
                <w:rFonts w:hint="eastAsia" w:ascii="仿宋" w:hAnsi="仿宋" w:eastAsia="仿宋" w:cs="仿宋"/>
                <w:bCs/>
                <w:sz w:val="24"/>
                <w:szCs w:val="20"/>
                <w:highlight w:val="none"/>
                <w:lang w:val="en-US" w:eastAsia="zh-CN"/>
              </w:rPr>
              <w:t>1</w:t>
            </w:r>
            <w:r>
              <w:rPr>
                <w:rFonts w:hint="eastAsia" w:ascii="仿宋" w:hAnsi="仿宋" w:eastAsia="仿宋" w:cs="仿宋"/>
                <w:bCs/>
                <w:sz w:val="24"/>
                <w:szCs w:val="20"/>
                <w:highlight w:val="none"/>
              </w:rPr>
              <w:t>分</w:t>
            </w:r>
            <w:r>
              <w:rPr>
                <w:rFonts w:hint="eastAsia" w:ascii="仿宋" w:hAnsi="仿宋" w:eastAsia="仿宋" w:cs="仿宋"/>
                <w:bCs/>
                <w:sz w:val="24"/>
                <w:szCs w:val="20"/>
                <w:highlight w:val="none"/>
                <w:lang w:eastAsia="zh-CN"/>
              </w:rPr>
              <w:t>。</w:t>
            </w:r>
          </w:p>
          <w:p w14:paraId="33907792">
            <w:pPr>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360" w:lineRule="auto"/>
              <w:ind w:left="0" w:leftChars="0" w:right="0" w:firstLine="0" w:firstLineChars="0"/>
              <w:textAlignment w:val="auto"/>
              <w:rPr>
                <w:rFonts w:hint="eastAsia" w:ascii="仿宋" w:hAnsi="仿宋" w:eastAsia="仿宋" w:cs="仿宋"/>
                <w:bCs/>
                <w:sz w:val="24"/>
                <w:szCs w:val="20"/>
                <w:highlight w:val="none"/>
              </w:rPr>
            </w:pPr>
            <w:r>
              <w:rPr>
                <w:rFonts w:hint="eastAsia" w:ascii="仿宋" w:hAnsi="仿宋" w:eastAsia="仿宋" w:cs="仿宋"/>
                <w:bCs/>
                <w:sz w:val="24"/>
                <w:szCs w:val="20"/>
                <w:highlight w:val="none"/>
              </w:rPr>
              <w:t>注：投标文件中提供所投产品技术、性能、 配置、设计等方面的相关说明或证明材料，说明或证明材料无固定形式，未提供任何材料导致无法评审的，相应项不得分。</w:t>
            </w:r>
          </w:p>
        </w:tc>
      </w:tr>
      <w:tr w14:paraId="2E674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877" w:type="dxa"/>
            <w:noWrap w:val="0"/>
            <w:vAlign w:val="center"/>
          </w:tcPr>
          <w:p w14:paraId="5C31F2D3">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kern w:val="0"/>
                <w:sz w:val="24"/>
                <w:highlight w:val="none"/>
              </w:rPr>
            </w:pPr>
            <w:r>
              <w:rPr>
                <w:rFonts w:hint="eastAsia" w:ascii="宋体" w:hAnsi="宋体" w:eastAsia="仿宋" w:cs="Times New Roman"/>
                <w:kern w:val="0"/>
                <w:sz w:val="24"/>
                <w:highlight w:val="none"/>
              </w:rPr>
              <w:t>3.2.3（3）</w:t>
            </w:r>
          </w:p>
          <w:p w14:paraId="0AB37A1B">
            <w:pPr>
              <w:keepNext w:val="0"/>
              <w:keepLines w:val="0"/>
              <w:widowControl/>
              <w:suppressLineNumbers w:val="0"/>
              <w:snapToGrid w:val="0"/>
              <w:spacing w:before="0" w:beforeAutospacing="0" w:after="0" w:afterAutospacing="0" w:line="288" w:lineRule="auto"/>
              <w:ind w:left="0" w:right="0"/>
              <w:jc w:val="center"/>
              <w:rPr>
                <w:rFonts w:hint="eastAsia" w:ascii="宋体" w:hAnsi="宋体" w:eastAsia="仿宋" w:cs="Times New Roman"/>
                <w:kern w:val="0"/>
                <w:sz w:val="24"/>
                <w:highlight w:val="none"/>
              </w:rPr>
            </w:pPr>
            <w:r>
              <w:rPr>
                <w:rFonts w:hint="eastAsia" w:ascii="宋体" w:hAnsi="宋体" w:eastAsia="仿宋" w:cs="Times New Roman"/>
                <w:kern w:val="0"/>
                <w:sz w:val="24"/>
                <w:highlight w:val="none"/>
              </w:rPr>
              <w:t>投标</w:t>
            </w:r>
          </w:p>
          <w:p w14:paraId="2F169737">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kern w:val="0"/>
                <w:sz w:val="24"/>
                <w:highlight w:val="none"/>
              </w:rPr>
            </w:pPr>
            <w:r>
              <w:rPr>
                <w:rFonts w:hint="eastAsia" w:ascii="宋体" w:hAnsi="宋体" w:eastAsia="仿宋" w:cs="Times New Roman"/>
                <w:kern w:val="0"/>
                <w:sz w:val="24"/>
                <w:highlight w:val="none"/>
              </w:rPr>
              <w:t>报价</w:t>
            </w:r>
          </w:p>
        </w:tc>
        <w:tc>
          <w:tcPr>
            <w:tcW w:w="708" w:type="dxa"/>
            <w:noWrap w:val="0"/>
            <w:vAlign w:val="center"/>
          </w:tcPr>
          <w:p w14:paraId="1946C574">
            <w:pPr>
              <w:keepNext w:val="0"/>
              <w:keepLines w:val="0"/>
              <w:widowControl/>
              <w:suppressLineNumbers w:val="0"/>
              <w:snapToGrid w:val="0"/>
              <w:spacing w:before="0" w:beforeAutospacing="0" w:after="0" w:afterAutospacing="0" w:line="288" w:lineRule="auto"/>
              <w:ind w:left="0" w:right="0"/>
              <w:jc w:val="center"/>
              <w:rPr>
                <w:rFonts w:hint="eastAsia" w:ascii="宋体" w:hAnsi="宋体" w:cs="Times New Roman"/>
                <w:kern w:val="0"/>
                <w:sz w:val="24"/>
                <w:highlight w:val="none"/>
              </w:rPr>
            </w:pPr>
            <w:r>
              <w:rPr>
                <w:rFonts w:hint="eastAsia" w:ascii="宋体" w:hAnsi="宋体" w:eastAsia="仿宋" w:cs="Times New Roman"/>
                <w:kern w:val="0"/>
                <w:sz w:val="24"/>
                <w:highlight w:val="none"/>
              </w:rPr>
              <w:t>1</w:t>
            </w:r>
          </w:p>
        </w:tc>
        <w:tc>
          <w:tcPr>
            <w:tcW w:w="1701" w:type="dxa"/>
            <w:noWrap w:val="0"/>
            <w:vAlign w:val="center"/>
          </w:tcPr>
          <w:p w14:paraId="69118748">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cs="Times New Roman"/>
                <w:sz w:val="24"/>
                <w:highlight w:val="none"/>
              </w:rPr>
            </w:pPr>
            <w:r>
              <w:rPr>
                <w:rFonts w:hint="eastAsia" w:ascii="宋体" w:hAnsi="宋体" w:eastAsia="仿宋" w:cs="Times New Roman"/>
                <w:sz w:val="24"/>
                <w:highlight w:val="none"/>
              </w:rPr>
              <w:t>投标报价得分计算</w:t>
            </w:r>
          </w:p>
        </w:tc>
        <w:tc>
          <w:tcPr>
            <w:tcW w:w="4253" w:type="dxa"/>
            <w:noWrap w:val="0"/>
            <w:vAlign w:val="center"/>
          </w:tcPr>
          <w:p w14:paraId="310C00FE">
            <w:pPr>
              <w:keepNext w:val="0"/>
              <w:keepLines w:val="0"/>
              <w:widowControl/>
              <w:suppressLineNumbers w:val="0"/>
              <w:snapToGrid w:val="0"/>
              <w:spacing w:before="0" w:beforeAutospacing="0" w:after="0" w:afterAutospacing="0" w:line="360" w:lineRule="auto"/>
              <w:ind w:left="0" w:right="0"/>
              <w:rPr>
                <w:rFonts w:hint="eastAsia" w:ascii="宋体" w:hAnsi="宋体" w:eastAsia="仿宋" w:cs="Times New Roman"/>
                <w:sz w:val="24"/>
                <w:highlight w:val="none"/>
              </w:rPr>
            </w:pPr>
            <w:r>
              <w:rPr>
                <w:rFonts w:hint="eastAsia" w:ascii="宋体" w:hAnsi="宋体" w:eastAsia="仿宋" w:cs="Times New Roman"/>
                <w:sz w:val="24"/>
                <w:highlight w:val="none"/>
              </w:rPr>
              <w:t>满足招标文件要求且投标价格最低的投标报价的价格分为满分，其他投标人的价格分统一按照下列公式计算：</w:t>
            </w:r>
          </w:p>
          <w:p w14:paraId="7CF2E635">
            <w:pPr>
              <w:keepNext w:val="0"/>
              <w:keepLines w:val="0"/>
              <w:widowControl/>
              <w:suppressLineNumbers w:val="0"/>
              <w:snapToGrid w:val="0"/>
              <w:spacing w:before="0" w:beforeAutospacing="0" w:after="0" w:afterAutospacing="0" w:line="360" w:lineRule="auto"/>
              <w:ind w:left="0" w:right="0"/>
              <w:rPr>
                <w:rFonts w:hint="eastAsia" w:ascii="宋体" w:hAnsi="宋体" w:eastAsia="仿宋" w:cs="Times New Roman"/>
                <w:sz w:val="24"/>
                <w:highlight w:val="none"/>
              </w:rPr>
            </w:pPr>
            <w:r>
              <w:rPr>
                <w:rFonts w:hint="eastAsia" w:ascii="宋体" w:hAnsi="宋体" w:eastAsia="仿宋" w:cs="Times New Roman"/>
                <w:sz w:val="24"/>
                <w:highlight w:val="none"/>
              </w:rPr>
              <w:t>投标报价得分＝（评标基准价/投标报价）×投标报价满分分值。</w:t>
            </w:r>
          </w:p>
        </w:tc>
        <w:tc>
          <w:tcPr>
            <w:tcW w:w="1984" w:type="dxa"/>
            <w:noWrap w:val="0"/>
            <w:vAlign w:val="center"/>
          </w:tcPr>
          <w:p w14:paraId="39097B90">
            <w:pPr>
              <w:keepNext w:val="0"/>
              <w:keepLines w:val="0"/>
              <w:widowControl/>
              <w:suppressLineNumbers w:val="0"/>
              <w:snapToGrid w:val="0"/>
              <w:spacing w:before="0" w:beforeAutospacing="0" w:after="0" w:afterAutospacing="0" w:line="360" w:lineRule="auto"/>
              <w:ind w:left="0" w:right="0"/>
              <w:rPr>
                <w:rFonts w:hint="eastAsia" w:ascii="宋体" w:hAnsi="宋体" w:eastAsia="仿宋" w:cs="Times New Roman"/>
                <w:sz w:val="24"/>
                <w:highlight w:val="none"/>
              </w:rPr>
            </w:pPr>
            <w:r>
              <w:rPr>
                <w:rFonts w:hint="eastAsia" w:ascii="宋体" w:hAnsi="宋体" w:eastAsia="仿宋" w:cs="Times New Roman"/>
                <w:sz w:val="24"/>
                <w:highlight w:val="none"/>
              </w:rPr>
              <w:t>符合价格扣除政策的，用扣除后的价格参与计算、评分</w:t>
            </w:r>
          </w:p>
        </w:tc>
      </w:tr>
    </w:tbl>
    <w:p w14:paraId="454A0EF6">
      <w:pPr>
        <w:pStyle w:val="157"/>
        <w:adjustRightInd w:val="0"/>
        <w:snapToGrid w:val="0"/>
        <w:spacing w:before="0" w:line="240" w:lineRule="auto"/>
        <w:rPr>
          <w:rFonts w:hint="eastAsia" w:ascii="宋体" w:hAnsi="宋体" w:eastAsia="仿宋"/>
          <w:bCs/>
          <w:color w:val="0000FF"/>
          <w:sz w:val="24"/>
          <w:szCs w:val="24"/>
          <w:highlight w:val="none"/>
        </w:rPr>
      </w:pPr>
    </w:p>
    <w:p w14:paraId="2D5A9A5C">
      <w:pPr>
        <w:pStyle w:val="3"/>
        <w:widowControl/>
        <w:adjustRightInd w:val="0"/>
        <w:spacing w:before="0" w:after="0" w:line="360" w:lineRule="auto"/>
        <w:ind w:firstLine="482" w:firstLineChars="200"/>
        <w:rPr>
          <w:rFonts w:ascii="宋体" w:hAnsi="宋体" w:eastAsia="仿宋"/>
          <w:bCs w:val="0"/>
          <w:color w:val="0000FF"/>
          <w:sz w:val="24"/>
          <w:szCs w:val="24"/>
          <w:highlight w:val="none"/>
        </w:rPr>
      </w:pPr>
      <w:bookmarkStart w:id="830" w:name="_Toc445554766"/>
    </w:p>
    <w:p w14:paraId="0FDF0808">
      <w:pPr>
        <w:rPr>
          <w:rFonts w:hint="default" w:ascii="宋体" w:hAnsi="宋体" w:eastAsia="仿宋"/>
          <w:bCs/>
          <w:color w:val="0000FF"/>
          <w:sz w:val="24"/>
          <w:szCs w:val="24"/>
          <w:highlight w:val="none"/>
          <w:lang w:val="en-US" w:eastAsia="zh-CN"/>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17432523">
      <w:pPr>
        <w:pStyle w:val="3"/>
        <w:widowControl/>
        <w:adjustRightInd w:val="0"/>
        <w:spacing w:before="0" w:after="0" w:line="360" w:lineRule="auto"/>
        <w:ind w:firstLine="482" w:firstLineChars="200"/>
        <w:rPr>
          <w:rFonts w:ascii="宋体" w:hAnsi="宋体" w:eastAsia="仿宋"/>
          <w:bCs w:val="0"/>
          <w:sz w:val="24"/>
          <w:szCs w:val="24"/>
          <w:highlight w:val="none"/>
        </w:rPr>
      </w:pPr>
      <w:bookmarkStart w:id="831" w:name="_Toc455587098"/>
      <w:bookmarkStart w:id="832" w:name="_Toc466024565"/>
      <w:bookmarkStart w:id="833" w:name="_Toc455587282"/>
      <w:r>
        <w:rPr>
          <w:rFonts w:hint="eastAsia" w:ascii="宋体" w:hAnsi="宋体" w:eastAsia="仿宋"/>
          <w:bCs w:val="0"/>
          <w:sz w:val="24"/>
          <w:szCs w:val="24"/>
          <w:highlight w:val="none"/>
        </w:rPr>
        <w:t>1. 评标方法</w:t>
      </w:r>
      <w:bookmarkEnd w:id="830"/>
      <w:bookmarkEnd w:id="831"/>
      <w:bookmarkEnd w:id="832"/>
      <w:bookmarkEnd w:id="833"/>
    </w:p>
    <w:p w14:paraId="5033C1D9">
      <w:pPr>
        <w:pStyle w:val="156"/>
        <w:adjustRightInd w:val="0"/>
        <w:snapToGrid w:val="0"/>
        <w:spacing w:line="360" w:lineRule="auto"/>
        <w:ind w:firstLine="480" w:firstLineChars="200"/>
        <w:rPr>
          <w:rFonts w:hint="eastAsia" w:ascii="ˎ̥" w:hAnsi="ˎ̥" w:eastAsia="仿宋" w:cs="宋体"/>
          <w:sz w:val="24"/>
          <w:szCs w:val="24"/>
          <w:highlight w:val="none"/>
        </w:rPr>
      </w:pPr>
      <w:r>
        <w:rPr>
          <w:rFonts w:hint="eastAsia" w:ascii="ˎ̥" w:hAnsi="ˎ̥" w:eastAsia="仿宋" w:cs="宋体"/>
          <w:sz w:val="24"/>
          <w:szCs w:val="24"/>
          <w:highlight w:val="none"/>
        </w:rPr>
        <w:t>本次评标采用综合评分法。评标委员会</w:t>
      </w:r>
      <w:r>
        <w:rPr>
          <w:rFonts w:ascii="ˎ̥" w:hAnsi="ˎ̥" w:eastAsia="仿宋" w:cs="宋体"/>
          <w:sz w:val="24"/>
          <w:szCs w:val="24"/>
          <w:highlight w:val="none"/>
        </w:rPr>
        <w:t>按照</w:t>
      </w:r>
      <w:r>
        <w:rPr>
          <w:rFonts w:hint="eastAsia" w:ascii="Cambria Math" w:hAnsi="Cambria Math" w:eastAsia="仿宋" w:cs="Calibri"/>
          <w:sz w:val="24"/>
          <w:szCs w:val="24"/>
          <w:highlight w:val="none"/>
        </w:rPr>
        <w:t>本章</w:t>
      </w:r>
      <w:r>
        <w:rPr>
          <w:rFonts w:hint="eastAsia" w:ascii="ˎ̥" w:hAnsi="ˎ̥" w:eastAsia="仿宋" w:cs="宋体"/>
          <w:sz w:val="24"/>
          <w:szCs w:val="24"/>
          <w:highlight w:val="none"/>
        </w:rPr>
        <w:t>第二节</w:t>
      </w:r>
      <w:r>
        <w:rPr>
          <w:rFonts w:hint="eastAsia" w:ascii="Cambria Math" w:hAnsi="Cambria Math" w:eastAsia="仿宋" w:cs="Calibri"/>
          <w:sz w:val="24"/>
          <w:szCs w:val="24"/>
          <w:highlight w:val="none"/>
        </w:rPr>
        <w:t>第</w:t>
      </w:r>
      <w:r>
        <w:rPr>
          <w:rFonts w:hint="eastAsia" w:ascii="仿宋" w:hAnsi="仿宋" w:eastAsia="仿宋" w:cs="仿宋"/>
          <w:sz w:val="24"/>
          <w:szCs w:val="24"/>
          <w:highlight w:val="none"/>
        </w:rPr>
        <w:t>3</w:t>
      </w:r>
      <w:r>
        <w:rPr>
          <w:rFonts w:hint="eastAsia" w:ascii="Cambria Math" w:hAnsi="Cambria Math" w:eastAsia="仿宋" w:cs="Calibri"/>
          <w:sz w:val="24"/>
          <w:szCs w:val="24"/>
          <w:highlight w:val="none"/>
        </w:rPr>
        <w:t>条规定的评审标准</w:t>
      </w:r>
      <w:r>
        <w:rPr>
          <w:rFonts w:hint="eastAsia" w:ascii="ˎ̥" w:hAnsi="ˎ̥" w:eastAsia="仿宋" w:cs="宋体"/>
          <w:sz w:val="24"/>
          <w:szCs w:val="24"/>
          <w:highlight w:val="none"/>
        </w:rPr>
        <w:t>对通过资格审查的</w:t>
      </w:r>
      <w:r>
        <w:rPr>
          <w:rFonts w:ascii="ˎ̥" w:hAnsi="ˎ̥" w:eastAsia="仿宋" w:cs="宋体"/>
          <w:sz w:val="24"/>
          <w:szCs w:val="24"/>
          <w:highlight w:val="none"/>
        </w:rPr>
        <w:t>投标文件</w:t>
      </w:r>
      <w:r>
        <w:rPr>
          <w:rFonts w:hint="eastAsia" w:ascii="ˎ̥" w:hAnsi="ˎ̥" w:eastAsia="仿宋" w:cs="宋体"/>
          <w:sz w:val="24"/>
          <w:szCs w:val="24"/>
          <w:highlight w:val="none"/>
        </w:rPr>
        <w:t>进行评审，在投标文件满足招标文件全部实质性要求的投标人中，按总</w:t>
      </w:r>
      <w:r>
        <w:rPr>
          <w:rFonts w:ascii="ˎ̥" w:hAnsi="ˎ̥" w:eastAsia="仿宋" w:cs="宋体"/>
          <w:sz w:val="24"/>
          <w:szCs w:val="24"/>
          <w:highlight w:val="none"/>
        </w:rPr>
        <w:t>得分</w:t>
      </w:r>
      <w:r>
        <w:rPr>
          <w:rFonts w:hint="eastAsia" w:ascii="ˎ̥" w:hAnsi="ˎ̥" w:eastAsia="仿宋" w:cs="宋体"/>
          <w:sz w:val="24"/>
          <w:szCs w:val="24"/>
          <w:highlight w:val="none"/>
        </w:rPr>
        <w:t>由高到低的顺序推荐中标候选人。如果总得分出现相同的情况，总得分相同的中标候选人按因落实政府采购政策进行价格调整后的投标报价由低到高排序；总得分与进行政策性价格调整的投标报价均相同的，则所投产品为节能或环境标志产品者优先（同时列入节能产品政府采购品目清单和环境标志产品政府采购品目清单的产品，优先于只列入其中一个清单的产品）；若前述均相同且所投产品同为节能/环境标志产品或均无节能/环境标志产品，则采取评标委员会随机抽签方式确定中标候选人排序。</w:t>
      </w:r>
    </w:p>
    <w:p w14:paraId="352D7FDC">
      <w:pPr>
        <w:pStyle w:val="3"/>
        <w:widowControl/>
        <w:adjustRightInd w:val="0"/>
        <w:spacing w:before="0" w:after="0" w:line="360" w:lineRule="auto"/>
        <w:ind w:firstLine="482" w:firstLineChars="200"/>
        <w:rPr>
          <w:rFonts w:hint="eastAsia" w:ascii="宋体" w:hAnsi="宋体" w:eastAsia="仿宋"/>
          <w:bCs w:val="0"/>
          <w:sz w:val="24"/>
          <w:szCs w:val="24"/>
          <w:highlight w:val="none"/>
        </w:rPr>
      </w:pPr>
      <w:bookmarkStart w:id="834" w:name="_Toc455587100"/>
      <w:bookmarkStart w:id="835" w:name="_Toc455587284"/>
      <w:bookmarkStart w:id="836" w:name="_Toc466024567"/>
      <w:bookmarkStart w:id="837" w:name="_Toc445554768"/>
      <w:r>
        <w:rPr>
          <w:rFonts w:hint="eastAsia" w:ascii="宋体" w:hAnsi="宋体" w:eastAsia="仿宋"/>
          <w:bCs w:val="0"/>
          <w:sz w:val="24"/>
          <w:szCs w:val="24"/>
          <w:highlight w:val="none"/>
        </w:rPr>
        <w:t>2. 评标委员会的组成和职责</w:t>
      </w:r>
      <w:bookmarkEnd w:id="834"/>
      <w:bookmarkEnd w:id="835"/>
      <w:bookmarkEnd w:id="836"/>
      <w:bookmarkEnd w:id="837"/>
    </w:p>
    <w:p w14:paraId="1A6FED64">
      <w:pPr>
        <w:pStyle w:val="157"/>
        <w:adjustRightInd w:val="0"/>
        <w:snapToGrid w:val="0"/>
        <w:spacing w:before="0" w:line="360" w:lineRule="auto"/>
        <w:ind w:firstLine="482" w:firstLineChars="200"/>
        <w:rPr>
          <w:rFonts w:hint="eastAsia" w:ascii="ˎ̥" w:hAnsi="ˎ̥" w:eastAsia="仿宋" w:cs="宋体"/>
          <w:sz w:val="24"/>
          <w:szCs w:val="24"/>
          <w:highlight w:val="none"/>
        </w:rPr>
      </w:pPr>
      <w:r>
        <w:rPr>
          <w:rFonts w:hint="eastAsia" w:ascii="宋体" w:hAnsi="宋体" w:eastAsia="仿宋"/>
          <w:b/>
          <w:sz w:val="24"/>
          <w:szCs w:val="24"/>
          <w:highlight w:val="none"/>
        </w:rPr>
        <w:t>2.1 评标委员会的组成</w:t>
      </w:r>
    </w:p>
    <w:p w14:paraId="6D20F8E0">
      <w:pPr>
        <w:pStyle w:val="156"/>
        <w:adjustRightInd w:val="0"/>
        <w:snapToGrid w:val="0"/>
        <w:spacing w:line="360" w:lineRule="auto"/>
        <w:ind w:firstLine="480" w:firstLineChars="200"/>
        <w:rPr>
          <w:rFonts w:hint="eastAsia" w:ascii="ˎ̥" w:hAnsi="ˎ̥" w:eastAsia="仿宋" w:cs="宋体"/>
          <w:sz w:val="24"/>
          <w:szCs w:val="24"/>
          <w:highlight w:val="none"/>
        </w:rPr>
      </w:pPr>
      <w:r>
        <w:rPr>
          <w:rFonts w:hint="eastAsia" w:ascii="ˎ̥" w:hAnsi="ˎ̥" w:eastAsia="仿宋" w:cs="宋体"/>
          <w:sz w:val="24"/>
          <w:szCs w:val="24"/>
          <w:highlight w:val="none"/>
        </w:rPr>
        <w:t>评标委员会由采购人依法组建。评标委员会应当推选组长，但采购人代表不得担任组长。</w:t>
      </w:r>
    </w:p>
    <w:p w14:paraId="703EFF3A">
      <w:pPr>
        <w:pStyle w:val="157"/>
        <w:adjustRightInd w:val="0"/>
        <w:snapToGrid w:val="0"/>
        <w:spacing w:before="0" w:line="360" w:lineRule="auto"/>
        <w:ind w:firstLine="480" w:firstLineChars="200"/>
        <w:rPr>
          <w:rFonts w:hint="eastAsia" w:ascii="ˎ̥" w:hAnsi="ˎ̥" w:eastAsia="仿宋" w:cs="宋体"/>
          <w:sz w:val="24"/>
          <w:szCs w:val="24"/>
          <w:highlight w:val="none"/>
        </w:rPr>
      </w:pPr>
      <w:r>
        <w:rPr>
          <w:rFonts w:hint="eastAsia" w:ascii="ˎ̥" w:hAnsi="ˎ̥" w:eastAsia="仿宋" w:cs="宋体"/>
          <w:sz w:val="24"/>
          <w:szCs w:val="24"/>
          <w:highlight w:val="none"/>
        </w:rPr>
        <w:t>2.2 评标委员会的职责</w:t>
      </w:r>
    </w:p>
    <w:p w14:paraId="7BED37A6">
      <w:pPr>
        <w:spacing w:line="360" w:lineRule="auto"/>
        <w:ind w:firstLine="480" w:firstLineChars="200"/>
        <w:rPr>
          <w:rFonts w:hint="eastAsia" w:ascii="ˎ̥" w:hAnsi="ˎ̥" w:eastAsia="仿宋" w:cs="宋体"/>
          <w:kern w:val="0"/>
          <w:sz w:val="24"/>
          <w:highlight w:val="none"/>
        </w:rPr>
      </w:pPr>
      <w:r>
        <w:rPr>
          <w:rFonts w:hint="eastAsia" w:ascii="ˎ̥" w:hAnsi="ˎ̥" w:eastAsia="仿宋" w:cs="宋体"/>
          <w:kern w:val="0"/>
          <w:sz w:val="24"/>
          <w:highlight w:val="none"/>
        </w:rPr>
        <w:t>根据招标文件规定的评标程序、评标方法和评标标准进行独立评审。评标委员会成员应当在评标报告上签字，对自己的评标意见承担法律责任。对需要共同认定的事项存在争议的，按照少数服从多数的原则做出结论。对评标报告有异议的，应当在评标报告上签署不同意见并说明理由，否则视为同意评标报告。</w:t>
      </w:r>
    </w:p>
    <w:p w14:paraId="12CAD422">
      <w:pPr>
        <w:pStyle w:val="157"/>
        <w:snapToGrid w:val="0"/>
        <w:spacing w:line="360" w:lineRule="auto"/>
        <w:ind w:firstLine="482"/>
        <w:rPr>
          <w:rFonts w:hint="eastAsia" w:ascii="宋体" w:hAnsi="宋体" w:eastAsia="仿宋"/>
          <w:b/>
          <w:sz w:val="24"/>
          <w:szCs w:val="24"/>
          <w:highlight w:val="none"/>
        </w:rPr>
      </w:pPr>
      <w:r>
        <w:rPr>
          <w:rFonts w:hint="eastAsia" w:ascii="宋体" w:hAnsi="宋体" w:eastAsia="仿宋"/>
          <w:b/>
          <w:sz w:val="24"/>
          <w:szCs w:val="24"/>
          <w:highlight w:val="none"/>
        </w:rPr>
        <w:t>2</w:t>
      </w:r>
      <w:r>
        <w:rPr>
          <w:rFonts w:ascii="宋体" w:hAnsi="宋体" w:eastAsia="仿宋"/>
          <w:b/>
          <w:sz w:val="24"/>
          <w:szCs w:val="24"/>
          <w:highlight w:val="none"/>
        </w:rPr>
        <w:t>.3 对评标委员会成员的纪律要求</w:t>
      </w:r>
    </w:p>
    <w:p w14:paraId="44A7334A">
      <w:pPr>
        <w:widowControl/>
        <w:spacing w:line="360" w:lineRule="auto"/>
        <w:ind w:firstLine="480" w:firstLineChars="200"/>
        <w:rPr>
          <w:rFonts w:ascii="Arial" w:hAnsi="Arial" w:eastAsia="仿宋" w:cs="Arial"/>
          <w:kern w:val="0"/>
          <w:sz w:val="24"/>
          <w:highlight w:val="none"/>
        </w:rPr>
      </w:pPr>
      <w:r>
        <w:rPr>
          <w:rFonts w:ascii="Arial" w:hAnsi="Arial" w:eastAsia="仿宋" w:cs="Arial"/>
          <w:kern w:val="0"/>
          <w:sz w:val="24"/>
          <w:highlight w:val="none"/>
        </w:rPr>
        <w:t>评标委员会成员不得收受他人的财物或者其他好处，不得向他人</w:t>
      </w:r>
      <w:r>
        <w:rPr>
          <w:rFonts w:hint="eastAsia" w:ascii="Arial" w:hAnsi="Arial" w:eastAsia="仿宋" w:cs="Arial"/>
          <w:kern w:val="0"/>
          <w:sz w:val="24"/>
          <w:highlight w:val="none"/>
        </w:rPr>
        <w:t>透露</w:t>
      </w:r>
      <w:r>
        <w:rPr>
          <w:rFonts w:ascii="Arial" w:hAnsi="Arial" w:eastAsia="仿宋" w:cs="Arial"/>
          <w:kern w:val="0"/>
          <w:sz w:val="24"/>
          <w:highlight w:val="none"/>
        </w:rPr>
        <w:t>对投标文件的评审和比较、中标候选人的推荐情况以及评标有关的其他情况。在评标活动中，评标委员会成员不得擅离职守，影响评标程序正常进行，不得使用“评标办法”没有规定的评审因素和标准进行评标。</w:t>
      </w:r>
    </w:p>
    <w:p w14:paraId="3D656520">
      <w:pPr>
        <w:pStyle w:val="3"/>
        <w:widowControl/>
        <w:adjustRightInd w:val="0"/>
        <w:spacing w:before="0" w:after="0" w:line="360" w:lineRule="auto"/>
        <w:ind w:firstLine="482" w:firstLineChars="200"/>
        <w:rPr>
          <w:rFonts w:hint="eastAsia" w:ascii="宋体" w:hAnsi="宋体" w:eastAsia="仿宋"/>
          <w:bCs w:val="0"/>
          <w:sz w:val="24"/>
          <w:szCs w:val="24"/>
          <w:highlight w:val="none"/>
        </w:rPr>
      </w:pPr>
      <w:bookmarkStart w:id="838" w:name="_Toc445554770"/>
      <w:bookmarkStart w:id="839" w:name="_Toc455587286"/>
      <w:bookmarkStart w:id="840" w:name="_Toc466024569"/>
      <w:bookmarkStart w:id="841" w:name="_Toc455587102"/>
      <w:bookmarkStart w:id="842" w:name="_Toc466024568"/>
      <w:bookmarkStart w:id="843" w:name="_Toc455587101"/>
      <w:bookmarkStart w:id="844" w:name="_Toc455587285"/>
      <w:bookmarkStart w:id="845" w:name="_Toc445554769"/>
      <w:r>
        <w:rPr>
          <w:rFonts w:hint="eastAsia" w:ascii="宋体" w:hAnsi="宋体" w:eastAsia="仿宋"/>
          <w:bCs w:val="0"/>
          <w:sz w:val="24"/>
          <w:szCs w:val="24"/>
          <w:highlight w:val="none"/>
        </w:rPr>
        <w:t>3. 评审标准</w:t>
      </w:r>
      <w:bookmarkEnd w:id="838"/>
      <w:bookmarkEnd w:id="839"/>
      <w:bookmarkEnd w:id="840"/>
      <w:bookmarkEnd w:id="841"/>
    </w:p>
    <w:p w14:paraId="5778F11D">
      <w:pPr>
        <w:pStyle w:val="156"/>
        <w:adjustRightInd w:val="0"/>
        <w:snapToGrid w:val="0"/>
        <w:spacing w:line="360" w:lineRule="auto"/>
        <w:ind w:firstLine="482" w:firstLineChars="200"/>
        <w:rPr>
          <w:rFonts w:hint="eastAsia" w:ascii="宋体" w:hAnsi="宋体" w:eastAsia="仿宋"/>
          <w:b/>
          <w:sz w:val="24"/>
          <w:szCs w:val="24"/>
          <w:highlight w:val="none"/>
        </w:rPr>
      </w:pPr>
      <w:r>
        <w:rPr>
          <w:rFonts w:hint="eastAsia" w:ascii="宋体" w:hAnsi="宋体" w:eastAsia="仿宋"/>
          <w:b/>
          <w:sz w:val="24"/>
          <w:szCs w:val="24"/>
          <w:highlight w:val="none"/>
        </w:rPr>
        <w:t>3.1 符合性审查标准</w:t>
      </w:r>
    </w:p>
    <w:p w14:paraId="00A9A34D">
      <w:pPr>
        <w:pStyle w:val="156"/>
        <w:adjustRightInd w:val="0"/>
        <w:snapToGrid w:val="0"/>
        <w:spacing w:line="360" w:lineRule="auto"/>
        <w:ind w:firstLine="482" w:firstLineChars="200"/>
        <w:rPr>
          <w:rFonts w:hint="eastAsia" w:ascii="宋体" w:hAnsi="宋体" w:eastAsia="仿宋"/>
          <w:b/>
          <w:sz w:val="24"/>
          <w:szCs w:val="24"/>
          <w:highlight w:val="none"/>
        </w:rPr>
      </w:pPr>
      <w:r>
        <w:rPr>
          <w:rFonts w:hint="eastAsia" w:ascii="宋体" w:hAnsi="宋体" w:eastAsia="仿宋"/>
          <w:b/>
          <w:sz w:val="24"/>
          <w:szCs w:val="24"/>
          <w:highlight w:val="none"/>
        </w:rPr>
        <w:t>3.1.1 评标委员会对资格审查合格的投标人的投标文件进行符合性审查，以确定其是否满足招标文件的实质性要求。</w:t>
      </w:r>
    </w:p>
    <w:p w14:paraId="0E4FC4F6">
      <w:pPr>
        <w:pStyle w:val="156"/>
        <w:adjustRightInd w:val="0"/>
        <w:snapToGrid w:val="0"/>
        <w:spacing w:line="360" w:lineRule="auto"/>
        <w:ind w:firstLine="482" w:firstLineChars="200"/>
        <w:rPr>
          <w:rFonts w:hint="eastAsia" w:ascii="宋体" w:hAnsi="宋体" w:eastAsia="仿宋"/>
          <w:b/>
          <w:sz w:val="24"/>
          <w:szCs w:val="24"/>
          <w:highlight w:val="none"/>
        </w:rPr>
      </w:pPr>
      <w:r>
        <w:rPr>
          <w:rFonts w:hint="eastAsia" w:ascii="宋体" w:hAnsi="宋体" w:eastAsia="仿宋"/>
          <w:b/>
          <w:sz w:val="24"/>
          <w:szCs w:val="24"/>
          <w:highlight w:val="none"/>
        </w:rPr>
        <w:t>3.1.2 评标委员会根据《符合性审查表》中规定的审查因素和审查标准，对投标人的投标文件是否实质上响应招标文件进行符合性审查，并形成符合性审查评审结果。投标人有任何一项不符合要求的，投标无效。</w:t>
      </w:r>
    </w:p>
    <w:p w14:paraId="730E9D45">
      <w:pPr>
        <w:pStyle w:val="156"/>
        <w:adjustRightInd w:val="0"/>
        <w:snapToGrid w:val="0"/>
        <w:spacing w:line="360" w:lineRule="auto"/>
        <w:ind w:firstLine="482" w:firstLineChars="200"/>
        <w:rPr>
          <w:rFonts w:hint="eastAsia" w:ascii="宋体" w:hAnsi="宋体" w:eastAsia="仿宋"/>
          <w:b/>
          <w:sz w:val="24"/>
          <w:szCs w:val="24"/>
          <w:highlight w:val="none"/>
        </w:rPr>
      </w:pPr>
      <w:r>
        <w:rPr>
          <w:rFonts w:hint="eastAsia" w:ascii="宋体" w:hAnsi="宋体" w:eastAsia="仿宋"/>
          <w:b/>
          <w:sz w:val="24"/>
          <w:szCs w:val="24"/>
          <w:highlight w:val="none"/>
        </w:rPr>
        <w:t>3.2 分值构成与详细评审标准</w:t>
      </w:r>
    </w:p>
    <w:p w14:paraId="071B20EE">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3.2.1 分值构成：见评标办法前附表。</w:t>
      </w:r>
    </w:p>
    <w:p w14:paraId="615A6D89">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3.2.2 评标基准价计算：见评标办法前附表。</w:t>
      </w:r>
    </w:p>
    <w:p w14:paraId="7A9947D5">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3.2.3 评分标准：见评标办法前附表。</w:t>
      </w:r>
    </w:p>
    <w:p w14:paraId="6460AD1D">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3.2.4 取评标委员会对各投标人评审得分的算术平均值作为投标人得分，其中投标报价得分按规定进行计算。</w:t>
      </w:r>
    </w:p>
    <w:p w14:paraId="783D987D">
      <w:pPr>
        <w:pStyle w:val="3"/>
        <w:widowControl/>
        <w:adjustRightInd w:val="0"/>
        <w:spacing w:before="0" w:after="0" w:line="360" w:lineRule="auto"/>
        <w:ind w:firstLine="482" w:firstLineChars="200"/>
        <w:rPr>
          <w:rFonts w:hint="eastAsia" w:ascii="宋体" w:hAnsi="宋体" w:eastAsia="仿宋"/>
          <w:bCs w:val="0"/>
          <w:sz w:val="24"/>
          <w:szCs w:val="24"/>
          <w:highlight w:val="none"/>
        </w:rPr>
      </w:pPr>
      <w:r>
        <w:rPr>
          <w:rFonts w:hint="eastAsia" w:ascii="宋体" w:hAnsi="宋体" w:eastAsia="仿宋"/>
          <w:bCs w:val="0"/>
          <w:sz w:val="24"/>
          <w:szCs w:val="24"/>
          <w:highlight w:val="none"/>
        </w:rPr>
        <w:t>4. 评标程序</w:t>
      </w:r>
      <w:bookmarkEnd w:id="842"/>
      <w:bookmarkEnd w:id="843"/>
      <w:bookmarkEnd w:id="844"/>
      <w:bookmarkEnd w:id="845"/>
    </w:p>
    <w:p w14:paraId="55706892">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资格审查完成后，合格投标人不少于3家的，开始评标工作。评标先做准备工作，再进行符合性审查，然后进行详细评审。</w:t>
      </w:r>
    </w:p>
    <w:p w14:paraId="3256C82D">
      <w:pPr>
        <w:pStyle w:val="157"/>
        <w:adjustRightInd w:val="0"/>
        <w:snapToGrid w:val="0"/>
        <w:spacing w:before="0" w:line="360" w:lineRule="auto"/>
        <w:ind w:firstLine="482" w:firstLineChars="200"/>
        <w:rPr>
          <w:rFonts w:hint="eastAsia" w:ascii="宋体" w:hAnsi="宋体" w:eastAsia="仿宋"/>
          <w:b/>
          <w:sz w:val="24"/>
          <w:szCs w:val="24"/>
          <w:highlight w:val="none"/>
        </w:rPr>
      </w:pPr>
      <w:r>
        <w:rPr>
          <w:rFonts w:hint="eastAsia" w:ascii="宋体" w:hAnsi="宋体" w:eastAsia="仿宋"/>
          <w:b/>
          <w:sz w:val="24"/>
          <w:szCs w:val="24"/>
          <w:highlight w:val="none"/>
        </w:rPr>
        <w:t>4.1 评标准备工作</w:t>
      </w:r>
    </w:p>
    <w:p w14:paraId="00C1016E">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评标委员会熟悉评标</w:t>
      </w:r>
      <w:bookmarkStart w:id="846" w:name="_Hlk79160145"/>
      <w:r>
        <w:rPr>
          <w:rFonts w:hint="eastAsia" w:ascii="宋体" w:hAnsi="宋体" w:eastAsia="仿宋"/>
          <w:sz w:val="24"/>
          <w:szCs w:val="24"/>
          <w:highlight w:val="none"/>
        </w:rPr>
        <w:t>工作</w:t>
      </w:r>
      <w:bookmarkEnd w:id="846"/>
      <w:r>
        <w:rPr>
          <w:rFonts w:hint="eastAsia" w:ascii="宋体" w:hAnsi="宋体" w:eastAsia="仿宋"/>
          <w:sz w:val="24"/>
          <w:szCs w:val="24"/>
          <w:highlight w:val="none"/>
        </w:rPr>
        <w:t>情况：</w:t>
      </w:r>
    </w:p>
    <w:p w14:paraId="350AC478">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（1）听取采购人或者其委托的采购代理机构对招标项目情况的介绍；</w:t>
      </w:r>
    </w:p>
    <w:p w14:paraId="0DA7541E">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（2）阅读、研究招标文件和相关评标资料，获取评标所需要的重要信息和数据,至少应了解和熟悉以下内容：招标目的、采购范围、项目性质、招标文件规定的主要技术参数要求和主要商务条款；</w:t>
      </w:r>
    </w:p>
    <w:p w14:paraId="12EC6428">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（3）熟悉招标文件规定的评标标准和评标方法及在评标过程中需要考虑的相关因素；</w:t>
      </w:r>
    </w:p>
    <w:p w14:paraId="20527D4B">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（4）核对评标工作资料；</w:t>
      </w:r>
    </w:p>
    <w:p w14:paraId="4E1D896A">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（5）使用电子评标方式的，还应当熟悉电子评标系统使用方法。</w:t>
      </w:r>
    </w:p>
    <w:p w14:paraId="376DA68B">
      <w:pPr>
        <w:pStyle w:val="157"/>
        <w:adjustRightInd w:val="0"/>
        <w:snapToGrid w:val="0"/>
        <w:spacing w:before="0" w:line="360" w:lineRule="auto"/>
        <w:ind w:firstLine="482" w:firstLineChars="200"/>
        <w:rPr>
          <w:rFonts w:hint="eastAsia" w:ascii="宋体" w:hAnsi="宋体" w:eastAsia="仿宋"/>
          <w:b/>
          <w:sz w:val="24"/>
          <w:szCs w:val="24"/>
          <w:highlight w:val="none"/>
        </w:rPr>
      </w:pPr>
      <w:r>
        <w:rPr>
          <w:rFonts w:hint="eastAsia" w:ascii="宋体" w:hAnsi="宋体" w:eastAsia="仿宋"/>
          <w:b/>
          <w:sz w:val="24"/>
          <w:szCs w:val="24"/>
          <w:highlight w:val="none"/>
        </w:rPr>
        <w:t>4.2 符合性审查</w:t>
      </w:r>
    </w:p>
    <w:p w14:paraId="562BCFEA">
      <w:pPr>
        <w:pStyle w:val="156"/>
        <w:adjustRightInd w:val="0"/>
        <w:snapToGrid w:val="0"/>
        <w:spacing w:line="360" w:lineRule="auto"/>
        <w:ind w:firstLine="480" w:firstLineChars="200"/>
        <w:rPr>
          <w:rFonts w:hint="eastAsia" w:ascii="宋体" w:hAnsi="宋体" w:eastAsia="仿宋"/>
          <w:color w:val="FF0000"/>
          <w:sz w:val="24"/>
          <w:szCs w:val="24"/>
          <w:highlight w:val="none"/>
        </w:rPr>
      </w:pPr>
      <w:r>
        <w:rPr>
          <w:rFonts w:hint="eastAsia" w:ascii="宋体" w:hAnsi="宋体" w:eastAsia="仿宋"/>
          <w:sz w:val="24"/>
          <w:szCs w:val="24"/>
          <w:highlight w:val="none"/>
        </w:rPr>
        <w:t>4.2.1 评标委员会依据本章规定的标准对投标文件进行符合性审查。有一项不符合评审标准的，按无效投标处理。</w:t>
      </w:r>
    </w:p>
    <w:p w14:paraId="558FBA98">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4.2.2 投标人有以下情形之一的，按照无效投标处理：</w:t>
      </w:r>
    </w:p>
    <w:p w14:paraId="4FE8C37A">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（1）不按评标委员会要求澄清、说明或补正的；</w:t>
      </w:r>
    </w:p>
    <w:p w14:paraId="1477233B">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（2）未实质性响应招标文件的；</w:t>
      </w:r>
    </w:p>
    <w:p w14:paraId="4466D9E6">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（3）投标文件中存在采购人不能接受的其它附加实质性条件的；</w:t>
      </w:r>
    </w:p>
    <w:p w14:paraId="4BAE2FDC">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（4）串通投标或弄虚作假或有其他违法行为的；</w:t>
      </w:r>
    </w:p>
    <w:p w14:paraId="07210F4B">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（5）法律、法规和规章规定的其他情形的。</w:t>
      </w:r>
    </w:p>
    <w:p w14:paraId="65A19898">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4.2.3 投标文件报价出现前后不一致的，按照下列规定修正：</w:t>
      </w:r>
    </w:p>
    <w:p w14:paraId="30D5B720">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（1）投标文件中开标一览表（报价表）内容与投标文件中相应内容不一致的，以开标一览表（报价表）为准；</w:t>
      </w:r>
    </w:p>
    <w:p w14:paraId="0722DACE">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（2）大写金额和小写金额不一致的，以大写金额为准；</w:t>
      </w:r>
    </w:p>
    <w:p w14:paraId="36F5DC6D">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（3）单价金额小数点或者百分比有明显错位的，以开标一览表的总价为准，并修改单价；</w:t>
      </w:r>
    </w:p>
    <w:p w14:paraId="5583D3E3">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（4）总价金额与按单价汇总金额不一致的，以单价金额计算结果为准。</w:t>
      </w:r>
    </w:p>
    <w:p w14:paraId="66423F10">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同时出现两种以上不一致的，按照前款规定的顺序修正。修正后的报价经投标人确认后产生约束力，投标人不确认的，其投标无效。</w:t>
      </w:r>
    </w:p>
    <w:p w14:paraId="0A64982B">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中标后，按修正后的投标报价为基准，按同比例修正各单价。</w:t>
      </w:r>
    </w:p>
    <w:p w14:paraId="005EE8E5">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4.2.4 评标委员会按照规定的原则对投标报价进行校核时，发现投标报价存在多处算术错误或漏项的，使得投标报价校核无法进行的，其投标按无效处理。</w:t>
      </w:r>
    </w:p>
    <w:p w14:paraId="334AF97A">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4.2.5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B9E244E">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4.2.6 投标报价出现下列情形的，投标无效：</w:t>
      </w:r>
    </w:p>
    <w:p w14:paraId="0D0BA5AC">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（1）投标文件提交两个及以上的投标报价、提交任何有选择性的报价或者提交有附加条件的报价的投标将按无效处理，投标人须知前附表允许递交备选方案的除外；</w:t>
      </w:r>
    </w:p>
    <w:p w14:paraId="36B79A4F">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（2）投标报价超过招标文件中规定的预算金额或者最高限价的；</w:t>
      </w:r>
    </w:p>
    <w:p w14:paraId="4C720000">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（3）评标委员会认为投标人的报价明显低于其他通过符合性审查投标人的报价，有可能影响产品质量或者不能诚信履约的，投标人未能按要求提供书面说明或者提交相关证明材料证明其报价合理性的；</w:t>
      </w:r>
    </w:p>
    <w:p w14:paraId="70C2AC6C">
      <w:pPr>
        <w:widowControl/>
        <w:adjustRightInd w:val="0"/>
        <w:snapToGrid w:val="0"/>
        <w:spacing w:line="360" w:lineRule="auto"/>
        <w:ind w:firstLine="480" w:firstLineChars="200"/>
        <w:rPr>
          <w:rFonts w:hint="eastAsia" w:ascii="宋体" w:hAnsi="宋体" w:eastAsia="仿宋"/>
          <w:sz w:val="24"/>
          <w:highlight w:val="none"/>
        </w:rPr>
      </w:pPr>
      <w:r>
        <w:rPr>
          <w:rFonts w:hint="eastAsia" w:ascii="宋体" w:hAnsi="宋体" w:eastAsia="仿宋"/>
          <w:sz w:val="24"/>
          <w:highlight w:val="none"/>
        </w:rPr>
        <w:t>（4）投标人对根据本章第二节4.2.3项规定修正后的报价不确认的。</w:t>
      </w:r>
    </w:p>
    <w:p w14:paraId="43B450F2">
      <w:pPr>
        <w:pStyle w:val="157"/>
        <w:adjustRightInd w:val="0"/>
        <w:snapToGrid w:val="0"/>
        <w:spacing w:before="0" w:line="360" w:lineRule="auto"/>
        <w:ind w:firstLine="482" w:firstLineChars="200"/>
        <w:rPr>
          <w:rFonts w:hint="eastAsia" w:ascii="宋体" w:hAnsi="宋体" w:eastAsia="仿宋"/>
          <w:b/>
          <w:sz w:val="24"/>
          <w:szCs w:val="24"/>
          <w:highlight w:val="none"/>
        </w:rPr>
      </w:pPr>
      <w:r>
        <w:rPr>
          <w:rFonts w:hint="eastAsia" w:ascii="宋体" w:hAnsi="宋体" w:eastAsia="仿宋"/>
          <w:b/>
          <w:sz w:val="24"/>
          <w:szCs w:val="24"/>
          <w:highlight w:val="none"/>
        </w:rPr>
        <w:t>4.3 详细评审</w:t>
      </w:r>
    </w:p>
    <w:p w14:paraId="670472E4">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4.3.1 评标委员会按本章</w:t>
      </w:r>
      <w:r>
        <w:rPr>
          <w:rFonts w:hint="eastAsia" w:ascii="宋体" w:hAnsi="宋体" w:eastAsia="仿宋"/>
          <w:sz w:val="24"/>
          <w:highlight w:val="none"/>
        </w:rPr>
        <w:t>第二节</w:t>
      </w:r>
      <w:r>
        <w:rPr>
          <w:rFonts w:hint="eastAsia" w:ascii="宋体" w:hAnsi="宋体" w:eastAsia="仿宋"/>
          <w:sz w:val="24"/>
          <w:szCs w:val="24"/>
          <w:highlight w:val="none"/>
        </w:rPr>
        <w:t>3.2款规定的标准进行评分，并计算各投标人综合评审得分。</w:t>
      </w:r>
    </w:p>
    <w:p w14:paraId="1061D16A">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 xml:space="preserve">4.3.2 </w:t>
      </w:r>
      <w:r>
        <w:rPr>
          <w:rFonts w:hint="eastAsia" w:ascii="宋体" w:hAnsi="宋体" w:eastAsia="仿宋"/>
          <w:color w:val="000000"/>
          <w:sz w:val="24"/>
          <w:szCs w:val="24"/>
          <w:highlight w:val="none"/>
        </w:rPr>
        <w:t>评标委员</w:t>
      </w:r>
      <w:r>
        <w:rPr>
          <w:rFonts w:hint="eastAsia" w:ascii="宋体" w:hAnsi="宋体" w:eastAsia="仿宋"/>
          <w:sz w:val="24"/>
          <w:szCs w:val="24"/>
          <w:highlight w:val="none"/>
        </w:rPr>
        <w:t>会成员对投标人的价格分和客观评分项的评分应当一致。采购人、采购代理机构应当对评审数据进行校对、核对。</w:t>
      </w:r>
    </w:p>
    <w:p w14:paraId="12B26A3D">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4.3.3 评分分值计算保留小数点后两位，小数点后第三位“四舍五入”。</w:t>
      </w:r>
    </w:p>
    <w:p w14:paraId="387E27BC">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4.3.4 相同品牌产品参加投标时，按以下要求确定中标人推荐资格：</w:t>
      </w:r>
    </w:p>
    <w:p w14:paraId="33B8D386">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采用综合评分法时：</w:t>
      </w:r>
    </w:p>
    <w:p w14:paraId="156ED668">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单一产品采购项目，提供相同品牌产品且通过资格审查、符合性审查的不同投标人参加同一合同项下投标的，按一家投标人计算，评审后得分最高的同品牌投标人获得中标人推荐资格；评审得分相同的，由评标委员会随机抽签确定；其他同品牌投标人不作为中标候选人。</w:t>
      </w:r>
    </w:p>
    <w:p w14:paraId="0CF9D8D8">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非单一产品采购项目，核心产品提供相同品牌产品且通过资格审查、符合性审查的不同投标人参加同一合同项下投标的，按一家投标人计算，评审后得分最高的同品牌投标人获得中标人推荐资格；评审得分相同的，由评标委员会随机抽签确定；其他同品牌投标人不作为中标候选人。</w:t>
      </w:r>
    </w:p>
    <w:p w14:paraId="1327D100">
      <w:pPr>
        <w:pStyle w:val="157"/>
        <w:adjustRightInd w:val="0"/>
        <w:snapToGrid w:val="0"/>
        <w:spacing w:before="0" w:line="360" w:lineRule="auto"/>
        <w:ind w:firstLine="482" w:firstLineChars="200"/>
        <w:rPr>
          <w:rFonts w:hint="eastAsia" w:ascii="宋体" w:hAnsi="宋体" w:eastAsia="仿宋"/>
          <w:b/>
          <w:sz w:val="24"/>
          <w:szCs w:val="24"/>
          <w:highlight w:val="none"/>
        </w:rPr>
      </w:pPr>
      <w:bookmarkStart w:id="847" w:name="_Toc445554771"/>
      <w:bookmarkStart w:id="848" w:name="_Toc466024570"/>
      <w:bookmarkStart w:id="849" w:name="_Toc455587103"/>
      <w:bookmarkStart w:id="850" w:name="_Toc455587287"/>
      <w:r>
        <w:rPr>
          <w:rFonts w:hint="eastAsia" w:ascii="宋体" w:hAnsi="宋体" w:eastAsia="仿宋"/>
          <w:b/>
          <w:sz w:val="24"/>
          <w:szCs w:val="24"/>
          <w:highlight w:val="none"/>
        </w:rPr>
        <w:t>4.4 投标文件的澄清</w:t>
      </w:r>
      <w:bookmarkEnd w:id="847"/>
      <w:bookmarkEnd w:id="848"/>
      <w:bookmarkEnd w:id="849"/>
      <w:bookmarkEnd w:id="850"/>
    </w:p>
    <w:p w14:paraId="115079CE">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4.4.1 评标过程中，评标委员会可以要求投标人对投标文件中含义不明确、同类问题表述不一致或者有明显文字和计算错误的内容等作出必要的澄清、说明或者补正。投标人的澄清、说明或者补正不得超出投标文件的范围或者改变投标文件的实质性内容（算术性错误修正的除外）。投标人的书面澄清、说明和补正属于投标文件的组成部分。</w:t>
      </w:r>
    </w:p>
    <w:p w14:paraId="602CD45C">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4.4.2 评标委员会要求投标人澄清、说明或者更正投标文件应当以书面形式作出。投标人的澄清、说明或者更正应当由法定代表人（单位负责人）或其授权代表签字或者加盖公章。由授权代表签字的，应当附法定代表人（单位负责人）授权书。投标人为自然人的，应当由本人签字并附身份证明。</w:t>
      </w:r>
    </w:p>
    <w:p w14:paraId="659114AC">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4.4.3 评标委员会对投标人提交的澄清、说明或补正有疑问的，可以要求投标人进一步澄清、说明或补正，直至满足评标委员会的要求。</w:t>
      </w:r>
    </w:p>
    <w:p w14:paraId="2FD3FE68">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4.4.4 实质上没有响应招标文件要求的投标将被拒绝。投标人不得通过修正或撤销不合要求的偏离或保留从而使其投标成为实质上响应的投标。评标委员会不接受投标人主动提出的澄清、说明或补正。</w:t>
      </w:r>
    </w:p>
    <w:p w14:paraId="74B2BFAD">
      <w:pPr>
        <w:pStyle w:val="157"/>
        <w:adjustRightInd w:val="0"/>
        <w:snapToGrid w:val="0"/>
        <w:spacing w:before="0" w:line="360" w:lineRule="auto"/>
        <w:ind w:firstLine="482" w:firstLineChars="200"/>
        <w:rPr>
          <w:rFonts w:hint="eastAsia" w:ascii="宋体" w:hAnsi="宋体" w:eastAsia="仿宋"/>
          <w:b/>
          <w:sz w:val="24"/>
          <w:szCs w:val="24"/>
          <w:highlight w:val="none"/>
        </w:rPr>
      </w:pPr>
      <w:bookmarkStart w:id="851" w:name="_Toc466024571"/>
      <w:bookmarkStart w:id="852" w:name="_Toc455587104"/>
      <w:bookmarkStart w:id="853" w:name="_Toc455587288"/>
      <w:bookmarkStart w:id="854" w:name="_Toc445554772"/>
      <w:r>
        <w:rPr>
          <w:rFonts w:hint="eastAsia" w:ascii="宋体" w:hAnsi="宋体" w:eastAsia="仿宋"/>
          <w:b/>
          <w:sz w:val="24"/>
          <w:szCs w:val="24"/>
          <w:highlight w:val="none"/>
        </w:rPr>
        <w:t>4.5 评标结果</w:t>
      </w:r>
      <w:bookmarkEnd w:id="851"/>
      <w:bookmarkEnd w:id="852"/>
      <w:bookmarkEnd w:id="853"/>
      <w:bookmarkEnd w:id="854"/>
    </w:p>
    <w:p w14:paraId="344842FA">
      <w:pPr>
        <w:pStyle w:val="156"/>
        <w:adjustRightInd w:val="0"/>
        <w:snapToGri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4.5.1 除第二章投标人须知前附表授权评标委员会直接确定中标人外，评标委员会按照得分由高到低的顺序推荐中标候选人，并标明排序。</w:t>
      </w:r>
    </w:p>
    <w:p w14:paraId="0598627C">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4.5.2 完成评标后，</w:t>
      </w:r>
      <w:r>
        <w:rPr>
          <w:rFonts w:hint="eastAsia" w:ascii="宋体" w:hAnsi="宋体" w:eastAsia="仿宋" w:cs="宋体"/>
          <w:sz w:val="24"/>
          <w:szCs w:val="24"/>
          <w:highlight w:val="none"/>
        </w:rPr>
        <w:t>评标委员会根据全体评标成员签字的原始评标记录和评标结果编写评标报告。评标报告应当包括以下内容：</w:t>
      </w:r>
    </w:p>
    <w:p w14:paraId="163352E2">
      <w:pPr>
        <w:pStyle w:val="156"/>
        <w:adjustRightInd w:val="0"/>
        <w:spacing w:line="360" w:lineRule="auto"/>
        <w:ind w:firstLine="480" w:firstLineChars="200"/>
        <w:rPr>
          <w:rFonts w:ascii="宋体" w:hAnsi="宋体" w:eastAsia="仿宋" w:cs="宋体"/>
          <w:sz w:val="24"/>
          <w:szCs w:val="24"/>
          <w:highlight w:val="none"/>
        </w:rPr>
      </w:pPr>
      <w:bookmarkStart w:id="855" w:name="_Toc455587105"/>
      <w:bookmarkStart w:id="856" w:name="_Toc445554773"/>
      <w:bookmarkStart w:id="857" w:name="_Toc455587289"/>
      <w:r>
        <w:rPr>
          <w:rFonts w:hint="eastAsia" w:ascii="宋体" w:hAnsi="宋体" w:eastAsia="仿宋" w:cs="宋体"/>
          <w:sz w:val="24"/>
          <w:szCs w:val="24"/>
          <w:highlight w:val="none"/>
        </w:rPr>
        <w:t>（1）招标公告的发布媒介、开标日期和地点；</w:t>
      </w:r>
    </w:p>
    <w:p w14:paraId="3633F9A5">
      <w:pPr>
        <w:pStyle w:val="156"/>
        <w:adjustRightInd w:val="0"/>
        <w:spacing w:line="360" w:lineRule="auto"/>
        <w:ind w:firstLine="480" w:firstLineChars="200"/>
        <w:rPr>
          <w:rFonts w:ascii="宋体" w:hAnsi="宋体" w:eastAsia="仿宋" w:cs="宋体"/>
          <w:sz w:val="24"/>
          <w:szCs w:val="24"/>
          <w:highlight w:val="none"/>
        </w:rPr>
      </w:pPr>
      <w:r>
        <w:rPr>
          <w:rFonts w:hint="eastAsia" w:ascii="宋体" w:hAnsi="宋体" w:eastAsia="仿宋" w:cs="宋体"/>
          <w:sz w:val="24"/>
          <w:szCs w:val="24"/>
          <w:highlight w:val="none"/>
        </w:rPr>
        <w:t>（2）投标人名单和评标委员会成员名单；</w:t>
      </w:r>
    </w:p>
    <w:p w14:paraId="73124B2C">
      <w:pPr>
        <w:pStyle w:val="156"/>
        <w:adjustRightInd w:val="0"/>
        <w:spacing w:line="360" w:lineRule="auto"/>
        <w:ind w:firstLine="480" w:firstLineChars="200"/>
        <w:rPr>
          <w:rFonts w:ascii="宋体" w:hAnsi="宋体" w:eastAsia="仿宋" w:cs="宋体"/>
          <w:sz w:val="24"/>
          <w:szCs w:val="24"/>
          <w:highlight w:val="none"/>
        </w:rPr>
      </w:pPr>
      <w:r>
        <w:rPr>
          <w:rFonts w:hint="eastAsia" w:ascii="宋体" w:hAnsi="宋体" w:eastAsia="仿宋" w:cs="宋体"/>
          <w:sz w:val="24"/>
          <w:szCs w:val="24"/>
          <w:highlight w:val="none"/>
        </w:rPr>
        <w:t>（3）评标方法和标准；</w:t>
      </w:r>
    </w:p>
    <w:p w14:paraId="25A31FA8">
      <w:pPr>
        <w:pStyle w:val="156"/>
        <w:adjustRightInd w:val="0"/>
        <w:spacing w:line="360" w:lineRule="auto"/>
        <w:ind w:firstLine="480" w:firstLineChars="200"/>
        <w:rPr>
          <w:rFonts w:ascii="宋体" w:hAnsi="宋体" w:eastAsia="仿宋" w:cs="宋体"/>
          <w:sz w:val="24"/>
          <w:szCs w:val="24"/>
          <w:highlight w:val="none"/>
        </w:rPr>
      </w:pPr>
      <w:r>
        <w:rPr>
          <w:rFonts w:hint="eastAsia" w:ascii="宋体" w:hAnsi="宋体" w:eastAsia="仿宋" w:cs="宋体"/>
          <w:sz w:val="24"/>
          <w:szCs w:val="24"/>
          <w:highlight w:val="none"/>
        </w:rPr>
        <w:t>（4）开标记录和评标情况及说明，包括无效投标人名单及原因；</w:t>
      </w:r>
    </w:p>
    <w:p w14:paraId="571F965C">
      <w:pPr>
        <w:pStyle w:val="156"/>
        <w:adjustRightInd w:val="0"/>
        <w:spacing w:line="360" w:lineRule="auto"/>
        <w:ind w:firstLine="480" w:firstLineChars="200"/>
        <w:rPr>
          <w:rFonts w:ascii="宋体" w:hAnsi="宋体" w:eastAsia="仿宋" w:cs="宋体"/>
          <w:sz w:val="24"/>
          <w:szCs w:val="24"/>
          <w:highlight w:val="none"/>
        </w:rPr>
      </w:pPr>
      <w:r>
        <w:rPr>
          <w:rFonts w:hint="eastAsia" w:ascii="宋体" w:hAnsi="宋体" w:eastAsia="仿宋" w:cs="宋体"/>
          <w:sz w:val="24"/>
          <w:szCs w:val="24"/>
          <w:highlight w:val="none"/>
        </w:rPr>
        <w:t>（5）评标结果，确定的中标候选人名单或者经采购人委托直接确定的中标人；</w:t>
      </w:r>
    </w:p>
    <w:p w14:paraId="5C3DDCDF">
      <w:pPr>
        <w:pStyle w:val="156"/>
        <w:adjustRightInd w:val="0"/>
        <w:spacing w:line="360" w:lineRule="auto"/>
        <w:ind w:firstLine="480" w:firstLineChars="200"/>
        <w:rPr>
          <w:rFonts w:hint="eastAsia" w:ascii="宋体" w:hAnsi="宋体" w:eastAsia="仿宋" w:cs="宋体"/>
          <w:sz w:val="24"/>
          <w:szCs w:val="24"/>
          <w:highlight w:val="none"/>
        </w:rPr>
      </w:pPr>
      <w:r>
        <w:rPr>
          <w:rFonts w:hint="eastAsia" w:ascii="宋体" w:hAnsi="宋体" w:eastAsia="仿宋" w:cs="宋体"/>
          <w:sz w:val="24"/>
          <w:szCs w:val="24"/>
          <w:highlight w:val="none"/>
        </w:rPr>
        <w:t>（6）其他需要说明的情况，包括评标过程中投标人根据评标委员会要求进行的澄清、说明或者补正，评标委员会成员的更换等。</w:t>
      </w:r>
    </w:p>
    <w:p w14:paraId="56E5FEB1">
      <w:pPr>
        <w:pStyle w:val="3"/>
        <w:widowControl/>
        <w:adjustRightInd w:val="0"/>
        <w:spacing w:before="0" w:after="0" w:line="360" w:lineRule="auto"/>
        <w:ind w:firstLine="482" w:firstLineChars="200"/>
        <w:rPr>
          <w:rFonts w:hint="eastAsia" w:ascii="宋体" w:hAnsi="宋体" w:eastAsia="仿宋"/>
          <w:bCs w:val="0"/>
          <w:sz w:val="24"/>
          <w:szCs w:val="24"/>
          <w:highlight w:val="none"/>
        </w:rPr>
      </w:pPr>
      <w:bookmarkStart w:id="858" w:name="_Toc466024572"/>
      <w:r>
        <w:rPr>
          <w:rFonts w:hint="eastAsia" w:ascii="宋体" w:hAnsi="宋体" w:eastAsia="仿宋"/>
          <w:bCs w:val="0"/>
          <w:sz w:val="24"/>
          <w:szCs w:val="24"/>
          <w:highlight w:val="none"/>
        </w:rPr>
        <w:t>5. 其他</w:t>
      </w:r>
      <w:bookmarkEnd w:id="855"/>
      <w:bookmarkEnd w:id="856"/>
      <w:bookmarkEnd w:id="857"/>
      <w:bookmarkEnd w:id="858"/>
    </w:p>
    <w:p w14:paraId="6466F921">
      <w:pPr>
        <w:pStyle w:val="156"/>
        <w:adjustRightInd w:val="0"/>
        <w:spacing w:line="360" w:lineRule="auto"/>
        <w:ind w:firstLine="480" w:firstLineChars="200"/>
        <w:rPr>
          <w:rFonts w:hint="eastAsia" w:ascii="宋体" w:hAnsi="宋体" w:eastAsia="仿宋"/>
          <w:sz w:val="24"/>
          <w:szCs w:val="24"/>
          <w:highlight w:val="none"/>
        </w:rPr>
      </w:pPr>
      <w:r>
        <w:rPr>
          <w:rFonts w:hint="eastAsia" w:ascii="宋体" w:hAnsi="宋体" w:eastAsia="仿宋"/>
          <w:sz w:val="24"/>
          <w:szCs w:val="24"/>
          <w:highlight w:val="none"/>
        </w:rPr>
        <w:t>5.1 投标人提供的与投标有关的各类证书、证明、文件、资料等的真实性、合法性由投标人负全责。评标委员会一律不负责进行核查确认。评标时评标委员会发现投标人存在弄虚作假嫌疑的，或者由其他投标人和其他利害关系人投诉举报发现投标人存在弄虚作假行为的,提请有关监督部门另行立案调查，评标工作正常进行；有关监督部门调查确认弄虚作假情况属实的，如果该投标人已被确定为中标候选人的，由采购人按照法律法规相关规定取消其中标资格，并从其他中标候选人中依照推荐次序确定中标人。</w:t>
      </w:r>
    </w:p>
    <w:p w14:paraId="367B7AC9">
      <w:pPr>
        <w:pStyle w:val="156"/>
        <w:adjustRightInd w:val="0"/>
        <w:spacing w:line="360" w:lineRule="auto"/>
        <w:ind w:firstLine="480" w:firstLineChars="200"/>
        <w:rPr>
          <w:rFonts w:ascii="宋体" w:hAnsi="宋体" w:eastAsia="仿宋"/>
          <w:sz w:val="24"/>
          <w:szCs w:val="24"/>
          <w:highlight w:val="none"/>
        </w:rPr>
      </w:pPr>
      <w:r>
        <w:rPr>
          <w:rFonts w:hint="eastAsia" w:ascii="宋体" w:hAnsi="宋体" w:eastAsia="仿宋"/>
          <w:sz w:val="24"/>
          <w:szCs w:val="24"/>
          <w:highlight w:val="none"/>
        </w:rPr>
        <w:t>5.2 投标人提供业绩、荣誉证书、资质资格证书、相关证明材料等文件及资料均须在投标文件中提供，电子投标文件中提供扫描件或电子证照。如未在投标文件中提供，则资格审查、符合性审查相应项视为不通过；评分项目相应项不予计分。</w:t>
      </w:r>
    </w:p>
    <w:p w14:paraId="46BADA16">
      <w:pPr>
        <w:pStyle w:val="156"/>
        <w:adjustRightInd w:val="0"/>
        <w:spacing w:line="360" w:lineRule="auto"/>
        <w:ind w:firstLine="480" w:firstLineChars="200"/>
        <w:rPr>
          <w:rFonts w:hint="eastAsia" w:ascii="宋体" w:hAnsi="宋体" w:eastAsia="仿宋"/>
          <w:color w:val="FF0000"/>
          <w:sz w:val="24"/>
          <w:szCs w:val="24"/>
          <w:highlight w:val="none"/>
        </w:rPr>
      </w:pPr>
    </w:p>
    <w:p w14:paraId="7801018C">
      <w:pPr>
        <w:widowControl/>
        <w:spacing w:line="400" w:lineRule="exact"/>
        <w:ind w:firstLine="480" w:firstLineChars="200"/>
        <w:rPr>
          <w:rFonts w:ascii="宋体" w:hAnsi="宋体" w:eastAsia="仿宋"/>
          <w:sz w:val="24"/>
          <w:highlight w:val="none"/>
        </w:rPr>
      </w:pPr>
    </w:p>
    <w:p w14:paraId="19F118FC">
      <w:pPr>
        <w:widowControl/>
        <w:spacing w:line="400" w:lineRule="exact"/>
        <w:ind w:firstLine="480" w:firstLineChars="200"/>
        <w:rPr>
          <w:rFonts w:ascii="宋体" w:hAnsi="宋体" w:eastAsia="仿宋"/>
          <w:sz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6CEF618">
      <w:pPr>
        <w:pStyle w:val="2"/>
        <w:widowControl/>
        <w:spacing w:before="0" w:after="0" w:line="240" w:lineRule="auto"/>
        <w:jc w:val="center"/>
        <w:rPr>
          <w:rFonts w:hint="eastAsia" w:ascii="宋体" w:hAnsi="宋体" w:eastAsia="仿宋"/>
          <w:color w:val="auto"/>
          <w:highlight w:val="none"/>
        </w:rPr>
      </w:pPr>
      <w:bookmarkStart w:id="859" w:name="_Toc466024582"/>
      <w:bookmarkStart w:id="860" w:name="_Toc445554783"/>
      <w:bookmarkStart w:id="861" w:name="_Toc395"/>
      <w:bookmarkStart w:id="862" w:name="_Toc152696791"/>
      <w:bookmarkStart w:id="863" w:name="_Toc256434217"/>
      <w:bookmarkStart w:id="864" w:name="_Toc153636085"/>
      <w:bookmarkStart w:id="865" w:name="_Toc176780575"/>
      <w:bookmarkStart w:id="866" w:name="_Toc162410278"/>
      <w:bookmarkStart w:id="867" w:name="_Toc201377864"/>
      <w:bookmarkStart w:id="868" w:name="_Toc138323410"/>
      <w:bookmarkStart w:id="869" w:name="_Toc165463683"/>
      <w:bookmarkStart w:id="870" w:name="_Toc139194404"/>
      <w:bookmarkStart w:id="871" w:name="_Toc177181404"/>
      <w:bookmarkStart w:id="872" w:name="_Toc256955329"/>
      <w:bookmarkStart w:id="873" w:name="_Toc138638816"/>
      <w:bookmarkStart w:id="874" w:name="_Toc153635713"/>
      <w:bookmarkStart w:id="875" w:name="_Toc153634810"/>
      <w:bookmarkStart w:id="876" w:name="_Toc176927207"/>
      <w:bookmarkStart w:id="877" w:name="_Toc153630652"/>
      <w:bookmarkStart w:id="878" w:name="_Toc199585022"/>
      <w:bookmarkStart w:id="879" w:name="_Toc221418700"/>
      <w:bookmarkStart w:id="880" w:name="_Toc192231354"/>
      <w:bookmarkStart w:id="881" w:name="_Toc256409867"/>
      <w:bookmarkStart w:id="882" w:name="_Toc255490647"/>
      <w:bookmarkStart w:id="883" w:name="_Toc153485042"/>
      <w:bookmarkStart w:id="884" w:name="_Toc162331289"/>
      <w:bookmarkStart w:id="885" w:name="_Toc162406884"/>
      <w:r>
        <w:rPr>
          <w:rFonts w:hint="eastAsia" w:ascii="宋体" w:hAnsi="宋体" w:eastAsia="仿宋"/>
          <w:color w:val="auto"/>
          <w:highlight w:val="none"/>
        </w:rPr>
        <w:t>第五章  合同条款及格式</w:t>
      </w:r>
      <w:bookmarkEnd w:id="859"/>
      <w:bookmarkEnd w:id="860"/>
      <w:bookmarkEnd w:id="861"/>
    </w:p>
    <w:p w14:paraId="5A86A431">
      <w:pPr>
        <w:rPr>
          <w:rFonts w:hint="eastAsia"/>
          <w:color w:val="auto"/>
          <w:highlight w:val="none"/>
        </w:rPr>
      </w:pPr>
    </w:p>
    <w:p w14:paraId="0B57F838">
      <w:pPr>
        <w:spacing w:line="360" w:lineRule="auto"/>
        <w:jc w:val="center"/>
        <w:rPr>
          <w:rFonts w:ascii="楷体" w:hAnsi="楷体" w:eastAsia="楷体"/>
          <w:i/>
          <w:color w:val="auto"/>
          <w:sz w:val="28"/>
          <w:szCs w:val="28"/>
          <w:highlight w:val="none"/>
        </w:rPr>
      </w:pPr>
      <w:r>
        <w:rPr>
          <w:rFonts w:hint="eastAsia" w:ascii="楷体" w:hAnsi="楷体" w:eastAsia="楷体"/>
          <w:i/>
          <w:color w:val="auto"/>
          <w:sz w:val="28"/>
          <w:szCs w:val="28"/>
          <w:highlight w:val="none"/>
        </w:rPr>
        <w:t>（供参考）</w:t>
      </w:r>
    </w:p>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14:paraId="0EF5F486">
      <w:pPr>
        <w:widowControl/>
        <w:kinsoku w:val="0"/>
        <w:autoSpaceDE w:val="0"/>
        <w:autoSpaceDN w:val="0"/>
        <w:adjustRightInd w:val="0"/>
        <w:snapToGrid w:val="0"/>
        <w:spacing w:line="253" w:lineRule="auto"/>
        <w:jc w:val="left"/>
        <w:textAlignment w:val="baseline"/>
        <w:rPr>
          <w:rFonts w:ascii="Arial" w:hAnsi="Arial" w:eastAsia="Arial" w:cs="Arial"/>
          <w:snapToGrid w:val="0"/>
          <w:color w:val="auto"/>
          <w:kern w:val="0"/>
          <w:szCs w:val="21"/>
          <w:highlight w:val="none"/>
          <w:lang w:eastAsia="en-US"/>
        </w:rPr>
      </w:pPr>
    </w:p>
    <w:p w14:paraId="421EB487">
      <w:pPr>
        <w:widowControl/>
        <w:kinsoku w:val="0"/>
        <w:autoSpaceDE w:val="0"/>
        <w:autoSpaceDN w:val="0"/>
        <w:adjustRightInd w:val="0"/>
        <w:snapToGrid w:val="0"/>
        <w:spacing w:before="133" w:line="182" w:lineRule="auto"/>
        <w:ind w:right="681"/>
        <w:jc w:val="center"/>
        <w:textAlignment w:val="baseline"/>
        <w:rPr>
          <w:rFonts w:ascii="微软雅黑" w:hAnsi="微软雅黑" w:eastAsia="微软雅黑" w:cs="微软雅黑"/>
          <w:b/>
          <w:bCs/>
          <w:snapToGrid w:val="0"/>
          <w:color w:val="auto"/>
          <w:spacing w:val="8"/>
          <w:kern w:val="0"/>
          <w:sz w:val="31"/>
          <w:szCs w:val="31"/>
          <w:highlight w:val="none"/>
        </w:rPr>
      </w:pPr>
      <w:r>
        <w:rPr>
          <w:rFonts w:ascii="微软雅黑" w:hAnsi="微软雅黑" w:eastAsia="微软雅黑" w:cs="微软雅黑"/>
          <w:b/>
          <w:bCs/>
          <w:snapToGrid w:val="0"/>
          <w:color w:val="auto"/>
          <w:spacing w:val="-1"/>
          <w:kern w:val="0"/>
          <w:sz w:val="31"/>
          <w:szCs w:val="31"/>
          <w:highlight w:val="none"/>
        </w:rPr>
        <w:t>安徽省</w:t>
      </w:r>
      <w:r>
        <w:rPr>
          <w:rFonts w:hint="eastAsia" w:ascii="微软雅黑" w:hAnsi="微软雅黑" w:eastAsia="微软雅黑" w:cs="微软雅黑"/>
          <w:b/>
          <w:bCs/>
          <w:snapToGrid w:val="0"/>
          <w:color w:val="auto"/>
          <w:spacing w:val="-1"/>
          <w:kern w:val="0"/>
          <w:sz w:val="31"/>
          <w:szCs w:val="31"/>
          <w:highlight w:val="none"/>
        </w:rPr>
        <w:t>紧密型县域医共体设备更新一期项目</w:t>
      </w:r>
    </w:p>
    <w:p w14:paraId="313BF709">
      <w:pPr>
        <w:widowControl/>
        <w:kinsoku w:val="0"/>
        <w:autoSpaceDE w:val="0"/>
        <w:autoSpaceDN w:val="0"/>
        <w:adjustRightInd w:val="0"/>
        <w:snapToGrid w:val="0"/>
        <w:spacing w:before="133" w:line="182" w:lineRule="auto"/>
        <w:ind w:right="681"/>
        <w:jc w:val="center"/>
        <w:textAlignment w:val="baseline"/>
        <w:rPr>
          <w:rFonts w:ascii="微软雅黑" w:hAnsi="微软雅黑" w:eastAsia="微软雅黑" w:cs="微软雅黑"/>
          <w:snapToGrid w:val="0"/>
          <w:color w:val="auto"/>
          <w:kern w:val="0"/>
          <w:sz w:val="24"/>
          <w:highlight w:val="none"/>
        </w:rPr>
      </w:pPr>
      <w:r>
        <w:rPr>
          <w:rFonts w:ascii="微软雅黑" w:hAnsi="微软雅黑" w:eastAsia="微软雅黑" w:cs="微软雅黑"/>
          <w:b/>
          <w:bCs/>
          <w:snapToGrid w:val="0"/>
          <w:color w:val="auto"/>
          <w:spacing w:val="8"/>
          <w:kern w:val="0"/>
          <w:sz w:val="31"/>
          <w:szCs w:val="31"/>
          <w:highlight w:val="none"/>
        </w:rPr>
        <w:t>框架协议</w:t>
      </w:r>
    </w:p>
    <w:p w14:paraId="7E54FCD7">
      <w:pPr>
        <w:widowControl/>
        <w:kinsoku w:val="0"/>
        <w:autoSpaceDE w:val="0"/>
        <w:autoSpaceDN w:val="0"/>
        <w:adjustRightInd w:val="0"/>
        <w:snapToGrid w:val="0"/>
        <w:spacing w:before="114" w:line="185" w:lineRule="auto"/>
        <w:jc w:val="left"/>
        <w:textAlignment w:val="baseline"/>
        <w:outlineLvl w:val="0"/>
        <w:rPr>
          <w:rFonts w:ascii="微软雅黑" w:hAnsi="微软雅黑" w:eastAsia="微软雅黑" w:cs="微软雅黑"/>
          <w:snapToGrid w:val="0"/>
          <w:color w:val="auto"/>
          <w:kern w:val="0"/>
          <w:sz w:val="24"/>
          <w:highlight w:val="none"/>
        </w:rPr>
      </w:pPr>
    </w:p>
    <w:p w14:paraId="789AF6A5">
      <w:pPr>
        <w:widowControl/>
        <w:kinsoku w:val="0"/>
        <w:autoSpaceDE w:val="0"/>
        <w:autoSpaceDN w:val="0"/>
        <w:adjustRightInd w:val="0"/>
        <w:snapToGrid w:val="0"/>
        <w:spacing w:line="360" w:lineRule="auto"/>
        <w:ind w:firstLine="480" w:firstLineChars="200"/>
        <w:jc w:val="left"/>
        <w:textAlignment w:val="baseline"/>
        <w:outlineLvl w:val="0"/>
        <w:rPr>
          <w:rFonts w:ascii="仿宋" w:hAnsi="仿宋" w:eastAsia="仿宋" w:cs="微软雅黑"/>
          <w:snapToGrid w:val="0"/>
          <w:color w:val="auto"/>
          <w:kern w:val="0"/>
          <w:sz w:val="24"/>
          <w:highlight w:val="none"/>
        </w:rPr>
      </w:pPr>
      <w:r>
        <w:rPr>
          <w:rFonts w:hint="eastAsia" w:ascii="仿宋" w:hAnsi="仿宋" w:eastAsia="仿宋" w:cs="微软雅黑"/>
          <w:snapToGrid w:val="0"/>
          <w:color w:val="auto"/>
          <w:kern w:val="0"/>
          <w:sz w:val="24"/>
          <w:highlight w:val="none"/>
        </w:rPr>
        <w:t>买方：                 电话：</w:t>
      </w:r>
    </w:p>
    <w:p w14:paraId="2EC8426A">
      <w:pPr>
        <w:widowControl/>
        <w:kinsoku w:val="0"/>
        <w:autoSpaceDE w:val="0"/>
        <w:autoSpaceDN w:val="0"/>
        <w:adjustRightInd w:val="0"/>
        <w:snapToGrid w:val="0"/>
        <w:spacing w:line="360" w:lineRule="auto"/>
        <w:ind w:firstLine="480" w:firstLineChars="200"/>
        <w:jc w:val="left"/>
        <w:textAlignment w:val="baseline"/>
        <w:outlineLvl w:val="0"/>
        <w:rPr>
          <w:rFonts w:ascii="仿宋" w:hAnsi="仿宋" w:eastAsia="仿宋" w:cs="微软雅黑"/>
          <w:snapToGrid w:val="0"/>
          <w:color w:val="auto"/>
          <w:kern w:val="0"/>
          <w:sz w:val="24"/>
          <w:highlight w:val="none"/>
        </w:rPr>
      </w:pPr>
      <w:r>
        <w:rPr>
          <w:rFonts w:hint="eastAsia" w:ascii="仿宋" w:hAnsi="仿宋" w:eastAsia="仿宋" w:cs="微软雅黑"/>
          <w:snapToGrid w:val="0"/>
          <w:color w:val="auto"/>
          <w:kern w:val="0"/>
          <w:sz w:val="24"/>
          <w:highlight w:val="none"/>
        </w:rPr>
        <w:t>卖方：                 电话：</w:t>
      </w:r>
    </w:p>
    <w:p w14:paraId="2B71037A">
      <w:pPr>
        <w:widowControl/>
        <w:kinsoku w:val="0"/>
        <w:autoSpaceDE w:val="0"/>
        <w:autoSpaceDN w:val="0"/>
        <w:adjustRightInd w:val="0"/>
        <w:snapToGrid w:val="0"/>
        <w:spacing w:line="360" w:lineRule="auto"/>
        <w:ind w:firstLine="480" w:firstLineChars="200"/>
        <w:jc w:val="left"/>
        <w:textAlignment w:val="baseline"/>
        <w:outlineLvl w:val="0"/>
        <w:rPr>
          <w:rFonts w:ascii="仿宋" w:hAnsi="仿宋" w:eastAsia="仿宋" w:cs="微软雅黑"/>
          <w:snapToGrid w:val="0"/>
          <w:color w:val="auto"/>
          <w:kern w:val="0"/>
          <w:sz w:val="24"/>
          <w:highlight w:val="none"/>
        </w:rPr>
      </w:pPr>
    </w:p>
    <w:p w14:paraId="78B0D721">
      <w:pPr>
        <w:widowControl/>
        <w:kinsoku w:val="0"/>
        <w:autoSpaceDE w:val="0"/>
        <w:autoSpaceDN w:val="0"/>
        <w:adjustRightInd w:val="0"/>
        <w:snapToGrid w:val="0"/>
        <w:spacing w:line="360" w:lineRule="auto"/>
        <w:ind w:firstLine="480" w:firstLineChars="200"/>
        <w:jc w:val="left"/>
        <w:textAlignment w:val="baseline"/>
        <w:outlineLvl w:val="0"/>
        <w:rPr>
          <w:rFonts w:ascii="仿宋" w:hAnsi="仿宋" w:eastAsia="仿宋" w:cs="微软雅黑"/>
          <w:snapToGrid w:val="0"/>
          <w:color w:val="auto"/>
          <w:kern w:val="0"/>
          <w:sz w:val="24"/>
          <w:highlight w:val="none"/>
        </w:rPr>
      </w:pPr>
      <w:r>
        <w:rPr>
          <w:rFonts w:hint="eastAsia" w:ascii="仿宋" w:hAnsi="仿宋" w:eastAsia="仿宋" w:cs="微软雅黑"/>
          <w:snapToGrid w:val="0"/>
          <w:color w:val="auto"/>
          <w:kern w:val="0"/>
          <w:sz w:val="24"/>
          <w:highlight w:val="none"/>
        </w:rPr>
        <w:t>依据《中华人民共和国民法典》、《中华人民共和国政府采购法》等有关的法律法规，以及本采购项目的招标/谈判文件等采购文件、《投标（响应）文件》及《中标（成交）通知书》，双方同意签订本合同。具体情况及要求如下：</w:t>
      </w:r>
    </w:p>
    <w:p w14:paraId="4554731E">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一、货物的名称、规格型号、数量和价格（若产品过多则见附表， 如有附表则必须加盖公章）</w:t>
      </w:r>
    </w:p>
    <w:tbl>
      <w:tblPr>
        <w:tblStyle w:val="48"/>
        <w:tblW w:w="4885"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2536"/>
        <w:gridCol w:w="1903"/>
        <w:gridCol w:w="754"/>
        <w:gridCol w:w="2759"/>
        <w:gridCol w:w="1470"/>
      </w:tblGrid>
      <w:tr w14:paraId="00BE48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jc w:val="center"/>
        </w:trPr>
        <w:tc>
          <w:tcPr>
            <w:tcW w:w="1346" w:type="pct"/>
            <w:noWrap w:val="0"/>
            <w:vAlign w:val="top"/>
          </w:tcPr>
          <w:p w14:paraId="239C26C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微软雅黑"/>
                <w:snapToGrid w:val="0"/>
                <w:color w:val="auto"/>
                <w:spacing w:val="-3"/>
                <w:kern w:val="0"/>
                <w:sz w:val="24"/>
                <w:highlight w:val="none"/>
              </w:rPr>
            </w:pPr>
            <w:r>
              <w:rPr>
                <w:rFonts w:hint="default" w:ascii="仿宋" w:hAnsi="仿宋" w:eastAsia="仿宋" w:cs="微软雅黑"/>
                <w:snapToGrid w:val="0"/>
                <w:color w:val="auto"/>
                <w:spacing w:val="-3"/>
                <w:kern w:val="0"/>
                <w:sz w:val="24"/>
                <w:highlight w:val="none"/>
                <w:lang w:eastAsia="en-US"/>
              </w:rPr>
              <w:t>产品名称</w:t>
            </w:r>
          </w:p>
        </w:tc>
        <w:tc>
          <w:tcPr>
            <w:tcW w:w="1010" w:type="pct"/>
            <w:noWrap w:val="0"/>
            <w:vAlign w:val="top"/>
          </w:tcPr>
          <w:p w14:paraId="01E6B9A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微软雅黑"/>
                <w:snapToGrid w:val="0"/>
                <w:color w:val="auto"/>
                <w:kern w:val="0"/>
                <w:sz w:val="24"/>
                <w:highlight w:val="none"/>
                <w:lang w:eastAsia="en-US"/>
              </w:rPr>
            </w:pPr>
            <w:r>
              <w:rPr>
                <w:rFonts w:hint="default" w:ascii="仿宋" w:hAnsi="仿宋" w:eastAsia="仿宋" w:cs="微软雅黑"/>
                <w:snapToGrid w:val="0"/>
                <w:color w:val="auto"/>
                <w:spacing w:val="-3"/>
                <w:kern w:val="0"/>
                <w:sz w:val="24"/>
                <w:highlight w:val="none"/>
                <w:lang w:eastAsia="en-US"/>
              </w:rPr>
              <w:t>规格型号</w:t>
            </w:r>
          </w:p>
        </w:tc>
        <w:tc>
          <w:tcPr>
            <w:tcW w:w="400" w:type="pct"/>
            <w:noWrap w:val="0"/>
            <w:vAlign w:val="top"/>
          </w:tcPr>
          <w:p w14:paraId="5074122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微软雅黑"/>
                <w:snapToGrid w:val="0"/>
                <w:color w:val="auto"/>
                <w:kern w:val="0"/>
                <w:sz w:val="24"/>
                <w:highlight w:val="none"/>
                <w:lang w:eastAsia="en-US"/>
              </w:rPr>
            </w:pPr>
            <w:r>
              <w:rPr>
                <w:rFonts w:hint="default" w:ascii="仿宋" w:hAnsi="仿宋" w:eastAsia="仿宋" w:cs="微软雅黑"/>
                <w:snapToGrid w:val="0"/>
                <w:color w:val="auto"/>
                <w:spacing w:val="-6"/>
                <w:kern w:val="0"/>
                <w:sz w:val="24"/>
                <w:highlight w:val="none"/>
                <w:lang w:eastAsia="en-US"/>
              </w:rPr>
              <w:t>单位</w:t>
            </w:r>
          </w:p>
        </w:tc>
        <w:tc>
          <w:tcPr>
            <w:tcW w:w="1464" w:type="pct"/>
            <w:noWrap w:val="0"/>
            <w:vAlign w:val="top"/>
          </w:tcPr>
          <w:p w14:paraId="362D869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微软雅黑"/>
                <w:snapToGrid w:val="0"/>
                <w:color w:val="auto"/>
                <w:kern w:val="0"/>
                <w:sz w:val="24"/>
                <w:highlight w:val="none"/>
              </w:rPr>
            </w:pPr>
            <w:r>
              <w:rPr>
                <w:rFonts w:hint="eastAsia" w:ascii="仿宋" w:hAnsi="仿宋" w:eastAsia="仿宋" w:cs="微软雅黑"/>
                <w:snapToGrid w:val="0"/>
                <w:color w:val="auto"/>
                <w:kern w:val="0"/>
                <w:sz w:val="24"/>
                <w:highlight w:val="none"/>
              </w:rPr>
              <w:t>生产厂家</w:t>
            </w:r>
          </w:p>
        </w:tc>
        <w:tc>
          <w:tcPr>
            <w:tcW w:w="777" w:type="pct"/>
            <w:noWrap w:val="0"/>
            <w:vAlign w:val="top"/>
          </w:tcPr>
          <w:p w14:paraId="21F82A6E">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微软雅黑"/>
                <w:snapToGrid w:val="0"/>
                <w:color w:val="auto"/>
                <w:kern w:val="0"/>
                <w:sz w:val="24"/>
                <w:highlight w:val="none"/>
              </w:rPr>
            </w:pPr>
            <w:r>
              <w:rPr>
                <w:rFonts w:hint="eastAsia" w:ascii="仿宋" w:hAnsi="仿宋" w:eastAsia="仿宋" w:cs="微软雅黑"/>
                <w:snapToGrid w:val="0"/>
                <w:color w:val="auto"/>
                <w:spacing w:val="-3"/>
                <w:kern w:val="0"/>
                <w:sz w:val="24"/>
                <w:highlight w:val="none"/>
              </w:rPr>
              <w:t>数量</w:t>
            </w:r>
          </w:p>
        </w:tc>
      </w:tr>
      <w:tr w14:paraId="173CF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346" w:type="pct"/>
            <w:noWrap w:val="0"/>
            <w:vAlign w:val="top"/>
          </w:tcPr>
          <w:p w14:paraId="73AC1734">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1010" w:type="pct"/>
            <w:noWrap w:val="0"/>
            <w:vAlign w:val="center"/>
          </w:tcPr>
          <w:p w14:paraId="673E9BE3">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400" w:type="pct"/>
            <w:noWrap w:val="0"/>
            <w:vAlign w:val="center"/>
          </w:tcPr>
          <w:p w14:paraId="4EBEB07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333"/>
              <w:textAlignment w:val="baseline"/>
              <w:rPr>
                <w:rFonts w:hint="default" w:ascii="仿宋" w:hAnsi="仿宋" w:eastAsia="仿宋" w:cs="Arial"/>
                <w:snapToGrid w:val="0"/>
                <w:color w:val="auto"/>
                <w:kern w:val="0"/>
                <w:sz w:val="24"/>
                <w:highlight w:val="none"/>
              </w:rPr>
            </w:pPr>
          </w:p>
        </w:tc>
        <w:tc>
          <w:tcPr>
            <w:tcW w:w="1464" w:type="pct"/>
            <w:noWrap w:val="0"/>
            <w:vAlign w:val="center"/>
          </w:tcPr>
          <w:p w14:paraId="115FEAFF">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777" w:type="pct"/>
            <w:noWrap w:val="0"/>
            <w:vAlign w:val="top"/>
          </w:tcPr>
          <w:p w14:paraId="03347857">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r>
      <w:tr w14:paraId="5F378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jc w:val="center"/>
        </w:trPr>
        <w:tc>
          <w:tcPr>
            <w:tcW w:w="1346" w:type="pct"/>
            <w:noWrap w:val="0"/>
            <w:vAlign w:val="top"/>
          </w:tcPr>
          <w:p w14:paraId="7432E55C">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1010" w:type="pct"/>
            <w:noWrap w:val="0"/>
            <w:vAlign w:val="center"/>
          </w:tcPr>
          <w:p w14:paraId="7002C471">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400" w:type="pct"/>
            <w:noWrap w:val="0"/>
            <w:vAlign w:val="center"/>
          </w:tcPr>
          <w:p w14:paraId="29AB1F09">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firstLine="333"/>
              <w:textAlignment w:val="baseline"/>
              <w:rPr>
                <w:rFonts w:hint="default" w:ascii="仿宋" w:hAnsi="仿宋" w:eastAsia="仿宋" w:cs="Arial"/>
                <w:snapToGrid w:val="0"/>
                <w:color w:val="auto"/>
                <w:kern w:val="0"/>
                <w:sz w:val="24"/>
                <w:highlight w:val="none"/>
              </w:rPr>
            </w:pPr>
          </w:p>
        </w:tc>
        <w:tc>
          <w:tcPr>
            <w:tcW w:w="1464" w:type="pct"/>
            <w:noWrap w:val="0"/>
            <w:vAlign w:val="center"/>
          </w:tcPr>
          <w:p w14:paraId="439C56CB">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c>
          <w:tcPr>
            <w:tcW w:w="777" w:type="pct"/>
            <w:noWrap w:val="0"/>
            <w:vAlign w:val="top"/>
          </w:tcPr>
          <w:p w14:paraId="73E96560">
            <w:pPr>
              <w:keepNext w:val="0"/>
              <w:keepLines w:val="0"/>
              <w:widowControl/>
              <w:suppressLineNumbers w:val="0"/>
              <w:kinsoku w:val="0"/>
              <w:autoSpaceDE w:val="0"/>
              <w:autoSpaceDN w:val="0"/>
              <w:adjustRightInd w:val="0"/>
              <w:snapToGrid w:val="0"/>
              <w:spacing w:before="0" w:beforeAutospacing="0" w:after="0" w:afterAutospacing="0" w:line="360" w:lineRule="auto"/>
              <w:ind w:left="0" w:right="0"/>
              <w:jc w:val="center"/>
              <w:textAlignment w:val="baseline"/>
              <w:rPr>
                <w:rFonts w:hint="default" w:ascii="仿宋" w:hAnsi="仿宋" w:eastAsia="仿宋" w:cs="Arial"/>
                <w:snapToGrid w:val="0"/>
                <w:color w:val="auto"/>
                <w:kern w:val="0"/>
                <w:sz w:val="24"/>
                <w:highlight w:val="none"/>
              </w:rPr>
            </w:pPr>
          </w:p>
        </w:tc>
      </w:tr>
      <w:tr w14:paraId="029D2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jc w:val="center"/>
        </w:trPr>
        <w:tc>
          <w:tcPr>
            <w:tcW w:w="5000" w:type="pct"/>
            <w:gridSpan w:val="5"/>
            <w:noWrap w:val="0"/>
            <w:vAlign w:val="top"/>
          </w:tcPr>
          <w:p w14:paraId="50C35302">
            <w:pPr>
              <w:keepNext w:val="0"/>
              <w:keepLines w:val="0"/>
              <w:widowControl/>
              <w:suppressLineNumbers w:val="0"/>
              <w:kinsoku w:val="0"/>
              <w:autoSpaceDE w:val="0"/>
              <w:autoSpaceDN w:val="0"/>
              <w:adjustRightInd w:val="0"/>
              <w:snapToGrid w:val="0"/>
              <w:spacing w:before="0" w:beforeAutospacing="0" w:after="0" w:afterAutospacing="0" w:line="360" w:lineRule="auto"/>
              <w:ind w:left="116" w:right="106" w:firstLine="3"/>
              <w:jc w:val="left"/>
              <w:textAlignment w:val="baseline"/>
              <w:rPr>
                <w:rFonts w:hint="default" w:ascii="仿宋" w:hAnsi="仿宋" w:eastAsia="仿宋" w:cs="微软雅黑"/>
                <w:snapToGrid w:val="0"/>
                <w:color w:val="auto"/>
                <w:spacing w:val="-36"/>
                <w:kern w:val="0"/>
                <w:sz w:val="24"/>
                <w:highlight w:val="none"/>
              </w:rPr>
            </w:pPr>
            <w:r>
              <w:rPr>
                <w:rFonts w:hint="default" w:ascii="仿宋" w:hAnsi="仿宋" w:eastAsia="仿宋" w:cs="微软雅黑"/>
                <w:snapToGrid w:val="0"/>
                <w:color w:val="auto"/>
                <w:spacing w:val="-5"/>
                <w:kern w:val="0"/>
                <w:sz w:val="24"/>
                <w:highlight w:val="none"/>
              </w:rPr>
              <w:t>备注：</w:t>
            </w:r>
            <w:r>
              <w:rPr>
                <w:rFonts w:hint="default" w:ascii="仿宋" w:hAnsi="仿宋" w:eastAsia="仿宋" w:cs="微软雅黑"/>
                <w:snapToGrid w:val="0"/>
                <w:color w:val="auto"/>
                <w:spacing w:val="-36"/>
                <w:kern w:val="0"/>
                <w:sz w:val="24"/>
                <w:highlight w:val="none"/>
              </w:rPr>
              <w:t xml:space="preserve"> </w:t>
            </w:r>
          </w:p>
          <w:p w14:paraId="78E4F53B">
            <w:pPr>
              <w:keepNext w:val="0"/>
              <w:keepLines w:val="0"/>
              <w:widowControl/>
              <w:suppressLineNumbers w:val="0"/>
              <w:kinsoku w:val="0"/>
              <w:autoSpaceDE w:val="0"/>
              <w:autoSpaceDN w:val="0"/>
              <w:adjustRightInd w:val="0"/>
              <w:snapToGrid w:val="0"/>
              <w:spacing w:before="0" w:beforeAutospacing="0" w:after="0" w:afterAutospacing="0" w:line="360" w:lineRule="auto"/>
              <w:ind w:left="116" w:right="106" w:firstLine="3"/>
              <w:jc w:val="left"/>
              <w:textAlignment w:val="baseline"/>
              <w:rPr>
                <w:rFonts w:hint="default" w:ascii="仿宋" w:hAnsi="仿宋" w:eastAsia="仿宋" w:cs="微软雅黑"/>
                <w:snapToGrid w:val="0"/>
                <w:color w:val="auto"/>
                <w:spacing w:val="-1"/>
                <w:kern w:val="0"/>
                <w:sz w:val="24"/>
                <w:highlight w:val="none"/>
              </w:rPr>
            </w:pPr>
            <w:r>
              <w:rPr>
                <w:rFonts w:hint="eastAsia" w:ascii="仿宋" w:hAnsi="仿宋" w:eastAsia="仿宋" w:cs="微软雅黑"/>
                <w:snapToGrid w:val="0"/>
                <w:color w:val="auto"/>
                <w:spacing w:val="-5"/>
                <w:kern w:val="0"/>
                <w:sz w:val="24"/>
                <w:highlight w:val="none"/>
              </w:rPr>
              <w:t>（1）</w:t>
            </w:r>
            <w:r>
              <w:rPr>
                <w:rFonts w:hint="default" w:ascii="仿宋" w:hAnsi="仿宋" w:eastAsia="仿宋" w:cs="微软雅黑"/>
                <w:snapToGrid w:val="0"/>
                <w:color w:val="auto"/>
                <w:spacing w:val="-5"/>
                <w:kern w:val="0"/>
                <w:sz w:val="24"/>
                <w:highlight w:val="none"/>
              </w:rPr>
              <w:t>上述产品</w:t>
            </w:r>
            <w:r>
              <w:rPr>
                <w:rFonts w:hint="eastAsia" w:ascii="仿宋" w:hAnsi="仿宋" w:eastAsia="仿宋" w:cs="微软雅黑"/>
                <w:snapToGrid w:val="0"/>
                <w:color w:val="auto"/>
                <w:spacing w:val="-5"/>
                <w:kern w:val="0"/>
                <w:sz w:val="24"/>
                <w:highlight w:val="none"/>
              </w:rPr>
              <w:t>价格详见</w:t>
            </w:r>
            <w:r>
              <w:rPr>
                <w:rFonts w:hint="eastAsia" w:ascii="仿宋" w:hAnsi="仿宋" w:eastAsia="仿宋" w:cs="微软雅黑"/>
                <w:snapToGrid w:val="0"/>
                <w:color w:val="auto"/>
                <w:spacing w:val="-1"/>
                <w:kern w:val="0"/>
                <w:sz w:val="24"/>
                <w:highlight w:val="none"/>
              </w:rPr>
              <w:t>采购合同（分合同），</w:t>
            </w:r>
            <w:r>
              <w:rPr>
                <w:rFonts w:hint="default" w:ascii="仿宋" w:hAnsi="仿宋" w:eastAsia="仿宋" w:cs="微软雅黑"/>
                <w:snapToGrid w:val="0"/>
                <w:color w:val="auto"/>
                <w:spacing w:val="-5"/>
                <w:kern w:val="0"/>
                <w:sz w:val="24"/>
                <w:highlight w:val="none"/>
              </w:rPr>
              <w:t>含产品生产</w:t>
            </w:r>
            <w:r>
              <w:rPr>
                <w:rFonts w:hint="default" w:ascii="仿宋" w:hAnsi="仿宋" w:eastAsia="仿宋" w:cs="微软雅黑"/>
                <w:snapToGrid w:val="0"/>
                <w:color w:val="auto"/>
                <w:spacing w:val="-42"/>
                <w:kern w:val="0"/>
                <w:sz w:val="24"/>
                <w:highlight w:val="none"/>
              </w:rPr>
              <w:t xml:space="preserve"> </w:t>
            </w:r>
            <w:r>
              <w:rPr>
                <w:rFonts w:hint="default" w:ascii="仿宋" w:hAnsi="仿宋" w:eastAsia="仿宋" w:cs="微软雅黑"/>
                <w:snapToGrid w:val="0"/>
                <w:color w:val="auto"/>
                <w:spacing w:val="-5"/>
                <w:kern w:val="0"/>
                <w:sz w:val="24"/>
                <w:highlight w:val="none"/>
              </w:rPr>
              <w:t>、运输&lt;送达至</w:t>
            </w:r>
            <w:r>
              <w:rPr>
                <w:rFonts w:hint="eastAsia" w:ascii="仿宋" w:hAnsi="仿宋" w:eastAsia="仿宋" w:cs="微软雅黑"/>
                <w:snapToGrid w:val="0"/>
                <w:color w:val="auto"/>
                <w:spacing w:val="-5"/>
                <w:kern w:val="0"/>
                <w:sz w:val="24"/>
                <w:highlight w:val="none"/>
                <w:lang w:val="en-US" w:eastAsia="zh-CN"/>
              </w:rPr>
              <w:t>各使用单位</w:t>
            </w:r>
            <w:r>
              <w:rPr>
                <w:rFonts w:hint="default" w:ascii="仿宋" w:hAnsi="仿宋" w:eastAsia="仿宋" w:cs="微软雅黑"/>
                <w:snapToGrid w:val="0"/>
                <w:color w:val="auto"/>
                <w:spacing w:val="-5"/>
                <w:kern w:val="0"/>
                <w:sz w:val="24"/>
                <w:highlight w:val="none"/>
              </w:rPr>
              <w:t>指定地点并下货&gt;</w:t>
            </w:r>
            <w:r>
              <w:rPr>
                <w:rFonts w:hint="default" w:ascii="仿宋" w:hAnsi="仿宋" w:eastAsia="仿宋" w:cs="微软雅黑"/>
                <w:snapToGrid w:val="0"/>
                <w:color w:val="auto"/>
                <w:spacing w:val="-43"/>
                <w:kern w:val="0"/>
                <w:sz w:val="24"/>
                <w:highlight w:val="none"/>
              </w:rPr>
              <w:t xml:space="preserve"> </w:t>
            </w:r>
            <w:r>
              <w:rPr>
                <w:rFonts w:hint="default" w:ascii="仿宋" w:hAnsi="仿宋" w:eastAsia="仿宋" w:cs="微软雅黑"/>
                <w:snapToGrid w:val="0"/>
                <w:color w:val="auto"/>
                <w:spacing w:val="-5"/>
                <w:kern w:val="0"/>
                <w:sz w:val="24"/>
                <w:highlight w:val="none"/>
              </w:rPr>
              <w:t>、安装</w:t>
            </w:r>
            <w:r>
              <w:rPr>
                <w:rFonts w:hint="default" w:ascii="仿宋" w:hAnsi="仿宋" w:eastAsia="仿宋" w:cs="微软雅黑"/>
                <w:snapToGrid w:val="0"/>
                <w:color w:val="auto"/>
                <w:spacing w:val="-42"/>
                <w:kern w:val="0"/>
                <w:sz w:val="24"/>
                <w:highlight w:val="none"/>
              </w:rPr>
              <w:t xml:space="preserve"> </w:t>
            </w:r>
            <w:r>
              <w:rPr>
                <w:rFonts w:hint="default" w:ascii="仿宋" w:hAnsi="仿宋" w:eastAsia="仿宋" w:cs="微软雅黑"/>
                <w:snapToGrid w:val="0"/>
                <w:color w:val="auto"/>
                <w:spacing w:val="-5"/>
                <w:kern w:val="0"/>
                <w:sz w:val="24"/>
                <w:highlight w:val="none"/>
              </w:rPr>
              <w:t>、调试</w:t>
            </w:r>
            <w:r>
              <w:rPr>
                <w:rFonts w:hint="default" w:ascii="仿宋" w:hAnsi="仿宋" w:eastAsia="仿宋" w:cs="微软雅黑"/>
                <w:snapToGrid w:val="0"/>
                <w:color w:val="auto"/>
                <w:spacing w:val="-43"/>
                <w:kern w:val="0"/>
                <w:sz w:val="24"/>
                <w:highlight w:val="none"/>
              </w:rPr>
              <w:t xml:space="preserve"> </w:t>
            </w:r>
            <w:r>
              <w:rPr>
                <w:rFonts w:hint="default" w:ascii="仿宋" w:hAnsi="仿宋" w:eastAsia="仿宋" w:cs="微软雅黑"/>
                <w:snapToGrid w:val="0"/>
                <w:color w:val="auto"/>
                <w:spacing w:val="-5"/>
                <w:kern w:val="0"/>
                <w:sz w:val="24"/>
                <w:highlight w:val="none"/>
              </w:rPr>
              <w:t>、检验</w:t>
            </w:r>
            <w:r>
              <w:rPr>
                <w:rFonts w:hint="default" w:ascii="仿宋" w:hAnsi="仿宋" w:eastAsia="仿宋" w:cs="微软雅黑"/>
                <w:snapToGrid w:val="0"/>
                <w:color w:val="auto"/>
                <w:kern w:val="0"/>
                <w:sz w:val="24"/>
                <w:highlight w:val="none"/>
              </w:rPr>
              <w:t xml:space="preserve"> </w:t>
            </w:r>
            <w:r>
              <w:rPr>
                <w:rFonts w:hint="default" w:ascii="仿宋" w:hAnsi="仿宋" w:eastAsia="仿宋" w:cs="微软雅黑"/>
                <w:snapToGrid w:val="0"/>
                <w:color w:val="auto"/>
                <w:spacing w:val="-1"/>
                <w:kern w:val="0"/>
                <w:sz w:val="24"/>
                <w:highlight w:val="none"/>
              </w:rPr>
              <w:t>及售后服务、税金、劳保基金等费用。</w:t>
            </w:r>
          </w:p>
          <w:p w14:paraId="7D08F466">
            <w:pPr>
              <w:keepNext w:val="0"/>
              <w:keepLines w:val="0"/>
              <w:widowControl/>
              <w:suppressLineNumbers w:val="0"/>
              <w:kinsoku w:val="0"/>
              <w:autoSpaceDE w:val="0"/>
              <w:autoSpaceDN w:val="0"/>
              <w:adjustRightInd w:val="0"/>
              <w:snapToGrid w:val="0"/>
              <w:spacing w:before="0" w:beforeAutospacing="0" w:after="0" w:afterAutospacing="0" w:line="360" w:lineRule="auto"/>
              <w:ind w:left="116" w:right="106" w:firstLine="3"/>
              <w:jc w:val="left"/>
              <w:textAlignment w:val="baseline"/>
              <w:rPr>
                <w:rFonts w:hint="default" w:ascii="仿宋" w:hAnsi="仿宋" w:eastAsia="仿宋" w:cs="微软雅黑"/>
                <w:snapToGrid w:val="0"/>
                <w:color w:val="auto"/>
                <w:spacing w:val="-1"/>
                <w:kern w:val="0"/>
                <w:sz w:val="24"/>
                <w:highlight w:val="none"/>
              </w:rPr>
            </w:pPr>
            <w:r>
              <w:rPr>
                <w:rFonts w:hint="eastAsia" w:ascii="仿宋" w:hAnsi="仿宋" w:eastAsia="仿宋" w:cs="微软雅黑"/>
                <w:snapToGrid w:val="0"/>
                <w:color w:val="auto"/>
                <w:spacing w:val="-1"/>
                <w:kern w:val="0"/>
                <w:sz w:val="24"/>
                <w:highlight w:val="none"/>
              </w:rPr>
              <w:t>（2）各使用单位可根据临床使用需求决定选择性采购招标文件中列明须单独报价的配件（或附件），采购合同（分合同）价格为相应标准配置设备中标价格与未选择采购（减少）配件（或附件）价格的相应价格之差。</w:t>
            </w:r>
          </w:p>
        </w:tc>
      </w:tr>
    </w:tbl>
    <w:p w14:paraId="4CC0F8DA">
      <w:pPr>
        <w:rPr>
          <w:color w:val="auto"/>
          <w:highlight w:val="none"/>
        </w:rPr>
      </w:pPr>
      <w:r>
        <w:rPr>
          <w:color w:val="auto"/>
          <w:highlight w:val="none"/>
        </w:rPr>
        <w:br w:type="page"/>
      </w:r>
    </w:p>
    <w:p w14:paraId="43BE6FEE">
      <w:pPr>
        <w:widowControl/>
        <w:kinsoku w:val="0"/>
        <w:autoSpaceDE w:val="0"/>
        <w:autoSpaceDN w:val="0"/>
        <w:adjustRightInd w:val="0"/>
        <w:snapToGrid w:val="0"/>
        <w:spacing w:line="360" w:lineRule="auto"/>
        <w:ind w:firstLine="478" w:firstLineChars="200"/>
        <w:jc w:val="left"/>
        <w:textAlignment w:val="baseline"/>
        <w:outlineLvl w:val="0"/>
        <w:rPr>
          <w:rFonts w:ascii="仿宋" w:hAnsi="仿宋" w:eastAsia="仿宋" w:cs="微软雅黑"/>
          <w:b/>
          <w:bCs/>
          <w:snapToGrid w:val="0"/>
          <w:color w:val="auto"/>
          <w:spacing w:val="-1"/>
          <w:kern w:val="0"/>
          <w:sz w:val="24"/>
          <w:highlight w:val="none"/>
        </w:rPr>
      </w:pPr>
      <w:r>
        <w:rPr>
          <w:rFonts w:hint="eastAsia" w:ascii="仿宋" w:hAnsi="仿宋" w:eastAsia="仿宋" w:cs="微软雅黑"/>
          <w:b/>
          <w:bCs/>
          <w:snapToGrid w:val="0"/>
          <w:color w:val="auto"/>
          <w:spacing w:val="-1"/>
          <w:kern w:val="0"/>
          <w:sz w:val="24"/>
          <w:highlight w:val="none"/>
        </w:rPr>
        <w:t>具体使用单位：</w:t>
      </w:r>
    </w:p>
    <w:tbl>
      <w:tblPr>
        <w:tblStyle w:val="48"/>
        <w:tblW w:w="51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0"/>
        <w:gridCol w:w="3460"/>
        <w:gridCol w:w="1598"/>
        <w:gridCol w:w="1596"/>
      </w:tblGrid>
      <w:tr w14:paraId="33222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pct"/>
            <w:noWrap w:val="0"/>
            <w:vAlign w:val="center"/>
          </w:tcPr>
          <w:p w14:paraId="0A232E6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rPr>
            </w:pPr>
            <w:r>
              <w:rPr>
                <w:rFonts w:hint="eastAsia" w:ascii="宋体" w:hAnsi="宋体" w:eastAsia="仿宋" w:cs="Arial"/>
                <w:snapToGrid w:val="0"/>
                <w:color w:val="auto"/>
                <w:kern w:val="0"/>
                <w:sz w:val="24"/>
                <w:szCs w:val="21"/>
                <w:highlight w:val="none"/>
              </w:rPr>
              <w:t>产品名称</w:t>
            </w:r>
          </w:p>
        </w:tc>
        <w:tc>
          <w:tcPr>
            <w:tcW w:w="1710" w:type="pct"/>
            <w:noWrap w:val="0"/>
            <w:vAlign w:val="center"/>
          </w:tcPr>
          <w:p w14:paraId="5E835A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r>
              <w:rPr>
                <w:rFonts w:hint="default" w:ascii="宋体" w:hAnsi="宋体" w:eastAsia="仿宋" w:cs="Arial"/>
                <w:snapToGrid w:val="0"/>
                <w:color w:val="auto"/>
                <w:kern w:val="0"/>
                <w:sz w:val="24"/>
                <w:szCs w:val="21"/>
                <w:highlight w:val="none"/>
                <w:lang w:eastAsia="en-US"/>
              </w:rPr>
              <w:t>使用单位</w:t>
            </w:r>
          </w:p>
        </w:tc>
        <w:tc>
          <w:tcPr>
            <w:tcW w:w="789" w:type="pct"/>
            <w:noWrap w:val="0"/>
            <w:vAlign w:val="center"/>
          </w:tcPr>
          <w:p w14:paraId="4BB2234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rPr>
            </w:pPr>
            <w:r>
              <w:rPr>
                <w:rFonts w:hint="eastAsia" w:ascii="宋体" w:hAnsi="宋体" w:eastAsia="仿宋" w:cs="Arial"/>
                <w:snapToGrid w:val="0"/>
                <w:color w:val="auto"/>
                <w:kern w:val="0"/>
                <w:sz w:val="24"/>
                <w:szCs w:val="21"/>
                <w:highlight w:val="none"/>
              </w:rPr>
              <w:t>单位</w:t>
            </w:r>
          </w:p>
        </w:tc>
        <w:tc>
          <w:tcPr>
            <w:tcW w:w="789" w:type="pct"/>
            <w:noWrap w:val="0"/>
            <w:vAlign w:val="center"/>
          </w:tcPr>
          <w:p w14:paraId="5E68F11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r>
              <w:rPr>
                <w:rFonts w:hint="eastAsia" w:ascii="宋体" w:hAnsi="宋体" w:eastAsia="仿宋" w:cs="Arial"/>
                <w:snapToGrid w:val="0"/>
                <w:color w:val="auto"/>
                <w:kern w:val="0"/>
                <w:sz w:val="24"/>
                <w:szCs w:val="21"/>
                <w:highlight w:val="none"/>
                <w:lang w:eastAsia="en-US"/>
              </w:rPr>
              <w:t>采购数量</w:t>
            </w:r>
          </w:p>
        </w:tc>
      </w:tr>
      <w:tr w14:paraId="7D05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pct"/>
            <w:noWrap w:val="0"/>
            <w:vAlign w:val="center"/>
          </w:tcPr>
          <w:p w14:paraId="4ADA146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1710" w:type="pct"/>
            <w:noWrap w:val="0"/>
            <w:vAlign w:val="center"/>
          </w:tcPr>
          <w:p w14:paraId="348FEF6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3476E53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24F3086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r>
      <w:tr w14:paraId="1EB3D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pct"/>
            <w:noWrap w:val="0"/>
            <w:vAlign w:val="center"/>
          </w:tcPr>
          <w:p w14:paraId="2D2D0D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1710" w:type="pct"/>
            <w:noWrap w:val="0"/>
            <w:vAlign w:val="center"/>
          </w:tcPr>
          <w:p w14:paraId="63A2E7C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1236C44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4A5A0C2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r>
      <w:tr w14:paraId="5C8F4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pct"/>
            <w:noWrap w:val="0"/>
            <w:vAlign w:val="center"/>
          </w:tcPr>
          <w:p w14:paraId="599F0AC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1710" w:type="pct"/>
            <w:noWrap w:val="0"/>
            <w:vAlign w:val="center"/>
          </w:tcPr>
          <w:p w14:paraId="1B61E64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5F341A8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272A313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r>
      <w:tr w14:paraId="78445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710" w:type="pct"/>
            <w:noWrap w:val="0"/>
            <w:vAlign w:val="center"/>
          </w:tcPr>
          <w:p w14:paraId="19F6618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1710" w:type="pct"/>
            <w:noWrap w:val="0"/>
            <w:vAlign w:val="center"/>
          </w:tcPr>
          <w:p w14:paraId="376B201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7F2B5EE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c>
          <w:tcPr>
            <w:tcW w:w="789" w:type="pct"/>
            <w:noWrap w:val="0"/>
            <w:vAlign w:val="center"/>
          </w:tcPr>
          <w:p w14:paraId="01F020C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r>
      <w:tr w14:paraId="0FD1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210" w:type="pct"/>
            <w:gridSpan w:val="3"/>
            <w:noWrap w:val="0"/>
            <w:vAlign w:val="center"/>
          </w:tcPr>
          <w:p w14:paraId="4D8F552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r>
              <w:rPr>
                <w:rFonts w:hint="eastAsia" w:ascii="宋体" w:hAnsi="宋体" w:eastAsia="仿宋" w:cs="Arial"/>
                <w:snapToGrid w:val="0"/>
                <w:color w:val="auto"/>
                <w:kern w:val="0"/>
                <w:sz w:val="24"/>
                <w:szCs w:val="21"/>
                <w:highlight w:val="none"/>
              </w:rPr>
              <w:t>合计</w:t>
            </w:r>
          </w:p>
        </w:tc>
        <w:tc>
          <w:tcPr>
            <w:tcW w:w="789" w:type="pct"/>
            <w:noWrap w:val="0"/>
            <w:vAlign w:val="center"/>
          </w:tcPr>
          <w:p w14:paraId="7E81A8B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宋体" w:hAnsi="宋体" w:eastAsia="仿宋" w:cs="Arial"/>
                <w:snapToGrid w:val="0"/>
                <w:color w:val="auto"/>
                <w:kern w:val="0"/>
                <w:sz w:val="24"/>
                <w:szCs w:val="21"/>
                <w:highlight w:val="none"/>
                <w:lang w:eastAsia="en-US"/>
              </w:rPr>
            </w:pPr>
          </w:p>
        </w:tc>
      </w:tr>
    </w:tbl>
    <w:p w14:paraId="566BA2CE">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p>
    <w:p w14:paraId="571F919A">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二、组成合同的文件</w:t>
      </w:r>
    </w:p>
    <w:p w14:paraId="2359C67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本协议书与下列文件一起构成合同文件，如下述文件之间有任何抵触、矛盾或歧义，应按以下顺序解释：</w:t>
      </w:r>
    </w:p>
    <w:p w14:paraId="5518240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（1）安徽省紧密型县域医共体设备更新一期项目框架协议</w:t>
      </w:r>
    </w:p>
    <w:p w14:paraId="0293CB43">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（2）使用单位与卖方在本框架协议内签订的采购合同（分合同）及补充协议</w:t>
      </w:r>
    </w:p>
    <w:p w14:paraId="36411A09">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3</w:t>
      </w:r>
      <w:r>
        <w:rPr>
          <w:rFonts w:hint="eastAsia" w:ascii="仿宋" w:hAnsi="仿宋" w:eastAsia="仿宋" w:cs="微软雅黑"/>
          <w:snapToGrid w:val="0"/>
          <w:color w:val="auto"/>
          <w:spacing w:val="4"/>
          <w:kern w:val="0"/>
          <w:sz w:val="24"/>
          <w:highlight w:val="none"/>
        </w:rPr>
        <w:t>）中标（成交）通知书</w:t>
      </w:r>
    </w:p>
    <w:p w14:paraId="420935F4">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4</w:t>
      </w:r>
      <w:r>
        <w:rPr>
          <w:rFonts w:hint="eastAsia" w:ascii="仿宋" w:hAnsi="仿宋" w:eastAsia="仿宋" w:cs="微软雅黑"/>
          <w:snapToGrid w:val="0"/>
          <w:color w:val="auto"/>
          <w:spacing w:val="4"/>
          <w:kern w:val="0"/>
          <w:sz w:val="24"/>
          <w:highlight w:val="none"/>
        </w:rPr>
        <w:t>）投标（响应）文件</w:t>
      </w:r>
    </w:p>
    <w:p w14:paraId="113CE862">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5</w:t>
      </w:r>
      <w:r>
        <w:rPr>
          <w:rFonts w:hint="eastAsia" w:ascii="仿宋" w:hAnsi="仿宋" w:eastAsia="仿宋" w:cs="微软雅黑"/>
          <w:snapToGrid w:val="0"/>
          <w:color w:val="auto"/>
          <w:spacing w:val="4"/>
          <w:kern w:val="0"/>
          <w:sz w:val="24"/>
          <w:highlight w:val="none"/>
        </w:rPr>
        <w:t>）采购文件</w:t>
      </w:r>
    </w:p>
    <w:p w14:paraId="2ED5290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6</w:t>
      </w:r>
      <w:r>
        <w:rPr>
          <w:rFonts w:hint="eastAsia" w:ascii="仿宋" w:hAnsi="仿宋" w:eastAsia="仿宋" w:cs="微软雅黑"/>
          <w:snapToGrid w:val="0"/>
          <w:color w:val="auto"/>
          <w:spacing w:val="4"/>
          <w:kern w:val="0"/>
          <w:sz w:val="24"/>
          <w:highlight w:val="none"/>
        </w:rPr>
        <w:t>）有关技术文件，图纸</w:t>
      </w:r>
    </w:p>
    <w:p w14:paraId="7F803E2E">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7</w:t>
      </w:r>
      <w:r>
        <w:rPr>
          <w:rFonts w:hint="eastAsia" w:ascii="仿宋" w:hAnsi="仿宋" w:eastAsia="仿宋" w:cs="微软雅黑"/>
          <w:snapToGrid w:val="0"/>
          <w:color w:val="auto"/>
          <w:spacing w:val="4"/>
          <w:kern w:val="0"/>
          <w:sz w:val="24"/>
          <w:highlight w:val="none"/>
        </w:rPr>
        <w:t>）国家法律、行政法规和规章制度规定或合同约定的作为合同组成部分的其他文件</w:t>
      </w:r>
    </w:p>
    <w:p w14:paraId="46CD66C4">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三</w:t>
      </w:r>
      <w:r>
        <w:rPr>
          <w:rFonts w:ascii="仿宋" w:hAnsi="仿宋" w:eastAsia="仿宋" w:cs="微软雅黑"/>
          <w:b/>
          <w:bCs/>
          <w:snapToGrid w:val="0"/>
          <w:color w:val="auto"/>
          <w:spacing w:val="4"/>
          <w:kern w:val="0"/>
          <w:sz w:val="24"/>
          <w:highlight w:val="none"/>
        </w:rPr>
        <w:t>、供货期限</w:t>
      </w:r>
    </w:p>
    <w:p w14:paraId="043F876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卖方应于合同签字生效后开始计算的</w:t>
      </w:r>
      <w:r>
        <w:rPr>
          <w:rFonts w:hint="eastAsia" w:ascii="仿宋" w:hAnsi="仿宋" w:eastAsia="仿宋" w:cs="微软雅黑"/>
          <w:snapToGrid w:val="0"/>
          <w:color w:val="auto"/>
          <w:spacing w:val="4"/>
          <w:kern w:val="0"/>
          <w:sz w:val="24"/>
          <w:highlight w:val="none"/>
        </w:rPr>
        <w:t>60个日历天</w:t>
      </w:r>
      <w:r>
        <w:rPr>
          <w:rFonts w:ascii="仿宋" w:hAnsi="仿宋" w:eastAsia="仿宋" w:cs="微软雅黑"/>
          <w:snapToGrid w:val="0"/>
          <w:color w:val="auto"/>
          <w:spacing w:val="4"/>
          <w:kern w:val="0"/>
          <w:sz w:val="24"/>
          <w:highlight w:val="none"/>
        </w:rPr>
        <w:t>内将货物送到</w:t>
      </w:r>
      <w:r>
        <w:rPr>
          <w:rFonts w:hint="eastAsia" w:ascii="仿宋" w:hAnsi="仿宋" w:eastAsia="仿宋" w:cs="微软雅黑"/>
          <w:snapToGrid w:val="0"/>
          <w:color w:val="auto"/>
          <w:spacing w:val="4"/>
          <w:kern w:val="0"/>
          <w:sz w:val="24"/>
          <w:highlight w:val="none"/>
        </w:rPr>
        <w:t>使用单位</w:t>
      </w:r>
      <w:r>
        <w:rPr>
          <w:rFonts w:ascii="仿宋" w:hAnsi="仿宋" w:eastAsia="仿宋" w:cs="微软雅黑"/>
          <w:snapToGrid w:val="0"/>
          <w:color w:val="auto"/>
          <w:spacing w:val="4"/>
          <w:kern w:val="0"/>
          <w:sz w:val="24"/>
          <w:highlight w:val="none"/>
        </w:rPr>
        <w:t>指定的地点</w:t>
      </w:r>
      <w:r>
        <w:rPr>
          <w:rFonts w:hint="eastAsia" w:ascii="仿宋" w:hAnsi="仿宋" w:eastAsia="仿宋" w:cs="微软雅黑"/>
          <w:snapToGrid w:val="0"/>
          <w:color w:val="auto"/>
          <w:spacing w:val="4"/>
          <w:kern w:val="0"/>
          <w:sz w:val="24"/>
          <w:highlight w:val="none"/>
        </w:rPr>
        <w:t>，</w:t>
      </w:r>
      <w:r>
        <w:rPr>
          <w:rFonts w:ascii="仿宋" w:hAnsi="仿宋" w:eastAsia="仿宋" w:cs="微软雅黑"/>
          <w:snapToGrid w:val="0"/>
          <w:color w:val="auto"/>
          <w:spacing w:val="4"/>
          <w:kern w:val="0"/>
          <w:sz w:val="24"/>
          <w:highlight w:val="none"/>
        </w:rPr>
        <w:t>由</w:t>
      </w:r>
      <w:r>
        <w:rPr>
          <w:rFonts w:hint="eastAsia" w:ascii="仿宋" w:hAnsi="仿宋" w:eastAsia="仿宋" w:cs="微软雅黑"/>
          <w:snapToGrid w:val="0"/>
          <w:color w:val="auto"/>
          <w:spacing w:val="4"/>
          <w:kern w:val="0"/>
          <w:sz w:val="24"/>
          <w:highlight w:val="none"/>
        </w:rPr>
        <w:t>使用单位</w:t>
      </w:r>
      <w:r>
        <w:rPr>
          <w:rFonts w:ascii="仿宋" w:hAnsi="仿宋" w:eastAsia="仿宋" w:cs="微软雅黑"/>
          <w:snapToGrid w:val="0"/>
          <w:color w:val="auto"/>
          <w:spacing w:val="4"/>
          <w:kern w:val="0"/>
          <w:sz w:val="24"/>
          <w:highlight w:val="none"/>
        </w:rPr>
        <w:t>进行验收。</w:t>
      </w:r>
    </w:p>
    <w:p w14:paraId="114279AC">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四</w:t>
      </w:r>
      <w:r>
        <w:rPr>
          <w:rFonts w:ascii="仿宋" w:hAnsi="仿宋" w:eastAsia="仿宋" w:cs="微软雅黑"/>
          <w:b/>
          <w:bCs/>
          <w:snapToGrid w:val="0"/>
          <w:color w:val="auto"/>
          <w:spacing w:val="4"/>
          <w:kern w:val="0"/>
          <w:sz w:val="24"/>
          <w:highlight w:val="none"/>
        </w:rPr>
        <w:t>、验收要求</w:t>
      </w:r>
    </w:p>
    <w:p w14:paraId="0A1BF04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由使用单位按照安徽省紧密性县域医共体设备更新一期项目采购合同（分合同）条款执行。</w:t>
      </w:r>
    </w:p>
    <w:p w14:paraId="1AF5E128">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五</w:t>
      </w:r>
      <w:r>
        <w:rPr>
          <w:rFonts w:ascii="仿宋" w:hAnsi="仿宋" w:eastAsia="仿宋" w:cs="微软雅黑"/>
          <w:b/>
          <w:bCs/>
          <w:snapToGrid w:val="0"/>
          <w:color w:val="auto"/>
          <w:spacing w:val="4"/>
          <w:kern w:val="0"/>
          <w:sz w:val="24"/>
          <w:highlight w:val="none"/>
        </w:rPr>
        <w:t>、付款方式</w:t>
      </w:r>
    </w:p>
    <w:p w14:paraId="435663B2">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由使用单位按照安徽省紧密性县域医共体设备更新一期项目采购合同（分合同）条款执行。</w:t>
      </w:r>
    </w:p>
    <w:p w14:paraId="2730DCBD">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hint="eastAsia" w:ascii="仿宋" w:hAnsi="仿宋" w:eastAsia="仿宋" w:cs="微软雅黑"/>
          <w:b/>
          <w:bCs/>
          <w:snapToGrid w:val="0"/>
          <w:color w:val="auto"/>
          <w:spacing w:val="4"/>
          <w:kern w:val="0"/>
          <w:sz w:val="24"/>
          <w:highlight w:val="none"/>
        </w:rPr>
        <w:t>六</w:t>
      </w:r>
      <w:r>
        <w:rPr>
          <w:rFonts w:ascii="仿宋" w:hAnsi="仿宋" w:eastAsia="仿宋" w:cs="微软雅黑"/>
          <w:b/>
          <w:bCs/>
          <w:snapToGrid w:val="0"/>
          <w:color w:val="auto"/>
          <w:spacing w:val="4"/>
          <w:kern w:val="0"/>
          <w:sz w:val="24"/>
          <w:highlight w:val="none"/>
        </w:rPr>
        <w:t>、售后服务</w:t>
      </w:r>
    </w:p>
    <w:p w14:paraId="51AB0B55">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（一）卖方对合同货物的质量保修期为验收证书签署之日起    年。</w:t>
      </w:r>
    </w:p>
    <w:p w14:paraId="153ADFB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（二）安装后给买方医工及医务人员提供免费培训服务。</w:t>
      </w:r>
    </w:p>
    <w:p w14:paraId="3317D7C9">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（三）在合同货物保修期届满后，全保费用详见分合同。</w:t>
      </w:r>
    </w:p>
    <w:p w14:paraId="269918D2">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hint="eastAsia" w:ascii="仿宋" w:hAnsi="仿宋" w:eastAsia="仿宋" w:cs="微软雅黑"/>
          <w:snapToGrid w:val="0"/>
          <w:color w:val="auto"/>
          <w:spacing w:val="4"/>
          <w:kern w:val="0"/>
          <w:sz w:val="24"/>
          <w:highlight w:val="none"/>
        </w:rPr>
        <w:t>（四）如果设备出现紧急故障和事故，卖方应在接到买方通知之后 4 小时内到达现场，24 小时内修复设备故障。</w:t>
      </w:r>
    </w:p>
    <w:p w14:paraId="309B5316">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szCs w:val="21"/>
          <w:highlight w:val="none"/>
        </w:rPr>
      </w:pPr>
      <w:r>
        <w:rPr>
          <w:rFonts w:hint="eastAsia" w:ascii="仿宋" w:hAnsi="仿宋" w:eastAsia="仿宋" w:cs="微软雅黑"/>
          <w:b/>
          <w:bCs/>
          <w:snapToGrid w:val="0"/>
          <w:color w:val="auto"/>
          <w:spacing w:val="4"/>
          <w:kern w:val="0"/>
          <w:sz w:val="24"/>
          <w:szCs w:val="21"/>
          <w:highlight w:val="none"/>
        </w:rPr>
        <w:t>七</w:t>
      </w:r>
      <w:r>
        <w:rPr>
          <w:rFonts w:ascii="仿宋" w:hAnsi="仿宋" w:eastAsia="仿宋" w:cs="微软雅黑"/>
          <w:b/>
          <w:bCs/>
          <w:snapToGrid w:val="0"/>
          <w:color w:val="auto"/>
          <w:spacing w:val="4"/>
          <w:kern w:val="0"/>
          <w:sz w:val="24"/>
          <w:szCs w:val="21"/>
          <w:highlight w:val="none"/>
        </w:rPr>
        <w:t>、履约保证金</w:t>
      </w:r>
    </w:p>
    <w:p w14:paraId="7EEB1A39">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履约保证金的形式：保函</w:t>
      </w:r>
    </w:p>
    <w:p w14:paraId="730550D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履约保证金的金额：</w:t>
      </w:r>
      <w:r>
        <w:rPr>
          <w:rFonts w:hint="eastAsia" w:ascii="楷体" w:hAnsi="楷体" w:eastAsia="仿宋" w:cs="Arial"/>
          <w:snapToGrid w:val="0"/>
          <w:color w:val="auto"/>
          <w:kern w:val="0"/>
          <w:sz w:val="24"/>
          <w:szCs w:val="21"/>
          <w:highlight w:val="none"/>
        </w:rPr>
        <w:t>合同金额的2.5%</w:t>
      </w:r>
    </w:p>
    <w:p w14:paraId="42FCCE59">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履约保证金提交时间：</w:t>
      </w:r>
      <w:r>
        <w:rPr>
          <w:rFonts w:hint="eastAsia" w:ascii="Arial" w:hAnsi="宋体" w:eastAsia="仿宋" w:cs="Arial"/>
          <w:snapToGrid w:val="0"/>
          <w:color w:val="auto"/>
          <w:kern w:val="0"/>
          <w:sz w:val="24"/>
          <w:szCs w:val="21"/>
          <w:highlight w:val="none"/>
        </w:rPr>
        <w:t>采购</w:t>
      </w:r>
      <w:r>
        <w:rPr>
          <w:rFonts w:hint="eastAsia" w:ascii="楷体" w:hAnsi="楷体" w:eastAsia="仿宋" w:cs="Arial"/>
          <w:snapToGrid w:val="0"/>
          <w:color w:val="auto"/>
          <w:kern w:val="0"/>
          <w:sz w:val="24"/>
          <w:szCs w:val="21"/>
          <w:highlight w:val="none"/>
        </w:rPr>
        <w:t>合同签订前，由中标人签订合同前递交给各使用单位</w:t>
      </w:r>
    </w:p>
    <w:p w14:paraId="0769FF86">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履约保证金退还时间：验收合格后退还</w:t>
      </w:r>
    </w:p>
    <w:p w14:paraId="697F3FF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保函要求：</w:t>
      </w:r>
    </w:p>
    <w:p w14:paraId="0B07B2C3">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（1）卖方提供保函的受益人和收取单位须为使用单位，担保期限不少于合同履约期限。</w:t>
      </w:r>
    </w:p>
    <w:p w14:paraId="043D609C">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（2）保函形式：</w:t>
      </w:r>
      <w:r>
        <w:rPr>
          <w:rFonts w:ascii="Segoe UI Symbol" w:hAnsi="Segoe UI Symbol" w:eastAsia="仿宋" w:cs="Segoe UI Symbol"/>
          <w:snapToGrid w:val="0"/>
          <w:color w:val="auto"/>
          <w:spacing w:val="4"/>
          <w:kern w:val="0"/>
          <w:sz w:val="24"/>
          <w:szCs w:val="21"/>
          <w:highlight w:val="none"/>
        </w:rPr>
        <w:t>☑</w:t>
      </w:r>
      <w:r>
        <w:rPr>
          <w:rFonts w:hint="eastAsia" w:ascii="仿宋" w:hAnsi="仿宋" w:eastAsia="仿宋" w:cs="仿宋"/>
          <w:snapToGrid w:val="0"/>
          <w:color w:val="auto"/>
          <w:spacing w:val="4"/>
          <w:kern w:val="0"/>
          <w:sz w:val="24"/>
          <w:szCs w:val="21"/>
          <w:highlight w:val="none"/>
        </w:rPr>
        <w:t>银行保函</w:t>
      </w:r>
      <w:r>
        <w:rPr>
          <w:rFonts w:ascii="Segoe UI Symbol" w:hAnsi="Segoe UI Symbol" w:eastAsia="仿宋" w:cs="Segoe UI Symbol"/>
          <w:snapToGrid w:val="0"/>
          <w:color w:val="auto"/>
          <w:spacing w:val="4"/>
          <w:kern w:val="0"/>
          <w:sz w:val="24"/>
          <w:szCs w:val="21"/>
          <w:highlight w:val="none"/>
        </w:rPr>
        <w:t>☑</w:t>
      </w:r>
      <w:r>
        <w:rPr>
          <w:rFonts w:hint="eastAsia" w:ascii="仿宋" w:hAnsi="仿宋" w:eastAsia="仿宋" w:cs="仿宋"/>
          <w:snapToGrid w:val="0"/>
          <w:color w:val="auto"/>
          <w:spacing w:val="4"/>
          <w:kern w:val="0"/>
          <w:sz w:val="24"/>
          <w:szCs w:val="21"/>
          <w:highlight w:val="none"/>
        </w:rPr>
        <w:t>担保机构担保</w:t>
      </w:r>
      <w:r>
        <w:rPr>
          <w:rFonts w:ascii="Segoe UI Symbol" w:hAnsi="Segoe UI Symbol" w:eastAsia="仿宋" w:cs="Segoe UI Symbol"/>
          <w:snapToGrid w:val="0"/>
          <w:color w:val="auto"/>
          <w:spacing w:val="4"/>
          <w:kern w:val="0"/>
          <w:sz w:val="24"/>
          <w:szCs w:val="21"/>
          <w:highlight w:val="none"/>
        </w:rPr>
        <w:t>☑</w:t>
      </w:r>
      <w:r>
        <w:rPr>
          <w:rFonts w:hint="eastAsia" w:ascii="仿宋" w:hAnsi="仿宋" w:eastAsia="仿宋" w:cs="仿宋"/>
          <w:snapToGrid w:val="0"/>
          <w:color w:val="auto"/>
          <w:spacing w:val="4"/>
          <w:kern w:val="0"/>
          <w:sz w:val="24"/>
          <w:szCs w:val="21"/>
          <w:highlight w:val="none"/>
        </w:rPr>
        <w:t>保证保险</w:t>
      </w:r>
      <w:r>
        <w:rPr>
          <w:rFonts w:ascii="Segoe UI Symbol" w:hAnsi="Segoe UI Symbol" w:eastAsia="仿宋" w:cs="Segoe UI Symbol"/>
          <w:snapToGrid w:val="0"/>
          <w:color w:val="auto"/>
          <w:spacing w:val="4"/>
          <w:kern w:val="0"/>
          <w:sz w:val="24"/>
          <w:szCs w:val="21"/>
          <w:highlight w:val="none"/>
        </w:rPr>
        <w:t>☑</w:t>
      </w:r>
      <w:r>
        <w:rPr>
          <w:rFonts w:hint="eastAsia" w:ascii="仿宋" w:hAnsi="仿宋" w:eastAsia="仿宋" w:cs="仿宋"/>
          <w:snapToGrid w:val="0"/>
          <w:color w:val="auto"/>
          <w:spacing w:val="4"/>
          <w:kern w:val="0"/>
          <w:sz w:val="24"/>
          <w:szCs w:val="21"/>
          <w:highlight w:val="none"/>
        </w:rPr>
        <w:t>电子保函</w:t>
      </w:r>
    </w:p>
    <w:p w14:paraId="1A79207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（3）保函递交要求：</w:t>
      </w:r>
    </w:p>
    <w:p w14:paraId="5911F911">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①如采用银行保函，银行保函应为见索即付无条件独立保函，且应将原件交至使用单位保管。</w:t>
      </w:r>
    </w:p>
    <w:p w14:paraId="56C74850">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②采用担保机构担保的，应为依法取得融资担保业务经营许可证的融资担保机构出具的不可撤销、不可转让的见索即付独立保函。</w:t>
      </w:r>
    </w:p>
    <w:p w14:paraId="32883F30">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③采用保证保险的，应为保险公司出具的不可撤销、不可转让的见索即付保证保险。</w:t>
      </w:r>
    </w:p>
    <w:p w14:paraId="0BCDBDAE">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 xml:space="preserve">④采用电子保函的，可访问安徽省政府采购网“融资/保函”栏目进行申请。                         </w:t>
      </w:r>
    </w:p>
    <w:p w14:paraId="669F925A">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szCs w:val="21"/>
          <w:highlight w:val="none"/>
        </w:rPr>
      </w:pPr>
      <w:r>
        <w:rPr>
          <w:rFonts w:hint="eastAsia" w:ascii="仿宋" w:hAnsi="仿宋" w:eastAsia="仿宋" w:cs="微软雅黑"/>
          <w:b/>
          <w:bCs/>
          <w:snapToGrid w:val="0"/>
          <w:color w:val="auto"/>
          <w:spacing w:val="4"/>
          <w:kern w:val="0"/>
          <w:sz w:val="24"/>
          <w:szCs w:val="21"/>
          <w:highlight w:val="none"/>
        </w:rPr>
        <w:t>八</w:t>
      </w:r>
      <w:r>
        <w:rPr>
          <w:rFonts w:ascii="仿宋" w:hAnsi="仿宋" w:eastAsia="仿宋" w:cs="微软雅黑"/>
          <w:b/>
          <w:bCs/>
          <w:snapToGrid w:val="0"/>
          <w:color w:val="auto"/>
          <w:spacing w:val="4"/>
          <w:kern w:val="0"/>
          <w:sz w:val="24"/>
          <w:szCs w:val="21"/>
          <w:highlight w:val="none"/>
        </w:rPr>
        <w:t>、违约责任</w:t>
      </w:r>
    </w:p>
    <w:p w14:paraId="63706E89">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（一）卖方供货期超过合同约定供货期限。如果卖方由于自身的原因未能按期履行完合同，卖方应给予买方经济上的赔偿。其标准为按每延期一周收取合同金额的</w:t>
      </w:r>
      <w:r>
        <w:rPr>
          <w:rFonts w:hint="eastAsia" w:ascii="仿宋" w:hAnsi="仿宋" w:eastAsia="仿宋" w:cs="微软雅黑"/>
          <w:snapToGrid w:val="0"/>
          <w:color w:val="auto"/>
          <w:spacing w:val="4"/>
          <w:kern w:val="0"/>
          <w:sz w:val="24"/>
          <w:szCs w:val="21"/>
          <w:highlight w:val="none"/>
          <w:u w:val="single"/>
        </w:rPr>
        <w:t xml:space="preserve"> </w:t>
      </w:r>
      <w:r>
        <w:rPr>
          <w:rFonts w:ascii="仿宋" w:hAnsi="仿宋" w:eastAsia="仿宋" w:cs="微软雅黑"/>
          <w:snapToGrid w:val="0"/>
          <w:color w:val="auto"/>
          <w:spacing w:val="4"/>
          <w:kern w:val="0"/>
          <w:sz w:val="24"/>
          <w:szCs w:val="21"/>
          <w:highlight w:val="none"/>
          <w:u w:val="single"/>
        </w:rPr>
        <w:t>0.05%</w:t>
      </w:r>
      <w:r>
        <w:rPr>
          <w:rFonts w:hint="eastAsia" w:ascii="仿宋" w:hAnsi="仿宋" w:eastAsia="仿宋" w:cs="微软雅黑"/>
          <w:snapToGrid w:val="0"/>
          <w:color w:val="auto"/>
          <w:spacing w:val="4"/>
          <w:kern w:val="0"/>
          <w:sz w:val="24"/>
          <w:szCs w:val="21"/>
          <w:highlight w:val="none"/>
        </w:rPr>
        <w:t>，</w:t>
      </w:r>
      <w:r>
        <w:rPr>
          <w:rFonts w:ascii="仿宋" w:hAnsi="仿宋" w:eastAsia="仿宋" w:cs="微软雅黑"/>
          <w:snapToGrid w:val="0"/>
          <w:color w:val="auto"/>
          <w:spacing w:val="4"/>
          <w:kern w:val="0"/>
          <w:sz w:val="24"/>
          <w:szCs w:val="21"/>
          <w:highlight w:val="none"/>
        </w:rPr>
        <w:t>但误期赔偿费总额不得超过合同总额的</w:t>
      </w:r>
      <w:r>
        <w:rPr>
          <w:rFonts w:hint="eastAsia" w:ascii="仿宋" w:hAnsi="仿宋" w:eastAsia="仿宋" w:cs="微软雅黑"/>
          <w:snapToGrid w:val="0"/>
          <w:color w:val="auto"/>
          <w:spacing w:val="4"/>
          <w:kern w:val="0"/>
          <w:sz w:val="24"/>
          <w:szCs w:val="21"/>
          <w:highlight w:val="none"/>
          <w:u w:val="single"/>
        </w:rPr>
        <w:t xml:space="preserve"> </w:t>
      </w:r>
      <w:r>
        <w:rPr>
          <w:rFonts w:ascii="仿宋" w:hAnsi="仿宋" w:eastAsia="仿宋" w:cs="微软雅黑"/>
          <w:snapToGrid w:val="0"/>
          <w:color w:val="auto"/>
          <w:spacing w:val="4"/>
          <w:kern w:val="0"/>
          <w:sz w:val="24"/>
          <w:szCs w:val="21"/>
          <w:highlight w:val="none"/>
          <w:u w:val="single"/>
        </w:rPr>
        <w:t>30%</w:t>
      </w:r>
      <w:r>
        <w:rPr>
          <w:rFonts w:ascii="仿宋" w:hAnsi="仿宋" w:eastAsia="仿宋" w:cs="微软雅黑"/>
          <w:snapToGrid w:val="0"/>
          <w:color w:val="auto"/>
          <w:spacing w:val="4"/>
          <w:kern w:val="0"/>
          <w:sz w:val="24"/>
          <w:szCs w:val="21"/>
          <w:highlight w:val="none"/>
        </w:rPr>
        <w:t>。</w:t>
      </w:r>
    </w:p>
    <w:p w14:paraId="18CAC50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（二）卖方供货期内未能交货。卖方在履行合同过程中，如果遇到不能按时交货情况，应及时以书面形式将不能按期履行合同的理由、延误的时间通知</w:t>
      </w:r>
      <w:r>
        <w:rPr>
          <w:rFonts w:hint="eastAsia" w:ascii="仿宋" w:hAnsi="仿宋" w:eastAsia="仿宋" w:cs="微软雅黑"/>
          <w:snapToGrid w:val="0"/>
          <w:color w:val="auto"/>
          <w:spacing w:val="4"/>
          <w:kern w:val="0"/>
          <w:sz w:val="24"/>
          <w:szCs w:val="21"/>
          <w:highlight w:val="none"/>
        </w:rPr>
        <w:t>买方</w:t>
      </w:r>
      <w:r>
        <w:rPr>
          <w:rFonts w:ascii="仿宋" w:hAnsi="仿宋" w:eastAsia="仿宋" w:cs="微软雅黑"/>
          <w:snapToGrid w:val="0"/>
          <w:color w:val="auto"/>
          <w:spacing w:val="4"/>
          <w:kern w:val="0"/>
          <w:sz w:val="24"/>
          <w:szCs w:val="21"/>
          <w:highlight w:val="none"/>
        </w:rPr>
        <w:t>。</w:t>
      </w:r>
      <w:r>
        <w:rPr>
          <w:rFonts w:hint="eastAsia" w:ascii="仿宋" w:hAnsi="仿宋" w:eastAsia="仿宋" w:cs="微软雅黑"/>
          <w:snapToGrid w:val="0"/>
          <w:color w:val="auto"/>
          <w:spacing w:val="4"/>
          <w:kern w:val="0"/>
          <w:sz w:val="24"/>
          <w:szCs w:val="21"/>
          <w:highlight w:val="none"/>
        </w:rPr>
        <w:t>买方</w:t>
      </w:r>
      <w:r>
        <w:rPr>
          <w:rFonts w:ascii="仿宋" w:hAnsi="仿宋" w:eastAsia="仿宋" w:cs="微软雅黑"/>
          <w:snapToGrid w:val="0"/>
          <w:color w:val="auto"/>
          <w:spacing w:val="4"/>
          <w:kern w:val="0"/>
          <w:sz w:val="24"/>
          <w:szCs w:val="21"/>
          <w:highlight w:val="none"/>
        </w:rPr>
        <w:t>有权决定是否延长合同的履行时间或终止合同。如</w:t>
      </w:r>
      <w:r>
        <w:rPr>
          <w:rFonts w:hint="eastAsia" w:ascii="仿宋" w:hAnsi="仿宋" w:eastAsia="仿宋" w:cs="微软雅黑"/>
          <w:snapToGrid w:val="0"/>
          <w:color w:val="auto"/>
          <w:spacing w:val="4"/>
          <w:kern w:val="0"/>
          <w:sz w:val="24"/>
          <w:szCs w:val="21"/>
          <w:highlight w:val="none"/>
        </w:rPr>
        <w:t>买方</w:t>
      </w:r>
      <w:r>
        <w:rPr>
          <w:rFonts w:ascii="仿宋" w:hAnsi="仿宋" w:eastAsia="仿宋" w:cs="微软雅黑"/>
          <w:snapToGrid w:val="0"/>
          <w:color w:val="auto"/>
          <w:spacing w:val="4"/>
          <w:kern w:val="0"/>
          <w:sz w:val="24"/>
          <w:szCs w:val="21"/>
          <w:highlight w:val="none"/>
        </w:rPr>
        <w:t>同意延长合同的履行时间，卖方必须在买方规定的时间内提供符合质量标准的产品，由此造成的误期赔偿费按照前款约定执行。</w:t>
      </w:r>
    </w:p>
    <w:p w14:paraId="7A05C177">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（三）卖方交货不符合合同质量标准，卖方必须重新提供符合质量标准的产品，由此造成的误期赔偿费按照前款约定执行。如卖方在买方规定的时间内未能提供符合质量标准的产品，</w:t>
      </w:r>
      <w:r>
        <w:rPr>
          <w:rFonts w:hint="eastAsia" w:ascii="仿宋" w:hAnsi="仿宋" w:eastAsia="仿宋" w:cs="微软雅黑"/>
          <w:snapToGrid w:val="0"/>
          <w:color w:val="auto"/>
          <w:spacing w:val="4"/>
          <w:kern w:val="0"/>
          <w:sz w:val="24"/>
          <w:szCs w:val="21"/>
          <w:highlight w:val="none"/>
        </w:rPr>
        <w:t>买方</w:t>
      </w:r>
      <w:r>
        <w:rPr>
          <w:rFonts w:ascii="仿宋" w:hAnsi="仿宋" w:eastAsia="仿宋" w:cs="微软雅黑"/>
          <w:snapToGrid w:val="0"/>
          <w:color w:val="auto"/>
          <w:spacing w:val="4"/>
          <w:kern w:val="0"/>
          <w:sz w:val="24"/>
          <w:szCs w:val="21"/>
          <w:highlight w:val="none"/>
        </w:rPr>
        <w:t>有权终止合同，提请政府采购监管部门将卖方列入不良行为记录名单，在一至三年内禁止参加政府采购活动，同时要求入围供应商终止与卖方的</w:t>
      </w:r>
      <w:r>
        <w:rPr>
          <w:rFonts w:hint="eastAsia" w:ascii="仿宋" w:hAnsi="仿宋" w:eastAsia="仿宋" w:cs="微软雅黑"/>
          <w:snapToGrid w:val="0"/>
          <w:color w:val="auto"/>
          <w:spacing w:val="4"/>
          <w:kern w:val="0"/>
          <w:sz w:val="24"/>
          <w:szCs w:val="21"/>
          <w:highlight w:val="none"/>
        </w:rPr>
        <w:t>采购</w:t>
      </w:r>
      <w:r>
        <w:rPr>
          <w:rFonts w:ascii="仿宋" w:hAnsi="仿宋" w:eastAsia="仿宋" w:cs="微软雅黑"/>
          <w:snapToGrid w:val="0"/>
          <w:color w:val="auto"/>
          <w:spacing w:val="4"/>
          <w:kern w:val="0"/>
          <w:sz w:val="24"/>
          <w:szCs w:val="21"/>
          <w:highlight w:val="none"/>
        </w:rPr>
        <w:t>协议。</w:t>
      </w:r>
    </w:p>
    <w:p w14:paraId="47A1E4CB">
      <w:pPr>
        <w:widowControl/>
        <w:kinsoku w:val="0"/>
        <w:autoSpaceDE w:val="0"/>
        <w:autoSpaceDN w:val="0"/>
        <w:adjustRightInd w:val="0"/>
        <w:snapToGrid w:val="0"/>
        <w:spacing w:line="360" w:lineRule="auto"/>
        <w:ind w:firstLine="496" w:firstLineChars="200"/>
        <w:jc w:val="left"/>
        <w:textAlignment w:val="baseline"/>
        <w:rPr>
          <w:rFonts w:hint="eastAsia"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（四）使用单位未能按时组织验收，由主管部门给予处理。</w:t>
      </w:r>
    </w:p>
    <w:p w14:paraId="477EBDBC">
      <w:pPr>
        <w:widowControl/>
        <w:kinsoku w:val="0"/>
        <w:autoSpaceDE w:val="0"/>
        <w:autoSpaceDN w:val="0"/>
        <w:adjustRightInd w:val="0"/>
        <w:snapToGrid w:val="0"/>
        <w:spacing w:line="360" w:lineRule="auto"/>
        <w:ind w:firstLine="496" w:firstLineChars="200"/>
        <w:jc w:val="left"/>
        <w:textAlignment w:val="baseline"/>
        <w:rPr>
          <w:rFonts w:hint="eastAsia"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（五）验收合格后，使用单位未能按时提请付款，由主管部门给予处理。</w:t>
      </w:r>
    </w:p>
    <w:p w14:paraId="6343013A">
      <w:pPr>
        <w:widowControl/>
        <w:kinsoku w:val="0"/>
        <w:autoSpaceDE w:val="0"/>
        <w:autoSpaceDN w:val="0"/>
        <w:adjustRightInd w:val="0"/>
        <w:snapToGrid w:val="0"/>
        <w:spacing w:line="360" w:lineRule="auto"/>
        <w:ind w:firstLine="496" w:firstLineChars="200"/>
        <w:jc w:val="left"/>
        <w:textAlignment w:val="baseline"/>
        <w:rPr>
          <w:rFonts w:hint="eastAsia"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（六）使用单位擅自变更、中止或者终止合同，由主管部门给予处理。</w:t>
      </w:r>
    </w:p>
    <w:p w14:paraId="5D14A004">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szCs w:val="21"/>
          <w:highlight w:val="none"/>
        </w:rPr>
      </w:pPr>
      <w:r>
        <w:rPr>
          <w:rFonts w:hint="eastAsia" w:ascii="仿宋" w:hAnsi="仿宋" w:eastAsia="仿宋" w:cs="微软雅黑"/>
          <w:b/>
          <w:bCs/>
          <w:snapToGrid w:val="0"/>
          <w:color w:val="auto"/>
          <w:spacing w:val="4"/>
          <w:kern w:val="0"/>
          <w:sz w:val="24"/>
          <w:szCs w:val="21"/>
          <w:highlight w:val="none"/>
        </w:rPr>
        <w:t>九</w:t>
      </w:r>
      <w:r>
        <w:rPr>
          <w:rFonts w:ascii="仿宋" w:hAnsi="仿宋" w:eastAsia="仿宋" w:cs="微软雅黑"/>
          <w:b/>
          <w:bCs/>
          <w:snapToGrid w:val="0"/>
          <w:color w:val="auto"/>
          <w:spacing w:val="4"/>
          <w:kern w:val="0"/>
          <w:sz w:val="24"/>
          <w:szCs w:val="21"/>
          <w:highlight w:val="none"/>
        </w:rPr>
        <w:t>、签约地点</w:t>
      </w:r>
    </w:p>
    <w:p w14:paraId="0B429C0B">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hint="eastAsia" w:ascii="仿宋" w:hAnsi="仿宋" w:eastAsia="仿宋" w:cs="微软雅黑"/>
          <w:snapToGrid w:val="0"/>
          <w:color w:val="auto"/>
          <w:spacing w:val="4"/>
          <w:kern w:val="0"/>
          <w:sz w:val="24"/>
          <w:szCs w:val="21"/>
          <w:highlight w:val="none"/>
        </w:rPr>
        <w:t>本框架协议在买方所在地签订，使用单位与卖方签订的采购合同（分合同）在使用单位所在地签订。</w:t>
      </w:r>
    </w:p>
    <w:p w14:paraId="0A9CCB60">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szCs w:val="21"/>
          <w:highlight w:val="none"/>
        </w:rPr>
      </w:pPr>
      <w:r>
        <w:rPr>
          <w:rFonts w:ascii="仿宋" w:hAnsi="仿宋" w:eastAsia="仿宋" w:cs="微软雅黑"/>
          <w:b/>
          <w:bCs/>
          <w:snapToGrid w:val="0"/>
          <w:color w:val="auto"/>
          <w:spacing w:val="4"/>
          <w:kern w:val="0"/>
          <w:sz w:val="24"/>
          <w:szCs w:val="21"/>
          <w:highlight w:val="none"/>
        </w:rPr>
        <w:t>十、合同的终止</w:t>
      </w:r>
    </w:p>
    <w:p w14:paraId="61D73293">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 xml:space="preserve">（一）本合同因下列原因而终止： </w:t>
      </w:r>
    </w:p>
    <w:p w14:paraId="2A61BC6A">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1.本合同正常履行完毕；</w:t>
      </w:r>
    </w:p>
    <w:p w14:paraId="5B9100D8">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2.合同双方协议终止本合同的履行；</w:t>
      </w:r>
    </w:p>
    <w:p w14:paraId="579899B8">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 xml:space="preserve">3.不可抗力事件导致本合同无法履行或履行不必要； </w:t>
      </w:r>
    </w:p>
    <w:p w14:paraId="501C05E4">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szCs w:val="21"/>
          <w:highlight w:val="none"/>
        </w:rPr>
      </w:pPr>
      <w:r>
        <w:rPr>
          <w:rFonts w:ascii="仿宋" w:hAnsi="仿宋" w:eastAsia="仿宋" w:cs="微软雅黑"/>
          <w:snapToGrid w:val="0"/>
          <w:color w:val="auto"/>
          <w:spacing w:val="4"/>
          <w:kern w:val="0"/>
          <w:sz w:val="24"/>
          <w:szCs w:val="21"/>
          <w:highlight w:val="none"/>
        </w:rPr>
        <w:t>4.符合本合同约定的其他终止合同的条款。</w:t>
      </w:r>
    </w:p>
    <w:p w14:paraId="7D9D974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（二）对本合同终止有过错的一方应赔偿另一方因合同终止而受到的损失。 对合同终止双方均无过错的， 则各自承担所受到的损失。</w:t>
      </w:r>
    </w:p>
    <w:p w14:paraId="08B2DEEF">
      <w:pPr>
        <w:widowControl/>
        <w:kinsoku w:val="0"/>
        <w:autoSpaceDE w:val="0"/>
        <w:autoSpaceDN w:val="0"/>
        <w:adjustRightInd w:val="0"/>
        <w:snapToGrid w:val="0"/>
        <w:spacing w:line="360" w:lineRule="auto"/>
        <w:ind w:firstLine="498" w:firstLineChars="200"/>
        <w:jc w:val="left"/>
        <w:textAlignment w:val="baseline"/>
        <w:rPr>
          <w:rFonts w:ascii="仿宋" w:hAnsi="仿宋" w:eastAsia="仿宋" w:cs="微软雅黑"/>
          <w:b/>
          <w:bCs/>
          <w:snapToGrid w:val="0"/>
          <w:color w:val="auto"/>
          <w:spacing w:val="4"/>
          <w:kern w:val="0"/>
          <w:sz w:val="24"/>
          <w:highlight w:val="none"/>
        </w:rPr>
      </w:pPr>
      <w:r>
        <w:rPr>
          <w:rFonts w:ascii="仿宋" w:hAnsi="仿宋" w:eastAsia="仿宋" w:cs="微软雅黑"/>
          <w:b/>
          <w:bCs/>
          <w:snapToGrid w:val="0"/>
          <w:color w:val="auto"/>
          <w:spacing w:val="4"/>
          <w:kern w:val="0"/>
          <w:sz w:val="24"/>
          <w:highlight w:val="none"/>
        </w:rPr>
        <w:t>十</w:t>
      </w:r>
      <w:r>
        <w:rPr>
          <w:rFonts w:hint="eastAsia" w:ascii="仿宋" w:hAnsi="仿宋" w:eastAsia="仿宋" w:cs="微软雅黑"/>
          <w:b/>
          <w:bCs/>
          <w:snapToGrid w:val="0"/>
          <w:color w:val="auto"/>
          <w:spacing w:val="4"/>
          <w:kern w:val="0"/>
          <w:sz w:val="24"/>
          <w:highlight w:val="none"/>
        </w:rPr>
        <w:t>一</w:t>
      </w:r>
      <w:r>
        <w:rPr>
          <w:rFonts w:ascii="仿宋" w:hAnsi="仿宋" w:eastAsia="仿宋" w:cs="微软雅黑"/>
          <w:b/>
          <w:bCs/>
          <w:snapToGrid w:val="0"/>
          <w:color w:val="auto"/>
          <w:spacing w:val="4"/>
          <w:kern w:val="0"/>
          <w:sz w:val="24"/>
          <w:highlight w:val="none"/>
        </w:rPr>
        <w:t>、其他</w:t>
      </w:r>
    </w:p>
    <w:p w14:paraId="3082F87D">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（一）买卖双方必须严格按照</w:t>
      </w:r>
      <w:r>
        <w:rPr>
          <w:rFonts w:hint="eastAsia" w:ascii="仿宋" w:hAnsi="仿宋" w:eastAsia="仿宋" w:cs="微软雅黑"/>
          <w:snapToGrid w:val="0"/>
          <w:color w:val="auto"/>
          <w:spacing w:val="4"/>
          <w:kern w:val="0"/>
          <w:sz w:val="24"/>
          <w:highlight w:val="none"/>
        </w:rPr>
        <w:t>采购</w:t>
      </w:r>
      <w:r>
        <w:rPr>
          <w:rFonts w:ascii="仿宋" w:hAnsi="仿宋" w:eastAsia="仿宋" w:cs="微软雅黑"/>
          <w:snapToGrid w:val="0"/>
          <w:color w:val="auto"/>
          <w:spacing w:val="4"/>
          <w:kern w:val="0"/>
          <w:sz w:val="24"/>
          <w:highlight w:val="none"/>
        </w:rPr>
        <w:t>文件、投标文件及有关承诺签订采购合同，不得擅自变更。合同执行期内，买卖双方均不得随意变更或解除合同</w:t>
      </w:r>
    </w:p>
    <w:p w14:paraId="11CB091F">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（二）本合同执行期间，如遇不可抗力，致使合同无法履行时，买卖双方应按有关法律规定及时协商处理。</w:t>
      </w:r>
    </w:p>
    <w:p w14:paraId="73672D08">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（三）合同未尽事宜，买卖双方另行签订补充协议，补充协议是合同的组成部分。</w:t>
      </w:r>
    </w:p>
    <w:p w14:paraId="08393F53">
      <w:pPr>
        <w:widowControl/>
        <w:kinsoku w:val="0"/>
        <w:autoSpaceDE w:val="0"/>
        <w:autoSpaceDN w:val="0"/>
        <w:adjustRightInd w:val="0"/>
        <w:snapToGrid w:val="0"/>
        <w:spacing w:line="360" w:lineRule="auto"/>
        <w:ind w:firstLine="496" w:firstLineChars="200"/>
        <w:jc w:val="left"/>
        <w:textAlignment w:val="baseline"/>
        <w:rPr>
          <w:rFonts w:ascii="仿宋" w:hAnsi="仿宋" w:eastAsia="仿宋" w:cs="微软雅黑"/>
          <w:snapToGrid w:val="0"/>
          <w:color w:val="auto"/>
          <w:spacing w:val="4"/>
          <w:kern w:val="0"/>
          <w:sz w:val="24"/>
          <w:highlight w:val="none"/>
        </w:rPr>
      </w:pPr>
      <w:r>
        <w:rPr>
          <w:rFonts w:ascii="仿宋" w:hAnsi="仿宋" w:eastAsia="仿宋" w:cs="微软雅黑"/>
          <w:snapToGrid w:val="0"/>
          <w:color w:val="auto"/>
          <w:spacing w:val="4"/>
          <w:kern w:val="0"/>
          <w:sz w:val="24"/>
          <w:highlight w:val="none"/>
        </w:rPr>
        <w:t>（四）本合同如发生纠纷，买卖双方应当及时协商解决，协商不成时，按以下第（</w:t>
      </w:r>
      <w:r>
        <w:rPr>
          <w:rFonts w:hint="eastAsia" w:ascii="仿宋" w:hAnsi="仿宋" w:eastAsia="仿宋" w:cs="微软雅黑"/>
          <w:snapToGrid w:val="0"/>
          <w:color w:val="auto"/>
          <w:spacing w:val="4"/>
          <w:kern w:val="0"/>
          <w:sz w:val="24"/>
          <w:highlight w:val="none"/>
          <w:lang w:val="en-US" w:eastAsia="zh-CN"/>
        </w:rPr>
        <w:t>②</w:t>
      </w:r>
      <w:r>
        <w:rPr>
          <w:rFonts w:ascii="仿宋" w:hAnsi="仿宋" w:eastAsia="仿宋" w:cs="微软雅黑"/>
          <w:snapToGrid w:val="0"/>
          <w:color w:val="auto"/>
          <w:spacing w:val="4"/>
          <w:kern w:val="0"/>
          <w:sz w:val="24"/>
          <w:highlight w:val="none"/>
        </w:rPr>
        <w:t>）项方式处理：①根据《中华人民共和国仲裁法》 的规定向</w:t>
      </w:r>
      <w:r>
        <w:rPr>
          <w:rFonts w:hint="eastAsia" w:ascii="仿宋" w:hAnsi="仿宋" w:eastAsia="仿宋" w:cs="微软雅黑"/>
          <w:snapToGrid w:val="0"/>
          <w:color w:val="auto"/>
          <w:spacing w:val="4"/>
          <w:kern w:val="0"/>
          <w:sz w:val="24"/>
          <w:highlight w:val="none"/>
          <w:u w:val="single"/>
        </w:rPr>
        <w:t xml:space="preserve"> 合肥</w:t>
      </w:r>
      <w:r>
        <w:rPr>
          <w:rFonts w:hint="eastAsia" w:ascii="仿宋" w:hAnsi="仿宋" w:eastAsia="仿宋" w:cs="微软雅黑"/>
          <w:snapToGrid w:val="0"/>
          <w:color w:val="auto"/>
          <w:spacing w:val="4"/>
          <w:kern w:val="0"/>
          <w:sz w:val="24"/>
          <w:highlight w:val="none"/>
          <w:u w:val="single"/>
          <w:lang w:val="en-US" w:eastAsia="zh-CN"/>
        </w:rPr>
        <w:t>市</w:t>
      </w:r>
      <w:r>
        <w:rPr>
          <w:rFonts w:ascii="仿宋" w:hAnsi="仿宋" w:eastAsia="仿宋" w:cs="微软雅黑"/>
          <w:snapToGrid w:val="0"/>
          <w:color w:val="auto"/>
          <w:spacing w:val="4"/>
          <w:kern w:val="0"/>
          <w:sz w:val="24"/>
          <w:highlight w:val="none"/>
          <w:u w:val="single"/>
        </w:rPr>
        <w:t xml:space="preserve"> </w:t>
      </w:r>
      <w:r>
        <w:rPr>
          <w:rFonts w:hint="eastAsia" w:ascii="仿宋" w:hAnsi="仿宋" w:eastAsia="仿宋" w:cs="微软雅黑"/>
          <w:snapToGrid w:val="0"/>
          <w:color w:val="auto"/>
          <w:spacing w:val="4"/>
          <w:kern w:val="0"/>
          <w:sz w:val="24"/>
          <w:highlight w:val="none"/>
        </w:rPr>
        <w:t>仲裁委</w:t>
      </w:r>
      <w:r>
        <w:rPr>
          <w:rFonts w:ascii="仿宋" w:hAnsi="仿宋" w:eastAsia="仿宋" w:cs="微软雅黑"/>
          <w:snapToGrid w:val="0"/>
          <w:color w:val="auto"/>
          <w:spacing w:val="4"/>
          <w:kern w:val="0"/>
          <w:sz w:val="24"/>
          <w:highlight w:val="none"/>
        </w:rPr>
        <w:t>申请仲裁 。②向</w:t>
      </w:r>
      <w:r>
        <w:rPr>
          <w:rFonts w:hint="eastAsia" w:ascii="仿宋" w:hAnsi="仿宋" w:eastAsia="仿宋" w:cs="微软雅黑"/>
          <w:snapToGrid w:val="0"/>
          <w:color w:val="auto"/>
          <w:spacing w:val="4"/>
          <w:kern w:val="0"/>
          <w:sz w:val="24"/>
          <w:highlight w:val="none"/>
        </w:rPr>
        <w:t>项目所在地所在</w:t>
      </w:r>
      <w:r>
        <w:rPr>
          <w:rFonts w:ascii="仿宋" w:hAnsi="仿宋" w:eastAsia="仿宋" w:cs="微软雅黑"/>
          <w:snapToGrid w:val="0"/>
          <w:color w:val="auto"/>
          <w:spacing w:val="4"/>
          <w:kern w:val="0"/>
          <w:sz w:val="24"/>
          <w:highlight w:val="none"/>
        </w:rPr>
        <w:t>人民法院起诉。</w:t>
      </w:r>
    </w:p>
    <w:p w14:paraId="09DDD240">
      <w:pPr>
        <w:widowControl/>
        <w:kinsoku w:val="0"/>
        <w:autoSpaceDE w:val="0"/>
        <w:autoSpaceDN w:val="0"/>
        <w:adjustRightInd w:val="0"/>
        <w:snapToGrid w:val="0"/>
        <w:spacing w:line="360" w:lineRule="auto"/>
        <w:ind w:left="25" w:right="66" w:firstLine="539"/>
        <w:jc w:val="left"/>
        <w:textAlignment w:val="baseline"/>
        <w:rPr>
          <w:rFonts w:ascii="仿宋" w:hAnsi="仿宋" w:eastAsia="仿宋" w:cs="微软雅黑"/>
          <w:snapToGrid w:val="0"/>
          <w:color w:val="auto"/>
          <w:spacing w:val="-3"/>
          <w:kern w:val="0"/>
          <w:sz w:val="24"/>
          <w:highlight w:val="none"/>
        </w:rPr>
      </w:pPr>
      <w:r>
        <w:rPr>
          <w:rFonts w:hint="eastAsia" w:ascii="仿宋" w:hAnsi="仿宋" w:eastAsia="仿宋" w:cs="微软雅黑"/>
          <w:snapToGrid w:val="0"/>
          <w:color w:val="auto"/>
          <w:spacing w:val="-1"/>
          <w:kern w:val="0"/>
          <w:sz w:val="24"/>
          <w:highlight w:val="none"/>
        </w:rPr>
        <w:t>（五）</w:t>
      </w:r>
      <w:r>
        <w:rPr>
          <w:rFonts w:ascii="仿宋" w:hAnsi="仿宋" w:eastAsia="仿宋" w:cs="微软雅黑"/>
          <w:snapToGrid w:val="0"/>
          <w:color w:val="auto"/>
          <w:spacing w:val="-1"/>
          <w:kern w:val="0"/>
          <w:sz w:val="24"/>
          <w:highlight w:val="none"/>
        </w:rPr>
        <w:t>本合同一式</w:t>
      </w:r>
      <w:r>
        <w:rPr>
          <w:rFonts w:hint="eastAsia" w:ascii="仿宋" w:hAnsi="仿宋" w:eastAsia="仿宋" w:cs="微软雅黑"/>
          <w:snapToGrid w:val="0"/>
          <w:color w:val="auto"/>
          <w:spacing w:val="-1"/>
          <w:kern w:val="0"/>
          <w:sz w:val="24"/>
          <w:highlight w:val="none"/>
          <w:u w:val="single"/>
        </w:rPr>
        <w:t xml:space="preserve"> </w:t>
      </w:r>
      <w:r>
        <w:rPr>
          <w:rFonts w:ascii="仿宋" w:hAnsi="仿宋" w:eastAsia="仿宋" w:cs="微软雅黑"/>
          <w:snapToGrid w:val="0"/>
          <w:color w:val="auto"/>
          <w:spacing w:val="-1"/>
          <w:kern w:val="0"/>
          <w:sz w:val="24"/>
          <w:highlight w:val="none"/>
          <w:u w:val="single"/>
        </w:rPr>
        <w:t xml:space="preserve"> </w:t>
      </w:r>
      <w:r>
        <w:rPr>
          <w:rFonts w:hint="eastAsia" w:ascii="仿宋" w:hAnsi="仿宋" w:eastAsia="仿宋" w:cs="微软雅黑"/>
          <w:snapToGrid w:val="0"/>
          <w:color w:val="auto"/>
          <w:spacing w:val="-1"/>
          <w:kern w:val="0"/>
          <w:sz w:val="24"/>
          <w:highlight w:val="none"/>
          <w:u w:val="single"/>
        </w:rPr>
        <w:t>6</w:t>
      </w:r>
      <w:r>
        <w:rPr>
          <w:rFonts w:ascii="仿宋" w:hAnsi="仿宋" w:eastAsia="仿宋" w:cs="微软雅黑"/>
          <w:snapToGrid w:val="0"/>
          <w:color w:val="auto"/>
          <w:spacing w:val="-1"/>
          <w:kern w:val="0"/>
          <w:sz w:val="24"/>
          <w:highlight w:val="none"/>
          <w:u w:val="single"/>
        </w:rPr>
        <w:t xml:space="preserve">  </w:t>
      </w:r>
      <w:r>
        <w:rPr>
          <w:rFonts w:ascii="仿宋" w:hAnsi="仿宋" w:eastAsia="仿宋" w:cs="微软雅黑"/>
          <w:snapToGrid w:val="0"/>
          <w:color w:val="auto"/>
          <w:spacing w:val="-1"/>
          <w:kern w:val="0"/>
          <w:sz w:val="24"/>
          <w:highlight w:val="none"/>
        </w:rPr>
        <w:t>份</w:t>
      </w:r>
      <w:r>
        <w:rPr>
          <w:rFonts w:ascii="仿宋" w:hAnsi="仿宋" w:eastAsia="仿宋" w:cs="微软雅黑"/>
          <w:snapToGrid w:val="0"/>
          <w:color w:val="auto"/>
          <w:spacing w:val="-22"/>
          <w:kern w:val="0"/>
          <w:sz w:val="24"/>
          <w:highlight w:val="none"/>
        </w:rPr>
        <w:t xml:space="preserve"> </w:t>
      </w:r>
      <w:r>
        <w:rPr>
          <w:rFonts w:ascii="仿宋" w:hAnsi="仿宋" w:eastAsia="仿宋" w:cs="微软雅黑"/>
          <w:snapToGrid w:val="0"/>
          <w:color w:val="auto"/>
          <w:spacing w:val="-1"/>
          <w:kern w:val="0"/>
          <w:sz w:val="24"/>
          <w:highlight w:val="none"/>
        </w:rPr>
        <w:t>，自买卖双方法定代表人或委托代理人签字加盖单位公章</w:t>
      </w:r>
      <w:r>
        <w:rPr>
          <w:rFonts w:ascii="仿宋" w:hAnsi="仿宋" w:eastAsia="仿宋" w:cs="微软雅黑"/>
          <w:snapToGrid w:val="0"/>
          <w:color w:val="auto"/>
          <w:spacing w:val="-3"/>
          <w:kern w:val="0"/>
          <w:sz w:val="24"/>
          <w:highlight w:val="none"/>
        </w:rPr>
        <w:t>后生效。</w:t>
      </w:r>
    </w:p>
    <w:p w14:paraId="40F24BD0">
      <w:pPr>
        <w:widowControl/>
        <w:kinsoku w:val="0"/>
        <w:autoSpaceDE w:val="0"/>
        <w:autoSpaceDN w:val="0"/>
        <w:adjustRightInd w:val="0"/>
        <w:snapToGrid w:val="0"/>
        <w:spacing w:line="360" w:lineRule="auto"/>
        <w:ind w:left="25" w:right="66" w:firstLine="539"/>
        <w:jc w:val="left"/>
        <w:textAlignment w:val="baseline"/>
        <w:rPr>
          <w:rFonts w:ascii="仿宋" w:hAnsi="仿宋" w:eastAsia="仿宋" w:cs="微软雅黑"/>
          <w:snapToGrid w:val="0"/>
          <w:color w:val="auto"/>
          <w:spacing w:val="-3"/>
          <w:kern w:val="0"/>
          <w:sz w:val="24"/>
          <w:highlight w:val="none"/>
          <w:u w:val="single"/>
        </w:rPr>
      </w:pPr>
      <w:r>
        <w:rPr>
          <w:rFonts w:hint="eastAsia" w:ascii="仿宋" w:hAnsi="仿宋" w:eastAsia="仿宋" w:cs="微软雅黑"/>
          <w:snapToGrid w:val="0"/>
          <w:color w:val="auto"/>
          <w:spacing w:val="-3"/>
          <w:kern w:val="0"/>
          <w:sz w:val="24"/>
          <w:highlight w:val="none"/>
        </w:rPr>
        <w:t>以下无正文。</w:t>
      </w:r>
    </w:p>
    <w:p w14:paraId="24BD0A2B">
      <w:pPr>
        <w:widowControl/>
        <w:kinsoku w:val="0"/>
        <w:autoSpaceDE w:val="0"/>
        <w:autoSpaceDN w:val="0"/>
        <w:adjustRightInd w:val="0"/>
        <w:snapToGrid w:val="0"/>
        <w:spacing w:line="360" w:lineRule="auto"/>
        <w:ind w:left="32"/>
        <w:jc w:val="left"/>
        <w:textAlignment w:val="baseline"/>
        <w:rPr>
          <w:rFonts w:ascii="仿宋" w:hAnsi="仿宋" w:eastAsia="仿宋" w:cs="微软雅黑"/>
          <w:snapToGrid w:val="0"/>
          <w:color w:val="auto"/>
          <w:spacing w:val="-8"/>
          <w:kern w:val="0"/>
          <w:sz w:val="24"/>
          <w:highlight w:val="none"/>
        </w:rPr>
      </w:pPr>
    </w:p>
    <w:p w14:paraId="0A7EAEF7">
      <w:pPr>
        <w:widowControl/>
        <w:kinsoku w:val="0"/>
        <w:autoSpaceDE w:val="0"/>
        <w:autoSpaceDN w:val="0"/>
        <w:adjustRightInd w:val="0"/>
        <w:snapToGrid w:val="0"/>
        <w:spacing w:line="360" w:lineRule="auto"/>
        <w:ind w:left="32"/>
        <w:jc w:val="left"/>
        <w:textAlignment w:val="baseline"/>
        <w:rPr>
          <w:rFonts w:ascii="仿宋" w:hAnsi="仿宋" w:eastAsia="仿宋" w:cs="微软雅黑"/>
          <w:snapToGrid w:val="0"/>
          <w:color w:val="auto"/>
          <w:spacing w:val="-8"/>
          <w:kern w:val="0"/>
          <w:sz w:val="24"/>
          <w:highlight w:val="none"/>
        </w:rPr>
      </w:pPr>
    </w:p>
    <w:p w14:paraId="476265DF">
      <w:pPr>
        <w:widowControl/>
        <w:kinsoku w:val="0"/>
        <w:autoSpaceDE w:val="0"/>
        <w:autoSpaceDN w:val="0"/>
        <w:adjustRightInd w:val="0"/>
        <w:snapToGrid w:val="0"/>
        <w:spacing w:line="360" w:lineRule="auto"/>
        <w:ind w:left="32"/>
        <w:jc w:val="left"/>
        <w:textAlignment w:val="baseline"/>
        <w:rPr>
          <w:rFonts w:ascii="仿宋" w:hAnsi="仿宋" w:eastAsia="仿宋" w:cs="微软雅黑"/>
          <w:snapToGrid w:val="0"/>
          <w:color w:val="auto"/>
          <w:spacing w:val="-9"/>
          <w:kern w:val="0"/>
          <w:sz w:val="24"/>
          <w:highlight w:val="none"/>
          <w:u w:val="single"/>
        </w:rPr>
      </w:pPr>
      <w:r>
        <w:rPr>
          <w:rFonts w:ascii="仿宋" w:hAnsi="仿宋" w:eastAsia="仿宋" w:cs="微软雅黑"/>
          <w:snapToGrid w:val="0"/>
          <w:color w:val="auto"/>
          <w:spacing w:val="-8"/>
          <w:kern w:val="0"/>
          <w:sz w:val="24"/>
          <w:highlight w:val="none"/>
        </w:rPr>
        <w:t>买</w:t>
      </w:r>
      <w:r>
        <w:rPr>
          <w:rFonts w:ascii="仿宋" w:hAnsi="仿宋" w:eastAsia="仿宋" w:cs="微软雅黑"/>
          <w:snapToGrid w:val="0"/>
          <w:color w:val="auto"/>
          <w:spacing w:val="10"/>
          <w:kern w:val="0"/>
          <w:sz w:val="24"/>
          <w:highlight w:val="none"/>
        </w:rPr>
        <w:t xml:space="preserve">  </w:t>
      </w:r>
      <w:r>
        <w:rPr>
          <w:rFonts w:ascii="仿宋" w:hAnsi="仿宋" w:eastAsia="仿宋" w:cs="微软雅黑"/>
          <w:snapToGrid w:val="0"/>
          <w:color w:val="auto"/>
          <w:spacing w:val="-8"/>
          <w:kern w:val="0"/>
          <w:sz w:val="24"/>
          <w:highlight w:val="none"/>
        </w:rPr>
        <w:t>方</w:t>
      </w:r>
      <w:r>
        <w:rPr>
          <w:rFonts w:ascii="仿宋" w:hAnsi="仿宋" w:eastAsia="仿宋" w:cs="微软雅黑"/>
          <w:snapToGrid w:val="0"/>
          <w:color w:val="auto"/>
          <w:spacing w:val="-36"/>
          <w:kern w:val="0"/>
          <w:sz w:val="24"/>
          <w:highlight w:val="none"/>
        </w:rPr>
        <w:t xml:space="preserve"> </w:t>
      </w:r>
      <w:r>
        <w:rPr>
          <w:rFonts w:ascii="仿宋" w:hAnsi="仿宋" w:eastAsia="仿宋" w:cs="微软雅黑"/>
          <w:snapToGrid w:val="0"/>
          <w:color w:val="auto"/>
          <w:spacing w:val="-8"/>
          <w:kern w:val="0"/>
          <w:sz w:val="24"/>
          <w:highlight w:val="none"/>
        </w:rPr>
        <w:t>：</w:t>
      </w:r>
      <w:r>
        <w:rPr>
          <w:rFonts w:ascii="仿宋" w:hAnsi="仿宋" w:eastAsia="仿宋" w:cs="微软雅黑"/>
          <w:snapToGrid w:val="0"/>
          <w:color w:val="auto"/>
          <w:kern w:val="0"/>
          <w:sz w:val="24"/>
          <w:highlight w:val="none"/>
          <w:u w:val="single"/>
        </w:rPr>
        <w:t xml:space="preserve">                    </w:t>
      </w:r>
      <w:r>
        <w:rPr>
          <w:rFonts w:ascii="仿宋" w:hAnsi="仿宋" w:eastAsia="仿宋" w:cs="微软雅黑"/>
          <w:snapToGrid w:val="0"/>
          <w:color w:val="auto"/>
          <w:spacing w:val="2"/>
          <w:kern w:val="0"/>
          <w:sz w:val="24"/>
          <w:highlight w:val="none"/>
        </w:rPr>
        <w:t xml:space="preserve">  </w:t>
      </w:r>
      <w:r>
        <w:rPr>
          <w:rFonts w:hint="eastAsia" w:ascii="仿宋" w:hAnsi="仿宋" w:eastAsia="仿宋" w:cs="微软雅黑"/>
          <w:snapToGrid w:val="0"/>
          <w:color w:val="auto"/>
          <w:spacing w:val="2"/>
          <w:kern w:val="0"/>
          <w:sz w:val="24"/>
          <w:highlight w:val="none"/>
        </w:rPr>
        <w:t xml:space="preserve">   </w:t>
      </w:r>
      <w:r>
        <w:rPr>
          <w:rFonts w:ascii="仿宋" w:hAnsi="仿宋" w:eastAsia="仿宋" w:cs="微软雅黑"/>
          <w:snapToGrid w:val="0"/>
          <w:color w:val="auto"/>
          <w:spacing w:val="2"/>
          <w:kern w:val="0"/>
          <w:sz w:val="24"/>
          <w:highlight w:val="none"/>
        </w:rPr>
        <w:t xml:space="preserve"> </w:t>
      </w:r>
      <w:r>
        <w:rPr>
          <w:rFonts w:hint="eastAsia" w:ascii="仿宋" w:hAnsi="仿宋" w:eastAsia="仿宋" w:cs="微软雅黑"/>
          <w:snapToGrid w:val="0"/>
          <w:color w:val="auto"/>
          <w:spacing w:val="2"/>
          <w:kern w:val="0"/>
          <w:sz w:val="24"/>
          <w:highlight w:val="none"/>
        </w:rPr>
        <w:t xml:space="preserve">      </w:t>
      </w:r>
      <w:r>
        <w:rPr>
          <w:rFonts w:ascii="仿宋" w:hAnsi="仿宋" w:eastAsia="仿宋" w:cs="微软雅黑"/>
          <w:snapToGrid w:val="0"/>
          <w:color w:val="auto"/>
          <w:spacing w:val="-8"/>
          <w:kern w:val="0"/>
          <w:sz w:val="24"/>
          <w:highlight w:val="none"/>
        </w:rPr>
        <w:t>卖</w:t>
      </w:r>
      <w:r>
        <w:rPr>
          <w:rFonts w:ascii="仿宋" w:hAnsi="仿宋" w:eastAsia="仿宋" w:cs="微软雅黑"/>
          <w:snapToGrid w:val="0"/>
          <w:color w:val="auto"/>
          <w:spacing w:val="11"/>
          <w:kern w:val="0"/>
          <w:sz w:val="24"/>
          <w:highlight w:val="none"/>
        </w:rPr>
        <w:t xml:space="preserve">  </w:t>
      </w:r>
      <w:r>
        <w:rPr>
          <w:rFonts w:ascii="仿宋" w:hAnsi="仿宋" w:eastAsia="仿宋" w:cs="微软雅黑"/>
          <w:snapToGrid w:val="0"/>
          <w:color w:val="auto"/>
          <w:spacing w:val="-8"/>
          <w:kern w:val="0"/>
          <w:sz w:val="24"/>
          <w:highlight w:val="none"/>
        </w:rPr>
        <w:t>方</w:t>
      </w:r>
      <w:r>
        <w:rPr>
          <w:rFonts w:ascii="仿宋" w:hAnsi="仿宋" w:eastAsia="仿宋" w:cs="微软雅黑"/>
          <w:snapToGrid w:val="0"/>
          <w:color w:val="auto"/>
          <w:spacing w:val="-39"/>
          <w:kern w:val="0"/>
          <w:sz w:val="24"/>
          <w:highlight w:val="none"/>
        </w:rPr>
        <w:t xml:space="preserve"> </w:t>
      </w:r>
      <w:r>
        <w:rPr>
          <w:rFonts w:ascii="仿宋" w:hAnsi="仿宋" w:eastAsia="仿宋" w:cs="微软雅黑"/>
          <w:snapToGrid w:val="0"/>
          <w:color w:val="auto"/>
          <w:spacing w:val="-8"/>
          <w:kern w:val="0"/>
          <w:sz w:val="24"/>
          <w:highlight w:val="none"/>
        </w:rPr>
        <w:t>：</w:t>
      </w:r>
      <w:r>
        <w:rPr>
          <w:rFonts w:ascii="仿宋" w:hAnsi="仿宋" w:eastAsia="仿宋" w:cs="微软雅黑"/>
          <w:snapToGrid w:val="0"/>
          <w:color w:val="auto"/>
          <w:spacing w:val="-8"/>
          <w:kern w:val="0"/>
          <w:sz w:val="24"/>
          <w:highlight w:val="none"/>
          <w:u w:val="single"/>
        </w:rPr>
        <w:t xml:space="preserve">             </w:t>
      </w:r>
      <w:r>
        <w:rPr>
          <w:rFonts w:ascii="仿宋" w:hAnsi="仿宋" w:eastAsia="仿宋" w:cs="微软雅黑"/>
          <w:snapToGrid w:val="0"/>
          <w:color w:val="auto"/>
          <w:spacing w:val="-9"/>
          <w:kern w:val="0"/>
          <w:sz w:val="24"/>
          <w:highlight w:val="none"/>
          <w:u w:val="single"/>
        </w:rPr>
        <w:t xml:space="preserve">         </w:t>
      </w:r>
      <w:r>
        <w:rPr>
          <w:rFonts w:hint="eastAsia" w:ascii="仿宋" w:hAnsi="仿宋" w:eastAsia="仿宋" w:cs="微软雅黑"/>
          <w:snapToGrid w:val="0"/>
          <w:color w:val="auto"/>
          <w:spacing w:val="-9"/>
          <w:kern w:val="0"/>
          <w:sz w:val="24"/>
          <w:highlight w:val="none"/>
          <w:u w:val="single"/>
        </w:rPr>
        <w:t xml:space="preserve">  </w:t>
      </w:r>
    </w:p>
    <w:p w14:paraId="54C9C3EC">
      <w:pPr>
        <w:widowControl/>
        <w:kinsoku w:val="0"/>
        <w:autoSpaceDE w:val="0"/>
        <w:autoSpaceDN w:val="0"/>
        <w:adjustRightInd w:val="0"/>
        <w:snapToGrid w:val="0"/>
        <w:spacing w:line="360" w:lineRule="auto"/>
        <w:ind w:left="32"/>
        <w:jc w:val="left"/>
        <w:textAlignment w:val="baseline"/>
        <w:rPr>
          <w:rFonts w:ascii="仿宋" w:hAnsi="仿宋" w:eastAsia="仿宋" w:cs="微软雅黑"/>
          <w:snapToGrid w:val="0"/>
          <w:color w:val="auto"/>
          <w:kern w:val="0"/>
          <w:sz w:val="24"/>
          <w:highlight w:val="none"/>
        </w:rPr>
      </w:pPr>
    </w:p>
    <w:p w14:paraId="6BBD3CBE">
      <w:pPr>
        <w:widowControl/>
        <w:kinsoku w:val="0"/>
        <w:autoSpaceDE w:val="0"/>
        <w:autoSpaceDN w:val="0"/>
        <w:adjustRightInd w:val="0"/>
        <w:snapToGrid w:val="0"/>
        <w:spacing w:line="360" w:lineRule="auto"/>
        <w:ind w:left="25"/>
        <w:jc w:val="left"/>
        <w:textAlignment w:val="baseline"/>
        <w:rPr>
          <w:rFonts w:ascii="仿宋" w:hAnsi="仿宋" w:eastAsia="仿宋" w:cs="微软雅黑"/>
          <w:snapToGrid w:val="0"/>
          <w:color w:val="auto"/>
          <w:spacing w:val="-1"/>
          <w:kern w:val="0"/>
          <w:sz w:val="24"/>
          <w:highlight w:val="none"/>
        </w:rPr>
      </w:pPr>
      <w:r>
        <w:rPr>
          <w:rFonts w:ascii="仿宋" w:hAnsi="仿宋" w:eastAsia="仿宋" w:cs="微软雅黑"/>
          <w:snapToGrid w:val="0"/>
          <w:color w:val="auto"/>
          <w:spacing w:val="-1"/>
          <w:kern w:val="0"/>
          <w:sz w:val="24"/>
          <w:highlight w:val="none"/>
        </w:rPr>
        <w:t xml:space="preserve">单位盖章：     </w:t>
      </w:r>
      <w:r>
        <w:rPr>
          <w:rFonts w:hint="eastAsia" w:ascii="仿宋" w:hAnsi="仿宋" w:eastAsia="仿宋" w:cs="微软雅黑"/>
          <w:snapToGrid w:val="0"/>
          <w:color w:val="auto"/>
          <w:spacing w:val="-1"/>
          <w:kern w:val="0"/>
          <w:sz w:val="24"/>
          <w:highlight w:val="none"/>
        </w:rPr>
        <w:t xml:space="preserve">                           </w:t>
      </w:r>
      <w:r>
        <w:rPr>
          <w:rFonts w:ascii="仿宋" w:hAnsi="仿宋" w:eastAsia="仿宋" w:cs="微软雅黑"/>
          <w:snapToGrid w:val="0"/>
          <w:color w:val="auto"/>
          <w:spacing w:val="-1"/>
          <w:kern w:val="0"/>
          <w:sz w:val="24"/>
          <w:highlight w:val="none"/>
        </w:rPr>
        <w:t>单位盖章：</w:t>
      </w:r>
    </w:p>
    <w:p w14:paraId="13A32403">
      <w:pPr>
        <w:widowControl/>
        <w:kinsoku w:val="0"/>
        <w:autoSpaceDE w:val="0"/>
        <w:autoSpaceDN w:val="0"/>
        <w:adjustRightInd w:val="0"/>
        <w:snapToGrid w:val="0"/>
        <w:spacing w:line="360" w:lineRule="auto"/>
        <w:ind w:left="25"/>
        <w:jc w:val="left"/>
        <w:textAlignment w:val="baseline"/>
        <w:rPr>
          <w:rFonts w:ascii="仿宋" w:hAnsi="仿宋" w:eastAsia="仿宋" w:cs="微软雅黑"/>
          <w:snapToGrid w:val="0"/>
          <w:color w:val="auto"/>
          <w:kern w:val="0"/>
          <w:sz w:val="24"/>
          <w:highlight w:val="none"/>
        </w:rPr>
      </w:pPr>
      <w:r>
        <w:rPr>
          <w:rFonts w:ascii="仿宋" w:hAnsi="仿宋" w:eastAsia="仿宋" w:cs="微软雅黑"/>
          <w:snapToGrid w:val="0"/>
          <w:color w:val="auto"/>
          <w:spacing w:val="-1"/>
          <w:kern w:val="0"/>
          <w:sz w:val="24"/>
          <w:highlight w:val="none"/>
        </w:rPr>
        <w:t xml:space="preserve">                         </w:t>
      </w:r>
    </w:p>
    <w:p w14:paraId="572C3CCC">
      <w:pPr>
        <w:widowControl/>
        <w:kinsoku w:val="0"/>
        <w:autoSpaceDE w:val="0"/>
        <w:autoSpaceDN w:val="0"/>
        <w:adjustRightInd w:val="0"/>
        <w:snapToGrid w:val="0"/>
        <w:spacing w:line="360" w:lineRule="auto"/>
        <w:ind w:left="24"/>
        <w:jc w:val="left"/>
        <w:textAlignment w:val="baseline"/>
        <w:rPr>
          <w:rFonts w:ascii="仿宋" w:hAnsi="仿宋" w:eastAsia="仿宋" w:cs="微软雅黑"/>
          <w:snapToGrid w:val="0"/>
          <w:color w:val="auto"/>
          <w:kern w:val="0"/>
          <w:sz w:val="24"/>
          <w:highlight w:val="none"/>
        </w:rPr>
      </w:pPr>
      <w:r>
        <w:rPr>
          <w:rFonts w:ascii="仿宋" w:hAnsi="仿宋" w:eastAsia="仿宋" w:cs="微软雅黑"/>
          <w:snapToGrid w:val="0"/>
          <w:color w:val="auto"/>
          <w:kern w:val="0"/>
          <w:sz w:val="24"/>
          <w:highlight w:val="none"/>
        </w:rPr>
        <w:t xml:space="preserve">法定代表人或委托代理人：                 </w:t>
      </w:r>
      <w:r>
        <w:rPr>
          <w:rFonts w:ascii="仿宋" w:hAnsi="仿宋" w:eastAsia="仿宋" w:cs="微软雅黑"/>
          <w:snapToGrid w:val="0"/>
          <w:color w:val="auto"/>
          <w:spacing w:val="-1"/>
          <w:kern w:val="0"/>
          <w:sz w:val="24"/>
          <w:highlight w:val="none"/>
        </w:rPr>
        <w:t>法定代表人或委托代理人：</w:t>
      </w:r>
    </w:p>
    <w:p w14:paraId="24A5777A">
      <w:pPr>
        <w:widowControl/>
        <w:kinsoku w:val="0"/>
        <w:autoSpaceDE w:val="0"/>
        <w:autoSpaceDN w:val="0"/>
        <w:adjustRightInd w:val="0"/>
        <w:snapToGrid w:val="0"/>
        <w:spacing w:line="360" w:lineRule="auto"/>
        <w:ind w:left="64"/>
        <w:jc w:val="left"/>
        <w:textAlignment w:val="baseline"/>
        <w:rPr>
          <w:rFonts w:ascii="仿宋" w:hAnsi="仿宋" w:eastAsia="仿宋" w:cs="微软雅黑"/>
          <w:snapToGrid w:val="0"/>
          <w:color w:val="auto"/>
          <w:spacing w:val="-8"/>
          <w:kern w:val="0"/>
          <w:sz w:val="24"/>
          <w:highlight w:val="none"/>
        </w:rPr>
      </w:pPr>
    </w:p>
    <w:p w14:paraId="07492DE3">
      <w:pPr>
        <w:widowControl/>
        <w:kinsoku w:val="0"/>
        <w:autoSpaceDE w:val="0"/>
        <w:autoSpaceDN w:val="0"/>
        <w:adjustRightInd w:val="0"/>
        <w:snapToGrid w:val="0"/>
        <w:spacing w:line="360" w:lineRule="auto"/>
        <w:ind w:left="64"/>
        <w:jc w:val="left"/>
        <w:textAlignment w:val="baseline"/>
        <w:rPr>
          <w:rFonts w:ascii="仿宋" w:hAnsi="仿宋" w:eastAsia="仿宋" w:cs="微软雅黑"/>
          <w:snapToGrid w:val="0"/>
          <w:color w:val="auto"/>
          <w:kern w:val="0"/>
          <w:sz w:val="24"/>
          <w:highlight w:val="none"/>
        </w:rPr>
      </w:pPr>
      <w:r>
        <w:rPr>
          <w:rFonts w:ascii="仿宋" w:hAnsi="仿宋" w:eastAsia="仿宋" w:cs="微软雅黑"/>
          <w:snapToGrid w:val="0"/>
          <w:color w:val="auto"/>
          <w:spacing w:val="-8"/>
          <w:kern w:val="0"/>
          <w:sz w:val="24"/>
          <w:highlight w:val="none"/>
        </w:rPr>
        <w:t>日</w:t>
      </w:r>
      <w:r>
        <w:rPr>
          <w:rFonts w:hint="eastAsia" w:ascii="仿宋" w:hAnsi="仿宋" w:eastAsia="仿宋" w:cs="微软雅黑"/>
          <w:snapToGrid w:val="0"/>
          <w:color w:val="auto"/>
          <w:spacing w:val="-8"/>
          <w:kern w:val="0"/>
          <w:sz w:val="24"/>
          <w:highlight w:val="none"/>
        </w:rPr>
        <w:t xml:space="preserve">  </w:t>
      </w:r>
      <w:r>
        <w:rPr>
          <w:rFonts w:ascii="仿宋" w:hAnsi="仿宋" w:eastAsia="仿宋" w:cs="微软雅黑"/>
          <w:snapToGrid w:val="0"/>
          <w:color w:val="auto"/>
          <w:spacing w:val="-8"/>
          <w:kern w:val="0"/>
          <w:sz w:val="24"/>
          <w:highlight w:val="none"/>
        </w:rPr>
        <w:t>期</w:t>
      </w:r>
      <w:r>
        <w:rPr>
          <w:rFonts w:ascii="仿宋" w:hAnsi="仿宋" w:eastAsia="仿宋" w:cs="微软雅黑"/>
          <w:snapToGrid w:val="0"/>
          <w:color w:val="auto"/>
          <w:spacing w:val="-23"/>
          <w:kern w:val="0"/>
          <w:sz w:val="24"/>
          <w:highlight w:val="none"/>
        </w:rPr>
        <w:t xml:space="preserve"> </w:t>
      </w:r>
      <w:r>
        <w:rPr>
          <w:rFonts w:ascii="仿宋" w:hAnsi="仿宋" w:eastAsia="仿宋" w:cs="微软雅黑"/>
          <w:snapToGrid w:val="0"/>
          <w:color w:val="auto"/>
          <w:spacing w:val="-8"/>
          <w:kern w:val="0"/>
          <w:sz w:val="24"/>
          <w:highlight w:val="none"/>
        </w:rPr>
        <w:t>:</w:t>
      </w:r>
      <w:r>
        <w:rPr>
          <w:rFonts w:hint="eastAsia" w:ascii="仿宋" w:hAnsi="仿宋" w:eastAsia="仿宋" w:cs="微软雅黑"/>
          <w:snapToGrid w:val="0"/>
          <w:color w:val="auto"/>
          <w:spacing w:val="-8"/>
          <w:kern w:val="0"/>
          <w:sz w:val="24"/>
          <w:highlight w:val="none"/>
        </w:rPr>
        <w:t xml:space="preserve">                                          </w:t>
      </w:r>
      <w:r>
        <w:rPr>
          <w:rFonts w:ascii="仿宋" w:hAnsi="仿宋" w:eastAsia="仿宋" w:cs="微软雅黑"/>
          <w:snapToGrid w:val="0"/>
          <w:color w:val="auto"/>
          <w:spacing w:val="-8"/>
          <w:kern w:val="0"/>
          <w:sz w:val="24"/>
          <w:highlight w:val="none"/>
        </w:rPr>
        <w:t>日</w:t>
      </w:r>
      <w:r>
        <w:rPr>
          <w:rFonts w:hint="eastAsia" w:ascii="仿宋" w:hAnsi="仿宋" w:eastAsia="仿宋" w:cs="微软雅黑"/>
          <w:snapToGrid w:val="0"/>
          <w:color w:val="auto"/>
          <w:spacing w:val="-8"/>
          <w:kern w:val="0"/>
          <w:sz w:val="24"/>
          <w:highlight w:val="none"/>
        </w:rPr>
        <w:t xml:space="preserve">  </w:t>
      </w:r>
      <w:r>
        <w:rPr>
          <w:rFonts w:ascii="仿宋" w:hAnsi="仿宋" w:eastAsia="仿宋" w:cs="微软雅黑"/>
          <w:snapToGrid w:val="0"/>
          <w:color w:val="auto"/>
          <w:spacing w:val="-8"/>
          <w:kern w:val="0"/>
          <w:sz w:val="24"/>
          <w:highlight w:val="none"/>
        </w:rPr>
        <w:t>期</w:t>
      </w:r>
      <w:r>
        <w:rPr>
          <w:rFonts w:ascii="仿宋" w:hAnsi="仿宋" w:eastAsia="仿宋" w:cs="微软雅黑"/>
          <w:snapToGrid w:val="0"/>
          <w:color w:val="auto"/>
          <w:spacing w:val="-23"/>
          <w:kern w:val="0"/>
          <w:sz w:val="24"/>
          <w:highlight w:val="none"/>
        </w:rPr>
        <w:t xml:space="preserve"> </w:t>
      </w:r>
      <w:r>
        <w:rPr>
          <w:rFonts w:ascii="仿宋" w:hAnsi="仿宋" w:eastAsia="仿宋" w:cs="微软雅黑"/>
          <w:snapToGrid w:val="0"/>
          <w:color w:val="auto"/>
          <w:spacing w:val="-8"/>
          <w:kern w:val="0"/>
          <w:sz w:val="24"/>
          <w:highlight w:val="none"/>
        </w:rPr>
        <w:t>:</w:t>
      </w:r>
    </w:p>
    <w:p w14:paraId="55A87616">
      <w:pPr>
        <w:pStyle w:val="3"/>
        <w:adjustRightInd w:val="0"/>
        <w:snapToGrid w:val="0"/>
        <w:spacing w:line="400" w:lineRule="exact"/>
        <w:jc w:val="center"/>
        <w:rPr>
          <w:rFonts w:ascii="黑体" w:hAnsi="黑体" w:eastAsia="黑体"/>
          <w:b w:val="0"/>
          <w:bCs w:val="0"/>
          <w:color w:val="auto"/>
          <w:sz w:val="28"/>
          <w:szCs w:val="28"/>
          <w:highlight w:val="none"/>
        </w:rPr>
      </w:pPr>
      <w:r>
        <w:rPr>
          <w:rFonts w:ascii="宋体" w:hAnsi="宋体" w:eastAsia="仿宋"/>
          <w:color w:val="auto"/>
          <w:highlight w:val="none"/>
        </w:rPr>
        <w:br w:type="page"/>
      </w:r>
      <w:r>
        <w:rPr>
          <w:rFonts w:hint="eastAsia" w:ascii="黑体" w:hAnsi="黑体" w:eastAsia="黑体"/>
          <w:b w:val="0"/>
          <w:bCs w:val="0"/>
          <w:color w:val="auto"/>
          <w:sz w:val="28"/>
          <w:szCs w:val="28"/>
          <w:highlight w:val="none"/>
        </w:rPr>
        <w:t>安徽省紧密型县域医共体设备更新一期项目</w:t>
      </w:r>
    </w:p>
    <w:p w14:paraId="03A14183">
      <w:pPr>
        <w:keepNext/>
        <w:keepLines/>
        <w:adjustRightInd w:val="0"/>
        <w:snapToGrid w:val="0"/>
        <w:spacing w:before="260" w:after="260" w:line="400" w:lineRule="exact"/>
        <w:jc w:val="center"/>
        <w:outlineLvl w:val="1"/>
        <w:rPr>
          <w:rFonts w:ascii="黑体" w:hAnsi="黑体" w:eastAsia="黑体"/>
          <w:color w:val="auto"/>
          <w:sz w:val="28"/>
          <w:szCs w:val="28"/>
          <w:highlight w:val="none"/>
        </w:rPr>
      </w:pPr>
      <w:r>
        <w:rPr>
          <w:rFonts w:hint="eastAsia" w:ascii="黑体" w:hAnsi="黑体" w:eastAsia="黑体"/>
          <w:color w:val="auto"/>
          <w:sz w:val="28"/>
          <w:szCs w:val="28"/>
          <w:highlight w:val="none"/>
        </w:rPr>
        <w:t>采购合同（分合同）</w:t>
      </w:r>
    </w:p>
    <w:p w14:paraId="247304A5">
      <w:pPr>
        <w:keepNext/>
        <w:keepLines/>
        <w:adjustRightInd w:val="0"/>
        <w:snapToGrid w:val="0"/>
        <w:spacing w:before="260" w:after="260" w:line="400" w:lineRule="exact"/>
        <w:jc w:val="center"/>
        <w:outlineLvl w:val="1"/>
        <w:rPr>
          <w:rFonts w:ascii="黑体" w:hAnsi="华文中宋" w:eastAsia="黑体"/>
          <w:color w:val="auto"/>
          <w:sz w:val="28"/>
          <w:szCs w:val="28"/>
          <w:highlight w:val="none"/>
        </w:rPr>
      </w:pPr>
      <w:r>
        <w:rPr>
          <w:rFonts w:hint="eastAsia" w:ascii="黑体" w:hAnsi="黑体" w:eastAsia="黑体"/>
          <w:color w:val="auto"/>
          <w:sz w:val="28"/>
          <w:szCs w:val="28"/>
          <w:highlight w:val="none"/>
        </w:rPr>
        <w:t xml:space="preserve">第一节 </w:t>
      </w:r>
      <w:r>
        <w:rPr>
          <w:rFonts w:hint="eastAsia" w:ascii="黑体" w:hAnsi="华文中宋" w:eastAsia="黑体"/>
          <w:color w:val="auto"/>
          <w:sz w:val="28"/>
          <w:szCs w:val="28"/>
          <w:highlight w:val="none"/>
        </w:rPr>
        <w:t>政府采购合同协议书</w:t>
      </w:r>
    </w:p>
    <w:p w14:paraId="626C514F">
      <w:pPr>
        <w:keepNext/>
        <w:keepLines/>
        <w:adjustRightInd w:val="0"/>
        <w:snapToGrid w:val="0"/>
        <w:spacing w:before="260" w:after="260" w:line="400" w:lineRule="exact"/>
        <w:jc w:val="center"/>
        <w:outlineLvl w:val="1"/>
        <w:rPr>
          <w:rFonts w:ascii="黑体" w:hAnsi="华文中宋" w:eastAsia="黑体"/>
          <w:color w:val="auto"/>
          <w:sz w:val="28"/>
          <w:szCs w:val="28"/>
          <w:highlight w:val="none"/>
        </w:rPr>
      </w:pPr>
    </w:p>
    <w:p w14:paraId="31D16E73">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甲方（全称）：</w:t>
      </w:r>
      <w:r>
        <w:rPr>
          <w:rFonts w:hint="eastAsia" w:ascii="宋体" w:hAnsi="宋体"/>
          <w:color w:val="auto"/>
          <w:szCs w:val="21"/>
          <w:highlight w:val="none"/>
          <w:u w:val="single"/>
        </w:rPr>
        <w:t xml:space="preserve">                        </w:t>
      </w:r>
      <w:r>
        <w:rPr>
          <w:rFonts w:hint="eastAsia" w:ascii="宋体" w:hAnsi="宋体"/>
          <w:color w:val="auto"/>
          <w:szCs w:val="21"/>
          <w:highlight w:val="none"/>
        </w:rPr>
        <w:t>（使用单位）</w:t>
      </w:r>
    </w:p>
    <w:p w14:paraId="0EF73DA3">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乙方（全称）：</w:t>
      </w:r>
      <w:r>
        <w:rPr>
          <w:rFonts w:hint="eastAsia" w:ascii="宋体" w:hAnsi="宋体"/>
          <w:color w:val="auto"/>
          <w:szCs w:val="21"/>
          <w:highlight w:val="none"/>
          <w:u w:val="single"/>
        </w:rPr>
        <w:t xml:space="preserve">                       </w:t>
      </w:r>
      <w:r>
        <w:rPr>
          <w:rFonts w:hint="eastAsia" w:ascii="宋体" w:hAnsi="宋体"/>
          <w:color w:val="auto"/>
          <w:szCs w:val="21"/>
          <w:highlight w:val="none"/>
        </w:rPr>
        <w:t>（供应商）</w:t>
      </w:r>
    </w:p>
    <w:p w14:paraId="2D332B01">
      <w:pPr>
        <w:spacing w:line="400" w:lineRule="exact"/>
        <w:rPr>
          <w:color w:val="auto"/>
          <w:highlight w:val="none"/>
        </w:rPr>
      </w:pPr>
    </w:p>
    <w:p w14:paraId="2D854D88">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40369AE1">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项目信息</w:t>
      </w:r>
    </w:p>
    <w:p w14:paraId="7EAC296A">
      <w:pPr>
        <w:numPr>
          <w:ilvl w:val="0"/>
          <w:numId w:val="6"/>
        </w:numPr>
        <w:adjustRightInd w:val="0"/>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采购项目名称：</w:t>
      </w:r>
      <w:r>
        <w:rPr>
          <w:rFonts w:hint="eastAsia" w:ascii="宋体" w:hAnsi="宋体" w:eastAsia="仿宋"/>
          <w:color w:val="auto"/>
          <w:szCs w:val="21"/>
          <w:highlight w:val="none"/>
          <w:lang w:eastAsia="zh-CN"/>
        </w:rPr>
        <w:t>安徽省紧密型县域医共体设备更新一期项目-核磁共振成像系统（MR）二</w:t>
      </w:r>
    </w:p>
    <w:p w14:paraId="02C7BD8B">
      <w:pPr>
        <w:tabs>
          <w:tab w:val="left" w:pos="999"/>
        </w:tabs>
        <w:adjustRightInd w:val="0"/>
        <w:snapToGrid w:val="0"/>
        <w:spacing w:line="400" w:lineRule="exact"/>
        <w:ind w:firstLine="945" w:firstLineChars="450"/>
        <w:rPr>
          <w:rFonts w:hint="eastAsia" w:ascii="宋体" w:hAnsi="宋体" w:eastAsia="仿宋"/>
          <w:color w:val="auto"/>
          <w:szCs w:val="21"/>
          <w:highlight w:val="none"/>
          <w:lang w:eastAsia="zh-CN"/>
        </w:rPr>
      </w:pPr>
      <w:r>
        <w:rPr>
          <w:rFonts w:hint="eastAsia" w:ascii="宋体" w:hAnsi="宋体"/>
          <w:color w:val="auto"/>
          <w:szCs w:val="21"/>
          <w:highlight w:val="none"/>
        </w:rPr>
        <w:t>采购项目编号：</w:t>
      </w:r>
      <w:r>
        <w:rPr>
          <w:rFonts w:hint="eastAsia" w:ascii="宋体" w:hAnsi="宋体" w:eastAsia="仿宋"/>
          <w:color w:val="auto"/>
          <w:szCs w:val="21"/>
          <w:highlight w:val="none"/>
          <w:lang w:eastAsia="zh-CN"/>
        </w:rPr>
        <w:t>ZF2025-36-2023</w:t>
      </w:r>
    </w:p>
    <w:p w14:paraId="1D278C4F">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（2）采购计划编号：</w:t>
      </w:r>
      <w:r>
        <w:rPr>
          <w:rFonts w:hint="eastAsia" w:ascii="宋体" w:hAnsi="宋体" w:eastAsia="仿宋"/>
          <w:color w:val="auto"/>
          <w:szCs w:val="21"/>
          <w:highlight w:val="none"/>
        </w:rPr>
        <w:t>/</w:t>
      </w:r>
    </w:p>
    <w:p w14:paraId="3E2BAEA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（3）项目内容：</w:t>
      </w:r>
    </w:p>
    <w:p w14:paraId="5461C9E2">
      <w:pPr>
        <w:adjustRightInd w:val="0"/>
        <w:snapToGrid w:val="0"/>
        <w:spacing w:line="400" w:lineRule="exact"/>
        <w:ind w:firstLine="945" w:firstLineChars="450"/>
        <w:rPr>
          <w:rFonts w:ascii="宋体" w:hAnsi="宋体"/>
          <w:color w:val="auto"/>
          <w:szCs w:val="21"/>
          <w:highlight w:val="none"/>
        </w:rPr>
      </w:pPr>
      <w:r>
        <w:rPr>
          <w:rFonts w:hint="eastAsia" w:ascii="宋体" w:hAnsi="宋体"/>
          <w:color w:val="auto"/>
          <w:szCs w:val="21"/>
          <w:highlight w:val="none"/>
        </w:rPr>
        <w:t>采购标的及数量（台/套</w:t>
      </w:r>
      <w:r>
        <w:rPr>
          <w:rFonts w:ascii="宋体" w:hAnsi="宋体"/>
          <w:color w:val="auto"/>
          <w:szCs w:val="21"/>
          <w:highlight w:val="none"/>
          <w:lang w:val="en"/>
        </w:rPr>
        <w:t>/</w:t>
      </w:r>
      <w:r>
        <w:rPr>
          <w:rFonts w:hint="eastAsia" w:ascii="宋体" w:hAnsi="宋体"/>
          <w:color w:val="auto"/>
          <w:szCs w:val="21"/>
          <w:highlight w:val="none"/>
          <w:lang w:val="en"/>
        </w:rPr>
        <w:t>个</w:t>
      </w:r>
      <w:r>
        <w:rPr>
          <w:rFonts w:ascii="宋体" w:hAnsi="宋体"/>
          <w:color w:val="auto"/>
          <w:szCs w:val="21"/>
          <w:highlight w:val="none"/>
          <w:lang w:val="en"/>
        </w:rPr>
        <w:t>/</w:t>
      </w:r>
      <w:r>
        <w:rPr>
          <w:rFonts w:hint="eastAsia" w:ascii="宋体" w:hAnsi="宋体"/>
          <w:color w:val="auto"/>
          <w:szCs w:val="21"/>
          <w:highlight w:val="none"/>
          <w:lang w:val="en"/>
        </w:rPr>
        <w:t>架</w:t>
      </w:r>
      <w:r>
        <w:rPr>
          <w:rFonts w:ascii="宋体" w:hAnsi="宋体"/>
          <w:color w:val="auto"/>
          <w:szCs w:val="21"/>
          <w:highlight w:val="none"/>
          <w:lang w:val="en"/>
        </w:rPr>
        <w:t>/</w:t>
      </w:r>
      <w:r>
        <w:rPr>
          <w:rFonts w:hint="eastAsia" w:ascii="宋体" w:hAnsi="宋体"/>
          <w:color w:val="auto"/>
          <w:szCs w:val="21"/>
          <w:highlight w:val="none"/>
          <w:lang w:val="en"/>
        </w:rPr>
        <w:t>组等</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35596115">
      <w:pPr>
        <w:adjustRightInd w:val="0"/>
        <w:snapToGrid w:val="0"/>
        <w:spacing w:line="400" w:lineRule="exact"/>
        <w:ind w:firstLine="945" w:firstLineChars="450"/>
        <w:rPr>
          <w:rFonts w:ascii="宋体" w:hAnsi="宋体" w:cs="宋体"/>
          <w:color w:val="auto"/>
          <w:szCs w:val="21"/>
          <w:highlight w:val="none"/>
          <w:lang w:val="en"/>
        </w:rPr>
      </w:pPr>
      <w:r>
        <w:rPr>
          <w:rFonts w:hint="eastAsia" w:ascii="宋体" w:hAnsi="宋体" w:cs="宋体"/>
          <w:color w:val="auto"/>
          <w:szCs w:val="21"/>
          <w:highlight w:val="none"/>
        </w:rPr>
        <w:t>品牌：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lang w:val="en"/>
        </w:rPr>
        <w:t xml:space="preserve">     </w:t>
      </w:r>
      <w:r>
        <w:rPr>
          <w:rFonts w:hint="eastAsia" w:ascii="宋体" w:hAnsi="宋体" w:cs="宋体"/>
          <w:color w:val="auto"/>
          <w:szCs w:val="21"/>
          <w:highlight w:val="none"/>
        </w:rPr>
        <w:t>规格型号：</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lang w:val="en"/>
        </w:rPr>
        <w:t xml:space="preserve">   </w:t>
      </w:r>
    </w:p>
    <w:p w14:paraId="38254055">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采购标的的技术要求、商务要求具体见附件。</w:t>
      </w:r>
    </w:p>
    <w:p w14:paraId="71A0BA3F">
      <w:pPr>
        <w:widowControl/>
        <w:autoSpaceDE w:val="0"/>
        <w:autoSpaceDN w:val="0"/>
        <w:adjustRightInd w:val="0"/>
        <w:snapToGrid w:val="0"/>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lang w:val="en"/>
        </w:rPr>
        <w:t>4</w:t>
      </w:r>
      <w:r>
        <w:rPr>
          <w:rFonts w:hint="eastAsia" w:ascii="宋体" w:hAnsi="宋体" w:cs="宋体"/>
          <w:color w:val="auto"/>
          <w:kern w:val="0"/>
          <w:szCs w:val="21"/>
          <w:highlight w:val="none"/>
        </w:rPr>
        <w:t>）政府采购组织形式：</w:t>
      </w:r>
      <w:r>
        <w:rPr>
          <w:rFonts w:hint="eastAsia" w:ascii="宋体" w:hAnsi="宋体" w:cs="宋体"/>
          <w:color w:val="auto"/>
          <w:kern w:val="0"/>
          <w:szCs w:val="21"/>
          <w:highlight w:val="none"/>
        </w:rPr>
        <w:sym w:font="Wingdings" w:char="00A8"/>
      </w:r>
      <w:r>
        <w:rPr>
          <w:rFonts w:hint="eastAsia" w:ascii="宋体" w:hAnsi="宋体" w:cs="宋体"/>
          <w:color w:val="auto"/>
          <w:kern w:val="0"/>
          <w:szCs w:val="21"/>
          <w:highlight w:val="none"/>
        </w:rPr>
        <w:t xml:space="preserve">政府集中采购  </w:t>
      </w:r>
      <w:r>
        <w:rPr>
          <w:rFonts w:hint="eastAsia" w:ascii="宋体" w:hAnsi="宋体" w:cs="宋体"/>
          <w:color w:val="auto"/>
          <w:kern w:val="0"/>
          <w:szCs w:val="21"/>
          <w:highlight w:val="none"/>
        </w:rPr>
        <w:sym w:font="Wingdings" w:char="00A8"/>
      </w:r>
      <w:r>
        <w:rPr>
          <w:rFonts w:hint="eastAsia" w:ascii="宋体" w:hAnsi="宋体" w:cs="宋体"/>
          <w:color w:val="auto"/>
          <w:kern w:val="0"/>
          <w:szCs w:val="21"/>
          <w:highlight w:val="none"/>
        </w:rPr>
        <w:t xml:space="preserve">部门集中采购  </w:t>
      </w:r>
      <w:r>
        <w:rPr>
          <w:rFonts w:hint="eastAsia" w:ascii="宋体" w:hAnsi="宋体" w:cs="宋体"/>
          <w:color w:val="auto"/>
          <w:kern w:val="0"/>
          <w:szCs w:val="21"/>
          <w:highlight w:val="none"/>
        </w:rPr>
        <w:sym w:font="Wingdings" w:char="00FE"/>
      </w:r>
      <w:r>
        <w:rPr>
          <w:rFonts w:hint="eastAsia" w:ascii="宋体" w:hAnsi="宋体" w:cs="宋体"/>
          <w:color w:val="auto"/>
          <w:kern w:val="0"/>
          <w:szCs w:val="21"/>
          <w:highlight w:val="none"/>
        </w:rPr>
        <w:t>分散采购</w:t>
      </w:r>
    </w:p>
    <w:p w14:paraId="4F669A44">
      <w:pPr>
        <w:widowControl/>
        <w:autoSpaceDE w:val="0"/>
        <w:autoSpaceDN w:val="0"/>
        <w:adjustRightInd w:val="0"/>
        <w:snapToGrid w:val="0"/>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lang w:val="en"/>
        </w:rPr>
        <w:t>5</w:t>
      </w:r>
      <w:r>
        <w:rPr>
          <w:rFonts w:hint="eastAsia" w:ascii="宋体" w:hAnsi="宋体" w:cs="宋体"/>
          <w:color w:val="auto"/>
          <w:kern w:val="0"/>
          <w:szCs w:val="21"/>
          <w:highlight w:val="none"/>
        </w:rPr>
        <w:t>）政府采购方式：</w:t>
      </w:r>
      <w:r>
        <w:rPr>
          <w:rFonts w:hint="eastAsia" w:ascii="宋体" w:hAnsi="宋体" w:cs="宋体"/>
          <w:color w:val="auto"/>
          <w:kern w:val="0"/>
          <w:szCs w:val="21"/>
          <w:highlight w:val="none"/>
        </w:rPr>
        <w:sym w:font="Wingdings" w:char="00FE"/>
      </w:r>
      <w:r>
        <w:rPr>
          <w:rFonts w:hint="eastAsia" w:ascii="宋体" w:hAnsi="宋体" w:cs="宋体"/>
          <w:color w:val="auto"/>
          <w:kern w:val="0"/>
          <w:szCs w:val="21"/>
          <w:highlight w:val="none"/>
        </w:rPr>
        <w:t xml:space="preserve">公开招标 </w:t>
      </w:r>
      <w:r>
        <w:rPr>
          <w:rFonts w:hint="eastAsia" w:ascii="宋体" w:hAnsi="宋体" w:cs="宋体"/>
          <w:color w:val="auto"/>
          <w:kern w:val="0"/>
          <w:szCs w:val="21"/>
          <w:highlight w:val="none"/>
        </w:rPr>
        <w:sym w:font="Wingdings" w:char="00A8"/>
      </w:r>
      <w:r>
        <w:rPr>
          <w:rFonts w:hint="eastAsia" w:ascii="宋体" w:hAnsi="宋体" w:cs="宋体"/>
          <w:color w:val="auto"/>
          <w:kern w:val="0"/>
          <w:szCs w:val="21"/>
          <w:highlight w:val="none"/>
        </w:rPr>
        <w:t>邀请招标</w:t>
      </w:r>
    </w:p>
    <w:p w14:paraId="08D4793D">
      <w:pPr>
        <w:widowControl/>
        <w:autoSpaceDE w:val="0"/>
        <w:autoSpaceDN w:val="0"/>
        <w:adjustRightInd w:val="0"/>
        <w:snapToGrid w:val="0"/>
        <w:spacing w:line="400" w:lineRule="exact"/>
        <w:ind w:firstLine="440" w:firstLineChars="200"/>
        <w:jc w:val="left"/>
        <w:rPr>
          <w:rFonts w:ascii="宋体" w:hAnsi="宋体"/>
          <w:color w:val="auto"/>
          <w:szCs w:val="21"/>
          <w:highlight w:val="none"/>
        </w:rPr>
      </w:pPr>
      <w:r>
        <w:rPr>
          <w:rFonts w:hint="eastAsia" w:ascii="宋体" w:hAnsi="宋体" w:eastAsia="华文楷体" w:cs="华文楷体"/>
          <w:color w:val="auto"/>
          <w:kern w:val="0"/>
          <w:sz w:val="22"/>
          <w:szCs w:val="21"/>
          <w:highlight w:val="none"/>
        </w:rPr>
        <w:t>（</w:t>
      </w:r>
      <w:r>
        <w:rPr>
          <w:rFonts w:ascii="宋体" w:hAnsi="宋体" w:eastAsia="华文楷体" w:cs="华文楷体"/>
          <w:color w:val="auto"/>
          <w:kern w:val="0"/>
          <w:sz w:val="22"/>
          <w:szCs w:val="21"/>
          <w:highlight w:val="none"/>
          <w:lang w:val="en"/>
        </w:rPr>
        <w:t>6</w:t>
      </w:r>
      <w:r>
        <w:rPr>
          <w:rFonts w:hint="eastAsia" w:ascii="宋体" w:hAnsi="宋体" w:eastAsia="华文楷体" w:cs="华文楷体"/>
          <w:color w:val="auto"/>
          <w:kern w:val="0"/>
          <w:sz w:val="22"/>
          <w:szCs w:val="21"/>
          <w:highlight w:val="none"/>
        </w:rPr>
        <w:t>）</w:t>
      </w:r>
      <w:r>
        <w:rPr>
          <w:rFonts w:hint="eastAsia" w:ascii="宋体" w:hAnsi="宋体"/>
          <w:color w:val="auto"/>
          <w:szCs w:val="21"/>
          <w:highlight w:val="none"/>
        </w:rPr>
        <w:t>中标（成交）采购标的制造商是否为中小企业：</w:t>
      </w:r>
      <w:r>
        <w:rPr>
          <w:rFonts w:hint="eastAsia" w:ascii="宋体" w:hAnsi="宋体"/>
          <w:color w:val="auto"/>
          <w:szCs w:val="21"/>
          <w:highlight w:val="none"/>
        </w:rPr>
        <w:sym w:font="Wingdings" w:char="00A8"/>
      </w:r>
      <w:r>
        <w:rPr>
          <w:rFonts w:hint="eastAsia" w:ascii="宋体" w:hAnsi="宋体"/>
          <w:color w:val="auto"/>
          <w:szCs w:val="21"/>
          <w:highlight w:val="none"/>
        </w:rPr>
        <w:t xml:space="preserve">是      </w:t>
      </w:r>
      <w:r>
        <w:rPr>
          <w:rFonts w:hint="eastAsia" w:ascii="宋体" w:hAnsi="宋体"/>
          <w:color w:val="auto"/>
          <w:szCs w:val="21"/>
          <w:highlight w:val="none"/>
        </w:rPr>
        <w:sym w:font="Wingdings" w:char="00A8"/>
      </w:r>
      <w:r>
        <w:rPr>
          <w:rFonts w:hint="eastAsia" w:ascii="宋体" w:hAnsi="宋体"/>
          <w:color w:val="auto"/>
          <w:szCs w:val="21"/>
          <w:highlight w:val="none"/>
        </w:rPr>
        <w:t>否</w:t>
      </w:r>
    </w:p>
    <w:p w14:paraId="62F10392">
      <w:pPr>
        <w:adjustRightInd w:val="0"/>
        <w:snapToGrid w:val="0"/>
        <w:spacing w:line="400" w:lineRule="exact"/>
        <w:ind w:firstLine="945" w:firstLineChars="450"/>
        <w:rPr>
          <w:rFonts w:ascii="宋体" w:hAnsi="宋体"/>
          <w:iCs/>
          <w:color w:val="auto"/>
          <w:szCs w:val="21"/>
          <w:highlight w:val="none"/>
        </w:rPr>
      </w:pPr>
      <w:r>
        <w:rPr>
          <w:rFonts w:hint="eastAsia" w:ascii="宋体" w:hAnsi="宋体"/>
          <w:color w:val="auto"/>
          <w:szCs w:val="21"/>
          <w:highlight w:val="none"/>
        </w:rPr>
        <w:t>本合同是否为专门面向中小企业的采购合同（中小企业预留合同）：</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1306D27A">
      <w:pPr>
        <w:adjustRightInd w:val="0"/>
        <w:snapToGrid w:val="0"/>
        <w:spacing w:line="400" w:lineRule="exact"/>
        <w:ind w:firstLine="945" w:firstLineChars="450"/>
        <w:rPr>
          <w:rFonts w:ascii="宋体" w:hAnsi="宋体"/>
          <w:iCs/>
          <w:color w:val="auto"/>
          <w:szCs w:val="21"/>
          <w:highlight w:val="none"/>
        </w:rPr>
      </w:pPr>
      <w:r>
        <w:rPr>
          <w:rFonts w:hint="eastAsia"/>
          <w:color w:val="auto"/>
          <w:highlight w:val="none"/>
        </w:rPr>
        <w:t>若本项目不专门面向中小企业采购，是否给予小微企业评审优惠：</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503EF5A">
      <w:pPr>
        <w:adjustRightInd w:val="0"/>
        <w:snapToGrid w:val="0"/>
        <w:spacing w:line="400" w:lineRule="exact"/>
        <w:ind w:firstLine="945" w:firstLineChars="450"/>
        <w:rPr>
          <w:rFonts w:ascii="宋体" w:hAnsi="宋体"/>
          <w:iCs/>
          <w:color w:val="auto"/>
          <w:szCs w:val="21"/>
          <w:highlight w:val="none"/>
        </w:rPr>
      </w:pPr>
      <w:r>
        <w:rPr>
          <w:rFonts w:hint="eastAsia"/>
          <w:color w:val="auto"/>
          <w:highlight w:val="none"/>
        </w:rPr>
        <w:t>中标（成交）采购标的制造商是否为残疾人福利性单位：</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B9654BF">
      <w:pPr>
        <w:snapToGrid w:val="0"/>
        <w:spacing w:line="400" w:lineRule="exact"/>
        <w:ind w:firstLine="945" w:firstLineChars="450"/>
        <w:rPr>
          <w:color w:val="auto"/>
          <w:highlight w:val="none"/>
        </w:rPr>
      </w:pPr>
      <w:r>
        <w:rPr>
          <w:rFonts w:hint="eastAsia"/>
          <w:color w:val="auto"/>
          <w:highlight w:val="none"/>
        </w:rPr>
        <w:t>中标（成交）采购标的制造商是否为监狱企业：</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38C377B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lang w:val="en"/>
        </w:rPr>
        <w:t>7</w:t>
      </w:r>
      <w:r>
        <w:rPr>
          <w:rFonts w:hint="eastAsia" w:ascii="宋体" w:hAnsi="宋体"/>
          <w:color w:val="auto"/>
          <w:szCs w:val="21"/>
          <w:highlight w:val="none"/>
        </w:rPr>
        <w:t>）合同是否分包：</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3847129A">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rPr>
        <w:t>分包主要内容：</w:t>
      </w:r>
      <w:r>
        <w:rPr>
          <w:rFonts w:hint="eastAsia" w:ascii="宋体" w:hAnsi="宋体"/>
          <w:color w:val="auto"/>
          <w:szCs w:val="21"/>
          <w:highlight w:val="none"/>
          <w:u w:val="single"/>
        </w:rPr>
        <w:t xml:space="preserve">                                            </w:t>
      </w:r>
    </w:p>
    <w:p w14:paraId="29C01205">
      <w:pPr>
        <w:adjustRightInd w:val="0"/>
        <w:snapToGrid w:val="0"/>
        <w:spacing w:line="400" w:lineRule="exact"/>
        <w:ind w:firstLine="945" w:firstLineChars="450"/>
        <w:rPr>
          <w:rFonts w:ascii="宋体" w:hAnsi="宋体"/>
          <w:color w:val="auto"/>
          <w:szCs w:val="21"/>
          <w:highlight w:val="none"/>
        </w:rPr>
      </w:pPr>
      <w:r>
        <w:rPr>
          <w:rFonts w:hint="eastAsia" w:ascii="宋体" w:hAnsi="宋体"/>
          <w:color w:val="auto"/>
          <w:szCs w:val="21"/>
          <w:highlight w:val="none"/>
        </w:rPr>
        <w:t>分包供应商/制造商名称（如供应商和制造商不同，请分别填写）：</w:t>
      </w:r>
    </w:p>
    <w:p w14:paraId="15EF6EA2">
      <w:pPr>
        <w:adjustRightInd w:val="0"/>
        <w:snapToGrid w:val="0"/>
        <w:spacing w:line="400" w:lineRule="exact"/>
        <w:ind w:firstLine="945" w:firstLineChars="450"/>
        <w:rPr>
          <w:rFonts w:ascii="宋体" w:hAnsi="宋体"/>
          <w:color w:val="auto"/>
          <w:szCs w:val="21"/>
          <w:highlight w:val="none"/>
          <w:u w:val="single"/>
        </w:rPr>
      </w:pPr>
      <w:r>
        <w:rPr>
          <w:rFonts w:hint="eastAsia" w:ascii="宋体" w:hAnsi="宋体"/>
          <w:color w:val="auto"/>
          <w:szCs w:val="21"/>
          <w:highlight w:val="none"/>
          <w:u w:val="single"/>
        </w:rPr>
        <w:t xml:space="preserve">                                                          </w:t>
      </w:r>
    </w:p>
    <w:p w14:paraId="03B90F75">
      <w:pPr>
        <w:adjustRightInd w:val="0"/>
        <w:snapToGrid w:val="0"/>
        <w:spacing w:line="400" w:lineRule="exact"/>
        <w:ind w:firstLine="945" w:firstLineChars="450"/>
        <w:rPr>
          <w:rFonts w:ascii="宋体" w:hAnsi="宋体"/>
          <w:color w:val="auto"/>
          <w:szCs w:val="21"/>
          <w:highlight w:val="none"/>
        </w:rPr>
      </w:pPr>
      <w:r>
        <w:rPr>
          <w:rFonts w:hint="eastAsia" w:ascii="宋体" w:hAnsi="宋体"/>
          <w:color w:val="auto"/>
          <w:szCs w:val="21"/>
          <w:highlight w:val="none"/>
        </w:rPr>
        <w:t>分包供应商/制造商类型（如果供应商和制造商不同，只填写制造商类型）：</w:t>
      </w:r>
    </w:p>
    <w:p w14:paraId="5D8EE09B">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大型企业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中型企业  </w:t>
      </w:r>
      <w:r>
        <w:rPr>
          <w:rFonts w:hint="eastAsia" w:ascii="宋体" w:hAnsi="宋体"/>
          <w:iCs/>
          <w:color w:val="auto"/>
          <w:szCs w:val="21"/>
          <w:highlight w:val="none"/>
        </w:rPr>
        <w:sym w:font="Wingdings" w:char="00A8"/>
      </w:r>
      <w:r>
        <w:rPr>
          <w:rFonts w:hint="eastAsia" w:ascii="宋体" w:hAnsi="宋体"/>
          <w:iCs/>
          <w:color w:val="auto"/>
          <w:szCs w:val="21"/>
          <w:highlight w:val="none"/>
        </w:rPr>
        <w:t>小微型企业</w:t>
      </w:r>
    </w:p>
    <w:p w14:paraId="05020641">
      <w:pPr>
        <w:adjustRightInd w:val="0"/>
        <w:snapToGrid w:val="0"/>
        <w:spacing w:line="400" w:lineRule="exact"/>
        <w:ind w:firstLine="945" w:firstLineChars="450"/>
        <w:rPr>
          <w:rFonts w:eastAsia="华文楷体"/>
          <w:color w:val="auto"/>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残疾人福利性单位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监狱企业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p>
    <w:p w14:paraId="4AF80BBE">
      <w:pPr>
        <w:adjustRightInd w:val="0"/>
        <w:snapToGrid w:val="0"/>
        <w:spacing w:line="400" w:lineRule="exact"/>
        <w:ind w:firstLine="420" w:firstLineChars="200"/>
        <w:rPr>
          <w:rFonts w:ascii="宋体" w:hAnsi="宋体" w:cs="宋体"/>
          <w:iCs/>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8</w:t>
      </w:r>
      <w:r>
        <w:rPr>
          <w:rFonts w:hint="eastAsia" w:ascii="宋体" w:hAnsi="宋体" w:cs="宋体"/>
          <w:color w:val="auto"/>
          <w:szCs w:val="21"/>
          <w:highlight w:val="none"/>
        </w:rPr>
        <w:t>）中标（成交）供应商是否为外商投资企业：</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 xml:space="preserve">是       </w:t>
      </w:r>
      <w:r>
        <w:rPr>
          <w:rFonts w:hint="eastAsia" w:ascii="宋体" w:hAnsi="宋体" w:cs="宋体"/>
          <w:iCs/>
          <w:color w:val="auto"/>
          <w:szCs w:val="21"/>
          <w:highlight w:val="none"/>
        </w:rPr>
        <w:sym w:font="Wingdings" w:char="00A8"/>
      </w:r>
      <w:r>
        <w:rPr>
          <w:rFonts w:hint="eastAsia" w:ascii="宋体" w:hAnsi="宋体" w:cs="宋体"/>
          <w:iCs/>
          <w:color w:val="auto"/>
          <w:szCs w:val="21"/>
          <w:highlight w:val="none"/>
        </w:rPr>
        <w:t>否</w:t>
      </w:r>
    </w:p>
    <w:p w14:paraId="620479A0">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外商投资企业类型：</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全部由外国投资者投资  </w:t>
      </w:r>
      <w:r>
        <w:rPr>
          <w:rFonts w:hint="eastAsia" w:ascii="宋体" w:hAnsi="宋体"/>
          <w:iCs/>
          <w:color w:val="auto"/>
          <w:szCs w:val="21"/>
          <w:highlight w:val="none"/>
        </w:rPr>
        <w:sym w:font="Wingdings" w:char="00A8"/>
      </w:r>
      <w:r>
        <w:rPr>
          <w:rFonts w:hint="eastAsia" w:ascii="宋体" w:hAnsi="宋体"/>
          <w:iCs/>
          <w:color w:val="auto"/>
          <w:szCs w:val="21"/>
          <w:highlight w:val="none"/>
        </w:rPr>
        <w:t>部分由外国投资者投资</w:t>
      </w:r>
    </w:p>
    <w:p w14:paraId="6FDA685B">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lang w:val="en"/>
        </w:rPr>
        <w:t>9</w:t>
      </w:r>
      <w:r>
        <w:rPr>
          <w:rFonts w:hint="eastAsia" w:ascii="宋体" w:hAnsi="宋体" w:cs="宋体"/>
          <w:color w:val="auto"/>
          <w:szCs w:val="21"/>
          <w:highlight w:val="none"/>
        </w:rPr>
        <w:t>）是否涉及进口产品：</w:t>
      </w:r>
    </w:p>
    <w:p w14:paraId="28D51266">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是，《政府采购品目分类目录》底级品目名称：          金额：        </w:t>
      </w:r>
    </w:p>
    <w:p w14:paraId="470C0294">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       国别：         品牌：         规格型号：              </w:t>
      </w:r>
    </w:p>
    <w:p w14:paraId="04B060E0">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5CA060DE">
      <w:pPr>
        <w:adjustRightInd w:val="0"/>
        <w:snapToGrid w:val="0"/>
        <w:spacing w:line="400" w:lineRule="exact"/>
        <w:ind w:firstLine="420" w:firstLineChars="200"/>
        <w:rPr>
          <w:rFonts w:ascii="宋体" w:hAnsi="宋体"/>
          <w:iCs/>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lang w:val="en"/>
        </w:rPr>
        <w:t>0</w:t>
      </w:r>
      <w:r>
        <w:rPr>
          <w:rFonts w:hint="eastAsia" w:ascii="宋体" w:hAnsi="宋体" w:cs="宋体"/>
          <w:color w:val="auto"/>
          <w:szCs w:val="21"/>
          <w:highlight w:val="none"/>
        </w:rPr>
        <w:t>）是否涉及节能产品：</w:t>
      </w:r>
    </w:p>
    <w:p w14:paraId="1B6DA620">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是，《节能产品政府采购品目清单》的底级品目名称：              </w:t>
      </w:r>
    </w:p>
    <w:p w14:paraId="0161AA86">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150EAB6B">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2DF87FF9">
      <w:pPr>
        <w:widowControl/>
        <w:autoSpaceDE w:val="0"/>
        <w:autoSpaceDN w:val="0"/>
        <w:adjustRightInd w:val="0"/>
        <w:spacing w:line="400" w:lineRule="exact"/>
        <w:ind w:firstLine="420" w:firstLineChars="200"/>
        <w:jc w:val="left"/>
        <w:rPr>
          <w:rFonts w:ascii="宋体" w:hAnsi="宋体"/>
          <w:iCs/>
          <w:color w:val="auto"/>
          <w:szCs w:val="21"/>
          <w:highlight w:val="none"/>
        </w:rPr>
      </w:pPr>
    </w:p>
    <w:p w14:paraId="20F72BA8">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是否涉及环境标志产品：</w:t>
      </w:r>
    </w:p>
    <w:p w14:paraId="2476D82C">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是，《环境标志产品政府采购品目清单》的底级品目名称：          </w:t>
      </w:r>
    </w:p>
    <w:p w14:paraId="600DDFBE">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2BCC9E09">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186E0A9A">
      <w:pPr>
        <w:widowControl/>
        <w:autoSpaceDE w:val="0"/>
        <w:autoSpaceDN w:val="0"/>
        <w:adjustRightInd w:val="0"/>
        <w:spacing w:line="400" w:lineRule="exact"/>
        <w:ind w:firstLine="420" w:firstLineChars="200"/>
        <w:jc w:val="left"/>
        <w:rPr>
          <w:rFonts w:ascii="宋体" w:hAnsi="宋体"/>
          <w:iCs/>
          <w:color w:val="auto"/>
          <w:szCs w:val="21"/>
          <w:highlight w:val="none"/>
        </w:rPr>
      </w:pPr>
    </w:p>
    <w:p w14:paraId="7261E0F2">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是否涉及绿色产品：</w:t>
      </w:r>
    </w:p>
    <w:p w14:paraId="325D0A71">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是，绿色产品政府采购相关政策确定的底级品目名称：         </w:t>
      </w:r>
    </w:p>
    <w:p w14:paraId="039D2AC4">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强制采购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优先采购    </w:t>
      </w:r>
    </w:p>
    <w:p w14:paraId="607E5A50">
      <w:pPr>
        <w:adjustRightInd w:val="0"/>
        <w:snapToGrid w:val="0"/>
        <w:spacing w:line="400" w:lineRule="exact"/>
        <w:ind w:firstLine="945" w:firstLineChars="450"/>
        <w:rPr>
          <w:rFonts w:ascii="宋体" w:hAnsi="宋体" w:cs="宋体"/>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否</w:t>
      </w:r>
    </w:p>
    <w:p w14:paraId="08DB546A">
      <w:pPr>
        <w:adjustRightInd w:val="0"/>
        <w:snapToGrid w:val="0"/>
        <w:spacing w:line="400" w:lineRule="exact"/>
        <w:ind w:firstLine="420" w:firstLineChars="200"/>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lang w:val="en"/>
        </w:rPr>
        <w:t>1</w:t>
      </w:r>
      <w:r>
        <w:rPr>
          <w:rFonts w:hint="eastAsia" w:ascii="宋体" w:hAnsi="宋体"/>
          <w:color w:val="auto"/>
          <w:szCs w:val="21"/>
          <w:highlight w:val="none"/>
        </w:rPr>
        <w:t>）涉及商品包装和快递包装的，是否参考《商品包装政府采购需求标准（试行）》、《快递包装政府采购需求标准（试行）》明确产品及相关快递服务的具体包装要求：</w:t>
      </w:r>
    </w:p>
    <w:p w14:paraId="5A912825">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否      </w:t>
      </w:r>
      <w:r>
        <w:rPr>
          <w:rFonts w:hint="eastAsia" w:ascii="宋体" w:hAnsi="宋体"/>
          <w:iCs/>
          <w:color w:val="auto"/>
          <w:szCs w:val="21"/>
          <w:highlight w:val="none"/>
        </w:rPr>
        <w:sym w:font="Wingdings" w:char="00A8"/>
      </w:r>
      <w:r>
        <w:rPr>
          <w:rFonts w:hint="eastAsia" w:ascii="宋体" w:hAnsi="宋体"/>
          <w:iCs/>
          <w:color w:val="auto"/>
          <w:szCs w:val="21"/>
          <w:highlight w:val="none"/>
        </w:rPr>
        <w:t>不涉及</w:t>
      </w:r>
    </w:p>
    <w:p w14:paraId="5821BD0E">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合同金额</w:t>
      </w:r>
    </w:p>
    <w:p w14:paraId="1724652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14:paraId="64C29536">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130E0D1A">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分包金额（如有）小写：</w:t>
      </w:r>
      <w:r>
        <w:rPr>
          <w:rFonts w:hint="eastAsia" w:ascii="宋体" w:hAnsi="宋体"/>
          <w:color w:val="auto"/>
          <w:szCs w:val="21"/>
          <w:highlight w:val="none"/>
          <w:u w:val="single"/>
        </w:rPr>
        <w:t xml:space="preserve">                   </w:t>
      </w:r>
    </w:p>
    <w:p w14:paraId="7057F46C">
      <w:pPr>
        <w:adjustRightInd w:val="0"/>
        <w:snapToGrid w:val="0"/>
        <w:spacing w:line="400" w:lineRule="exact"/>
        <w:rPr>
          <w:rFonts w:ascii="宋体" w:hAnsi="宋体"/>
          <w:color w:val="auto"/>
          <w:szCs w:val="21"/>
          <w:highlight w:val="none"/>
          <w:u w:val="single"/>
        </w:rPr>
      </w:pPr>
      <w:r>
        <w:rPr>
          <w:rFonts w:hint="eastAsia" w:ascii="宋体" w:hAnsi="宋体"/>
          <w:color w:val="auto"/>
          <w:szCs w:val="21"/>
          <w:highlight w:val="none"/>
        </w:rPr>
        <w:t xml:space="preserve">                     大写：</w:t>
      </w:r>
      <w:r>
        <w:rPr>
          <w:rFonts w:hint="eastAsia" w:ascii="宋体" w:hAnsi="宋体"/>
          <w:color w:val="auto"/>
          <w:szCs w:val="21"/>
          <w:highlight w:val="none"/>
          <w:u w:val="single"/>
        </w:rPr>
        <w:t xml:space="preserve">                       </w:t>
      </w:r>
    </w:p>
    <w:p w14:paraId="7F1D6974">
      <w:pPr>
        <w:adjustRightInd w:val="0"/>
        <w:snapToGrid w:val="0"/>
        <w:spacing w:line="400" w:lineRule="exact"/>
        <w:rPr>
          <w:rFonts w:ascii="宋体" w:hAnsi="宋体"/>
          <w:color w:val="auto"/>
          <w:szCs w:val="21"/>
          <w:highlight w:val="none"/>
        </w:rPr>
      </w:pPr>
      <w:r>
        <w:rPr>
          <w:rFonts w:hint="eastAsia" w:ascii="宋体" w:hAnsi="宋体"/>
          <w:color w:val="auto"/>
          <w:szCs w:val="21"/>
          <w:highlight w:val="none"/>
        </w:rPr>
        <w:t xml:space="preserve">    （注：固定单价合同应填写单价和最高限价）</w:t>
      </w:r>
    </w:p>
    <w:p w14:paraId="4D8A989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合同</w:t>
      </w:r>
      <w:r>
        <w:rPr>
          <w:rFonts w:hint="eastAsia" w:ascii="宋体" w:hAnsi="宋体"/>
          <w:color w:val="auto"/>
          <w:szCs w:val="21"/>
          <w:highlight w:val="none"/>
        </w:rPr>
        <w:t>定价方式：</w:t>
      </w:r>
    </w:p>
    <w:p w14:paraId="01FF9716">
      <w:pPr>
        <w:adjustRightInd w:val="0"/>
        <w:snapToGrid w:val="0"/>
        <w:spacing w:line="400" w:lineRule="exact"/>
        <w:ind w:firstLine="945" w:firstLineChars="450"/>
        <w:rPr>
          <w:rFonts w:ascii="宋体" w:hAnsi="宋体"/>
          <w:color w:val="auto"/>
          <w:szCs w:val="21"/>
          <w:highlight w:val="none"/>
        </w:rPr>
      </w:pP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固定总价 </w:t>
      </w:r>
      <w:r>
        <w:rPr>
          <w:rFonts w:hint="eastAsia" w:ascii="宋体" w:hAnsi="宋体"/>
          <w:iCs/>
          <w:color w:val="auto"/>
          <w:szCs w:val="21"/>
          <w:highlight w:val="none"/>
        </w:rPr>
        <w:sym w:font="Wingdings" w:char="00FE"/>
      </w:r>
      <w:r>
        <w:rPr>
          <w:rFonts w:hint="eastAsia" w:ascii="宋体" w:hAnsi="宋体"/>
          <w:iCs/>
          <w:color w:val="auto"/>
          <w:szCs w:val="21"/>
          <w:highlight w:val="none"/>
        </w:rPr>
        <w:t xml:space="preserve">固定单价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固定费率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成本补偿 </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绩效激励 </w:t>
      </w:r>
      <w:r>
        <w:rPr>
          <w:rFonts w:hint="eastAsia" w:ascii="宋体" w:hAnsi="宋体"/>
          <w:iCs/>
          <w:color w:val="auto"/>
          <w:szCs w:val="21"/>
          <w:highlight w:val="none"/>
        </w:rPr>
        <w:sym w:font="Wingdings" w:char="00A8"/>
      </w:r>
      <w:r>
        <w:rPr>
          <w:rFonts w:hint="eastAsia" w:ascii="宋体" w:hAnsi="宋体"/>
          <w:iCs/>
          <w:color w:val="auto"/>
          <w:szCs w:val="21"/>
          <w:highlight w:val="none"/>
        </w:rPr>
        <w:t>其他</w:t>
      </w:r>
      <w:r>
        <w:rPr>
          <w:rFonts w:hint="eastAsia" w:ascii="宋体" w:hAnsi="宋体"/>
          <w:color w:val="auto"/>
          <w:szCs w:val="21"/>
          <w:highlight w:val="none"/>
          <w:u w:val="single"/>
        </w:rPr>
        <w:t xml:space="preserve">       </w:t>
      </w:r>
    </w:p>
    <w:p w14:paraId="650FD44C">
      <w:pPr>
        <w:adjustRightInd w:val="0"/>
        <w:snapToGrid w:val="0"/>
        <w:spacing w:line="400" w:lineRule="exact"/>
        <w:ind w:firstLine="420" w:firstLineChars="200"/>
        <w:rPr>
          <w:color w:val="auto"/>
          <w:highlight w:val="none"/>
        </w:rPr>
      </w:pPr>
      <w:r>
        <w:rPr>
          <w:rFonts w:hint="eastAsia" w:ascii="宋体" w:hAnsi="宋体"/>
          <w:color w:val="auto"/>
          <w:highlight w:val="none"/>
        </w:rPr>
        <w:t>（3）</w:t>
      </w:r>
      <w:r>
        <w:rPr>
          <w:rFonts w:hint="eastAsia" w:ascii="宋体" w:hAnsi="宋体" w:cs="宋体"/>
          <w:color w:val="auto"/>
          <w:szCs w:val="21"/>
          <w:highlight w:val="none"/>
        </w:rPr>
        <w:t>付款</w:t>
      </w:r>
      <w:r>
        <w:rPr>
          <w:rFonts w:hint="eastAsia" w:ascii="宋体" w:hAnsi="宋体"/>
          <w:color w:val="auto"/>
          <w:highlight w:val="none"/>
        </w:rPr>
        <w:t>方式：甲方与乙方供货合同签订且货到甲方指定地点后，提交所在市卫健委汇总后报安徽省卫生健康委员会，由安徽省卫生健康委员会统一支付超长期国债资金（以下简称“到货款”），货物安装、验收合格，甲方在收到发票后向乙方支付剩余款项（以下简称“尾款”），安徽省卫生健康委员会支付的到货款与甲方支付的尾款之和为分合同合同总额。（如果招标公告附件中列明的甲方“超长期国债资金付款金额”不小于分合同合同总额的90%，则安徽省卫生健康委员会支付的到货款为分合同合同总额的90%，甲方支付的尾款为分合同合同总额的10%；如果招标公告附件中列明的甲方“超长期国债资金付款金额”小于分合同合同总额的90%，则安徽省卫生健康委员会支付的到货款为招标公告附件中列明的“超长期国债资金付款金额”，甲方支付的尾款为分合同合同总额扣除招标公告附件中列明的“超长期国债资金付款金额”的剩余金额。）</w:t>
      </w:r>
    </w:p>
    <w:p w14:paraId="66CF64BD">
      <w:pPr>
        <w:numPr>
          <w:ilvl w:val="0"/>
          <w:numId w:val="5"/>
        </w:numPr>
        <w:adjustRightInd w:val="0"/>
        <w:snapToGrid w:val="0"/>
        <w:spacing w:line="400" w:lineRule="exact"/>
        <w:ind w:firstLine="422" w:firstLineChars="200"/>
        <w:rPr>
          <w:rFonts w:ascii="宋体" w:hAnsi="宋体"/>
          <w:b/>
          <w:color w:val="auto"/>
          <w:szCs w:val="21"/>
          <w:highlight w:val="none"/>
          <w:u w:val="single"/>
        </w:rPr>
      </w:pPr>
      <w:r>
        <w:rPr>
          <w:rFonts w:hint="eastAsia" w:ascii="宋体" w:hAnsi="宋体"/>
          <w:b/>
          <w:color w:val="auto"/>
          <w:szCs w:val="21"/>
          <w:highlight w:val="none"/>
        </w:rPr>
        <w:t>合同履行</w:t>
      </w:r>
    </w:p>
    <w:p w14:paraId="3BEA946B">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（1）合同履行期限：起始日期：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日，完成日期：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6CCF8F7">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（2）履约地点</w:t>
      </w:r>
      <w:r>
        <w:rPr>
          <w:rFonts w:hint="eastAsia" w:ascii="宋体" w:hAnsi="宋体" w:cs="宋体"/>
          <w:bCs/>
          <w:color w:val="auto"/>
          <w:szCs w:val="21"/>
          <w:highlight w:val="none"/>
        </w:rPr>
        <w:t>：</w:t>
      </w:r>
    </w:p>
    <w:p w14:paraId="7657682B">
      <w:pPr>
        <w:adjustRightInd w:val="0"/>
        <w:snapToGrid w:val="0"/>
        <w:spacing w:line="400" w:lineRule="exact"/>
        <w:ind w:firstLine="420" w:firstLineChars="200"/>
        <w:rPr>
          <w:rFonts w:ascii="宋体" w:hAnsi="宋体" w:cs="宋体"/>
          <w:color w:val="auto"/>
          <w:szCs w:val="21"/>
          <w:highlight w:val="none"/>
        </w:rPr>
      </w:pPr>
      <w:r>
        <w:rPr>
          <w:rFonts w:hint="eastAsia" w:ascii="宋体" w:hAnsi="宋体" w:cs="宋体"/>
          <w:bCs/>
          <w:color w:val="auto"/>
          <w:szCs w:val="21"/>
          <w:highlight w:val="none"/>
        </w:rPr>
        <w:t>（3）履约担保：</w:t>
      </w:r>
      <w:r>
        <w:rPr>
          <w:rFonts w:hint="eastAsia" w:ascii="宋体" w:hAnsi="宋体" w:cs="宋体"/>
          <w:color w:val="auto"/>
          <w:highlight w:val="none"/>
        </w:rPr>
        <w:t>是否收取履约保证金：</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 xml:space="preserve">是    </w:t>
      </w:r>
      <w:r>
        <w:rPr>
          <w:rFonts w:hint="eastAsia" w:ascii="宋体" w:hAnsi="宋体" w:cs="宋体"/>
          <w:color w:val="auto"/>
          <w:szCs w:val="21"/>
          <w:highlight w:val="none"/>
        </w:rPr>
        <w:sym w:font="Wingdings" w:char="00A8"/>
      </w:r>
      <w:r>
        <w:rPr>
          <w:rFonts w:hint="eastAsia" w:ascii="宋体" w:hAnsi="宋体" w:cs="宋体"/>
          <w:color w:val="auto"/>
          <w:szCs w:val="21"/>
          <w:highlight w:val="none"/>
        </w:rPr>
        <w:t>否</w:t>
      </w:r>
    </w:p>
    <w:p w14:paraId="6FB68314">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收取履约保证金形式：见采购文件第二章投标人须知7.3.1</w:t>
      </w:r>
    </w:p>
    <w:p w14:paraId="3CAC54B9">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收取履约保证金金额：                            </w:t>
      </w:r>
    </w:p>
    <w:p w14:paraId="7CF5BC95">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履约担保期限：                                  </w:t>
      </w:r>
    </w:p>
    <w:p w14:paraId="67A279F5">
      <w:pPr>
        <w:adjustRightInd w:val="0"/>
        <w:snapToGrid w:val="0"/>
        <w:spacing w:line="400" w:lineRule="exact"/>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w:t>
      </w:r>
      <w:r>
        <w:rPr>
          <w:rFonts w:hint="eastAsia" w:ascii="宋体" w:hAnsi="宋体" w:cs="宋体"/>
          <w:color w:val="auto"/>
          <w:szCs w:val="21"/>
          <w:highlight w:val="none"/>
        </w:rPr>
        <w:t>分期</w:t>
      </w:r>
      <w:r>
        <w:rPr>
          <w:rFonts w:hint="eastAsia" w:ascii="宋体" w:hAnsi="宋体" w:cs="宋体"/>
          <w:bCs/>
          <w:color w:val="auto"/>
          <w:szCs w:val="21"/>
          <w:highlight w:val="none"/>
        </w:rPr>
        <w:t>履行要求：</w:t>
      </w:r>
      <w:r>
        <w:rPr>
          <w:rFonts w:hint="eastAsia" w:ascii="宋体" w:hAnsi="宋体" w:cs="宋体"/>
          <w:bCs/>
          <w:color w:val="auto"/>
          <w:szCs w:val="21"/>
          <w:highlight w:val="none"/>
          <w:u w:val="single"/>
        </w:rPr>
        <w:t xml:space="preserve">                                                        </w:t>
      </w:r>
    </w:p>
    <w:p w14:paraId="18750EDB">
      <w:pPr>
        <w:adjustRightInd w:val="0"/>
        <w:snapToGrid w:val="0"/>
        <w:spacing w:line="400" w:lineRule="exact"/>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rPr>
        <w:t>（5）</w:t>
      </w:r>
      <w:r>
        <w:rPr>
          <w:rFonts w:hint="eastAsia" w:ascii="宋体" w:hAnsi="宋体" w:cs="宋体"/>
          <w:color w:val="auto"/>
          <w:szCs w:val="21"/>
          <w:highlight w:val="none"/>
        </w:rPr>
        <w:t>风险</w:t>
      </w:r>
      <w:r>
        <w:rPr>
          <w:rFonts w:hint="eastAsia" w:ascii="宋体" w:hAnsi="宋体" w:cs="宋体"/>
          <w:bCs/>
          <w:color w:val="auto"/>
          <w:szCs w:val="21"/>
          <w:highlight w:val="none"/>
        </w:rPr>
        <w:t>处置措施和替代方案：</w:t>
      </w:r>
      <w:r>
        <w:rPr>
          <w:rFonts w:hint="eastAsia" w:ascii="宋体" w:hAnsi="宋体" w:cs="宋体"/>
          <w:color w:val="auto"/>
          <w:szCs w:val="21"/>
          <w:highlight w:val="none"/>
          <w:u w:val="single"/>
        </w:rPr>
        <w:t xml:space="preserve">                                                               </w:t>
      </w:r>
    </w:p>
    <w:p w14:paraId="4B44987D">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合同验收</w:t>
      </w:r>
    </w:p>
    <w:p w14:paraId="75F74B55">
      <w:pPr>
        <w:numPr>
          <w:ilvl w:val="0"/>
          <w:numId w:val="7"/>
        </w:num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验收组织方式：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自行组织 </w:t>
      </w:r>
      <w:r>
        <w:rPr>
          <w:rFonts w:hint="eastAsia" w:ascii="宋体" w:hAnsi="宋体" w:cs="宋体"/>
          <w:color w:val="auto"/>
          <w:szCs w:val="21"/>
          <w:highlight w:val="none"/>
        </w:rPr>
        <w:sym w:font="Wingdings" w:char="00A8"/>
      </w:r>
      <w:r>
        <w:rPr>
          <w:rFonts w:hint="eastAsia" w:ascii="宋体" w:hAnsi="宋体"/>
          <w:bCs/>
          <w:color w:val="auto"/>
          <w:szCs w:val="21"/>
          <w:highlight w:val="none"/>
        </w:rPr>
        <w:t>委托第三方组织</w:t>
      </w:r>
    </w:p>
    <w:p w14:paraId="74187AEC">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验收主体：                  </w:t>
      </w:r>
    </w:p>
    <w:p w14:paraId="3D12C45D">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是否邀请本项目的其他供应商参加验收：</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7CF4E7F">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是否邀请专家参加验收：</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54622773">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是否邀请服务对象参加验收：</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05EBEC52">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是否邀请第三方检测机构参加验收：</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215A03DF">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是否进行抽查检测：</w:t>
      </w:r>
      <w:r>
        <w:rPr>
          <w:rFonts w:hint="eastAsia" w:ascii="宋体" w:hAnsi="宋体"/>
          <w:iCs/>
          <w:color w:val="auto"/>
          <w:szCs w:val="21"/>
          <w:highlight w:val="none"/>
        </w:rPr>
        <w:sym w:font="Wingdings" w:char="00A8"/>
      </w:r>
      <w:r>
        <w:rPr>
          <w:rFonts w:hint="eastAsia" w:ascii="宋体" w:hAnsi="宋体"/>
          <w:iCs/>
          <w:color w:val="auto"/>
          <w:szCs w:val="21"/>
          <w:highlight w:val="none"/>
        </w:rPr>
        <w:t xml:space="preserve">是，抽查比例：         </w:t>
      </w:r>
      <w:r>
        <w:rPr>
          <w:rFonts w:hint="eastAsia" w:ascii="宋体" w:hAnsi="宋体"/>
          <w:iCs/>
          <w:color w:val="auto"/>
          <w:szCs w:val="21"/>
          <w:highlight w:val="none"/>
        </w:rPr>
        <w:sym w:font="Wingdings" w:char="00A8"/>
      </w:r>
      <w:r>
        <w:rPr>
          <w:rFonts w:hint="eastAsia" w:ascii="宋体" w:hAnsi="宋体"/>
          <w:iCs/>
          <w:color w:val="auto"/>
          <w:szCs w:val="21"/>
          <w:highlight w:val="none"/>
        </w:rPr>
        <w:t>否</w:t>
      </w:r>
    </w:p>
    <w:p w14:paraId="492FABCD">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是否存在破坏性检测：</w:t>
      </w:r>
      <w:r>
        <w:rPr>
          <w:rFonts w:hint="eastAsia" w:ascii="宋体" w:hAnsi="宋体"/>
          <w:iCs/>
          <w:color w:val="auto"/>
          <w:szCs w:val="21"/>
          <w:highlight w:val="none"/>
        </w:rPr>
        <w:sym w:font="Wingdings" w:char="00A8"/>
      </w:r>
      <w:r>
        <w:rPr>
          <w:rFonts w:hint="eastAsia" w:ascii="宋体" w:hAnsi="宋体"/>
          <w:iCs/>
          <w:color w:val="auto"/>
          <w:szCs w:val="21"/>
          <w:highlight w:val="none"/>
        </w:rPr>
        <w:t>是，</w:t>
      </w:r>
      <w:r>
        <w:rPr>
          <w:rFonts w:hint="eastAsia" w:ascii="宋体" w:hAnsi="宋体"/>
          <w:i/>
          <w:iCs/>
          <w:color w:val="auto"/>
          <w:szCs w:val="21"/>
          <w:highlight w:val="none"/>
        </w:rPr>
        <w:t>（应明确对被破坏的检测产品的处理方式）</w:t>
      </w:r>
    </w:p>
    <w:p w14:paraId="2F00DBC5">
      <w:pPr>
        <w:adjustRightInd w:val="0"/>
        <w:snapToGrid w:val="0"/>
        <w:spacing w:line="400" w:lineRule="exact"/>
        <w:ind w:firstLine="840" w:firstLineChars="400"/>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否</w:t>
      </w:r>
    </w:p>
    <w:p w14:paraId="7C4E929A">
      <w:pPr>
        <w:adjustRightInd w:val="0"/>
        <w:snapToGrid w:val="0"/>
        <w:spacing w:line="400" w:lineRule="exact"/>
        <w:ind w:firstLine="945" w:firstLineChars="450"/>
        <w:rPr>
          <w:rFonts w:ascii="宋体" w:hAnsi="宋体"/>
          <w:iCs/>
          <w:color w:val="auto"/>
          <w:szCs w:val="21"/>
          <w:highlight w:val="none"/>
        </w:rPr>
      </w:pPr>
      <w:r>
        <w:rPr>
          <w:rFonts w:hint="eastAsia" w:ascii="宋体" w:hAnsi="宋体"/>
          <w:iCs/>
          <w:color w:val="auto"/>
          <w:szCs w:val="21"/>
          <w:highlight w:val="none"/>
        </w:rPr>
        <w:t xml:space="preserve">验收组织的其他事项：                </w:t>
      </w:r>
    </w:p>
    <w:p w14:paraId="792AEDA7">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（2）履约验收时间：</w:t>
      </w:r>
      <w:r>
        <w:rPr>
          <w:rFonts w:hint="eastAsia" w:ascii="宋体" w:hAnsi="宋体"/>
          <w:i/>
          <w:iCs/>
          <w:color w:val="auto"/>
          <w:szCs w:val="21"/>
          <w:highlight w:val="none"/>
          <w:u w:val="single"/>
        </w:rPr>
        <w:t>（计划于何时验收/供应商提出验收申请之日起 30日内组织验收）</w:t>
      </w:r>
      <w:r>
        <w:rPr>
          <w:rFonts w:hint="eastAsia" w:ascii="宋体" w:hAnsi="宋体"/>
          <w:bCs/>
          <w:color w:val="auto"/>
          <w:szCs w:val="21"/>
          <w:highlight w:val="none"/>
          <w:u w:val="single"/>
        </w:rPr>
        <w:t xml:space="preserve"> </w:t>
      </w:r>
    </w:p>
    <w:p w14:paraId="6363FB1C">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（3）履约验收方式：</w:t>
      </w:r>
      <w:r>
        <w:rPr>
          <w:rFonts w:hint="eastAsia" w:ascii="宋体" w:hAnsi="宋体" w:cs="宋体"/>
          <w:color w:val="auto"/>
          <w:szCs w:val="21"/>
          <w:highlight w:val="none"/>
        </w:rPr>
        <w:sym w:font="Wingdings" w:char="00A8"/>
      </w:r>
      <w:r>
        <w:rPr>
          <w:rFonts w:hint="eastAsia" w:ascii="宋体" w:hAnsi="宋体"/>
          <w:bCs/>
          <w:color w:val="auto"/>
          <w:szCs w:val="21"/>
          <w:highlight w:val="none"/>
        </w:rPr>
        <w:t xml:space="preserve">一次性验收         </w:t>
      </w:r>
    </w:p>
    <w:p w14:paraId="591B97B4">
      <w:pPr>
        <w:adjustRightInd w:val="0"/>
        <w:snapToGrid w:val="0"/>
        <w:spacing w:line="400" w:lineRule="exact"/>
        <w:rPr>
          <w:rFonts w:ascii="宋体" w:hAnsi="宋体"/>
          <w:bCs/>
          <w:color w:val="auto"/>
          <w:szCs w:val="21"/>
          <w:highlight w:val="none"/>
        </w:rPr>
      </w:pPr>
      <w:r>
        <w:rPr>
          <w:rFonts w:hint="eastAsia" w:ascii="宋体" w:hAnsi="宋体"/>
          <w:bCs/>
          <w:color w:val="auto"/>
          <w:szCs w:val="21"/>
          <w:highlight w:val="none"/>
        </w:rPr>
        <w:t xml:space="preserve">                       </w:t>
      </w:r>
      <w:r>
        <w:rPr>
          <w:rFonts w:hint="eastAsia" w:ascii="宋体" w:hAnsi="宋体" w:cs="宋体"/>
          <w:color w:val="auto"/>
          <w:szCs w:val="21"/>
          <w:highlight w:val="none"/>
        </w:rPr>
        <w:sym w:font="Wingdings" w:char="00A8"/>
      </w:r>
      <w:r>
        <w:rPr>
          <w:rFonts w:hint="eastAsia" w:ascii="宋体" w:hAnsi="宋体"/>
          <w:bCs/>
          <w:color w:val="auto"/>
          <w:szCs w:val="21"/>
          <w:highlight w:val="none"/>
        </w:rPr>
        <w:t>分期/分项验收：</w:t>
      </w:r>
      <w:r>
        <w:rPr>
          <w:rFonts w:hint="eastAsia" w:ascii="宋体" w:hAnsi="宋体"/>
          <w:bCs/>
          <w:color w:val="auto"/>
          <w:szCs w:val="21"/>
          <w:highlight w:val="none"/>
          <w:u w:val="single"/>
        </w:rPr>
        <w:t xml:space="preserve">           </w:t>
      </w:r>
    </w:p>
    <w:p w14:paraId="192A9FE6">
      <w:pPr>
        <w:adjustRightInd w:val="0"/>
        <w:snapToGrid w:val="0"/>
        <w:spacing w:line="400" w:lineRule="exact"/>
        <w:ind w:firstLine="420" w:firstLineChars="200"/>
        <w:rPr>
          <w:rFonts w:ascii="宋体" w:hAnsi="宋体"/>
          <w:bCs/>
          <w:color w:val="auto"/>
          <w:szCs w:val="21"/>
          <w:highlight w:val="none"/>
        </w:rPr>
      </w:pPr>
      <w:r>
        <w:rPr>
          <w:rFonts w:hint="eastAsia" w:ascii="宋体" w:hAnsi="宋体"/>
          <w:bCs/>
          <w:color w:val="auto"/>
          <w:szCs w:val="21"/>
          <w:highlight w:val="none"/>
        </w:rPr>
        <w:t>（4）履约验收程序：</w:t>
      </w:r>
      <w:r>
        <w:rPr>
          <w:rFonts w:hint="eastAsia" w:ascii="宋体" w:hAnsi="宋体"/>
          <w:bCs/>
          <w:color w:val="auto"/>
          <w:szCs w:val="21"/>
          <w:highlight w:val="none"/>
          <w:u w:val="single"/>
        </w:rPr>
        <w:t xml:space="preserve">                                         </w:t>
      </w:r>
    </w:p>
    <w:p w14:paraId="33436EEF">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（5）履约验收的内容：</w:t>
      </w:r>
      <w:r>
        <w:rPr>
          <w:rFonts w:hint="eastAsia" w:ascii="宋体" w:hAnsi="宋体"/>
          <w:bCs/>
          <w:color w:val="auto"/>
          <w:szCs w:val="21"/>
          <w:highlight w:val="none"/>
          <w:u w:val="single"/>
        </w:rPr>
        <w:t xml:space="preserve">                                    </w:t>
      </w:r>
    </w:p>
    <w:p w14:paraId="6AE0ED22">
      <w:pPr>
        <w:adjustRightInd w:val="0"/>
        <w:snapToGrid w:val="0"/>
        <w:spacing w:line="400" w:lineRule="exact"/>
        <w:ind w:firstLine="420" w:firstLineChars="200"/>
        <w:rPr>
          <w:rFonts w:ascii="宋体" w:hAnsi="宋体"/>
          <w:bCs/>
          <w:color w:val="auto"/>
          <w:szCs w:val="21"/>
          <w:highlight w:val="none"/>
          <w:u w:val="single"/>
        </w:rPr>
      </w:pPr>
      <w:r>
        <w:rPr>
          <w:rFonts w:hint="eastAsia" w:ascii="宋体" w:hAnsi="宋体"/>
          <w:bCs/>
          <w:color w:val="auto"/>
          <w:szCs w:val="21"/>
          <w:highlight w:val="none"/>
        </w:rPr>
        <w:t>（6）履约验收标准：</w:t>
      </w:r>
      <w:r>
        <w:rPr>
          <w:rFonts w:hint="eastAsia" w:ascii="宋体" w:hAnsi="宋体"/>
          <w:bCs/>
          <w:color w:val="auto"/>
          <w:szCs w:val="21"/>
          <w:highlight w:val="none"/>
          <w:u w:val="single"/>
        </w:rPr>
        <w:t xml:space="preserve">                                         </w:t>
      </w:r>
    </w:p>
    <w:p w14:paraId="74B3DB77">
      <w:pPr>
        <w:widowControl/>
        <w:autoSpaceDE w:val="0"/>
        <w:autoSpaceDN w:val="0"/>
        <w:adjustRightInd w:val="0"/>
        <w:spacing w:line="400" w:lineRule="exact"/>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（7）是否以采购活动中供应商提供的样品作为参考：</w:t>
      </w:r>
      <w:r>
        <w:rPr>
          <w:rFonts w:hint="eastAsia" w:ascii="宋体" w:hAnsi="宋体" w:cs="宋体"/>
          <w:color w:val="auto"/>
          <w:kern w:val="0"/>
          <w:szCs w:val="21"/>
          <w:highlight w:val="none"/>
        </w:rPr>
        <w:sym w:font="Wingdings" w:char="00A8"/>
      </w:r>
      <w:r>
        <w:rPr>
          <w:rFonts w:hint="eastAsia" w:ascii="宋体" w:hAnsi="宋体" w:cs="宋体"/>
          <w:bCs/>
          <w:color w:val="auto"/>
          <w:kern w:val="0"/>
          <w:szCs w:val="21"/>
          <w:highlight w:val="none"/>
        </w:rPr>
        <w:t xml:space="preserve">是  </w:t>
      </w:r>
      <w:r>
        <w:rPr>
          <w:rFonts w:hint="eastAsia" w:ascii="宋体" w:hAnsi="宋体" w:cs="宋体"/>
          <w:color w:val="auto"/>
          <w:kern w:val="0"/>
          <w:szCs w:val="21"/>
          <w:highlight w:val="none"/>
        </w:rPr>
        <w:sym w:font="Wingdings" w:char="00A8"/>
      </w:r>
      <w:r>
        <w:rPr>
          <w:rFonts w:hint="eastAsia" w:ascii="宋体" w:hAnsi="宋体" w:cs="宋体"/>
          <w:bCs/>
          <w:color w:val="auto"/>
          <w:kern w:val="0"/>
          <w:szCs w:val="21"/>
          <w:highlight w:val="none"/>
        </w:rPr>
        <w:t>否</w:t>
      </w:r>
    </w:p>
    <w:p w14:paraId="4B636832">
      <w:pPr>
        <w:adjustRightInd w:val="0"/>
        <w:snapToGrid w:val="0"/>
        <w:spacing w:line="40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（8）履约验收其他事项：</w:t>
      </w:r>
      <w:r>
        <w:rPr>
          <w:rFonts w:hint="eastAsia" w:ascii="宋体" w:hAnsi="宋体" w:cs="宋体"/>
          <w:bCs/>
          <w:color w:val="auto"/>
          <w:szCs w:val="21"/>
          <w:highlight w:val="none"/>
          <w:u w:val="single"/>
        </w:rPr>
        <w:t xml:space="preserve">             </w:t>
      </w:r>
    </w:p>
    <w:p w14:paraId="12F2B774">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组成合同的文件</w:t>
      </w:r>
    </w:p>
    <w:p w14:paraId="31AF3D20">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14:paraId="1F6411F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（1）安徽省紧密型县域医共体设备更新一期项目框架协议</w:t>
      </w:r>
    </w:p>
    <w:p w14:paraId="4490037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（2）政府采购合同协议书及其变更、补充协议</w:t>
      </w:r>
    </w:p>
    <w:p w14:paraId="38E3FE8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（3）政府采购合同专用条款</w:t>
      </w:r>
    </w:p>
    <w:p w14:paraId="1E16BB67">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（4）政府采购合同通用条款</w:t>
      </w:r>
    </w:p>
    <w:p w14:paraId="1A4F224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（5）中标（成交）通知书</w:t>
      </w:r>
    </w:p>
    <w:p w14:paraId="01240BC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（6）投标（响应）文件</w:t>
      </w:r>
    </w:p>
    <w:p w14:paraId="59277933">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（7）采购文件</w:t>
      </w:r>
    </w:p>
    <w:p w14:paraId="386CD2BB">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（8）有关技术文件，图纸</w:t>
      </w:r>
    </w:p>
    <w:p w14:paraId="226F762D">
      <w:pPr>
        <w:widowControl/>
        <w:autoSpaceDE w:val="0"/>
        <w:autoSpaceDN w:val="0"/>
        <w:adjustRightInd w:val="0"/>
        <w:spacing w:line="40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（9）</w:t>
      </w:r>
      <w:r>
        <w:rPr>
          <w:rFonts w:hint="eastAsia" w:ascii="宋体" w:hAnsi="宋体" w:cs="宋体"/>
          <w:color w:val="auto"/>
          <w:szCs w:val="21"/>
          <w:highlight w:val="none"/>
        </w:rPr>
        <w:t>国家法律、行政法规和规章制度规定或合同约定的作为合同组成部分的其他文件</w:t>
      </w:r>
    </w:p>
    <w:p w14:paraId="753B6FEB">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合同生效</w:t>
      </w:r>
    </w:p>
    <w:p w14:paraId="5A7EB344">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双方盖章后</w:t>
      </w:r>
      <w:r>
        <w:rPr>
          <w:rFonts w:hint="eastAsia" w:ascii="宋体" w:hAnsi="宋体"/>
          <w:color w:val="auto"/>
          <w:szCs w:val="21"/>
          <w:highlight w:val="none"/>
        </w:rPr>
        <w:t>生效。</w:t>
      </w:r>
    </w:p>
    <w:p w14:paraId="4A076383">
      <w:pPr>
        <w:numPr>
          <w:ilvl w:val="0"/>
          <w:numId w:val="5"/>
        </w:num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合同份数</w:t>
      </w:r>
    </w:p>
    <w:p w14:paraId="1C59BBBA">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6</w:t>
      </w:r>
      <w:r>
        <w:rPr>
          <w:rFonts w:hint="eastAsia" w:ascii="宋体" w:hAnsi="宋体"/>
          <w:color w:val="auto"/>
          <w:szCs w:val="21"/>
          <w:highlight w:val="none"/>
        </w:rPr>
        <w:t>份，甲方执</w:t>
      </w:r>
      <w:r>
        <w:rPr>
          <w:rFonts w:hint="eastAsia" w:ascii="宋体" w:hAnsi="宋体"/>
          <w:color w:val="auto"/>
          <w:szCs w:val="21"/>
          <w:highlight w:val="none"/>
          <w:u w:val="single"/>
        </w:rPr>
        <w:t>4</w:t>
      </w:r>
      <w:r>
        <w:rPr>
          <w:rFonts w:hint="eastAsia" w:ascii="宋体" w:hAnsi="宋体"/>
          <w:color w:val="auto"/>
          <w:szCs w:val="21"/>
          <w:highlight w:val="none"/>
        </w:rPr>
        <w:t>份，乙方执</w:t>
      </w:r>
      <w:r>
        <w:rPr>
          <w:rFonts w:hint="eastAsia" w:ascii="宋体" w:hAnsi="宋体"/>
          <w:color w:val="auto"/>
          <w:szCs w:val="21"/>
          <w:highlight w:val="none"/>
          <w:u w:val="single"/>
        </w:rPr>
        <w:t>2</w:t>
      </w:r>
      <w:r>
        <w:rPr>
          <w:rFonts w:hint="eastAsia" w:ascii="宋体" w:hAnsi="宋体"/>
          <w:color w:val="auto"/>
          <w:szCs w:val="21"/>
          <w:highlight w:val="none"/>
        </w:rPr>
        <w:t>份，均具有同等法律效力。</w:t>
      </w:r>
    </w:p>
    <w:p w14:paraId="0529142D">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68AA901">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14:paraId="1E84ABD8">
      <w:pPr>
        <w:adjustRightInd w:val="0"/>
        <w:snapToGrid w:val="0"/>
        <w:spacing w:line="400" w:lineRule="exact"/>
        <w:ind w:firstLine="420" w:firstLineChars="200"/>
        <w:rPr>
          <w:color w:val="auto"/>
          <w:highlight w:val="none"/>
        </w:rPr>
      </w:pPr>
      <w:r>
        <w:rPr>
          <w:rFonts w:hint="eastAsia" w:ascii="宋体" w:hAnsi="宋体"/>
          <w:color w:val="auto"/>
          <w:szCs w:val="21"/>
          <w:highlight w:val="none"/>
        </w:rPr>
        <w:t>附件：具体标的及其技术要求和商务要求、联合协议、分包意向协议等。</w:t>
      </w:r>
    </w:p>
    <w:p w14:paraId="2739BCA0">
      <w:pPr>
        <w:jc w:val="center"/>
        <w:rPr>
          <w:rFonts w:eastAsia="仿宋"/>
          <w:color w:val="auto"/>
          <w:highlight w:val="none"/>
        </w:rPr>
      </w:pPr>
    </w:p>
    <w:p w14:paraId="662545AC">
      <w:pPr>
        <w:spacing w:line="400" w:lineRule="exact"/>
        <w:ind w:firstLine="480" w:firstLineChars="200"/>
        <w:jc w:val="center"/>
        <w:rPr>
          <w:color w:val="auto"/>
          <w:highlight w:val="none"/>
        </w:rPr>
      </w:pPr>
      <w:r>
        <w:rPr>
          <w:rFonts w:hint="eastAsia" w:eastAsia="仿宋"/>
          <w:color w:val="auto"/>
          <w:sz w:val="24"/>
          <w:highlight w:val="none"/>
          <w:u w:val="single"/>
        </w:rPr>
        <w:t>（以下无正文，为签字页）</w:t>
      </w:r>
    </w:p>
    <w:p w14:paraId="247797CD">
      <w:pPr>
        <w:snapToGrid w:val="0"/>
        <w:spacing w:line="360" w:lineRule="auto"/>
        <w:ind w:firstLine="420" w:firstLineChars="200"/>
        <w:jc w:val="center"/>
        <w:rPr>
          <w:rFonts w:ascii="宋体" w:hAnsi="宋体" w:eastAsia="仿宋"/>
          <w:color w:val="auto"/>
          <w:sz w:val="24"/>
          <w:highlight w:val="none"/>
        </w:rPr>
      </w:pPr>
      <w:r>
        <w:rPr>
          <w:rFonts w:hint="eastAsia"/>
          <w:color w:val="auto"/>
          <w:highlight w:val="none"/>
        </w:rPr>
        <w:br w:type="page"/>
      </w:r>
      <w:r>
        <w:rPr>
          <w:rFonts w:hint="eastAsia" w:ascii="宋体" w:hAnsi="宋体" w:eastAsia="仿宋"/>
          <w:color w:val="auto"/>
          <w:sz w:val="24"/>
          <w:highlight w:val="none"/>
        </w:rPr>
        <w:t>（本页无正文，为签字页）</w:t>
      </w:r>
    </w:p>
    <w:tbl>
      <w:tblPr>
        <w:tblStyle w:val="48"/>
        <w:tblW w:w="4925"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1"/>
        <w:gridCol w:w="2788"/>
        <w:gridCol w:w="2285"/>
        <w:gridCol w:w="2452"/>
      </w:tblGrid>
      <w:tr w14:paraId="5C2F2D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2560" w:type="pct"/>
            <w:gridSpan w:val="2"/>
            <w:tcBorders>
              <w:bottom w:val="single" w:color="auto" w:sz="2" w:space="0"/>
              <w:right w:val="single" w:color="auto" w:sz="2" w:space="0"/>
            </w:tcBorders>
            <w:noWrap w:val="0"/>
            <w:vAlign w:val="center"/>
          </w:tcPr>
          <w:p w14:paraId="206BF7CD">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highlight w:val="none"/>
              </w:rPr>
            </w:pPr>
            <w:r>
              <w:rPr>
                <w:rFonts w:hint="default" w:ascii="Calibri" w:hAnsi="Calibri" w:cs="Times New Roman"/>
                <w:color w:val="auto"/>
                <w:szCs w:val="21"/>
                <w:highlight w:val="none"/>
              </w:rPr>
              <w:t>甲方</w:t>
            </w:r>
            <w:r>
              <w:rPr>
                <w:rFonts w:hint="eastAsia" w:ascii="Calibri" w:hAnsi="Calibri" w:cs="Times New Roman"/>
                <w:color w:val="auto"/>
                <w:szCs w:val="21"/>
                <w:highlight w:val="none"/>
              </w:rPr>
              <w:t>（采购人</w:t>
            </w:r>
            <w:r>
              <w:rPr>
                <w:rFonts w:hint="eastAsia" w:ascii="宋体" w:hAnsi="宋体" w:cs="Times New Roman"/>
                <w:color w:val="auto"/>
                <w:szCs w:val="21"/>
                <w:highlight w:val="none"/>
              </w:rPr>
              <w:t>、受采购人委托签订合同的单位或</w:t>
            </w:r>
            <w:r>
              <w:rPr>
                <w:rFonts w:hint="eastAsia" w:ascii="Calibri" w:hAnsi="Calibri" w:cs="Times New Roman"/>
                <w:color w:val="auto"/>
                <w:szCs w:val="21"/>
                <w:highlight w:val="none"/>
              </w:rPr>
              <w:t>采购文件约定的合同甲方）</w:t>
            </w:r>
          </w:p>
        </w:tc>
        <w:tc>
          <w:tcPr>
            <w:tcW w:w="2439" w:type="pct"/>
            <w:gridSpan w:val="2"/>
            <w:tcBorders>
              <w:left w:val="single" w:color="auto" w:sz="2" w:space="0"/>
              <w:bottom w:val="single" w:color="auto" w:sz="2" w:space="0"/>
            </w:tcBorders>
            <w:noWrap w:val="0"/>
            <w:vAlign w:val="center"/>
          </w:tcPr>
          <w:p w14:paraId="115DE7F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highlight w:val="none"/>
              </w:rPr>
            </w:pPr>
            <w:r>
              <w:rPr>
                <w:rFonts w:hint="default" w:ascii="Calibri" w:hAnsi="Calibri" w:cs="Times New Roman"/>
                <w:color w:val="auto"/>
                <w:szCs w:val="21"/>
                <w:highlight w:val="none"/>
              </w:rPr>
              <w:t>乙方</w:t>
            </w:r>
            <w:r>
              <w:rPr>
                <w:rFonts w:hint="eastAsia" w:ascii="Calibri" w:hAnsi="Calibri" w:cs="Times New Roman"/>
                <w:color w:val="auto"/>
                <w:szCs w:val="21"/>
                <w:highlight w:val="none"/>
              </w:rPr>
              <w:t>（供应商）</w:t>
            </w:r>
          </w:p>
        </w:tc>
      </w:tr>
      <w:tr w14:paraId="3C21E3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124" w:type="pct"/>
            <w:tcBorders>
              <w:top w:val="single" w:color="auto" w:sz="2" w:space="0"/>
              <w:bottom w:val="single" w:color="auto" w:sz="2" w:space="0"/>
              <w:right w:val="single" w:color="auto" w:sz="2" w:space="0"/>
            </w:tcBorders>
            <w:noWrap w:val="0"/>
            <w:vAlign w:val="center"/>
          </w:tcPr>
          <w:p w14:paraId="4E86B032">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单位名称</w:t>
            </w:r>
            <w:r>
              <w:rPr>
                <w:rFonts w:hint="eastAsia" w:ascii="Calibri" w:hAnsi="Calibri" w:cs="Times New Roman"/>
                <w:color w:val="auto"/>
                <w:szCs w:val="21"/>
                <w:highlight w:val="none"/>
              </w:rPr>
              <w:t>（公章或合同章）</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0CB77A42">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5E6B1657">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单位名称</w:t>
            </w:r>
            <w:r>
              <w:rPr>
                <w:rFonts w:hint="eastAsia" w:ascii="Calibri" w:hAnsi="Calibri" w:cs="Times New Roman"/>
                <w:color w:val="auto"/>
                <w:szCs w:val="21"/>
                <w:highlight w:val="none"/>
              </w:rPr>
              <w:t>（公章或合同章）</w:t>
            </w:r>
          </w:p>
        </w:tc>
        <w:tc>
          <w:tcPr>
            <w:tcW w:w="1261" w:type="pct"/>
            <w:tcBorders>
              <w:top w:val="single" w:color="auto" w:sz="2" w:space="0"/>
              <w:left w:val="single" w:color="auto" w:sz="2" w:space="0"/>
              <w:bottom w:val="single" w:color="auto" w:sz="2" w:space="0"/>
            </w:tcBorders>
            <w:noWrap w:val="0"/>
            <w:vAlign w:val="center"/>
          </w:tcPr>
          <w:p w14:paraId="7E62B699">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595BA8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124" w:type="pct"/>
            <w:vMerge w:val="restart"/>
            <w:tcBorders>
              <w:top w:val="single" w:color="auto" w:sz="2" w:space="0"/>
              <w:right w:val="single" w:color="auto" w:sz="2" w:space="0"/>
            </w:tcBorders>
            <w:noWrap w:val="0"/>
            <w:vAlign w:val="center"/>
          </w:tcPr>
          <w:p w14:paraId="264C1DA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法定代表人</w:t>
            </w:r>
          </w:p>
          <w:p w14:paraId="7B3F6AD7">
            <w:pPr>
              <w:keepNext w:val="0"/>
              <w:keepLines w:val="0"/>
              <w:suppressLineNumbers w:val="0"/>
              <w:adjustRightInd w:val="0"/>
              <w:snapToGrid w:val="0"/>
              <w:spacing w:before="0" w:beforeAutospacing="0" w:after="0" w:afterAutospacing="0" w:line="300" w:lineRule="exact"/>
              <w:ind w:left="0" w:right="0" w:firstLine="100" w:firstLineChars="48"/>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或其</w:t>
            </w:r>
            <w:r>
              <w:rPr>
                <w:rFonts w:hint="default" w:ascii="Calibri" w:hAnsi="Calibri" w:cs="Times New Roman"/>
                <w:color w:val="auto"/>
                <w:szCs w:val="21"/>
                <w:highlight w:val="none"/>
              </w:rPr>
              <w:t>委托代理人</w:t>
            </w:r>
            <w:r>
              <w:rPr>
                <w:rFonts w:hint="eastAsia" w:ascii="Calibri" w:hAnsi="Calibri" w:cs="Times New Roman"/>
                <w:color w:val="auto"/>
                <w:szCs w:val="21"/>
                <w:highlight w:val="none"/>
              </w:rPr>
              <w:t>（签章）</w:t>
            </w:r>
          </w:p>
        </w:tc>
        <w:tc>
          <w:tcPr>
            <w:tcW w:w="1435" w:type="pct"/>
            <w:vMerge w:val="restart"/>
            <w:tcBorders>
              <w:top w:val="single" w:color="auto" w:sz="2" w:space="0"/>
              <w:left w:val="single" w:color="auto" w:sz="2" w:space="0"/>
              <w:right w:val="single" w:color="auto" w:sz="2" w:space="0"/>
            </w:tcBorders>
            <w:noWrap w:val="0"/>
            <w:vAlign w:val="center"/>
          </w:tcPr>
          <w:p w14:paraId="043F86C9">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right w:val="single" w:color="auto" w:sz="2" w:space="0"/>
            </w:tcBorders>
            <w:noWrap w:val="0"/>
            <w:vAlign w:val="center"/>
          </w:tcPr>
          <w:p w14:paraId="0B940FC7">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法定代表人</w:t>
            </w:r>
          </w:p>
          <w:p w14:paraId="6F5C241E">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或其</w:t>
            </w:r>
            <w:r>
              <w:rPr>
                <w:rFonts w:hint="default" w:ascii="Calibri" w:hAnsi="Calibri" w:cs="Times New Roman"/>
                <w:color w:val="auto"/>
                <w:szCs w:val="21"/>
                <w:highlight w:val="none"/>
              </w:rPr>
              <w:t>委托代理人</w:t>
            </w:r>
            <w:r>
              <w:rPr>
                <w:rFonts w:hint="eastAsia" w:ascii="Calibri" w:hAnsi="Calibri" w:cs="Times New Roman"/>
                <w:color w:val="auto"/>
                <w:szCs w:val="21"/>
                <w:highlight w:val="none"/>
              </w:rPr>
              <w:t>（签章）</w:t>
            </w:r>
          </w:p>
        </w:tc>
        <w:tc>
          <w:tcPr>
            <w:tcW w:w="1261" w:type="pct"/>
            <w:tcBorders>
              <w:top w:val="single" w:color="auto" w:sz="2" w:space="0"/>
              <w:left w:val="single" w:color="auto" w:sz="2" w:space="0"/>
              <w:bottom w:val="single" w:color="auto" w:sz="2" w:space="0"/>
            </w:tcBorders>
            <w:noWrap w:val="0"/>
            <w:vAlign w:val="center"/>
          </w:tcPr>
          <w:p w14:paraId="550A409A">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r>
      <w:tr w14:paraId="51A6FC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vMerge w:val="continue"/>
            <w:tcBorders>
              <w:bottom w:val="single" w:color="auto" w:sz="2" w:space="0"/>
              <w:right w:val="single" w:color="auto" w:sz="2" w:space="0"/>
            </w:tcBorders>
            <w:noWrap w:val="0"/>
            <w:vAlign w:val="center"/>
          </w:tcPr>
          <w:p w14:paraId="0F02301A">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435" w:type="pct"/>
            <w:vMerge w:val="continue"/>
            <w:tcBorders>
              <w:left w:val="single" w:color="auto" w:sz="2" w:space="0"/>
              <w:bottom w:val="single" w:color="auto" w:sz="2" w:space="0"/>
              <w:right w:val="single" w:color="auto" w:sz="2" w:space="0"/>
            </w:tcBorders>
            <w:noWrap w:val="0"/>
            <w:vAlign w:val="center"/>
          </w:tcPr>
          <w:p w14:paraId="4E55A9E2">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5641F02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拥有者性别</w:t>
            </w:r>
          </w:p>
        </w:tc>
        <w:tc>
          <w:tcPr>
            <w:tcW w:w="1261" w:type="pct"/>
            <w:tcBorders>
              <w:top w:val="single" w:color="auto" w:sz="2" w:space="0"/>
              <w:left w:val="single" w:color="auto" w:sz="2" w:space="0"/>
              <w:bottom w:val="single" w:color="auto" w:sz="2" w:space="0"/>
            </w:tcBorders>
            <w:noWrap w:val="0"/>
            <w:vAlign w:val="center"/>
          </w:tcPr>
          <w:p w14:paraId="30CE104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42B618D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0B5130F0">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住  所</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41881D5F">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6DE9B28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住  所</w:t>
            </w:r>
          </w:p>
        </w:tc>
        <w:tc>
          <w:tcPr>
            <w:tcW w:w="1261" w:type="pct"/>
            <w:tcBorders>
              <w:top w:val="single" w:color="auto" w:sz="2" w:space="0"/>
              <w:left w:val="single" w:color="auto" w:sz="2" w:space="0"/>
              <w:bottom w:val="single" w:color="auto" w:sz="2" w:space="0"/>
            </w:tcBorders>
            <w:noWrap w:val="0"/>
            <w:vAlign w:val="center"/>
          </w:tcPr>
          <w:p w14:paraId="361BA1E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44D81E3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2271F9D5">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联 系 人</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011F6FC">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3AA48515">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联 系 人</w:t>
            </w:r>
          </w:p>
        </w:tc>
        <w:tc>
          <w:tcPr>
            <w:tcW w:w="1261" w:type="pct"/>
            <w:tcBorders>
              <w:top w:val="single" w:color="auto" w:sz="2" w:space="0"/>
              <w:left w:val="single" w:color="auto" w:sz="2" w:space="0"/>
              <w:bottom w:val="single" w:color="auto" w:sz="2" w:space="0"/>
            </w:tcBorders>
            <w:noWrap w:val="0"/>
            <w:vAlign w:val="center"/>
          </w:tcPr>
          <w:p w14:paraId="1A121029">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34E35FC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2344EDD1">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联系电话</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4FEA3B0">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2289C180">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联系电话</w:t>
            </w:r>
          </w:p>
        </w:tc>
        <w:tc>
          <w:tcPr>
            <w:tcW w:w="1261" w:type="pct"/>
            <w:tcBorders>
              <w:top w:val="single" w:color="auto" w:sz="2" w:space="0"/>
              <w:left w:val="single" w:color="auto" w:sz="2" w:space="0"/>
              <w:bottom w:val="single" w:color="auto" w:sz="2" w:space="0"/>
            </w:tcBorders>
            <w:noWrap w:val="0"/>
            <w:vAlign w:val="center"/>
          </w:tcPr>
          <w:p w14:paraId="2C7C642C">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65B3163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40CC283B">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通信地址</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7645C3E1">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022BF54C">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通信地址</w:t>
            </w:r>
          </w:p>
        </w:tc>
        <w:tc>
          <w:tcPr>
            <w:tcW w:w="1261" w:type="pct"/>
            <w:tcBorders>
              <w:top w:val="single" w:color="auto" w:sz="2" w:space="0"/>
              <w:left w:val="single" w:color="auto" w:sz="2" w:space="0"/>
              <w:bottom w:val="single" w:color="auto" w:sz="2" w:space="0"/>
            </w:tcBorders>
            <w:noWrap w:val="0"/>
            <w:vAlign w:val="center"/>
          </w:tcPr>
          <w:p w14:paraId="49B6DDBD">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0C0E10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5712F8B9">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邮政编码</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01DEE8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393ED6A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邮政编码</w:t>
            </w:r>
          </w:p>
        </w:tc>
        <w:tc>
          <w:tcPr>
            <w:tcW w:w="1261" w:type="pct"/>
            <w:tcBorders>
              <w:top w:val="single" w:color="auto" w:sz="2" w:space="0"/>
              <w:left w:val="single" w:color="auto" w:sz="2" w:space="0"/>
              <w:bottom w:val="single" w:color="auto" w:sz="2" w:space="0"/>
            </w:tcBorders>
            <w:noWrap w:val="0"/>
            <w:vAlign w:val="center"/>
          </w:tcPr>
          <w:p w14:paraId="7D7F4667">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658AF46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706939E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电子邮箱</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CB12F5F">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603F22A3">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电子邮箱</w:t>
            </w:r>
          </w:p>
        </w:tc>
        <w:tc>
          <w:tcPr>
            <w:tcW w:w="1261" w:type="pct"/>
            <w:tcBorders>
              <w:top w:val="single" w:color="auto" w:sz="2" w:space="0"/>
              <w:left w:val="single" w:color="auto" w:sz="2" w:space="0"/>
              <w:bottom w:val="single" w:color="auto" w:sz="2" w:space="0"/>
            </w:tcBorders>
            <w:noWrap w:val="0"/>
            <w:vAlign w:val="center"/>
          </w:tcPr>
          <w:p w14:paraId="67C6B27B">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5BBC49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299A7B2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统一社会信用代码</w:t>
            </w: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3C62D43">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1760177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eastAsia" w:ascii="Calibri" w:hAnsi="Calibri" w:cs="Times New Roman"/>
                <w:color w:val="auto"/>
                <w:szCs w:val="21"/>
                <w:highlight w:val="none"/>
              </w:rPr>
              <w:t>统一社会信用代码</w:t>
            </w:r>
          </w:p>
        </w:tc>
        <w:tc>
          <w:tcPr>
            <w:tcW w:w="1261" w:type="pct"/>
            <w:tcBorders>
              <w:top w:val="single" w:color="auto" w:sz="2" w:space="0"/>
              <w:left w:val="single" w:color="auto" w:sz="2" w:space="0"/>
              <w:bottom w:val="single" w:color="auto" w:sz="2" w:space="0"/>
            </w:tcBorders>
            <w:noWrap w:val="0"/>
            <w:vAlign w:val="center"/>
          </w:tcPr>
          <w:p w14:paraId="6A58D1F1">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3A6B33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7390E40F">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435" w:type="pct"/>
            <w:tcBorders>
              <w:top w:val="single" w:color="auto" w:sz="2" w:space="0"/>
              <w:left w:val="single" w:color="auto" w:sz="2" w:space="0"/>
              <w:bottom w:val="single" w:color="auto" w:sz="2" w:space="0"/>
              <w:right w:val="single" w:color="auto" w:sz="2" w:space="0"/>
            </w:tcBorders>
            <w:noWrap w:val="0"/>
            <w:vAlign w:val="center"/>
          </w:tcPr>
          <w:p w14:paraId="33E4782D">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372E1EFA">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开户名称</w:t>
            </w:r>
          </w:p>
        </w:tc>
        <w:tc>
          <w:tcPr>
            <w:tcW w:w="1261" w:type="pct"/>
            <w:tcBorders>
              <w:top w:val="single" w:color="auto" w:sz="2" w:space="0"/>
              <w:left w:val="single" w:color="auto" w:sz="2" w:space="0"/>
              <w:bottom w:val="single" w:color="auto" w:sz="2" w:space="0"/>
            </w:tcBorders>
            <w:noWrap w:val="0"/>
            <w:vAlign w:val="center"/>
          </w:tcPr>
          <w:p w14:paraId="512B17CF">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105C97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2F01166C">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435" w:type="pct"/>
            <w:tcBorders>
              <w:top w:val="single" w:color="auto" w:sz="2" w:space="0"/>
              <w:left w:val="single" w:color="auto" w:sz="2" w:space="0"/>
              <w:bottom w:val="single" w:color="auto" w:sz="2" w:space="0"/>
              <w:right w:val="single" w:color="auto" w:sz="2" w:space="0"/>
            </w:tcBorders>
            <w:noWrap w:val="0"/>
            <w:vAlign w:val="center"/>
          </w:tcPr>
          <w:p w14:paraId="6AE29E2C">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244992F3">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开户银行</w:t>
            </w:r>
          </w:p>
        </w:tc>
        <w:tc>
          <w:tcPr>
            <w:tcW w:w="1261" w:type="pct"/>
            <w:tcBorders>
              <w:top w:val="single" w:color="auto" w:sz="2" w:space="0"/>
              <w:left w:val="single" w:color="auto" w:sz="2" w:space="0"/>
              <w:bottom w:val="single" w:color="auto" w:sz="2" w:space="0"/>
            </w:tcBorders>
            <w:noWrap w:val="0"/>
            <w:vAlign w:val="center"/>
          </w:tcPr>
          <w:p w14:paraId="4EF9040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763F9D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4" w:type="pct"/>
            <w:tcBorders>
              <w:top w:val="single" w:color="auto" w:sz="2" w:space="0"/>
              <w:bottom w:val="single" w:color="auto" w:sz="2" w:space="0"/>
              <w:right w:val="single" w:color="auto" w:sz="2" w:space="0"/>
            </w:tcBorders>
            <w:noWrap w:val="0"/>
            <w:vAlign w:val="center"/>
          </w:tcPr>
          <w:p w14:paraId="4ADACC36">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435" w:type="pct"/>
            <w:tcBorders>
              <w:top w:val="single" w:color="auto" w:sz="2" w:space="0"/>
              <w:left w:val="single" w:color="auto" w:sz="2" w:space="0"/>
              <w:bottom w:val="single" w:color="auto" w:sz="2" w:space="0"/>
              <w:right w:val="single" w:color="auto" w:sz="2" w:space="0"/>
            </w:tcBorders>
            <w:noWrap w:val="0"/>
            <w:vAlign w:val="center"/>
          </w:tcPr>
          <w:p w14:paraId="0AA22243">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p>
        </w:tc>
        <w:tc>
          <w:tcPr>
            <w:tcW w:w="1177" w:type="pct"/>
            <w:tcBorders>
              <w:top w:val="single" w:color="auto" w:sz="2" w:space="0"/>
              <w:left w:val="single" w:color="auto" w:sz="2" w:space="0"/>
              <w:bottom w:val="single" w:color="auto" w:sz="2" w:space="0"/>
              <w:right w:val="single" w:color="auto" w:sz="2" w:space="0"/>
            </w:tcBorders>
            <w:noWrap w:val="0"/>
            <w:vAlign w:val="center"/>
          </w:tcPr>
          <w:p w14:paraId="0784C574">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zCs w:val="21"/>
                <w:highlight w:val="none"/>
              </w:rPr>
            </w:pPr>
            <w:r>
              <w:rPr>
                <w:rFonts w:hint="default" w:ascii="Calibri" w:hAnsi="Calibri" w:cs="Times New Roman"/>
                <w:color w:val="auto"/>
                <w:szCs w:val="21"/>
                <w:highlight w:val="none"/>
              </w:rPr>
              <w:t>银行账号</w:t>
            </w:r>
          </w:p>
        </w:tc>
        <w:tc>
          <w:tcPr>
            <w:tcW w:w="1261" w:type="pct"/>
            <w:tcBorders>
              <w:top w:val="single" w:color="auto" w:sz="2" w:space="0"/>
              <w:left w:val="single" w:color="auto" w:sz="2" w:space="0"/>
              <w:bottom w:val="single" w:color="auto" w:sz="2" w:space="0"/>
            </w:tcBorders>
            <w:noWrap w:val="0"/>
            <w:vAlign w:val="center"/>
          </w:tcPr>
          <w:p w14:paraId="5B6B6129">
            <w:pPr>
              <w:keepNext w:val="0"/>
              <w:keepLines w:val="0"/>
              <w:suppressLineNumbers w:val="0"/>
              <w:adjustRightInd w:val="0"/>
              <w:snapToGrid w:val="0"/>
              <w:spacing w:before="0" w:beforeAutospacing="0" w:after="0" w:afterAutospacing="0" w:line="300" w:lineRule="exact"/>
              <w:ind w:left="0" w:right="0"/>
              <w:jc w:val="center"/>
              <w:rPr>
                <w:rFonts w:hint="default" w:ascii="Calibri" w:hAnsi="Calibri" w:cs="Times New Roman"/>
                <w:color w:val="auto"/>
                <w:spacing w:val="20"/>
                <w:szCs w:val="21"/>
                <w:highlight w:val="none"/>
              </w:rPr>
            </w:pPr>
          </w:p>
        </w:tc>
      </w:tr>
      <w:tr w14:paraId="1D54C1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5000" w:type="pct"/>
            <w:gridSpan w:val="4"/>
            <w:tcBorders>
              <w:top w:val="single" w:color="auto" w:sz="2" w:space="0"/>
            </w:tcBorders>
            <w:noWrap w:val="0"/>
            <w:vAlign w:val="center"/>
          </w:tcPr>
          <w:p w14:paraId="497CB1CF">
            <w:pPr>
              <w:keepNext w:val="0"/>
              <w:keepLines w:val="0"/>
              <w:suppressLineNumbers w:val="0"/>
              <w:adjustRightInd w:val="0"/>
              <w:snapToGrid w:val="0"/>
              <w:spacing w:before="120" w:beforeLines="50" w:beforeAutospacing="0" w:after="0" w:afterAutospacing="0" w:line="360" w:lineRule="auto"/>
              <w:ind w:left="0" w:right="0"/>
              <w:jc w:val="left"/>
              <w:rPr>
                <w:rFonts w:hint="default" w:ascii="Calibri" w:hAnsi="Calibri" w:cs="Times New Roman"/>
                <w:color w:val="auto"/>
                <w:spacing w:val="20"/>
                <w:szCs w:val="21"/>
                <w:highlight w:val="none"/>
              </w:rPr>
            </w:pPr>
            <w:r>
              <w:rPr>
                <w:rFonts w:hint="eastAsia" w:ascii="宋体" w:hAnsi="宋体" w:cs="Times New Roman"/>
                <w:color w:val="auto"/>
                <w:szCs w:val="21"/>
                <w:highlight w:val="none"/>
              </w:rPr>
              <w:t>注：涉及联合体或其他合同主体的信息应按上表格式加列。</w:t>
            </w:r>
          </w:p>
        </w:tc>
      </w:tr>
    </w:tbl>
    <w:p w14:paraId="297BDF2B">
      <w:pPr>
        <w:rPr>
          <w:color w:val="auto"/>
          <w:highlight w:val="none"/>
        </w:rPr>
      </w:pPr>
    </w:p>
    <w:p w14:paraId="43FA6907">
      <w:pPr>
        <w:keepNext/>
        <w:keepLines/>
        <w:adjustRightInd w:val="0"/>
        <w:snapToGrid w:val="0"/>
        <w:spacing w:before="120" w:beforeLines="50" w:after="260" w:line="416" w:lineRule="auto"/>
        <w:jc w:val="center"/>
        <w:outlineLvl w:val="1"/>
        <w:rPr>
          <w:rFonts w:ascii="黑体" w:hAnsi="黑体" w:eastAsia="黑体"/>
          <w:b/>
          <w:bCs/>
          <w:color w:val="auto"/>
          <w:sz w:val="28"/>
          <w:szCs w:val="28"/>
          <w:highlight w:val="none"/>
        </w:rPr>
      </w:pPr>
      <w:r>
        <w:rPr>
          <w:rFonts w:ascii="宋体" w:hAnsi="宋体"/>
          <w:b/>
          <w:bCs/>
          <w:color w:val="auto"/>
          <w:szCs w:val="21"/>
          <w:highlight w:val="none"/>
          <w:u w:val="single"/>
        </w:rPr>
        <w:br w:type="page"/>
      </w:r>
      <w:r>
        <w:rPr>
          <w:rFonts w:hint="eastAsia" w:ascii="黑体" w:hAnsi="黑体" w:eastAsia="黑体"/>
          <w:color w:val="auto"/>
          <w:sz w:val="28"/>
          <w:szCs w:val="28"/>
          <w:highlight w:val="none"/>
        </w:rPr>
        <w:t>第二节 政府采购合同通用条款</w:t>
      </w:r>
    </w:p>
    <w:p w14:paraId="28986E41">
      <w:pPr>
        <w:tabs>
          <w:tab w:val="left" w:pos="8820"/>
          <w:tab w:val="left" w:pos="9345"/>
          <w:tab w:val="left" w:pos="9765"/>
        </w:tabs>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 xml:space="preserve">1. </w:t>
      </w:r>
      <w:r>
        <w:rPr>
          <w:rFonts w:hint="eastAsia" w:ascii="宋体" w:hAnsi="宋体"/>
          <w:b/>
          <w:bCs/>
          <w:color w:val="auto"/>
          <w:sz w:val="24"/>
          <w:highlight w:val="none"/>
        </w:rPr>
        <w:t>定义</w:t>
      </w:r>
    </w:p>
    <w:p w14:paraId="2434188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1.1合同当事人</w:t>
      </w:r>
    </w:p>
    <w:p w14:paraId="082A616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（1）采购人（以下称甲方）是指使用财政性资金，通过政府采购方式向供应商购买货物及其相关服务的国家机关、事业单位、团体组织。</w:t>
      </w:r>
    </w:p>
    <w:p w14:paraId="5461363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（2）供应商（以下称乙方）是指参加政府采购活动并且中标（成交），向采购人提供合同约定的货物及其相关服务的法人、非法人组织或者自然人。</w:t>
      </w:r>
    </w:p>
    <w:p w14:paraId="3000C63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cs="宋体"/>
          <w:bCs/>
          <w:color w:val="auto"/>
          <w:szCs w:val="21"/>
          <w:highlight w:val="none"/>
        </w:rPr>
        <w:t>依法参与合同缔结或履行，享有权利、承担义务的合同当事人</w:t>
      </w:r>
      <w:r>
        <w:rPr>
          <w:rFonts w:hint="eastAsia" w:ascii="宋体" w:hAnsi="宋体"/>
          <w:color w:val="auto"/>
          <w:szCs w:val="21"/>
          <w:highlight w:val="none"/>
        </w:rPr>
        <w:t>。</w:t>
      </w:r>
    </w:p>
    <w:p w14:paraId="55D66055">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559E76D2">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cs="宋体"/>
          <w:bCs/>
          <w:color w:val="auto"/>
          <w:szCs w:val="21"/>
          <w:highlight w:val="none"/>
        </w:rPr>
        <w:t>合同当事人意思表示达成一致的任何协议，包括签署的</w:t>
      </w:r>
      <w:r>
        <w:rPr>
          <w:rFonts w:hint="eastAsia" w:ascii="宋体" w:hAnsi="宋体"/>
          <w:color w:val="auto"/>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highlight w:val="none"/>
        </w:rPr>
        <w:t>国家法律、行政法规和规章制度规定或合同约定的作为合同组成部分的其他文件</w:t>
      </w:r>
      <w:r>
        <w:rPr>
          <w:rFonts w:hint="eastAsia" w:ascii="宋体" w:hAnsi="宋体"/>
          <w:color w:val="auto"/>
          <w:szCs w:val="21"/>
          <w:highlight w:val="none"/>
        </w:rPr>
        <w:t>。</w:t>
      </w:r>
    </w:p>
    <w:p w14:paraId="70A38FA0">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（2）“合同价款”系指根据本合同规定乙方在全面履行合同义务后甲方应支付给乙方的价款。</w:t>
      </w:r>
    </w:p>
    <w:p w14:paraId="5E2E317D">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（3）“货物”系指乙方根据本合同规定须向甲方提供的各种形态和种类的物品，包括原材料、设备、产品（包括软件）及相关的其备品备件、工具、手册及</w:t>
      </w:r>
      <w:r>
        <w:rPr>
          <w:rFonts w:ascii="宋体" w:hAnsi="宋体"/>
          <w:color w:val="auto"/>
          <w:szCs w:val="21"/>
          <w:highlight w:val="none"/>
          <w:lang w:val="en"/>
        </w:rPr>
        <w:t>其他</w:t>
      </w:r>
      <w:r>
        <w:rPr>
          <w:rFonts w:hint="eastAsia" w:ascii="宋体" w:hAnsi="宋体"/>
          <w:color w:val="auto"/>
          <w:szCs w:val="21"/>
          <w:highlight w:val="none"/>
        </w:rPr>
        <w:t>技术资料和材料等。</w:t>
      </w:r>
    </w:p>
    <w:p w14:paraId="2B0EECFB">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（4）“相关服务”系指根据合同规定，乙方应提供的与货物有关的技术、管理和</w:t>
      </w:r>
      <w:r>
        <w:rPr>
          <w:rFonts w:ascii="宋体" w:hAnsi="宋体"/>
          <w:color w:val="auto"/>
          <w:szCs w:val="21"/>
          <w:highlight w:val="none"/>
          <w:lang w:val="en"/>
        </w:rPr>
        <w:t>其他</w:t>
      </w:r>
      <w:r>
        <w:rPr>
          <w:rFonts w:hint="eastAsia" w:ascii="宋体" w:hAnsi="宋体"/>
          <w:color w:val="auto"/>
          <w:szCs w:val="21"/>
          <w:highlight w:val="none"/>
        </w:rPr>
        <w:t>服务，包括但不限于：管理和质量保证、运输、保险、检验、现场准备、安装、集成、调试、培训、维修、废弃处置、技术支持等以及合同中规定乙方应承担的</w:t>
      </w:r>
      <w:r>
        <w:rPr>
          <w:rFonts w:ascii="宋体" w:hAnsi="宋体"/>
          <w:color w:val="auto"/>
          <w:szCs w:val="21"/>
          <w:highlight w:val="none"/>
          <w:lang w:val="en"/>
        </w:rPr>
        <w:t>其他</w:t>
      </w:r>
      <w:r>
        <w:rPr>
          <w:rFonts w:hint="eastAsia" w:ascii="宋体" w:hAnsi="宋体"/>
          <w:color w:val="auto"/>
          <w:szCs w:val="21"/>
          <w:highlight w:val="none"/>
        </w:rPr>
        <w:t>义务。</w:t>
      </w:r>
    </w:p>
    <w:p w14:paraId="3E88C2BF">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（5）“分包”系指中标（成交）供应商按采购文件、投标（响应）文件的规定，根据分包意向协议，将中标（成交）项目中的部分履约内容，分给具有相应资质条件的供应商履行合同的行为。</w:t>
      </w:r>
    </w:p>
    <w:p w14:paraId="461290B6">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2695DB88">
      <w:pPr>
        <w:tabs>
          <w:tab w:val="left" w:pos="570"/>
          <w:tab w:val="left" w:pos="9240"/>
          <w:tab w:val="left" w:pos="9555"/>
        </w:tabs>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（7）其他术语解释，见【</w:t>
      </w:r>
      <w:r>
        <w:rPr>
          <w:rFonts w:hint="eastAsia" w:ascii="宋体" w:hAnsi="宋体"/>
          <w:b/>
          <w:bCs/>
          <w:color w:val="auto"/>
          <w:szCs w:val="21"/>
          <w:highlight w:val="none"/>
        </w:rPr>
        <w:t>政府采购合同专用条款</w:t>
      </w:r>
      <w:r>
        <w:rPr>
          <w:rFonts w:hint="eastAsia" w:ascii="宋体" w:hAnsi="宋体"/>
          <w:color w:val="auto"/>
          <w:szCs w:val="21"/>
          <w:highlight w:val="none"/>
        </w:rPr>
        <w:t>】。</w:t>
      </w:r>
    </w:p>
    <w:p w14:paraId="324C4AA5">
      <w:pPr>
        <w:numPr>
          <w:ilvl w:val="0"/>
          <w:numId w:val="8"/>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color w:val="auto"/>
          <w:sz w:val="24"/>
          <w:highlight w:val="none"/>
        </w:rPr>
        <w:t>合同标的及金额</w:t>
      </w:r>
    </w:p>
    <w:p w14:paraId="4384D26E">
      <w:pPr>
        <w:autoSpaceDE w:val="0"/>
        <w:autoSpaceDN w:val="0"/>
        <w:adjustRightInd w:val="0"/>
        <w:snapToGrid w:val="0"/>
        <w:spacing w:line="400" w:lineRule="exact"/>
        <w:ind w:firstLine="420" w:firstLineChars="200"/>
        <w:jc w:val="left"/>
        <w:rPr>
          <w:rFonts w:ascii="宋体" w:hAnsi="宋体"/>
          <w:b/>
          <w:bCs/>
          <w:i/>
          <w:iCs/>
          <w:color w:val="auto"/>
          <w:szCs w:val="21"/>
          <w:highlight w:val="none"/>
        </w:rPr>
      </w:pPr>
      <w:r>
        <w:rPr>
          <w:rFonts w:hint="eastAsia" w:ascii="宋体" w:hAnsi="宋体"/>
          <w:color w:val="auto"/>
          <w:szCs w:val="21"/>
          <w:highlight w:val="none"/>
        </w:rPr>
        <w:t>2.1 合同标的及金额应与中标（成交）结果一致。乙方为履行本合同而发生的所有费用均应包含在合同价款中，甲方不再另行支付</w:t>
      </w:r>
      <w:r>
        <w:rPr>
          <w:rFonts w:ascii="宋体" w:hAnsi="宋体"/>
          <w:color w:val="auto"/>
          <w:szCs w:val="21"/>
          <w:highlight w:val="none"/>
          <w:lang w:val="en"/>
        </w:rPr>
        <w:t>其他</w:t>
      </w:r>
      <w:r>
        <w:rPr>
          <w:rFonts w:hint="eastAsia" w:ascii="宋体" w:hAnsi="宋体"/>
          <w:color w:val="auto"/>
          <w:szCs w:val="21"/>
          <w:highlight w:val="none"/>
        </w:rPr>
        <w:t>任何费用。</w:t>
      </w:r>
    </w:p>
    <w:p w14:paraId="6F20CEB2">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3. 履行合同的时间、地点和方式</w:t>
      </w:r>
    </w:p>
    <w:p w14:paraId="2157454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3.1 </w:t>
      </w:r>
      <w:r>
        <w:rPr>
          <w:rFonts w:hint="eastAsia" w:ascii="宋体" w:hAnsi="宋体" w:cs="宋体"/>
          <w:color w:val="auto"/>
          <w:szCs w:val="21"/>
          <w:highlight w:val="none"/>
        </w:rPr>
        <w:t>乙方应当在约定的时间、地点，按照约定方式履行合同。</w:t>
      </w:r>
    </w:p>
    <w:p w14:paraId="7475DF9B">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4. 甲方的权利和义务</w:t>
      </w:r>
    </w:p>
    <w:p w14:paraId="57746D7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4.1</w:t>
      </w:r>
      <w:r>
        <w:rPr>
          <w:rFonts w:ascii="宋体" w:hAnsi="宋体"/>
          <w:color w:val="auto"/>
          <w:szCs w:val="21"/>
          <w:highlight w:val="none"/>
        </w:rPr>
        <w:t xml:space="preserve"> 签署合同后，甲方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r>
        <w:rPr>
          <w:rFonts w:hint="eastAsia" w:ascii="宋体" w:hAnsi="宋体"/>
          <w:color w:val="auto"/>
          <w:szCs w:val="21"/>
          <w:highlight w:val="none"/>
        </w:rPr>
        <w:t>甲方有权对乙方的履约行为进行检查，并</w:t>
      </w:r>
      <w:r>
        <w:rPr>
          <w:rFonts w:ascii="宋体" w:hAnsi="宋体"/>
          <w:color w:val="auto"/>
          <w:szCs w:val="21"/>
          <w:highlight w:val="none"/>
        </w:rPr>
        <w:t>及时确认乙方提交的事项</w:t>
      </w:r>
      <w:r>
        <w:rPr>
          <w:rFonts w:hint="eastAsia" w:ascii="宋体" w:hAnsi="宋体"/>
          <w:color w:val="auto"/>
          <w:szCs w:val="21"/>
          <w:highlight w:val="none"/>
        </w:rPr>
        <w:t>。甲方应当</w:t>
      </w:r>
      <w:r>
        <w:rPr>
          <w:rFonts w:ascii="宋体" w:hAnsi="宋体"/>
          <w:color w:val="auto"/>
          <w:szCs w:val="21"/>
          <w:highlight w:val="none"/>
        </w:rPr>
        <w:t>配合乙方完成</w:t>
      </w:r>
      <w:r>
        <w:rPr>
          <w:rFonts w:hint="eastAsia" w:ascii="宋体" w:hAnsi="宋体"/>
          <w:color w:val="auto"/>
          <w:szCs w:val="21"/>
          <w:highlight w:val="none"/>
        </w:rPr>
        <w:t>相关项目</w:t>
      </w:r>
      <w:r>
        <w:rPr>
          <w:rFonts w:ascii="宋体" w:hAnsi="宋体"/>
          <w:color w:val="auto"/>
          <w:szCs w:val="21"/>
          <w:highlight w:val="none"/>
        </w:rPr>
        <w:t>实施工作。</w:t>
      </w:r>
    </w:p>
    <w:p w14:paraId="3A7E72E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4.2 </w:t>
      </w:r>
      <w:r>
        <w:rPr>
          <w:rFonts w:ascii="宋体" w:hAnsi="宋体"/>
          <w:color w:val="auto"/>
          <w:szCs w:val="21"/>
          <w:highlight w:val="none"/>
        </w:rPr>
        <w:t>甲方有权要求乙方按时提交各阶段有关</w:t>
      </w:r>
      <w:r>
        <w:rPr>
          <w:rFonts w:hint="eastAsia" w:ascii="宋体" w:hAnsi="宋体"/>
          <w:color w:val="auto"/>
          <w:szCs w:val="21"/>
          <w:highlight w:val="none"/>
        </w:rPr>
        <w:t>安排计划</w:t>
      </w:r>
      <w:r>
        <w:rPr>
          <w:rFonts w:ascii="宋体" w:hAnsi="宋体"/>
          <w:color w:val="auto"/>
          <w:szCs w:val="21"/>
          <w:highlight w:val="none"/>
        </w:rPr>
        <w:t>，并有权</w:t>
      </w:r>
      <w:r>
        <w:rPr>
          <w:rFonts w:hint="eastAsia" w:ascii="宋体" w:hAnsi="宋体"/>
          <w:color w:val="auto"/>
          <w:szCs w:val="21"/>
          <w:highlight w:val="none"/>
        </w:rPr>
        <w:t>定期核对乙方提供货物数量、规格、质量等内容。甲方</w:t>
      </w:r>
      <w:r>
        <w:rPr>
          <w:rFonts w:ascii="宋体" w:hAnsi="宋体"/>
          <w:color w:val="auto"/>
          <w:szCs w:val="21"/>
          <w:highlight w:val="none"/>
        </w:rPr>
        <w:t>有权督促乙方工作并要求乙方</w:t>
      </w:r>
      <w:r>
        <w:rPr>
          <w:rFonts w:hint="eastAsia" w:ascii="宋体" w:hAnsi="宋体"/>
          <w:color w:val="auto"/>
          <w:szCs w:val="21"/>
          <w:highlight w:val="none"/>
        </w:rPr>
        <w:t>更</w:t>
      </w:r>
      <w:r>
        <w:rPr>
          <w:rFonts w:ascii="宋体" w:hAnsi="宋体"/>
          <w:color w:val="auto"/>
          <w:szCs w:val="21"/>
          <w:highlight w:val="none"/>
        </w:rPr>
        <w:t>换不符合要求的</w:t>
      </w:r>
      <w:r>
        <w:rPr>
          <w:rFonts w:hint="eastAsia" w:ascii="宋体" w:hAnsi="宋体"/>
          <w:color w:val="auto"/>
          <w:szCs w:val="21"/>
          <w:highlight w:val="none"/>
        </w:rPr>
        <w:t>货物</w:t>
      </w:r>
      <w:r>
        <w:rPr>
          <w:rFonts w:ascii="宋体" w:hAnsi="宋体"/>
          <w:color w:val="auto"/>
          <w:szCs w:val="21"/>
          <w:highlight w:val="none"/>
        </w:rPr>
        <w:t>。</w:t>
      </w:r>
    </w:p>
    <w:p w14:paraId="55A2DEC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w:t>
      </w:r>
      <w:r>
        <w:rPr>
          <w:rFonts w:ascii="宋体" w:hAnsi="宋体"/>
          <w:color w:val="auto"/>
          <w:szCs w:val="21"/>
          <w:highlight w:val="none"/>
        </w:rPr>
        <w:t>3</w:t>
      </w:r>
      <w:r>
        <w:rPr>
          <w:rFonts w:hint="eastAsia" w:ascii="宋体" w:hAnsi="宋体"/>
          <w:color w:val="auto"/>
          <w:szCs w:val="21"/>
          <w:highlight w:val="none"/>
        </w:rPr>
        <w:t xml:space="preserve"> </w:t>
      </w:r>
      <w:r>
        <w:rPr>
          <w:rFonts w:ascii="宋体" w:hAnsi="宋体"/>
          <w:color w:val="auto"/>
          <w:szCs w:val="21"/>
          <w:highlight w:val="none"/>
        </w:rPr>
        <w:t>甲方</w:t>
      </w:r>
      <w:r>
        <w:rPr>
          <w:rFonts w:hint="eastAsia" w:ascii="宋体" w:hAnsi="宋体"/>
          <w:color w:val="auto"/>
          <w:szCs w:val="21"/>
          <w:highlight w:val="none"/>
        </w:rPr>
        <w:t>有权要求乙方对缺陷部分予以修复，并按合同约定享有货物保修及其他合同约定的权利。</w:t>
      </w:r>
    </w:p>
    <w:p w14:paraId="08192995">
      <w:pPr>
        <w:snapToGrid w:val="0"/>
        <w:spacing w:line="400" w:lineRule="exact"/>
        <w:ind w:firstLine="420" w:firstLineChars="200"/>
        <w:rPr>
          <w:rFonts w:eastAsia="华文楷体"/>
          <w:color w:val="auto"/>
          <w:highlight w:val="none"/>
        </w:rPr>
      </w:pPr>
      <w:r>
        <w:rPr>
          <w:rFonts w:ascii="宋体" w:hAnsi="宋体"/>
          <w:color w:val="auto"/>
          <w:szCs w:val="21"/>
          <w:highlight w:val="none"/>
        </w:rPr>
        <w:t>4.4 甲方应当按照合同约定及时对交付的货物进行验收</w:t>
      </w:r>
      <w:r>
        <w:rPr>
          <w:rFonts w:hint="eastAsia" w:ascii="宋体" w:hAnsi="宋体"/>
          <w:color w:val="auto"/>
          <w:szCs w:val="21"/>
          <w:highlight w:val="none"/>
        </w:rPr>
        <w:t>，</w:t>
      </w:r>
      <w:r>
        <w:rPr>
          <w:rFonts w:hint="eastAsia" w:ascii="宋体" w:hAnsi="宋体" w:cs="宋体"/>
          <w:color w:val="auto"/>
          <w:szCs w:val="21"/>
          <w:highlight w:val="none"/>
        </w:rPr>
        <w:t>未</w:t>
      </w:r>
      <w:r>
        <w:rPr>
          <w:rFonts w:hint="eastAsia" w:ascii="宋体" w:hAnsi="宋体"/>
          <w:color w:val="auto"/>
          <w:szCs w:val="21"/>
          <w:highlight w:val="none"/>
        </w:rPr>
        <w:t>在</w:t>
      </w:r>
      <w:r>
        <w:rPr>
          <w:rFonts w:hint="eastAsia" w:ascii="宋体" w:hAnsi="宋体" w:cs="宋体"/>
          <w:b/>
          <w:bCs/>
          <w:color w:val="auto"/>
          <w:szCs w:val="21"/>
          <w:highlight w:val="none"/>
        </w:rPr>
        <w:t>【政府采购合同专用条款】</w:t>
      </w:r>
      <w:r>
        <w:rPr>
          <w:rFonts w:hint="eastAsia" w:ascii="宋体" w:hAnsi="宋体" w:cs="宋体"/>
          <w:color w:val="auto"/>
          <w:szCs w:val="21"/>
          <w:highlight w:val="none"/>
        </w:rPr>
        <w:t>约定的期限内对乙方履约提出任何异议或者向乙方作出任何说明的，</w:t>
      </w:r>
      <w:r>
        <w:rPr>
          <w:rFonts w:hint="eastAsia" w:ascii="宋体" w:hAnsi="宋体"/>
          <w:color w:val="auto"/>
          <w:szCs w:val="21"/>
          <w:highlight w:val="none"/>
        </w:rPr>
        <w:t>视为验收通过。</w:t>
      </w:r>
    </w:p>
    <w:p w14:paraId="738A0B0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 xml:space="preserve">5 </w:t>
      </w:r>
      <w:r>
        <w:rPr>
          <w:rFonts w:hint="eastAsia" w:ascii="宋体" w:hAnsi="宋体"/>
          <w:color w:val="auto"/>
          <w:szCs w:val="21"/>
          <w:highlight w:val="none"/>
        </w:rPr>
        <w:t>甲方应当根据合同约定及时向乙方支付合同价款</w:t>
      </w:r>
      <w:r>
        <w:rPr>
          <w:rFonts w:ascii="宋体" w:hAnsi="宋体"/>
          <w:color w:val="auto"/>
          <w:szCs w:val="21"/>
          <w:highlight w:val="none"/>
        </w:rPr>
        <w:t>，不得以内部人员变更、履行内部付款流程等为由，拒绝或迟延支付。</w:t>
      </w:r>
    </w:p>
    <w:p w14:paraId="7F5A260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4.6</w:t>
      </w:r>
      <w:r>
        <w:rPr>
          <w:rFonts w:ascii="宋体" w:hAnsi="宋体"/>
          <w:color w:val="auto"/>
          <w:szCs w:val="21"/>
          <w:highlight w:val="none"/>
        </w:rPr>
        <w:t xml:space="preserve"> </w:t>
      </w:r>
      <w:r>
        <w:rPr>
          <w:rFonts w:hint="eastAsia" w:ascii="宋体" w:hAnsi="宋体"/>
          <w:color w:val="auto"/>
          <w:szCs w:val="21"/>
          <w:highlight w:val="none"/>
        </w:rPr>
        <w:t>国家法律法规规定及</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约定应由甲方承担的其他义务和责任。</w:t>
      </w:r>
    </w:p>
    <w:p w14:paraId="6F646269">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5. 乙方的权利和义务</w:t>
      </w:r>
    </w:p>
    <w:p w14:paraId="7CBF3FD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5.1 </w:t>
      </w:r>
      <w:r>
        <w:rPr>
          <w:rFonts w:ascii="宋体" w:hAnsi="宋体"/>
          <w:color w:val="auto"/>
          <w:szCs w:val="21"/>
          <w:highlight w:val="none"/>
        </w:rPr>
        <w:t>签署合同后，乙方</w:t>
      </w:r>
      <w:r>
        <w:rPr>
          <w:rFonts w:hint="eastAsia" w:ascii="宋体" w:hAnsi="宋体"/>
          <w:color w:val="auto"/>
          <w:szCs w:val="21"/>
          <w:highlight w:val="none"/>
        </w:rPr>
        <w:t>应</w:t>
      </w:r>
      <w:r>
        <w:rPr>
          <w:rFonts w:ascii="宋体" w:hAnsi="宋体"/>
          <w:color w:val="auto"/>
          <w:szCs w:val="21"/>
          <w:highlight w:val="none"/>
        </w:rPr>
        <w:t>确定</w:t>
      </w:r>
      <w:r>
        <w:rPr>
          <w:rFonts w:hint="eastAsia" w:ascii="宋体" w:hAnsi="宋体"/>
          <w:color w:val="auto"/>
          <w:szCs w:val="21"/>
          <w:highlight w:val="none"/>
        </w:rPr>
        <w:t>项目负责人（或项目联系人）</w:t>
      </w:r>
      <w:r>
        <w:rPr>
          <w:rFonts w:ascii="宋体" w:hAnsi="宋体"/>
          <w:color w:val="auto"/>
          <w:szCs w:val="21"/>
          <w:highlight w:val="none"/>
        </w:rPr>
        <w:t>，负责与本合同有关的事务。</w:t>
      </w:r>
    </w:p>
    <w:p w14:paraId="18A4FA9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2 乙方应按照合同要求</w:t>
      </w:r>
      <w:r>
        <w:rPr>
          <w:rFonts w:hint="eastAsia" w:ascii="宋体" w:hAnsi="宋体"/>
          <w:color w:val="auto"/>
          <w:szCs w:val="21"/>
          <w:highlight w:val="none"/>
        </w:rPr>
        <w:t>履约</w:t>
      </w:r>
      <w:r>
        <w:rPr>
          <w:rFonts w:ascii="宋体" w:hAnsi="宋体"/>
          <w:color w:val="auto"/>
          <w:szCs w:val="21"/>
          <w:highlight w:val="none"/>
        </w:rPr>
        <w:t>，充分合理安排，确保</w:t>
      </w:r>
      <w:r>
        <w:rPr>
          <w:rFonts w:hint="eastAsia" w:ascii="宋体" w:hAnsi="宋体"/>
          <w:color w:val="auto"/>
          <w:szCs w:val="21"/>
          <w:highlight w:val="none"/>
        </w:rPr>
        <w:t>提供的货物及相关服务符合合同有关</w:t>
      </w:r>
      <w:r>
        <w:rPr>
          <w:rFonts w:ascii="宋体" w:hAnsi="宋体"/>
          <w:color w:val="auto"/>
          <w:szCs w:val="21"/>
          <w:highlight w:val="none"/>
        </w:rPr>
        <w:t>要求</w:t>
      </w:r>
      <w:r>
        <w:rPr>
          <w:rFonts w:hint="eastAsia" w:ascii="宋体" w:hAnsi="宋体"/>
          <w:color w:val="auto"/>
          <w:szCs w:val="21"/>
          <w:highlight w:val="none"/>
        </w:rPr>
        <w:t>。接受项目行业管理部门及政府有关部门的指导，配合甲方的履约检查及验收，并</w:t>
      </w:r>
      <w:r>
        <w:rPr>
          <w:rFonts w:ascii="宋体" w:hAnsi="宋体"/>
          <w:color w:val="auto"/>
          <w:szCs w:val="21"/>
          <w:highlight w:val="none"/>
        </w:rPr>
        <w:t>负责项目实施过程中的所有协调工作。</w:t>
      </w:r>
    </w:p>
    <w:p w14:paraId="40DA92D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5.3乙方有权根据合同约定向甲方收取合同价款。</w:t>
      </w:r>
    </w:p>
    <w:p w14:paraId="47F41E09">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5.4国家法律法规规定及【政府采购合同专用条款】约定应由乙方承担的其他义务和责任。</w:t>
      </w:r>
    </w:p>
    <w:p w14:paraId="236297F5">
      <w:pPr>
        <w:numPr>
          <w:ilvl w:val="0"/>
          <w:numId w:val="9"/>
        </w:num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合同履行</w:t>
      </w:r>
    </w:p>
    <w:p w14:paraId="766C0CE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6.1 甲乙双方应当按照</w:t>
      </w:r>
      <w:r>
        <w:rPr>
          <w:rFonts w:hint="eastAsia" w:ascii="宋体" w:hAnsi="宋体" w:cs="宋体"/>
          <w:b/>
          <w:bCs/>
          <w:color w:val="auto"/>
          <w:szCs w:val="21"/>
          <w:highlight w:val="none"/>
        </w:rPr>
        <w:t>【政府采购合同专用条款】</w:t>
      </w:r>
      <w:r>
        <w:rPr>
          <w:rFonts w:hint="eastAsia" w:ascii="宋体" w:hAnsi="宋体"/>
          <w:color w:val="auto"/>
          <w:szCs w:val="21"/>
          <w:highlight w:val="none"/>
        </w:rPr>
        <w:t>约定顺序履行合同义务；如果没有先后顺序的，应当同时履行。</w:t>
      </w:r>
    </w:p>
    <w:p w14:paraId="5527AE9E">
      <w:pPr>
        <w:autoSpaceDE w:val="0"/>
        <w:autoSpaceDN w:val="0"/>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717D034D">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7. 货物包装、运输、保险和交付要求</w:t>
      </w:r>
    </w:p>
    <w:p w14:paraId="27D2399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7.1 本合同</w:t>
      </w:r>
      <w:r>
        <w:rPr>
          <w:rFonts w:hint="eastAsia" w:ascii="宋体" w:hAnsi="宋体"/>
          <w:bCs/>
          <w:color w:val="auto"/>
          <w:szCs w:val="21"/>
          <w:highlight w:val="none"/>
        </w:rPr>
        <w:t>涉及商品包装、快递包装的，</w:t>
      </w:r>
      <w:r>
        <w:rPr>
          <w:rFonts w:hint="eastAsia" w:ascii="宋体" w:hAnsi="宋体"/>
          <w:color w:val="auto"/>
          <w:szCs w:val="21"/>
          <w:highlight w:val="none"/>
        </w:rPr>
        <w:t>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包装应适应远距离运输、防潮、防震、防锈和防野蛮装卸等要求，确保货物安全无损地运抵</w:t>
      </w:r>
      <w:r>
        <w:rPr>
          <w:rFonts w:hint="eastAsia" w:ascii="宋体" w:hAnsi="宋体"/>
          <w:b/>
          <w:color w:val="auto"/>
          <w:szCs w:val="21"/>
          <w:highlight w:val="none"/>
        </w:rPr>
        <w:t>【政府采购合同专用条款】</w:t>
      </w:r>
      <w:r>
        <w:rPr>
          <w:rFonts w:hint="eastAsia" w:ascii="宋体" w:hAnsi="宋体"/>
          <w:bCs/>
          <w:color w:val="auto"/>
          <w:szCs w:val="21"/>
          <w:highlight w:val="none"/>
        </w:rPr>
        <w:t>约定的</w:t>
      </w:r>
      <w:r>
        <w:rPr>
          <w:rFonts w:hint="eastAsia" w:ascii="宋体" w:hAnsi="宋体"/>
          <w:color w:val="auto"/>
          <w:szCs w:val="21"/>
          <w:highlight w:val="none"/>
        </w:rPr>
        <w:t>指定现场。</w:t>
      </w:r>
    </w:p>
    <w:p w14:paraId="770217E1">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7.2 除</w:t>
      </w:r>
      <w:r>
        <w:rPr>
          <w:rFonts w:hint="eastAsia" w:ascii="宋体" w:hAnsi="宋体"/>
          <w:b/>
          <w:color w:val="auto"/>
          <w:szCs w:val="21"/>
          <w:highlight w:val="none"/>
        </w:rPr>
        <w:t>【政府采购合同专用条款】</w:t>
      </w:r>
      <w:r>
        <w:rPr>
          <w:rFonts w:hint="eastAsia" w:ascii="宋体" w:hAnsi="宋体"/>
          <w:bCs/>
          <w:color w:val="auto"/>
          <w:szCs w:val="21"/>
          <w:highlight w:val="none"/>
        </w:rPr>
        <w:t>另有约定外，</w:t>
      </w:r>
      <w:r>
        <w:rPr>
          <w:rFonts w:hint="eastAsia" w:ascii="宋体" w:hAnsi="宋体"/>
          <w:color w:val="auto"/>
          <w:szCs w:val="21"/>
          <w:highlight w:val="none"/>
        </w:rPr>
        <w:t>乙方负责办理将货物运抵本合同规定的交货地点，并装卸、交付至甲方的一切运输事项，相关费用应包含在合同价款中。</w:t>
      </w:r>
    </w:p>
    <w:p w14:paraId="60057628">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7.3 货物保险要求按</w:t>
      </w:r>
      <w:r>
        <w:rPr>
          <w:rFonts w:hint="eastAsia" w:ascii="宋体" w:hAnsi="宋体"/>
          <w:b/>
          <w:color w:val="auto"/>
          <w:szCs w:val="21"/>
          <w:highlight w:val="none"/>
        </w:rPr>
        <w:t>【政府采购合同专用条款】</w:t>
      </w:r>
      <w:r>
        <w:rPr>
          <w:rFonts w:hint="eastAsia" w:ascii="宋体" w:hAnsi="宋体"/>
          <w:bCs/>
          <w:color w:val="auto"/>
          <w:szCs w:val="21"/>
          <w:highlight w:val="none"/>
        </w:rPr>
        <w:t>规定执行</w:t>
      </w:r>
      <w:r>
        <w:rPr>
          <w:rFonts w:hint="eastAsia" w:ascii="宋体" w:hAnsi="宋体"/>
          <w:color w:val="auto"/>
          <w:szCs w:val="21"/>
          <w:highlight w:val="none"/>
        </w:rPr>
        <w:t>。</w:t>
      </w:r>
    </w:p>
    <w:p w14:paraId="65986A3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342164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7.5 </w:t>
      </w:r>
      <w:r>
        <w:rPr>
          <w:rFonts w:hint="eastAsia" w:ascii="宋体" w:hAnsi="宋体" w:cs="宋体"/>
          <w:color w:val="auto"/>
          <w:szCs w:val="21"/>
          <w:highlight w:val="none"/>
        </w:rPr>
        <w:t>乙方在运输到达之前应提前通知甲方，并提示货物运输装卸的注意事项，甲方配合乙方做好货物的接收工作。</w:t>
      </w:r>
    </w:p>
    <w:p w14:paraId="38F84017">
      <w:pPr>
        <w:widowControl/>
        <w:autoSpaceDE w:val="0"/>
        <w:autoSpaceDN w:val="0"/>
        <w:adjustRightInd w:val="0"/>
        <w:spacing w:line="400" w:lineRule="exact"/>
        <w:ind w:firstLine="420" w:firstLineChars="200"/>
        <w:jc w:val="left"/>
        <w:rPr>
          <w:rFonts w:ascii="华文楷体" w:hAnsi="华文楷体" w:eastAsia="华文楷体" w:cs="华文楷体"/>
          <w:color w:val="auto"/>
          <w:kern w:val="0"/>
          <w:szCs w:val="21"/>
          <w:highlight w:val="none"/>
        </w:rPr>
      </w:pPr>
      <w:r>
        <w:rPr>
          <w:rFonts w:hint="eastAsia" w:ascii="宋体" w:hAnsi="宋体"/>
          <w:color w:val="auto"/>
          <w:szCs w:val="21"/>
          <w:highlight w:val="none"/>
        </w:rPr>
        <w:t>7.6 如因包装、运输问题导致货物损毁、丢失或者品质下降，甲方有权要求降价、换货、拒收部分或整批货物，由此产生的费用和损失，均由乙方承担。</w:t>
      </w:r>
    </w:p>
    <w:p w14:paraId="44E9E3C7">
      <w:pPr>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8. 质量标准和保证</w:t>
      </w:r>
    </w:p>
    <w:p w14:paraId="50676A24">
      <w:pPr>
        <w:adjustRightInd w:val="0"/>
        <w:snapToGrid w:val="0"/>
        <w:spacing w:line="400" w:lineRule="exact"/>
        <w:ind w:firstLine="420" w:firstLineChars="200"/>
        <w:jc w:val="left"/>
        <w:rPr>
          <w:rFonts w:ascii="宋体" w:hAnsi="宋体"/>
          <w:b/>
          <w:color w:val="auto"/>
          <w:szCs w:val="21"/>
          <w:highlight w:val="none"/>
        </w:rPr>
      </w:pPr>
      <w:r>
        <w:rPr>
          <w:rFonts w:hint="eastAsia" w:ascii="宋体" w:hAnsi="宋体"/>
          <w:color w:val="auto"/>
          <w:szCs w:val="21"/>
          <w:highlight w:val="none"/>
        </w:rPr>
        <w:t>8.1 质量标准</w:t>
      </w:r>
    </w:p>
    <w:p w14:paraId="48413CF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（1）本合同下提供的货物应符合合同</w:t>
      </w:r>
      <w:r>
        <w:rPr>
          <w:rFonts w:hint="eastAsia" w:ascii="宋体" w:hAnsi="宋体" w:cs="宋体"/>
          <w:color w:val="auto"/>
          <w:szCs w:val="21"/>
          <w:highlight w:val="none"/>
        </w:rPr>
        <w:t>约定的品牌、规格型号、技术性能、配置、质量、数量等要求。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17EE107">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（2）采用中华人民共和国法定计量单位。</w:t>
      </w:r>
    </w:p>
    <w:p w14:paraId="7E6AF8D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（3）乙方所提供的货物应符合国家有关安全、环保、卫生的规定。</w:t>
      </w:r>
    </w:p>
    <w:p w14:paraId="2D5646A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（4）乙方应向甲方提交所提供货物的技术文件，包括相应的中文技术文件，如：产品目录、图纸、操作手册、使用说明、维护手册或服务指南等。上述文件应包装好随货物一同发运。</w:t>
      </w:r>
    </w:p>
    <w:p w14:paraId="1555509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8.2 保证</w:t>
      </w:r>
    </w:p>
    <w:p w14:paraId="15F9BFF4">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（1）乙方应保证提供的货物完全符合合同规定的质量、规格和性能要求。乙方应保证货物在正确安装、正常使用和保养条件下，</w:t>
      </w:r>
      <w:r>
        <w:rPr>
          <w:rFonts w:hint="eastAsia" w:ascii="宋体" w:hAnsi="宋体" w:cs="宋体"/>
          <w:color w:val="auto"/>
          <w:szCs w:val="21"/>
          <w:highlight w:val="none"/>
        </w:rPr>
        <w:t>在其使用寿命期内具备合同约定的性能</w:t>
      </w:r>
      <w:r>
        <w:rPr>
          <w:rFonts w:hint="eastAsia" w:ascii="宋体" w:hAnsi="宋体"/>
          <w:color w:val="auto"/>
          <w:szCs w:val="21"/>
          <w:highlight w:val="none"/>
        </w:rPr>
        <w:t>。存在质量保证期的，货物最终交付验收合格后在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规定或乙方书面承诺（两者以较长的为准）的质量保证期内，本保证保持有效。</w:t>
      </w:r>
    </w:p>
    <w:p w14:paraId="48A6980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165DB86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14FF306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781F0F4B">
      <w:pPr>
        <w:adjustRightInd w:val="0"/>
        <w:snapToGrid w:val="0"/>
        <w:spacing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49E7CE69">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9. 权利瑕疵担保</w:t>
      </w:r>
    </w:p>
    <w:p w14:paraId="304BDCE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9.1 乙方保证对其出售的货物享有合法的权利。</w:t>
      </w:r>
    </w:p>
    <w:p w14:paraId="68DBE5D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9.2 </w:t>
      </w:r>
      <w:r>
        <w:rPr>
          <w:rFonts w:hint="eastAsia" w:ascii="宋体" w:hAnsi="宋体" w:cs="宋体"/>
          <w:color w:val="auto"/>
          <w:szCs w:val="15"/>
          <w:highlight w:val="none"/>
        </w:rPr>
        <w:t>乙方保证在交付的货物上不存在抵押权等担保物权。</w:t>
      </w:r>
    </w:p>
    <w:p w14:paraId="59BB9D1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9.3 如甲方使用上述货物构成对第三人侵权的，则由乙方承担全部责任。</w:t>
      </w:r>
    </w:p>
    <w:p w14:paraId="48927DEC">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10. 知识产权保护</w:t>
      </w:r>
    </w:p>
    <w:p w14:paraId="6B0A6911">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10.1 乙方对其所销售的货物应当享有知识产权或经权利人合法授权，保证没有侵犯任何第三人的知识产权等权利。</w:t>
      </w:r>
      <w:r>
        <w:rPr>
          <w:rFonts w:hint="eastAsia" w:ascii="宋体" w:hAnsi="宋体" w:cs="宋体"/>
          <w:color w:val="auto"/>
          <w:szCs w:val="15"/>
          <w:highlight w:val="none"/>
        </w:rPr>
        <w:t>因违反前述约定对第三人构成侵权的，应当由乙方向第三人承担法律责任；甲方依法向第三人赔偿后，有权向乙方追偿。甲方有其他损失的，乙方应当赔偿</w:t>
      </w:r>
      <w:r>
        <w:rPr>
          <w:rFonts w:hint="eastAsia" w:ascii="宋体" w:hAnsi="宋体"/>
          <w:color w:val="auto"/>
          <w:szCs w:val="21"/>
          <w:highlight w:val="none"/>
        </w:rPr>
        <w:t>。</w:t>
      </w:r>
    </w:p>
    <w:p w14:paraId="4540E25F">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11. 保密义务</w:t>
      </w:r>
    </w:p>
    <w:p w14:paraId="36DDB491">
      <w:pPr>
        <w:autoSpaceDE w:val="0"/>
        <w:autoSpaceDN w:val="0"/>
        <w:adjustRightInd w:val="0"/>
        <w:snapToGrid w:val="0"/>
        <w:spacing w:line="400" w:lineRule="exact"/>
        <w:ind w:firstLine="420" w:firstLineChars="200"/>
        <w:jc w:val="left"/>
        <w:rPr>
          <w:rFonts w:ascii="宋体" w:hAnsi="宋体" w:cs="宋体"/>
          <w:color w:val="auto"/>
          <w:szCs w:val="15"/>
          <w:highlight w:val="none"/>
        </w:rPr>
      </w:pPr>
      <w:r>
        <w:rPr>
          <w:rFonts w:hint="eastAsia" w:ascii="宋体" w:hAnsi="宋体" w:cs="宋体"/>
          <w:color w:val="auto"/>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中约定。</w:t>
      </w:r>
    </w:p>
    <w:p w14:paraId="32F78CD2">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12. 合同价款支付</w:t>
      </w:r>
    </w:p>
    <w:p w14:paraId="251D69C3">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12.1 合同价款支付按照国库集中支付制度及财政管理相关规定执行。</w:t>
      </w:r>
    </w:p>
    <w:p w14:paraId="2E744270">
      <w:pPr>
        <w:keepNext/>
        <w:keepLines/>
        <w:spacing w:before="260" w:after="260" w:line="400" w:lineRule="exact"/>
        <w:ind w:firstLine="420" w:firstLineChars="200"/>
        <w:outlineLvl w:val="1"/>
        <w:rPr>
          <w:rFonts w:ascii="Cambria" w:hAnsi="Cambria"/>
          <w:b/>
          <w:bCs/>
          <w:color w:val="auto"/>
          <w:sz w:val="32"/>
          <w:szCs w:val="32"/>
          <w:highlight w:val="none"/>
        </w:rPr>
      </w:pPr>
      <w:r>
        <w:rPr>
          <w:rFonts w:hint="eastAsia" w:ascii="宋体" w:hAnsi="宋体"/>
          <w:color w:val="auto"/>
          <w:szCs w:val="21"/>
          <w:highlight w:val="none"/>
        </w:rPr>
        <w:t>12.2 对于满足合同约定支付条件的，甲方原则上应当自收到发票后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b/>
          <w:bCs/>
          <w:color w:val="auto"/>
          <w:szCs w:val="21"/>
          <w:highlight w:val="none"/>
        </w:rPr>
        <w:t>政府采购合同专用条款</w:t>
      </w:r>
      <w:r>
        <w:rPr>
          <w:rFonts w:hint="eastAsia" w:ascii="宋体" w:hAnsi="宋体"/>
          <w:color w:val="auto"/>
          <w:szCs w:val="21"/>
          <w:highlight w:val="none"/>
        </w:rPr>
        <w:t>】中约定。</w:t>
      </w:r>
    </w:p>
    <w:p w14:paraId="48A6EBFF">
      <w:pPr>
        <w:spacing w:line="400" w:lineRule="exact"/>
        <w:rPr>
          <w:rFonts w:ascii="宋体" w:hAnsi="宋体" w:eastAsia="黑体"/>
          <w:b/>
          <w:bCs/>
          <w:color w:val="auto"/>
          <w:sz w:val="24"/>
          <w:highlight w:val="none"/>
        </w:rPr>
      </w:pPr>
      <w:r>
        <w:rPr>
          <w:rFonts w:hint="eastAsia" w:ascii="宋体" w:hAnsi="宋体" w:eastAsia="黑体"/>
          <w:b/>
          <w:bCs/>
          <w:color w:val="auto"/>
          <w:sz w:val="24"/>
          <w:highlight w:val="none"/>
        </w:rPr>
        <w:t>13. 履约保证金</w:t>
      </w:r>
    </w:p>
    <w:p w14:paraId="06582C5A">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13.1 </w:t>
      </w:r>
      <w:r>
        <w:rPr>
          <w:rFonts w:hint="eastAsia" w:ascii="宋体" w:hAnsi="宋体" w:cs="宋体"/>
          <w:color w:val="auto"/>
          <w:szCs w:val="15"/>
          <w:highlight w:val="none"/>
        </w:rPr>
        <w:t>乙方应当以金融机构、担保机构出具的保函等非现金形式提交。</w:t>
      </w:r>
    </w:p>
    <w:p w14:paraId="757C3A8A">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cs="宋体"/>
          <w:b/>
          <w:bCs/>
          <w:color w:val="auto"/>
          <w:szCs w:val="15"/>
          <w:highlight w:val="none"/>
        </w:rPr>
        <w:t>【政府采购合同专用条款】</w:t>
      </w:r>
      <w:r>
        <w:rPr>
          <w:rFonts w:hint="eastAsia" w:ascii="宋体" w:hAnsi="宋体" w:cs="宋体"/>
          <w:color w:val="auto"/>
          <w:szCs w:val="15"/>
          <w:highlight w:val="none"/>
        </w:rPr>
        <w:t>约定情形的</w:t>
      </w:r>
      <w:r>
        <w:rPr>
          <w:rFonts w:hint="eastAsia" w:ascii="宋体" w:hAnsi="宋体"/>
          <w:color w:val="auto"/>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11E04471">
      <w:pPr>
        <w:spacing w:line="40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6BD08625">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bCs/>
          <w:color w:val="auto"/>
          <w:sz w:val="24"/>
          <w:highlight w:val="none"/>
        </w:rPr>
        <w:t xml:space="preserve">14. </w:t>
      </w:r>
      <w:r>
        <w:rPr>
          <w:rFonts w:hint="eastAsia"/>
          <w:b/>
          <w:color w:val="auto"/>
          <w:sz w:val="24"/>
          <w:highlight w:val="none"/>
        </w:rPr>
        <w:t>售后</w:t>
      </w:r>
      <w:r>
        <w:rPr>
          <w:rFonts w:hint="eastAsia" w:ascii="宋体" w:hAnsi="宋体"/>
          <w:b/>
          <w:color w:val="auto"/>
          <w:sz w:val="24"/>
          <w:highlight w:val="none"/>
        </w:rPr>
        <w:t>服务</w:t>
      </w:r>
    </w:p>
    <w:p w14:paraId="5A94A7C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7FB631F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3F1D881D">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47FEEB5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cs="宋体"/>
          <w:b/>
          <w:bCs/>
          <w:color w:val="auto"/>
          <w:szCs w:val="15"/>
          <w:highlight w:val="none"/>
        </w:rPr>
        <w:t>【政府采购合同专用条款】</w:t>
      </w:r>
      <w:r>
        <w:rPr>
          <w:rFonts w:hint="eastAsia" w:ascii="宋体" w:hAnsi="宋体"/>
          <w:color w:val="auto"/>
          <w:szCs w:val="21"/>
          <w:highlight w:val="none"/>
        </w:rPr>
        <w:t>约定的期限内对所有的货物实施运行监督、维修，但前提条件是该服务并不能免除乙方在质量保证期内所承担的义务；</w:t>
      </w:r>
    </w:p>
    <w:p w14:paraId="79348405">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（4）在制造商所在地或指定现场就货物的安装、启动、运营、维护、废弃处置等对甲方操作人员进行培训</w:t>
      </w:r>
      <w:r>
        <w:rPr>
          <w:rFonts w:hint="eastAsia" w:ascii="宋体" w:hAnsi="宋体" w:cs="宋体"/>
          <w:color w:val="auto"/>
          <w:szCs w:val="15"/>
          <w:highlight w:val="none"/>
        </w:rPr>
        <w:t>；</w:t>
      </w:r>
    </w:p>
    <w:p w14:paraId="07EAF114">
      <w:pPr>
        <w:widowControl/>
        <w:autoSpaceDE w:val="0"/>
        <w:autoSpaceDN w:val="0"/>
        <w:adjustRightInd w:val="0"/>
        <w:spacing w:line="40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（5）依照法律、行政法规的规定或者按照</w:t>
      </w:r>
      <w:r>
        <w:rPr>
          <w:rFonts w:hint="eastAsia" w:ascii="宋体" w:hAnsi="宋体" w:cs="宋体"/>
          <w:b/>
          <w:bCs/>
          <w:color w:val="auto"/>
          <w:kern w:val="0"/>
          <w:szCs w:val="21"/>
          <w:highlight w:val="none"/>
        </w:rPr>
        <w:t>【政府采购合同专用条款】</w:t>
      </w:r>
      <w:r>
        <w:rPr>
          <w:rFonts w:hint="eastAsia" w:ascii="宋体" w:hAnsi="宋体" w:cs="宋体"/>
          <w:color w:val="auto"/>
          <w:kern w:val="0"/>
          <w:szCs w:val="21"/>
          <w:highlight w:val="none"/>
        </w:rPr>
        <w:t>约定，货物在有效使用年限届满后应予回收的，乙方负有自行或者委托第三人对货物予以回收的义务；</w:t>
      </w:r>
    </w:p>
    <w:p w14:paraId="7B8F7BD0">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（6）</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00D5F962">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2282BB97">
      <w:p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15. 违约责任</w:t>
      </w:r>
    </w:p>
    <w:p w14:paraId="743413B9">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15.1质量瑕疵的违约责任</w:t>
      </w:r>
    </w:p>
    <w:p w14:paraId="73E01A6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乙方提供的产品不符合合同约定的质量标准或存在产品质量缺陷，甲方有权要求乙方根据</w:t>
      </w:r>
      <w:r>
        <w:rPr>
          <w:rFonts w:hint="eastAsia" w:ascii="宋体" w:hAnsi="宋体"/>
          <w:b/>
          <w:color w:val="auto"/>
          <w:szCs w:val="21"/>
          <w:highlight w:val="none"/>
        </w:rPr>
        <w:t>【政府采购合同专用条款】</w:t>
      </w:r>
      <w:r>
        <w:rPr>
          <w:rFonts w:hint="eastAsia" w:ascii="宋体" w:hAnsi="宋体"/>
          <w:bCs/>
          <w:color w:val="auto"/>
          <w:szCs w:val="21"/>
          <w:highlight w:val="none"/>
        </w:rPr>
        <w:t>要求</w:t>
      </w:r>
      <w:r>
        <w:rPr>
          <w:rFonts w:hint="eastAsia" w:ascii="宋体" w:hAnsi="宋体"/>
          <w:color w:val="auto"/>
          <w:szCs w:val="21"/>
          <w:highlight w:val="none"/>
        </w:rPr>
        <w:t>及时修理、重作、更换，并承担由此给甲方造成的损失。</w:t>
      </w:r>
    </w:p>
    <w:p w14:paraId="68640CE4">
      <w:pPr>
        <w:autoSpaceDE w:val="0"/>
        <w:autoSpaceDN w:val="0"/>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15.2 迟延交货的违约责任</w:t>
      </w:r>
    </w:p>
    <w:p w14:paraId="31D3BFA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55FDEA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0B700D4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15.3 迟延支付的违约责任</w:t>
      </w:r>
    </w:p>
    <w:p w14:paraId="791E48DF">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27DF5B3A">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15.4其他违约责任根据项目实际需要按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17808C0B">
      <w:pPr>
        <w:numPr>
          <w:ilvl w:val="0"/>
          <w:numId w:val="10"/>
        </w:num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合同变更、中止与终止</w:t>
      </w:r>
    </w:p>
    <w:p w14:paraId="41BEB258">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16.1合同的变更</w:t>
      </w:r>
    </w:p>
    <w:p w14:paraId="37CD8DD6">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政府采购合同履行中，在不改变合同其他条款的前提下，甲方可以在合同价款10%的范围内追加与合同标的相同的货物，并就此与乙方协商一致后签订补充协议。</w:t>
      </w:r>
    </w:p>
    <w:p w14:paraId="125B9F0A">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16.2合同的中止</w:t>
      </w:r>
    </w:p>
    <w:p w14:paraId="322375E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（1）合同履行过程中因供应商就采购文件、采购过程或结果提起投诉的，甲方认为有必要的，可以中止合同的履行。</w:t>
      </w:r>
    </w:p>
    <w:p w14:paraId="00C966CE">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256789F">
      <w:pPr>
        <w:widowControl/>
        <w:autoSpaceDE w:val="0"/>
        <w:autoSpaceDN w:val="0"/>
        <w:adjustRightInd w:val="0"/>
        <w:spacing w:line="400" w:lineRule="exact"/>
        <w:ind w:firstLine="420" w:firstLineChars="200"/>
        <w:rPr>
          <w:rFonts w:ascii="华文楷体" w:hAnsi="华文楷体" w:eastAsia="华文楷体" w:cs="华文楷体"/>
          <w:color w:val="auto"/>
          <w:kern w:val="0"/>
          <w:szCs w:val="21"/>
          <w:highlight w:val="none"/>
        </w:rPr>
      </w:pPr>
      <w:r>
        <w:rPr>
          <w:rFonts w:hint="eastAsia" w:ascii="宋体" w:hAnsi="宋体" w:cs="宋体"/>
          <w:color w:val="auto"/>
          <w:kern w:val="0"/>
          <w:szCs w:val="21"/>
          <w:highlight w:val="none"/>
        </w:rPr>
        <w:t>（3）乙方分立、合并或者变更住所的，应当及时以书面形式告知甲方。乙方没有及时告知甲方，致使合同履行发生困难的，甲方可以中止合同履行并要求乙方承担由此给甲方造成的损失。</w:t>
      </w:r>
    </w:p>
    <w:p w14:paraId="1C220426">
      <w:pPr>
        <w:snapToGrid w:val="0"/>
        <w:spacing w:line="400" w:lineRule="exact"/>
        <w:ind w:firstLine="420" w:firstLineChars="200"/>
        <w:jc w:val="left"/>
        <w:rPr>
          <w:color w:val="auto"/>
          <w:highlight w:val="none"/>
        </w:rPr>
      </w:pPr>
      <w:r>
        <w:rPr>
          <w:rFonts w:hint="eastAsia" w:ascii="宋体" w:hAnsi="宋体"/>
          <w:color w:val="auto"/>
          <w:szCs w:val="21"/>
          <w:highlight w:val="none"/>
        </w:rPr>
        <w:t>（4）甲方不得以行政区划调整、政府换届、机构或者职能调整以及相关责任人更替为由中止合同。</w:t>
      </w:r>
    </w:p>
    <w:p w14:paraId="475DFA64">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16.3合同的终止</w:t>
      </w:r>
    </w:p>
    <w:p w14:paraId="56789EBB">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6EC925F8">
      <w:pPr>
        <w:snapToGrid w:val="0"/>
        <w:spacing w:line="400" w:lineRule="exact"/>
        <w:ind w:firstLine="420" w:firstLineChars="200"/>
        <w:rPr>
          <w:rFonts w:ascii="宋体" w:hAnsi="宋体" w:cs="宋体"/>
          <w:color w:val="auto"/>
          <w:szCs w:val="21"/>
          <w:highlight w:val="none"/>
        </w:rPr>
      </w:pPr>
      <w:r>
        <w:rPr>
          <w:rFonts w:hint="eastAsia" w:ascii="宋体" w:hAnsi="宋体"/>
          <w:color w:val="auto"/>
          <w:szCs w:val="21"/>
          <w:highlight w:val="none"/>
        </w:rPr>
        <w:t>（2）乙方未按合同约定履行，构成根本性违约的，甲方有权终止合同，</w:t>
      </w:r>
      <w:r>
        <w:rPr>
          <w:rFonts w:hint="eastAsia" w:ascii="宋体" w:hAnsi="宋体" w:cs="宋体"/>
          <w:color w:val="auto"/>
          <w:szCs w:val="21"/>
          <w:highlight w:val="none"/>
        </w:rPr>
        <w:t>并追究乙方的违约责任</w:t>
      </w:r>
      <w:r>
        <w:rPr>
          <w:rFonts w:hint="eastAsia" w:ascii="宋体" w:hAnsi="宋体"/>
          <w:color w:val="auto"/>
          <w:szCs w:val="21"/>
          <w:highlight w:val="none"/>
        </w:rPr>
        <w:t>。</w:t>
      </w:r>
    </w:p>
    <w:p w14:paraId="46F602A9">
      <w:pPr>
        <w:widowControl/>
        <w:autoSpaceDE w:val="0"/>
        <w:autoSpaceDN w:val="0"/>
        <w:adjustRightInd w:val="0"/>
        <w:spacing w:line="400" w:lineRule="exact"/>
        <w:ind w:firstLine="440" w:firstLineChars="200"/>
        <w:jc w:val="left"/>
        <w:rPr>
          <w:rFonts w:ascii="宋体" w:hAnsi="宋体" w:eastAsia="华文楷体" w:cs="华文楷体"/>
          <w:color w:val="auto"/>
          <w:kern w:val="0"/>
          <w:sz w:val="22"/>
          <w:szCs w:val="21"/>
          <w:highlight w:val="none"/>
        </w:rPr>
      </w:pPr>
      <w:r>
        <w:rPr>
          <w:rFonts w:hint="eastAsia" w:ascii="宋体" w:hAnsi="宋体" w:eastAsia="华文楷体" w:cs="华文楷体"/>
          <w:color w:val="auto"/>
          <w:kern w:val="0"/>
          <w:sz w:val="22"/>
          <w:szCs w:val="21"/>
          <w:highlight w:val="none"/>
        </w:rPr>
        <w:t xml:space="preserve">16.4 </w:t>
      </w:r>
      <w:r>
        <w:rPr>
          <w:rFonts w:hint="eastAsia" w:ascii="宋体" w:hAnsi="宋体"/>
          <w:color w:val="auto"/>
          <w:szCs w:val="21"/>
          <w:highlight w:val="none"/>
        </w:rPr>
        <w:t>涉及国家利益、社会公共利益的情形</w:t>
      </w:r>
    </w:p>
    <w:p w14:paraId="13E39E0E">
      <w:pPr>
        <w:widowControl/>
        <w:autoSpaceDE w:val="0"/>
        <w:autoSpaceDN w:val="0"/>
        <w:adjustRightInd w:val="0"/>
        <w:spacing w:line="400" w:lineRule="exact"/>
        <w:ind w:firstLine="420" w:firstLineChars="200"/>
        <w:rPr>
          <w:rFonts w:ascii="华文楷体" w:hAnsi="华文楷体" w:eastAsia="华文楷体" w:cs="华文楷体"/>
          <w:color w:val="auto"/>
          <w:kern w:val="0"/>
          <w:szCs w:val="21"/>
          <w:highlight w:val="none"/>
        </w:rPr>
      </w:pPr>
      <w:r>
        <w:rPr>
          <w:rFonts w:hint="eastAsia" w:ascii="宋体" w:hAnsi="宋体" w:cs="宋体"/>
          <w:color w:val="auto"/>
          <w:kern w:val="0"/>
          <w:szCs w:val="21"/>
          <w:highlight w:val="none"/>
        </w:rPr>
        <w:t>政府采购合同继续履行将损害国家利益和社会公共利益的，双方当事人应当变更、中止或者终止合同。有过错的一方应当承担赔偿责任，双方都有过错的，各自承担相应的责任。</w:t>
      </w:r>
    </w:p>
    <w:p w14:paraId="1B38CC98">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17. 合同分包</w:t>
      </w:r>
    </w:p>
    <w:p w14:paraId="0A93EF73">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3A098B6C">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05022196">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18. 不可抗力</w:t>
      </w:r>
    </w:p>
    <w:p w14:paraId="53E2216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3AB784E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5BAEA88A">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73C3239E">
      <w:pPr>
        <w:autoSpaceDE w:val="0"/>
        <w:autoSpaceDN w:val="0"/>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19. 解决争议的方法</w:t>
      </w:r>
    </w:p>
    <w:p w14:paraId="7DA61BC2">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88A4625">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19.2 选择仲裁的，应在</w:t>
      </w:r>
      <w:r>
        <w:rPr>
          <w:rFonts w:hint="eastAsia" w:ascii="宋体" w:hAnsi="宋体" w:cs="宋体"/>
          <w:b/>
          <w:bCs/>
          <w:color w:val="auto"/>
          <w:kern w:val="0"/>
          <w:szCs w:val="21"/>
          <w:highlight w:val="none"/>
        </w:rPr>
        <w:t>【政府采购合同专用条款】</w:t>
      </w:r>
      <w:r>
        <w:rPr>
          <w:rFonts w:hint="eastAsia" w:ascii="宋体" w:hAnsi="宋体" w:cs="宋体"/>
          <w:color w:val="auto"/>
          <w:kern w:val="0"/>
          <w:szCs w:val="21"/>
          <w:highlight w:val="none"/>
        </w:rPr>
        <w:t>中明确仲裁机构及仲裁地；通过诉讼方式解决的，可以在</w:t>
      </w:r>
      <w:r>
        <w:rPr>
          <w:rFonts w:hint="eastAsia" w:ascii="宋体" w:hAnsi="宋体" w:cs="宋体"/>
          <w:b/>
          <w:bCs/>
          <w:color w:val="auto"/>
          <w:kern w:val="0"/>
          <w:szCs w:val="21"/>
          <w:highlight w:val="none"/>
        </w:rPr>
        <w:t>【政府采购合同专用条款】</w:t>
      </w:r>
      <w:r>
        <w:rPr>
          <w:rFonts w:hint="eastAsia" w:ascii="宋体" w:hAnsi="宋体" w:cs="宋体"/>
          <w:color w:val="auto"/>
          <w:kern w:val="0"/>
          <w:szCs w:val="21"/>
          <w:highlight w:val="none"/>
        </w:rPr>
        <w:t>中进一步约定选择与争议有实际联系的地点的人民法院管辖，但管辖法院的约定不得违反级别管辖和专属管辖的规定。</w:t>
      </w:r>
    </w:p>
    <w:p w14:paraId="207EE8CD">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19.3 如甲乙双方有争议的事项不影响合同其他部分的履行，在争议解决期间，合同其他部分应当继续履行。</w:t>
      </w:r>
    </w:p>
    <w:p w14:paraId="6E1E33DA">
      <w:pPr>
        <w:autoSpaceDE w:val="0"/>
        <w:autoSpaceDN w:val="0"/>
        <w:adjustRightInd w:val="0"/>
        <w:snapToGrid w:val="0"/>
        <w:spacing w:line="400" w:lineRule="exact"/>
        <w:jc w:val="left"/>
        <w:rPr>
          <w:rFonts w:ascii="宋体" w:hAnsi="宋体"/>
          <w:color w:val="auto"/>
          <w:sz w:val="24"/>
          <w:highlight w:val="none"/>
        </w:rPr>
      </w:pPr>
      <w:r>
        <w:rPr>
          <w:rFonts w:hint="eastAsia" w:ascii="宋体" w:hAnsi="宋体"/>
          <w:b/>
          <w:color w:val="auto"/>
          <w:sz w:val="24"/>
          <w:highlight w:val="none"/>
        </w:rPr>
        <w:t>20. 政府采购政策</w:t>
      </w:r>
    </w:p>
    <w:p w14:paraId="1CBF6E2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20.1 </w:t>
      </w:r>
      <w:r>
        <w:rPr>
          <w:rFonts w:hint="eastAsia" w:ascii="宋体" w:hAnsi="宋体" w:cs="宋体"/>
          <w:color w:val="auto"/>
          <w:highlight w:val="none"/>
          <w:lang w:val="en-GB"/>
        </w:rPr>
        <w:t>本合同应当按照规定执行政府采购政策。</w:t>
      </w:r>
    </w:p>
    <w:p w14:paraId="15F8D867">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0.2 本合同依法执行政府采购政策的方式和内容，属于合同履约验收的范围。</w:t>
      </w:r>
      <w:r>
        <w:rPr>
          <w:rFonts w:hint="eastAsia" w:ascii="宋体" w:hAnsi="宋体" w:cs="宋体"/>
          <w:color w:val="auto"/>
          <w:highlight w:val="none"/>
        </w:rPr>
        <w:t>甲乙双方</w:t>
      </w:r>
      <w:r>
        <w:rPr>
          <w:rFonts w:hint="eastAsia" w:ascii="宋体" w:hAnsi="宋体" w:cs="宋体"/>
          <w:color w:val="auto"/>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5B2797C8">
      <w:pPr>
        <w:autoSpaceDE w:val="0"/>
        <w:autoSpaceDN w:val="0"/>
        <w:adjustRightInd w:val="0"/>
        <w:snapToGrid w:val="0"/>
        <w:spacing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9E29270">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21. 法律适用</w:t>
      </w:r>
    </w:p>
    <w:p w14:paraId="3F0792F8">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21.1 本合同的订立、生效、解释、履行及与本合同有关的争议解决，均适用法律、行政法规。</w:t>
      </w:r>
    </w:p>
    <w:p w14:paraId="3557D73C">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21.2 本合同条款与法律、行政法规的强制性规定不一致的，双方当事人应按照法律、行政法规的强制性规定修改本合同的相关条款。</w:t>
      </w:r>
    </w:p>
    <w:p w14:paraId="052E52D3">
      <w:pPr>
        <w:autoSpaceDE w:val="0"/>
        <w:autoSpaceDN w:val="0"/>
        <w:adjustRightInd w:val="0"/>
        <w:snapToGrid w:val="0"/>
        <w:spacing w:line="400" w:lineRule="exact"/>
        <w:jc w:val="left"/>
        <w:rPr>
          <w:rFonts w:ascii="宋体" w:hAnsi="宋体"/>
          <w:b/>
          <w:color w:val="auto"/>
          <w:sz w:val="24"/>
          <w:highlight w:val="none"/>
        </w:rPr>
      </w:pPr>
      <w:r>
        <w:rPr>
          <w:rFonts w:hint="eastAsia" w:ascii="宋体" w:hAnsi="宋体"/>
          <w:b/>
          <w:color w:val="auto"/>
          <w:sz w:val="24"/>
          <w:highlight w:val="none"/>
        </w:rPr>
        <w:t>22. 通知</w:t>
      </w:r>
    </w:p>
    <w:p w14:paraId="7D9B332E">
      <w:pPr>
        <w:widowControl/>
        <w:autoSpaceDE w:val="0"/>
        <w:autoSpaceDN w:val="0"/>
        <w:adjustRightInd w:val="0"/>
        <w:spacing w:line="40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22.1 本合同任何一方向对方发出的通知、信件、数据电文等，应当发送至本合同第一部分《政府采购合同协议书》所约定的通讯地址、联系人、联系电话或电子邮箱。</w:t>
      </w:r>
    </w:p>
    <w:p w14:paraId="65DECEC0">
      <w:pPr>
        <w:widowControl/>
        <w:autoSpaceDE w:val="0"/>
        <w:autoSpaceDN w:val="0"/>
        <w:adjustRightInd w:val="0"/>
        <w:spacing w:line="400" w:lineRule="exact"/>
        <w:rPr>
          <w:rFonts w:ascii="华文楷体" w:hAnsi="华文楷体" w:eastAsia="华文楷体" w:cs="华文楷体"/>
          <w:color w:val="auto"/>
          <w:kern w:val="0"/>
          <w:szCs w:val="21"/>
          <w:highlight w:val="none"/>
        </w:rPr>
      </w:pPr>
      <w:r>
        <w:rPr>
          <w:rFonts w:hint="eastAsia" w:ascii="宋体" w:hAnsi="宋体" w:cs="宋体"/>
          <w:color w:val="auto"/>
          <w:kern w:val="0"/>
          <w:szCs w:val="21"/>
          <w:highlight w:val="none"/>
        </w:rPr>
        <w:t xml:space="preserve">    22.2 一方当事人变更名称、住所、联系人、联系电话或电子邮箱等信息的，应当在变更后3日内及时书面通知对方，对方实际收到变更通知前的送达仍为有效送达。</w:t>
      </w:r>
    </w:p>
    <w:p w14:paraId="2CB78230">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22.3本合同一方给另一方的通知均应采用书面形式，传真或快递送到本合同中规定的对方的地址和办理签收手续。</w:t>
      </w:r>
    </w:p>
    <w:p w14:paraId="5332C49F">
      <w:pPr>
        <w:adjustRightInd w:val="0"/>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22.4通知以送达之日或通知书中规定的生效之日起生效，两者中以较迟之日为准。</w:t>
      </w:r>
    </w:p>
    <w:p w14:paraId="2501FC8E">
      <w:pPr>
        <w:numPr>
          <w:ilvl w:val="0"/>
          <w:numId w:val="11"/>
        </w:numPr>
        <w:adjustRightInd w:val="0"/>
        <w:snapToGrid w:val="0"/>
        <w:spacing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61FAF4AE">
      <w:pPr>
        <w:adjustRightInd w:val="0"/>
        <w:snapToGrid w:val="0"/>
        <w:spacing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23.1合同未尽事项见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0A7ABC24">
      <w:pPr>
        <w:adjustRightInd w:val="0"/>
        <w:snapToGrid w:val="0"/>
        <w:spacing w:line="400" w:lineRule="exact"/>
        <w:jc w:val="left"/>
        <w:rPr>
          <w:rFonts w:ascii="黑体" w:hAnsi="华文中宋" w:eastAsia="黑体"/>
          <w:color w:val="auto"/>
          <w:sz w:val="28"/>
          <w:szCs w:val="28"/>
          <w:highlight w:val="none"/>
        </w:rPr>
      </w:pPr>
      <w:r>
        <w:rPr>
          <w:rFonts w:hint="eastAsia" w:ascii="宋体" w:hAnsi="宋体"/>
          <w:bCs/>
          <w:color w:val="auto"/>
          <w:szCs w:val="21"/>
          <w:highlight w:val="none"/>
        </w:rPr>
        <w:t xml:space="preserve">    23.2 合同附件与合同正文具有同等的法律效力。</w:t>
      </w:r>
    </w:p>
    <w:p w14:paraId="02A0E373">
      <w:pPr>
        <w:adjustRightInd w:val="0"/>
        <w:snapToGrid w:val="0"/>
        <w:jc w:val="center"/>
        <w:rPr>
          <w:rFonts w:ascii="黑体" w:hAnsi="华文中宋" w:eastAsia="黑体"/>
          <w:color w:val="auto"/>
          <w:sz w:val="28"/>
          <w:szCs w:val="28"/>
          <w:highlight w:val="none"/>
        </w:rPr>
      </w:pPr>
      <w:r>
        <w:rPr>
          <w:rFonts w:hint="eastAsia" w:ascii="黑体" w:hAnsi="华文中宋" w:eastAsia="黑体"/>
          <w:color w:val="auto"/>
          <w:sz w:val="28"/>
          <w:szCs w:val="28"/>
          <w:highlight w:val="none"/>
        </w:rPr>
        <w:br w:type="page"/>
      </w:r>
      <w:r>
        <w:rPr>
          <w:rFonts w:hint="eastAsia" w:ascii="黑体" w:hAnsi="华文中宋" w:eastAsia="黑体"/>
          <w:color w:val="auto"/>
          <w:sz w:val="28"/>
          <w:szCs w:val="28"/>
          <w:highlight w:val="none"/>
        </w:rPr>
        <w:t>第三节 政府采购合同专用条款</w:t>
      </w:r>
    </w:p>
    <w:tbl>
      <w:tblPr>
        <w:tblStyle w:val="48"/>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E012D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3B75085">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45458DD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第1.2（6）项</w:t>
            </w:r>
          </w:p>
        </w:tc>
        <w:tc>
          <w:tcPr>
            <w:tcW w:w="1742" w:type="dxa"/>
            <w:noWrap w:val="0"/>
            <w:vAlign w:val="center"/>
          </w:tcPr>
          <w:p w14:paraId="61794036">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联合体具体要求</w:t>
            </w:r>
          </w:p>
        </w:tc>
        <w:tc>
          <w:tcPr>
            <w:tcW w:w="5170" w:type="dxa"/>
            <w:noWrap w:val="0"/>
            <w:vAlign w:val="center"/>
          </w:tcPr>
          <w:p w14:paraId="435DC1CF">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本项目不接受联合体</w:t>
            </w:r>
          </w:p>
        </w:tc>
      </w:tr>
      <w:tr w14:paraId="2EC75F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noWrap w:val="0"/>
            <w:vAlign w:val="center"/>
          </w:tcPr>
          <w:p w14:paraId="75746639">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3ED02A3B">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第1.2（7）项</w:t>
            </w:r>
          </w:p>
        </w:tc>
        <w:tc>
          <w:tcPr>
            <w:tcW w:w="1742" w:type="dxa"/>
            <w:noWrap w:val="0"/>
            <w:vAlign w:val="center"/>
          </w:tcPr>
          <w:p w14:paraId="2B8F188B">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其他术语解释</w:t>
            </w:r>
          </w:p>
        </w:tc>
        <w:tc>
          <w:tcPr>
            <w:tcW w:w="5170" w:type="dxa"/>
            <w:noWrap w:val="0"/>
            <w:vAlign w:val="center"/>
          </w:tcPr>
          <w:p w14:paraId="4D178E38">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 xml:space="preserve"> </w:t>
            </w:r>
          </w:p>
        </w:tc>
      </w:tr>
      <w:tr w14:paraId="4B6571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B5B644A">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525710F0">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第4.4款</w:t>
            </w:r>
          </w:p>
        </w:tc>
        <w:tc>
          <w:tcPr>
            <w:tcW w:w="1742" w:type="dxa"/>
            <w:noWrap w:val="0"/>
            <w:vAlign w:val="center"/>
          </w:tcPr>
          <w:p w14:paraId="24D00FA7">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履约验收中甲方提出异议或作出说明的期限</w:t>
            </w:r>
          </w:p>
        </w:tc>
        <w:tc>
          <w:tcPr>
            <w:tcW w:w="5170" w:type="dxa"/>
            <w:noWrap w:val="0"/>
            <w:vAlign w:val="center"/>
          </w:tcPr>
          <w:p w14:paraId="6DFC0041">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60个日历天</w:t>
            </w:r>
          </w:p>
        </w:tc>
      </w:tr>
      <w:tr w14:paraId="39CD83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DB1E6ED">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37C2CD70">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第4.6款</w:t>
            </w:r>
          </w:p>
        </w:tc>
        <w:tc>
          <w:tcPr>
            <w:tcW w:w="1742" w:type="dxa"/>
            <w:noWrap w:val="0"/>
            <w:vAlign w:val="center"/>
          </w:tcPr>
          <w:p w14:paraId="2AB6015E">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约定甲方承担的其他义务和责任</w:t>
            </w:r>
          </w:p>
        </w:tc>
        <w:tc>
          <w:tcPr>
            <w:tcW w:w="5170" w:type="dxa"/>
            <w:noWrap w:val="0"/>
            <w:vAlign w:val="center"/>
          </w:tcPr>
          <w:p w14:paraId="6ECE5E60">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 xml:space="preserve"> </w:t>
            </w:r>
          </w:p>
        </w:tc>
      </w:tr>
      <w:tr w14:paraId="515A01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07B35665">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28BFB833">
            <w:pPr>
              <w:keepNext w:val="0"/>
              <w:keepLines w:val="0"/>
              <w:suppressLineNumbers w:val="0"/>
              <w:snapToGrid w:val="0"/>
              <w:spacing w:before="0" w:beforeAutospacing="0" w:after="0" w:afterAutospacing="0"/>
              <w:ind w:left="0" w:right="0"/>
              <w:jc w:val="center"/>
              <w:rPr>
                <w:rFonts w:hint="default" w:ascii="Calibri" w:hAnsi="Calibri" w:cs="Times New Roman"/>
                <w:color w:val="auto"/>
                <w:highlight w:val="none"/>
              </w:rPr>
            </w:pPr>
            <w:r>
              <w:rPr>
                <w:rFonts w:hint="eastAsia" w:ascii="宋体" w:hAnsi="宋体" w:cs="Times New Roman"/>
                <w:color w:val="auto"/>
                <w:szCs w:val="21"/>
                <w:highlight w:val="none"/>
              </w:rPr>
              <w:t>第5.4款</w:t>
            </w:r>
          </w:p>
        </w:tc>
        <w:tc>
          <w:tcPr>
            <w:tcW w:w="1742" w:type="dxa"/>
            <w:noWrap w:val="0"/>
            <w:vAlign w:val="center"/>
          </w:tcPr>
          <w:p w14:paraId="41F46C58">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约定乙方承担的其他义务和责任</w:t>
            </w:r>
          </w:p>
        </w:tc>
        <w:tc>
          <w:tcPr>
            <w:tcW w:w="5170" w:type="dxa"/>
            <w:noWrap w:val="0"/>
            <w:vAlign w:val="center"/>
          </w:tcPr>
          <w:p w14:paraId="6A2ED74F">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 xml:space="preserve"> </w:t>
            </w:r>
          </w:p>
        </w:tc>
      </w:tr>
      <w:tr w14:paraId="051C59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56694F5">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631AC0A5">
            <w:pPr>
              <w:keepNext w:val="0"/>
              <w:keepLines w:val="0"/>
              <w:suppressLineNumbers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第6.1款</w:t>
            </w:r>
          </w:p>
        </w:tc>
        <w:tc>
          <w:tcPr>
            <w:tcW w:w="1742" w:type="dxa"/>
            <w:noWrap w:val="0"/>
            <w:vAlign w:val="center"/>
          </w:tcPr>
          <w:p w14:paraId="752EF1E1">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履行合同义务的顺序</w:t>
            </w:r>
          </w:p>
        </w:tc>
        <w:tc>
          <w:tcPr>
            <w:tcW w:w="5170" w:type="dxa"/>
            <w:noWrap w:val="0"/>
            <w:vAlign w:val="center"/>
          </w:tcPr>
          <w:p w14:paraId="3C10E3F6">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 xml:space="preserve"> </w:t>
            </w:r>
          </w:p>
        </w:tc>
      </w:tr>
      <w:tr w14:paraId="2FBDDE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noWrap w:val="0"/>
            <w:vAlign w:val="center"/>
          </w:tcPr>
          <w:p w14:paraId="4D70ABB3">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790DFB53">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第7.1款</w:t>
            </w:r>
          </w:p>
        </w:tc>
        <w:tc>
          <w:tcPr>
            <w:tcW w:w="1742" w:type="dxa"/>
            <w:noWrap w:val="0"/>
            <w:vAlign w:val="center"/>
          </w:tcPr>
          <w:p w14:paraId="20468D80">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包装特殊要求</w:t>
            </w:r>
          </w:p>
        </w:tc>
        <w:tc>
          <w:tcPr>
            <w:tcW w:w="5170" w:type="dxa"/>
            <w:noWrap w:val="0"/>
            <w:vAlign w:val="center"/>
          </w:tcPr>
          <w:p w14:paraId="2F24B7F1">
            <w:pPr>
              <w:keepNext w:val="0"/>
              <w:keepLines w:val="0"/>
              <w:suppressLineNumbers w:val="0"/>
              <w:spacing w:before="0" w:beforeAutospacing="0" w:after="0" w:afterAutospacing="0"/>
              <w:ind w:left="0" w:right="0"/>
              <w:rPr>
                <w:rFonts w:hint="default" w:ascii="Calibri" w:hAnsi="Calibri" w:cs="Times New Roman"/>
                <w:color w:val="auto"/>
                <w:highlight w:val="none"/>
              </w:rPr>
            </w:pPr>
            <w:r>
              <w:rPr>
                <w:rFonts w:hint="eastAsia" w:ascii="宋体" w:hAnsi="宋体" w:cs="Times New Roman"/>
                <w:color w:val="auto"/>
                <w:szCs w:val="21"/>
                <w:highlight w:val="none"/>
              </w:rPr>
              <w:t xml:space="preserve"> </w:t>
            </w:r>
          </w:p>
        </w:tc>
      </w:tr>
      <w:tr w14:paraId="4AD952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noWrap w:val="0"/>
            <w:vAlign w:val="center"/>
          </w:tcPr>
          <w:p w14:paraId="157540F3">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p>
        </w:tc>
        <w:tc>
          <w:tcPr>
            <w:tcW w:w="1742" w:type="dxa"/>
            <w:noWrap w:val="0"/>
            <w:vAlign w:val="center"/>
          </w:tcPr>
          <w:p w14:paraId="492F20FB">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指定现场</w:t>
            </w:r>
          </w:p>
        </w:tc>
        <w:tc>
          <w:tcPr>
            <w:tcW w:w="5170" w:type="dxa"/>
            <w:noWrap w:val="0"/>
            <w:vAlign w:val="center"/>
          </w:tcPr>
          <w:p w14:paraId="09B36D4C">
            <w:pPr>
              <w:keepNext w:val="0"/>
              <w:keepLines w:val="0"/>
              <w:suppressLineNumbers w:val="0"/>
              <w:spacing w:before="0" w:beforeAutospacing="0" w:after="0" w:afterAutospacing="0"/>
              <w:ind w:left="0" w:right="0"/>
              <w:rPr>
                <w:rFonts w:hint="default" w:ascii="Calibri" w:hAnsi="Calibri" w:cs="Times New Roman"/>
                <w:color w:val="auto"/>
                <w:highlight w:val="none"/>
              </w:rPr>
            </w:pPr>
            <w:r>
              <w:rPr>
                <w:rFonts w:hint="eastAsia" w:ascii="宋体" w:hAnsi="宋体" w:cs="Times New Roman"/>
                <w:color w:val="auto"/>
                <w:szCs w:val="21"/>
                <w:highlight w:val="none"/>
              </w:rPr>
              <w:t xml:space="preserve"> </w:t>
            </w:r>
          </w:p>
        </w:tc>
      </w:tr>
      <w:tr w14:paraId="6C6502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noWrap w:val="0"/>
            <w:vAlign w:val="center"/>
          </w:tcPr>
          <w:p w14:paraId="35F417F1">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5437391B">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第7.2款</w:t>
            </w:r>
          </w:p>
        </w:tc>
        <w:tc>
          <w:tcPr>
            <w:tcW w:w="1742" w:type="dxa"/>
            <w:noWrap w:val="0"/>
            <w:vAlign w:val="center"/>
          </w:tcPr>
          <w:p w14:paraId="5D0DCCED">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运输特殊要求</w:t>
            </w:r>
          </w:p>
        </w:tc>
        <w:tc>
          <w:tcPr>
            <w:tcW w:w="5170" w:type="dxa"/>
            <w:noWrap w:val="0"/>
            <w:vAlign w:val="center"/>
          </w:tcPr>
          <w:p w14:paraId="17A5CCA2">
            <w:pPr>
              <w:keepNext w:val="0"/>
              <w:keepLines w:val="0"/>
              <w:suppressLineNumbers w:val="0"/>
              <w:spacing w:before="0" w:beforeAutospacing="0" w:after="0" w:afterAutospacing="0"/>
              <w:ind w:left="0" w:right="0"/>
              <w:rPr>
                <w:rFonts w:hint="default" w:ascii="Calibri" w:hAnsi="Calibri" w:cs="Times New Roman"/>
                <w:color w:val="auto"/>
                <w:highlight w:val="none"/>
              </w:rPr>
            </w:pPr>
            <w:r>
              <w:rPr>
                <w:rFonts w:hint="eastAsia" w:ascii="宋体" w:hAnsi="宋体" w:cs="Times New Roman"/>
                <w:color w:val="auto"/>
                <w:szCs w:val="21"/>
                <w:highlight w:val="none"/>
              </w:rPr>
              <w:t>无</w:t>
            </w:r>
          </w:p>
        </w:tc>
      </w:tr>
      <w:tr w14:paraId="2DA7FC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noWrap w:val="0"/>
            <w:vAlign w:val="center"/>
          </w:tcPr>
          <w:p w14:paraId="40E22E7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503EFD5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第7.3款</w:t>
            </w:r>
          </w:p>
        </w:tc>
        <w:tc>
          <w:tcPr>
            <w:tcW w:w="1742" w:type="dxa"/>
            <w:noWrap w:val="0"/>
            <w:vAlign w:val="center"/>
          </w:tcPr>
          <w:p w14:paraId="51383CB5">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保险要求</w:t>
            </w:r>
          </w:p>
        </w:tc>
        <w:tc>
          <w:tcPr>
            <w:tcW w:w="5170" w:type="dxa"/>
            <w:noWrap w:val="0"/>
            <w:vAlign w:val="center"/>
          </w:tcPr>
          <w:p w14:paraId="084C1FA8">
            <w:pPr>
              <w:keepNext w:val="0"/>
              <w:keepLines w:val="0"/>
              <w:suppressLineNumbers w:val="0"/>
              <w:spacing w:before="0" w:beforeAutospacing="0" w:after="0" w:afterAutospacing="0"/>
              <w:ind w:left="0" w:right="0"/>
              <w:rPr>
                <w:rFonts w:hint="default" w:ascii="Calibri" w:hAnsi="Calibri" w:cs="Times New Roman"/>
                <w:color w:val="auto"/>
                <w:highlight w:val="none"/>
              </w:rPr>
            </w:pPr>
            <w:r>
              <w:rPr>
                <w:rFonts w:hint="eastAsia" w:ascii="宋体" w:hAnsi="宋体" w:cs="Times New Roman"/>
                <w:color w:val="auto"/>
                <w:szCs w:val="21"/>
                <w:highlight w:val="none"/>
              </w:rPr>
              <w:t xml:space="preserve">  </w:t>
            </w:r>
          </w:p>
        </w:tc>
      </w:tr>
      <w:tr w14:paraId="67CE07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33AB658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0356C71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第8.2（1）项</w:t>
            </w:r>
          </w:p>
        </w:tc>
        <w:tc>
          <w:tcPr>
            <w:tcW w:w="1742" w:type="dxa"/>
            <w:noWrap w:val="0"/>
            <w:vAlign w:val="center"/>
          </w:tcPr>
          <w:p w14:paraId="6E42C6DB">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质量保证期</w:t>
            </w:r>
          </w:p>
        </w:tc>
        <w:tc>
          <w:tcPr>
            <w:tcW w:w="5170" w:type="dxa"/>
            <w:noWrap w:val="0"/>
            <w:vAlign w:val="center"/>
          </w:tcPr>
          <w:p w14:paraId="087A2AA9">
            <w:pPr>
              <w:keepNext w:val="0"/>
              <w:keepLines w:val="0"/>
              <w:suppressLineNumbers w:val="0"/>
              <w:autoSpaceDE w:val="0"/>
              <w:autoSpaceDN w:val="0"/>
              <w:adjustRightInd w:val="0"/>
              <w:snapToGrid w:val="0"/>
              <w:spacing w:before="0" w:beforeAutospacing="0" w:after="0" w:afterAutospacing="0"/>
              <w:ind w:left="0" w:right="0" w:firstLine="210" w:firstLineChars="100"/>
              <w:jc w:val="left"/>
              <w:rPr>
                <w:rFonts w:hint="default" w:ascii="宋体" w:hAnsi="宋体" w:cs="Times New Roman"/>
                <w:color w:val="auto"/>
                <w:szCs w:val="21"/>
                <w:highlight w:val="none"/>
              </w:rPr>
            </w:pPr>
            <w:r>
              <w:rPr>
                <w:rFonts w:hint="eastAsia" w:ascii="宋体" w:hAnsi="宋体" w:cs="Times New Roman"/>
                <w:color w:val="auto"/>
                <w:szCs w:val="21"/>
                <w:highlight w:val="none"/>
              </w:rPr>
              <w:t>年</w:t>
            </w:r>
          </w:p>
        </w:tc>
      </w:tr>
      <w:tr w14:paraId="027DFE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38A6B06">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325EB630">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第8.2（3）项</w:t>
            </w:r>
          </w:p>
        </w:tc>
        <w:tc>
          <w:tcPr>
            <w:tcW w:w="1742" w:type="dxa"/>
            <w:noWrap w:val="0"/>
            <w:vAlign w:val="center"/>
          </w:tcPr>
          <w:p w14:paraId="28061FD9">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货物质量缺陷</w:t>
            </w:r>
          </w:p>
          <w:p w14:paraId="0378FEB0">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响应时间</w:t>
            </w:r>
          </w:p>
        </w:tc>
        <w:tc>
          <w:tcPr>
            <w:tcW w:w="5170" w:type="dxa"/>
            <w:noWrap w:val="0"/>
            <w:vAlign w:val="center"/>
          </w:tcPr>
          <w:p w14:paraId="230338F4">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7个日历天</w:t>
            </w:r>
          </w:p>
        </w:tc>
      </w:tr>
      <w:tr w14:paraId="352A11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416D1E0A">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第二节</w:t>
            </w:r>
          </w:p>
          <w:p w14:paraId="07142356">
            <w:pPr>
              <w:keepNext w:val="0"/>
              <w:keepLines w:val="0"/>
              <w:widowControl/>
              <w:suppressLineNumbers w:val="0"/>
              <w:autoSpaceDE w:val="0"/>
              <w:autoSpaceDN w:val="0"/>
              <w:adjustRightInd w:val="0"/>
              <w:spacing w:before="0" w:beforeAutospacing="0" w:after="0" w:afterAutospacing="0" w:line="400" w:lineRule="exact"/>
              <w:ind w:left="0" w:right="0"/>
              <w:jc w:val="center"/>
              <w:rPr>
                <w:rFonts w:hint="default" w:ascii="华文楷体" w:hAnsi="华文楷体" w:eastAsia="华文楷体" w:cs="华文楷体"/>
                <w:color w:val="auto"/>
                <w:kern w:val="0"/>
                <w:sz w:val="22"/>
                <w:szCs w:val="21"/>
                <w:highlight w:val="none"/>
              </w:rPr>
            </w:pPr>
            <w:r>
              <w:rPr>
                <w:rFonts w:hint="eastAsia" w:ascii="宋体" w:hAnsi="宋体" w:cs="宋体"/>
                <w:color w:val="auto"/>
                <w:kern w:val="0"/>
                <w:sz w:val="22"/>
                <w:szCs w:val="21"/>
                <w:highlight w:val="none"/>
              </w:rPr>
              <w:t>第11.1款</w:t>
            </w:r>
          </w:p>
        </w:tc>
        <w:tc>
          <w:tcPr>
            <w:tcW w:w="1742" w:type="dxa"/>
            <w:noWrap w:val="0"/>
            <w:vAlign w:val="center"/>
          </w:tcPr>
          <w:p w14:paraId="20F8A5B6">
            <w:pPr>
              <w:keepNext w:val="0"/>
              <w:keepLines w:val="0"/>
              <w:suppressLineNumbers w:val="0"/>
              <w:adjustRightInd w:val="0"/>
              <w:snapToGrid w:val="0"/>
              <w:spacing w:before="0" w:beforeAutospacing="0" w:after="0" w:afterAutospacing="0"/>
              <w:ind w:left="0" w:right="0"/>
              <w:rPr>
                <w:rFonts w:hint="default" w:ascii="宋体" w:hAnsi="宋体" w:cs="Times New Roman"/>
                <w:color w:val="auto"/>
                <w:szCs w:val="21"/>
                <w:highlight w:val="none"/>
              </w:rPr>
            </w:pPr>
            <w:r>
              <w:rPr>
                <w:rFonts w:hint="eastAsia" w:ascii="宋体" w:hAnsi="宋体" w:cs="Times New Roman"/>
                <w:color w:val="auto"/>
                <w:szCs w:val="21"/>
                <w:highlight w:val="none"/>
              </w:rPr>
              <w:t>其他应当保密的信息</w:t>
            </w:r>
          </w:p>
        </w:tc>
        <w:tc>
          <w:tcPr>
            <w:tcW w:w="5170" w:type="dxa"/>
            <w:noWrap w:val="0"/>
            <w:vAlign w:val="center"/>
          </w:tcPr>
          <w:p w14:paraId="38547C8C">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无</w:t>
            </w:r>
          </w:p>
        </w:tc>
      </w:tr>
      <w:tr w14:paraId="58BCF8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7B90E385">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19A40869">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第12.2款</w:t>
            </w:r>
          </w:p>
        </w:tc>
        <w:tc>
          <w:tcPr>
            <w:tcW w:w="1742" w:type="dxa"/>
            <w:noWrap w:val="0"/>
            <w:vAlign w:val="center"/>
          </w:tcPr>
          <w:p w14:paraId="33654982">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合同价款支付时间</w:t>
            </w:r>
          </w:p>
        </w:tc>
        <w:tc>
          <w:tcPr>
            <w:tcW w:w="5170" w:type="dxa"/>
            <w:noWrap w:val="0"/>
            <w:vAlign w:val="center"/>
          </w:tcPr>
          <w:p w14:paraId="7A536FFF">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Times New Roman"/>
                <w:color w:val="auto"/>
                <w:szCs w:val="21"/>
                <w:highlight w:val="none"/>
              </w:rPr>
            </w:pPr>
            <w:r>
              <w:rPr>
                <w:rFonts w:hint="eastAsia" w:ascii="宋体" w:hAnsi="宋体" w:cs="Times New Roman"/>
                <w:color w:val="auto"/>
                <w:highlight w:val="none"/>
              </w:rPr>
              <w:t>甲方与乙方供货合同签订且货到甲方指定地点后，提交所在市卫健委汇总后报安徽省卫生健康委员会，由安徽省卫生健康委员会统一支付超长期国债资金（以下简称“到货款”），货物安装、验收合格，甲方在收到发票后向乙方支付剩余款项（以下简称“尾款”），安徽省卫生健康委员会支付的到货款与甲方支付的尾款之和为分合同合同总额。（如果招标公告附件中列明的甲方“超长期国债资金付款金额”不小于分合同合同总额的90%，则安徽省卫生健康委员会支付的到货款为分合同合同总额的90%，甲方支付的尾款为分合同合同总额的10%；如果招标公告附件中列明的甲方“超长期国债资金付款金额”小于分合同合同总额的90%，则安徽省卫生健康委员会支付的到货款为招标公告附件中列明的“超长期国债资金付款金额”，甲方支付的尾款为分合同合同总额扣除招标公告附件中列明的“超长期国债资金付款金额”的剩余金额。）</w:t>
            </w:r>
          </w:p>
        </w:tc>
      </w:tr>
      <w:tr w14:paraId="581540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noWrap w:val="0"/>
            <w:vAlign w:val="center"/>
          </w:tcPr>
          <w:p w14:paraId="3820CD22">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476BAA3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第13.2款</w:t>
            </w:r>
          </w:p>
        </w:tc>
        <w:tc>
          <w:tcPr>
            <w:tcW w:w="1742" w:type="dxa"/>
            <w:noWrap w:val="0"/>
            <w:vAlign w:val="center"/>
          </w:tcPr>
          <w:p w14:paraId="4CF0658F">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履约保证金不予退还的情形</w:t>
            </w:r>
          </w:p>
        </w:tc>
        <w:tc>
          <w:tcPr>
            <w:tcW w:w="5170" w:type="dxa"/>
            <w:noWrap w:val="0"/>
            <w:vAlign w:val="center"/>
          </w:tcPr>
          <w:p w14:paraId="1EF366D8">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p>
        </w:tc>
      </w:tr>
      <w:tr w14:paraId="368EFB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72815E7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759C377F">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第13.3款</w:t>
            </w:r>
          </w:p>
        </w:tc>
        <w:tc>
          <w:tcPr>
            <w:tcW w:w="1742" w:type="dxa"/>
            <w:noWrap w:val="0"/>
            <w:vAlign w:val="center"/>
          </w:tcPr>
          <w:p w14:paraId="793BB5A0">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履约保证金退还时间及逾期退还的违约金</w:t>
            </w:r>
          </w:p>
        </w:tc>
        <w:tc>
          <w:tcPr>
            <w:tcW w:w="5170" w:type="dxa"/>
            <w:noWrap w:val="0"/>
            <w:vAlign w:val="center"/>
          </w:tcPr>
          <w:p w14:paraId="13DB7092">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30个日历天，违约金： 。</w:t>
            </w:r>
          </w:p>
        </w:tc>
      </w:tr>
      <w:tr w14:paraId="7F408D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3B833E1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464C19B0">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第14.1（3）项</w:t>
            </w:r>
          </w:p>
        </w:tc>
        <w:tc>
          <w:tcPr>
            <w:tcW w:w="1742" w:type="dxa"/>
            <w:noWrap w:val="0"/>
            <w:vAlign w:val="center"/>
          </w:tcPr>
          <w:p w14:paraId="5D06E5D5">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运行监督、维修期限</w:t>
            </w:r>
          </w:p>
        </w:tc>
        <w:tc>
          <w:tcPr>
            <w:tcW w:w="5170" w:type="dxa"/>
            <w:noWrap w:val="0"/>
            <w:vAlign w:val="center"/>
          </w:tcPr>
          <w:p w14:paraId="28E57BA6">
            <w:pPr>
              <w:keepNext w:val="0"/>
              <w:keepLines w:val="0"/>
              <w:suppressLineNumbers w:val="0"/>
              <w:adjustRightInd w:val="0"/>
              <w:snapToGrid w:val="0"/>
              <w:spacing w:before="0" w:beforeAutospacing="0" w:after="0" w:afterAutospacing="0"/>
              <w:ind w:left="0" w:right="0"/>
              <w:jc w:val="left"/>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与质保期一致</w:t>
            </w:r>
          </w:p>
        </w:tc>
      </w:tr>
      <w:tr w14:paraId="775E0D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noWrap w:val="0"/>
            <w:vAlign w:val="center"/>
          </w:tcPr>
          <w:p w14:paraId="19D46A01">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6F228DCF">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第14.1（5）项</w:t>
            </w:r>
          </w:p>
        </w:tc>
        <w:tc>
          <w:tcPr>
            <w:tcW w:w="1742" w:type="dxa"/>
            <w:noWrap w:val="0"/>
            <w:vAlign w:val="center"/>
          </w:tcPr>
          <w:p w14:paraId="04A46A05">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货物回收的约定</w:t>
            </w:r>
          </w:p>
        </w:tc>
        <w:tc>
          <w:tcPr>
            <w:tcW w:w="5170" w:type="dxa"/>
            <w:noWrap w:val="0"/>
            <w:vAlign w:val="center"/>
          </w:tcPr>
          <w:p w14:paraId="2C166B2A">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不涉及</w:t>
            </w:r>
          </w:p>
        </w:tc>
      </w:tr>
      <w:tr w14:paraId="332657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167310BA">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16C6A1A7">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第14.1（6）项</w:t>
            </w:r>
          </w:p>
        </w:tc>
        <w:tc>
          <w:tcPr>
            <w:tcW w:w="1742" w:type="dxa"/>
            <w:noWrap w:val="0"/>
            <w:vAlign w:val="center"/>
          </w:tcPr>
          <w:p w14:paraId="0255266E">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乙方提供的其他服务</w:t>
            </w:r>
          </w:p>
        </w:tc>
        <w:tc>
          <w:tcPr>
            <w:tcW w:w="5170" w:type="dxa"/>
            <w:noWrap w:val="0"/>
            <w:vAlign w:val="center"/>
          </w:tcPr>
          <w:p w14:paraId="024B8B50">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 xml:space="preserve"> </w:t>
            </w:r>
          </w:p>
        </w:tc>
      </w:tr>
      <w:tr w14:paraId="1C0ECD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0CDA3B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465C4E96">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第15.1款</w:t>
            </w:r>
          </w:p>
        </w:tc>
        <w:tc>
          <w:tcPr>
            <w:tcW w:w="1742" w:type="dxa"/>
            <w:noWrap w:val="0"/>
            <w:vAlign w:val="center"/>
          </w:tcPr>
          <w:p w14:paraId="7925B236">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修理、重作、更换相关具体规定</w:t>
            </w:r>
          </w:p>
        </w:tc>
        <w:tc>
          <w:tcPr>
            <w:tcW w:w="5170" w:type="dxa"/>
            <w:noWrap w:val="0"/>
            <w:vAlign w:val="center"/>
          </w:tcPr>
          <w:p w14:paraId="31328FAF">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乙方交货不符合合同质量标准，乙方必须重新提供符合质量标准的产品，由此造成的误期赔偿费按照前款约定执行。如卖方在甲方规定的时间内未能提供符合质量标准的产品，甲方有权终止合同，提请政府采购监管部门将乙方列入不良行为记录名单，在一至三年内禁止参加政府采购活动，同时要求入围供应商终止与卖方的采购协议。</w:t>
            </w:r>
          </w:p>
        </w:tc>
      </w:tr>
      <w:tr w14:paraId="17614E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2363485B">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2563528C">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第15.2（2）项</w:t>
            </w:r>
          </w:p>
        </w:tc>
        <w:tc>
          <w:tcPr>
            <w:tcW w:w="1742" w:type="dxa"/>
            <w:noWrap w:val="0"/>
            <w:vAlign w:val="center"/>
          </w:tcPr>
          <w:p w14:paraId="09BB6A21">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迟延交货赔偿费</w:t>
            </w:r>
          </w:p>
        </w:tc>
        <w:tc>
          <w:tcPr>
            <w:tcW w:w="5170" w:type="dxa"/>
            <w:noWrap w:val="0"/>
            <w:vAlign w:val="center"/>
          </w:tcPr>
          <w:p w14:paraId="59C45132">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（一）乙方供货期超过合同约定供货期限。如果乙方由于自身的原因未能按期履行完合同，乙方应给予甲方经济上的赔偿。其标准为按每延期一周收取合同金额的 0.05%，但误期赔偿费总额不得超过合同总额的 30%。</w:t>
            </w:r>
          </w:p>
          <w:p w14:paraId="68874BB3">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u w:val="single"/>
              </w:rPr>
            </w:pPr>
            <w:r>
              <w:rPr>
                <w:rFonts w:hint="eastAsia" w:ascii="宋体" w:hAnsi="宋体" w:cs="Times New Roman"/>
                <w:color w:val="auto"/>
                <w:szCs w:val="21"/>
                <w:highlight w:val="none"/>
              </w:rPr>
              <w:t>（二）乙方供货期内未能交货。乙方在履行合同过程中，如果遇到不能按时交货情况，应及时以书面形式将不能按期履行合同的理由、延误的时间通知甲方。甲方有权决定是否延长合同的履行时间或终止合同。如甲方同意延长合同的履行时间，乙方必须在甲方规定的时间内提供符合质量标准的产品，由此造成的误期赔偿费按照前款约定执行。</w:t>
            </w:r>
          </w:p>
        </w:tc>
      </w:tr>
      <w:tr w14:paraId="64170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noWrap w:val="0"/>
            <w:vAlign w:val="center"/>
          </w:tcPr>
          <w:p w14:paraId="5DF2E65D">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745084F0">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第15.3款</w:t>
            </w:r>
          </w:p>
        </w:tc>
        <w:tc>
          <w:tcPr>
            <w:tcW w:w="1742" w:type="dxa"/>
            <w:noWrap w:val="0"/>
            <w:vAlign w:val="center"/>
          </w:tcPr>
          <w:p w14:paraId="1C6142CC">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逾期付款利息</w:t>
            </w:r>
          </w:p>
        </w:tc>
        <w:tc>
          <w:tcPr>
            <w:tcW w:w="5170" w:type="dxa"/>
            <w:noWrap w:val="0"/>
            <w:vAlign w:val="center"/>
          </w:tcPr>
          <w:p w14:paraId="66E7F3C8">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u w:val="single"/>
              </w:rPr>
            </w:pPr>
            <w:r>
              <w:rPr>
                <w:rFonts w:hint="eastAsia" w:ascii="宋体" w:hAnsi="宋体" w:cs="Times New Roman"/>
                <w:color w:val="auto"/>
                <w:szCs w:val="21"/>
                <w:highlight w:val="none"/>
              </w:rPr>
              <w:t>迟延支付利息利率按照合同订立时一年期LPR执行</w:t>
            </w:r>
          </w:p>
        </w:tc>
      </w:tr>
      <w:tr w14:paraId="0D3FA7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noWrap w:val="0"/>
            <w:vAlign w:val="center"/>
          </w:tcPr>
          <w:p w14:paraId="3D8679C1">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335FDAA5">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第15.4款</w:t>
            </w:r>
          </w:p>
        </w:tc>
        <w:tc>
          <w:tcPr>
            <w:tcW w:w="1742" w:type="dxa"/>
            <w:tcBorders>
              <w:left w:val="single" w:color="auto" w:sz="2" w:space="0"/>
              <w:bottom w:val="single" w:color="auto" w:sz="2" w:space="0"/>
              <w:right w:val="single" w:color="auto" w:sz="2" w:space="0"/>
            </w:tcBorders>
            <w:noWrap w:val="0"/>
            <w:vAlign w:val="center"/>
          </w:tcPr>
          <w:p w14:paraId="330FF089">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其他违约责任</w:t>
            </w:r>
          </w:p>
        </w:tc>
        <w:tc>
          <w:tcPr>
            <w:tcW w:w="5170" w:type="dxa"/>
            <w:tcBorders>
              <w:left w:val="single" w:color="auto" w:sz="2" w:space="0"/>
              <w:bottom w:val="single" w:color="auto" w:sz="2" w:space="0"/>
            </w:tcBorders>
            <w:noWrap w:val="0"/>
            <w:vAlign w:val="center"/>
          </w:tcPr>
          <w:p w14:paraId="3A8AE29E">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u w:val="single"/>
              </w:rPr>
            </w:pPr>
            <w:r>
              <w:rPr>
                <w:rFonts w:hint="eastAsia" w:ascii="宋体" w:hAnsi="宋体" w:cs="Times New Roman"/>
                <w:color w:val="auto"/>
                <w:szCs w:val="21"/>
                <w:highlight w:val="none"/>
              </w:rPr>
              <w:t>乙方对甲方的故障保修不及时响应到位的，应按每逾期一日，向甲方支付合同金额的1</w:t>
            </w:r>
            <w:r>
              <w:rPr>
                <w:rFonts w:hint="default" w:ascii="Arial" w:hAnsi="Arial" w:cs="Arial"/>
                <w:color w:val="auto"/>
                <w:szCs w:val="21"/>
                <w:highlight w:val="none"/>
              </w:rPr>
              <w:t>‰</w:t>
            </w:r>
            <w:r>
              <w:rPr>
                <w:rFonts w:hint="eastAsia" w:ascii="宋体" w:hAnsi="宋体" w:cs="Times New Roman"/>
                <w:color w:val="auto"/>
                <w:szCs w:val="21"/>
                <w:highlight w:val="none"/>
              </w:rPr>
              <w:t>违约金。逾期超过一个月视为乙方严重违约，甲方有权解除合同，要求乙方放还已付款项，并支付合同总金额的10%作为违约金。乙方应在解除合同通知后之日起5个工作日内将设备收回，否则甲方有权自行处置，包括但不限于丢弃、变卖，由此造成的损失由乙方自行承担。</w:t>
            </w:r>
          </w:p>
        </w:tc>
      </w:tr>
      <w:tr w14:paraId="23D6B9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noWrap w:val="0"/>
            <w:vAlign w:val="center"/>
          </w:tcPr>
          <w:p w14:paraId="03F510F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3F5EDA4B">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第19.2款</w:t>
            </w:r>
          </w:p>
        </w:tc>
        <w:tc>
          <w:tcPr>
            <w:tcW w:w="1742" w:type="dxa"/>
            <w:tcBorders>
              <w:top w:val="single" w:color="auto" w:sz="2" w:space="0"/>
              <w:left w:val="single" w:color="auto" w:sz="2" w:space="0"/>
              <w:right w:val="single" w:color="auto" w:sz="2" w:space="0"/>
            </w:tcBorders>
            <w:noWrap w:val="0"/>
            <w:vAlign w:val="center"/>
          </w:tcPr>
          <w:p w14:paraId="2BCDF03A">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color w:val="auto"/>
                <w:szCs w:val="21"/>
                <w:highlight w:val="none"/>
              </w:rPr>
              <w:t>解决争议的方法</w:t>
            </w:r>
          </w:p>
        </w:tc>
        <w:tc>
          <w:tcPr>
            <w:tcW w:w="5170" w:type="dxa"/>
            <w:tcBorders>
              <w:top w:val="single" w:color="auto" w:sz="2" w:space="0"/>
              <w:left w:val="single" w:color="auto" w:sz="2" w:space="0"/>
            </w:tcBorders>
            <w:noWrap w:val="0"/>
            <w:vAlign w:val="center"/>
          </w:tcPr>
          <w:p w14:paraId="29DFEF13">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s="宋体"/>
                <w:iCs/>
                <w:color w:val="auto"/>
                <w:szCs w:val="21"/>
                <w:highlight w:val="none"/>
              </w:rPr>
            </w:pPr>
            <w:r>
              <w:rPr>
                <w:rFonts w:hint="eastAsia" w:ascii="宋体" w:hAnsi="宋体" w:cs="宋体"/>
                <w:iCs/>
                <w:color w:val="auto"/>
                <w:szCs w:val="21"/>
                <w:highlight w:val="none"/>
              </w:rPr>
              <w:t>因本合同及合同有关事项发生的争议，按下列第</w:t>
            </w:r>
            <w:r>
              <w:rPr>
                <w:rFonts w:hint="eastAsia" w:ascii="宋体" w:hAnsi="宋体" w:cs="宋体"/>
                <w:iCs/>
                <w:color w:val="auto"/>
                <w:szCs w:val="21"/>
                <w:highlight w:val="none"/>
                <w:u w:val="single"/>
              </w:rPr>
              <w:t>2</w:t>
            </w:r>
            <w:r>
              <w:rPr>
                <w:rFonts w:hint="eastAsia" w:ascii="宋体" w:hAnsi="宋体" w:cs="宋体"/>
                <w:iCs/>
                <w:color w:val="auto"/>
                <w:szCs w:val="21"/>
                <w:highlight w:val="none"/>
              </w:rPr>
              <w:t>种方式解决：</w:t>
            </w:r>
          </w:p>
          <w:p w14:paraId="2A71A86E">
            <w:pPr>
              <w:keepNext w:val="0"/>
              <w:keepLines w:val="0"/>
              <w:suppressLineNumbers w:val="0"/>
              <w:autoSpaceDE w:val="0"/>
              <w:autoSpaceDN w:val="0"/>
              <w:adjustRightInd w:val="0"/>
              <w:snapToGrid w:val="0"/>
              <w:spacing w:before="0" w:beforeAutospacing="0" w:after="0" w:afterAutospacing="0" w:line="400" w:lineRule="exact"/>
              <w:ind w:left="0" w:right="0"/>
              <w:jc w:val="left"/>
              <w:rPr>
                <w:rFonts w:hint="default" w:ascii="宋体" w:hAnsi="宋体" w:cs="宋体"/>
                <w:iCs/>
                <w:color w:val="auto"/>
                <w:szCs w:val="21"/>
                <w:highlight w:val="none"/>
              </w:rPr>
            </w:pPr>
            <w:r>
              <w:rPr>
                <w:rFonts w:hint="eastAsia" w:ascii="宋体" w:hAnsi="宋体" w:cs="宋体"/>
                <w:iCs/>
                <w:color w:val="auto"/>
                <w:szCs w:val="21"/>
                <w:highlight w:val="none"/>
              </w:rPr>
              <w:t>（1）向</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仲裁委员会申请仲裁，仲裁地点为</w:t>
            </w:r>
            <w:r>
              <w:rPr>
                <w:rFonts w:hint="eastAsia" w:ascii="宋体" w:hAnsi="宋体" w:cs="宋体"/>
                <w:iCs/>
                <w:color w:val="auto"/>
                <w:szCs w:val="21"/>
                <w:highlight w:val="none"/>
                <w:u w:val="single"/>
              </w:rPr>
              <w:t xml:space="preserve">           </w:t>
            </w:r>
            <w:r>
              <w:rPr>
                <w:rFonts w:hint="eastAsia" w:ascii="宋体" w:hAnsi="宋体" w:cs="宋体"/>
                <w:iCs/>
                <w:color w:val="auto"/>
                <w:szCs w:val="21"/>
                <w:highlight w:val="none"/>
              </w:rPr>
              <w:t>；</w:t>
            </w:r>
          </w:p>
          <w:p w14:paraId="0C140FB6">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u w:val="single"/>
              </w:rPr>
            </w:pPr>
            <w:r>
              <w:rPr>
                <w:rFonts w:hint="eastAsia" w:ascii="宋体" w:hAnsi="宋体" w:cs="宋体"/>
                <w:iCs/>
                <w:color w:val="auto"/>
                <w:szCs w:val="21"/>
                <w:highlight w:val="none"/>
              </w:rPr>
              <w:t>（2）向</w:t>
            </w:r>
            <w:r>
              <w:rPr>
                <w:rFonts w:hint="eastAsia" w:ascii="宋体" w:hAnsi="宋体" w:cs="宋体"/>
                <w:iCs/>
                <w:color w:val="auto"/>
                <w:szCs w:val="21"/>
                <w:highlight w:val="none"/>
                <w:u w:val="single"/>
              </w:rPr>
              <w:t xml:space="preserve"> 项目所在地</w:t>
            </w:r>
            <w:r>
              <w:rPr>
                <w:rFonts w:hint="eastAsia" w:ascii="宋体" w:hAnsi="宋体" w:cs="宋体"/>
                <w:iCs/>
                <w:color w:val="auto"/>
                <w:szCs w:val="21"/>
                <w:highlight w:val="none"/>
              </w:rPr>
              <w:t>人民法院起诉。</w:t>
            </w:r>
          </w:p>
        </w:tc>
      </w:tr>
      <w:tr w14:paraId="358BF5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noWrap w:val="0"/>
            <w:vAlign w:val="center"/>
          </w:tcPr>
          <w:p w14:paraId="7ABDB114">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第二节</w:t>
            </w:r>
          </w:p>
          <w:p w14:paraId="754AE137">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第23.1款</w:t>
            </w:r>
          </w:p>
        </w:tc>
        <w:tc>
          <w:tcPr>
            <w:tcW w:w="1742" w:type="dxa"/>
            <w:noWrap w:val="0"/>
            <w:vAlign w:val="center"/>
          </w:tcPr>
          <w:p w14:paraId="1228D727">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r>
              <w:rPr>
                <w:rFonts w:hint="eastAsia" w:ascii="宋体" w:hAnsi="宋体" w:cs="Times New Roman"/>
                <w:bCs/>
                <w:color w:val="auto"/>
                <w:szCs w:val="21"/>
                <w:highlight w:val="none"/>
              </w:rPr>
              <w:t>其他专用条款</w:t>
            </w:r>
          </w:p>
        </w:tc>
        <w:tc>
          <w:tcPr>
            <w:tcW w:w="5170" w:type="dxa"/>
            <w:noWrap w:val="0"/>
            <w:vAlign w:val="center"/>
          </w:tcPr>
          <w:p w14:paraId="04C4E697">
            <w:pPr>
              <w:keepNext w:val="0"/>
              <w:keepLines w:val="0"/>
              <w:suppressLineNumbers w:val="0"/>
              <w:adjustRightInd w:val="0"/>
              <w:snapToGrid w:val="0"/>
              <w:spacing w:before="0" w:beforeAutospacing="0" w:after="0" w:afterAutospacing="0"/>
              <w:ind w:left="0" w:right="0"/>
              <w:jc w:val="left"/>
              <w:rPr>
                <w:rFonts w:hint="default" w:ascii="宋体" w:hAnsi="宋体" w:cs="Times New Roman"/>
                <w:color w:val="auto"/>
                <w:szCs w:val="21"/>
                <w:highlight w:val="none"/>
              </w:rPr>
            </w:pPr>
          </w:p>
        </w:tc>
      </w:tr>
    </w:tbl>
    <w:p w14:paraId="674E45DA">
      <w:pPr>
        <w:keepNext/>
        <w:keepLines/>
        <w:spacing w:before="260" w:after="260" w:line="416" w:lineRule="auto"/>
        <w:outlineLvl w:val="1"/>
        <w:rPr>
          <w:rFonts w:ascii="Cambria" w:hAnsi="Cambria" w:eastAsia="仿宋"/>
          <w:b/>
          <w:bCs/>
          <w:color w:val="auto"/>
          <w:sz w:val="24"/>
          <w:highlight w:val="none"/>
        </w:rPr>
      </w:pPr>
      <w:r>
        <w:rPr>
          <w:rFonts w:hint="eastAsia" w:ascii="Cambria" w:hAnsi="Cambria" w:eastAsia="仿宋"/>
          <w:b/>
          <w:bCs/>
          <w:color w:val="auto"/>
          <w:sz w:val="24"/>
          <w:highlight w:val="none"/>
        </w:rPr>
        <w:t>附件：履约保证金格式</w:t>
      </w:r>
    </w:p>
    <w:p w14:paraId="279857FD">
      <w:pPr>
        <w:autoSpaceDE w:val="0"/>
        <w:autoSpaceDN w:val="0"/>
        <w:adjustRightInd w:val="0"/>
        <w:spacing w:line="360" w:lineRule="auto"/>
        <w:contextualSpacing/>
        <w:jc w:val="center"/>
        <w:rPr>
          <w:rFonts w:ascii="黑体" w:hAnsi="黑体" w:eastAsia="黑体" w:cs="Microsoft JhengHei"/>
          <w:color w:val="auto"/>
          <w:kern w:val="0"/>
          <w:position w:val="-5"/>
          <w:sz w:val="24"/>
          <w:highlight w:val="none"/>
        </w:rPr>
      </w:pPr>
      <w:r>
        <w:rPr>
          <w:rFonts w:hint="eastAsia" w:ascii="黑体" w:hAnsi="黑体" w:eastAsia="黑体" w:cs="Microsoft JhengHei"/>
          <w:color w:val="auto"/>
          <w:kern w:val="0"/>
          <w:position w:val="-5"/>
          <w:sz w:val="24"/>
          <w:highlight w:val="none"/>
        </w:rPr>
        <w:t>履约保函</w:t>
      </w:r>
    </w:p>
    <w:p w14:paraId="6D55E3C3">
      <w:pPr>
        <w:spacing w:line="360" w:lineRule="auto"/>
        <w:ind w:right="2974" w:rightChars="1416"/>
        <w:jc w:val="right"/>
        <w:rPr>
          <w:rFonts w:ascii="宋体" w:hAnsi="宋体" w:eastAsia="仿宋"/>
          <w:color w:val="auto"/>
          <w:sz w:val="24"/>
          <w:highlight w:val="none"/>
        </w:rPr>
      </w:pPr>
      <w:r>
        <w:rPr>
          <w:rFonts w:hint="eastAsia" w:ascii="宋体" w:hAnsi="宋体" w:eastAsia="仿宋"/>
          <w:color w:val="auto"/>
          <w:sz w:val="24"/>
          <w:highlight w:val="none"/>
        </w:rPr>
        <w:t xml:space="preserve">编号：             </w:t>
      </w:r>
    </w:p>
    <w:p w14:paraId="1C8B8F52">
      <w:pPr>
        <w:snapToGrid w:val="0"/>
        <w:spacing w:line="360" w:lineRule="auto"/>
        <w:rPr>
          <w:rFonts w:ascii="宋体" w:hAnsi="宋体" w:eastAsia="仿宋" w:cs="宋体"/>
          <w:color w:val="auto"/>
          <w:sz w:val="24"/>
          <w:highlight w:val="none"/>
        </w:rPr>
      </w:pPr>
      <w:r>
        <w:rPr>
          <w:rFonts w:hint="eastAsia" w:ascii="宋体" w:hAnsi="宋体" w:eastAsia="仿宋" w:cs="宋体"/>
          <w:color w:val="auto"/>
          <w:sz w:val="24"/>
          <w:highlight w:val="none"/>
        </w:rPr>
        <w:t>致受益人</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w:t>
      </w:r>
    </w:p>
    <w:p w14:paraId="3E702BDB">
      <w:pPr>
        <w:snapToGrid w:val="0"/>
        <w:spacing w:line="360" w:lineRule="auto"/>
        <w:ind w:firstLine="480" w:firstLineChars="200"/>
        <w:jc w:val="left"/>
        <w:rPr>
          <w:rFonts w:ascii="宋体" w:hAnsi="宋体" w:eastAsia="仿宋" w:cs="宋体"/>
          <w:b/>
          <w:bCs/>
          <w:color w:val="auto"/>
          <w:sz w:val="24"/>
          <w:highlight w:val="none"/>
        </w:rPr>
      </w:pPr>
      <w:r>
        <w:rPr>
          <w:rFonts w:hint="eastAsia" w:ascii="宋体" w:hAnsi="宋体" w:eastAsia="仿宋" w:cs="宋体"/>
          <w:color w:val="auto"/>
          <w:sz w:val="24"/>
          <w:highlight w:val="none"/>
        </w:rPr>
        <w:t>因</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（下称“被保证人”，地址：</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）与你方签订了</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项目合同（项目编号：</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），我方愿就被保证人履行上述合同的义务向你方提供如下保证：</w:t>
      </w:r>
    </w:p>
    <w:p w14:paraId="12B07483">
      <w:pPr>
        <w:numPr>
          <w:ilvl w:val="0"/>
          <w:numId w:val="12"/>
        </w:numPr>
        <w:snapToGrid w:val="0"/>
        <w:spacing w:line="360" w:lineRule="auto"/>
        <w:ind w:firstLine="480" w:firstLineChars="200"/>
        <w:rPr>
          <w:rFonts w:ascii="宋体" w:hAnsi="宋体" w:eastAsia="仿宋" w:cs="宋体"/>
          <w:color w:val="auto"/>
          <w:sz w:val="24"/>
          <w:highlight w:val="none"/>
        </w:rPr>
      </w:pPr>
      <w:r>
        <w:rPr>
          <w:rFonts w:hint="eastAsia" w:ascii="宋体" w:hAnsi="宋体" w:eastAsia="仿宋" w:cs="宋体"/>
          <w:color w:val="auto"/>
          <w:sz w:val="24"/>
          <w:highlight w:val="none"/>
        </w:rPr>
        <w:t>本保函项下我方承担的保证责任最高限额（下称“担保金额”）为(币种金额、大写)</w:t>
      </w:r>
      <w:r>
        <w:rPr>
          <w:rFonts w:hint="eastAsia" w:ascii="宋体" w:hAnsi="宋体" w:eastAsia="仿宋" w:cs="宋体"/>
          <w:color w:val="auto"/>
          <w:sz w:val="24"/>
          <w:highlight w:val="none"/>
          <w:u w:val="single"/>
        </w:rPr>
        <w:t>人民币</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u w:val="single"/>
        </w:rPr>
        <w:t xml:space="preserve">              </w:t>
      </w:r>
      <w:r>
        <w:rPr>
          <w:rFonts w:ascii="宋体" w:hAnsi="宋体" w:eastAsia="仿宋" w:cs="宋体"/>
          <w:color w:val="auto"/>
          <w:sz w:val="24"/>
          <w:highlight w:val="none"/>
          <w:u w:val="single"/>
        </w:rPr>
        <w:t xml:space="preserve">   </w:t>
      </w:r>
      <w:r>
        <w:rPr>
          <w:rFonts w:hint="eastAsia" w:ascii="宋体" w:hAnsi="宋体" w:eastAsia="仿宋" w:cs="宋体"/>
          <w:color w:val="auto"/>
          <w:sz w:val="24"/>
          <w:highlight w:val="none"/>
        </w:rPr>
        <w:t>。</w:t>
      </w:r>
    </w:p>
    <w:p w14:paraId="39569261">
      <w:pPr>
        <w:snapToGrid w:val="0"/>
        <w:spacing w:line="360" w:lineRule="auto"/>
        <w:ind w:firstLine="480" w:firstLineChars="200"/>
        <w:jc w:val="left"/>
        <w:rPr>
          <w:rFonts w:ascii="宋体" w:hAnsi="宋体" w:eastAsia="仿宋" w:cs="宋体"/>
          <w:snapToGrid w:val="0"/>
          <w:color w:val="auto"/>
          <w:kern w:val="0"/>
          <w:sz w:val="24"/>
          <w:highlight w:val="none"/>
        </w:rPr>
      </w:pPr>
      <w:r>
        <w:rPr>
          <w:rFonts w:hint="eastAsia" w:ascii="宋体" w:hAnsi="宋体" w:eastAsia="仿宋" w:cs="宋体"/>
          <w:snapToGrid w:val="0"/>
          <w:color w:val="auto"/>
          <w:kern w:val="0"/>
          <w:sz w:val="24"/>
          <w:highlight w:val="none"/>
        </w:rPr>
        <w:t>二、我方在本保函项下提供的保证为</w:t>
      </w:r>
      <w:r>
        <w:rPr>
          <w:rFonts w:hint="eastAsia" w:ascii="宋体" w:hAnsi="宋体" w:eastAsia="仿宋" w:cs="宋体"/>
          <w:snapToGrid w:val="0"/>
          <w:color w:val="auto"/>
          <w:kern w:val="0"/>
          <w:sz w:val="24"/>
          <w:highlight w:val="none"/>
          <w:u w:val="single"/>
        </w:rPr>
        <w:t xml:space="preserve">  连带  </w:t>
      </w:r>
      <w:r>
        <w:rPr>
          <w:rFonts w:hint="eastAsia" w:ascii="宋体" w:hAnsi="宋体" w:eastAsia="仿宋" w:cs="宋体"/>
          <w:snapToGrid w:val="0"/>
          <w:color w:val="auto"/>
          <w:kern w:val="0"/>
          <w:sz w:val="24"/>
          <w:highlight w:val="none"/>
        </w:rPr>
        <w:t>责任保证。</w:t>
      </w:r>
    </w:p>
    <w:p w14:paraId="1B92FA60">
      <w:pPr>
        <w:snapToGrid w:val="0"/>
        <w:spacing w:line="360" w:lineRule="auto"/>
        <w:ind w:firstLine="480" w:firstLineChars="200"/>
        <w:jc w:val="left"/>
        <w:rPr>
          <w:rFonts w:ascii="宋体" w:hAnsi="宋体" w:eastAsia="仿宋" w:cs="宋体"/>
          <w:snapToGrid w:val="0"/>
          <w:color w:val="auto"/>
          <w:kern w:val="0"/>
          <w:sz w:val="24"/>
          <w:highlight w:val="none"/>
        </w:rPr>
      </w:pPr>
      <w:r>
        <w:rPr>
          <w:rFonts w:hint="eastAsia" w:ascii="宋体" w:hAnsi="宋体" w:eastAsia="仿宋" w:cs="宋体"/>
          <w:snapToGrid w:val="0"/>
          <w:color w:val="auto"/>
          <w:kern w:val="0"/>
          <w:sz w:val="24"/>
          <w:highlight w:val="none"/>
        </w:rPr>
        <w:t>三、本保函的有效期为以下第</w:t>
      </w:r>
      <w:r>
        <w:rPr>
          <w:rFonts w:hint="eastAsia" w:ascii="宋体" w:hAnsi="宋体" w:eastAsia="仿宋" w:cs="宋体"/>
          <w:snapToGrid w:val="0"/>
          <w:color w:val="auto"/>
          <w:kern w:val="0"/>
          <w:sz w:val="24"/>
          <w:highlight w:val="none"/>
          <w:u w:val="single"/>
        </w:rPr>
        <w:t xml:space="preserve">   1    </w:t>
      </w:r>
      <w:r>
        <w:rPr>
          <w:rFonts w:hint="eastAsia" w:ascii="宋体" w:hAnsi="宋体" w:eastAsia="仿宋" w:cs="宋体"/>
          <w:snapToGrid w:val="0"/>
          <w:color w:val="auto"/>
          <w:kern w:val="0"/>
          <w:sz w:val="24"/>
          <w:highlight w:val="none"/>
        </w:rPr>
        <w:t>种：</w:t>
      </w:r>
    </w:p>
    <w:p w14:paraId="09B59F34">
      <w:pPr>
        <w:snapToGrid w:val="0"/>
        <w:spacing w:line="360" w:lineRule="auto"/>
        <w:ind w:firstLine="480" w:firstLineChars="200"/>
        <w:jc w:val="left"/>
        <w:rPr>
          <w:rFonts w:ascii="宋体" w:hAnsi="宋体" w:eastAsia="仿宋"/>
          <w:snapToGrid w:val="0"/>
          <w:color w:val="auto"/>
          <w:kern w:val="0"/>
          <w:sz w:val="24"/>
          <w:highlight w:val="none"/>
        </w:rPr>
      </w:pPr>
      <w:r>
        <w:rPr>
          <w:rFonts w:hint="eastAsia" w:ascii="宋体" w:hAnsi="宋体" w:eastAsia="仿宋" w:cs="宋体"/>
          <w:snapToGrid w:val="0"/>
          <w:color w:val="auto"/>
          <w:kern w:val="0"/>
          <w:sz w:val="24"/>
          <w:highlight w:val="none"/>
        </w:rPr>
        <w:t>1.本保函有效期自生效之日起至</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年</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月</w:t>
      </w:r>
      <w:r>
        <w:rPr>
          <w:rFonts w:hint="eastAsia" w:ascii="宋体" w:hAnsi="宋体" w:eastAsia="仿宋" w:cs="宋体"/>
          <w:snapToGrid w:val="0"/>
          <w:color w:val="auto"/>
          <w:kern w:val="0"/>
          <w:sz w:val="24"/>
          <w:highlight w:val="none"/>
          <w:u w:val="single"/>
        </w:rPr>
        <w:t xml:space="preserve">  </w:t>
      </w:r>
      <w:r>
        <w:rPr>
          <w:rFonts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u w:val="single"/>
        </w:rPr>
        <w:t xml:space="preserve">  </w:t>
      </w:r>
      <w:r>
        <w:rPr>
          <w:rFonts w:hint="eastAsia" w:ascii="宋体" w:hAnsi="宋体" w:eastAsia="仿宋" w:cs="宋体"/>
          <w:snapToGrid w:val="0"/>
          <w:color w:val="auto"/>
          <w:kern w:val="0"/>
          <w:sz w:val="24"/>
          <w:highlight w:val="none"/>
        </w:rPr>
        <w:t>日止</w:t>
      </w:r>
      <w:r>
        <w:rPr>
          <w:rFonts w:hint="eastAsia" w:ascii="宋体" w:hAnsi="宋体" w:eastAsia="仿宋"/>
          <w:snapToGrid w:val="0"/>
          <w:color w:val="auto"/>
          <w:kern w:val="0"/>
          <w:sz w:val="24"/>
          <w:highlight w:val="none"/>
        </w:rPr>
        <w:t>。</w:t>
      </w:r>
    </w:p>
    <w:p w14:paraId="538DFD14">
      <w:pPr>
        <w:adjustRightInd w:val="0"/>
        <w:snapToGrid w:val="0"/>
        <w:spacing w:line="360" w:lineRule="auto"/>
        <w:ind w:firstLine="480" w:firstLineChars="200"/>
        <w:rPr>
          <w:rFonts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2.</w:t>
      </w:r>
      <w:r>
        <w:rPr>
          <w:rFonts w:hint="eastAsia" w:ascii="宋体" w:hAnsi="宋体" w:eastAsia="仿宋"/>
          <w:snapToGrid w:val="0"/>
          <w:color w:val="auto"/>
          <w:kern w:val="0"/>
          <w:sz w:val="24"/>
          <w:highlight w:val="none"/>
          <w:u w:val="single"/>
        </w:rPr>
        <w:t xml:space="preserve">                                /                    </w:t>
      </w:r>
      <w:r>
        <w:rPr>
          <w:rFonts w:hint="eastAsia" w:ascii="宋体" w:hAnsi="宋体" w:eastAsia="仿宋"/>
          <w:snapToGrid w:val="0"/>
          <w:color w:val="auto"/>
          <w:kern w:val="0"/>
          <w:sz w:val="24"/>
          <w:highlight w:val="none"/>
        </w:rPr>
        <w:t>。</w:t>
      </w:r>
    </w:p>
    <w:p w14:paraId="4BC23A22">
      <w:pPr>
        <w:snapToGrid w:val="0"/>
        <w:spacing w:line="360" w:lineRule="auto"/>
        <w:ind w:firstLine="480" w:firstLineChars="200"/>
        <w:jc w:val="left"/>
        <w:rPr>
          <w:rFonts w:ascii="宋体" w:hAnsi="宋体" w:eastAsia="仿宋"/>
          <w:snapToGrid w:val="0"/>
          <w:color w:val="auto"/>
          <w:kern w:val="0"/>
          <w:sz w:val="24"/>
          <w:highlight w:val="none"/>
        </w:rPr>
      </w:pPr>
      <w:r>
        <w:rPr>
          <w:rFonts w:hint="eastAsia" w:ascii="宋体" w:hAnsi="宋体" w:eastAsia="仿宋"/>
          <w:color w:val="auto"/>
          <w:sz w:val="24"/>
          <w:highlight w:val="none"/>
        </w:rPr>
        <w:t>四、在本保函的有效期内，如被保证人</w:t>
      </w:r>
      <w:r>
        <w:rPr>
          <w:rFonts w:hint="eastAsia" w:ascii="宋体" w:hAnsi="宋体" w:eastAsia="仿宋"/>
          <w:snapToGrid w:val="0"/>
          <w:color w:val="auto"/>
          <w:kern w:val="0"/>
          <w:sz w:val="24"/>
          <w:highlight w:val="none"/>
        </w:rPr>
        <w:t>违反上述合同的约定给你方造成经济损失的，我方将在收到你方提交的本保函原件及符合下列全部条件的索赔通知后</w:t>
      </w:r>
      <w:r>
        <w:rPr>
          <w:rFonts w:hint="eastAsia" w:ascii="宋体" w:hAnsi="宋体" w:eastAsia="仿宋"/>
          <w:snapToGrid w:val="0"/>
          <w:color w:val="auto"/>
          <w:kern w:val="0"/>
          <w:sz w:val="24"/>
          <w:highlight w:val="none"/>
          <w:u w:val="single"/>
        </w:rPr>
        <w:t>10</w:t>
      </w:r>
      <w:r>
        <w:rPr>
          <w:rFonts w:hint="eastAsia" w:ascii="宋体" w:hAnsi="宋体" w:eastAsia="仿宋"/>
          <w:snapToGrid w:val="0"/>
          <w:color w:val="auto"/>
          <w:kern w:val="0"/>
          <w:sz w:val="24"/>
          <w:highlight w:val="none"/>
        </w:rPr>
        <w:t>个工作日内，以上述担保金额为限支付你方索赔金额：</w:t>
      </w:r>
    </w:p>
    <w:p w14:paraId="1BF56E3A">
      <w:pPr>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snapToGrid w:val="0"/>
          <w:color w:val="auto"/>
          <w:kern w:val="0"/>
          <w:sz w:val="24"/>
          <w:highlight w:val="none"/>
        </w:rPr>
        <w:t>（一）索赔通知必须以书面形式提出，列明索赔金额，并由你方法定代表人（负责人）或授权代理人签字并加盖公章；代理人签署索赔通知的，应当同时提交法定代表人（负责人）签发的授权文件。</w:t>
      </w:r>
    </w:p>
    <w:p w14:paraId="6BE10F0C">
      <w:pPr>
        <w:adjustRightInd w:val="0"/>
        <w:snapToGrid w:val="0"/>
        <w:spacing w:line="360" w:lineRule="auto"/>
        <w:ind w:firstLine="480" w:firstLineChars="200"/>
        <w:rPr>
          <w:rFonts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（二）索赔通知必须同时附有：</w:t>
      </w:r>
    </w:p>
    <w:p w14:paraId="202A64D6">
      <w:pPr>
        <w:adjustRightInd w:val="0"/>
        <w:snapToGrid w:val="0"/>
        <w:spacing w:line="360" w:lineRule="auto"/>
        <w:ind w:firstLine="480" w:firstLineChars="200"/>
        <w:rPr>
          <w:rFonts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1.一项书面声明，声明索赔款项并未由</w:t>
      </w:r>
      <w:r>
        <w:rPr>
          <w:rFonts w:hint="eastAsia" w:ascii="宋体" w:hAnsi="宋体" w:eastAsia="仿宋"/>
          <w:color w:val="auto"/>
          <w:sz w:val="24"/>
          <w:highlight w:val="none"/>
        </w:rPr>
        <w:t>被保证人</w:t>
      </w:r>
      <w:r>
        <w:rPr>
          <w:rFonts w:hint="eastAsia" w:ascii="宋体" w:hAnsi="宋体" w:eastAsia="仿宋"/>
          <w:snapToGrid w:val="0"/>
          <w:color w:val="auto"/>
          <w:kern w:val="0"/>
          <w:sz w:val="24"/>
          <w:highlight w:val="none"/>
        </w:rPr>
        <w:t>或其代理人直接或间接地支付给你方；</w:t>
      </w:r>
    </w:p>
    <w:p w14:paraId="2208D361">
      <w:pPr>
        <w:adjustRightInd w:val="0"/>
        <w:snapToGrid w:val="0"/>
        <w:spacing w:line="360" w:lineRule="auto"/>
        <w:ind w:firstLine="480" w:firstLineChars="200"/>
        <w:rPr>
          <w:rFonts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2. 证明</w:t>
      </w:r>
      <w:r>
        <w:rPr>
          <w:rFonts w:hint="eastAsia" w:ascii="宋体" w:hAnsi="宋体" w:eastAsia="仿宋"/>
          <w:color w:val="auto"/>
          <w:sz w:val="24"/>
          <w:highlight w:val="none"/>
        </w:rPr>
        <w:t>被保证人</w:t>
      </w:r>
      <w:r>
        <w:rPr>
          <w:rFonts w:hint="eastAsia" w:ascii="宋体" w:hAnsi="宋体" w:eastAsia="仿宋"/>
          <w:snapToGrid w:val="0"/>
          <w:color w:val="auto"/>
          <w:kern w:val="0"/>
          <w:sz w:val="24"/>
          <w:highlight w:val="none"/>
        </w:rPr>
        <w:t>违反上述合同的约定以及有责任支付你方索赔金额的证据，包括但不限于已发生法律效力的法院判决书或仲裁裁决书等。</w:t>
      </w:r>
    </w:p>
    <w:p w14:paraId="1DA60EC8">
      <w:pPr>
        <w:adjustRightInd w:val="0"/>
        <w:snapToGrid w:val="0"/>
        <w:spacing w:line="360" w:lineRule="auto"/>
        <w:ind w:firstLine="480" w:firstLineChars="200"/>
        <w:rPr>
          <w:rFonts w:ascii="宋体" w:hAnsi="宋体" w:eastAsia="仿宋"/>
          <w:snapToGrid w:val="0"/>
          <w:color w:val="auto"/>
          <w:kern w:val="0"/>
          <w:sz w:val="24"/>
          <w:highlight w:val="none"/>
        </w:rPr>
      </w:pPr>
      <w:r>
        <w:rPr>
          <w:rFonts w:hint="eastAsia" w:ascii="宋体" w:hAnsi="宋体" w:eastAsia="仿宋"/>
          <w:snapToGrid w:val="0"/>
          <w:color w:val="auto"/>
          <w:kern w:val="0"/>
          <w:sz w:val="24"/>
          <w:highlight w:val="none"/>
        </w:rPr>
        <w:t>3.索赔资料应在有效期内送达我方，否则我方不承担责任。</w:t>
      </w:r>
    </w:p>
    <w:p w14:paraId="795A884B">
      <w:pPr>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color w:val="auto"/>
          <w:sz w:val="24"/>
          <w:highlight w:val="none"/>
        </w:rPr>
        <w:t>（三）索赔通知必须在本保函有效期内到达以下地址</w:t>
      </w:r>
      <w:r>
        <w:rPr>
          <w:rFonts w:hint="eastAsia" w:ascii="宋体" w:hAnsi="宋体" w:eastAsia="仿宋"/>
          <w:color w:val="auto"/>
          <w:sz w:val="24"/>
          <w:highlight w:val="none"/>
          <w:u w:val="single"/>
        </w:rPr>
        <w:t xml:space="preserve"> </w:t>
      </w:r>
      <w:r>
        <w:rPr>
          <w:rFonts w:ascii="宋体" w:hAnsi="宋体" w:eastAsia="仿宋"/>
          <w:color w:val="auto"/>
          <w:sz w:val="24"/>
          <w:highlight w:val="none"/>
          <w:u w:val="single"/>
        </w:rPr>
        <w:t xml:space="preserve">                     </w:t>
      </w:r>
      <w:r>
        <w:rPr>
          <w:rFonts w:hint="eastAsia" w:ascii="宋体" w:hAnsi="宋体" w:eastAsia="仿宋"/>
          <w:color w:val="auto"/>
          <w:sz w:val="24"/>
          <w:highlight w:val="none"/>
        </w:rPr>
        <w:t>。</w:t>
      </w:r>
    </w:p>
    <w:p w14:paraId="34890135">
      <w:pPr>
        <w:adjustRightInd w:val="0"/>
        <w:snapToGrid w:val="0"/>
        <w:spacing w:line="360" w:lineRule="auto"/>
        <w:ind w:firstLine="480" w:firstLineChars="200"/>
        <w:rPr>
          <w:rFonts w:ascii="宋体" w:hAnsi="宋体" w:eastAsia="仿宋"/>
          <w:color w:val="auto"/>
          <w:sz w:val="24"/>
          <w:highlight w:val="none"/>
        </w:rPr>
      </w:pPr>
      <w:r>
        <w:rPr>
          <w:rFonts w:hint="eastAsia" w:ascii="宋体" w:hAnsi="宋体" w:eastAsia="仿宋"/>
          <w:snapToGrid w:val="0"/>
          <w:color w:val="auto"/>
          <w:kern w:val="0"/>
          <w:sz w:val="24"/>
          <w:highlight w:val="none"/>
        </w:rPr>
        <w:t>五、</w:t>
      </w:r>
      <w:r>
        <w:rPr>
          <w:rFonts w:hint="eastAsia" w:ascii="宋体" w:hAnsi="宋体" w:eastAsia="仿宋"/>
          <w:color w:val="auto"/>
          <w:sz w:val="24"/>
          <w:highlight w:val="none"/>
        </w:rPr>
        <w:t>本保函担保金额将随被保证人逐步履行保函项下合同约定或法定的义务以及我方</w:t>
      </w:r>
      <w:r>
        <w:rPr>
          <w:rFonts w:hint="eastAsia" w:ascii="宋体" w:hAnsi="宋体" w:eastAsia="仿宋"/>
          <w:snapToGrid w:val="0"/>
          <w:color w:val="auto"/>
          <w:kern w:val="0"/>
          <w:sz w:val="24"/>
          <w:highlight w:val="none"/>
        </w:rPr>
        <w:t>按你方索赔通知要求分次支付</w:t>
      </w:r>
      <w:r>
        <w:rPr>
          <w:rFonts w:hint="eastAsia" w:ascii="宋体" w:hAnsi="宋体" w:eastAsia="仿宋"/>
          <w:color w:val="auto"/>
          <w:sz w:val="24"/>
          <w:highlight w:val="none"/>
        </w:rPr>
        <w:t>而相应递减。</w:t>
      </w:r>
    </w:p>
    <w:p w14:paraId="6A72B757">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六、本保函项下的权利不得转让，不得设定担保。</w:t>
      </w:r>
    </w:p>
    <w:p w14:paraId="464505DA">
      <w:pPr>
        <w:snapToGrid w:val="0"/>
        <w:spacing w:line="360" w:lineRule="auto"/>
        <w:ind w:firstLine="480" w:firstLineChars="200"/>
        <w:rPr>
          <w:rFonts w:ascii="宋体" w:hAnsi="宋体" w:eastAsia="仿宋"/>
          <w:iCs/>
          <w:color w:val="auto"/>
          <w:sz w:val="24"/>
          <w:highlight w:val="none"/>
          <w:u w:val="single"/>
        </w:rPr>
      </w:pPr>
      <w:r>
        <w:rPr>
          <w:rFonts w:hint="eastAsia" w:ascii="宋体" w:hAnsi="宋体" w:eastAsia="仿宋"/>
          <w:iCs/>
          <w:color w:val="auto"/>
          <w:sz w:val="24"/>
          <w:highlight w:val="none"/>
        </w:rPr>
        <w:t>七、本保函项下的合同或基础交易不成立、不生效、无效、被撤销、被解除，本保函无效；被保证人基于保函项下的合同或基础交易或其他原因的抗辩，我方均有权主张。</w:t>
      </w:r>
    </w:p>
    <w:p w14:paraId="56AB0FF1">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snapToGrid w:val="0"/>
          <w:color w:val="auto"/>
          <w:kern w:val="0"/>
          <w:sz w:val="24"/>
          <w:highlight w:val="none"/>
        </w:rPr>
        <w:t>八、</w:t>
      </w:r>
      <w:r>
        <w:rPr>
          <w:rFonts w:hint="eastAsia" w:ascii="宋体" w:hAnsi="宋体" w:eastAsia="仿宋"/>
          <w:iCs/>
          <w:color w:val="auto"/>
          <w:sz w:val="24"/>
          <w:highlight w:val="none"/>
        </w:rPr>
        <w:t>因本保函发生争议协商解决不成，按以下第</w:t>
      </w:r>
      <w:r>
        <w:rPr>
          <w:rFonts w:hint="eastAsia" w:ascii="宋体" w:hAnsi="宋体" w:eastAsia="仿宋"/>
          <w:iCs/>
          <w:color w:val="auto"/>
          <w:sz w:val="24"/>
          <w:highlight w:val="none"/>
          <w:u w:val="single"/>
        </w:rPr>
        <w:t>（一）</w:t>
      </w:r>
      <w:r>
        <w:rPr>
          <w:rFonts w:hint="eastAsia" w:ascii="宋体" w:hAnsi="宋体" w:eastAsia="仿宋"/>
          <w:iCs/>
          <w:color w:val="auto"/>
          <w:sz w:val="24"/>
          <w:highlight w:val="none"/>
        </w:rPr>
        <w:t>种方式解决：</w:t>
      </w:r>
    </w:p>
    <w:p w14:paraId="761B9C62">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（一）向</w:t>
      </w:r>
      <w:r>
        <w:rPr>
          <w:rFonts w:hint="eastAsia" w:ascii="宋体" w:hAnsi="宋体" w:eastAsia="仿宋"/>
          <w:iCs/>
          <w:color w:val="auto"/>
          <w:sz w:val="24"/>
          <w:highlight w:val="none"/>
          <w:u w:val="single"/>
        </w:rPr>
        <w:t xml:space="preserve">      </w:t>
      </w:r>
      <w:r>
        <w:rPr>
          <w:rFonts w:hint="eastAsia" w:ascii="宋体" w:hAnsi="宋体" w:eastAsia="仿宋"/>
          <w:iCs/>
          <w:color w:val="auto"/>
          <w:sz w:val="24"/>
          <w:highlight w:val="none"/>
        </w:rPr>
        <w:t>所在地的人民法院起诉。</w:t>
      </w:r>
    </w:p>
    <w:p w14:paraId="56544CFD">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（二）提交</w:t>
      </w: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仲裁委员会（仲裁地点为</w:t>
      </w: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）,按照申请仲裁时该会现行有效的仲裁规则进行仲裁。仲裁裁决是终局的，对双方均有约束力。</w:t>
      </w:r>
    </w:p>
    <w:p w14:paraId="788C16AE">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snapToGrid w:val="0"/>
          <w:color w:val="auto"/>
          <w:kern w:val="0"/>
          <w:sz w:val="24"/>
          <w:highlight w:val="none"/>
        </w:rPr>
        <w:t>九、</w:t>
      </w:r>
      <w:r>
        <w:rPr>
          <w:rFonts w:hint="eastAsia" w:ascii="宋体" w:hAnsi="宋体" w:eastAsia="仿宋"/>
          <w:iCs/>
          <w:color w:val="auto"/>
          <w:sz w:val="24"/>
          <w:highlight w:val="none"/>
        </w:rPr>
        <w:t>本保函有效期届满或提前终止，本保函失效，我方在本保函项下的责任消灭，受益人应立即将本保函原件退还我方；受益人未履行上述义务，本保函仍在有效期届至或提前终止之日失效。</w:t>
      </w:r>
    </w:p>
    <w:p w14:paraId="5A287344">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十、本保函适用中华人民共和国法律。</w:t>
      </w:r>
    </w:p>
    <w:p w14:paraId="1641A8C2">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十一、其他条款：</w:t>
      </w:r>
    </w:p>
    <w:p w14:paraId="01882FDB">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u w:val="single"/>
        </w:rPr>
        <w:t xml:space="preserve">                 /              </w:t>
      </w:r>
      <w:r>
        <w:rPr>
          <w:rFonts w:hint="eastAsia" w:ascii="宋体" w:hAnsi="宋体" w:eastAsia="仿宋"/>
          <w:iCs/>
          <w:color w:val="auto"/>
          <w:sz w:val="24"/>
          <w:highlight w:val="none"/>
        </w:rPr>
        <w:t>。</w:t>
      </w:r>
    </w:p>
    <w:p w14:paraId="6DF6E006">
      <w:pPr>
        <w:snapToGrid w:val="0"/>
        <w:spacing w:line="360" w:lineRule="auto"/>
        <w:ind w:firstLine="480" w:firstLineChars="200"/>
        <w:rPr>
          <w:rFonts w:ascii="宋体" w:hAnsi="宋体" w:eastAsia="仿宋"/>
          <w:iCs/>
          <w:color w:val="auto"/>
          <w:sz w:val="24"/>
          <w:highlight w:val="none"/>
        </w:rPr>
      </w:pPr>
      <w:r>
        <w:rPr>
          <w:rFonts w:hint="eastAsia" w:ascii="宋体" w:hAnsi="宋体" w:eastAsia="仿宋"/>
          <w:iCs/>
          <w:color w:val="auto"/>
          <w:sz w:val="24"/>
          <w:highlight w:val="none"/>
        </w:rPr>
        <w:t>十二、本保函自我方负责人或授权代理人签字并加盖公章之日起生效。</w:t>
      </w:r>
    </w:p>
    <w:p w14:paraId="5304215D">
      <w:pPr>
        <w:snapToGrid w:val="0"/>
        <w:spacing w:line="360" w:lineRule="auto"/>
        <w:ind w:firstLine="200"/>
        <w:rPr>
          <w:rFonts w:ascii="宋体" w:hAnsi="宋体" w:eastAsia="仿宋"/>
          <w:iCs/>
          <w:color w:val="auto"/>
          <w:sz w:val="24"/>
          <w:highlight w:val="none"/>
        </w:rPr>
      </w:pPr>
    </w:p>
    <w:p w14:paraId="04E8AA0A">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 xml:space="preserve">保证人（公章）： </w:t>
      </w:r>
      <w:r>
        <w:rPr>
          <w:rFonts w:hint="eastAsia" w:ascii="宋体" w:hAnsi="宋体" w:eastAsia="仿宋"/>
          <w:iCs/>
          <w:color w:val="auto"/>
          <w:sz w:val="24"/>
          <w:highlight w:val="none"/>
          <w:u w:val="single"/>
        </w:rPr>
        <w:t xml:space="preserve">                        </w:t>
      </w:r>
    </w:p>
    <w:p w14:paraId="52D437FF">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负责人或授权代理人（签字）：</w:t>
      </w:r>
      <w:r>
        <w:rPr>
          <w:rFonts w:hint="eastAsia" w:ascii="宋体" w:hAnsi="宋体" w:eastAsia="仿宋"/>
          <w:iCs/>
          <w:color w:val="auto"/>
          <w:sz w:val="24"/>
          <w:highlight w:val="none"/>
          <w:u w:val="single"/>
        </w:rPr>
        <w:t xml:space="preserve">              </w:t>
      </w:r>
    </w:p>
    <w:p w14:paraId="1D9D497D">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 xml:space="preserve">邮编： </w:t>
      </w:r>
    </w:p>
    <w:p w14:paraId="1EAB4084">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电话：</w:t>
      </w:r>
      <w:r>
        <w:rPr>
          <w:rFonts w:ascii="宋体" w:hAnsi="宋体" w:eastAsia="仿宋"/>
          <w:color w:val="auto"/>
          <w:sz w:val="24"/>
          <w:highlight w:val="none"/>
        </w:rPr>
        <w:t xml:space="preserve"> </w:t>
      </w:r>
    </w:p>
    <w:p w14:paraId="577AA369">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 xml:space="preserve">传真： </w:t>
      </w:r>
    </w:p>
    <w:p w14:paraId="5B995394">
      <w:pPr>
        <w:snapToGrid w:val="0"/>
        <w:spacing w:line="360" w:lineRule="auto"/>
        <w:ind w:firstLine="2640" w:firstLineChars="1100"/>
        <w:rPr>
          <w:rFonts w:ascii="宋体" w:hAnsi="宋体" w:eastAsia="仿宋"/>
          <w:color w:val="auto"/>
          <w:sz w:val="24"/>
          <w:highlight w:val="none"/>
        </w:rPr>
      </w:pPr>
      <w:r>
        <w:rPr>
          <w:rFonts w:hint="eastAsia" w:ascii="宋体" w:hAnsi="宋体" w:eastAsia="仿宋"/>
          <w:color w:val="auto"/>
          <w:sz w:val="24"/>
          <w:highlight w:val="none"/>
        </w:rPr>
        <w:t xml:space="preserve">签发日期 </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年</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月</w:t>
      </w:r>
      <w:r>
        <w:rPr>
          <w:rFonts w:hint="eastAsia" w:ascii="宋体" w:hAnsi="宋体" w:eastAsia="仿宋"/>
          <w:color w:val="auto"/>
          <w:sz w:val="24"/>
          <w:highlight w:val="none"/>
          <w:u w:val="single"/>
        </w:rPr>
        <w:t xml:space="preserve">     </w:t>
      </w:r>
      <w:r>
        <w:rPr>
          <w:rFonts w:hint="eastAsia" w:ascii="宋体" w:hAnsi="宋体" w:eastAsia="仿宋"/>
          <w:color w:val="auto"/>
          <w:sz w:val="24"/>
          <w:highlight w:val="none"/>
        </w:rPr>
        <w:t>日</w:t>
      </w:r>
    </w:p>
    <w:p w14:paraId="780CE6EC">
      <w:pPr>
        <w:autoSpaceDE w:val="0"/>
        <w:autoSpaceDN w:val="0"/>
        <w:adjustRightInd w:val="0"/>
        <w:spacing w:line="200" w:lineRule="exact"/>
        <w:contextualSpacing/>
        <w:jc w:val="left"/>
        <w:rPr>
          <w:rFonts w:ascii="宋体" w:hAnsi="宋体" w:eastAsia="仿宋" w:cs="Microsoft JhengHei"/>
          <w:color w:val="auto"/>
          <w:kern w:val="0"/>
          <w:sz w:val="20"/>
          <w:szCs w:val="20"/>
          <w:highlight w:val="none"/>
        </w:rPr>
      </w:pPr>
    </w:p>
    <w:p w14:paraId="3871DF1D">
      <w:pPr>
        <w:rPr>
          <w:rFonts w:eastAsia="仿宋"/>
          <w:color w:val="auto"/>
          <w:highlight w:val="none"/>
        </w:rPr>
      </w:pPr>
      <w:r>
        <w:rPr>
          <w:rFonts w:hint="eastAsia" w:eastAsia="仿宋"/>
          <w:color w:val="auto"/>
          <w:highlight w:val="none"/>
        </w:rPr>
        <w:t>注：</w:t>
      </w:r>
    </w:p>
    <w:p w14:paraId="250577C9">
      <w:pPr>
        <w:rPr>
          <w:rFonts w:eastAsia="仿宋"/>
          <w:color w:val="auto"/>
          <w:highlight w:val="none"/>
        </w:rPr>
      </w:pPr>
      <w:r>
        <w:rPr>
          <w:rFonts w:hint="eastAsia" w:eastAsia="仿宋"/>
          <w:color w:val="auto"/>
          <w:highlight w:val="none"/>
        </w:rPr>
        <w:t>1.允许投标人实际开具的银行保函或担保机构或保证保险机构出具的担保的格式与本文件提供的格式有所不同，但不得更改本文件提供的银行保函或担保格式中的实质性内容。</w:t>
      </w:r>
    </w:p>
    <w:p w14:paraId="2E8AEFB3">
      <w:pPr>
        <w:widowControl/>
        <w:rPr>
          <w:rFonts w:ascii="宋体" w:hAnsi="宋体" w:eastAsia="仿宋"/>
          <w:color w:val="auto"/>
          <w:highlight w:val="none"/>
        </w:rPr>
      </w:pPr>
      <w:r>
        <w:rPr>
          <w:rFonts w:hint="eastAsia" w:eastAsia="仿宋"/>
          <w:color w:val="auto"/>
          <w:highlight w:val="none"/>
        </w:rPr>
        <w:t>2.投标人开具的银行保函（或担保机构担保或保证保险）必须具有明确有效的查询途径（网址链接及查询方式）。</w:t>
      </w:r>
    </w:p>
    <w:p w14:paraId="464737FD">
      <w:pPr>
        <w:pStyle w:val="2"/>
        <w:widowControl/>
        <w:jc w:val="center"/>
        <w:rPr>
          <w:rFonts w:ascii="宋体" w:hAnsi="宋体" w:eastAsia="仿宋"/>
          <w:color w:val="auto"/>
          <w:sz w:val="30"/>
          <w:szCs w:val="30"/>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14EC56B5">
      <w:pPr>
        <w:widowControl/>
        <w:rPr>
          <w:rFonts w:ascii="宋体" w:hAnsi="宋体" w:eastAsia="仿宋"/>
          <w:color w:val="auto"/>
          <w:highlight w:val="none"/>
        </w:rPr>
      </w:pPr>
    </w:p>
    <w:p w14:paraId="16FF53D1">
      <w:pPr>
        <w:pStyle w:val="2"/>
        <w:widowControl/>
        <w:spacing w:before="0" w:after="0" w:line="240" w:lineRule="auto"/>
        <w:jc w:val="center"/>
        <w:rPr>
          <w:rFonts w:hint="eastAsia" w:ascii="宋体" w:hAnsi="宋体" w:eastAsia="仿宋"/>
          <w:color w:val="auto"/>
          <w:highlight w:val="none"/>
        </w:rPr>
      </w:pPr>
      <w:bookmarkStart w:id="886" w:name="_Toc466024585"/>
      <w:bookmarkStart w:id="887" w:name="_Toc13236"/>
      <w:bookmarkStart w:id="888" w:name="_Toc445554784"/>
      <w:r>
        <w:rPr>
          <w:rFonts w:hint="eastAsia" w:ascii="宋体" w:hAnsi="宋体" w:eastAsia="仿宋"/>
          <w:color w:val="auto"/>
          <w:highlight w:val="none"/>
        </w:rPr>
        <w:t>第六章  投标文件格式</w:t>
      </w:r>
      <w:bookmarkEnd w:id="886"/>
      <w:bookmarkEnd w:id="887"/>
      <w:bookmarkEnd w:id="888"/>
    </w:p>
    <w:p w14:paraId="575D27FE">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644434A6">
      <w:pPr>
        <w:widowControl/>
        <w:adjustRightInd w:val="0"/>
        <w:snapToGrid w:val="0"/>
        <w:spacing w:before="48" w:beforeLines="20" w:after="48" w:afterLines="20" w:line="540" w:lineRule="exact"/>
        <w:rPr>
          <w:rFonts w:hint="eastAsia" w:ascii="黑体" w:hAnsi="黑体" w:eastAsia="黑体"/>
          <w:color w:val="auto"/>
          <w:sz w:val="36"/>
          <w:highlight w:val="none"/>
        </w:rPr>
      </w:pPr>
    </w:p>
    <w:p w14:paraId="17C71ECC">
      <w:pPr>
        <w:widowControl/>
        <w:adjustRightInd w:val="0"/>
        <w:snapToGrid w:val="0"/>
        <w:spacing w:line="360" w:lineRule="auto"/>
        <w:ind w:firstLine="480" w:firstLineChars="200"/>
        <w:rPr>
          <w:rFonts w:hint="eastAsia" w:ascii="仿宋_GB2312" w:hAnsi="黑体" w:eastAsia="仿宋_GB2312"/>
          <w:color w:val="auto"/>
          <w:sz w:val="24"/>
          <w:highlight w:val="none"/>
        </w:rPr>
      </w:pPr>
      <w:r>
        <w:rPr>
          <w:rFonts w:hint="eastAsia" w:ascii="仿宋_GB2312" w:hAnsi="黑体" w:eastAsia="仿宋_GB2312"/>
          <w:color w:val="auto"/>
          <w:sz w:val="24"/>
          <w:highlight w:val="none"/>
        </w:rPr>
        <w:t>注：1.投标人应按给定格式编制投标文件，相关格式可以扩展。评标办法、招标澄清修改等招标文件要求提供相关材料的，此处未给出格式、章节的，请投标人自定格式，编制在投标文件内。</w:t>
      </w:r>
    </w:p>
    <w:p w14:paraId="512F5B4B">
      <w:pPr>
        <w:widowControl/>
        <w:adjustRightInd w:val="0"/>
        <w:snapToGrid w:val="0"/>
        <w:spacing w:line="360" w:lineRule="auto"/>
        <w:ind w:firstLine="480" w:firstLineChars="200"/>
        <w:rPr>
          <w:rFonts w:hint="eastAsia" w:ascii="仿宋_GB2312" w:hAnsi="宋体" w:eastAsia="仿宋_GB2312"/>
          <w:color w:val="auto"/>
          <w:sz w:val="24"/>
          <w:highlight w:val="none"/>
        </w:rPr>
      </w:pPr>
      <w:r>
        <w:rPr>
          <w:rFonts w:hint="eastAsia" w:ascii="仿宋_GB2312" w:hAnsi="黑体" w:eastAsia="仿宋_GB2312"/>
          <w:color w:val="auto"/>
          <w:sz w:val="24"/>
          <w:highlight w:val="none"/>
        </w:rPr>
        <w:t>2.采用全流程电子招标投标时，投标文件格式要求盖章的，可为电子签章，或盖章后的扫描件。投标文件格式要求签字的，电子投标文件中，应采用签字后的扫描件。</w:t>
      </w:r>
    </w:p>
    <w:p w14:paraId="298AEABB">
      <w:pPr>
        <w:widowControl/>
        <w:spacing w:line="560" w:lineRule="exact"/>
        <w:ind w:firstLine="420" w:firstLineChars="200"/>
        <w:jc w:val="center"/>
        <w:rPr>
          <w:rFonts w:hint="eastAsia" w:ascii="宋体" w:hAnsi="宋体" w:eastAsia="仿宋"/>
          <w:color w:val="auto"/>
          <w:szCs w:val="21"/>
          <w:highlight w:val="none"/>
        </w:rPr>
      </w:pPr>
      <w:r>
        <w:rPr>
          <w:rFonts w:ascii="宋体" w:hAnsi="宋体" w:eastAsia="仿宋"/>
          <w:color w:val="auto"/>
          <w:szCs w:val="21"/>
          <w:highlight w:val="none"/>
        </w:rPr>
        <w:br w:type="page"/>
      </w:r>
    </w:p>
    <w:p w14:paraId="4AFCC3EB">
      <w:pPr>
        <w:widowControl/>
        <w:spacing w:line="560" w:lineRule="exact"/>
        <w:ind w:firstLine="420" w:firstLineChars="200"/>
        <w:jc w:val="center"/>
        <w:rPr>
          <w:rFonts w:hint="eastAsia" w:ascii="宋体" w:hAnsi="宋体" w:eastAsia="仿宋"/>
          <w:color w:val="auto"/>
          <w:szCs w:val="21"/>
          <w:highlight w:val="none"/>
        </w:rPr>
      </w:pPr>
    </w:p>
    <w:p w14:paraId="63DE829B">
      <w:pPr>
        <w:widowControl/>
        <w:spacing w:line="560" w:lineRule="exact"/>
        <w:ind w:firstLine="420" w:firstLineChars="200"/>
        <w:jc w:val="center"/>
        <w:rPr>
          <w:rFonts w:hint="eastAsia" w:ascii="宋体" w:hAnsi="宋体" w:eastAsia="仿宋"/>
          <w:color w:val="auto"/>
          <w:szCs w:val="21"/>
          <w:highlight w:val="none"/>
        </w:rPr>
      </w:pPr>
    </w:p>
    <w:p w14:paraId="6A932BF5">
      <w:pPr>
        <w:widowControl/>
        <w:spacing w:line="560" w:lineRule="exact"/>
        <w:ind w:firstLine="420" w:firstLineChars="200"/>
        <w:jc w:val="center"/>
        <w:rPr>
          <w:rFonts w:hint="eastAsia" w:ascii="宋体" w:hAnsi="宋体" w:eastAsia="仿宋"/>
          <w:color w:val="auto"/>
          <w:szCs w:val="21"/>
          <w:highlight w:val="none"/>
        </w:rPr>
      </w:pPr>
    </w:p>
    <w:p w14:paraId="4F8D9407">
      <w:pPr>
        <w:widowControl/>
        <w:spacing w:line="560" w:lineRule="exact"/>
        <w:ind w:firstLine="420" w:firstLineChars="200"/>
        <w:jc w:val="center"/>
        <w:rPr>
          <w:rFonts w:hint="eastAsia" w:ascii="宋体" w:hAnsi="宋体" w:cs="宋体"/>
          <w:color w:val="auto"/>
          <w:szCs w:val="21"/>
          <w:highlight w:val="none"/>
        </w:rPr>
      </w:pPr>
    </w:p>
    <w:p w14:paraId="261A276F">
      <w:pPr>
        <w:widowControl/>
        <w:spacing w:line="560" w:lineRule="exact"/>
        <w:ind w:firstLine="880" w:firstLineChars="200"/>
        <w:jc w:val="center"/>
        <w:rPr>
          <w:rFonts w:hint="eastAsia" w:ascii="宋体" w:hAnsi="宋体" w:cs="宋体"/>
          <w:color w:val="auto"/>
          <w:sz w:val="44"/>
          <w:szCs w:val="44"/>
          <w:highlight w:val="none"/>
        </w:rPr>
      </w:pPr>
      <w:r>
        <w:rPr>
          <w:rFonts w:hint="eastAsia" w:ascii="宋体" w:hAnsi="宋体" w:cs="宋体"/>
          <w:color w:val="auto"/>
          <w:sz w:val="44"/>
          <w:szCs w:val="44"/>
          <w:highlight w:val="none"/>
          <w:u w:val="single"/>
        </w:rPr>
        <w:t xml:space="preserve">             </w:t>
      </w:r>
      <w:r>
        <w:rPr>
          <w:rFonts w:hint="eastAsia" w:ascii="宋体" w:hAnsi="宋体" w:cs="宋体"/>
          <w:color w:val="auto"/>
          <w:sz w:val="44"/>
          <w:szCs w:val="44"/>
          <w:highlight w:val="none"/>
        </w:rPr>
        <w:t>（项目名称）招标</w:t>
      </w:r>
    </w:p>
    <w:p w14:paraId="5B178D1A">
      <w:pPr>
        <w:widowControl/>
        <w:spacing w:line="560" w:lineRule="exact"/>
        <w:ind w:firstLine="400" w:firstLineChars="200"/>
        <w:jc w:val="center"/>
        <w:rPr>
          <w:rFonts w:hint="eastAsia" w:ascii="宋体" w:hAnsi="宋体" w:cs="宋体"/>
          <w:color w:val="auto"/>
          <w:sz w:val="20"/>
          <w:szCs w:val="20"/>
          <w:highlight w:val="none"/>
        </w:rPr>
      </w:pPr>
    </w:p>
    <w:p w14:paraId="5E9E6F14">
      <w:pPr>
        <w:widowControl/>
        <w:spacing w:line="560" w:lineRule="exact"/>
        <w:ind w:firstLine="400" w:firstLineChars="200"/>
        <w:jc w:val="center"/>
        <w:rPr>
          <w:rFonts w:hint="eastAsia" w:ascii="宋体" w:hAnsi="宋体" w:cs="宋体"/>
          <w:color w:val="auto"/>
          <w:sz w:val="20"/>
          <w:szCs w:val="20"/>
          <w:highlight w:val="none"/>
        </w:rPr>
      </w:pPr>
    </w:p>
    <w:p w14:paraId="36F78D9F">
      <w:pPr>
        <w:widowControl/>
        <w:snapToGrid w:val="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投  标  文  件</w:t>
      </w:r>
    </w:p>
    <w:p w14:paraId="2764E4E9">
      <w:pPr>
        <w:widowControl/>
        <w:spacing w:line="560" w:lineRule="exact"/>
        <w:ind w:firstLine="560" w:firstLineChars="200"/>
        <w:rPr>
          <w:rFonts w:hint="eastAsia" w:ascii="宋体" w:hAnsi="宋体" w:cs="宋体"/>
          <w:color w:val="auto"/>
          <w:sz w:val="28"/>
          <w:szCs w:val="28"/>
          <w:highlight w:val="none"/>
        </w:rPr>
      </w:pPr>
    </w:p>
    <w:p w14:paraId="38D0FB75">
      <w:pPr>
        <w:widowControl/>
        <w:spacing w:line="560" w:lineRule="exact"/>
        <w:ind w:firstLine="560" w:firstLineChars="200"/>
        <w:rPr>
          <w:rFonts w:hint="eastAsia" w:ascii="宋体" w:hAnsi="宋体" w:cs="宋体"/>
          <w:color w:val="auto"/>
          <w:sz w:val="28"/>
          <w:szCs w:val="28"/>
          <w:highlight w:val="none"/>
        </w:rPr>
      </w:pPr>
    </w:p>
    <w:p w14:paraId="7A1C2824">
      <w:pPr>
        <w:widowControl/>
        <w:spacing w:line="560" w:lineRule="exact"/>
        <w:ind w:firstLine="560" w:firstLineChars="200"/>
        <w:rPr>
          <w:rFonts w:hint="eastAsia" w:ascii="宋体" w:hAnsi="宋体" w:cs="宋体"/>
          <w:color w:val="auto"/>
          <w:sz w:val="28"/>
          <w:szCs w:val="28"/>
          <w:highlight w:val="none"/>
        </w:rPr>
      </w:pPr>
    </w:p>
    <w:p w14:paraId="48C2BD5D">
      <w:pPr>
        <w:widowControl/>
        <w:spacing w:line="560" w:lineRule="exact"/>
        <w:ind w:firstLine="560" w:firstLineChars="200"/>
        <w:rPr>
          <w:rFonts w:hint="eastAsia" w:ascii="宋体" w:hAnsi="宋体" w:cs="宋体"/>
          <w:color w:val="auto"/>
          <w:sz w:val="28"/>
          <w:szCs w:val="28"/>
          <w:highlight w:val="none"/>
        </w:rPr>
      </w:pPr>
    </w:p>
    <w:p w14:paraId="0F44A669">
      <w:pPr>
        <w:widowControl/>
        <w:spacing w:line="560" w:lineRule="exact"/>
        <w:ind w:firstLine="560" w:firstLineChars="200"/>
        <w:rPr>
          <w:rFonts w:hint="eastAsia" w:ascii="宋体" w:hAnsi="宋体" w:cs="宋体"/>
          <w:color w:val="auto"/>
          <w:sz w:val="28"/>
          <w:szCs w:val="28"/>
          <w:highlight w:val="none"/>
        </w:rPr>
      </w:pPr>
    </w:p>
    <w:p w14:paraId="43E96390">
      <w:pPr>
        <w:widowControl/>
        <w:spacing w:line="560" w:lineRule="exact"/>
        <w:ind w:firstLine="560" w:firstLineChars="200"/>
        <w:rPr>
          <w:rFonts w:hint="eastAsia" w:ascii="宋体" w:hAnsi="宋体" w:cs="宋体"/>
          <w:color w:val="auto"/>
          <w:sz w:val="28"/>
          <w:szCs w:val="28"/>
          <w:highlight w:val="none"/>
        </w:rPr>
      </w:pPr>
    </w:p>
    <w:p w14:paraId="0EDD8E73">
      <w:pPr>
        <w:widowControl/>
        <w:spacing w:line="560" w:lineRule="exact"/>
        <w:ind w:firstLine="560" w:firstLineChars="20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投标人名称：</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 xml:space="preserve"> </w:t>
      </w:r>
    </w:p>
    <w:p w14:paraId="7C038B09">
      <w:pPr>
        <w:widowControl/>
        <w:spacing w:line="560" w:lineRule="exact"/>
        <w:ind w:firstLine="560" w:firstLineChars="200"/>
        <w:rPr>
          <w:rFonts w:hint="eastAsia" w:ascii="宋体" w:hAnsi="宋体" w:cs="宋体"/>
          <w:color w:val="auto"/>
          <w:sz w:val="28"/>
          <w:szCs w:val="28"/>
          <w:highlight w:val="none"/>
        </w:rPr>
      </w:pPr>
    </w:p>
    <w:p w14:paraId="3AE758AF">
      <w:pPr>
        <w:widowControl/>
        <w:spacing w:line="560" w:lineRule="exact"/>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法定代表人（单位负责人）或其委托代理人：</w:t>
      </w:r>
      <w:r>
        <w:rPr>
          <w:rFonts w:hint="eastAsia" w:ascii="宋体" w:hAnsi="宋体" w:cs="宋体"/>
          <w:color w:val="auto"/>
          <w:sz w:val="28"/>
          <w:szCs w:val="28"/>
          <w:highlight w:val="none"/>
          <w:u w:val="single"/>
        </w:rPr>
        <w:t xml:space="preserve">        </w:t>
      </w:r>
    </w:p>
    <w:p w14:paraId="385D2F7A">
      <w:pPr>
        <w:widowControl/>
        <w:spacing w:line="560" w:lineRule="exact"/>
        <w:ind w:firstLine="2800" w:firstLineChars="1000"/>
        <w:rPr>
          <w:rFonts w:hint="eastAsia" w:ascii="宋体" w:hAnsi="宋体" w:cs="宋体"/>
          <w:color w:val="auto"/>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2C7C82E">
      <w:pPr>
        <w:widowControl/>
        <w:jc w:val="center"/>
        <w:rPr>
          <w:rFonts w:hint="eastAsia" w:ascii="宋体" w:hAnsi="宋体" w:cs="宋体"/>
          <w:b/>
          <w:bCs/>
          <w:color w:val="auto"/>
          <w:sz w:val="44"/>
          <w:szCs w:val="44"/>
          <w:highlight w:val="none"/>
        </w:rPr>
      </w:pPr>
    </w:p>
    <w:p w14:paraId="37F9F158">
      <w:pPr>
        <w:widowControl/>
        <w:jc w:val="center"/>
        <w:rPr>
          <w:rFonts w:hint="eastAsia" w:ascii="宋体" w:hAnsi="宋体" w:cs="宋体"/>
          <w:b/>
          <w:bCs/>
          <w:color w:val="auto"/>
          <w:sz w:val="44"/>
          <w:szCs w:val="44"/>
          <w:highlight w:val="none"/>
        </w:rPr>
      </w:pPr>
    </w:p>
    <w:p w14:paraId="1CC8257E">
      <w:pPr>
        <w:widowControl/>
        <w:jc w:val="center"/>
        <w:rPr>
          <w:rFonts w:hint="eastAsia" w:ascii="宋体" w:hAnsi="宋体" w:cs="宋体"/>
          <w:b/>
          <w:bCs/>
          <w:color w:val="auto"/>
          <w:sz w:val="44"/>
          <w:szCs w:val="4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56A51961">
      <w:pPr>
        <w:widowControl/>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p>
    <w:p w14:paraId="38F56BF6">
      <w:pPr>
        <w:widowControl/>
        <w:rPr>
          <w:rFonts w:hint="eastAsia" w:ascii="宋体" w:hAnsi="宋体" w:cs="宋体"/>
          <w:bCs/>
          <w:color w:val="auto"/>
          <w:sz w:val="28"/>
          <w:szCs w:val="28"/>
          <w:highlight w:val="none"/>
        </w:rPr>
      </w:pPr>
    </w:p>
    <w:p w14:paraId="57F4788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一、投标函</w:t>
      </w:r>
    </w:p>
    <w:p w14:paraId="7F775F3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二、开标一览表</w:t>
      </w:r>
    </w:p>
    <w:p w14:paraId="175EF5F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三、分项报价表</w:t>
      </w:r>
    </w:p>
    <w:p w14:paraId="56D1C52F">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四、投标人综合情况简介</w:t>
      </w:r>
    </w:p>
    <w:p w14:paraId="6F10EB8C">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五、中小企业声明函（货物）</w:t>
      </w:r>
    </w:p>
    <w:p w14:paraId="2DA64EB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六、法定代表人（单位负责人）身份证明或授权委托书</w:t>
      </w:r>
    </w:p>
    <w:p w14:paraId="60E8445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七、资格审查材料</w:t>
      </w:r>
    </w:p>
    <w:p w14:paraId="27D22FDB">
      <w:pPr>
        <w:widowControl/>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、符合性审查与详细评审材料</w:t>
      </w:r>
    </w:p>
    <w:p w14:paraId="7DF604C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、主要标的承诺函</w:t>
      </w:r>
    </w:p>
    <w:p w14:paraId="2B81D13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十、投标相关信息汇总表</w:t>
      </w:r>
    </w:p>
    <w:p w14:paraId="49B549F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十一、</w:t>
      </w:r>
      <w:r>
        <w:rPr>
          <w:rFonts w:hint="eastAsia" w:ascii="宋体" w:hAnsi="宋体" w:cs="宋体"/>
          <w:color w:val="auto"/>
          <w:szCs w:val="21"/>
          <w:highlight w:val="none"/>
        </w:rPr>
        <w:t>投标人认为应该提供的其他材料</w:t>
      </w:r>
    </w:p>
    <w:p w14:paraId="27C496E1">
      <w:pPr>
        <w:widowControl/>
        <w:rPr>
          <w:rFonts w:hint="eastAsia" w:ascii="宋体" w:hAnsi="宋体" w:cs="宋体"/>
          <w:bCs/>
          <w:color w:val="auto"/>
          <w:highlight w:val="none"/>
        </w:rPr>
      </w:pPr>
    </w:p>
    <w:p w14:paraId="054AA7F7">
      <w:pPr>
        <w:pStyle w:val="3"/>
        <w:widowControl/>
        <w:spacing w:before="120" w:after="120" w:line="240" w:lineRule="auto"/>
        <w:jc w:val="center"/>
        <w:rPr>
          <w:rStyle w:val="107"/>
          <w:rFonts w:hint="eastAsia" w:ascii="宋体" w:hAnsi="宋体" w:eastAsia="宋体" w:cs="宋体"/>
          <w:b/>
          <w:bCs/>
          <w:color w:val="auto"/>
          <w:sz w:val="30"/>
          <w:szCs w:val="30"/>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340E1EFB">
      <w:pPr>
        <w:widowControl/>
        <w:rPr>
          <w:rFonts w:hint="eastAsia" w:ascii="宋体" w:hAnsi="宋体" w:cs="宋体"/>
          <w:b/>
          <w:color w:val="auto"/>
          <w:szCs w:val="21"/>
          <w:highlight w:val="none"/>
        </w:rPr>
      </w:pPr>
    </w:p>
    <w:p w14:paraId="1AF6FDB2">
      <w:pPr>
        <w:pStyle w:val="3"/>
        <w:widowControl/>
        <w:spacing w:before="120" w:after="120" w:line="240" w:lineRule="auto"/>
        <w:jc w:val="center"/>
        <w:rPr>
          <w:rStyle w:val="107"/>
          <w:rFonts w:hint="eastAsia" w:ascii="宋体" w:hAnsi="宋体" w:eastAsia="宋体" w:cs="宋体"/>
          <w:b/>
          <w:bCs w:val="0"/>
          <w:color w:val="auto"/>
          <w:sz w:val="30"/>
          <w:szCs w:val="30"/>
          <w:highlight w:val="none"/>
        </w:rPr>
      </w:pPr>
      <w:bookmarkStart w:id="889" w:name="_Toc466024587"/>
      <w:bookmarkStart w:id="890" w:name="_Toc445554786"/>
      <w:r>
        <w:rPr>
          <w:rStyle w:val="107"/>
          <w:rFonts w:hint="eastAsia" w:ascii="宋体" w:hAnsi="宋体" w:eastAsia="宋体" w:cs="宋体"/>
          <w:b/>
          <w:bCs w:val="0"/>
          <w:color w:val="auto"/>
          <w:sz w:val="30"/>
          <w:szCs w:val="30"/>
          <w:highlight w:val="none"/>
        </w:rPr>
        <w:t>一、投标函</w:t>
      </w:r>
    </w:p>
    <w:p w14:paraId="510285A7">
      <w:pPr>
        <w:widowControl/>
        <w:tabs>
          <w:tab w:val="left" w:leader="underscore" w:pos="2880"/>
        </w:tabs>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致：安徽省卫生健康委员会（采购人名称)</w:t>
      </w:r>
    </w:p>
    <w:p w14:paraId="56B840DB">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安徽省招标集团股份有限公司</w:t>
      </w:r>
      <w:r>
        <w:rPr>
          <w:rFonts w:hint="eastAsia" w:ascii="宋体" w:hAnsi="宋体" w:cs="宋体"/>
          <w:color w:val="auto"/>
          <w:szCs w:val="21"/>
          <w:highlight w:val="none"/>
        </w:rPr>
        <w:t>（采购代理名称)</w:t>
      </w:r>
    </w:p>
    <w:p w14:paraId="3C6223D2">
      <w:pPr>
        <w:widowControl/>
        <w:spacing w:line="400" w:lineRule="exact"/>
        <w:ind w:firstLine="420" w:firstLineChars="200"/>
        <w:rPr>
          <w:rFonts w:hint="eastAsia" w:ascii="宋体" w:hAnsi="宋体" w:cs="宋体"/>
          <w:color w:val="auto"/>
          <w:szCs w:val="21"/>
          <w:highlight w:val="none"/>
        </w:rPr>
      </w:pPr>
    </w:p>
    <w:p w14:paraId="34049CC1">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1.我方已仔细研究了编号为</w:t>
      </w:r>
      <w:r>
        <w:rPr>
          <w:rFonts w:hint="eastAsia" w:ascii="宋体" w:hAnsi="宋体" w:cs="宋体"/>
          <w:color w:val="auto"/>
          <w:szCs w:val="21"/>
          <w:highlight w:val="none"/>
          <w:lang w:eastAsia="zh-CN"/>
        </w:rPr>
        <w:t>ZF2025-36-2023</w:t>
      </w:r>
      <w:r>
        <w:rPr>
          <w:rFonts w:hint="eastAsia" w:ascii="宋体" w:hAnsi="宋体" w:cs="宋体"/>
          <w:color w:val="auto"/>
          <w:szCs w:val="21"/>
          <w:highlight w:val="none"/>
        </w:rPr>
        <w:t>的</w:t>
      </w:r>
      <w:r>
        <w:rPr>
          <w:rFonts w:hint="eastAsia" w:ascii="宋体" w:hAnsi="宋体" w:cs="宋体"/>
          <w:color w:val="auto"/>
          <w:szCs w:val="21"/>
          <w:highlight w:val="none"/>
          <w:lang w:eastAsia="zh-CN"/>
        </w:rPr>
        <w:t>安徽省紧密型县域医共体设备更新一期项目-核磁共振成像系统（MR）二</w:t>
      </w:r>
      <w:r>
        <w:rPr>
          <w:rFonts w:hint="eastAsia" w:ascii="宋体" w:hAnsi="宋体" w:cs="宋体"/>
          <w:color w:val="auto"/>
          <w:szCs w:val="21"/>
          <w:highlight w:val="none"/>
        </w:rPr>
        <w:t>招标文件的全部内容，接受你方在招标文件中对投标人的约束条件。我方愿意以开标一览表中确定的投标总价，按照合同的约定履行合同义务。</w:t>
      </w:r>
    </w:p>
    <w:p w14:paraId="4E029E58">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2.我方承诺在招标文件规定的投标有效期内不修改、撤销投标文件</w:t>
      </w:r>
      <w:r>
        <w:rPr>
          <w:rFonts w:hint="eastAsia" w:ascii="宋体" w:hAnsi="宋体" w:cs="宋体"/>
          <w:color w:val="auto"/>
          <w:highlight w:val="none"/>
        </w:rPr>
        <w:t>，且随时准备接受你方发出的中标通知书</w:t>
      </w:r>
      <w:r>
        <w:rPr>
          <w:rFonts w:hint="eastAsia" w:ascii="宋体" w:hAnsi="宋体" w:cs="宋体"/>
          <w:color w:val="auto"/>
          <w:szCs w:val="21"/>
          <w:highlight w:val="none"/>
        </w:rPr>
        <w:t>。</w:t>
      </w:r>
    </w:p>
    <w:p w14:paraId="2F9C551D">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3.我方已详细审查全部招标文件，包括全部澄清、修改、答疑补充文件。我们完全理解并同意放弃对这方面有不明及误解的权力。</w:t>
      </w:r>
    </w:p>
    <w:p w14:paraId="469ACC18">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4.我方在此声明，所递交的投标文件及有关资料内容完整、真实和准确，且不存在招标文件第二章“投标人须知”第1.3.3项规定的任何一种情形。</w:t>
      </w:r>
    </w:p>
    <w:p w14:paraId="7512E661">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5.如我方中标：</w:t>
      </w:r>
    </w:p>
    <w:p w14:paraId="083CEC07">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（1）我方承诺在收到中标通知书后，在中标通知书规定的期限内与你方签订合同；</w:t>
      </w:r>
    </w:p>
    <w:p w14:paraId="157ED54C">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（2）在签订合同时不向你方提出附加条件；</w:t>
      </w:r>
    </w:p>
    <w:p w14:paraId="0E2993E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（3）我方承诺按照招标文件规定向你方递交履约保证金；</w:t>
      </w:r>
    </w:p>
    <w:p w14:paraId="5760AA4B">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（4）我方承诺在合同约定的期限内提供并交付货物及服务，履行合同规定的各项义务。</w:t>
      </w:r>
    </w:p>
    <w:p w14:paraId="06BD16E9">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6.我方同意按照你方要求提供与我方投标有关的一切数据或资料，完全理解你方不一定接受最低价的投标或收到的任何投标。</w:t>
      </w:r>
    </w:p>
    <w:p w14:paraId="004D1047">
      <w:pPr>
        <w:widowControl/>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7.我方对投标文件中所提供资料、文件、证书及证件的真实性、合法性和有效性负责。</w:t>
      </w:r>
    </w:p>
    <w:p w14:paraId="4B02E4B5">
      <w:pPr>
        <w:widowControl/>
        <w:tabs>
          <w:tab w:val="left" w:leader="underscore" w:pos="3600"/>
          <w:tab w:val="left" w:leader="underscore" w:pos="5400"/>
        </w:tabs>
        <w:spacing w:line="400" w:lineRule="exact"/>
        <w:ind w:firstLine="422" w:firstLineChars="200"/>
        <w:rPr>
          <w:rFonts w:ascii="宋体" w:hAnsi="宋体" w:cs="宋体"/>
          <w:b/>
          <w:color w:val="auto"/>
          <w:highlight w:val="none"/>
          <w:u w:val="single"/>
        </w:rPr>
      </w:pPr>
      <w:r>
        <w:rPr>
          <w:rFonts w:hint="eastAsia" w:ascii="宋体" w:hAnsi="宋体" w:cs="宋体"/>
          <w:b/>
          <w:color w:val="auto"/>
          <w:highlight w:val="none"/>
        </w:rPr>
        <w:t>8.其他补充说明：</w:t>
      </w:r>
      <w:r>
        <w:rPr>
          <w:rFonts w:hint="eastAsia" w:ascii="宋体" w:hAnsi="宋体" w:cs="宋体"/>
          <w:b/>
          <w:color w:val="auto"/>
          <w:highlight w:val="none"/>
          <w:u w:val="single"/>
        </w:rPr>
        <w:t>（1）若投标产品为第一类医疗器械，我方承诺在合同签订前提供其向所在地设区的市级负责药品监督管理部门完成生产备案的证明材料；（2）若投标产品为第一类医疗器械，我方承诺在合同签订前提供其向相应药品监督管理部门完成产品备案的证明材料；（3）若投标产品为第二类医疗器械，我方承诺在合同签订前提供其向所在地设区的市级负责药品监督管理部门完成经营备案的证明材料。</w:t>
      </w:r>
    </w:p>
    <w:p w14:paraId="46146FD9">
      <w:pPr>
        <w:pStyle w:val="156"/>
        <w:spacing w:line="390" w:lineRule="atLeast"/>
        <w:rPr>
          <w:rFonts w:hint="eastAsia" w:ascii="宋体" w:hAnsi="宋体" w:cs="宋体"/>
          <w:color w:val="auto"/>
          <w:highlight w:val="none"/>
        </w:rPr>
      </w:pPr>
    </w:p>
    <w:p w14:paraId="5E3694AB">
      <w:pPr>
        <w:pStyle w:val="156"/>
        <w:spacing w:line="390" w:lineRule="atLeast"/>
        <w:rPr>
          <w:rFonts w:hint="eastAsia"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（盖</w:t>
      </w:r>
      <w:r>
        <w:rPr>
          <w:rFonts w:hint="eastAsia" w:ascii="宋体" w:hAnsi="宋体" w:cs="宋体"/>
          <w:color w:val="auto"/>
          <w:spacing w:val="-1"/>
          <w:highlight w:val="none"/>
        </w:rPr>
        <w:t>单</w:t>
      </w:r>
      <w:r>
        <w:rPr>
          <w:rFonts w:hint="eastAsia" w:ascii="宋体" w:hAnsi="宋体" w:cs="宋体"/>
          <w:color w:val="auto"/>
          <w:highlight w:val="none"/>
        </w:rPr>
        <w:t>位章）</w:t>
      </w:r>
    </w:p>
    <w:p w14:paraId="5626675C">
      <w:pPr>
        <w:pStyle w:val="156"/>
        <w:spacing w:line="390" w:lineRule="atLeast"/>
        <w:rPr>
          <w:rFonts w:hint="eastAsia" w:ascii="宋体" w:hAnsi="宋体" w:cs="宋体"/>
          <w:color w:val="auto"/>
          <w:highlight w:val="none"/>
        </w:rPr>
      </w:pPr>
      <w:r>
        <w:rPr>
          <w:rFonts w:hint="eastAsia" w:ascii="宋体" w:hAnsi="宋体" w:cs="宋体"/>
          <w:color w:val="auto"/>
          <w:highlight w:val="none"/>
        </w:rPr>
        <w:t>法定代表人（单位负责人）或其委托代理人</w:t>
      </w:r>
      <w:r>
        <w:rPr>
          <w:rFonts w:hint="eastAsia" w:ascii="宋体" w:hAnsi="宋体" w:cs="宋体"/>
          <w:color w:val="auto"/>
          <w:spacing w:val="1"/>
          <w:highlight w:val="none"/>
        </w:rPr>
        <w:t>：</w:t>
      </w:r>
      <w:r>
        <w:rPr>
          <w:rFonts w:hint="eastAsia" w:ascii="宋体" w:hAnsi="宋体" w:cs="宋体"/>
          <w:color w:val="auto"/>
          <w:spacing w:val="42"/>
          <w:highlight w:val="none"/>
          <w:u w:val="single"/>
        </w:rPr>
        <w:t xml:space="preserve">            </w:t>
      </w:r>
      <w:r>
        <w:rPr>
          <w:rFonts w:hint="eastAsia" w:ascii="宋体" w:hAnsi="宋体" w:cs="宋体"/>
          <w:color w:val="auto"/>
          <w:highlight w:val="none"/>
        </w:rPr>
        <w:t>（签字或盖章）</w:t>
      </w:r>
    </w:p>
    <w:p w14:paraId="5466E3CF">
      <w:pPr>
        <w:pStyle w:val="156"/>
        <w:spacing w:line="390" w:lineRule="atLeast"/>
        <w:rPr>
          <w:rFonts w:hint="eastAsia" w:ascii="宋体" w:hAnsi="宋体" w:cs="宋体"/>
          <w:color w:val="auto"/>
          <w:highlight w:val="none"/>
        </w:rPr>
      </w:pPr>
      <w:r>
        <w:rPr>
          <w:rFonts w:hint="eastAsia" w:ascii="宋体" w:hAnsi="宋体" w:cs="宋体"/>
          <w:color w:val="auto"/>
          <w:spacing w:val="-1"/>
          <w:highlight w:val="none"/>
        </w:rPr>
        <w:t>地</w:t>
      </w:r>
      <w:r>
        <w:rPr>
          <w:rFonts w:hint="eastAsia" w:ascii="宋体" w:hAnsi="宋体" w:cs="宋体"/>
          <w:color w:val="auto"/>
          <w:spacing w:val="1"/>
          <w:highlight w:val="none"/>
        </w:rPr>
        <w:t>址</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spacing w:val="-1"/>
          <w:highlight w:val="none"/>
        </w:rPr>
        <w:t>邮</w:t>
      </w:r>
      <w:r>
        <w:rPr>
          <w:rFonts w:hint="eastAsia" w:ascii="宋体" w:hAnsi="宋体" w:cs="宋体"/>
          <w:color w:val="auto"/>
          <w:highlight w:val="none"/>
        </w:rPr>
        <w:t>编</w:t>
      </w:r>
      <w:r>
        <w:rPr>
          <w:rFonts w:hint="eastAsia" w:ascii="宋体" w:hAnsi="宋体" w:cs="宋体"/>
          <w:color w:val="auto"/>
          <w:highlight w:val="none"/>
          <w:u w:val="single"/>
        </w:rPr>
        <w:t xml:space="preserve">                            </w:t>
      </w:r>
    </w:p>
    <w:p w14:paraId="32778489">
      <w:pPr>
        <w:pStyle w:val="156"/>
        <w:spacing w:line="390" w:lineRule="atLeast"/>
        <w:rPr>
          <w:rFonts w:hint="eastAsia" w:ascii="宋体" w:hAnsi="宋体" w:cs="宋体"/>
          <w:color w:val="auto"/>
          <w:highlight w:val="none"/>
        </w:rPr>
      </w:pPr>
      <w:r>
        <w:rPr>
          <w:rFonts w:hint="eastAsia" w:ascii="宋体" w:hAnsi="宋体" w:cs="宋体"/>
          <w:color w:val="auto"/>
          <w:spacing w:val="-1"/>
          <w:highlight w:val="none"/>
        </w:rPr>
        <w:t>电</w:t>
      </w:r>
      <w:r>
        <w:rPr>
          <w:rFonts w:hint="eastAsia" w:ascii="宋体" w:hAnsi="宋体" w:cs="宋体"/>
          <w:color w:val="auto"/>
          <w:spacing w:val="1"/>
          <w:highlight w:val="none"/>
        </w:rPr>
        <w:t>话</w:t>
      </w:r>
      <w:r>
        <w:rPr>
          <w:rFonts w:hint="eastAsia" w:ascii="宋体" w:hAnsi="宋体" w:cs="宋体"/>
          <w:color w:val="auto"/>
          <w:highlight w:val="none"/>
          <w:u w:val="single"/>
        </w:rPr>
        <w:t xml:space="preserve">                        </w:t>
      </w:r>
      <w:r>
        <w:rPr>
          <w:rFonts w:hint="eastAsia" w:ascii="宋体" w:hAnsi="宋体" w:cs="宋体"/>
          <w:color w:val="auto"/>
          <w:spacing w:val="-1"/>
          <w:highlight w:val="none"/>
        </w:rPr>
        <w:t>传</w:t>
      </w:r>
      <w:r>
        <w:rPr>
          <w:rFonts w:hint="eastAsia" w:ascii="宋体" w:hAnsi="宋体" w:cs="宋体"/>
          <w:color w:val="auto"/>
          <w:highlight w:val="none"/>
        </w:rPr>
        <w:t>真</w:t>
      </w:r>
      <w:r>
        <w:rPr>
          <w:rFonts w:hint="eastAsia" w:ascii="宋体" w:hAnsi="宋体" w:cs="宋体"/>
          <w:color w:val="auto"/>
          <w:highlight w:val="none"/>
          <w:u w:val="single"/>
        </w:rPr>
        <w:t xml:space="preserve">                       </w:t>
      </w:r>
    </w:p>
    <w:p w14:paraId="72DC9731">
      <w:pPr>
        <w:pStyle w:val="156"/>
        <w:spacing w:line="390" w:lineRule="atLeast"/>
        <w:rPr>
          <w:rFonts w:hint="eastAsia" w:ascii="宋体" w:hAnsi="宋体" w:cs="宋体"/>
          <w:color w:val="auto"/>
          <w:highlight w:val="none"/>
        </w:rPr>
      </w:pPr>
      <w:r>
        <w:rPr>
          <w:rFonts w:hint="eastAsia" w:ascii="宋体" w:hAnsi="宋体" w:cs="宋体"/>
          <w:color w:val="auto"/>
          <w:highlight w:val="none"/>
        </w:rPr>
        <w:t>电子邮箱</w:t>
      </w:r>
      <w:r>
        <w:rPr>
          <w:rFonts w:hint="eastAsia" w:ascii="宋体" w:hAnsi="宋体" w:cs="宋体"/>
          <w:color w:val="auto"/>
          <w:highlight w:val="none"/>
          <w:u w:val="single"/>
        </w:rPr>
        <w:t xml:space="preserve">                  </w:t>
      </w:r>
      <w:r>
        <w:rPr>
          <w:rFonts w:hint="eastAsia" w:ascii="宋体" w:hAnsi="宋体" w:cs="宋体"/>
          <w:color w:val="auto"/>
          <w:highlight w:val="none"/>
        </w:rPr>
        <w:t>网址：</w:t>
      </w:r>
      <w:r>
        <w:rPr>
          <w:rFonts w:hint="eastAsia" w:ascii="宋体" w:hAnsi="宋体" w:cs="宋体"/>
          <w:color w:val="auto"/>
          <w:highlight w:val="none"/>
          <w:u w:val="single"/>
        </w:rPr>
        <w:t xml:space="preserve">                       </w:t>
      </w:r>
    </w:p>
    <w:p w14:paraId="0F30C3DF">
      <w:pPr>
        <w:pStyle w:val="156"/>
        <w:spacing w:line="200" w:lineRule="atLeast"/>
        <w:rPr>
          <w:rFonts w:hint="eastAsia" w:ascii="宋体" w:hAnsi="宋体" w:cs="宋体"/>
          <w:color w:val="auto"/>
          <w:highlight w:val="none"/>
        </w:rPr>
      </w:pPr>
      <w:r>
        <w:rPr>
          <w:rFonts w:hint="eastAsia" w:ascii="宋体" w:hAnsi="宋体" w:cs="宋体"/>
          <w:color w:val="auto"/>
          <w:sz w:val="20"/>
          <w:szCs w:val="20"/>
          <w:highlight w:val="non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spacing w:val="42"/>
          <w:highlight w:val="none"/>
          <w:u w:val="single"/>
        </w:rPr>
        <w:t xml:space="preserve"> </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093FAC3B">
      <w:pPr>
        <w:pStyle w:val="156"/>
        <w:spacing w:line="200" w:lineRule="atLeast"/>
        <w:rPr>
          <w:rFonts w:hint="eastAsia" w:ascii="宋体" w:hAnsi="宋体" w:cs="宋体"/>
          <w:color w:val="auto"/>
          <w:sz w:val="20"/>
          <w:szCs w:val="20"/>
          <w:highlight w:val="none"/>
        </w:rPr>
      </w:pPr>
    </w:p>
    <w:p w14:paraId="14089169">
      <w:pPr>
        <w:pStyle w:val="156"/>
        <w:spacing w:before="6" w:line="220" w:lineRule="atLeast"/>
        <w:rPr>
          <w:rFonts w:hint="eastAsia" w:ascii="宋体" w:hAnsi="宋体" w:cs="宋体"/>
          <w:color w:val="auto"/>
          <w:sz w:val="22"/>
          <w:szCs w:val="22"/>
          <w:highlight w:val="none"/>
        </w:rPr>
      </w:pPr>
    </w:p>
    <w:p w14:paraId="7D015740">
      <w:pPr>
        <w:pStyle w:val="156"/>
        <w:ind w:left="120" w:right="-20"/>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64D0EE7E">
      <w:pPr>
        <w:pStyle w:val="3"/>
        <w:widowControl/>
        <w:spacing w:before="120" w:after="120" w:line="240" w:lineRule="auto"/>
        <w:jc w:val="center"/>
        <w:rPr>
          <w:rStyle w:val="107"/>
          <w:rFonts w:hint="eastAsia" w:ascii="宋体" w:hAnsi="宋体" w:eastAsia="宋体" w:cs="宋体"/>
          <w:b/>
          <w:bCs w:val="0"/>
          <w:color w:val="auto"/>
          <w:sz w:val="30"/>
          <w:szCs w:val="30"/>
          <w:highlight w:val="none"/>
        </w:rPr>
      </w:pPr>
      <w:r>
        <w:rPr>
          <w:rStyle w:val="107"/>
          <w:rFonts w:hint="eastAsia" w:ascii="宋体" w:hAnsi="宋体" w:eastAsia="宋体" w:cs="宋体"/>
          <w:b/>
          <w:bCs w:val="0"/>
          <w:color w:val="auto"/>
          <w:sz w:val="30"/>
          <w:szCs w:val="30"/>
          <w:highlight w:val="none"/>
        </w:rPr>
        <w:t>二、开标一览表</w:t>
      </w:r>
      <w:bookmarkEnd w:id="889"/>
      <w:bookmarkEnd w:id="890"/>
    </w:p>
    <w:p w14:paraId="688C4D20">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8"/>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02313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75" w:hRule="atLeast"/>
        </w:trPr>
        <w:tc>
          <w:tcPr>
            <w:tcW w:w="728" w:type="dxa"/>
            <w:noWrap w:val="0"/>
            <w:vAlign w:val="center"/>
          </w:tcPr>
          <w:p w14:paraId="5BAB471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715" w:type="dxa"/>
            <w:noWrap w:val="0"/>
            <w:vAlign w:val="center"/>
          </w:tcPr>
          <w:p w14:paraId="680F64F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项目</w:t>
            </w:r>
          </w:p>
        </w:tc>
        <w:tc>
          <w:tcPr>
            <w:tcW w:w="6095" w:type="dxa"/>
            <w:noWrap w:val="0"/>
            <w:vAlign w:val="center"/>
          </w:tcPr>
          <w:p w14:paraId="7EBA225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内容</w:t>
            </w:r>
          </w:p>
        </w:tc>
      </w:tr>
      <w:tr w14:paraId="43261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0A51A5D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15" w:type="dxa"/>
            <w:noWrap w:val="0"/>
            <w:vAlign w:val="center"/>
          </w:tcPr>
          <w:p w14:paraId="50254AD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6095" w:type="dxa"/>
            <w:noWrap w:val="0"/>
            <w:vAlign w:val="center"/>
          </w:tcPr>
          <w:p w14:paraId="4E0D712A">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7746F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2C07460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2715" w:type="dxa"/>
            <w:noWrap w:val="0"/>
            <w:vAlign w:val="center"/>
          </w:tcPr>
          <w:p w14:paraId="2F3CE88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项目编号</w:t>
            </w:r>
          </w:p>
        </w:tc>
        <w:tc>
          <w:tcPr>
            <w:tcW w:w="6095" w:type="dxa"/>
            <w:noWrap w:val="0"/>
            <w:vAlign w:val="center"/>
          </w:tcPr>
          <w:p w14:paraId="1DB23FB4">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ZF2025-36-2023</w:t>
            </w:r>
          </w:p>
        </w:tc>
      </w:tr>
      <w:tr w14:paraId="6C4A5A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1F1E802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2715" w:type="dxa"/>
            <w:noWrap w:val="0"/>
            <w:vAlign w:val="center"/>
          </w:tcPr>
          <w:p w14:paraId="53BEB28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标包</w:t>
            </w:r>
            <w:r>
              <w:rPr>
                <w:rFonts w:hint="eastAsia" w:ascii="宋体" w:hAnsi="宋体" w:cs="宋体"/>
                <w:color w:val="auto"/>
                <w:kern w:val="0"/>
                <w:szCs w:val="21"/>
                <w:highlight w:val="none"/>
              </w:rPr>
              <w:t>号（无分包，不填写）</w:t>
            </w:r>
          </w:p>
        </w:tc>
        <w:tc>
          <w:tcPr>
            <w:tcW w:w="6095" w:type="dxa"/>
            <w:noWrap w:val="0"/>
            <w:vAlign w:val="center"/>
          </w:tcPr>
          <w:p w14:paraId="3F21C3A4">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7E71D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728" w:type="dxa"/>
            <w:noWrap w:val="0"/>
            <w:vAlign w:val="center"/>
          </w:tcPr>
          <w:p w14:paraId="777309C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2715" w:type="dxa"/>
            <w:noWrap w:val="0"/>
            <w:vAlign w:val="center"/>
          </w:tcPr>
          <w:p w14:paraId="00A647E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6095" w:type="dxa"/>
            <w:noWrap w:val="0"/>
            <w:vAlign w:val="center"/>
          </w:tcPr>
          <w:p w14:paraId="13BBDCDB">
            <w:pPr>
              <w:keepNext w:val="0"/>
              <w:keepLines w:val="0"/>
              <w:widowControl/>
              <w:suppressLineNumbers w:val="0"/>
              <w:adjustRightInd w:val="0"/>
              <w:snapToGrid w:val="0"/>
              <w:spacing w:before="0" w:beforeAutospacing="0" w:after="0" w:afterAutospacing="0"/>
              <w:ind w:left="0" w:right="0"/>
              <w:rPr>
                <w:rFonts w:hint="eastAsia" w:ascii="宋体" w:hAnsi="宋体" w:cs="宋体"/>
                <w:color w:val="auto"/>
                <w:kern w:val="0"/>
                <w:szCs w:val="21"/>
                <w:highlight w:val="none"/>
              </w:rPr>
            </w:pPr>
          </w:p>
        </w:tc>
      </w:tr>
      <w:tr w14:paraId="7947C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8" w:hRule="atLeast"/>
        </w:trPr>
        <w:tc>
          <w:tcPr>
            <w:tcW w:w="728" w:type="dxa"/>
            <w:noWrap w:val="0"/>
            <w:vAlign w:val="center"/>
          </w:tcPr>
          <w:p w14:paraId="24F0349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p>
        </w:tc>
        <w:tc>
          <w:tcPr>
            <w:tcW w:w="2715" w:type="dxa"/>
            <w:noWrap w:val="0"/>
            <w:vAlign w:val="center"/>
          </w:tcPr>
          <w:p w14:paraId="47BFEC6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品牌型号</w:t>
            </w:r>
          </w:p>
        </w:tc>
        <w:tc>
          <w:tcPr>
            <w:tcW w:w="6095" w:type="dxa"/>
            <w:noWrap w:val="0"/>
            <w:vAlign w:val="center"/>
          </w:tcPr>
          <w:p w14:paraId="2F3377E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bl>
    <w:p w14:paraId="3BEDF74F">
      <w:pPr>
        <w:widowControl/>
        <w:spacing w:line="200" w:lineRule="atLeast"/>
        <w:rPr>
          <w:rFonts w:hint="eastAsia" w:ascii="宋体" w:hAnsi="宋体" w:cs="宋体"/>
          <w:color w:val="auto"/>
          <w:kern w:val="0"/>
          <w:szCs w:val="21"/>
          <w:highlight w:val="none"/>
        </w:rPr>
      </w:pPr>
    </w:p>
    <w:p w14:paraId="580D63DA">
      <w:pPr>
        <w:widowControl/>
        <w:spacing w:before="18" w:line="280" w:lineRule="atLeast"/>
        <w:rPr>
          <w:rFonts w:hint="eastAsia" w:ascii="宋体" w:hAnsi="宋体" w:cs="宋体"/>
          <w:color w:val="auto"/>
          <w:kern w:val="0"/>
          <w:szCs w:val="21"/>
          <w:highlight w:val="none"/>
        </w:rPr>
      </w:pPr>
    </w:p>
    <w:p w14:paraId="6A5D782A">
      <w:pPr>
        <w:widowControl/>
        <w:spacing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投</w:t>
      </w:r>
      <w:r>
        <w:rPr>
          <w:rFonts w:hint="eastAsia" w:ascii="宋体" w:hAnsi="宋体" w:cs="宋体"/>
          <w:color w:val="auto"/>
          <w:spacing w:val="43"/>
          <w:kern w:val="0"/>
          <w:szCs w:val="21"/>
          <w:highlight w:val="none"/>
        </w:rPr>
        <w:t xml:space="preserve"> </w:t>
      </w:r>
      <w:r>
        <w:rPr>
          <w:rFonts w:hint="eastAsia" w:ascii="宋体" w:hAnsi="宋体" w:cs="宋体"/>
          <w:color w:val="auto"/>
          <w:kern w:val="0"/>
          <w:szCs w:val="21"/>
          <w:highlight w:val="none"/>
        </w:rPr>
        <w:t>标</w:t>
      </w:r>
      <w:r>
        <w:rPr>
          <w:rFonts w:hint="eastAsia" w:ascii="宋体" w:hAnsi="宋体" w:cs="宋体"/>
          <w:color w:val="auto"/>
          <w:spacing w:val="43"/>
          <w:kern w:val="0"/>
          <w:szCs w:val="21"/>
          <w:highlight w:val="none"/>
        </w:rPr>
        <w:t xml:space="preserve"> </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（单位盖章）</w:t>
      </w:r>
    </w:p>
    <w:p w14:paraId="1CADBEAC">
      <w:pPr>
        <w:widowControl/>
        <w:spacing w:before="34" w:line="360" w:lineRule="auto"/>
        <w:ind w:left="2977" w:right="-2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法定代表人（单位负责人）或其委托代理人</w:t>
      </w:r>
      <w:r>
        <w:rPr>
          <w:rFonts w:hint="eastAsia" w:ascii="宋体" w:hAnsi="宋体" w:cs="宋体"/>
          <w:color w:val="auto"/>
          <w:spacing w:val="-47"/>
          <w:kern w:val="0"/>
          <w:szCs w:val="21"/>
          <w:highlight w:val="none"/>
        </w:rPr>
        <w:t>：</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（签字或盖章）</w:t>
      </w:r>
    </w:p>
    <w:p w14:paraId="23FFA2D1">
      <w:pPr>
        <w:widowControl/>
        <w:spacing w:before="34" w:line="360" w:lineRule="auto"/>
        <w:ind w:left="5516" w:right="-20"/>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spacing w:val="42"/>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56C2328B">
      <w:pPr>
        <w:widowControl/>
        <w:spacing w:line="200" w:lineRule="atLeast"/>
        <w:rPr>
          <w:rFonts w:hint="eastAsia" w:ascii="宋体" w:hAnsi="宋体" w:cs="宋体"/>
          <w:color w:val="auto"/>
          <w:kern w:val="0"/>
          <w:szCs w:val="21"/>
          <w:highlight w:val="none"/>
        </w:rPr>
      </w:pPr>
    </w:p>
    <w:p w14:paraId="5585DF8A">
      <w:pPr>
        <w:widowControl/>
        <w:spacing w:line="272" w:lineRule="atLeast"/>
        <w:ind w:left="160" w:right="-20"/>
        <w:rPr>
          <w:rFonts w:hint="eastAsia" w:ascii="宋体" w:hAnsi="宋体" w:cs="宋体"/>
          <w:color w:val="auto"/>
          <w:kern w:val="0"/>
          <w:szCs w:val="21"/>
          <w:highlight w:val="none"/>
        </w:rPr>
      </w:pPr>
      <w:r>
        <w:rPr>
          <w:rFonts w:hint="eastAsia" w:ascii="宋体" w:hAnsi="宋体" w:cs="宋体"/>
          <w:color w:val="auto"/>
          <w:kern w:val="0"/>
          <w:szCs w:val="21"/>
          <w:highlight w:val="none"/>
        </w:rPr>
        <w:t>1. 投标人应严格按照开标一览表的格式填写，否则可能导致其投标文件被否决。</w:t>
      </w:r>
    </w:p>
    <w:p w14:paraId="579AA843">
      <w:pPr>
        <w:widowControl/>
        <w:spacing w:line="272" w:lineRule="atLeast"/>
        <w:ind w:left="160" w:right="-20"/>
        <w:rPr>
          <w:rFonts w:hint="eastAsia" w:ascii="宋体" w:hAnsi="宋体" w:cs="宋体"/>
          <w:color w:val="auto"/>
          <w:kern w:val="0"/>
          <w:szCs w:val="21"/>
          <w:highlight w:val="none"/>
        </w:rPr>
      </w:pPr>
      <w:r>
        <w:rPr>
          <w:rFonts w:hint="eastAsia" w:ascii="宋体" w:hAnsi="宋体" w:cs="宋体"/>
          <w:color w:val="auto"/>
          <w:kern w:val="0"/>
          <w:szCs w:val="21"/>
          <w:highlight w:val="none"/>
        </w:rPr>
        <w:t>2. 招标项目编号和标包号应按招标文件给定的编号填写。</w:t>
      </w:r>
    </w:p>
    <w:p w14:paraId="70C0436C">
      <w:pPr>
        <w:widowControl/>
        <w:spacing w:line="272" w:lineRule="atLeast"/>
        <w:ind w:left="160" w:right="-20"/>
        <w:rPr>
          <w:rFonts w:hint="eastAsia" w:ascii="宋体" w:hAnsi="宋体" w:cs="宋体"/>
          <w:color w:val="auto"/>
          <w:kern w:val="0"/>
          <w:szCs w:val="21"/>
          <w:highlight w:val="none"/>
        </w:rPr>
      </w:pPr>
      <w:r>
        <w:rPr>
          <w:rFonts w:hint="eastAsia" w:ascii="宋体" w:hAnsi="宋体" w:cs="宋体"/>
          <w:color w:val="auto"/>
          <w:kern w:val="0"/>
          <w:szCs w:val="21"/>
          <w:highlight w:val="none"/>
        </w:rPr>
        <w:t>3. 投标人应就所投标的每一标包分别填写一张开标一览表。</w:t>
      </w:r>
    </w:p>
    <w:p w14:paraId="01BA1B89">
      <w:pPr>
        <w:widowControl/>
        <w:spacing w:line="272" w:lineRule="atLeast"/>
        <w:ind w:left="160" w:right="-20"/>
        <w:rPr>
          <w:rFonts w:hint="eastAsia" w:ascii="宋体" w:hAnsi="宋体" w:cs="宋体"/>
          <w:color w:val="auto"/>
          <w:kern w:val="0"/>
          <w:szCs w:val="21"/>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r>
        <w:rPr>
          <w:rFonts w:hint="eastAsia" w:ascii="宋体" w:hAnsi="宋体" w:cs="宋体"/>
          <w:color w:val="auto"/>
          <w:kern w:val="0"/>
          <w:szCs w:val="21"/>
          <w:highlight w:val="none"/>
        </w:rPr>
        <w:t>4. 本表中投标报价应与</w:t>
      </w:r>
      <w:r>
        <w:rPr>
          <w:rFonts w:hint="eastAsia" w:ascii="宋体" w:hAnsi="宋体" w:cs="宋体"/>
          <w:color w:val="auto"/>
          <w:kern w:val="0"/>
          <w:szCs w:val="21"/>
          <w:highlight w:val="none"/>
          <w:lang w:val="en-US" w:eastAsia="zh-CN"/>
        </w:rPr>
        <w:t>表3-1</w:t>
      </w:r>
      <w:r>
        <w:rPr>
          <w:rFonts w:hint="eastAsia" w:ascii="宋体" w:hAnsi="宋体" w:cs="宋体"/>
          <w:color w:val="auto"/>
          <w:kern w:val="0"/>
          <w:szCs w:val="21"/>
          <w:highlight w:val="none"/>
        </w:rPr>
        <w:t>分项报价表中的合计</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投标报价）</w:t>
      </w:r>
      <w:r>
        <w:rPr>
          <w:rFonts w:hint="eastAsia" w:ascii="宋体" w:hAnsi="宋体" w:cs="宋体"/>
          <w:color w:val="auto"/>
          <w:kern w:val="0"/>
          <w:szCs w:val="21"/>
          <w:highlight w:val="none"/>
        </w:rPr>
        <w:t>金额一致。</w:t>
      </w:r>
    </w:p>
    <w:p w14:paraId="3901ED13">
      <w:pPr>
        <w:pStyle w:val="3"/>
        <w:widowControl/>
        <w:spacing w:before="120" w:after="120" w:line="240" w:lineRule="auto"/>
        <w:jc w:val="center"/>
        <w:rPr>
          <w:rStyle w:val="107"/>
          <w:rFonts w:hint="eastAsia" w:ascii="宋体" w:hAnsi="宋体" w:eastAsia="宋体" w:cs="宋体"/>
          <w:b w:val="0"/>
          <w:bCs/>
          <w:color w:val="auto"/>
          <w:sz w:val="30"/>
          <w:szCs w:val="30"/>
          <w:highlight w:val="none"/>
        </w:rPr>
      </w:pPr>
      <w:bookmarkStart w:id="891" w:name="_Toc466024588"/>
      <w:bookmarkStart w:id="892" w:name="_Toc445554787"/>
      <w:r>
        <w:rPr>
          <w:rStyle w:val="107"/>
          <w:rFonts w:hint="eastAsia" w:ascii="宋体" w:hAnsi="宋体" w:eastAsia="宋体" w:cs="宋体"/>
          <w:b/>
          <w:bCs w:val="0"/>
          <w:color w:val="auto"/>
          <w:sz w:val="30"/>
          <w:szCs w:val="30"/>
          <w:highlight w:val="none"/>
        </w:rPr>
        <w:t>三、分项报价表</w:t>
      </w:r>
      <w:bookmarkEnd w:id="891"/>
      <w:bookmarkEnd w:id="892"/>
    </w:p>
    <w:p w14:paraId="0145E1EB">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表3-1  分项报价表</w:t>
      </w:r>
    </w:p>
    <w:p w14:paraId="49D48EEB">
      <w:pPr>
        <w:widowControl/>
        <w:spacing w:line="333" w:lineRule="atLeast"/>
        <w:ind w:right="840"/>
        <w:jc w:val="center"/>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 xml:space="preserve">                                                                        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 xml:space="preserve">  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人民币元</w:t>
      </w:r>
    </w:p>
    <w:tbl>
      <w:tblPr>
        <w:tblStyle w:val="48"/>
        <w:tblW w:w="14500" w:type="dxa"/>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1156"/>
        <w:gridCol w:w="1124"/>
        <w:gridCol w:w="567"/>
        <w:gridCol w:w="567"/>
        <w:gridCol w:w="1134"/>
        <w:gridCol w:w="1050"/>
        <w:gridCol w:w="934"/>
        <w:gridCol w:w="1050"/>
        <w:gridCol w:w="651"/>
        <w:gridCol w:w="709"/>
        <w:gridCol w:w="992"/>
        <w:gridCol w:w="993"/>
        <w:gridCol w:w="851"/>
        <w:gridCol w:w="850"/>
        <w:gridCol w:w="1134"/>
      </w:tblGrid>
      <w:tr w14:paraId="78F5B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4" w:hRule="atLeast"/>
        </w:trPr>
        <w:tc>
          <w:tcPr>
            <w:tcW w:w="738" w:type="dxa"/>
            <w:vMerge w:val="restart"/>
            <w:noWrap w:val="0"/>
            <w:vAlign w:val="center"/>
          </w:tcPr>
          <w:p w14:paraId="6C91518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vMerge w:val="restart"/>
            <w:noWrap w:val="0"/>
            <w:vAlign w:val="center"/>
          </w:tcPr>
          <w:p w14:paraId="2725212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名称</w:t>
            </w:r>
          </w:p>
        </w:tc>
        <w:tc>
          <w:tcPr>
            <w:tcW w:w="1124" w:type="dxa"/>
            <w:vMerge w:val="restart"/>
            <w:noWrap w:val="0"/>
            <w:vAlign w:val="center"/>
          </w:tcPr>
          <w:p w14:paraId="5B56A49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567" w:type="dxa"/>
            <w:vMerge w:val="restart"/>
            <w:noWrap w:val="0"/>
            <w:vAlign w:val="center"/>
          </w:tcPr>
          <w:p w14:paraId="77BB9B8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567" w:type="dxa"/>
            <w:vMerge w:val="restart"/>
            <w:noWrap w:val="0"/>
            <w:vAlign w:val="center"/>
          </w:tcPr>
          <w:p w14:paraId="5FC84EC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5528" w:type="dxa"/>
            <w:gridSpan w:val="6"/>
            <w:noWrap w:val="0"/>
            <w:vAlign w:val="center"/>
          </w:tcPr>
          <w:p w14:paraId="1C68B52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单价(元/单位)</w:t>
            </w:r>
          </w:p>
        </w:tc>
        <w:tc>
          <w:tcPr>
            <w:tcW w:w="992" w:type="dxa"/>
            <w:noWrap w:val="0"/>
            <w:vAlign w:val="center"/>
          </w:tcPr>
          <w:p w14:paraId="1A361C3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合价</w:t>
            </w:r>
          </w:p>
        </w:tc>
        <w:tc>
          <w:tcPr>
            <w:tcW w:w="993" w:type="dxa"/>
            <w:noWrap w:val="0"/>
            <w:vAlign w:val="center"/>
          </w:tcPr>
          <w:p w14:paraId="65A0B4A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851" w:type="dxa"/>
            <w:noWrap w:val="0"/>
            <w:vAlign w:val="center"/>
          </w:tcPr>
          <w:p w14:paraId="6E17E5F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850" w:type="dxa"/>
            <w:noWrap w:val="0"/>
            <w:vAlign w:val="center"/>
          </w:tcPr>
          <w:p w14:paraId="010BB64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1134" w:type="dxa"/>
            <w:noWrap w:val="0"/>
            <w:vAlign w:val="center"/>
          </w:tcPr>
          <w:p w14:paraId="7D7EDA4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r>
      <w:tr w14:paraId="2F57F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vMerge w:val="continue"/>
            <w:noWrap w:val="0"/>
            <w:vAlign w:val="center"/>
          </w:tcPr>
          <w:p w14:paraId="7E1DF38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vMerge w:val="continue"/>
            <w:noWrap w:val="0"/>
            <w:vAlign w:val="center"/>
          </w:tcPr>
          <w:p w14:paraId="1733F83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vMerge w:val="continue"/>
            <w:noWrap w:val="0"/>
            <w:vAlign w:val="center"/>
          </w:tcPr>
          <w:p w14:paraId="3197580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vMerge w:val="continue"/>
            <w:noWrap w:val="0"/>
            <w:vAlign w:val="center"/>
          </w:tcPr>
          <w:p w14:paraId="4BDA727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vMerge w:val="continue"/>
            <w:noWrap w:val="0"/>
            <w:vAlign w:val="center"/>
          </w:tcPr>
          <w:p w14:paraId="7F03321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2A9CCEB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主机及标准附件</w:t>
            </w:r>
          </w:p>
        </w:tc>
        <w:tc>
          <w:tcPr>
            <w:tcW w:w="1050" w:type="dxa"/>
            <w:noWrap w:val="0"/>
            <w:vAlign w:val="center"/>
          </w:tcPr>
          <w:p w14:paraId="789E3ED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运输、保险、卸货</w:t>
            </w:r>
          </w:p>
        </w:tc>
        <w:tc>
          <w:tcPr>
            <w:tcW w:w="934" w:type="dxa"/>
            <w:noWrap w:val="0"/>
            <w:vAlign w:val="center"/>
          </w:tcPr>
          <w:p w14:paraId="5B2B7CE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安装调试检验</w:t>
            </w:r>
          </w:p>
        </w:tc>
        <w:tc>
          <w:tcPr>
            <w:tcW w:w="1050" w:type="dxa"/>
            <w:noWrap w:val="0"/>
            <w:vAlign w:val="center"/>
          </w:tcPr>
          <w:p w14:paraId="1392A639">
            <w:pPr>
              <w:keepNext w:val="0"/>
              <w:keepLines w:val="0"/>
              <w:suppressLineNumbers w:val="0"/>
              <w:spacing w:before="0" w:beforeAutospacing="0" w:after="0" w:afterAutospacing="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培训及</w:t>
            </w:r>
          </w:p>
          <w:p w14:paraId="291ED0E0">
            <w:pPr>
              <w:keepNext w:val="0"/>
              <w:keepLines w:val="0"/>
              <w:suppressLineNumbers w:val="0"/>
              <w:spacing w:before="0" w:beforeAutospacing="0" w:after="0" w:afterAutospacing="0"/>
              <w:ind w:left="-105" w:leftChars="-50" w:right="-105" w:rightChars="-50"/>
              <w:jc w:val="center"/>
              <w:rPr>
                <w:rFonts w:hint="eastAsia" w:ascii="宋体" w:hAnsi="宋体" w:cs="宋体"/>
                <w:color w:val="auto"/>
                <w:szCs w:val="21"/>
                <w:highlight w:val="none"/>
              </w:rPr>
            </w:pPr>
            <w:r>
              <w:rPr>
                <w:rFonts w:hint="eastAsia" w:ascii="宋体" w:hAnsi="宋体" w:cs="宋体"/>
                <w:color w:val="auto"/>
                <w:szCs w:val="21"/>
                <w:highlight w:val="none"/>
              </w:rPr>
              <w:t>技术服务</w:t>
            </w:r>
          </w:p>
        </w:tc>
        <w:tc>
          <w:tcPr>
            <w:tcW w:w="651" w:type="dxa"/>
            <w:noWrap w:val="0"/>
            <w:vAlign w:val="center"/>
          </w:tcPr>
          <w:p w14:paraId="62C660B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09" w:type="dxa"/>
            <w:noWrap w:val="0"/>
            <w:vAlign w:val="center"/>
          </w:tcPr>
          <w:p w14:paraId="4B8D290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szCs w:val="21"/>
                <w:highlight w:val="none"/>
              </w:rPr>
              <w:t>小计</w:t>
            </w:r>
          </w:p>
        </w:tc>
        <w:tc>
          <w:tcPr>
            <w:tcW w:w="992" w:type="dxa"/>
            <w:noWrap w:val="0"/>
            <w:vAlign w:val="center"/>
          </w:tcPr>
          <w:p w14:paraId="32D43F9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10F7C03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42932EC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49C8FCD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56F17DC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72DCE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48CA51B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4D1C901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24" w:type="dxa"/>
            <w:noWrap w:val="0"/>
            <w:vAlign w:val="center"/>
          </w:tcPr>
          <w:p w14:paraId="4C00E11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67" w:type="dxa"/>
            <w:noWrap w:val="0"/>
            <w:vAlign w:val="center"/>
          </w:tcPr>
          <w:p w14:paraId="14EAAA4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67" w:type="dxa"/>
            <w:noWrap w:val="0"/>
            <w:vAlign w:val="center"/>
          </w:tcPr>
          <w:p w14:paraId="613D534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34" w:type="dxa"/>
            <w:noWrap w:val="0"/>
            <w:vAlign w:val="center"/>
          </w:tcPr>
          <w:p w14:paraId="40864BD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50" w:type="dxa"/>
            <w:noWrap w:val="0"/>
            <w:vAlign w:val="center"/>
          </w:tcPr>
          <w:p w14:paraId="6C3A36D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34" w:type="dxa"/>
            <w:noWrap w:val="0"/>
            <w:vAlign w:val="center"/>
          </w:tcPr>
          <w:p w14:paraId="722BF27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50" w:type="dxa"/>
            <w:noWrap w:val="0"/>
            <w:vAlign w:val="center"/>
          </w:tcPr>
          <w:p w14:paraId="43F7D41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651" w:type="dxa"/>
            <w:noWrap w:val="0"/>
            <w:vAlign w:val="center"/>
          </w:tcPr>
          <w:p w14:paraId="7BFF70F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09" w:type="dxa"/>
            <w:noWrap w:val="0"/>
            <w:vAlign w:val="center"/>
          </w:tcPr>
          <w:p w14:paraId="75968ED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2" w:type="dxa"/>
            <w:noWrap w:val="0"/>
            <w:vAlign w:val="center"/>
          </w:tcPr>
          <w:p w14:paraId="0800A01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noWrap w:val="0"/>
            <w:vAlign w:val="center"/>
          </w:tcPr>
          <w:p w14:paraId="3F95B29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1" w:type="dxa"/>
            <w:noWrap w:val="0"/>
            <w:vAlign w:val="center"/>
          </w:tcPr>
          <w:p w14:paraId="11E33B8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0" w:type="dxa"/>
            <w:noWrap w:val="0"/>
            <w:vAlign w:val="center"/>
          </w:tcPr>
          <w:p w14:paraId="21BEFDA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12ADC25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07025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23FBEF0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04F9E01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1E9CA0C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66C2C90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67D05FE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C47204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150A70B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29B0313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4E44ECC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547A639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656B258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73A3B5F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71BDF5D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3247C2D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72B51C0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0E46C44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13567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6D140E3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216C2CE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34F6734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3D00621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265F576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6D4C867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69D8646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1278478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5BFBF51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3AAD3D0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349593F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5EBD36C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0F39F1D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61A4850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6B48393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141F797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2E691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738" w:type="dxa"/>
            <w:noWrap w:val="0"/>
            <w:vAlign w:val="center"/>
          </w:tcPr>
          <w:p w14:paraId="5F37723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0BBDF53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6748788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76ED4D5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7F8CB8C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2305DAD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77D75A2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2FA7F10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49B1386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5E470B2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113CD35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7CC837B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318075A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4EF0510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268F231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0470155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40F46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1F2EE2D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184BE1D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7BA7593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55620DD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6CF8A74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190C79B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44F2E92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1574890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6CE36BB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651" w:type="dxa"/>
            <w:noWrap w:val="0"/>
            <w:vAlign w:val="center"/>
          </w:tcPr>
          <w:p w14:paraId="15FFFB2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09" w:type="dxa"/>
            <w:noWrap w:val="0"/>
            <w:vAlign w:val="center"/>
          </w:tcPr>
          <w:p w14:paraId="01F380C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2" w:type="dxa"/>
            <w:noWrap w:val="0"/>
            <w:vAlign w:val="center"/>
          </w:tcPr>
          <w:p w14:paraId="1080239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7BF62EB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1614527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300D8B5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1313C4C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2975B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9680" w:type="dxa"/>
            <w:gridSpan w:val="11"/>
            <w:noWrap w:val="0"/>
            <w:vAlign w:val="center"/>
          </w:tcPr>
          <w:p w14:paraId="37C21C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合计（投标报价）</w:t>
            </w:r>
          </w:p>
        </w:tc>
        <w:tc>
          <w:tcPr>
            <w:tcW w:w="992" w:type="dxa"/>
            <w:noWrap w:val="0"/>
            <w:vAlign w:val="center"/>
          </w:tcPr>
          <w:p w14:paraId="60848B3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828" w:type="dxa"/>
            <w:gridSpan w:val="4"/>
            <w:noWrap w:val="0"/>
            <w:vAlign w:val="center"/>
          </w:tcPr>
          <w:p w14:paraId="60852F0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r>
    </w:tbl>
    <w:p w14:paraId="66B1D019">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2A58AEC7">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1.“单价”系指货物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生产、包装、运输、保险、装卸（至指定地点）、安装（招标文件要求报价）、调试、检验、试运行、技术服务、培训等所有应由投标人承担的各项费用及税金。</w:t>
      </w:r>
    </w:p>
    <w:p w14:paraId="4E464978">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2.投标报价=分项报价表合计。</w:t>
      </w:r>
    </w:p>
    <w:p w14:paraId="79E3BA0C">
      <w:pPr>
        <w:widowControl/>
        <w:spacing w:line="200" w:lineRule="atLeast"/>
        <w:rPr>
          <w:rFonts w:ascii="宋体" w:hAnsi="宋体" w:cs="宋体"/>
          <w:color w:val="auto"/>
          <w:kern w:val="0"/>
          <w:szCs w:val="21"/>
          <w:highlight w:val="none"/>
        </w:rPr>
      </w:pPr>
      <w:r>
        <w:rPr>
          <w:rFonts w:hint="eastAsia" w:ascii="宋体" w:hAnsi="宋体" w:cs="宋体"/>
          <w:color w:val="auto"/>
          <w:kern w:val="0"/>
          <w:szCs w:val="21"/>
          <w:highlight w:val="none"/>
        </w:rPr>
        <w:t>3.要求单独报价的配件（或附件），计入投标总价时，需在分项报价表中列明。</w:t>
      </w:r>
    </w:p>
    <w:p w14:paraId="5F2D1359">
      <w:pPr>
        <w:widowControl/>
        <w:spacing w:line="200" w:lineRule="atLeast"/>
        <w:rPr>
          <w:rFonts w:hint="eastAsia" w:ascii="宋体" w:hAnsi="宋体" w:cs="宋体"/>
          <w:color w:val="auto"/>
          <w:kern w:val="0"/>
          <w:sz w:val="20"/>
          <w:szCs w:val="20"/>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r>
        <w:rPr>
          <w:rFonts w:hint="eastAsia" w:ascii="宋体" w:hAnsi="宋体" w:cs="宋体"/>
          <w:color w:val="auto"/>
          <w:kern w:val="0"/>
          <w:sz w:val="20"/>
          <w:szCs w:val="20"/>
          <w:highlight w:val="none"/>
        </w:rPr>
        <w:t xml:space="preserve"> </w:t>
      </w:r>
    </w:p>
    <w:p w14:paraId="33CF1E73">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kern w:val="0"/>
          <w:sz w:val="28"/>
          <w:szCs w:val="28"/>
          <w:highlight w:val="none"/>
        </w:rPr>
        <w:t>表3-2  单独报价配件（或附件）一览表</w:t>
      </w:r>
    </w:p>
    <w:p w14:paraId="4755CD0A">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8"/>
        <w:tblW w:w="15067" w:type="dxa"/>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1156"/>
        <w:gridCol w:w="1124"/>
        <w:gridCol w:w="567"/>
        <w:gridCol w:w="1134"/>
        <w:gridCol w:w="1050"/>
        <w:gridCol w:w="934"/>
        <w:gridCol w:w="1276"/>
        <w:gridCol w:w="793"/>
        <w:gridCol w:w="711"/>
        <w:gridCol w:w="993"/>
        <w:gridCol w:w="851"/>
        <w:gridCol w:w="850"/>
        <w:gridCol w:w="1275"/>
        <w:gridCol w:w="1615"/>
      </w:tblGrid>
      <w:tr w14:paraId="6F6B2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trPr>
        <w:tc>
          <w:tcPr>
            <w:tcW w:w="738" w:type="dxa"/>
            <w:vMerge w:val="restart"/>
            <w:noWrap w:val="0"/>
            <w:vAlign w:val="center"/>
          </w:tcPr>
          <w:p w14:paraId="5040E6E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156" w:type="dxa"/>
            <w:vMerge w:val="restart"/>
            <w:noWrap w:val="0"/>
            <w:vAlign w:val="center"/>
          </w:tcPr>
          <w:p w14:paraId="373027D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配件、附件名称</w:t>
            </w:r>
          </w:p>
        </w:tc>
        <w:tc>
          <w:tcPr>
            <w:tcW w:w="1124" w:type="dxa"/>
            <w:vMerge w:val="restart"/>
            <w:noWrap w:val="0"/>
            <w:vAlign w:val="center"/>
          </w:tcPr>
          <w:p w14:paraId="4975905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567" w:type="dxa"/>
            <w:vMerge w:val="restart"/>
            <w:noWrap w:val="0"/>
            <w:vAlign w:val="center"/>
          </w:tcPr>
          <w:p w14:paraId="4B3E572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5898" w:type="dxa"/>
            <w:gridSpan w:val="6"/>
            <w:noWrap w:val="0"/>
            <w:vAlign w:val="center"/>
          </w:tcPr>
          <w:p w14:paraId="11C9EFE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993" w:type="dxa"/>
            <w:vMerge w:val="restart"/>
            <w:noWrap w:val="0"/>
            <w:vAlign w:val="center"/>
          </w:tcPr>
          <w:p w14:paraId="584217E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851" w:type="dxa"/>
            <w:vMerge w:val="restart"/>
            <w:noWrap w:val="0"/>
            <w:vAlign w:val="center"/>
          </w:tcPr>
          <w:p w14:paraId="1CAFB14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850" w:type="dxa"/>
            <w:vMerge w:val="restart"/>
            <w:noWrap w:val="0"/>
            <w:vAlign w:val="center"/>
          </w:tcPr>
          <w:p w14:paraId="20D0AF6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1275" w:type="dxa"/>
            <w:vMerge w:val="restart"/>
            <w:noWrap w:val="0"/>
            <w:vAlign w:val="center"/>
          </w:tcPr>
          <w:p w14:paraId="22AF81E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c>
          <w:tcPr>
            <w:tcW w:w="1615" w:type="dxa"/>
            <w:vMerge w:val="restart"/>
            <w:noWrap w:val="0"/>
            <w:vAlign w:val="center"/>
          </w:tcPr>
          <w:p w14:paraId="75D765B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已计入本次投标总价的数量</w:t>
            </w:r>
          </w:p>
        </w:tc>
      </w:tr>
      <w:tr w14:paraId="61051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vMerge w:val="continue"/>
            <w:noWrap w:val="0"/>
            <w:vAlign w:val="center"/>
          </w:tcPr>
          <w:p w14:paraId="13CF21E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vMerge w:val="continue"/>
            <w:noWrap w:val="0"/>
            <w:vAlign w:val="center"/>
          </w:tcPr>
          <w:p w14:paraId="1D08B6D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vMerge w:val="continue"/>
            <w:noWrap w:val="0"/>
            <w:vAlign w:val="center"/>
          </w:tcPr>
          <w:p w14:paraId="7DC1F22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vMerge w:val="continue"/>
            <w:noWrap w:val="0"/>
            <w:vAlign w:val="center"/>
          </w:tcPr>
          <w:p w14:paraId="6BAF2D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6E85C5D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主机及标准附件</w:t>
            </w:r>
          </w:p>
        </w:tc>
        <w:tc>
          <w:tcPr>
            <w:tcW w:w="1050" w:type="dxa"/>
            <w:noWrap w:val="0"/>
            <w:vAlign w:val="center"/>
          </w:tcPr>
          <w:p w14:paraId="1555CA9D">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运输、保险、卸货</w:t>
            </w:r>
          </w:p>
        </w:tc>
        <w:tc>
          <w:tcPr>
            <w:tcW w:w="934" w:type="dxa"/>
            <w:noWrap w:val="0"/>
            <w:vAlign w:val="center"/>
          </w:tcPr>
          <w:p w14:paraId="24618DE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安装调试检验</w:t>
            </w:r>
          </w:p>
        </w:tc>
        <w:tc>
          <w:tcPr>
            <w:tcW w:w="1276" w:type="dxa"/>
            <w:noWrap w:val="0"/>
            <w:vAlign w:val="center"/>
          </w:tcPr>
          <w:p w14:paraId="3F27B57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培训及</w:t>
            </w:r>
          </w:p>
          <w:p w14:paraId="68259842">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技术服务</w:t>
            </w:r>
          </w:p>
        </w:tc>
        <w:tc>
          <w:tcPr>
            <w:tcW w:w="793" w:type="dxa"/>
            <w:noWrap w:val="0"/>
            <w:vAlign w:val="center"/>
          </w:tcPr>
          <w:p w14:paraId="4785D75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11" w:type="dxa"/>
            <w:noWrap w:val="0"/>
            <w:vAlign w:val="center"/>
          </w:tcPr>
          <w:p w14:paraId="7AF4A6B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szCs w:val="21"/>
                <w:highlight w:val="none"/>
              </w:rPr>
              <w:t>小计</w:t>
            </w:r>
          </w:p>
        </w:tc>
        <w:tc>
          <w:tcPr>
            <w:tcW w:w="993" w:type="dxa"/>
            <w:vMerge w:val="continue"/>
            <w:noWrap w:val="0"/>
            <w:vAlign w:val="center"/>
          </w:tcPr>
          <w:p w14:paraId="645DD45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vMerge w:val="continue"/>
            <w:noWrap w:val="0"/>
            <w:vAlign w:val="center"/>
          </w:tcPr>
          <w:p w14:paraId="1861175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vMerge w:val="continue"/>
            <w:noWrap w:val="0"/>
            <w:vAlign w:val="center"/>
          </w:tcPr>
          <w:p w14:paraId="4081CA5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vMerge w:val="continue"/>
            <w:noWrap w:val="0"/>
            <w:vAlign w:val="center"/>
          </w:tcPr>
          <w:p w14:paraId="5C208FD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vMerge w:val="continue"/>
            <w:noWrap w:val="0"/>
            <w:vAlign w:val="center"/>
          </w:tcPr>
          <w:p w14:paraId="4924685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5258E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0667F2C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64FF33E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24" w:type="dxa"/>
            <w:noWrap w:val="0"/>
            <w:vAlign w:val="center"/>
          </w:tcPr>
          <w:p w14:paraId="252E66F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67" w:type="dxa"/>
            <w:noWrap w:val="0"/>
            <w:vAlign w:val="center"/>
          </w:tcPr>
          <w:p w14:paraId="4DB088B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134" w:type="dxa"/>
            <w:noWrap w:val="0"/>
            <w:vAlign w:val="center"/>
          </w:tcPr>
          <w:p w14:paraId="32EA5975">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050" w:type="dxa"/>
            <w:noWrap w:val="0"/>
            <w:vAlign w:val="center"/>
          </w:tcPr>
          <w:p w14:paraId="7364F5AA">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34" w:type="dxa"/>
            <w:noWrap w:val="0"/>
            <w:vAlign w:val="center"/>
          </w:tcPr>
          <w:p w14:paraId="27A0BCB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1276" w:type="dxa"/>
            <w:noWrap w:val="0"/>
            <w:vAlign w:val="center"/>
          </w:tcPr>
          <w:p w14:paraId="644D628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93" w:type="dxa"/>
            <w:noWrap w:val="0"/>
            <w:vAlign w:val="center"/>
          </w:tcPr>
          <w:p w14:paraId="37543A9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711" w:type="dxa"/>
            <w:noWrap w:val="0"/>
            <w:vAlign w:val="center"/>
          </w:tcPr>
          <w:p w14:paraId="43279448">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993" w:type="dxa"/>
            <w:noWrap w:val="0"/>
            <w:vAlign w:val="center"/>
          </w:tcPr>
          <w:p w14:paraId="29DD890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1" w:type="dxa"/>
            <w:noWrap w:val="0"/>
            <w:vAlign w:val="center"/>
          </w:tcPr>
          <w:p w14:paraId="685C96F4">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850" w:type="dxa"/>
            <w:noWrap w:val="0"/>
            <w:vAlign w:val="center"/>
          </w:tcPr>
          <w:p w14:paraId="1CBBF8E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noWrap w:val="0"/>
            <w:vAlign w:val="center"/>
          </w:tcPr>
          <w:p w14:paraId="08289C4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noWrap w:val="0"/>
            <w:vAlign w:val="center"/>
          </w:tcPr>
          <w:p w14:paraId="6D1385B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37A37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00D05C8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346675E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3D8FE0A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55AE475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702E93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2238DE3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74C5058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6" w:type="dxa"/>
            <w:noWrap w:val="0"/>
            <w:vAlign w:val="center"/>
          </w:tcPr>
          <w:p w14:paraId="412748B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93" w:type="dxa"/>
            <w:noWrap w:val="0"/>
            <w:vAlign w:val="center"/>
          </w:tcPr>
          <w:p w14:paraId="5E3D8EA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11" w:type="dxa"/>
            <w:noWrap w:val="0"/>
            <w:vAlign w:val="center"/>
          </w:tcPr>
          <w:p w14:paraId="6B51C36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6CB6FBC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00B485A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5F7FD0D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noWrap w:val="0"/>
            <w:vAlign w:val="center"/>
          </w:tcPr>
          <w:p w14:paraId="20D369B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noWrap w:val="0"/>
            <w:vAlign w:val="center"/>
          </w:tcPr>
          <w:p w14:paraId="098BBD9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09996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435375A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5C9521B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3371203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1582F59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5ADCEE9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7687045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49041AB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6" w:type="dxa"/>
            <w:noWrap w:val="0"/>
            <w:vAlign w:val="center"/>
          </w:tcPr>
          <w:p w14:paraId="1537CB7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93" w:type="dxa"/>
            <w:noWrap w:val="0"/>
            <w:vAlign w:val="center"/>
          </w:tcPr>
          <w:p w14:paraId="3102654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11" w:type="dxa"/>
            <w:noWrap w:val="0"/>
            <w:vAlign w:val="center"/>
          </w:tcPr>
          <w:p w14:paraId="6A7177F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33FADA2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0313950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44393D3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noWrap w:val="0"/>
            <w:vAlign w:val="center"/>
          </w:tcPr>
          <w:p w14:paraId="4983823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noWrap w:val="0"/>
            <w:vAlign w:val="center"/>
          </w:tcPr>
          <w:p w14:paraId="57FF401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1EAF3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738" w:type="dxa"/>
            <w:noWrap w:val="0"/>
            <w:vAlign w:val="center"/>
          </w:tcPr>
          <w:p w14:paraId="1D72A3F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406CD48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372C94B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1617A64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653DBBE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30F6748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379C7B5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6" w:type="dxa"/>
            <w:noWrap w:val="0"/>
            <w:vAlign w:val="center"/>
          </w:tcPr>
          <w:p w14:paraId="25053FB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93" w:type="dxa"/>
            <w:noWrap w:val="0"/>
            <w:vAlign w:val="center"/>
          </w:tcPr>
          <w:p w14:paraId="57CEFC3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11" w:type="dxa"/>
            <w:noWrap w:val="0"/>
            <w:vAlign w:val="center"/>
          </w:tcPr>
          <w:p w14:paraId="6376302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7E9D422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411AC07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5A73A5C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noWrap w:val="0"/>
            <w:vAlign w:val="center"/>
          </w:tcPr>
          <w:p w14:paraId="643A641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noWrap w:val="0"/>
            <w:vAlign w:val="center"/>
          </w:tcPr>
          <w:p w14:paraId="02F9091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0B1EFF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38" w:type="dxa"/>
            <w:noWrap w:val="0"/>
            <w:vAlign w:val="center"/>
          </w:tcPr>
          <w:p w14:paraId="2952AA4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56" w:type="dxa"/>
            <w:noWrap w:val="0"/>
            <w:vAlign w:val="center"/>
          </w:tcPr>
          <w:p w14:paraId="5762DA2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24" w:type="dxa"/>
            <w:noWrap w:val="0"/>
            <w:vAlign w:val="center"/>
          </w:tcPr>
          <w:p w14:paraId="2334F74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67" w:type="dxa"/>
            <w:noWrap w:val="0"/>
            <w:vAlign w:val="center"/>
          </w:tcPr>
          <w:p w14:paraId="59D075D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30F9AD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050" w:type="dxa"/>
            <w:noWrap w:val="0"/>
            <w:vAlign w:val="center"/>
          </w:tcPr>
          <w:p w14:paraId="5250548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34" w:type="dxa"/>
            <w:noWrap w:val="0"/>
            <w:vAlign w:val="center"/>
          </w:tcPr>
          <w:p w14:paraId="067D506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6" w:type="dxa"/>
            <w:noWrap w:val="0"/>
            <w:vAlign w:val="center"/>
          </w:tcPr>
          <w:p w14:paraId="2367DDE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93" w:type="dxa"/>
            <w:noWrap w:val="0"/>
            <w:vAlign w:val="center"/>
          </w:tcPr>
          <w:p w14:paraId="423FFE2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711" w:type="dxa"/>
            <w:noWrap w:val="0"/>
            <w:vAlign w:val="center"/>
          </w:tcPr>
          <w:p w14:paraId="43C1F5E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993" w:type="dxa"/>
            <w:noWrap w:val="0"/>
            <w:vAlign w:val="center"/>
          </w:tcPr>
          <w:p w14:paraId="1A73D99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1" w:type="dxa"/>
            <w:noWrap w:val="0"/>
            <w:vAlign w:val="center"/>
          </w:tcPr>
          <w:p w14:paraId="666982D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850" w:type="dxa"/>
            <w:noWrap w:val="0"/>
            <w:vAlign w:val="center"/>
          </w:tcPr>
          <w:p w14:paraId="7F05DAA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275" w:type="dxa"/>
            <w:noWrap w:val="0"/>
            <w:vAlign w:val="center"/>
          </w:tcPr>
          <w:p w14:paraId="4425F1F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1615" w:type="dxa"/>
            <w:noWrap w:val="0"/>
            <w:vAlign w:val="center"/>
          </w:tcPr>
          <w:p w14:paraId="3CAEDFC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bl>
    <w:p w14:paraId="613B6138">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48C95E4C">
      <w:pPr>
        <w:widowControl/>
        <w:spacing w:line="200" w:lineRule="atLeast"/>
        <w:rPr>
          <w:rFonts w:hint="eastAsia" w:ascii="宋体" w:hAnsi="宋体" w:cs="宋体"/>
          <w:color w:val="auto"/>
          <w:kern w:val="0"/>
          <w:szCs w:val="21"/>
          <w:highlight w:val="none"/>
        </w:rPr>
      </w:pPr>
      <w:r>
        <w:rPr>
          <w:rFonts w:hint="eastAsia" w:ascii="宋体" w:hAnsi="宋体" w:cs="宋体"/>
          <w:color w:val="auto"/>
          <w:kern w:val="0"/>
          <w:szCs w:val="21"/>
          <w:highlight w:val="none"/>
        </w:rPr>
        <w:t>1.“单价”系指货物</w:t>
      </w:r>
      <w:r>
        <w:rPr>
          <w:rFonts w:hint="eastAsia" w:ascii="宋体" w:hAnsi="宋体" w:cs="宋体"/>
          <w:color w:val="auto"/>
          <w:szCs w:val="21"/>
          <w:highlight w:val="none"/>
        </w:rPr>
        <w:t>（服务）</w:t>
      </w:r>
      <w:r>
        <w:rPr>
          <w:rFonts w:hint="eastAsia" w:ascii="宋体" w:hAnsi="宋体" w:cs="宋体"/>
          <w:color w:val="auto"/>
          <w:kern w:val="0"/>
          <w:szCs w:val="21"/>
          <w:highlight w:val="none"/>
        </w:rPr>
        <w:t>生产、包装、运输、保险、装卸（至指定地点）、安装（招标文件要求报价）、调试、检验、试运行、技术服务、培训等所有应由投标人承担的各项费用及税金。</w:t>
      </w:r>
    </w:p>
    <w:p w14:paraId="58386CD9">
      <w:pPr>
        <w:widowControl/>
        <w:spacing w:before="8" w:line="110" w:lineRule="atLeas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color w:val="auto"/>
          <w:highlight w:val="none"/>
        </w:rPr>
        <w:t xml:space="preserve"> </w:t>
      </w:r>
      <w:r>
        <w:rPr>
          <w:rFonts w:hint="eastAsia" w:ascii="宋体" w:hAnsi="宋体" w:cs="宋体"/>
          <w:color w:val="auto"/>
          <w:kern w:val="0"/>
          <w:szCs w:val="21"/>
          <w:highlight w:val="none"/>
        </w:rPr>
        <w:t>在签订分合同时，各使用单位可根据临床使用需求，决定选择性采购招标文件中列明须单独报价的部分配件，实际合同价格为相应标准配置设备中标价格扣除不采购部分配件价格的价格。选择采购配件的执行价格不得高于投标文件中承诺的价格。投标人不得以货物的实际供货数量有变化为理由要求对各种货物的单价进行变更或拒签合同。</w:t>
      </w:r>
    </w:p>
    <w:p w14:paraId="359619AE">
      <w:pPr>
        <w:widowControl/>
        <w:spacing w:line="200" w:lineRule="atLeast"/>
        <w:rPr>
          <w:rFonts w:ascii="宋体" w:hAnsi="宋体" w:cs="宋体"/>
          <w:color w:val="auto"/>
          <w:kern w:val="0"/>
          <w:szCs w:val="21"/>
          <w:highlight w:val="none"/>
        </w:rPr>
      </w:pPr>
      <w:r>
        <w:rPr>
          <w:rFonts w:hint="eastAsia" w:ascii="宋体" w:hAnsi="宋体" w:cs="宋体"/>
          <w:color w:val="auto"/>
          <w:kern w:val="0"/>
          <w:szCs w:val="21"/>
          <w:highlight w:val="none"/>
        </w:rPr>
        <w:t>3.招标文件采购需求中要求单独报价的配件（或附件），均需在本表中列明。</w:t>
      </w:r>
    </w:p>
    <w:p w14:paraId="03E04F2F">
      <w:pPr>
        <w:widowControl/>
        <w:spacing w:before="8" w:line="110" w:lineRule="atLeast"/>
        <w:rPr>
          <w:rFonts w:hint="eastAsia" w:ascii="宋体" w:hAnsi="宋体" w:cs="宋体"/>
          <w:color w:val="auto"/>
          <w:kern w:val="0"/>
          <w:szCs w:val="21"/>
          <w:highlight w:val="none"/>
        </w:rPr>
      </w:pPr>
    </w:p>
    <w:p w14:paraId="42C49602">
      <w:pPr>
        <w:widowControl/>
        <w:ind w:left="1503" w:right="1683"/>
        <w:jc w:val="center"/>
        <w:rPr>
          <w:rFonts w:hint="eastAsia" w:ascii="宋体" w:hAnsi="宋体" w:cs="宋体"/>
          <w:color w:val="auto"/>
          <w:spacing w:val="12"/>
          <w:kern w:val="0"/>
          <w:sz w:val="28"/>
          <w:szCs w:val="28"/>
          <w:highlight w:val="none"/>
        </w:rPr>
      </w:pPr>
    </w:p>
    <w:p w14:paraId="780816AB">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spacing w:val="12"/>
          <w:kern w:val="0"/>
          <w:sz w:val="28"/>
          <w:szCs w:val="28"/>
          <w:highlight w:val="none"/>
        </w:rPr>
        <w:br w:type="page"/>
      </w:r>
      <w:r>
        <w:rPr>
          <w:rFonts w:hint="eastAsia" w:ascii="宋体" w:hAnsi="宋体" w:cs="宋体"/>
          <w:color w:val="auto"/>
          <w:spacing w:val="12"/>
          <w:kern w:val="0"/>
          <w:sz w:val="28"/>
          <w:szCs w:val="28"/>
          <w:highlight w:val="none"/>
        </w:rPr>
        <w:t>表3-3  质保期外备件及易损件</w:t>
      </w:r>
      <w:r>
        <w:rPr>
          <w:rFonts w:hint="eastAsia" w:ascii="宋体" w:hAnsi="宋体" w:cs="宋体"/>
          <w:color w:val="auto"/>
          <w:kern w:val="0"/>
          <w:sz w:val="28"/>
          <w:szCs w:val="28"/>
          <w:highlight w:val="none"/>
        </w:rPr>
        <w:t>分项报价表</w:t>
      </w:r>
    </w:p>
    <w:p w14:paraId="3BC67035">
      <w:pPr>
        <w:widowControl/>
        <w:spacing w:line="333" w:lineRule="atLeast"/>
        <w:jc w:val="right"/>
        <w:rPr>
          <w:rFonts w:hint="eastAsia" w:ascii="宋体" w:hAnsi="宋体" w:cs="宋体"/>
          <w:color w:val="auto"/>
          <w:kern w:val="0"/>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人民币</w:t>
      </w:r>
    </w:p>
    <w:tbl>
      <w:tblPr>
        <w:tblStyle w:val="48"/>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1"/>
        <w:gridCol w:w="1261"/>
        <w:gridCol w:w="1231"/>
        <w:gridCol w:w="617"/>
        <w:gridCol w:w="1435"/>
        <w:gridCol w:w="1491"/>
        <w:gridCol w:w="1429"/>
        <w:gridCol w:w="1326"/>
        <w:gridCol w:w="827"/>
        <w:gridCol w:w="1090"/>
        <w:gridCol w:w="930"/>
        <w:gridCol w:w="930"/>
        <w:gridCol w:w="1407"/>
      </w:tblGrid>
      <w:tr w14:paraId="0EF5B8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trPr>
        <w:tc>
          <w:tcPr>
            <w:tcW w:w="268" w:type="pct"/>
            <w:vMerge w:val="restart"/>
            <w:noWrap w:val="0"/>
            <w:vAlign w:val="center"/>
          </w:tcPr>
          <w:p w14:paraId="04EC9B5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427" w:type="pct"/>
            <w:vMerge w:val="restart"/>
            <w:noWrap w:val="0"/>
            <w:vAlign w:val="center"/>
          </w:tcPr>
          <w:p w14:paraId="529EFFC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质保期外备件及易损件名称</w:t>
            </w:r>
          </w:p>
        </w:tc>
        <w:tc>
          <w:tcPr>
            <w:tcW w:w="417" w:type="pct"/>
            <w:vMerge w:val="restart"/>
            <w:noWrap w:val="0"/>
            <w:vAlign w:val="center"/>
          </w:tcPr>
          <w:p w14:paraId="252C3AE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规格型号</w:t>
            </w:r>
          </w:p>
        </w:tc>
        <w:tc>
          <w:tcPr>
            <w:tcW w:w="209" w:type="pct"/>
            <w:vMerge w:val="restart"/>
            <w:noWrap w:val="0"/>
            <w:vAlign w:val="center"/>
          </w:tcPr>
          <w:p w14:paraId="38FFD44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2204" w:type="pct"/>
            <w:gridSpan w:val="5"/>
            <w:noWrap w:val="0"/>
            <w:vAlign w:val="center"/>
          </w:tcPr>
          <w:p w14:paraId="2DF6CF4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单价</w:t>
            </w:r>
          </w:p>
        </w:tc>
        <w:tc>
          <w:tcPr>
            <w:tcW w:w="369" w:type="pct"/>
            <w:vMerge w:val="restart"/>
            <w:noWrap w:val="0"/>
            <w:vAlign w:val="center"/>
          </w:tcPr>
          <w:p w14:paraId="6D829BD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制造商</w:t>
            </w:r>
          </w:p>
        </w:tc>
        <w:tc>
          <w:tcPr>
            <w:tcW w:w="315" w:type="pct"/>
            <w:vMerge w:val="restart"/>
            <w:noWrap w:val="0"/>
            <w:vAlign w:val="center"/>
          </w:tcPr>
          <w:p w14:paraId="79A1090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品牌</w:t>
            </w:r>
          </w:p>
        </w:tc>
        <w:tc>
          <w:tcPr>
            <w:tcW w:w="315" w:type="pct"/>
            <w:vMerge w:val="restart"/>
            <w:noWrap w:val="0"/>
            <w:vAlign w:val="center"/>
          </w:tcPr>
          <w:p w14:paraId="6F017E4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产地</w:t>
            </w:r>
          </w:p>
        </w:tc>
        <w:tc>
          <w:tcPr>
            <w:tcW w:w="473" w:type="pct"/>
            <w:vMerge w:val="restart"/>
            <w:noWrap w:val="0"/>
            <w:vAlign w:val="center"/>
          </w:tcPr>
          <w:p w14:paraId="6989936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发货地点</w:t>
            </w:r>
          </w:p>
        </w:tc>
      </w:tr>
      <w:tr w14:paraId="016CF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8" w:type="pct"/>
            <w:vMerge w:val="continue"/>
            <w:noWrap w:val="0"/>
            <w:vAlign w:val="center"/>
          </w:tcPr>
          <w:p w14:paraId="35EDBFB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vMerge w:val="continue"/>
            <w:noWrap w:val="0"/>
            <w:vAlign w:val="center"/>
          </w:tcPr>
          <w:p w14:paraId="2E3D0F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17" w:type="pct"/>
            <w:vMerge w:val="continue"/>
            <w:noWrap w:val="0"/>
            <w:vAlign w:val="center"/>
          </w:tcPr>
          <w:p w14:paraId="3946217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09" w:type="pct"/>
            <w:vMerge w:val="continue"/>
            <w:noWrap w:val="0"/>
            <w:vAlign w:val="center"/>
          </w:tcPr>
          <w:p w14:paraId="1736ADA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6" w:type="pct"/>
            <w:noWrap w:val="0"/>
            <w:vAlign w:val="center"/>
          </w:tcPr>
          <w:p w14:paraId="7FD480EB">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运输、保险、卸货</w:t>
            </w:r>
          </w:p>
        </w:tc>
        <w:tc>
          <w:tcPr>
            <w:tcW w:w="505" w:type="pct"/>
            <w:noWrap w:val="0"/>
            <w:vAlign w:val="center"/>
          </w:tcPr>
          <w:p w14:paraId="6C3FAA59">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安装调试检验</w:t>
            </w:r>
          </w:p>
        </w:tc>
        <w:tc>
          <w:tcPr>
            <w:tcW w:w="484" w:type="pct"/>
            <w:noWrap w:val="0"/>
            <w:vAlign w:val="center"/>
          </w:tcPr>
          <w:p w14:paraId="6B35213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培训及</w:t>
            </w:r>
          </w:p>
          <w:p w14:paraId="72CAE87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技术服务</w:t>
            </w:r>
          </w:p>
        </w:tc>
        <w:tc>
          <w:tcPr>
            <w:tcW w:w="449" w:type="pct"/>
            <w:noWrap w:val="0"/>
            <w:vAlign w:val="center"/>
          </w:tcPr>
          <w:p w14:paraId="14FDC1FF">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279" w:type="pct"/>
            <w:noWrap w:val="0"/>
            <w:vAlign w:val="center"/>
          </w:tcPr>
          <w:p w14:paraId="29814E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szCs w:val="21"/>
                <w:highlight w:val="none"/>
              </w:rPr>
              <w:t>小计</w:t>
            </w:r>
          </w:p>
        </w:tc>
        <w:tc>
          <w:tcPr>
            <w:tcW w:w="369" w:type="pct"/>
            <w:vMerge w:val="continue"/>
            <w:noWrap w:val="0"/>
            <w:vAlign w:val="center"/>
          </w:tcPr>
          <w:p w14:paraId="28A9E75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vMerge w:val="continue"/>
            <w:noWrap w:val="0"/>
            <w:vAlign w:val="center"/>
          </w:tcPr>
          <w:p w14:paraId="3DC8864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vMerge w:val="continue"/>
            <w:noWrap w:val="0"/>
            <w:vAlign w:val="center"/>
          </w:tcPr>
          <w:p w14:paraId="68C0E22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vMerge w:val="continue"/>
            <w:noWrap w:val="0"/>
            <w:vAlign w:val="center"/>
          </w:tcPr>
          <w:p w14:paraId="507B314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0DA92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8" w:type="pct"/>
            <w:noWrap w:val="0"/>
            <w:vAlign w:val="center"/>
          </w:tcPr>
          <w:p w14:paraId="7316572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noWrap w:val="0"/>
            <w:vAlign w:val="center"/>
          </w:tcPr>
          <w:p w14:paraId="6430C8B0">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17" w:type="pct"/>
            <w:noWrap w:val="0"/>
            <w:vAlign w:val="center"/>
          </w:tcPr>
          <w:p w14:paraId="0CCF5433">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09" w:type="pct"/>
            <w:noWrap w:val="0"/>
            <w:vAlign w:val="center"/>
          </w:tcPr>
          <w:p w14:paraId="33660417">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6" w:type="pct"/>
            <w:noWrap w:val="0"/>
            <w:vAlign w:val="center"/>
          </w:tcPr>
          <w:p w14:paraId="10BE10A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505" w:type="pct"/>
            <w:noWrap w:val="0"/>
            <w:vAlign w:val="center"/>
          </w:tcPr>
          <w:p w14:paraId="3F273831">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84" w:type="pct"/>
            <w:noWrap w:val="0"/>
            <w:vAlign w:val="center"/>
          </w:tcPr>
          <w:p w14:paraId="4B14256C">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449" w:type="pct"/>
            <w:noWrap w:val="0"/>
            <w:vAlign w:val="center"/>
          </w:tcPr>
          <w:p w14:paraId="7BDDFE5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279" w:type="pct"/>
            <w:noWrap w:val="0"/>
            <w:vAlign w:val="center"/>
          </w:tcPr>
          <w:p w14:paraId="23DD619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69" w:type="pct"/>
            <w:noWrap w:val="0"/>
            <w:vAlign w:val="center"/>
          </w:tcPr>
          <w:p w14:paraId="08FDE116">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15" w:type="pct"/>
            <w:noWrap w:val="0"/>
            <w:vAlign w:val="center"/>
          </w:tcPr>
          <w:p w14:paraId="25A01B1E">
            <w:pPr>
              <w:keepNext w:val="0"/>
              <w:keepLines w:val="0"/>
              <w:suppressLineNumbers w:val="0"/>
              <w:spacing w:before="0" w:beforeAutospacing="0" w:after="0" w:afterAutospacing="0"/>
              <w:ind w:left="0" w:right="0"/>
              <w:jc w:val="center"/>
              <w:rPr>
                <w:rFonts w:hint="eastAsia" w:ascii="宋体" w:hAnsi="宋体" w:cs="宋体"/>
                <w:color w:val="auto"/>
                <w:szCs w:val="21"/>
                <w:highlight w:val="none"/>
              </w:rPr>
            </w:pPr>
          </w:p>
        </w:tc>
        <w:tc>
          <w:tcPr>
            <w:tcW w:w="315" w:type="pct"/>
            <w:noWrap w:val="0"/>
            <w:vAlign w:val="center"/>
          </w:tcPr>
          <w:p w14:paraId="1D82AE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noWrap w:val="0"/>
            <w:vAlign w:val="center"/>
          </w:tcPr>
          <w:p w14:paraId="297579A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7064B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8" w:type="pct"/>
            <w:noWrap w:val="0"/>
            <w:vAlign w:val="center"/>
          </w:tcPr>
          <w:p w14:paraId="6DE1C15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noWrap w:val="0"/>
            <w:vAlign w:val="center"/>
          </w:tcPr>
          <w:p w14:paraId="7242C86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17" w:type="pct"/>
            <w:noWrap w:val="0"/>
            <w:vAlign w:val="center"/>
          </w:tcPr>
          <w:p w14:paraId="11821C2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09" w:type="pct"/>
            <w:noWrap w:val="0"/>
            <w:vAlign w:val="center"/>
          </w:tcPr>
          <w:p w14:paraId="4397C49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6" w:type="pct"/>
            <w:noWrap w:val="0"/>
            <w:vAlign w:val="center"/>
          </w:tcPr>
          <w:p w14:paraId="6FCCF13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05" w:type="pct"/>
            <w:noWrap w:val="0"/>
            <w:vAlign w:val="center"/>
          </w:tcPr>
          <w:p w14:paraId="7DC056C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4" w:type="pct"/>
            <w:noWrap w:val="0"/>
            <w:vAlign w:val="center"/>
          </w:tcPr>
          <w:p w14:paraId="39F00B4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49" w:type="pct"/>
            <w:noWrap w:val="0"/>
            <w:vAlign w:val="center"/>
          </w:tcPr>
          <w:p w14:paraId="6936631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79" w:type="pct"/>
            <w:noWrap w:val="0"/>
            <w:vAlign w:val="center"/>
          </w:tcPr>
          <w:p w14:paraId="1DC6ADC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69" w:type="pct"/>
            <w:noWrap w:val="0"/>
            <w:vAlign w:val="center"/>
          </w:tcPr>
          <w:p w14:paraId="549BA05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58F184B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6893104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noWrap w:val="0"/>
            <w:vAlign w:val="center"/>
          </w:tcPr>
          <w:p w14:paraId="3072996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69EE2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8" w:type="pct"/>
            <w:noWrap w:val="0"/>
            <w:vAlign w:val="center"/>
          </w:tcPr>
          <w:p w14:paraId="3CBE1E3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noWrap w:val="0"/>
            <w:vAlign w:val="center"/>
          </w:tcPr>
          <w:p w14:paraId="00638EB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17" w:type="pct"/>
            <w:noWrap w:val="0"/>
            <w:vAlign w:val="center"/>
          </w:tcPr>
          <w:p w14:paraId="2878DA5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09" w:type="pct"/>
            <w:noWrap w:val="0"/>
            <w:vAlign w:val="center"/>
          </w:tcPr>
          <w:p w14:paraId="78F981F9">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6" w:type="pct"/>
            <w:noWrap w:val="0"/>
            <w:vAlign w:val="center"/>
          </w:tcPr>
          <w:p w14:paraId="050EE1B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05" w:type="pct"/>
            <w:noWrap w:val="0"/>
            <w:vAlign w:val="center"/>
          </w:tcPr>
          <w:p w14:paraId="00F4AE6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4" w:type="pct"/>
            <w:noWrap w:val="0"/>
            <w:vAlign w:val="center"/>
          </w:tcPr>
          <w:p w14:paraId="6648234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49" w:type="pct"/>
            <w:noWrap w:val="0"/>
            <w:vAlign w:val="center"/>
          </w:tcPr>
          <w:p w14:paraId="167BF16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79" w:type="pct"/>
            <w:noWrap w:val="0"/>
            <w:vAlign w:val="center"/>
          </w:tcPr>
          <w:p w14:paraId="6AC4ED7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69" w:type="pct"/>
            <w:noWrap w:val="0"/>
            <w:vAlign w:val="center"/>
          </w:tcPr>
          <w:p w14:paraId="7A8EC1D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1DFD699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094492D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noWrap w:val="0"/>
            <w:vAlign w:val="center"/>
          </w:tcPr>
          <w:p w14:paraId="54B6BB44">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54645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atLeast"/>
        </w:trPr>
        <w:tc>
          <w:tcPr>
            <w:tcW w:w="268" w:type="pct"/>
            <w:noWrap w:val="0"/>
            <w:vAlign w:val="center"/>
          </w:tcPr>
          <w:p w14:paraId="6100D0F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noWrap w:val="0"/>
            <w:vAlign w:val="center"/>
          </w:tcPr>
          <w:p w14:paraId="05A8794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17" w:type="pct"/>
            <w:noWrap w:val="0"/>
            <w:vAlign w:val="center"/>
          </w:tcPr>
          <w:p w14:paraId="62BC413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09" w:type="pct"/>
            <w:noWrap w:val="0"/>
            <w:vAlign w:val="center"/>
          </w:tcPr>
          <w:p w14:paraId="6B8473AD">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6" w:type="pct"/>
            <w:noWrap w:val="0"/>
            <w:vAlign w:val="center"/>
          </w:tcPr>
          <w:p w14:paraId="0B45B75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05" w:type="pct"/>
            <w:noWrap w:val="0"/>
            <w:vAlign w:val="center"/>
          </w:tcPr>
          <w:p w14:paraId="2F8FE6F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4" w:type="pct"/>
            <w:noWrap w:val="0"/>
            <w:vAlign w:val="center"/>
          </w:tcPr>
          <w:p w14:paraId="1BDE309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49" w:type="pct"/>
            <w:noWrap w:val="0"/>
            <w:vAlign w:val="center"/>
          </w:tcPr>
          <w:p w14:paraId="4ADB4AE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79" w:type="pct"/>
            <w:noWrap w:val="0"/>
            <w:vAlign w:val="center"/>
          </w:tcPr>
          <w:p w14:paraId="5DA1366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69" w:type="pct"/>
            <w:noWrap w:val="0"/>
            <w:vAlign w:val="center"/>
          </w:tcPr>
          <w:p w14:paraId="22002B77">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73069C82">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4BC5603E">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noWrap w:val="0"/>
            <w:vAlign w:val="center"/>
          </w:tcPr>
          <w:p w14:paraId="7FDCBB6B">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6B3AB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268" w:type="pct"/>
            <w:noWrap w:val="0"/>
            <w:vAlign w:val="center"/>
          </w:tcPr>
          <w:p w14:paraId="6932843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27" w:type="pct"/>
            <w:noWrap w:val="0"/>
            <w:vAlign w:val="center"/>
          </w:tcPr>
          <w:p w14:paraId="0ECC408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17" w:type="pct"/>
            <w:noWrap w:val="0"/>
            <w:vAlign w:val="center"/>
          </w:tcPr>
          <w:p w14:paraId="423BC54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09" w:type="pct"/>
            <w:noWrap w:val="0"/>
            <w:vAlign w:val="center"/>
          </w:tcPr>
          <w:p w14:paraId="0CBFDD86">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6" w:type="pct"/>
            <w:noWrap w:val="0"/>
            <w:vAlign w:val="center"/>
          </w:tcPr>
          <w:p w14:paraId="3DE51AF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505" w:type="pct"/>
            <w:noWrap w:val="0"/>
            <w:vAlign w:val="center"/>
          </w:tcPr>
          <w:p w14:paraId="7B4FAA9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84" w:type="pct"/>
            <w:noWrap w:val="0"/>
            <w:vAlign w:val="center"/>
          </w:tcPr>
          <w:p w14:paraId="04C9AA2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49" w:type="pct"/>
            <w:noWrap w:val="0"/>
            <w:vAlign w:val="center"/>
          </w:tcPr>
          <w:p w14:paraId="46F93C75">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279" w:type="pct"/>
            <w:noWrap w:val="0"/>
            <w:vAlign w:val="center"/>
          </w:tcPr>
          <w:p w14:paraId="7CC4B63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69" w:type="pct"/>
            <w:noWrap w:val="0"/>
            <w:vAlign w:val="center"/>
          </w:tcPr>
          <w:p w14:paraId="76F55E2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4694264F">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315" w:type="pct"/>
            <w:noWrap w:val="0"/>
            <w:vAlign w:val="center"/>
          </w:tcPr>
          <w:p w14:paraId="080381F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c>
          <w:tcPr>
            <w:tcW w:w="473" w:type="pct"/>
            <w:noWrap w:val="0"/>
            <w:vAlign w:val="center"/>
          </w:tcPr>
          <w:p w14:paraId="515D1DA0">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p>
        </w:tc>
      </w:tr>
      <w:tr w14:paraId="47BB9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5000" w:type="pct"/>
            <w:gridSpan w:val="13"/>
            <w:noWrap w:val="0"/>
            <w:vAlign w:val="center"/>
          </w:tcPr>
          <w:p w14:paraId="2F12753B">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注：此表价格不含在投标总价内</w:t>
            </w:r>
          </w:p>
        </w:tc>
      </w:tr>
    </w:tbl>
    <w:p w14:paraId="433673B9">
      <w:pPr>
        <w:widowControl/>
        <w:spacing w:line="272" w:lineRule="atLeast"/>
        <w:ind w:left="160" w:right="-20"/>
        <w:rPr>
          <w:rFonts w:hint="eastAsia" w:ascii="宋体" w:hAnsi="宋体" w:cs="宋体"/>
          <w:color w:val="auto"/>
          <w:kern w:val="0"/>
          <w:szCs w:val="21"/>
          <w:highlight w:val="none"/>
        </w:rPr>
      </w:pPr>
    </w:p>
    <w:p w14:paraId="75114916">
      <w:pPr>
        <w:widowControl/>
        <w:spacing w:line="272" w:lineRule="atLeast"/>
        <w:ind w:left="160" w:right="-20"/>
        <w:rPr>
          <w:rFonts w:hint="eastAsia" w:ascii="宋体" w:hAnsi="宋体" w:cs="宋体"/>
          <w:color w:val="auto"/>
          <w:kern w:val="0"/>
          <w:szCs w:val="21"/>
          <w:highlight w:val="none"/>
        </w:rPr>
      </w:pPr>
    </w:p>
    <w:p w14:paraId="1059D03D">
      <w:pPr>
        <w:widowControl/>
        <w:ind w:left="1503" w:right="1683"/>
        <w:jc w:val="center"/>
        <w:rPr>
          <w:rFonts w:hint="eastAsia" w:ascii="宋体" w:hAnsi="宋体" w:cs="宋体"/>
          <w:color w:val="auto"/>
          <w:spacing w:val="12"/>
          <w:kern w:val="0"/>
          <w:sz w:val="28"/>
          <w:szCs w:val="28"/>
          <w:highlight w:val="none"/>
        </w:rPr>
      </w:pPr>
    </w:p>
    <w:p w14:paraId="34D1C79E">
      <w:pPr>
        <w:widowControl/>
        <w:ind w:left="1503" w:right="1683"/>
        <w:jc w:val="center"/>
        <w:rPr>
          <w:rFonts w:hint="eastAsia" w:ascii="宋体" w:hAnsi="宋体" w:cs="宋体"/>
          <w:color w:val="auto"/>
          <w:kern w:val="0"/>
          <w:sz w:val="28"/>
          <w:szCs w:val="28"/>
          <w:highlight w:val="none"/>
        </w:rPr>
      </w:pPr>
      <w:r>
        <w:rPr>
          <w:rFonts w:hint="eastAsia" w:ascii="宋体" w:hAnsi="宋体" w:cs="宋体"/>
          <w:color w:val="auto"/>
          <w:spacing w:val="12"/>
          <w:kern w:val="0"/>
          <w:sz w:val="28"/>
          <w:szCs w:val="28"/>
          <w:highlight w:val="none"/>
        </w:rPr>
        <w:t>表3-4  质保期外维保服务</w:t>
      </w:r>
      <w:r>
        <w:rPr>
          <w:rFonts w:hint="eastAsia" w:ascii="宋体" w:hAnsi="宋体" w:cs="宋体"/>
          <w:color w:val="auto"/>
          <w:kern w:val="0"/>
          <w:sz w:val="28"/>
          <w:szCs w:val="28"/>
          <w:highlight w:val="none"/>
        </w:rPr>
        <w:t>报价表</w:t>
      </w:r>
    </w:p>
    <w:p w14:paraId="20547799">
      <w:pPr>
        <w:widowControl/>
        <w:wordWrap w:val="0"/>
        <w:spacing w:line="272" w:lineRule="atLeast"/>
        <w:ind w:left="160" w:right="-20"/>
        <w:jc w:val="right"/>
        <w:rPr>
          <w:rFonts w:hint="eastAsia" w:ascii="宋体" w:hAnsi="宋体" w:cs="宋体"/>
          <w:color w:val="auto"/>
          <w:kern w:val="0"/>
          <w:position w:val="-4"/>
          <w:szCs w:val="21"/>
          <w:highlight w:val="none"/>
        </w:rPr>
      </w:pPr>
      <w:r>
        <w:rPr>
          <w:rFonts w:hint="eastAsia" w:ascii="宋体" w:hAnsi="宋体" w:cs="宋体"/>
          <w:color w:val="auto"/>
          <w:kern w:val="0"/>
          <w:position w:val="-4"/>
          <w:szCs w:val="21"/>
          <w:highlight w:val="none"/>
        </w:rPr>
        <w:t>项目编号</w:t>
      </w:r>
      <w:r>
        <w:rPr>
          <w:rFonts w:hint="eastAsia" w:ascii="宋体" w:hAnsi="宋体" w:cs="宋体"/>
          <w:color w:val="auto"/>
          <w:spacing w:val="-24"/>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kern w:val="0"/>
          <w:position w:val="-4"/>
          <w:szCs w:val="21"/>
          <w:highlight w:val="none"/>
        </w:rPr>
        <w:t>标包号</w:t>
      </w:r>
      <w:r>
        <w:rPr>
          <w:rFonts w:hint="eastAsia" w:ascii="宋体" w:hAnsi="宋体" w:cs="宋体"/>
          <w:color w:val="auto"/>
          <w:spacing w:val="-25"/>
          <w:kern w:val="0"/>
          <w:position w:val="-4"/>
          <w:szCs w:val="21"/>
          <w:highlight w:val="none"/>
        </w:rPr>
        <w:t>：</w:t>
      </w:r>
      <w:r>
        <w:rPr>
          <w:rFonts w:hint="eastAsia" w:ascii="宋体" w:hAnsi="宋体" w:cs="宋体"/>
          <w:color w:val="auto"/>
          <w:spacing w:val="42"/>
          <w:kern w:val="0"/>
          <w:position w:val="-4"/>
          <w:szCs w:val="21"/>
          <w:highlight w:val="none"/>
          <w:u w:val="single"/>
        </w:rPr>
        <w:t xml:space="preserve"> </w:t>
      </w:r>
      <w:r>
        <w:rPr>
          <w:rFonts w:hint="eastAsia" w:ascii="宋体" w:hAnsi="宋体" w:cs="宋体"/>
          <w:color w:val="auto"/>
          <w:kern w:val="0"/>
          <w:position w:val="-4"/>
          <w:szCs w:val="21"/>
          <w:highlight w:val="none"/>
          <w:u w:val="single"/>
        </w:rPr>
        <w:t xml:space="preserve">    </w:t>
      </w:r>
      <w:r>
        <w:rPr>
          <w:rFonts w:hint="eastAsia" w:ascii="宋体" w:hAnsi="宋体" w:cs="宋体"/>
          <w:color w:val="auto"/>
          <w:spacing w:val="-1"/>
          <w:kern w:val="0"/>
          <w:position w:val="-4"/>
          <w:szCs w:val="21"/>
          <w:highlight w:val="none"/>
        </w:rPr>
        <w:t>货</w:t>
      </w:r>
      <w:r>
        <w:rPr>
          <w:rFonts w:hint="eastAsia" w:ascii="宋体" w:hAnsi="宋体" w:cs="宋体"/>
          <w:color w:val="auto"/>
          <w:kern w:val="0"/>
          <w:position w:val="-4"/>
          <w:szCs w:val="21"/>
          <w:highlight w:val="none"/>
        </w:rPr>
        <w:t>币单位</w:t>
      </w:r>
      <w:r>
        <w:rPr>
          <w:rFonts w:hint="eastAsia" w:ascii="宋体" w:hAnsi="宋体" w:cs="宋体"/>
          <w:color w:val="auto"/>
          <w:spacing w:val="-24"/>
          <w:kern w:val="0"/>
          <w:position w:val="-4"/>
          <w:szCs w:val="21"/>
          <w:highlight w:val="none"/>
        </w:rPr>
        <w:t>：</w:t>
      </w:r>
      <w:r>
        <w:rPr>
          <w:rFonts w:hint="eastAsia" w:ascii="宋体" w:hAnsi="宋体" w:cs="宋体"/>
          <w:color w:val="auto"/>
          <w:kern w:val="0"/>
          <w:position w:val="-4"/>
          <w:szCs w:val="21"/>
          <w:highlight w:val="none"/>
        </w:rPr>
        <w:t xml:space="preserve">%   </w:t>
      </w:r>
    </w:p>
    <w:tbl>
      <w:tblPr>
        <w:tblStyle w:val="48"/>
        <w:tblW w:w="493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0"/>
        <w:gridCol w:w="3038"/>
        <w:gridCol w:w="940"/>
        <w:gridCol w:w="940"/>
        <w:gridCol w:w="2312"/>
        <w:gridCol w:w="1839"/>
        <w:gridCol w:w="4565"/>
      </w:tblGrid>
      <w:tr w14:paraId="67E85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329" w:type="pct"/>
            <w:noWrap w:val="0"/>
            <w:vAlign w:val="center"/>
          </w:tcPr>
          <w:p w14:paraId="49F0828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序号</w:t>
            </w:r>
          </w:p>
        </w:tc>
        <w:tc>
          <w:tcPr>
            <w:tcW w:w="1041" w:type="pct"/>
            <w:noWrap w:val="0"/>
            <w:vAlign w:val="center"/>
          </w:tcPr>
          <w:p w14:paraId="05041006">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服务内容</w:t>
            </w:r>
          </w:p>
        </w:tc>
        <w:tc>
          <w:tcPr>
            <w:tcW w:w="322" w:type="pct"/>
            <w:noWrap w:val="0"/>
            <w:vAlign w:val="center"/>
          </w:tcPr>
          <w:p w14:paraId="2BD33B1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数量</w:t>
            </w:r>
          </w:p>
        </w:tc>
        <w:tc>
          <w:tcPr>
            <w:tcW w:w="322" w:type="pct"/>
            <w:noWrap w:val="0"/>
            <w:vAlign w:val="center"/>
          </w:tcPr>
          <w:p w14:paraId="22E27563">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单位</w:t>
            </w:r>
          </w:p>
        </w:tc>
        <w:tc>
          <w:tcPr>
            <w:tcW w:w="792" w:type="pct"/>
            <w:noWrap w:val="0"/>
            <w:vAlign w:val="center"/>
          </w:tcPr>
          <w:p w14:paraId="373F01C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报价（全保）</w:t>
            </w:r>
          </w:p>
        </w:tc>
        <w:tc>
          <w:tcPr>
            <w:tcW w:w="630" w:type="pct"/>
            <w:noWrap w:val="0"/>
            <w:vAlign w:val="center"/>
          </w:tcPr>
          <w:p w14:paraId="7806D389">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报价（技术保）</w:t>
            </w:r>
          </w:p>
        </w:tc>
        <w:tc>
          <w:tcPr>
            <w:tcW w:w="1563" w:type="pct"/>
            <w:noWrap w:val="0"/>
            <w:vAlign w:val="center"/>
          </w:tcPr>
          <w:p w14:paraId="7F781AA1">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备注</w:t>
            </w:r>
          </w:p>
        </w:tc>
      </w:tr>
      <w:tr w14:paraId="7C057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329" w:type="pct"/>
            <w:noWrap w:val="0"/>
            <w:vAlign w:val="center"/>
          </w:tcPr>
          <w:p w14:paraId="5FABB17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041" w:type="pct"/>
            <w:noWrap w:val="0"/>
            <w:vAlign w:val="center"/>
          </w:tcPr>
          <w:p w14:paraId="07ECFC4C">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年度质保期外维保服务</w:t>
            </w:r>
          </w:p>
        </w:tc>
        <w:tc>
          <w:tcPr>
            <w:tcW w:w="322" w:type="pct"/>
            <w:noWrap w:val="0"/>
            <w:vAlign w:val="center"/>
          </w:tcPr>
          <w:p w14:paraId="69B1352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322" w:type="pct"/>
            <w:noWrap w:val="0"/>
            <w:vAlign w:val="center"/>
          </w:tcPr>
          <w:p w14:paraId="66B4B392">
            <w:pPr>
              <w:keepNext w:val="0"/>
              <w:keepLines w:val="0"/>
              <w:widowControl/>
              <w:suppressLineNumbers w:val="0"/>
              <w:adjustRightInd w:val="0"/>
              <w:snapToGrid w:val="0"/>
              <w:spacing w:before="0" w:beforeAutospacing="0" w:after="0" w:afterAutospacing="0"/>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年</w:t>
            </w:r>
          </w:p>
        </w:tc>
        <w:tc>
          <w:tcPr>
            <w:tcW w:w="792" w:type="pct"/>
            <w:noWrap w:val="0"/>
            <w:vAlign w:val="center"/>
          </w:tcPr>
          <w:p w14:paraId="2804772A">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630" w:type="pct"/>
            <w:noWrap w:val="0"/>
            <w:vAlign w:val="center"/>
          </w:tcPr>
          <w:p w14:paraId="12FDDF3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563" w:type="pct"/>
            <w:noWrap w:val="0"/>
            <w:vAlign w:val="center"/>
          </w:tcPr>
          <w:p w14:paraId="03DC3AF8">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按费率报价（例如，若全保报价为</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%，则质保期外年度维保服务全保价格=实际合同价格*</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w:t>
            </w:r>
          </w:p>
        </w:tc>
      </w:tr>
      <w:tr w14:paraId="69D32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329" w:type="pct"/>
            <w:noWrap w:val="0"/>
            <w:vAlign w:val="top"/>
          </w:tcPr>
          <w:p w14:paraId="2439BE68">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b/>
                <w:bCs/>
                <w:color w:val="auto"/>
                <w:kern w:val="0"/>
                <w:szCs w:val="21"/>
                <w:highlight w:val="none"/>
              </w:rPr>
            </w:pPr>
          </w:p>
        </w:tc>
        <w:tc>
          <w:tcPr>
            <w:tcW w:w="4671" w:type="pct"/>
            <w:gridSpan w:val="6"/>
            <w:noWrap w:val="0"/>
            <w:vAlign w:val="center"/>
          </w:tcPr>
          <w:p w14:paraId="5228929D">
            <w:pPr>
              <w:keepNext w:val="0"/>
              <w:keepLines w:val="0"/>
              <w:widowControl/>
              <w:suppressLineNumbers w:val="0"/>
              <w:adjustRightInd w:val="0"/>
              <w:snapToGrid w:val="0"/>
              <w:spacing w:before="0" w:beforeAutospacing="0" w:after="0" w:afterAutospacing="0"/>
              <w:ind w:left="0" w:right="0"/>
              <w:jc w:val="left"/>
              <w:rPr>
                <w:rFonts w:hint="eastAsia" w:ascii="宋体" w:hAnsi="宋体" w:cs="宋体"/>
                <w:color w:val="auto"/>
                <w:kern w:val="0"/>
                <w:szCs w:val="21"/>
                <w:highlight w:val="none"/>
              </w:rPr>
            </w:pPr>
            <w:r>
              <w:rPr>
                <w:rFonts w:hint="eastAsia" w:ascii="宋体" w:hAnsi="宋体" w:cs="宋体"/>
                <w:b/>
                <w:bCs/>
                <w:color w:val="auto"/>
                <w:kern w:val="0"/>
                <w:szCs w:val="21"/>
                <w:highlight w:val="none"/>
              </w:rPr>
              <w:t>注：此表价格不含在投标总价内</w:t>
            </w:r>
          </w:p>
        </w:tc>
      </w:tr>
    </w:tbl>
    <w:p w14:paraId="11676BC0">
      <w:pPr>
        <w:widowControl/>
        <w:spacing w:line="272" w:lineRule="atLeast"/>
        <w:ind w:right="-20"/>
        <w:rPr>
          <w:rFonts w:ascii="宋体" w:hAnsi="宋体" w:cs="宋体"/>
          <w:b/>
          <w:bCs w:val="0"/>
          <w:color w:val="auto"/>
          <w:kern w:val="0"/>
          <w:position w:val="-4"/>
          <w:szCs w:val="21"/>
          <w:highlight w:val="none"/>
        </w:rPr>
      </w:pPr>
      <w:r>
        <w:rPr>
          <w:rFonts w:hint="eastAsia" w:ascii="仿宋" w:hAnsi="仿宋" w:eastAsia="仿宋" w:cs="仿宋"/>
          <w:b/>
          <w:bCs w:val="0"/>
          <w:color w:val="auto"/>
          <w:sz w:val="24"/>
          <w:szCs w:val="20"/>
          <w:highlight w:val="none"/>
          <w:lang w:val="en-US" w:eastAsia="zh-CN"/>
        </w:rPr>
        <w:t>注：核磁共振成像系统（MR）</w:t>
      </w:r>
      <w:r>
        <w:rPr>
          <w:rFonts w:hint="eastAsia" w:ascii="仿宋" w:hAnsi="仿宋" w:eastAsia="仿宋" w:cs="仿宋"/>
          <w:b/>
          <w:bCs w:val="0"/>
          <w:color w:val="auto"/>
          <w:sz w:val="24"/>
          <w:szCs w:val="20"/>
          <w:highlight w:val="none"/>
        </w:rPr>
        <w:t>质保期满后每年维保服务</w:t>
      </w:r>
      <w:r>
        <w:rPr>
          <w:rFonts w:hint="eastAsia" w:ascii="仿宋" w:hAnsi="仿宋" w:eastAsia="仿宋" w:cs="仿宋"/>
          <w:b/>
          <w:bCs w:val="0"/>
          <w:color w:val="auto"/>
          <w:sz w:val="24"/>
          <w:szCs w:val="20"/>
          <w:highlight w:val="none"/>
          <w:lang w:eastAsia="zh-CN"/>
        </w:rPr>
        <w:t>（</w:t>
      </w:r>
      <w:r>
        <w:rPr>
          <w:rFonts w:hint="eastAsia" w:ascii="仿宋" w:hAnsi="仿宋" w:eastAsia="仿宋" w:cs="仿宋"/>
          <w:b/>
          <w:bCs w:val="0"/>
          <w:color w:val="auto"/>
          <w:sz w:val="24"/>
          <w:szCs w:val="20"/>
          <w:highlight w:val="none"/>
          <w:lang w:val="en-US" w:eastAsia="zh-CN"/>
        </w:rPr>
        <w:t>全保）</w:t>
      </w:r>
      <w:r>
        <w:rPr>
          <w:rFonts w:hint="eastAsia" w:ascii="仿宋" w:hAnsi="仿宋" w:eastAsia="仿宋" w:cs="仿宋"/>
          <w:b/>
          <w:bCs w:val="0"/>
          <w:color w:val="auto"/>
          <w:sz w:val="24"/>
          <w:szCs w:val="20"/>
          <w:highlight w:val="none"/>
        </w:rPr>
        <w:t>报价</w:t>
      </w:r>
      <w:r>
        <w:rPr>
          <w:rFonts w:hint="eastAsia" w:ascii="仿宋" w:hAnsi="仿宋" w:eastAsia="仿宋" w:cs="仿宋"/>
          <w:b/>
          <w:bCs w:val="0"/>
          <w:color w:val="auto"/>
          <w:sz w:val="24"/>
          <w:szCs w:val="20"/>
          <w:highlight w:val="none"/>
          <w:lang w:val="en-US" w:eastAsia="zh-CN"/>
        </w:rPr>
        <w:t>超过实际</w:t>
      </w:r>
      <w:r>
        <w:rPr>
          <w:rFonts w:hint="eastAsia" w:ascii="仿宋" w:hAnsi="仿宋" w:eastAsia="仿宋" w:cs="仿宋"/>
          <w:b/>
          <w:bCs w:val="0"/>
          <w:color w:val="auto"/>
          <w:sz w:val="24"/>
          <w:szCs w:val="20"/>
          <w:highlight w:val="none"/>
        </w:rPr>
        <w:t>合同价格</w:t>
      </w:r>
      <w:r>
        <w:rPr>
          <w:rFonts w:hint="eastAsia" w:ascii="仿宋" w:hAnsi="仿宋" w:eastAsia="仿宋" w:cs="仿宋"/>
          <w:b/>
          <w:bCs w:val="0"/>
          <w:color w:val="auto"/>
          <w:sz w:val="24"/>
          <w:szCs w:val="20"/>
          <w:highlight w:val="none"/>
          <w:lang w:val="en-US" w:eastAsia="zh-CN"/>
        </w:rPr>
        <w:t>7.9</w:t>
      </w:r>
      <w:r>
        <w:rPr>
          <w:rFonts w:hint="eastAsia" w:ascii="仿宋" w:hAnsi="仿宋" w:eastAsia="仿宋" w:cs="仿宋"/>
          <w:b/>
          <w:bCs w:val="0"/>
          <w:color w:val="auto"/>
          <w:sz w:val="24"/>
          <w:szCs w:val="20"/>
          <w:highlight w:val="none"/>
        </w:rPr>
        <w:t>%</w:t>
      </w:r>
      <w:r>
        <w:rPr>
          <w:rFonts w:hint="eastAsia" w:ascii="仿宋" w:hAnsi="仿宋" w:eastAsia="仿宋" w:cs="仿宋"/>
          <w:b/>
          <w:bCs w:val="0"/>
          <w:color w:val="auto"/>
          <w:sz w:val="24"/>
          <w:szCs w:val="20"/>
          <w:highlight w:val="none"/>
          <w:lang w:val="en-US" w:eastAsia="zh-CN"/>
        </w:rPr>
        <w:t>的投标将被否决。</w:t>
      </w:r>
    </w:p>
    <w:p w14:paraId="2A8E4C8C">
      <w:pPr>
        <w:widowControl/>
        <w:spacing w:line="272" w:lineRule="atLeast"/>
        <w:ind w:right="-20"/>
        <w:rPr>
          <w:rFonts w:ascii="宋体" w:hAnsi="宋体" w:cs="宋体"/>
          <w:color w:val="auto"/>
          <w:kern w:val="0"/>
          <w:position w:val="-4"/>
          <w:szCs w:val="21"/>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p>
    <w:p w14:paraId="35621D84">
      <w:pPr>
        <w:pStyle w:val="3"/>
        <w:widowControl/>
        <w:wordWrap w:val="0"/>
        <w:spacing w:before="120" w:after="120" w:line="240" w:lineRule="auto"/>
        <w:jc w:val="center"/>
        <w:rPr>
          <w:rFonts w:hint="eastAsia" w:ascii="宋体" w:hAnsi="宋体" w:cs="宋体"/>
          <w:color w:val="auto"/>
          <w:kern w:val="0"/>
          <w:sz w:val="30"/>
          <w:szCs w:val="30"/>
          <w:highlight w:val="none"/>
        </w:rPr>
      </w:pPr>
      <w:bookmarkStart w:id="893" w:name="_Toc466024589"/>
      <w:r>
        <w:rPr>
          <w:rStyle w:val="107"/>
          <w:rFonts w:hint="eastAsia" w:ascii="宋体" w:hAnsi="宋体" w:eastAsia="宋体" w:cs="宋体"/>
          <w:b/>
          <w:bCs w:val="0"/>
          <w:color w:val="auto"/>
          <w:sz w:val="30"/>
          <w:szCs w:val="30"/>
          <w:highlight w:val="none"/>
        </w:rPr>
        <w:t>四、投标人综合情况简介</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36"/>
        <w:gridCol w:w="2579"/>
        <w:gridCol w:w="1674"/>
        <w:gridCol w:w="2659"/>
      </w:tblGrid>
      <w:tr w14:paraId="72FF4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5AEA8235">
            <w:pPr>
              <w:keepNext w:val="0"/>
              <w:keepLines w:val="0"/>
              <w:widowControl/>
              <w:suppressLineNumbers w:val="0"/>
              <w:wordWrap w:val="0"/>
              <w:adjustRightInd w:val="0"/>
              <w:snapToGrid w:val="0"/>
              <w:spacing w:before="0" w:beforeAutospacing="0" w:after="0" w:afterAutospacing="0"/>
              <w:ind w:left="0" w:right="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项目名称：</w:t>
            </w:r>
            <w:r>
              <w:rPr>
                <w:rFonts w:hint="eastAsia" w:ascii="宋体" w:hAnsi="宋体" w:cs="宋体"/>
                <w:color w:val="auto"/>
                <w:kern w:val="0"/>
                <w:szCs w:val="21"/>
                <w:highlight w:val="none"/>
                <w:lang w:eastAsia="zh-CN"/>
              </w:rPr>
              <w:t>安徽省紧密型县域医共体设备更新一期项目-核磁共振成像系统（MR）二</w:t>
            </w:r>
          </w:p>
        </w:tc>
      </w:tr>
      <w:tr w14:paraId="1DCA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11B6E6E8">
            <w:pPr>
              <w:keepNext w:val="0"/>
              <w:keepLines w:val="0"/>
              <w:suppressLineNumbers w:val="0"/>
              <w:wordWrap w:val="0"/>
              <w:spacing w:before="0" w:beforeAutospacing="0" w:after="0" w:afterAutospacing="0"/>
              <w:ind w:left="0" w:right="0"/>
              <w:rPr>
                <w:rFonts w:hint="default"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eastAsia="zh-CN"/>
              </w:rPr>
              <w:t>ZF2025-36-2023</w:t>
            </w:r>
          </w:p>
        </w:tc>
      </w:tr>
      <w:tr w14:paraId="32E21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noWrap w:val="0"/>
            <w:vAlign w:val="center"/>
          </w:tcPr>
          <w:p w14:paraId="07389F30">
            <w:pPr>
              <w:keepNext w:val="0"/>
              <w:keepLines w:val="0"/>
              <w:suppressLineNumbers w:val="0"/>
              <w:wordWrap w:val="0"/>
              <w:spacing w:before="31" w:beforeAutospacing="0" w:after="0" w:afterAutospacing="0" w:line="240" w:lineRule="exact"/>
              <w:ind w:left="0" w:right="0"/>
              <w:jc w:val="center"/>
              <w:rPr>
                <w:rFonts w:hint="eastAsia" w:ascii="宋体" w:hAnsi="宋体" w:cs="宋体"/>
                <w:color w:val="auto"/>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en-US"/>
              </w:rPr>
              <w:t>基本信息</w:t>
            </w:r>
          </w:p>
        </w:tc>
        <w:tc>
          <w:tcPr>
            <w:tcW w:w="1536" w:type="dxa"/>
            <w:noWrap w:val="0"/>
            <w:vAlign w:val="center"/>
          </w:tcPr>
          <w:p w14:paraId="7C27DC93">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szCs w:val="21"/>
                <w:highlight w:val="none"/>
                <w:lang w:eastAsia="en-US"/>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lang w:eastAsia="en-US"/>
              </w:rPr>
              <w:t>全称</w:t>
            </w:r>
          </w:p>
        </w:tc>
        <w:tc>
          <w:tcPr>
            <w:tcW w:w="6912" w:type="dxa"/>
            <w:gridSpan w:val="3"/>
            <w:noWrap w:val="0"/>
            <w:vAlign w:val="center"/>
          </w:tcPr>
          <w:p w14:paraId="0F3826F5">
            <w:pPr>
              <w:keepNext/>
              <w:keepLines/>
              <w:widowControl/>
              <w:suppressLineNumbers w:val="0"/>
              <w:spacing w:before="120" w:beforeAutospacing="0" w:after="120" w:afterAutospacing="0"/>
              <w:ind w:left="0" w:right="630"/>
              <w:jc w:val="left"/>
              <w:outlineLvl w:val="1"/>
              <w:rPr>
                <w:rFonts w:hint="eastAsia" w:ascii="宋体" w:hAnsi="宋体" w:cs="宋体"/>
                <w:b/>
                <w:bCs/>
                <w:color w:val="auto"/>
                <w:highlight w:val="none"/>
              </w:rPr>
            </w:pPr>
          </w:p>
        </w:tc>
      </w:tr>
      <w:tr w14:paraId="6AAD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154A6210">
            <w:pPr>
              <w:keepNext w:val="0"/>
              <w:keepLines w:val="0"/>
              <w:suppressLineNumbers w:val="0"/>
              <w:wordWrap w:val="0"/>
              <w:spacing w:before="31" w:beforeAutospacing="0" w:after="0" w:afterAutospacing="0" w:line="240" w:lineRule="exact"/>
              <w:ind w:left="0" w:right="0"/>
              <w:jc w:val="center"/>
              <w:rPr>
                <w:rFonts w:hint="eastAsia" w:ascii="宋体" w:hAnsi="宋体" w:cs="宋体"/>
                <w:color w:val="auto"/>
                <w:szCs w:val="21"/>
                <w:highlight w:val="none"/>
              </w:rPr>
            </w:pPr>
          </w:p>
        </w:tc>
        <w:tc>
          <w:tcPr>
            <w:tcW w:w="1536" w:type="dxa"/>
            <w:noWrap w:val="0"/>
            <w:vAlign w:val="center"/>
          </w:tcPr>
          <w:p w14:paraId="339359F6">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注册</w:t>
            </w:r>
            <w:r>
              <w:rPr>
                <w:rFonts w:hint="eastAsia" w:ascii="宋体" w:hAnsi="宋体" w:cs="宋体"/>
                <w:color w:val="auto"/>
                <w:kern w:val="0"/>
                <w:szCs w:val="21"/>
                <w:highlight w:val="none"/>
                <w:lang w:eastAsia="en-US"/>
              </w:rPr>
              <w:t>地址</w:t>
            </w:r>
          </w:p>
        </w:tc>
        <w:tc>
          <w:tcPr>
            <w:tcW w:w="6912" w:type="dxa"/>
            <w:gridSpan w:val="3"/>
            <w:noWrap w:val="0"/>
            <w:vAlign w:val="center"/>
          </w:tcPr>
          <w:p w14:paraId="58B28BEC">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1BCE2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26291531">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p>
        </w:tc>
        <w:tc>
          <w:tcPr>
            <w:tcW w:w="1536" w:type="dxa"/>
            <w:noWrap w:val="0"/>
            <w:vAlign w:val="center"/>
          </w:tcPr>
          <w:p w14:paraId="29858AF8">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en-US"/>
              </w:rPr>
              <w:t>联系人</w:t>
            </w:r>
          </w:p>
        </w:tc>
        <w:tc>
          <w:tcPr>
            <w:tcW w:w="2579" w:type="dxa"/>
            <w:noWrap w:val="0"/>
            <w:vAlign w:val="center"/>
          </w:tcPr>
          <w:p w14:paraId="521671FC">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c>
          <w:tcPr>
            <w:tcW w:w="1674" w:type="dxa"/>
            <w:noWrap w:val="0"/>
            <w:vAlign w:val="center"/>
          </w:tcPr>
          <w:p w14:paraId="4486A134">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eastAsia="en-US"/>
              </w:rPr>
              <w:t>联系电话</w:t>
            </w:r>
          </w:p>
        </w:tc>
        <w:tc>
          <w:tcPr>
            <w:tcW w:w="2659" w:type="dxa"/>
            <w:noWrap w:val="0"/>
            <w:vAlign w:val="center"/>
          </w:tcPr>
          <w:p w14:paraId="4DAAB9B5">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06BF0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noWrap w:val="0"/>
            <w:vAlign w:val="center"/>
          </w:tcPr>
          <w:p w14:paraId="41CE4CED">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投标产品基本信息</w:t>
            </w:r>
          </w:p>
        </w:tc>
        <w:tc>
          <w:tcPr>
            <w:tcW w:w="1536" w:type="dxa"/>
            <w:noWrap w:val="0"/>
            <w:vAlign w:val="center"/>
          </w:tcPr>
          <w:p w14:paraId="3EABEE42">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rPr>
              <w:t>投标产品名称</w:t>
            </w:r>
          </w:p>
        </w:tc>
        <w:tc>
          <w:tcPr>
            <w:tcW w:w="2579" w:type="dxa"/>
            <w:noWrap w:val="0"/>
            <w:vAlign w:val="center"/>
          </w:tcPr>
          <w:p w14:paraId="1E2858A3">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c>
          <w:tcPr>
            <w:tcW w:w="1674" w:type="dxa"/>
            <w:noWrap w:val="0"/>
            <w:vAlign w:val="center"/>
          </w:tcPr>
          <w:p w14:paraId="2184A34B">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rPr>
              <w:t>投标包号</w:t>
            </w:r>
          </w:p>
        </w:tc>
        <w:tc>
          <w:tcPr>
            <w:tcW w:w="2659" w:type="dxa"/>
            <w:noWrap w:val="0"/>
            <w:vAlign w:val="center"/>
          </w:tcPr>
          <w:p w14:paraId="35097FD3">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3729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25D73171">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p>
        </w:tc>
        <w:tc>
          <w:tcPr>
            <w:tcW w:w="1536" w:type="dxa"/>
            <w:noWrap w:val="0"/>
            <w:vAlign w:val="center"/>
          </w:tcPr>
          <w:p w14:paraId="72951B19">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lang w:eastAsia="en-US"/>
              </w:rPr>
            </w:pPr>
            <w:r>
              <w:rPr>
                <w:rFonts w:hint="eastAsia" w:ascii="宋体" w:hAnsi="宋体" w:cs="宋体"/>
                <w:color w:val="auto"/>
                <w:kern w:val="0"/>
                <w:szCs w:val="21"/>
                <w:highlight w:val="none"/>
              </w:rPr>
              <w:t>投标产品规格型号</w:t>
            </w:r>
          </w:p>
        </w:tc>
        <w:tc>
          <w:tcPr>
            <w:tcW w:w="2579" w:type="dxa"/>
            <w:noWrap w:val="0"/>
            <w:vAlign w:val="center"/>
          </w:tcPr>
          <w:p w14:paraId="7957DD87">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c>
          <w:tcPr>
            <w:tcW w:w="1674" w:type="dxa"/>
            <w:noWrap w:val="0"/>
            <w:vAlign w:val="center"/>
          </w:tcPr>
          <w:p w14:paraId="3301710D">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医疗器械注册证/备案凭证号</w:t>
            </w:r>
          </w:p>
        </w:tc>
        <w:tc>
          <w:tcPr>
            <w:tcW w:w="2659" w:type="dxa"/>
            <w:noWrap w:val="0"/>
            <w:vAlign w:val="center"/>
          </w:tcPr>
          <w:p w14:paraId="6106762C">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28EBA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33A3D133">
            <w:pPr>
              <w:keepNext w:val="0"/>
              <w:keepLines w:val="0"/>
              <w:suppressLineNumbers w:val="0"/>
              <w:wordWrap w:val="0"/>
              <w:spacing w:before="0" w:beforeAutospacing="0" w:after="0" w:afterAutospacing="0"/>
              <w:ind w:left="0" w:right="0"/>
              <w:rPr>
                <w:rFonts w:hint="eastAsia" w:ascii="宋体" w:hAnsi="宋体" w:cs="宋体"/>
                <w:color w:val="auto"/>
                <w:szCs w:val="21"/>
                <w:highlight w:val="none"/>
              </w:rPr>
            </w:pPr>
          </w:p>
        </w:tc>
        <w:tc>
          <w:tcPr>
            <w:tcW w:w="1536" w:type="dxa"/>
            <w:noWrap w:val="0"/>
            <w:vAlign w:val="center"/>
          </w:tcPr>
          <w:p w14:paraId="0141BB4C">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主要配置清单（单台/套）</w:t>
            </w:r>
          </w:p>
        </w:tc>
        <w:tc>
          <w:tcPr>
            <w:tcW w:w="6912" w:type="dxa"/>
            <w:gridSpan w:val="3"/>
            <w:noWrap w:val="0"/>
            <w:vAlign w:val="center"/>
          </w:tcPr>
          <w:p w14:paraId="343A2DBA">
            <w:pPr>
              <w:keepNext w:val="0"/>
              <w:keepLines w:val="0"/>
              <w:widowControl/>
              <w:suppressLineNumbers w:val="0"/>
              <w:wordWrap w:val="0"/>
              <w:spacing w:before="0" w:beforeAutospacing="0" w:after="0" w:afterAutospacing="0" w:line="240" w:lineRule="exact"/>
              <w:ind w:left="0" w:right="0"/>
              <w:jc w:val="center"/>
              <w:rPr>
                <w:rFonts w:hint="eastAsia" w:ascii="宋体" w:hAnsi="宋体" w:cs="宋体"/>
                <w:color w:val="auto"/>
                <w:kern w:val="0"/>
                <w:szCs w:val="21"/>
                <w:highlight w:val="none"/>
              </w:rPr>
            </w:pPr>
          </w:p>
        </w:tc>
      </w:tr>
      <w:tr w14:paraId="051FA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9854" w:type="dxa"/>
            <w:gridSpan w:val="5"/>
            <w:noWrap w:val="0"/>
            <w:vAlign w:val="center"/>
          </w:tcPr>
          <w:p w14:paraId="3E7E47F1">
            <w:pPr>
              <w:keepNext w:val="0"/>
              <w:keepLines w:val="0"/>
              <w:suppressLineNumbers w:val="0"/>
              <w:wordWrap w:val="0"/>
              <w:spacing w:before="120" w:beforeLines="50" w:beforeAutospacing="0" w:after="0" w:afterAutospacing="0" w:line="48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投标人公章：</w:t>
            </w:r>
          </w:p>
          <w:p w14:paraId="10BFD988">
            <w:pPr>
              <w:keepNext w:val="0"/>
              <w:keepLines w:val="0"/>
              <w:suppressLineNumbers w:val="0"/>
              <w:wordWrap w:val="0"/>
              <w:spacing w:before="0" w:beforeAutospacing="0" w:after="0" w:afterAutospacing="0" w:line="480" w:lineRule="auto"/>
              <w:ind w:left="0" w:right="0"/>
              <w:rPr>
                <w:rFonts w:hint="eastAsia" w:ascii="宋体" w:hAnsi="宋体" w:cs="宋体"/>
                <w:color w:val="auto"/>
                <w:szCs w:val="21"/>
                <w:highlight w:val="none"/>
              </w:rPr>
            </w:pPr>
            <w:r>
              <w:rPr>
                <w:rFonts w:hint="eastAsia" w:ascii="宋体" w:hAnsi="宋体" w:cs="宋体"/>
                <w:color w:val="auto"/>
                <w:szCs w:val="21"/>
                <w:highlight w:val="none"/>
              </w:rPr>
              <w:t>填表日期：</w:t>
            </w:r>
          </w:p>
        </w:tc>
      </w:tr>
      <w:tr w14:paraId="5FF6A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854" w:type="dxa"/>
            <w:gridSpan w:val="5"/>
            <w:noWrap w:val="0"/>
            <w:vAlign w:val="center"/>
          </w:tcPr>
          <w:p w14:paraId="5CD89D3F">
            <w:pPr>
              <w:keepNext w:val="0"/>
              <w:keepLines w:val="0"/>
              <w:suppressLineNumbers w:val="0"/>
              <w:wordWrap w:val="0"/>
              <w:spacing w:before="120" w:beforeLines="50" w:beforeAutospacing="0" w:after="0" w:afterAutospacing="0" w:line="360" w:lineRule="auto"/>
              <w:ind w:left="0" w:right="0"/>
              <w:rPr>
                <w:rFonts w:hint="eastAsia" w:ascii="宋体" w:hAnsi="宋体" w:cs="宋体"/>
                <w:color w:val="auto"/>
                <w:highlight w:val="none"/>
              </w:rPr>
            </w:pPr>
            <w:r>
              <w:rPr>
                <w:rFonts w:hint="eastAsia" w:ascii="宋体" w:hAnsi="宋体" w:cs="宋体"/>
                <w:color w:val="auto"/>
                <w:highlight w:val="none"/>
              </w:rPr>
              <w:t>填表说明：</w:t>
            </w:r>
          </w:p>
          <w:p w14:paraId="31D406A4">
            <w:pPr>
              <w:keepNext w:val="0"/>
              <w:keepLines w:val="0"/>
              <w:suppressLineNumbers w:val="0"/>
              <w:wordWrap w:val="0"/>
              <w:spacing w:before="0" w:beforeAutospacing="0" w:after="0" w:afterAutospacing="0" w:line="360" w:lineRule="auto"/>
              <w:ind w:left="0" w:right="0"/>
              <w:rPr>
                <w:rFonts w:hint="eastAsia" w:ascii="宋体" w:hAnsi="宋体" w:cs="宋体"/>
                <w:color w:val="auto"/>
                <w:kern w:val="0"/>
                <w:highlight w:val="none"/>
              </w:rPr>
            </w:pPr>
            <w:r>
              <w:rPr>
                <w:rFonts w:hint="eastAsia" w:ascii="宋体" w:hAnsi="宋体" w:cs="宋体"/>
                <w:color w:val="auto"/>
                <w:highlight w:val="none"/>
              </w:rPr>
              <w:t>请填表人认真、准确填写，并加盖单位公章，为便于成交后进行政府采购合同备案，请填写完整。</w:t>
            </w:r>
          </w:p>
        </w:tc>
      </w:tr>
    </w:tbl>
    <w:p w14:paraId="21F64B7E">
      <w:pPr>
        <w:pStyle w:val="3"/>
        <w:widowControl/>
        <w:spacing w:before="120" w:after="120" w:line="240" w:lineRule="auto"/>
        <w:jc w:val="center"/>
        <w:rPr>
          <w:rStyle w:val="107"/>
          <w:rFonts w:hint="eastAsia" w:ascii="宋体" w:hAnsi="宋体" w:eastAsia="宋体" w:cs="宋体"/>
          <w:b/>
          <w:bCs/>
          <w:color w:val="auto"/>
          <w:sz w:val="30"/>
          <w:szCs w:val="30"/>
          <w:highlight w:val="none"/>
        </w:rPr>
      </w:pPr>
      <w:r>
        <w:rPr>
          <w:rFonts w:ascii="仿宋" w:hAnsi="仿宋" w:eastAsia="仿宋"/>
          <w:color w:val="auto"/>
          <w:kern w:val="0"/>
          <w:szCs w:val="21"/>
          <w:highlight w:val="none"/>
        </w:rPr>
        <w:br w:type="page"/>
      </w:r>
      <w:r>
        <w:rPr>
          <w:rStyle w:val="107"/>
          <w:rFonts w:hint="eastAsia" w:ascii="宋体" w:hAnsi="宋体" w:eastAsia="宋体" w:cs="宋体"/>
          <w:b/>
          <w:bCs/>
          <w:color w:val="auto"/>
          <w:sz w:val="30"/>
          <w:szCs w:val="30"/>
          <w:highlight w:val="none"/>
        </w:rPr>
        <w:t>五、</w:t>
      </w:r>
      <w:bookmarkEnd w:id="893"/>
      <w:bookmarkStart w:id="894" w:name="OLE_LINK3"/>
      <w:r>
        <w:rPr>
          <w:rStyle w:val="107"/>
          <w:rFonts w:hint="eastAsia" w:ascii="宋体" w:hAnsi="宋体" w:eastAsia="宋体" w:cs="宋体"/>
          <w:b/>
          <w:bCs/>
          <w:color w:val="auto"/>
          <w:sz w:val="30"/>
          <w:szCs w:val="30"/>
          <w:highlight w:val="none"/>
        </w:rPr>
        <w:t>中小企业</w:t>
      </w:r>
      <w:bookmarkEnd w:id="894"/>
      <w:r>
        <w:rPr>
          <w:rStyle w:val="107"/>
          <w:rFonts w:hint="eastAsia" w:ascii="宋体" w:hAnsi="宋体" w:eastAsia="宋体" w:cs="宋体"/>
          <w:b/>
          <w:bCs/>
          <w:color w:val="auto"/>
          <w:sz w:val="30"/>
          <w:szCs w:val="30"/>
          <w:highlight w:val="none"/>
        </w:rPr>
        <w:t>声明函（货物）</w:t>
      </w:r>
    </w:p>
    <w:p w14:paraId="41B1C71B">
      <w:pPr>
        <w:pStyle w:val="27"/>
        <w:spacing w:line="360" w:lineRule="auto"/>
        <w:jc w:val="center"/>
        <w:rPr>
          <w:rFonts w:hint="eastAsia" w:hAnsi="宋体" w:cs="宋体"/>
          <w:color w:val="auto"/>
          <w:highlight w:val="none"/>
        </w:rPr>
      </w:pPr>
      <w:r>
        <w:rPr>
          <w:rFonts w:hint="eastAsia" w:hAnsi="宋体" w:cs="宋体"/>
          <w:color w:val="auto"/>
          <w:highlight w:val="none"/>
        </w:rPr>
        <w:t>（不符合中小企业扶持政策的，无需提供）</w:t>
      </w:r>
    </w:p>
    <w:p w14:paraId="0338DC31">
      <w:pPr>
        <w:pStyle w:val="18"/>
        <w:snapToGrid w:val="0"/>
        <w:spacing w:line="360" w:lineRule="auto"/>
        <w:ind w:firstLine="420" w:firstLineChars="200"/>
        <w:rPr>
          <w:rFonts w:hint="eastAsia" w:ascii="宋体" w:hAnsi="宋体" w:eastAsia="宋体" w:cs="宋体"/>
          <w:color w:val="auto"/>
          <w:sz w:val="21"/>
          <w:szCs w:val="21"/>
          <w:highlight w:val="none"/>
        </w:rPr>
      </w:pPr>
    </w:p>
    <w:p w14:paraId="157AFDB1">
      <w:pPr>
        <w:pStyle w:val="42"/>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本公司（联合体）郑重声明，根据《政府采购促进中小企业发展管理办法》（财库﹝2020﹞46号）的规定，本公司（联合体）参加</w:t>
      </w:r>
      <w:r>
        <w:rPr>
          <w:rFonts w:hint="eastAsia" w:cs="宋体"/>
          <w:i/>
          <w:color w:val="auto"/>
          <w:sz w:val="21"/>
          <w:szCs w:val="21"/>
          <w:highlight w:val="none"/>
          <w:u w:val="single" w:color="000000"/>
          <w:lang w:bidi="ar"/>
        </w:rPr>
        <w:t>（单位名称）</w:t>
      </w:r>
      <w:r>
        <w:rPr>
          <w:rFonts w:hint="eastAsia" w:cs="宋体"/>
          <w:color w:val="auto"/>
          <w:kern w:val="2"/>
          <w:sz w:val="21"/>
          <w:szCs w:val="21"/>
          <w:highlight w:val="none"/>
        </w:rPr>
        <w:t>的</w:t>
      </w:r>
      <w:r>
        <w:rPr>
          <w:rFonts w:hint="eastAsia" w:cs="宋体"/>
          <w:i/>
          <w:color w:val="auto"/>
          <w:sz w:val="21"/>
          <w:szCs w:val="21"/>
          <w:highlight w:val="none"/>
          <w:u w:val="single" w:color="000000"/>
          <w:lang w:bidi="ar"/>
        </w:rPr>
        <w:t>（项目名称）</w:t>
      </w:r>
      <w:r>
        <w:rPr>
          <w:rFonts w:hint="eastAsia" w:cs="宋体"/>
          <w:color w:val="auto"/>
          <w:kern w:val="2"/>
          <w:sz w:val="21"/>
          <w:szCs w:val="21"/>
          <w:highlight w:val="none"/>
        </w:rPr>
        <w:t>采购活动，提供的货物全部由符合政策要求的中小企业制造。相关企业（含联合体中的中小企业、签订分包意向协议的中小企业）的具体情况如下：</w:t>
      </w:r>
    </w:p>
    <w:p w14:paraId="1966EC2C">
      <w:pPr>
        <w:pStyle w:val="42"/>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1.</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（采购文件中明确的所属行业）行业</w:t>
      </w:r>
      <w:r>
        <w:rPr>
          <w:rFonts w:hint="eastAsia" w:cs="宋体"/>
          <w:color w:val="auto"/>
          <w:kern w:val="2"/>
          <w:sz w:val="21"/>
          <w:szCs w:val="21"/>
          <w:highlight w:val="none"/>
        </w:rPr>
        <w:t>；制造商为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w:t>
      </w:r>
      <w:r>
        <w:rPr>
          <w:rFonts w:hint="eastAsia" w:cs="宋体"/>
          <w:color w:val="auto"/>
          <w:kern w:val="2"/>
          <w:sz w:val="21"/>
          <w:szCs w:val="21"/>
          <w:highlight w:val="none"/>
          <w:vertAlign w:val="superscript"/>
        </w:rPr>
        <w:footnoteReference w:id="0"/>
      </w:r>
      <w:r>
        <w:rPr>
          <w:rFonts w:hint="eastAsia" w:cs="宋体"/>
          <w:color w:val="auto"/>
          <w:kern w:val="2"/>
          <w:sz w:val="21"/>
          <w:szCs w:val="21"/>
          <w:highlight w:val="none"/>
        </w:rPr>
        <w:t>，属于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5DDD3E94">
      <w:pPr>
        <w:pStyle w:val="42"/>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2.</w:t>
      </w:r>
      <w:r>
        <w:rPr>
          <w:rFonts w:hint="eastAsia" w:cs="宋体"/>
          <w:i/>
          <w:iCs/>
          <w:color w:val="auto"/>
          <w:kern w:val="2"/>
          <w:sz w:val="21"/>
          <w:szCs w:val="21"/>
          <w:highlight w:val="none"/>
          <w:u w:val="single"/>
        </w:rPr>
        <w:t xml:space="preserve"> （标的名称） </w:t>
      </w:r>
      <w:r>
        <w:rPr>
          <w:rFonts w:hint="eastAsia" w:cs="宋体"/>
          <w:color w:val="auto"/>
          <w:kern w:val="2"/>
          <w:sz w:val="21"/>
          <w:szCs w:val="21"/>
          <w:highlight w:val="none"/>
        </w:rPr>
        <w:t>，属于</w:t>
      </w:r>
      <w:r>
        <w:rPr>
          <w:rFonts w:hint="eastAsia" w:cs="宋体"/>
          <w:i/>
          <w:iCs/>
          <w:color w:val="auto"/>
          <w:kern w:val="2"/>
          <w:sz w:val="21"/>
          <w:szCs w:val="21"/>
          <w:highlight w:val="none"/>
          <w:u w:val="single"/>
        </w:rPr>
        <w:t>（采购文件中明确的所属行业）行业</w:t>
      </w:r>
      <w:r>
        <w:rPr>
          <w:rFonts w:hint="eastAsia" w:cs="宋体"/>
          <w:color w:val="auto"/>
          <w:kern w:val="2"/>
          <w:sz w:val="21"/>
          <w:szCs w:val="21"/>
          <w:highlight w:val="none"/>
        </w:rPr>
        <w:t>；制造商为</w:t>
      </w:r>
      <w:r>
        <w:rPr>
          <w:rFonts w:hint="eastAsia" w:cs="宋体"/>
          <w:i/>
          <w:iCs/>
          <w:color w:val="auto"/>
          <w:kern w:val="2"/>
          <w:sz w:val="21"/>
          <w:szCs w:val="21"/>
          <w:highlight w:val="none"/>
          <w:u w:val="single"/>
        </w:rPr>
        <w:t>（企业名称）</w:t>
      </w:r>
      <w:r>
        <w:rPr>
          <w:rFonts w:hint="eastAsia" w:cs="宋体"/>
          <w:color w:val="auto"/>
          <w:kern w:val="2"/>
          <w:sz w:val="21"/>
          <w:szCs w:val="21"/>
          <w:highlight w:val="none"/>
        </w:rPr>
        <w:t>，从业人员</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人，营业收入为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万元，资产总额为</w:t>
      </w:r>
      <w:r>
        <w:rPr>
          <w:rFonts w:hint="eastAsia" w:cs="宋体"/>
          <w:color w:val="auto"/>
          <w:kern w:val="2"/>
          <w:sz w:val="21"/>
          <w:szCs w:val="21"/>
          <w:highlight w:val="none"/>
          <w:u w:val="single"/>
        </w:rPr>
        <w:t xml:space="preserve">     </w:t>
      </w:r>
      <w:r>
        <w:rPr>
          <w:rFonts w:hint="eastAsia" w:cs="宋体"/>
          <w:color w:val="auto"/>
          <w:kern w:val="2"/>
          <w:sz w:val="21"/>
          <w:szCs w:val="21"/>
          <w:highlight w:val="none"/>
        </w:rPr>
        <w:t>万元，属于</w:t>
      </w:r>
      <w:r>
        <w:rPr>
          <w:rFonts w:hint="eastAsia" w:cs="宋体"/>
          <w:i/>
          <w:iCs/>
          <w:color w:val="auto"/>
          <w:kern w:val="2"/>
          <w:sz w:val="21"/>
          <w:szCs w:val="21"/>
          <w:highlight w:val="none"/>
          <w:u w:val="single"/>
        </w:rPr>
        <w:t>（中型企业、小型企业、微型企业）</w:t>
      </w:r>
      <w:r>
        <w:rPr>
          <w:rFonts w:hint="eastAsia" w:cs="宋体"/>
          <w:color w:val="auto"/>
          <w:kern w:val="2"/>
          <w:sz w:val="21"/>
          <w:szCs w:val="21"/>
          <w:highlight w:val="none"/>
        </w:rPr>
        <w:t>；</w:t>
      </w:r>
    </w:p>
    <w:p w14:paraId="22235BC0">
      <w:pPr>
        <w:pStyle w:val="42"/>
        <w:widowControl w:val="0"/>
        <w:autoSpaceDE w:val="0"/>
        <w:autoSpaceDN w:val="0"/>
        <w:snapToGrid w:val="0"/>
        <w:spacing w:before="0" w:beforeAutospacing="0" w:after="0" w:afterAutospacing="0" w:line="360" w:lineRule="auto"/>
        <w:ind w:left="220" w:right="405" w:firstLine="420" w:firstLineChars="200"/>
        <w:rPr>
          <w:rFonts w:hint="eastAsia" w:cs="宋体"/>
          <w:color w:val="auto"/>
          <w:kern w:val="2"/>
          <w:sz w:val="21"/>
          <w:szCs w:val="21"/>
          <w:highlight w:val="none"/>
        </w:rPr>
      </w:pPr>
      <w:r>
        <w:rPr>
          <w:rFonts w:hint="eastAsia" w:cs="宋体"/>
          <w:color w:val="auto"/>
          <w:kern w:val="2"/>
          <w:sz w:val="21"/>
          <w:szCs w:val="21"/>
          <w:highlight w:val="none"/>
        </w:rPr>
        <w:t>……</w:t>
      </w:r>
    </w:p>
    <w:p w14:paraId="49737B0D">
      <w:pPr>
        <w:pStyle w:val="42"/>
        <w:widowControl w:val="0"/>
        <w:autoSpaceDE w:val="0"/>
        <w:autoSpaceDN w:val="0"/>
        <w:snapToGrid w:val="0"/>
        <w:spacing w:before="0" w:beforeAutospacing="0" w:after="0" w:afterAutospacing="0" w:line="360" w:lineRule="auto"/>
        <w:ind w:right="397" w:rightChars="189"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以上企业，不属于大企业的分支机构，不存在控股股东为大企业的情形，也不存在与大企业的负责人为同一人的情形。</w:t>
      </w:r>
    </w:p>
    <w:p w14:paraId="1CACD207">
      <w:pPr>
        <w:pStyle w:val="42"/>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rPr>
      </w:pPr>
      <w:r>
        <w:rPr>
          <w:rFonts w:hint="eastAsia" w:cs="宋体"/>
          <w:snapToGrid w:val="0"/>
          <w:color w:val="auto"/>
          <w:sz w:val="21"/>
          <w:szCs w:val="21"/>
          <w:highlight w:val="none"/>
          <w:lang w:bidi="ar"/>
        </w:rPr>
        <w:t>本企业对上述声明内容的真实性负责。如有虚假，将依法承担相应责任。</w:t>
      </w:r>
    </w:p>
    <w:p w14:paraId="23597878">
      <w:pPr>
        <w:pStyle w:val="42"/>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企业名称（盖章）：</w:t>
      </w:r>
    </w:p>
    <w:p w14:paraId="45982C9C">
      <w:pPr>
        <w:pStyle w:val="42"/>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日期：</w:t>
      </w:r>
    </w:p>
    <w:p w14:paraId="03E483AC">
      <w:pPr>
        <w:pStyle w:val="42"/>
        <w:widowControl w:val="0"/>
        <w:autoSpaceDE w:val="0"/>
        <w:autoSpaceDN w:val="0"/>
        <w:snapToGrid w:val="0"/>
        <w:spacing w:before="0" w:beforeAutospacing="0" w:after="0" w:afterAutospacing="0" w:line="360" w:lineRule="auto"/>
        <w:ind w:firstLine="420" w:firstLineChars="200"/>
        <w:rPr>
          <w:rFonts w:hint="eastAsia" w:cs="宋体"/>
          <w:snapToGrid w:val="0"/>
          <w:color w:val="auto"/>
          <w:sz w:val="21"/>
          <w:szCs w:val="21"/>
          <w:highlight w:val="none"/>
          <w:lang w:bidi="ar"/>
        </w:rPr>
      </w:pPr>
      <w:r>
        <w:rPr>
          <w:rFonts w:hint="eastAsia" w:cs="宋体"/>
          <w:snapToGrid w:val="0"/>
          <w:color w:val="auto"/>
          <w:sz w:val="21"/>
          <w:szCs w:val="21"/>
          <w:highlight w:val="none"/>
          <w:lang w:bidi="ar"/>
        </w:rPr>
        <w:t>注一：不符合中小企业扶持政策的，或所有标的信息不能填写全面的，无需提供；请投标人务必全面、准确了解相关政策、产品及制造商等相关信息后，谨慎提交。</w:t>
      </w:r>
    </w:p>
    <w:p w14:paraId="22800B90">
      <w:pPr>
        <w:tabs>
          <w:tab w:val="left" w:pos="1183"/>
          <w:tab w:val="left" w:pos="1484"/>
          <w:tab w:val="left" w:pos="4662"/>
          <w:tab w:val="left" w:pos="6903"/>
        </w:tabs>
        <w:snapToGrid w:val="0"/>
        <w:spacing w:line="360" w:lineRule="auto"/>
        <w:ind w:firstLine="442" w:firstLineChars="200"/>
        <w:rPr>
          <w:rFonts w:ascii="宋体" w:hAnsi="宋体"/>
          <w:b/>
          <w:color w:val="auto"/>
          <w:sz w:val="22"/>
          <w:szCs w:val="21"/>
          <w:highlight w:val="none"/>
        </w:rPr>
      </w:pPr>
      <w:r>
        <w:rPr>
          <w:rFonts w:hint="eastAsia" w:ascii="宋体" w:hAnsi="宋体"/>
          <w:b/>
          <w:color w:val="auto"/>
          <w:sz w:val="22"/>
          <w:szCs w:val="21"/>
          <w:highlight w:val="none"/>
        </w:rPr>
        <w:t>投标人须</w:t>
      </w:r>
      <w:r>
        <w:rPr>
          <w:rFonts w:ascii="宋体" w:hAnsi="宋体"/>
          <w:b/>
          <w:color w:val="auto"/>
          <w:sz w:val="22"/>
          <w:szCs w:val="21"/>
          <w:highlight w:val="none"/>
        </w:rPr>
        <w:t>对</w:t>
      </w:r>
      <w:r>
        <w:rPr>
          <w:rFonts w:hint="eastAsia" w:ascii="宋体" w:hAnsi="宋体"/>
          <w:b/>
          <w:color w:val="auto"/>
          <w:sz w:val="22"/>
          <w:szCs w:val="21"/>
          <w:highlight w:val="none"/>
        </w:rPr>
        <w:t>《中小企业声明函》</w:t>
      </w:r>
      <w:r>
        <w:rPr>
          <w:rFonts w:ascii="宋体" w:hAnsi="宋体"/>
          <w:b/>
          <w:color w:val="auto"/>
          <w:sz w:val="22"/>
          <w:szCs w:val="21"/>
          <w:highlight w:val="none"/>
        </w:rPr>
        <w:t>的真实性负责。如有虚假，</w:t>
      </w:r>
      <w:r>
        <w:rPr>
          <w:rFonts w:ascii="宋体" w:hAnsi="宋体"/>
          <w:b/>
          <w:color w:val="auto"/>
          <w:sz w:val="22"/>
          <w:szCs w:val="21"/>
          <w:highlight w:val="none"/>
          <w:lang w:bidi="ar"/>
        </w:rPr>
        <w:t>属于提供虚假材料谋取中标，</w:t>
      </w:r>
      <w:r>
        <w:rPr>
          <w:rFonts w:ascii="宋体" w:hAnsi="宋体"/>
          <w:b/>
          <w:color w:val="auto"/>
          <w:sz w:val="22"/>
          <w:szCs w:val="21"/>
          <w:highlight w:val="none"/>
        </w:rPr>
        <w:t>将依法</w:t>
      </w:r>
      <w:r>
        <w:rPr>
          <w:rFonts w:hint="eastAsia" w:ascii="宋体" w:hAnsi="宋体"/>
          <w:b/>
          <w:color w:val="auto"/>
          <w:sz w:val="22"/>
          <w:szCs w:val="21"/>
          <w:highlight w:val="none"/>
        </w:rPr>
        <w:t>追究</w:t>
      </w:r>
      <w:r>
        <w:rPr>
          <w:rFonts w:ascii="宋体" w:hAnsi="宋体"/>
          <w:b/>
          <w:color w:val="auto"/>
          <w:sz w:val="22"/>
          <w:szCs w:val="21"/>
          <w:highlight w:val="none"/>
        </w:rPr>
        <w:t>相应责任。</w:t>
      </w:r>
      <w:r>
        <w:rPr>
          <w:rFonts w:hint="eastAsia" w:ascii="宋体" w:hAnsi="宋体"/>
          <w:b/>
          <w:color w:val="auto"/>
          <w:sz w:val="22"/>
          <w:szCs w:val="21"/>
          <w:highlight w:val="none"/>
        </w:rPr>
        <w:t>投标人可自行登录工业和信息化部官网进行中小企业规模类型自测（查询网址https://www.miit.gov.cn/）。</w:t>
      </w:r>
    </w:p>
    <w:p w14:paraId="7DFAAE3E">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注二：1.监狱企业无需</w:t>
      </w:r>
      <w:r>
        <w:rPr>
          <w:rFonts w:hint="eastAsia" w:ascii="宋体" w:hAnsi="宋体" w:cs="宋体"/>
          <w:color w:val="auto"/>
          <w:spacing w:val="6"/>
          <w:sz w:val="22"/>
          <w:highlight w:val="none"/>
        </w:rPr>
        <w:t>提供</w:t>
      </w:r>
      <w:r>
        <w:rPr>
          <w:rFonts w:hint="eastAsia" w:ascii="宋体" w:hAnsi="宋体" w:cs="宋体"/>
          <w:color w:val="auto"/>
          <w:szCs w:val="21"/>
          <w:highlight w:val="none"/>
        </w:rPr>
        <w:t>《中小企业声明函》，需要提供由省级以上监狱管理局、戒毒管理局(含新疆生产建设兵团)出具的属于监狱企业的证明文件。</w:t>
      </w:r>
    </w:p>
    <w:p w14:paraId="7D6B4A18">
      <w:pPr>
        <w:autoSpaceDE w:val="0"/>
        <w:autoSpaceDN w:val="0"/>
        <w:snapToGrid w:val="0"/>
        <w:spacing w:line="360" w:lineRule="auto"/>
        <w:ind w:left="80" w:leftChars="38" w:right="4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2.残疾人福利性单位无需提供《中小企业声明函》，提供以下格式的《残疾人福利性单位声明函》。</w:t>
      </w:r>
    </w:p>
    <w:p w14:paraId="5997D5A2">
      <w:pPr>
        <w:spacing w:line="360" w:lineRule="auto"/>
        <w:rPr>
          <w:rFonts w:hint="eastAsia" w:ascii="宋体" w:hAnsi="宋体" w:cs="宋体"/>
          <w:color w:val="auto"/>
          <w:highlight w:val="none"/>
        </w:rPr>
      </w:pPr>
      <w:bookmarkStart w:id="895" w:name="OLE_LINK14"/>
      <w:bookmarkStart w:id="896" w:name="OLE_LINK13"/>
    </w:p>
    <w:p w14:paraId="48090EEE">
      <w:pPr>
        <w:spacing w:line="360" w:lineRule="auto"/>
        <w:rPr>
          <w:rFonts w:hint="eastAsia" w:ascii="宋体" w:hAnsi="宋体" w:cs="宋体"/>
          <w:color w:val="auto"/>
          <w:highlight w:val="none"/>
        </w:rPr>
      </w:pPr>
    </w:p>
    <w:p w14:paraId="78EF5F66">
      <w:pPr>
        <w:rPr>
          <w:rFonts w:hint="eastAsia" w:ascii="宋体" w:hAnsi="宋体" w:cs="宋体"/>
          <w:color w:val="auto"/>
          <w:highlight w:val="none"/>
        </w:rPr>
      </w:pPr>
    </w:p>
    <w:p w14:paraId="7774FC62">
      <w:pPr>
        <w:pStyle w:val="27"/>
        <w:spacing w:line="360" w:lineRule="auto"/>
        <w:jc w:val="center"/>
        <w:rPr>
          <w:rFonts w:hint="eastAsia" w:hAnsi="宋体" w:cs="宋体"/>
          <w:b/>
          <w:color w:val="auto"/>
          <w:spacing w:val="6"/>
          <w:szCs w:val="24"/>
          <w:highlight w:val="none"/>
        </w:rPr>
      </w:pPr>
      <w:r>
        <w:rPr>
          <w:rFonts w:hint="eastAsia" w:hAnsi="宋体" w:cs="宋体"/>
          <w:b/>
          <w:color w:val="auto"/>
          <w:spacing w:val="6"/>
          <w:szCs w:val="24"/>
          <w:highlight w:val="none"/>
        </w:rPr>
        <w:t>残疾人福利性单位声明函</w:t>
      </w:r>
    </w:p>
    <w:bookmarkEnd w:id="895"/>
    <w:bookmarkEnd w:id="896"/>
    <w:p w14:paraId="13AA32B4">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本单位郑重声明，根据</w:t>
      </w:r>
      <w:r>
        <w:rPr>
          <w:rFonts w:hint="eastAsia" w:ascii="宋体" w:hAnsi="宋体" w:cs="宋体"/>
          <w:color w:val="auto"/>
          <w:sz w:val="22"/>
          <w:highlight w:val="none"/>
          <w:lang w:val="zh-CN"/>
        </w:rPr>
        <w:t>《财政部 民政部 中国残疾人联合会关于促进残疾人就业政府采购政策的通知》</w:t>
      </w:r>
      <w:r>
        <w:rPr>
          <w:rFonts w:hint="eastAsia" w:ascii="宋体" w:hAnsi="宋体" w:cs="宋体"/>
          <w:color w:val="auto"/>
          <w:spacing w:val="6"/>
          <w:sz w:val="22"/>
          <w:highlight w:val="none"/>
        </w:rPr>
        <w:t>（财库</w:t>
      </w:r>
      <w:r>
        <w:rPr>
          <w:rFonts w:hint="eastAsia" w:ascii="宋体" w:hAnsi="宋体" w:cs="宋体"/>
          <w:color w:val="auto"/>
          <w:sz w:val="22"/>
          <w:highlight w:val="none"/>
        </w:rPr>
        <w:t>〔2017〕141</w:t>
      </w:r>
      <w:r>
        <w:rPr>
          <w:rFonts w:hint="eastAsia" w:ascii="宋体" w:hAnsi="宋体" w:cs="宋体"/>
          <w:color w:val="auto"/>
          <w:spacing w:val="6"/>
          <w:sz w:val="22"/>
          <w:highlight w:val="none"/>
        </w:rPr>
        <w:t>号）的规定，本单位为符合条件的残疾人福利性单位，且本单位参加</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单位的</w:t>
      </w:r>
      <w:r>
        <w:rPr>
          <w:rFonts w:hint="eastAsia" w:ascii="宋体" w:hAnsi="宋体" w:cs="宋体"/>
          <w:color w:val="auto"/>
          <w:spacing w:val="6"/>
          <w:sz w:val="22"/>
          <w:highlight w:val="none"/>
          <w:u w:val="single"/>
        </w:rPr>
        <w:t>______</w:t>
      </w:r>
      <w:r>
        <w:rPr>
          <w:rFonts w:hint="eastAsia" w:ascii="宋体" w:hAnsi="宋体" w:cs="宋体"/>
          <w:color w:val="auto"/>
          <w:spacing w:val="6"/>
          <w:sz w:val="22"/>
          <w:highlight w:val="none"/>
        </w:rPr>
        <w:t>项目采购活动提供本单位制造的货物（由本单位承担工程/提供服务），或者提供其他残疾人福利性单位制造的货物（不包括使用非残疾人福利性单位注册商标的货物）。</w:t>
      </w:r>
    </w:p>
    <w:p w14:paraId="36184CE5">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本单位对上述声明的真实性负责。如有虚假，将依法承担相应责任。</w:t>
      </w:r>
    </w:p>
    <w:p w14:paraId="0841FF61">
      <w:pPr>
        <w:autoSpaceDE w:val="0"/>
        <w:autoSpaceDN w:val="0"/>
        <w:snapToGrid w:val="0"/>
        <w:spacing w:line="360" w:lineRule="auto"/>
        <w:ind w:left="80" w:leftChars="38" w:right="40" w:firstLine="464" w:firstLineChars="200"/>
        <w:rPr>
          <w:rFonts w:hint="eastAsia" w:ascii="宋体" w:hAnsi="宋体" w:cs="宋体"/>
          <w:color w:val="auto"/>
          <w:spacing w:val="6"/>
          <w:sz w:val="22"/>
          <w:highlight w:val="none"/>
        </w:rPr>
      </w:pPr>
      <w:r>
        <w:rPr>
          <w:rFonts w:hint="eastAsia" w:ascii="宋体" w:hAnsi="宋体" w:cs="宋体"/>
          <w:color w:val="auto"/>
          <w:spacing w:val="6"/>
          <w:sz w:val="22"/>
          <w:highlight w:val="none"/>
        </w:rPr>
        <w:t xml:space="preserve">               单位名称：</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（盖单位章）</w:t>
      </w:r>
    </w:p>
    <w:p w14:paraId="5DF71C40">
      <w:pPr>
        <w:autoSpaceDE w:val="0"/>
        <w:autoSpaceDN w:val="0"/>
        <w:snapToGrid w:val="0"/>
        <w:spacing w:line="360" w:lineRule="auto"/>
        <w:ind w:left="80" w:leftChars="38" w:right="40" w:firstLine="464" w:firstLineChars="200"/>
        <w:rPr>
          <w:rFonts w:hint="eastAsia" w:ascii="宋体" w:hAnsi="宋体" w:cs="宋体"/>
          <w:color w:val="auto"/>
          <w:sz w:val="24"/>
          <w:highlight w:val="none"/>
        </w:rPr>
      </w:pPr>
      <w:r>
        <w:rPr>
          <w:rFonts w:hint="eastAsia" w:ascii="宋体" w:hAnsi="宋体" w:cs="宋体"/>
          <w:color w:val="auto"/>
          <w:spacing w:val="6"/>
          <w:sz w:val="22"/>
          <w:highlight w:val="none"/>
        </w:rPr>
        <w:t xml:space="preserve">               日  期：</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u w:val="single"/>
        </w:rPr>
        <w:br w:type="page"/>
      </w:r>
      <w:r>
        <w:rPr>
          <w:rFonts w:hint="eastAsia" w:ascii="宋体" w:hAnsi="宋体" w:cs="宋体"/>
          <w:color w:val="auto"/>
          <w:sz w:val="24"/>
          <w:highlight w:val="none"/>
        </w:rPr>
        <w:t>附：</w:t>
      </w:r>
    </w:p>
    <w:p w14:paraId="283C7D32">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工业和信息化部、国家统计局、国家发展和改革委员会、财政部关于印发中小企业划型标准规定的通知</w:t>
      </w:r>
    </w:p>
    <w:p w14:paraId="229BB73B">
      <w:pPr>
        <w:widowControl/>
        <w:jc w:val="center"/>
        <w:rPr>
          <w:rFonts w:hint="eastAsia" w:ascii="宋体" w:hAnsi="宋体" w:cs="宋体"/>
          <w:b/>
          <w:color w:val="auto"/>
          <w:sz w:val="24"/>
          <w:szCs w:val="21"/>
          <w:highlight w:val="none"/>
        </w:rPr>
      </w:pPr>
      <w:r>
        <w:rPr>
          <w:rFonts w:hint="eastAsia" w:ascii="宋体" w:hAnsi="宋体" w:cs="宋体"/>
          <w:b/>
          <w:color w:val="auto"/>
          <w:sz w:val="24"/>
          <w:szCs w:val="21"/>
          <w:highlight w:val="none"/>
        </w:rPr>
        <w:t>（工信部联企业〔2011〕300号）</w:t>
      </w:r>
    </w:p>
    <w:p w14:paraId="4B9738DF">
      <w:pPr>
        <w:widowControl/>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各省、自治区、直辖市人民政府，国务院各部委、各直属机构及有关单位：</w:t>
      </w:r>
    </w:p>
    <w:p w14:paraId="03EA9E3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3372951">
      <w:pPr>
        <w:widowControl/>
        <w:jc w:val="right"/>
        <w:rPr>
          <w:rFonts w:hint="eastAsia" w:ascii="宋体" w:hAnsi="宋体" w:cs="宋体"/>
          <w:color w:val="auto"/>
          <w:szCs w:val="21"/>
          <w:highlight w:val="none"/>
        </w:rPr>
      </w:pPr>
      <w:r>
        <w:rPr>
          <w:rFonts w:hint="eastAsia" w:ascii="宋体" w:hAnsi="宋体" w:cs="宋体"/>
          <w:color w:val="auto"/>
          <w:szCs w:val="21"/>
          <w:highlight w:val="none"/>
        </w:rPr>
        <w:t>工业和信息化部</w:t>
      </w:r>
    </w:p>
    <w:p w14:paraId="7F623F11">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国家统计局</w:t>
      </w:r>
    </w:p>
    <w:p w14:paraId="6B2520A6">
      <w:pPr>
        <w:widowControl/>
        <w:jc w:val="right"/>
        <w:rPr>
          <w:rFonts w:hint="eastAsia" w:ascii="宋体" w:hAnsi="宋体" w:cs="宋体"/>
          <w:color w:val="auto"/>
          <w:szCs w:val="21"/>
          <w:highlight w:val="none"/>
        </w:rPr>
      </w:pPr>
      <w:r>
        <w:rPr>
          <w:rFonts w:hint="eastAsia" w:ascii="宋体" w:hAnsi="宋体" w:cs="宋体"/>
          <w:color w:val="auto"/>
          <w:szCs w:val="21"/>
          <w:highlight w:val="none"/>
        </w:rPr>
        <w:t>国家发展和改革委员会</w:t>
      </w:r>
    </w:p>
    <w:p w14:paraId="346BE9C8">
      <w:pPr>
        <w:widowControl/>
        <w:jc w:val="right"/>
        <w:rPr>
          <w:rFonts w:hint="eastAsia" w:ascii="宋体" w:hAnsi="宋体" w:cs="宋体"/>
          <w:color w:val="auto"/>
          <w:szCs w:val="21"/>
          <w:highlight w:val="none"/>
        </w:rPr>
      </w:pPr>
      <w:r>
        <w:rPr>
          <w:rFonts w:hint="eastAsia" w:ascii="宋体" w:hAnsi="宋体" w:cs="宋体"/>
          <w:color w:val="auto"/>
          <w:szCs w:val="21"/>
          <w:highlight w:val="none"/>
        </w:rPr>
        <w:t>财政部</w:t>
      </w:r>
    </w:p>
    <w:p w14:paraId="05E19822">
      <w:pPr>
        <w:widowControl/>
        <w:jc w:val="right"/>
        <w:rPr>
          <w:rFonts w:hint="eastAsia" w:ascii="宋体" w:hAnsi="宋体" w:cs="宋体"/>
          <w:color w:val="auto"/>
          <w:szCs w:val="21"/>
          <w:highlight w:val="none"/>
        </w:rPr>
      </w:pPr>
      <w:r>
        <w:rPr>
          <w:rFonts w:hint="eastAsia" w:ascii="宋体" w:hAnsi="宋体" w:cs="宋体"/>
          <w:color w:val="auto"/>
          <w:szCs w:val="21"/>
          <w:highlight w:val="none"/>
        </w:rPr>
        <w:t>二○一一年六月十八日</w:t>
      </w:r>
    </w:p>
    <w:p w14:paraId="371A74AC">
      <w:pPr>
        <w:widowControl/>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中小企业划型标准规定</w:t>
      </w:r>
    </w:p>
    <w:p w14:paraId="3C3AE99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一、根据《中华人民共和国中小企业促进法》和《国务院关于进一步促进中小企业发展的若干意见》（国发〔2009〕36号），制定本规定。</w:t>
      </w:r>
    </w:p>
    <w:p w14:paraId="6898A0C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二、中小企业划分为中型、小型、微型三种类型，具体标准根据企业从业人员、营业收入、资产总额等指标，结合行业特点制定。</w:t>
      </w:r>
    </w:p>
    <w:p w14:paraId="3E40E12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10338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四、各行业划型标准为：</w:t>
      </w:r>
    </w:p>
    <w:p w14:paraId="37646D6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（一）农、林、牧、渔业。营业收入20000万元以下的为中小微型企业。其中，营业收入500万元及以上的为中型企业，营业收入50万元及以上的为小型企业，营业收入50万元以下的为微型企业。</w:t>
      </w:r>
    </w:p>
    <w:p w14:paraId="110A74C9">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ACE499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9F8CAF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C05D3E8">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A489E40">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3AFCE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F1BE8AD">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922D7A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DC66A46">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427C69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2CEAB17">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5419801">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0B7231A">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64A352F3">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1221115">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（十六）其他未列明行业。从业人员300人以下的为中小微型企业。其中，从业人员100人及以上的为中型企业；从业人员10人及以上的为小型企业；从业人员10人以下的为微型企业。</w:t>
      </w:r>
    </w:p>
    <w:p w14:paraId="5516F882">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五、企业类型的划分以统计部门的统计数据为依据。</w:t>
      </w:r>
    </w:p>
    <w:p w14:paraId="3CBD1B1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六、本规定适用于在中华人民共和国境内依法设立的各类所有制和各种组织形式的企业。个体工商户和本规定以外的行业，参照本规定进行划型。</w:t>
      </w:r>
    </w:p>
    <w:p w14:paraId="60F143BE">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3F99DCAB">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八、本规定由工业和信息化部、国家统计局会同有关部门根据《国民经济行业分类》修订情况和企业发展变化情况适时修订。</w:t>
      </w:r>
    </w:p>
    <w:p w14:paraId="792583FF">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九、本规定由工业和信息化部、国家统计局会同有关部门负责解释。</w:t>
      </w:r>
    </w:p>
    <w:p w14:paraId="0EEC9B84">
      <w:pPr>
        <w:widowControl/>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十、本规定自发布之日起执行，原国家经贸委、原国家计委、财政部和国家统计局2003年颁布的《中小企业标准暂行规定》同时废止。</w:t>
      </w:r>
    </w:p>
    <w:p w14:paraId="0907A2DE">
      <w:pPr>
        <w:widowControl/>
        <w:spacing w:line="200" w:lineRule="atLeast"/>
        <w:rPr>
          <w:rFonts w:hint="eastAsia" w:ascii="宋体" w:hAnsi="宋体" w:cs="宋体"/>
          <w:color w:val="auto"/>
          <w:kern w:val="0"/>
          <w:sz w:val="20"/>
          <w:szCs w:val="20"/>
          <w:highlight w:val="none"/>
        </w:rPr>
        <w:sectPr>
          <w:footnotePr>
            <w:numRestart w:val="eachPage"/>
          </w:footnotePr>
          <w:pgSz w:w="11906" w:h="16838"/>
          <w:pgMar w:top="1134" w:right="1134" w:bottom="1134" w:left="1134" w:header="851" w:footer="851" w:gutter="0"/>
          <w:cols w:space="720" w:num="1"/>
          <w:docGrid w:linePitch="312" w:charSpace="0"/>
        </w:sectPr>
      </w:pPr>
    </w:p>
    <w:p w14:paraId="130FD91D">
      <w:pPr>
        <w:pStyle w:val="3"/>
        <w:widowControl/>
        <w:spacing w:before="120" w:after="120" w:line="240" w:lineRule="auto"/>
        <w:jc w:val="center"/>
        <w:rPr>
          <w:rFonts w:hint="eastAsia" w:ascii="宋体" w:hAnsi="宋体" w:cs="宋体"/>
          <w:color w:val="auto"/>
          <w:kern w:val="0"/>
          <w:sz w:val="28"/>
          <w:szCs w:val="28"/>
          <w:highlight w:val="none"/>
        </w:rPr>
      </w:pPr>
      <w:r>
        <w:rPr>
          <w:rFonts w:hint="eastAsia" w:ascii="宋体" w:hAnsi="宋体" w:cs="宋体"/>
          <w:bCs w:val="0"/>
          <w:color w:val="auto"/>
          <w:kern w:val="0"/>
          <w:sz w:val="28"/>
          <w:szCs w:val="28"/>
          <w:highlight w:val="none"/>
        </w:rPr>
        <w:t>六、</w:t>
      </w:r>
      <w:r>
        <w:rPr>
          <w:rFonts w:hint="eastAsia" w:ascii="宋体" w:hAnsi="宋体" w:cs="宋体"/>
          <w:color w:val="auto"/>
          <w:kern w:val="0"/>
          <w:sz w:val="28"/>
          <w:szCs w:val="28"/>
          <w:highlight w:val="none"/>
        </w:rPr>
        <w:t>法定代表人（单位负责人）身份证明或授权委托书</w:t>
      </w:r>
    </w:p>
    <w:p w14:paraId="68151596">
      <w:pPr>
        <w:jc w:val="center"/>
        <w:rPr>
          <w:rFonts w:hint="eastAsia" w:ascii="宋体" w:hAnsi="宋体" w:cs="宋体"/>
          <w:b/>
          <w:color w:val="auto"/>
          <w:highlight w:val="none"/>
        </w:rPr>
      </w:pPr>
      <w:r>
        <w:rPr>
          <w:rFonts w:hint="eastAsia" w:ascii="宋体" w:hAnsi="宋体" w:cs="宋体"/>
          <w:b/>
          <w:color w:val="auto"/>
          <w:kern w:val="0"/>
          <w:sz w:val="28"/>
          <w:szCs w:val="28"/>
          <w:highlight w:val="none"/>
        </w:rPr>
        <w:t>法定代表人（单位负责人）身份证明</w:t>
      </w:r>
    </w:p>
    <w:p w14:paraId="2639A55E">
      <w:pPr>
        <w:widowControl/>
        <w:spacing w:line="360" w:lineRule="auto"/>
        <w:rPr>
          <w:rFonts w:hint="eastAsia" w:ascii="宋体" w:hAnsi="宋体" w:cs="宋体"/>
          <w:color w:val="auto"/>
          <w:spacing w:val="3"/>
          <w:kern w:val="0"/>
          <w:highlight w:val="none"/>
        </w:rPr>
      </w:pPr>
      <w:r>
        <w:rPr>
          <w:rFonts w:hint="eastAsia" w:ascii="宋体" w:hAnsi="宋体" w:cs="宋体"/>
          <w:color w:val="auto"/>
          <w:kern w:val="0"/>
          <w:highlight w:val="none"/>
        </w:rPr>
        <w:t>投标人名称：</w:t>
      </w:r>
      <w:r>
        <w:rPr>
          <w:rFonts w:hint="eastAsia" w:ascii="宋体" w:hAnsi="宋体" w:cs="宋体"/>
          <w:color w:val="auto"/>
          <w:kern w:val="0"/>
          <w:highlight w:val="none"/>
          <w:u w:val="single"/>
        </w:rPr>
        <w:t xml:space="preserve">                                                      </w:t>
      </w:r>
      <w:r>
        <w:rPr>
          <w:rFonts w:hint="eastAsia" w:ascii="宋体" w:hAnsi="宋体" w:cs="宋体"/>
          <w:color w:val="auto"/>
          <w:spacing w:val="3"/>
          <w:kern w:val="0"/>
          <w:highlight w:val="none"/>
          <w:u w:val="single"/>
        </w:rPr>
        <w:t xml:space="preserve"> </w:t>
      </w:r>
      <w:r>
        <w:rPr>
          <w:rFonts w:hint="eastAsia" w:ascii="宋体" w:hAnsi="宋体" w:cs="宋体"/>
          <w:color w:val="auto"/>
          <w:spacing w:val="3"/>
          <w:kern w:val="0"/>
          <w:highlight w:val="none"/>
        </w:rPr>
        <w:t xml:space="preserve"> </w:t>
      </w:r>
    </w:p>
    <w:p w14:paraId="108DCFE0">
      <w:pPr>
        <w:widowControl/>
        <w:spacing w:line="360" w:lineRule="auto"/>
        <w:rPr>
          <w:rFonts w:hint="eastAsia" w:ascii="宋体" w:hAnsi="宋体" w:cs="宋体"/>
          <w:color w:val="auto"/>
          <w:spacing w:val="26"/>
          <w:kern w:val="0"/>
          <w:highlight w:val="none"/>
        </w:rPr>
      </w:pPr>
      <w:r>
        <w:rPr>
          <w:rFonts w:hint="eastAsia" w:ascii="宋体" w:hAnsi="宋体" w:cs="宋体"/>
          <w:color w:val="auto"/>
          <w:kern w:val="0"/>
          <w:highlight w:val="none"/>
        </w:rPr>
        <w:t>单位</w:t>
      </w:r>
      <w:r>
        <w:rPr>
          <w:rFonts w:hint="eastAsia" w:ascii="宋体" w:hAnsi="宋体" w:cs="宋体"/>
          <w:color w:val="auto"/>
          <w:spacing w:val="-1"/>
          <w:kern w:val="0"/>
          <w:highlight w:val="none"/>
        </w:rPr>
        <w:t>性</w:t>
      </w:r>
      <w:r>
        <w:rPr>
          <w:rFonts w:hint="eastAsia" w:ascii="宋体" w:hAnsi="宋体" w:cs="宋体"/>
          <w:color w:val="auto"/>
          <w:kern w:val="0"/>
          <w:highlight w:val="none"/>
        </w:rPr>
        <w:t>质：</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r>
        <w:rPr>
          <w:rFonts w:hint="eastAsia" w:ascii="宋体" w:hAnsi="宋体" w:cs="宋体"/>
          <w:color w:val="auto"/>
          <w:spacing w:val="26"/>
          <w:kern w:val="0"/>
          <w:highlight w:val="none"/>
        </w:rPr>
        <w:t xml:space="preserve"> </w:t>
      </w:r>
    </w:p>
    <w:p w14:paraId="312DE4C8">
      <w:pPr>
        <w:widowControl/>
        <w:spacing w:line="360" w:lineRule="auto"/>
        <w:rPr>
          <w:rFonts w:hint="eastAsia" w:ascii="宋体" w:hAnsi="宋体" w:cs="宋体"/>
          <w:color w:val="auto"/>
          <w:spacing w:val="10"/>
          <w:kern w:val="0"/>
          <w:highlight w:val="none"/>
        </w:rPr>
      </w:pPr>
      <w:r>
        <w:rPr>
          <w:rFonts w:hint="eastAsia" w:ascii="宋体" w:hAnsi="宋体" w:cs="宋体"/>
          <w:color w:val="auto"/>
          <w:kern w:val="0"/>
          <w:highlight w:val="none"/>
        </w:rPr>
        <w:t>地    址</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spacing w:val="10"/>
          <w:kern w:val="0"/>
          <w:highlight w:val="none"/>
          <w:u w:val="single"/>
        </w:rPr>
        <w:t xml:space="preserve"> </w:t>
      </w:r>
      <w:r>
        <w:rPr>
          <w:rFonts w:hint="eastAsia" w:ascii="宋体" w:hAnsi="宋体" w:cs="宋体"/>
          <w:color w:val="auto"/>
          <w:spacing w:val="10"/>
          <w:kern w:val="0"/>
          <w:highlight w:val="none"/>
        </w:rPr>
        <w:t xml:space="preserve"> </w:t>
      </w:r>
    </w:p>
    <w:p w14:paraId="0F8D3BE7">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成立</w:t>
      </w:r>
      <w:r>
        <w:rPr>
          <w:rFonts w:hint="eastAsia" w:ascii="宋体" w:hAnsi="宋体" w:cs="宋体"/>
          <w:color w:val="auto"/>
          <w:spacing w:val="-1"/>
          <w:kern w:val="0"/>
          <w:highlight w:val="none"/>
        </w:rPr>
        <w:t>时</w:t>
      </w:r>
      <w:r>
        <w:rPr>
          <w:rFonts w:hint="eastAsia" w:ascii="宋体" w:hAnsi="宋体" w:cs="宋体"/>
          <w:color w:val="auto"/>
          <w:kern w:val="0"/>
          <w:highlight w:val="none"/>
        </w:rPr>
        <w:t>间：</w:t>
      </w:r>
      <w:r>
        <w:rPr>
          <w:rFonts w:hint="eastAsia" w:ascii="宋体" w:hAnsi="宋体" w:cs="宋体"/>
          <w:color w:val="auto"/>
          <w:kern w:val="0"/>
          <w:highlight w:val="none"/>
          <w:u w:val="single"/>
        </w:rPr>
        <w:t xml:space="preserve">      </w:t>
      </w:r>
      <w:r>
        <w:rPr>
          <w:rFonts w:hint="eastAsia" w:ascii="宋体" w:hAnsi="宋体" w:cs="宋体"/>
          <w:color w:val="auto"/>
          <w:spacing w:val="-6"/>
          <w:kern w:val="0"/>
          <w:highlight w:val="none"/>
          <w:u w:val="single"/>
        </w:rPr>
        <w:t xml:space="preserve"> </w:t>
      </w:r>
      <w:r>
        <w:rPr>
          <w:rFonts w:hint="eastAsia" w:ascii="宋体" w:hAnsi="宋体" w:cs="宋体"/>
          <w:color w:val="auto"/>
          <w:spacing w:val="-1"/>
          <w:kern w:val="0"/>
          <w:highlight w:val="none"/>
        </w:rPr>
        <w:t>年</w:t>
      </w:r>
      <w:r>
        <w:rPr>
          <w:rFonts w:hint="eastAsia" w:ascii="宋体" w:hAnsi="宋体" w:cs="宋体"/>
          <w:color w:val="auto"/>
          <w:kern w:val="0"/>
          <w:highlight w:val="none"/>
          <w:u w:val="single"/>
        </w:rPr>
        <w:t xml:space="preserve">  </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月</w:t>
      </w:r>
      <w:r>
        <w:rPr>
          <w:rFonts w:hint="eastAsia" w:ascii="宋体" w:hAnsi="宋体" w:cs="宋体"/>
          <w:color w:val="auto"/>
          <w:kern w:val="0"/>
          <w:highlight w:val="none"/>
          <w:u w:val="single"/>
        </w:rPr>
        <w:t xml:space="preserve">   </w:t>
      </w:r>
      <w:r>
        <w:rPr>
          <w:rFonts w:hint="eastAsia" w:ascii="宋体" w:hAnsi="宋体" w:cs="宋体"/>
          <w:color w:val="auto"/>
          <w:spacing w:val="-49"/>
          <w:kern w:val="0"/>
          <w:highlight w:val="none"/>
        </w:rPr>
        <w:t xml:space="preserve"> </w:t>
      </w:r>
      <w:r>
        <w:rPr>
          <w:rFonts w:hint="eastAsia" w:ascii="宋体" w:hAnsi="宋体" w:cs="宋体"/>
          <w:color w:val="auto"/>
          <w:kern w:val="0"/>
          <w:highlight w:val="none"/>
        </w:rPr>
        <w:t xml:space="preserve">日 </w:t>
      </w:r>
    </w:p>
    <w:p w14:paraId="57ADD4F3">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经营</w:t>
      </w:r>
      <w:r>
        <w:rPr>
          <w:rFonts w:hint="eastAsia" w:ascii="宋体" w:hAnsi="宋体" w:cs="宋体"/>
          <w:color w:val="auto"/>
          <w:spacing w:val="-1"/>
          <w:kern w:val="0"/>
          <w:highlight w:val="none"/>
        </w:rPr>
        <w:t>期</w:t>
      </w:r>
      <w:r>
        <w:rPr>
          <w:rFonts w:hint="eastAsia" w:ascii="宋体" w:hAnsi="宋体" w:cs="宋体"/>
          <w:color w:val="auto"/>
          <w:kern w:val="0"/>
          <w:highlight w:val="none"/>
        </w:rPr>
        <w:t>限：</w:t>
      </w:r>
      <w:r>
        <w:rPr>
          <w:rFonts w:hint="eastAsia" w:ascii="宋体" w:hAnsi="宋体" w:cs="宋体"/>
          <w:color w:val="auto"/>
          <w:kern w:val="0"/>
          <w:highlight w:val="none"/>
          <w:u w:val="single"/>
        </w:rPr>
        <w:t xml:space="preserve">                                                         </w:t>
      </w:r>
      <w:r>
        <w:rPr>
          <w:rFonts w:hint="eastAsia" w:ascii="宋体" w:hAnsi="宋体" w:cs="宋体"/>
          <w:color w:val="auto"/>
          <w:spacing w:val="26"/>
          <w:kern w:val="0"/>
          <w:highlight w:val="none"/>
          <w:u w:val="single"/>
        </w:rPr>
        <w:t xml:space="preserve"> </w:t>
      </w:r>
    </w:p>
    <w:p w14:paraId="2B42816C">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姓名：</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性别：</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年</w:t>
      </w:r>
      <w:r>
        <w:rPr>
          <w:rFonts w:hint="eastAsia" w:ascii="宋体" w:hAnsi="宋体" w:cs="宋体"/>
          <w:color w:val="auto"/>
          <w:spacing w:val="-1"/>
          <w:kern w:val="0"/>
          <w:highlight w:val="none"/>
        </w:rPr>
        <w:t>龄</w:t>
      </w:r>
      <w:r>
        <w:rPr>
          <w:rFonts w:hint="eastAsia" w:ascii="宋体" w:hAnsi="宋体" w:cs="宋体"/>
          <w:color w:val="auto"/>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职务</w:t>
      </w:r>
      <w:r>
        <w:rPr>
          <w:rFonts w:hint="eastAsia" w:ascii="宋体" w:hAnsi="宋体" w:cs="宋体"/>
          <w:color w:val="auto"/>
          <w:spacing w:val="-1"/>
          <w:kern w:val="0"/>
          <w:highlight w:val="none"/>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 xml:space="preserve"> </w:t>
      </w:r>
    </w:p>
    <w:p w14:paraId="245E33AE">
      <w:pPr>
        <w:widowControl/>
        <w:spacing w:line="360" w:lineRule="auto"/>
        <w:rPr>
          <w:rFonts w:hint="eastAsia" w:ascii="宋体" w:hAnsi="宋体" w:cs="宋体"/>
          <w:color w:val="auto"/>
          <w:kern w:val="0"/>
          <w:highlight w:val="none"/>
        </w:rPr>
      </w:pPr>
      <w:r>
        <w:rPr>
          <w:rFonts w:hint="eastAsia" w:ascii="宋体" w:hAnsi="宋体" w:cs="宋体"/>
          <w:color w:val="auto"/>
          <w:kern w:val="0"/>
          <w:highlight w:val="none"/>
        </w:rPr>
        <w:t>系</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投标人名称）的法定代表人（单位负责人）。</w:t>
      </w:r>
    </w:p>
    <w:p w14:paraId="11B78A79">
      <w:pPr>
        <w:widowControl/>
        <w:spacing w:line="360" w:lineRule="auto"/>
        <w:ind w:right="6463"/>
        <w:rPr>
          <w:rFonts w:hint="eastAsia" w:ascii="宋体" w:hAnsi="宋体" w:cs="宋体"/>
          <w:color w:val="auto"/>
          <w:kern w:val="0"/>
          <w:highlight w:val="none"/>
        </w:rPr>
      </w:pPr>
      <w:r>
        <w:rPr>
          <w:rFonts w:hint="eastAsia" w:ascii="宋体" w:hAnsi="宋体" w:cs="宋体"/>
          <w:color w:val="auto"/>
          <w:kern w:val="0"/>
          <w:highlight w:val="none"/>
        </w:rPr>
        <w:t>特此证明。</w:t>
      </w:r>
    </w:p>
    <w:p w14:paraId="487DB19C">
      <w:pPr>
        <w:widowControl/>
        <w:spacing w:before="12" w:line="360" w:lineRule="auto"/>
        <w:rPr>
          <w:rFonts w:hint="eastAsia" w:ascii="宋体" w:hAnsi="宋体" w:cs="宋体"/>
          <w:color w:val="auto"/>
          <w:kern w:val="0"/>
          <w:highlight w:val="none"/>
        </w:rPr>
      </w:pPr>
      <w:r>
        <w:rPr>
          <w:rFonts w:hint="eastAsia" w:ascii="宋体" w:hAnsi="宋体" w:cs="宋体"/>
          <w:color w:val="auto"/>
          <w:kern w:val="0"/>
          <w:highlight w:val="none"/>
        </w:rPr>
        <w:t>附：法定代表人（单位负责人）身份证扫描件。</w:t>
      </w:r>
    </w:p>
    <w:tbl>
      <w:tblPr>
        <w:tblStyle w:val="48"/>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6A9D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3898" w:type="dxa"/>
            <w:noWrap w:val="0"/>
            <w:vAlign w:val="center"/>
          </w:tcPr>
          <w:p w14:paraId="1DA42C3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身份证（正面）</w:t>
            </w:r>
          </w:p>
        </w:tc>
        <w:tc>
          <w:tcPr>
            <w:tcW w:w="3899" w:type="dxa"/>
            <w:noWrap w:val="0"/>
            <w:vAlign w:val="center"/>
          </w:tcPr>
          <w:p w14:paraId="4A45DA9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身份证（反面）</w:t>
            </w:r>
          </w:p>
        </w:tc>
      </w:tr>
    </w:tbl>
    <w:p w14:paraId="12E532BE">
      <w:pPr>
        <w:widowControl/>
        <w:spacing w:before="12" w:line="360" w:lineRule="auto"/>
        <w:rPr>
          <w:rFonts w:hint="eastAsia" w:ascii="宋体" w:hAnsi="宋体" w:cs="宋体"/>
          <w:color w:val="auto"/>
          <w:kern w:val="0"/>
          <w:highlight w:val="none"/>
        </w:rPr>
      </w:pPr>
    </w:p>
    <w:p w14:paraId="44BD916A">
      <w:pPr>
        <w:widowControl/>
        <w:spacing w:before="12" w:line="360" w:lineRule="auto"/>
        <w:rPr>
          <w:rFonts w:hint="eastAsia" w:ascii="宋体" w:hAnsi="宋体" w:cs="宋体"/>
          <w:color w:val="auto"/>
          <w:kern w:val="0"/>
          <w:highlight w:val="none"/>
        </w:rPr>
      </w:pPr>
    </w:p>
    <w:p w14:paraId="7D903DEC">
      <w:pPr>
        <w:widowControl/>
        <w:spacing w:line="360" w:lineRule="auto"/>
        <w:ind w:left="5068" w:right="-20"/>
        <w:rPr>
          <w:rFonts w:hint="eastAsia" w:ascii="宋体" w:hAnsi="宋体" w:cs="宋体"/>
          <w:color w:val="auto"/>
          <w:kern w:val="0"/>
          <w:highlight w:val="none"/>
        </w:rPr>
      </w:pPr>
      <w:r>
        <w:rPr>
          <w:rFonts w:hint="eastAsia" w:ascii="宋体" w:hAnsi="宋体" w:cs="宋体"/>
          <w:color w:val="auto"/>
          <w:kern w:val="0"/>
          <w:position w:val="-4"/>
          <w:highlight w:val="none"/>
        </w:rPr>
        <w:t>投标人：</w:t>
      </w:r>
      <w:r>
        <w:rPr>
          <w:rFonts w:hint="eastAsia" w:ascii="宋体" w:hAnsi="宋体" w:cs="宋体"/>
          <w:color w:val="auto"/>
          <w:spacing w:val="42"/>
          <w:kern w:val="0"/>
          <w:position w:val="-4"/>
          <w:highlight w:val="none"/>
          <w:u w:val="single"/>
        </w:rPr>
        <w:t xml:space="preserve"> </w:t>
      </w:r>
      <w:r>
        <w:rPr>
          <w:rFonts w:hint="eastAsia" w:ascii="宋体" w:hAnsi="宋体" w:cs="宋体"/>
          <w:color w:val="auto"/>
          <w:kern w:val="0"/>
          <w:position w:val="-4"/>
          <w:highlight w:val="none"/>
          <w:u w:val="single"/>
        </w:rPr>
        <w:t xml:space="preserve">          </w:t>
      </w:r>
      <w:r>
        <w:rPr>
          <w:rFonts w:hint="eastAsia" w:ascii="宋体" w:hAnsi="宋体" w:cs="宋体"/>
          <w:color w:val="auto"/>
          <w:spacing w:val="-1"/>
          <w:kern w:val="0"/>
          <w:position w:val="-4"/>
          <w:highlight w:val="none"/>
        </w:rPr>
        <w:t>（</w:t>
      </w:r>
      <w:r>
        <w:rPr>
          <w:rFonts w:hint="eastAsia" w:ascii="宋体" w:hAnsi="宋体" w:cs="宋体"/>
          <w:color w:val="auto"/>
          <w:kern w:val="0"/>
          <w:position w:val="-4"/>
          <w:highlight w:val="none"/>
        </w:rPr>
        <w:t>盖单位章）</w:t>
      </w:r>
    </w:p>
    <w:p w14:paraId="0188F1C8">
      <w:pPr>
        <w:widowControl/>
        <w:spacing w:line="360" w:lineRule="auto"/>
        <w:ind w:right="98"/>
        <w:jc w:val="right"/>
        <w:rPr>
          <w:rFonts w:hint="eastAsia" w:ascii="宋体" w:hAnsi="宋体" w:cs="宋体"/>
          <w:color w:val="auto"/>
          <w:kern w:val="0"/>
          <w:highlight w:val="none"/>
        </w:rPr>
      </w:pPr>
      <w:r>
        <w:rPr>
          <w:rFonts w:hint="eastAsia" w:ascii="宋体" w:hAnsi="宋体" w:cs="宋体"/>
          <w:color w:val="auto"/>
          <w:kern w:val="0"/>
          <w:position w:val="-2"/>
          <w:highlight w:val="none"/>
          <w:u w:val="single"/>
        </w:rPr>
        <w:t xml:space="preserve">       </w:t>
      </w:r>
      <w:r>
        <w:rPr>
          <w:rFonts w:hint="eastAsia" w:ascii="宋体" w:hAnsi="宋体" w:cs="宋体"/>
          <w:color w:val="auto"/>
          <w:spacing w:val="-1"/>
          <w:kern w:val="0"/>
          <w:position w:val="-2"/>
          <w:highlight w:val="none"/>
        </w:rPr>
        <w:t>年</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月</w:t>
      </w:r>
      <w:r>
        <w:rPr>
          <w:rFonts w:hint="eastAsia" w:ascii="宋体" w:hAnsi="宋体" w:cs="宋体"/>
          <w:color w:val="auto"/>
          <w:spacing w:val="42"/>
          <w:kern w:val="0"/>
          <w:position w:val="-2"/>
          <w:highlight w:val="none"/>
          <w:u w:val="single"/>
        </w:rPr>
        <w:t xml:space="preserve"> </w:t>
      </w:r>
      <w:r>
        <w:rPr>
          <w:rFonts w:hint="eastAsia" w:ascii="宋体" w:hAnsi="宋体" w:cs="宋体"/>
          <w:color w:val="auto"/>
          <w:kern w:val="0"/>
          <w:position w:val="-2"/>
          <w:highlight w:val="none"/>
          <w:u w:val="single"/>
        </w:rPr>
        <w:t xml:space="preserve">   </w:t>
      </w:r>
      <w:r>
        <w:rPr>
          <w:rFonts w:hint="eastAsia" w:ascii="宋体" w:hAnsi="宋体" w:cs="宋体"/>
          <w:color w:val="auto"/>
          <w:kern w:val="0"/>
          <w:position w:val="-2"/>
          <w:highlight w:val="none"/>
        </w:rPr>
        <w:t>日</w:t>
      </w:r>
    </w:p>
    <w:p w14:paraId="03AF7154">
      <w:pPr>
        <w:widowControl/>
        <w:ind w:left="2874" w:right="-20"/>
        <w:rPr>
          <w:rFonts w:hint="eastAsia" w:ascii="宋体" w:hAnsi="宋体" w:cs="宋体"/>
          <w:color w:val="auto"/>
          <w:kern w:val="0"/>
          <w:sz w:val="28"/>
          <w:szCs w:val="28"/>
          <w:highlight w:val="none"/>
        </w:rPr>
      </w:pPr>
    </w:p>
    <w:p w14:paraId="4F87BD3A">
      <w:pPr>
        <w:widowControl/>
        <w:ind w:left="2874" w:right="-20"/>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法定代表人（单位负责人）授权委托书</w:t>
      </w:r>
    </w:p>
    <w:p w14:paraId="4087B1E1">
      <w:pPr>
        <w:widowControl/>
        <w:spacing w:before="3" w:line="260" w:lineRule="atLeast"/>
        <w:rPr>
          <w:rFonts w:hint="eastAsia" w:ascii="宋体" w:hAnsi="宋体" w:cs="宋体"/>
          <w:color w:val="auto"/>
          <w:kern w:val="0"/>
          <w:sz w:val="26"/>
          <w:szCs w:val="26"/>
          <w:highlight w:val="none"/>
        </w:rPr>
      </w:pPr>
    </w:p>
    <w:p w14:paraId="4BD02577">
      <w:pPr>
        <w:widowControl/>
        <w:spacing w:line="360" w:lineRule="auto"/>
        <w:ind w:left="120" w:right="31" w:firstLine="421"/>
        <w:rPr>
          <w:rFonts w:hint="eastAsia" w:ascii="宋体" w:hAnsi="宋体" w:cs="宋体"/>
          <w:color w:val="auto"/>
          <w:kern w:val="0"/>
          <w:highlight w:val="none"/>
        </w:rPr>
      </w:pPr>
      <w:r>
        <w:rPr>
          <w:rFonts w:hint="eastAsia" w:ascii="宋体" w:hAnsi="宋体" w:cs="宋体"/>
          <w:color w:val="auto"/>
          <w:kern w:val="0"/>
          <w:highlight w:val="none"/>
        </w:rPr>
        <w:t>本人</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w:t>
      </w:r>
      <w:r>
        <w:rPr>
          <w:rFonts w:hint="eastAsia" w:ascii="宋体" w:hAnsi="宋体" w:cs="宋体"/>
          <w:color w:val="auto"/>
          <w:spacing w:val="-1"/>
          <w:kern w:val="0"/>
          <w:highlight w:val="none"/>
        </w:rPr>
        <w:t>姓</w:t>
      </w:r>
      <w:r>
        <w:rPr>
          <w:rFonts w:hint="eastAsia" w:ascii="宋体" w:hAnsi="宋体" w:cs="宋体"/>
          <w:color w:val="auto"/>
          <w:kern w:val="0"/>
          <w:highlight w:val="none"/>
        </w:rPr>
        <w:t>名）系</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rPr>
        <w:t>（投标人名称）</w:t>
      </w:r>
      <w:r>
        <w:rPr>
          <w:rFonts w:hint="eastAsia" w:ascii="宋体" w:hAnsi="宋体" w:cs="宋体"/>
          <w:color w:val="auto"/>
          <w:spacing w:val="1"/>
          <w:kern w:val="0"/>
          <w:highlight w:val="none"/>
        </w:rPr>
        <w:t>的</w:t>
      </w:r>
      <w:r>
        <w:rPr>
          <w:rFonts w:hint="eastAsia" w:ascii="宋体" w:hAnsi="宋体" w:cs="宋体"/>
          <w:color w:val="auto"/>
          <w:kern w:val="0"/>
          <w:highlight w:val="none"/>
        </w:rPr>
        <w:t>法定代表</w:t>
      </w:r>
      <w:r>
        <w:rPr>
          <w:rFonts w:hint="eastAsia" w:ascii="宋体" w:hAnsi="宋体" w:cs="宋体"/>
          <w:color w:val="auto"/>
          <w:spacing w:val="1"/>
          <w:kern w:val="0"/>
          <w:highlight w:val="none"/>
        </w:rPr>
        <w:t>人（单位负责人）</w:t>
      </w:r>
      <w:r>
        <w:rPr>
          <w:rFonts w:hint="eastAsia" w:ascii="宋体" w:hAnsi="宋体" w:cs="宋体"/>
          <w:color w:val="auto"/>
          <w:kern w:val="0"/>
          <w:highlight w:val="none"/>
        </w:rPr>
        <w:t>，</w:t>
      </w:r>
      <w:r>
        <w:rPr>
          <w:rFonts w:hint="eastAsia" w:ascii="宋体" w:hAnsi="宋体" w:cs="宋体"/>
          <w:color w:val="auto"/>
          <w:spacing w:val="1"/>
          <w:kern w:val="0"/>
          <w:highlight w:val="none"/>
        </w:rPr>
        <w:t>现</w:t>
      </w:r>
      <w:r>
        <w:rPr>
          <w:rFonts w:hint="eastAsia" w:ascii="宋体" w:hAnsi="宋体" w:cs="宋体"/>
          <w:color w:val="auto"/>
          <w:kern w:val="0"/>
          <w:highlight w:val="none"/>
        </w:rPr>
        <w:t>委托</w:t>
      </w:r>
      <w:r>
        <w:rPr>
          <w:rFonts w:hint="eastAsia" w:ascii="宋体" w:hAnsi="宋体" w:cs="宋体"/>
          <w:color w:val="auto"/>
          <w:spacing w:val="42"/>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姓名）为我方代理人。代理人根据授权，以我方名义签署、澄清、说明、补正、递交</w:t>
      </w:r>
      <w:r>
        <w:rPr>
          <w:rFonts w:hint="eastAsia" w:ascii="宋体" w:hAnsi="宋体" w:cs="宋体"/>
          <w:color w:val="auto"/>
          <w:spacing w:val="-13"/>
          <w:kern w:val="0"/>
          <w:highlight w:val="none"/>
        </w:rPr>
        <w:t>、</w:t>
      </w:r>
      <w:r>
        <w:rPr>
          <w:rFonts w:hint="eastAsia" w:ascii="宋体" w:hAnsi="宋体" w:cs="宋体"/>
          <w:color w:val="auto"/>
          <w:kern w:val="0"/>
          <w:highlight w:val="none"/>
        </w:rPr>
        <w:t>撤回</w:t>
      </w:r>
      <w:r>
        <w:rPr>
          <w:rFonts w:hint="eastAsia" w:ascii="宋体" w:hAnsi="宋体" w:cs="宋体"/>
          <w:color w:val="auto"/>
          <w:spacing w:val="-13"/>
          <w:kern w:val="0"/>
          <w:highlight w:val="none"/>
        </w:rPr>
        <w:t>、</w:t>
      </w:r>
      <w:r>
        <w:rPr>
          <w:rFonts w:hint="eastAsia" w:ascii="宋体" w:hAnsi="宋体" w:cs="宋体"/>
          <w:color w:val="auto"/>
          <w:kern w:val="0"/>
          <w:highlight w:val="none"/>
        </w:rPr>
        <w:t>修改</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（项目名</w:t>
      </w:r>
      <w:r>
        <w:rPr>
          <w:rFonts w:hint="eastAsia" w:ascii="宋体" w:hAnsi="宋体" w:cs="宋体"/>
          <w:color w:val="auto"/>
          <w:spacing w:val="-1"/>
          <w:kern w:val="0"/>
          <w:highlight w:val="none"/>
        </w:rPr>
        <w:t>称</w:t>
      </w:r>
      <w:r>
        <w:rPr>
          <w:rFonts w:hint="eastAsia" w:ascii="宋体" w:hAnsi="宋体" w:cs="宋体"/>
          <w:color w:val="auto"/>
          <w:spacing w:val="-13"/>
          <w:kern w:val="0"/>
          <w:highlight w:val="none"/>
        </w:rPr>
        <w:t>）</w:t>
      </w:r>
      <w:r>
        <w:rPr>
          <w:rFonts w:hint="eastAsia" w:ascii="宋体" w:hAnsi="宋体" w:cs="宋体"/>
          <w:color w:val="auto"/>
          <w:spacing w:val="42"/>
          <w:kern w:val="0"/>
          <w:highlight w:val="none"/>
          <w:u w:val="single"/>
        </w:rPr>
        <w:t xml:space="preserve"> </w:t>
      </w:r>
      <w:r>
        <w:rPr>
          <w:rFonts w:hint="eastAsia" w:ascii="宋体" w:hAnsi="宋体" w:cs="宋体"/>
          <w:color w:val="auto"/>
          <w:kern w:val="0"/>
          <w:highlight w:val="none"/>
          <w:u w:val="single"/>
        </w:rPr>
        <w:t xml:space="preserve">   </w:t>
      </w:r>
      <w:r>
        <w:rPr>
          <w:rFonts w:hint="eastAsia" w:ascii="宋体" w:hAnsi="宋体" w:cs="宋体"/>
          <w:color w:val="auto"/>
          <w:spacing w:val="-1"/>
          <w:kern w:val="0"/>
          <w:highlight w:val="none"/>
        </w:rPr>
        <w:t>（</w:t>
      </w:r>
      <w:r>
        <w:rPr>
          <w:rFonts w:hint="eastAsia" w:ascii="宋体" w:hAnsi="宋体" w:cs="宋体"/>
          <w:color w:val="auto"/>
          <w:kern w:val="0"/>
          <w:highlight w:val="none"/>
        </w:rPr>
        <w:t>标包号。未分包的，此处不填写</w:t>
      </w:r>
      <w:r>
        <w:rPr>
          <w:rFonts w:hint="eastAsia" w:ascii="宋体" w:hAnsi="宋体" w:cs="宋体"/>
          <w:color w:val="auto"/>
          <w:spacing w:val="-13"/>
          <w:kern w:val="0"/>
          <w:highlight w:val="none"/>
        </w:rPr>
        <w:t>）</w:t>
      </w:r>
      <w:r>
        <w:rPr>
          <w:rFonts w:hint="eastAsia" w:ascii="宋体" w:hAnsi="宋体" w:cs="宋体"/>
          <w:color w:val="auto"/>
          <w:kern w:val="0"/>
          <w:highlight w:val="none"/>
        </w:rPr>
        <w:t>投标文件</w:t>
      </w:r>
      <w:r>
        <w:rPr>
          <w:rFonts w:hint="eastAsia" w:ascii="宋体" w:hAnsi="宋体" w:cs="宋体"/>
          <w:color w:val="auto"/>
          <w:spacing w:val="-13"/>
          <w:kern w:val="0"/>
          <w:highlight w:val="none"/>
        </w:rPr>
        <w:t>、</w:t>
      </w:r>
      <w:r>
        <w:rPr>
          <w:rFonts w:hint="eastAsia" w:ascii="宋体" w:hAnsi="宋体" w:cs="宋体"/>
          <w:color w:val="auto"/>
          <w:kern w:val="0"/>
          <w:highlight w:val="none"/>
        </w:rPr>
        <w:t>签订合同和处理有关事宜，其法律后果由我方承担。</w:t>
      </w:r>
    </w:p>
    <w:p w14:paraId="251E89F6">
      <w:pPr>
        <w:widowControl/>
        <w:spacing w:before="12" w:line="360" w:lineRule="auto"/>
        <w:ind w:left="556" w:right="5491" w:hanging="14"/>
        <w:rPr>
          <w:rFonts w:hint="eastAsia" w:ascii="宋体" w:hAnsi="宋体" w:cs="宋体"/>
          <w:color w:val="auto"/>
          <w:kern w:val="0"/>
          <w:highlight w:val="none"/>
        </w:rPr>
      </w:pPr>
      <w:r>
        <w:rPr>
          <w:rFonts w:hint="eastAsia" w:ascii="宋体" w:hAnsi="宋体" w:cs="宋体"/>
          <w:color w:val="auto"/>
          <w:kern w:val="0"/>
          <w:highlight w:val="none"/>
        </w:rPr>
        <w:t>代理人无转委托权。</w:t>
      </w:r>
    </w:p>
    <w:tbl>
      <w:tblPr>
        <w:tblStyle w:val="48"/>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2100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3898" w:type="dxa"/>
            <w:noWrap w:val="0"/>
            <w:vAlign w:val="center"/>
          </w:tcPr>
          <w:p w14:paraId="7568C54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代理人身份证（正面）</w:t>
            </w:r>
          </w:p>
        </w:tc>
        <w:tc>
          <w:tcPr>
            <w:tcW w:w="3899" w:type="dxa"/>
            <w:noWrap w:val="0"/>
            <w:vAlign w:val="center"/>
          </w:tcPr>
          <w:p w14:paraId="61318E9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代理人身份证（反面）</w:t>
            </w:r>
          </w:p>
        </w:tc>
      </w:tr>
      <w:tr w14:paraId="1106A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898" w:type="dxa"/>
            <w:noWrap w:val="0"/>
            <w:vAlign w:val="center"/>
          </w:tcPr>
          <w:p w14:paraId="001B1E3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身份证（正面）</w:t>
            </w:r>
          </w:p>
        </w:tc>
        <w:tc>
          <w:tcPr>
            <w:tcW w:w="3899" w:type="dxa"/>
            <w:noWrap w:val="0"/>
            <w:vAlign w:val="center"/>
          </w:tcPr>
          <w:p w14:paraId="2475DC8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法定代表人</w:t>
            </w:r>
            <w:r>
              <w:rPr>
                <w:rFonts w:hint="eastAsia" w:ascii="宋体" w:hAnsi="宋体" w:cs="宋体"/>
                <w:color w:val="auto"/>
                <w:kern w:val="0"/>
                <w:highlight w:val="none"/>
              </w:rPr>
              <w:t>（单位负责人）</w:t>
            </w:r>
            <w:r>
              <w:rPr>
                <w:rFonts w:hint="eastAsia" w:ascii="宋体" w:hAnsi="宋体" w:cs="Times New Roman"/>
                <w:color w:val="auto"/>
                <w:szCs w:val="21"/>
                <w:highlight w:val="none"/>
              </w:rPr>
              <w:t>身份证（反面）</w:t>
            </w:r>
          </w:p>
        </w:tc>
      </w:tr>
    </w:tbl>
    <w:p w14:paraId="53BF3A91">
      <w:pPr>
        <w:widowControl/>
        <w:spacing w:line="360" w:lineRule="auto"/>
        <w:rPr>
          <w:rFonts w:hint="eastAsia" w:ascii="宋体" w:hAnsi="宋体" w:cs="宋体"/>
          <w:color w:val="auto"/>
          <w:kern w:val="0"/>
          <w:highlight w:val="none"/>
        </w:rPr>
      </w:pPr>
    </w:p>
    <w:p w14:paraId="53C433F5">
      <w:pPr>
        <w:pStyle w:val="156"/>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代理人：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性别：</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年龄：</w:t>
      </w:r>
      <w:r>
        <w:rPr>
          <w:rFonts w:hint="eastAsia" w:ascii="宋体" w:hAnsi="宋体" w:cs="宋体"/>
          <w:color w:val="auto"/>
          <w:szCs w:val="24"/>
          <w:highlight w:val="none"/>
          <w:u w:val="single"/>
        </w:rPr>
        <w:t xml:space="preserve">     </w:t>
      </w:r>
    </w:p>
    <w:p w14:paraId="46F30EA6">
      <w:pPr>
        <w:pStyle w:val="156"/>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身份证号码：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职务：</w:t>
      </w:r>
      <w:r>
        <w:rPr>
          <w:rFonts w:hint="eastAsia" w:ascii="宋体" w:hAnsi="宋体" w:cs="宋体"/>
          <w:color w:val="auto"/>
          <w:szCs w:val="24"/>
          <w:highlight w:val="none"/>
          <w:u w:val="single"/>
        </w:rPr>
        <w:t xml:space="preserve">      </w:t>
      </w:r>
    </w:p>
    <w:p w14:paraId="2BB1C0A8">
      <w:pPr>
        <w:pStyle w:val="156"/>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投标人：</w:t>
      </w:r>
      <w:r>
        <w:rPr>
          <w:rFonts w:hint="eastAsia" w:ascii="宋体" w:hAnsi="宋体" w:cs="宋体"/>
          <w:color w:val="auto"/>
          <w:szCs w:val="24"/>
          <w:highlight w:val="none"/>
          <w:u w:val="single"/>
        </w:rPr>
        <w:t xml:space="preserve">                            （盖单位章）</w:t>
      </w:r>
    </w:p>
    <w:p w14:paraId="326DD19F">
      <w:pPr>
        <w:pStyle w:val="156"/>
        <w:spacing w:line="360" w:lineRule="auto"/>
        <w:ind w:firstLine="2604" w:firstLineChars="1240"/>
        <w:rPr>
          <w:rFonts w:hint="eastAsia" w:ascii="宋体" w:hAnsi="宋体" w:cs="宋体"/>
          <w:color w:val="auto"/>
          <w:szCs w:val="24"/>
          <w:highlight w:val="none"/>
          <w:u w:val="single"/>
        </w:rPr>
      </w:pPr>
      <w:r>
        <w:rPr>
          <w:rFonts w:hint="eastAsia" w:ascii="宋体" w:hAnsi="宋体" w:cs="宋体"/>
          <w:color w:val="auto"/>
          <w:szCs w:val="24"/>
          <w:highlight w:val="none"/>
        </w:rPr>
        <w:t>法定代表人（单位负责人）：</w:t>
      </w:r>
      <w:r>
        <w:rPr>
          <w:rFonts w:hint="eastAsia" w:ascii="宋体" w:hAnsi="宋体" w:cs="宋体"/>
          <w:color w:val="auto"/>
          <w:szCs w:val="24"/>
          <w:highlight w:val="none"/>
          <w:u w:val="single"/>
        </w:rPr>
        <w:t xml:space="preserve">                   （签字或盖章）</w:t>
      </w:r>
    </w:p>
    <w:p w14:paraId="11705D9B">
      <w:pPr>
        <w:pStyle w:val="156"/>
        <w:spacing w:line="360" w:lineRule="auto"/>
        <w:ind w:firstLine="2604" w:firstLineChars="1240"/>
        <w:rPr>
          <w:rFonts w:hint="eastAsia" w:ascii="宋体" w:hAnsi="宋体" w:cs="宋体"/>
          <w:color w:val="auto"/>
          <w:szCs w:val="24"/>
          <w:highlight w:val="none"/>
        </w:rPr>
      </w:pPr>
      <w:r>
        <w:rPr>
          <w:rFonts w:hint="eastAsia" w:ascii="宋体" w:hAnsi="宋体" w:cs="宋体"/>
          <w:color w:val="auto"/>
          <w:szCs w:val="24"/>
          <w:highlight w:val="none"/>
        </w:rPr>
        <w:t>授权委托日期：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14:paraId="392FF84E">
      <w:pPr>
        <w:widowControl/>
        <w:spacing w:line="295" w:lineRule="atLeast"/>
        <w:ind w:left="556" w:right="-20"/>
        <w:rPr>
          <w:rFonts w:hint="eastAsia" w:ascii="宋体" w:hAnsi="宋体" w:cs="宋体"/>
          <w:color w:val="auto"/>
          <w:kern w:val="0"/>
          <w:szCs w:val="21"/>
          <w:highlight w:val="none"/>
        </w:rPr>
      </w:pPr>
    </w:p>
    <w:p w14:paraId="5DD52914">
      <w:pPr>
        <w:widowControl/>
        <w:jc w:val="left"/>
        <w:rPr>
          <w:rFonts w:hint="eastAsia" w:ascii="宋体" w:hAnsi="宋体" w:cs="宋体"/>
          <w:color w:val="auto"/>
          <w:spacing w:val="12"/>
          <w:kern w:val="0"/>
          <w:position w:val="-3"/>
          <w:sz w:val="2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525162B0">
      <w:pPr>
        <w:pStyle w:val="3"/>
        <w:widowControl/>
        <w:spacing w:before="120" w:after="120" w:line="240" w:lineRule="auto"/>
        <w:jc w:val="center"/>
        <w:rPr>
          <w:rStyle w:val="107"/>
          <w:rFonts w:hint="eastAsia" w:ascii="宋体" w:hAnsi="宋体" w:eastAsia="宋体" w:cs="宋体"/>
          <w:b/>
          <w:bCs w:val="0"/>
          <w:color w:val="auto"/>
          <w:sz w:val="30"/>
          <w:szCs w:val="30"/>
          <w:highlight w:val="none"/>
        </w:rPr>
      </w:pPr>
      <w:r>
        <w:rPr>
          <w:rStyle w:val="107"/>
          <w:rFonts w:hint="eastAsia" w:ascii="宋体" w:hAnsi="宋体" w:eastAsia="宋体" w:cs="宋体"/>
          <w:b/>
          <w:bCs w:val="0"/>
          <w:color w:val="auto"/>
          <w:sz w:val="30"/>
          <w:szCs w:val="30"/>
          <w:highlight w:val="none"/>
          <w:lang w:val="en-US"/>
        </w:rPr>
        <w:t>七</w:t>
      </w:r>
      <w:r>
        <w:rPr>
          <w:rStyle w:val="107"/>
          <w:rFonts w:hint="eastAsia" w:ascii="宋体" w:hAnsi="宋体" w:eastAsia="宋体" w:cs="宋体"/>
          <w:b/>
          <w:bCs w:val="0"/>
          <w:color w:val="auto"/>
          <w:sz w:val="30"/>
          <w:szCs w:val="30"/>
          <w:highlight w:val="none"/>
        </w:rPr>
        <w:t>、资格审查材料</w:t>
      </w:r>
    </w:p>
    <w:p w14:paraId="0A935A9D">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5E8C8272">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扫描件或电子证照</w:t>
      </w:r>
      <w:r>
        <w:rPr>
          <w:rFonts w:hint="eastAsia" w:ascii="宋体" w:hAnsi="宋体" w:cs="宋体"/>
          <w:color w:val="auto"/>
          <w:szCs w:val="21"/>
          <w:highlight w:val="none"/>
        </w:rPr>
        <w:t>；</w:t>
      </w:r>
    </w:p>
    <w:p w14:paraId="6C02F6B2">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2．建议设置审查索引，以便资格审查小组顺利开展审查工作；</w:t>
      </w:r>
    </w:p>
    <w:p w14:paraId="2764FC79">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3．内容须清晰、明确，若提供相关资料内容模糊不清或无法辨认，资格审查小组有权不予认可。</w:t>
      </w:r>
    </w:p>
    <w:p w14:paraId="285C9822">
      <w:pPr>
        <w:tabs>
          <w:tab w:val="left" w:pos="1260"/>
        </w:tabs>
        <w:jc w:val="center"/>
        <w:rPr>
          <w:rFonts w:hint="eastAsia" w:cs="宋体"/>
          <w:bCs/>
          <w:color w:val="auto"/>
          <w:sz w:val="24"/>
          <w:highlight w:val="none"/>
        </w:rPr>
      </w:pPr>
    </w:p>
    <w:p w14:paraId="3B0F329A">
      <w:pPr>
        <w:pStyle w:val="4"/>
        <w:keepNext w:val="0"/>
        <w:tabs>
          <w:tab w:val="left" w:pos="1260"/>
        </w:tabs>
        <w:jc w:val="center"/>
        <w:rPr>
          <w:rFonts w:hint="eastAsia" w:cs="宋体"/>
          <w:color w:val="auto"/>
          <w:sz w:val="24"/>
          <w:highlight w:val="none"/>
          <w:lang w:eastAsia="zh-CN"/>
        </w:rPr>
      </w:pPr>
      <w:r>
        <w:rPr>
          <w:rFonts w:hint="eastAsia" w:cs="宋体"/>
          <w:bCs w:val="0"/>
          <w:color w:val="auto"/>
          <w:sz w:val="24"/>
          <w:highlight w:val="none"/>
          <w:lang w:eastAsia="zh-CN"/>
        </w:rPr>
        <w:t>（一）招标文件要求的相关资格证明</w:t>
      </w:r>
    </w:p>
    <w:p w14:paraId="51BC8B4E">
      <w:pPr>
        <w:rPr>
          <w:rFonts w:hint="eastAsia" w:ascii="宋体" w:hAnsi="宋体" w:cs="宋体"/>
          <w:b/>
          <w:color w:val="auto"/>
          <w:highlight w:val="none"/>
        </w:rPr>
      </w:pPr>
      <w:r>
        <w:rPr>
          <w:rFonts w:hint="eastAsia" w:ascii="宋体" w:hAnsi="宋体" w:cs="宋体"/>
          <w:b/>
          <w:color w:val="auto"/>
          <w:highlight w:val="none"/>
        </w:rPr>
        <w:t>1-1营业执照等证明材料扫描件或电子证照</w:t>
      </w:r>
    </w:p>
    <w:p w14:paraId="34381A23">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投标人为企业（包括公司、合伙企业、个人独资企业）的，提供有效的营业执照；</w:t>
      </w:r>
    </w:p>
    <w:p w14:paraId="2A9FF2EB">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投标人为事业单位的，提供有效的事业单位法人证书；</w:t>
      </w:r>
    </w:p>
    <w:p w14:paraId="4218FC13">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投标人为社会团体的，提供有效的社会团体法人登记证书；</w:t>
      </w:r>
    </w:p>
    <w:p w14:paraId="78D7E4C0">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投标人为个体工商户的，提供有效的营业执照；</w:t>
      </w:r>
    </w:p>
    <w:p w14:paraId="21EC4FDE">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投标人为不具法人资格的专业服务机构的，提供有效的执业许可证等证明材料；</w:t>
      </w:r>
    </w:p>
    <w:p w14:paraId="14B25A82">
      <w:pPr>
        <w:rPr>
          <w:rFonts w:hint="eastAsia" w:ascii="宋体" w:hAnsi="宋体" w:cs="宋体"/>
          <w:color w:val="auto"/>
          <w:sz w:val="18"/>
          <w:szCs w:val="18"/>
          <w:highlight w:val="none"/>
        </w:rPr>
      </w:pPr>
      <w:r>
        <w:rPr>
          <w:rFonts w:hint="eastAsia" w:ascii="宋体" w:hAnsi="宋体" w:cs="宋体"/>
          <w:color w:val="auto"/>
          <w:sz w:val="18"/>
          <w:szCs w:val="18"/>
          <w:highlight w:val="none"/>
        </w:rPr>
        <w:t>投标人为自然人的，提供有效的自然人身份证明；</w:t>
      </w:r>
    </w:p>
    <w:p w14:paraId="5F2E1ECE">
      <w:pPr>
        <w:rPr>
          <w:rFonts w:hint="eastAsia" w:ascii="宋体" w:hAnsi="宋体" w:cs="宋体"/>
          <w:color w:val="auto"/>
          <w:sz w:val="18"/>
          <w:szCs w:val="18"/>
          <w:highlight w:val="none"/>
        </w:rPr>
      </w:pPr>
      <w:r>
        <w:rPr>
          <w:rFonts w:hint="eastAsia" w:ascii="宋体" w:hAnsi="宋体" w:cs="宋体"/>
          <w:color w:val="auto"/>
          <w:sz w:val="18"/>
          <w:szCs w:val="18"/>
          <w:highlight w:val="none"/>
        </w:rPr>
        <w:t>其他投标人应按照有关法律、法规和规章规定，提供有效的相应证明材料。</w:t>
      </w:r>
    </w:p>
    <w:p w14:paraId="24694A34">
      <w:pPr>
        <w:rPr>
          <w:rFonts w:hint="eastAsia" w:ascii="宋体" w:hAnsi="宋体" w:cs="宋体"/>
          <w:color w:val="auto"/>
          <w:sz w:val="18"/>
          <w:szCs w:val="18"/>
          <w:highlight w:val="none"/>
        </w:rPr>
      </w:pPr>
      <w:r>
        <w:rPr>
          <w:rFonts w:hint="eastAsia" w:ascii="宋体" w:hAnsi="宋体" w:cs="宋体"/>
          <w:color w:val="auto"/>
          <w:sz w:val="18"/>
          <w:szCs w:val="18"/>
          <w:highlight w:val="none"/>
        </w:rPr>
        <w:t>注：</w:t>
      </w:r>
    </w:p>
    <w:p w14:paraId="42BD4580">
      <w:pPr>
        <w:rPr>
          <w:rFonts w:hint="eastAsia" w:ascii="宋体" w:hAnsi="宋体" w:cs="宋体"/>
          <w:color w:val="auto"/>
          <w:sz w:val="18"/>
          <w:szCs w:val="18"/>
          <w:highlight w:val="none"/>
        </w:rPr>
      </w:pPr>
      <w:r>
        <w:rPr>
          <w:rFonts w:hint="eastAsia" w:ascii="宋体" w:hAnsi="宋体" w:cs="宋体"/>
          <w:color w:val="auto"/>
          <w:sz w:val="18"/>
          <w:szCs w:val="18"/>
          <w:highlight w:val="none"/>
        </w:rPr>
        <w:t>1.联合体投标的联合体各方均须提供。</w:t>
      </w:r>
    </w:p>
    <w:p w14:paraId="2EE04EDD">
      <w:pPr>
        <w:rPr>
          <w:rFonts w:hint="eastAsia" w:ascii="宋体" w:hAnsi="宋体" w:cs="宋体"/>
          <w:color w:val="auto"/>
          <w:sz w:val="18"/>
          <w:szCs w:val="18"/>
          <w:highlight w:val="none"/>
        </w:rPr>
      </w:pPr>
      <w:r>
        <w:rPr>
          <w:rFonts w:hint="eastAsia" w:ascii="宋体" w:hAnsi="宋体" w:cs="宋体"/>
          <w:color w:val="auto"/>
          <w:sz w:val="18"/>
          <w:szCs w:val="18"/>
          <w:highlight w:val="none"/>
        </w:rPr>
        <w:t>2.分支机构以分支机构名义参加投标的，应提供该分支机构的上述证明文件；同时还应提供其所属法人/其他组织出具的授权书（格式自拟，须加盖其所属法人/其他组织的公章）；</w:t>
      </w:r>
    </w:p>
    <w:p w14:paraId="27BC9806">
      <w:pPr>
        <w:rPr>
          <w:rFonts w:hint="eastAsia" w:ascii="宋体" w:hAnsi="宋体" w:cs="宋体"/>
          <w:color w:val="auto"/>
          <w:sz w:val="18"/>
          <w:szCs w:val="18"/>
          <w:highlight w:val="none"/>
        </w:rPr>
      </w:pPr>
      <w:r>
        <w:rPr>
          <w:rFonts w:hint="eastAsia" w:ascii="宋体" w:hAnsi="宋体" w:cs="宋体"/>
          <w:color w:val="auto"/>
          <w:sz w:val="18"/>
          <w:szCs w:val="18"/>
          <w:highlight w:val="none"/>
        </w:rPr>
        <w:t>3.分支机构以其所属法人/其他组织名义参加投标的，应提供其所属法人/其他组织的上述证明文件；同时还应提供其所属法人/其他组织出具的授权书（格式自拟，须加盖其所属法人/其他组织的公章）；</w:t>
      </w:r>
    </w:p>
    <w:p w14:paraId="691319B7">
      <w:pPr>
        <w:rPr>
          <w:rFonts w:hint="eastAsia" w:ascii="宋体" w:hAnsi="宋体" w:cs="宋体"/>
          <w:color w:val="auto"/>
          <w:szCs w:val="21"/>
          <w:highlight w:val="none"/>
        </w:rPr>
      </w:pPr>
      <w:r>
        <w:rPr>
          <w:rFonts w:hint="eastAsia" w:ascii="宋体" w:hAnsi="宋体" w:cs="宋体"/>
          <w:color w:val="auto"/>
          <w:sz w:val="18"/>
          <w:szCs w:val="18"/>
          <w:highlight w:val="none"/>
        </w:rPr>
        <w:t>4.对于银行、保险、石油石化、电力、电信、邮政、铁路等行业的分支机构，可以提供其所属法人/其他组织出具的授权书，也可以提供其所属法人/其他组织的有关文件或制度等能够证明授权其独立开展业务的证明材料。</w:t>
      </w:r>
    </w:p>
    <w:p w14:paraId="3D435546">
      <w:pPr>
        <w:pStyle w:val="93"/>
        <w:rPr>
          <w:rFonts w:hint="eastAsia"/>
          <w:color w:val="auto"/>
          <w:highlight w:val="none"/>
        </w:rPr>
      </w:pPr>
    </w:p>
    <w:p w14:paraId="65CB60B9">
      <w:pPr>
        <w:rPr>
          <w:rFonts w:hint="eastAsia" w:ascii="宋体" w:hAnsi="宋体" w:cs="宋体"/>
          <w:b/>
          <w:color w:val="auto"/>
          <w:highlight w:val="none"/>
        </w:rPr>
      </w:pPr>
      <w:r>
        <w:rPr>
          <w:rFonts w:hint="eastAsia" w:ascii="宋体" w:hAnsi="宋体" w:cs="宋体"/>
          <w:b/>
          <w:color w:val="auto"/>
          <w:highlight w:val="none"/>
        </w:rPr>
        <w:t>1-2资质证书（如有）</w:t>
      </w:r>
    </w:p>
    <w:p w14:paraId="12D12393">
      <w:pPr>
        <w:rPr>
          <w:rFonts w:hint="eastAsia" w:ascii="宋体" w:hAnsi="宋体" w:cs="宋体"/>
          <w:snapToGrid w:val="0"/>
          <w:color w:val="auto"/>
          <w:sz w:val="18"/>
          <w:szCs w:val="18"/>
          <w:highlight w:val="none"/>
        </w:rPr>
      </w:pPr>
      <w:r>
        <w:rPr>
          <w:rFonts w:hint="eastAsia" w:ascii="宋体" w:hAnsi="宋体" w:cs="宋体"/>
          <w:color w:val="auto"/>
          <w:sz w:val="18"/>
          <w:szCs w:val="18"/>
          <w:highlight w:val="none"/>
        </w:rPr>
        <w:t>注：</w:t>
      </w:r>
      <w:r>
        <w:rPr>
          <w:rFonts w:hint="eastAsia" w:ascii="宋体" w:hAnsi="宋体" w:cs="宋体"/>
          <w:snapToGrid w:val="0"/>
          <w:color w:val="auto"/>
          <w:sz w:val="18"/>
          <w:szCs w:val="18"/>
          <w:highlight w:val="none"/>
        </w:rPr>
        <w:t>资质证书包括但不限于投标货物生产（制造）、销售、服务（安装、改造、维修、保养）许可证及有关投标货物（产品）有效鉴定证明等材料。</w:t>
      </w:r>
    </w:p>
    <w:p w14:paraId="3A76A7A3">
      <w:pPr>
        <w:rPr>
          <w:rFonts w:hint="eastAsia" w:ascii="宋体" w:hAnsi="宋体" w:cs="宋体"/>
          <w:color w:val="auto"/>
          <w:szCs w:val="21"/>
          <w:highlight w:val="none"/>
        </w:rPr>
      </w:pPr>
    </w:p>
    <w:p w14:paraId="5B2F01FC">
      <w:pPr>
        <w:rPr>
          <w:rFonts w:hint="eastAsia" w:ascii="宋体" w:hAnsi="宋体" w:cs="宋体"/>
          <w:b/>
          <w:color w:val="auto"/>
          <w:highlight w:val="none"/>
        </w:rPr>
      </w:pPr>
      <w:r>
        <w:rPr>
          <w:rFonts w:hint="eastAsia" w:ascii="宋体" w:hAnsi="宋体" w:cs="宋体"/>
          <w:b/>
          <w:color w:val="auto"/>
          <w:highlight w:val="none"/>
        </w:rPr>
        <w:t>1-3制造商的相关资质证明（如有）</w:t>
      </w:r>
    </w:p>
    <w:p w14:paraId="15E9011D">
      <w:pPr>
        <w:rPr>
          <w:rFonts w:hint="eastAsia" w:ascii="宋体" w:hAnsi="宋体" w:cs="宋体"/>
          <w:b/>
          <w:color w:val="auto"/>
          <w:highlight w:val="none"/>
        </w:rPr>
      </w:pPr>
    </w:p>
    <w:p w14:paraId="5B9D3B58">
      <w:pPr>
        <w:rPr>
          <w:rFonts w:hint="eastAsia" w:ascii="宋体" w:hAnsi="宋体" w:cs="宋体"/>
          <w:b/>
          <w:color w:val="auto"/>
          <w:highlight w:val="none"/>
        </w:rPr>
      </w:pPr>
      <w:r>
        <w:rPr>
          <w:rFonts w:hint="eastAsia" w:ascii="宋体" w:hAnsi="宋体" w:cs="宋体"/>
          <w:b/>
          <w:color w:val="auto"/>
          <w:highlight w:val="none"/>
        </w:rPr>
        <w:t>1-4产品的相关资质证明文件（如有）</w:t>
      </w:r>
    </w:p>
    <w:p w14:paraId="22B785FF">
      <w:pPr>
        <w:rPr>
          <w:rFonts w:hint="eastAsia" w:ascii="宋体" w:hAnsi="宋体" w:cs="宋体"/>
          <w:b/>
          <w:color w:val="auto"/>
          <w:highlight w:val="none"/>
        </w:rPr>
      </w:pPr>
    </w:p>
    <w:p w14:paraId="604CF4BA">
      <w:pPr>
        <w:rPr>
          <w:rFonts w:hint="eastAsia" w:ascii="宋体" w:hAnsi="宋体" w:cs="宋体"/>
          <w:b/>
          <w:color w:val="auto"/>
          <w:highlight w:val="none"/>
        </w:rPr>
      </w:pPr>
      <w:r>
        <w:rPr>
          <w:rFonts w:hint="eastAsia" w:ascii="宋体" w:hAnsi="宋体" w:cs="宋体"/>
          <w:b/>
          <w:color w:val="auto"/>
          <w:highlight w:val="none"/>
        </w:rPr>
        <w:t>1-5其他要求的相关</w:t>
      </w:r>
      <w:r>
        <w:rPr>
          <w:rFonts w:hint="eastAsia" w:ascii="宋体" w:hAnsi="宋体" w:cs="宋体"/>
          <w:b/>
          <w:color w:val="auto"/>
          <w:szCs w:val="21"/>
          <w:highlight w:val="none"/>
        </w:rPr>
        <w:t>资格证明材料</w:t>
      </w:r>
      <w:r>
        <w:rPr>
          <w:rFonts w:hint="eastAsia" w:ascii="宋体" w:hAnsi="宋体" w:cs="宋体"/>
          <w:b/>
          <w:color w:val="auto"/>
          <w:highlight w:val="none"/>
        </w:rPr>
        <w:t>（如有）</w:t>
      </w:r>
    </w:p>
    <w:p w14:paraId="2C74779B">
      <w:pPr>
        <w:widowControl/>
        <w:tabs>
          <w:tab w:val="left" w:pos="5580"/>
        </w:tabs>
        <w:spacing w:line="360" w:lineRule="auto"/>
        <w:rPr>
          <w:rFonts w:hint="eastAsia" w:ascii="宋体" w:hAnsi="宋体" w:cs="宋体"/>
          <w:color w:val="auto"/>
          <w:szCs w:val="21"/>
          <w:highlight w:val="none"/>
        </w:rPr>
      </w:pPr>
    </w:p>
    <w:p w14:paraId="65389E47">
      <w:pPr>
        <w:widowControl/>
        <w:tabs>
          <w:tab w:val="left" w:pos="5580"/>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注意对照招标公告及第四章规定，提供各类资格证明材料</w:t>
      </w:r>
    </w:p>
    <w:p w14:paraId="7A2C109F">
      <w:pPr>
        <w:widowControl/>
        <w:tabs>
          <w:tab w:val="left" w:pos="5580"/>
        </w:tabs>
        <w:spacing w:line="360" w:lineRule="auto"/>
        <w:jc w:val="center"/>
        <w:outlineLvl w:val="2"/>
        <w:rPr>
          <w:rFonts w:hint="eastAsia" w:ascii="宋体" w:hAnsi="宋体" w:cs="宋体"/>
          <w:b/>
          <w:color w:val="auto"/>
          <w:sz w:val="24"/>
          <w:highlight w:val="none"/>
        </w:rPr>
      </w:pPr>
      <w:r>
        <w:rPr>
          <w:rFonts w:hint="eastAsia" w:ascii="宋体" w:hAnsi="宋体" w:cs="宋体"/>
          <w:b/>
          <w:color w:val="auto"/>
          <w:szCs w:val="21"/>
          <w:highlight w:val="none"/>
        </w:rPr>
        <w:br w:type="page"/>
      </w:r>
      <w:r>
        <w:rPr>
          <w:rFonts w:hint="eastAsia" w:ascii="宋体" w:hAnsi="宋体" w:cs="宋体"/>
          <w:b/>
          <w:bCs/>
          <w:color w:val="auto"/>
          <w:kern w:val="0"/>
          <w:sz w:val="24"/>
          <w:highlight w:val="none"/>
          <w:lang w:bidi="en-US"/>
        </w:rPr>
        <w:t>（二）政府采购供应商资格承诺函</w:t>
      </w:r>
    </w:p>
    <w:p w14:paraId="728819EB">
      <w:pPr>
        <w:snapToGrid w:val="0"/>
        <w:spacing w:line="360" w:lineRule="auto"/>
        <w:rPr>
          <w:rFonts w:hint="eastAsia" w:ascii="宋体" w:hAnsi="宋体" w:cs="宋体"/>
          <w:color w:val="auto"/>
          <w:highlight w:val="none"/>
          <w:u w:val="single"/>
          <w:lang w:bidi="en-US"/>
        </w:rPr>
      </w:pPr>
      <w:r>
        <w:rPr>
          <w:rFonts w:hint="eastAsia" w:ascii="宋体" w:hAnsi="宋体" w:cs="宋体"/>
          <w:color w:val="auto"/>
          <w:highlight w:val="none"/>
          <w:lang w:bidi="en-US"/>
        </w:rPr>
        <w:t>致：安徽省卫生健康委员会</w:t>
      </w:r>
    </w:p>
    <w:p w14:paraId="614B5095">
      <w:pPr>
        <w:snapToGrid w:val="0"/>
        <w:spacing w:line="360" w:lineRule="auto"/>
        <w:rPr>
          <w:rFonts w:hint="eastAsia" w:ascii="宋体" w:hAnsi="宋体" w:cs="宋体"/>
          <w:color w:val="auto"/>
          <w:highlight w:val="none"/>
          <w:lang w:bidi="en-US"/>
        </w:rPr>
      </w:pPr>
      <w:r>
        <w:rPr>
          <w:rFonts w:hint="eastAsia" w:ascii="宋体" w:hAnsi="宋体" w:cs="宋体"/>
          <w:color w:val="auto"/>
          <w:highlight w:val="none"/>
          <w:lang w:bidi="en-US"/>
        </w:rPr>
        <w:t xml:space="preserve">    安徽省招标集团股份有限公司</w:t>
      </w:r>
    </w:p>
    <w:p w14:paraId="72400D99">
      <w:pPr>
        <w:widowControl/>
        <w:tabs>
          <w:tab w:val="left" w:pos="558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lang w:bidi="en-US"/>
        </w:rPr>
        <w:t>郑重承诺，根据《中华人民共和国政府采购法》及《中华人民共和国政府采购法实施条例》的规定，</w:t>
      </w:r>
      <w:r>
        <w:rPr>
          <w:rFonts w:hint="eastAsia" w:ascii="宋体" w:hAnsi="宋体" w:cs="宋体"/>
          <w:color w:val="auto"/>
          <w:szCs w:val="21"/>
          <w:highlight w:val="none"/>
        </w:rPr>
        <w:t>我方具有独立承担民事责任的能力、具有良好的商业信誉和健全的财务会计制度、依法缴纳税收和社会保障资金,在前三年的经营活动中无重大违法记录,未列入严重失信行为名单,符合政府采购供应商的基本资格要求。</w:t>
      </w:r>
    </w:p>
    <w:p w14:paraId="2877AE52">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（一）具有独立承担民事责任的能力。</w:t>
      </w:r>
    </w:p>
    <w:p w14:paraId="46104187">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（二）具有良好的商业信誉和健全的财务会计制度。</w:t>
      </w:r>
    </w:p>
    <w:p w14:paraId="5996C4E6">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（三）具有履行合同所必需的设备和专业技术能力。</w:t>
      </w:r>
    </w:p>
    <w:p w14:paraId="512CE5A3">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（四）有依法缴纳税收和社会保障资金的良好记录。</w:t>
      </w:r>
    </w:p>
    <w:p w14:paraId="5EF8A7F2">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五）参加本次政府采购活动前三年内，我方在经营活动中没有重大违法记录，没有因违法经营受到刑事处罚或者责令停产停业、吊销许可证或者执照、较大数额罚款等行政处罚，且未在被禁止参加政府采购活动的处罚期限内。</w:t>
      </w:r>
    </w:p>
    <w:p w14:paraId="10ABBB6E">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六）我方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7AACA43E">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（七）符合其他法律法规规定的政府采购供应商条件。</w:t>
      </w:r>
    </w:p>
    <w:p w14:paraId="52536767">
      <w:pPr>
        <w:widowControl/>
        <w:tabs>
          <w:tab w:val="left" w:pos="5580"/>
        </w:tabs>
        <w:spacing w:line="360" w:lineRule="auto"/>
        <w:ind w:firstLine="420" w:firstLineChars="200"/>
        <w:jc w:val="left"/>
        <w:rPr>
          <w:rFonts w:hint="eastAsia" w:ascii="宋体" w:hAnsi="宋体" w:cs="宋体"/>
          <w:bCs/>
          <w:color w:val="auto"/>
          <w:szCs w:val="21"/>
          <w:highlight w:val="none"/>
        </w:rPr>
      </w:pPr>
    </w:p>
    <w:p w14:paraId="231EF23F">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我方对上述承诺事项的真实性负责，授权并配合采购人所在同级财政部门及其委托机构，对上述承诺事项进行查证。</w:t>
      </w:r>
    </w:p>
    <w:p w14:paraId="2226C0BE">
      <w:pPr>
        <w:widowControl/>
        <w:tabs>
          <w:tab w:val="left" w:pos="5580"/>
        </w:tabs>
        <w:spacing w:line="360" w:lineRule="auto"/>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如不属实，属于供应商提供虚假材料谋取中标、成交的情形，按照《中华人民共和国政府采购法》第七十七条第一款的规定，接受采购金额千分之五以上千分之十以下的罚款，列入不良行为记录名单，在一至三年内禁止参加政府采购活动等行政处罚。有违法所得的，并处没收违法所得，情节严重的，由市场监督管理部门吊销营业执照；构成犯罪的，依法追究刑事责任。</w:t>
      </w:r>
    </w:p>
    <w:p w14:paraId="645F86C8">
      <w:pPr>
        <w:jc w:val="right"/>
        <w:rPr>
          <w:rFonts w:hint="eastAsia" w:ascii="宋体" w:hAnsi="宋体" w:cs="宋体"/>
          <w:color w:val="auto"/>
          <w:highlight w:val="none"/>
          <w:u w:val="single"/>
          <w:lang w:bidi="en-US"/>
        </w:rPr>
      </w:pPr>
      <w:r>
        <w:rPr>
          <w:rFonts w:hint="eastAsia" w:ascii="宋体" w:hAnsi="宋体" w:cs="宋体"/>
          <w:color w:val="auto"/>
          <w:highlight w:val="none"/>
          <w:lang w:bidi="en-US"/>
        </w:rPr>
        <w:t>投标人：</w:t>
      </w:r>
      <w:r>
        <w:rPr>
          <w:rFonts w:hint="eastAsia" w:ascii="宋体" w:hAnsi="宋体" w:cs="宋体"/>
          <w:color w:val="auto"/>
          <w:highlight w:val="none"/>
          <w:u w:val="single"/>
          <w:lang w:bidi="en-US"/>
        </w:rPr>
        <w:t xml:space="preserve">       （盖单位章）</w:t>
      </w:r>
    </w:p>
    <w:p w14:paraId="35C770FC">
      <w:pPr>
        <w:bidi/>
        <w:ind w:left="0" w:right="0"/>
        <w:jc w:val="left"/>
        <w:rPr>
          <w:rFonts w:hint="eastAsia" w:ascii="仿宋" w:hAnsi="仿宋" w:eastAsia="仿宋" w:cs="仿宋"/>
          <w:color w:val="auto"/>
          <w:highlight w:val="none"/>
          <w:lang w:bidi="en-US"/>
        </w:rPr>
      </w:pPr>
      <w:r>
        <w:rPr>
          <w:rFonts w:hint="eastAsia" w:ascii="宋体" w:hAnsi="宋体" w:cs="宋体"/>
          <w:color w:val="auto"/>
          <w:highlight w:val="none"/>
          <w:lang w:bidi="en-US"/>
        </w:rPr>
        <w:t>日  期：</w:t>
      </w:r>
      <w:r>
        <w:rPr>
          <w:rFonts w:hint="eastAsia" w:ascii="宋体" w:hAnsi="宋体" w:cs="宋体"/>
          <w:color w:val="auto"/>
          <w:highlight w:val="none"/>
          <w:u w:val="single"/>
          <w:lang w:bidi="en-US"/>
        </w:rPr>
        <w:t xml:space="preserve">                   </w:t>
      </w:r>
    </w:p>
    <w:p w14:paraId="7689F969">
      <w:pPr>
        <w:pStyle w:val="3"/>
        <w:widowControl/>
        <w:numPr>
          <w:ilvl w:val="0"/>
          <w:numId w:val="13"/>
        </w:numPr>
        <w:spacing w:before="120" w:after="120" w:line="240" w:lineRule="auto"/>
        <w:jc w:val="center"/>
        <w:rPr>
          <w:rFonts w:hint="eastAsia" w:ascii="宋体" w:hAnsi="宋体" w:cs="宋体"/>
          <w:b/>
          <w:bCs/>
          <w:color w:val="auto"/>
          <w:kern w:val="0"/>
          <w:sz w:val="24"/>
          <w:highlight w:val="none"/>
          <w:lang w:val="en-US" w:eastAsia="zh-CN" w:bidi="en-US"/>
        </w:rPr>
      </w:pPr>
      <w:r>
        <w:rPr>
          <w:rFonts w:hint="eastAsia" w:ascii="宋体" w:hAnsi="宋体" w:cs="宋体"/>
          <w:color w:val="auto"/>
          <w:kern w:val="0"/>
          <w:szCs w:val="21"/>
          <w:highlight w:val="none"/>
        </w:rPr>
        <w:br w:type="page"/>
      </w:r>
      <w:r>
        <w:rPr>
          <w:rFonts w:hint="eastAsia" w:ascii="宋体" w:hAnsi="宋体" w:cs="宋体"/>
          <w:b/>
          <w:bCs/>
          <w:color w:val="auto"/>
          <w:kern w:val="0"/>
          <w:sz w:val="24"/>
          <w:highlight w:val="none"/>
          <w:lang w:val="en-US" w:eastAsia="zh-CN" w:bidi="en-US"/>
        </w:rPr>
        <w:t>投标主体资格承诺函（如有）</w:t>
      </w:r>
    </w:p>
    <w:p w14:paraId="3358211F">
      <w:pPr>
        <w:pStyle w:val="3"/>
        <w:widowControl/>
        <w:numPr>
          <w:ilvl w:val="0"/>
          <w:numId w:val="0"/>
        </w:numPr>
        <w:spacing w:before="120" w:after="120" w:line="240" w:lineRule="auto"/>
        <w:jc w:val="both"/>
        <w:rPr>
          <w:rStyle w:val="107"/>
          <w:rFonts w:hint="eastAsia" w:ascii="宋体" w:hAnsi="宋体" w:eastAsia="宋体" w:cs="宋体"/>
          <w:b/>
          <w:bCs w:val="0"/>
          <w:color w:val="auto"/>
          <w:sz w:val="20"/>
          <w:szCs w:val="20"/>
          <w:highlight w:val="none"/>
          <w:lang w:val="en-US"/>
        </w:rPr>
      </w:pPr>
    </w:p>
    <w:p w14:paraId="196F9422">
      <w:pPr>
        <w:pStyle w:val="3"/>
        <w:widowControl/>
        <w:numPr>
          <w:ilvl w:val="0"/>
          <w:numId w:val="0"/>
        </w:numPr>
        <w:spacing w:before="120" w:after="120" w:line="240" w:lineRule="auto"/>
        <w:jc w:val="both"/>
        <w:rPr>
          <w:rStyle w:val="107"/>
          <w:rFonts w:hint="eastAsia" w:ascii="宋体" w:hAnsi="宋体" w:eastAsia="宋体" w:cs="宋体"/>
          <w:b/>
          <w:bCs w:val="0"/>
          <w:color w:val="auto"/>
          <w:sz w:val="20"/>
          <w:szCs w:val="20"/>
          <w:highlight w:val="none"/>
          <w:lang w:val="en-US"/>
        </w:rPr>
      </w:pPr>
      <w:r>
        <w:rPr>
          <w:rStyle w:val="107"/>
          <w:rFonts w:hint="eastAsia" w:ascii="宋体" w:hAnsi="宋体" w:eastAsia="宋体" w:cs="宋体"/>
          <w:b/>
          <w:bCs w:val="0"/>
          <w:color w:val="auto"/>
          <w:sz w:val="20"/>
          <w:szCs w:val="20"/>
          <w:highlight w:val="none"/>
          <w:lang w:val="en-US"/>
        </w:rPr>
        <w:t>注：</w:t>
      </w:r>
      <w:r>
        <w:rPr>
          <w:rStyle w:val="107"/>
          <w:rFonts w:ascii="宋体" w:hAnsi="宋体" w:eastAsia="宋体" w:cs="宋体"/>
          <w:b/>
          <w:bCs w:val="0"/>
          <w:color w:val="auto"/>
          <w:sz w:val="20"/>
          <w:szCs w:val="20"/>
          <w:highlight w:val="none"/>
        </w:rPr>
        <w:t>制造商（或制造商所在的集团公司）在中国关境内设立的仅销售本制造商（或制造商所在的集团公司）产品的贸易公司参加投标</w:t>
      </w:r>
      <w:r>
        <w:rPr>
          <w:rStyle w:val="107"/>
          <w:rFonts w:hint="eastAsia" w:ascii="宋体" w:hAnsi="宋体" w:eastAsia="宋体" w:cs="宋体"/>
          <w:b/>
          <w:bCs w:val="0"/>
          <w:color w:val="auto"/>
          <w:sz w:val="20"/>
          <w:szCs w:val="20"/>
          <w:highlight w:val="none"/>
          <w:lang w:val="en-US"/>
        </w:rPr>
        <w:t>时须提供，格式供参考。</w:t>
      </w:r>
    </w:p>
    <w:p w14:paraId="54CC0988">
      <w:pPr>
        <w:snapToGrid w:val="0"/>
        <w:spacing w:line="360" w:lineRule="auto"/>
        <w:rPr>
          <w:rFonts w:hint="eastAsia" w:ascii="宋体" w:hAnsi="宋体" w:cs="宋体"/>
          <w:color w:val="auto"/>
          <w:highlight w:val="none"/>
          <w:lang w:bidi="en-US"/>
        </w:rPr>
      </w:pPr>
    </w:p>
    <w:p w14:paraId="474AA1EC">
      <w:pPr>
        <w:snapToGrid w:val="0"/>
        <w:spacing w:line="360" w:lineRule="auto"/>
        <w:rPr>
          <w:rFonts w:hint="eastAsia" w:ascii="宋体" w:hAnsi="宋体" w:cs="宋体"/>
          <w:color w:val="auto"/>
          <w:highlight w:val="none"/>
          <w:lang w:bidi="en-US"/>
        </w:rPr>
      </w:pPr>
      <w:r>
        <w:rPr>
          <w:rFonts w:hint="eastAsia" w:ascii="宋体" w:hAnsi="宋体" w:cs="宋体"/>
          <w:color w:val="auto"/>
          <w:highlight w:val="none"/>
          <w:lang w:bidi="en-US"/>
        </w:rPr>
        <w:t>致：安徽省卫生健康委员会</w:t>
      </w:r>
    </w:p>
    <w:p w14:paraId="2DE0F93D">
      <w:pPr>
        <w:snapToGrid w:val="0"/>
        <w:spacing w:line="360" w:lineRule="auto"/>
        <w:rPr>
          <w:rFonts w:hint="eastAsia" w:ascii="宋体" w:hAnsi="宋体" w:cs="宋体"/>
          <w:color w:val="auto"/>
          <w:highlight w:val="none"/>
          <w:lang w:bidi="en-US"/>
        </w:rPr>
      </w:pPr>
      <w:r>
        <w:rPr>
          <w:rFonts w:hint="eastAsia" w:ascii="宋体" w:hAnsi="宋体" w:cs="宋体"/>
          <w:color w:val="auto"/>
          <w:highlight w:val="none"/>
          <w:lang w:bidi="en-US"/>
        </w:rPr>
        <w:t xml:space="preserve">    安徽省招标集团股份有限公司</w:t>
      </w:r>
    </w:p>
    <w:p w14:paraId="44C0EB1F">
      <w:pPr>
        <w:widowControl/>
        <w:tabs>
          <w:tab w:val="left" w:pos="5580"/>
        </w:tabs>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w:t>
      </w:r>
      <w:r>
        <w:rPr>
          <w:rFonts w:hint="eastAsia" w:ascii="宋体" w:hAnsi="宋体" w:cs="宋体"/>
          <w:color w:val="auto"/>
          <w:highlight w:val="none"/>
          <w:lang w:bidi="en-US"/>
        </w:rPr>
        <w:t>郑重承诺，</w:t>
      </w:r>
      <w:r>
        <w:rPr>
          <w:rFonts w:hint="eastAsia" w:ascii="宋体" w:hAnsi="宋体" w:cs="宋体"/>
          <w:color w:val="auto"/>
          <w:highlight w:val="none"/>
          <w:lang w:val="en-US" w:eastAsia="zh-CN" w:bidi="en-US"/>
        </w:rPr>
        <w:t>我公司为所投产品制造商XXX公司（或制造商XXX公司所在的集团公司XXX公司）</w:t>
      </w:r>
      <w:r>
        <w:rPr>
          <w:rFonts w:hint="eastAsia" w:ascii="宋体" w:hAnsi="宋体" w:cs="宋体"/>
          <w:color w:val="auto"/>
          <w:highlight w:val="none"/>
          <w:lang w:bidi="en-US"/>
        </w:rPr>
        <w:t>在中国关境内</w:t>
      </w:r>
      <w:r>
        <w:rPr>
          <w:rFonts w:hint="eastAsia" w:ascii="宋体" w:hAnsi="宋体" w:cs="宋体"/>
          <w:color w:val="auto"/>
          <w:highlight w:val="none"/>
          <w:lang w:val="en-US" w:eastAsia="zh-CN" w:bidi="en-US"/>
        </w:rPr>
        <w:t>设立的贸易公司，我公司仅销售</w:t>
      </w:r>
      <w:r>
        <w:rPr>
          <w:rFonts w:hint="eastAsia" w:ascii="宋体" w:hAnsi="宋体" w:cs="宋体"/>
          <w:color w:val="auto"/>
          <w:highlight w:val="none"/>
          <w:lang w:bidi="en-US"/>
        </w:rPr>
        <w:t>本制造商</w:t>
      </w:r>
      <w:r>
        <w:rPr>
          <w:rFonts w:hint="eastAsia" w:ascii="宋体" w:hAnsi="宋体" w:cs="宋体"/>
          <w:color w:val="auto"/>
          <w:highlight w:val="none"/>
          <w:lang w:val="en-US" w:eastAsia="zh-CN" w:bidi="en-US"/>
        </w:rPr>
        <w:t>XXX公司</w:t>
      </w:r>
      <w:r>
        <w:rPr>
          <w:rFonts w:hint="eastAsia" w:ascii="宋体" w:hAnsi="宋体" w:cs="宋体"/>
          <w:color w:val="auto"/>
          <w:highlight w:val="none"/>
          <w:lang w:bidi="en-US"/>
        </w:rPr>
        <w:t>（或</w:t>
      </w:r>
      <w:r>
        <w:rPr>
          <w:rFonts w:hint="eastAsia" w:ascii="宋体" w:hAnsi="宋体" w:cs="宋体"/>
          <w:color w:val="auto"/>
          <w:highlight w:val="none"/>
          <w:lang w:val="en-US" w:eastAsia="zh-CN" w:bidi="en-US"/>
        </w:rPr>
        <w:t>制造商XXX公司</w:t>
      </w:r>
      <w:r>
        <w:rPr>
          <w:rFonts w:hint="eastAsia" w:ascii="宋体" w:hAnsi="宋体" w:cs="宋体"/>
          <w:color w:val="auto"/>
          <w:highlight w:val="none"/>
          <w:lang w:bidi="en-US"/>
        </w:rPr>
        <w:t>所在的集团公司</w:t>
      </w:r>
      <w:r>
        <w:rPr>
          <w:rFonts w:hint="eastAsia" w:ascii="宋体" w:hAnsi="宋体" w:cs="宋体"/>
          <w:color w:val="auto"/>
          <w:highlight w:val="none"/>
          <w:lang w:val="en-US" w:eastAsia="zh-CN" w:bidi="en-US"/>
        </w:rPr>
        <w:t>XXX公司</w:t>
      </w:r>
      <w:r>
        <w:rPr>
          <w:rFonts w:hint="eastAsia" w:ascii="宋体" w:hAnsi="宋体" w:cs="宋体"/>
          <w:color w:val="auto"/>
          <w:highlight w:val="none"/>
          <w:lang w:bidi="en-US"/>
        </w:rPr>
        <w:t>）</w:t>
      </w:r>
      <w:r>
        <w:rPr>
          <w:rFonts w:hint="eastAsia" w:ascii="宋体" w:hAnsi="宋体" w:cs="宋体"/>
          <w:color w:val="auto"/>
          <w:highlight w:val="none"/>
          <w:lang w:val="en-US" w:eastAsia="zh-CN" w:bidi="en-US"/>
        </w:rPr>
        <w:t>产品</w:t>
      </w:r>
      <w:r>
        <w:rPr>
          <w:rFonts w:hint="eastAsia" w:ascii="宋体" w:hAnsi="宋体" w:cs="宋体"/>
          <w:color w:val="auto"/>
          <w:szCs w:val="21"/>
          <w:highlight w:val="none"/>
        </w:rPr>
        <w:t>。</w:t>
      </w:r>
    </w:p>
    <w:p w14:paraId="59B84C83">
      <w:pPr>
        <w:widowControl/>
        <w:tabs>
          <w:tab w:val="left" w:pos="5580"/>
        </w:tabs>
        <w:spacing w:line="360" w:lineRule="auto"/>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我方对上述承诺事项的真实性负责，授权并配合采购人所在同级财政部门及其委托机构，对上述承诺事项进行查证。</w:t>
      </w:r>
    </w:p>
    <w:p w14:paraId="6D6B1461">
      <w:pPr>
        <w:widowControl/>
        <w:tabs>
          <w:tab w:val="left" w:pos="5580"/>
        </w:tabs>
        <w:spacing w:line="360" w:lineRule="auto"/>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如不属实，属于供应商提供虚假材料谋取中标、成交的情形，按照《中华人民共和国政府采购法》第七十七条第一款的规定，接受采购金额千分之五以上千分之十以下的罚款，列入不良行为记录名单，在一至三年内禁止参加政府采购活动等行政处罚。有违法所得的，并处没收违法所得，情节严重的，由市场监督管理部门吊销营业执照；构成犯罪的，依法追究刑事责任。</w:t>
      </w:r>
    </w:p>
    <w:p w14:paraId="0361ADDC">
      <w:pPr>
        <w:jc w:val="right"/>
        <w:rPr>
          <w:rFonts w:hint="eastAsia" w:ascii="宋体" w:hAnsi="宋体" w:cs="宋体"/>
          <w:color w:val="auto"/>
          <w:highlight w:val="none"/>
          <w:lang w:bidi="en-US"/>
        </w:rPr>
      </w:pPr>
    </w:p>
    <w:p w14:paraId="7282663A">
      <w:pPr>
        <w:jc w:val="right"/>
        <w:rPr>
          <w:rFonts w:hint="eastAsia" w:ascii="宋体" w:hAnsi="宋体" w:cs="宋体"/>
          <w:color w:val="auto"/>
          <w:highlight w:val="none"/>
          <w:lang w:bidi="en-US"/>
        </w:rPr>
      </w:pPr>
    </w:p>
    <w:p w14:paraId="0B9C107A">
      <w:pPr>
        <w:jc w:val="right"/>
        <w:rPr>
          <w:rFonts w:hint="eastAsia" w:ascii="宋体" w:hAnsi="宋体" w:cs="宋体"/>
          <w:color w:val="auto"/>
          <w:highlight w:val="none"/>
          <w:lang w:bidi="en-US"/>
        </w:rPr>
      </w:pPr>
    </w:p>
    <w:p w14:paraId="1FD8652C">
      <w:pPr>
        <w:jc w:val="right"/>
        <w:rPr>
          <w:rFonts w:hint="eastAsia" w:ascii="宋体" w:hAnsi="宋体" w:cs="宋体"/>
          <w:color w:val="auto"/>
          <w:highlight w:val="none"/>
          <w:lang w:bidi="en-US"/>
        </w:rPr>
      </w:pPr>
    </w:p>
    <w:p w14:paraId="03984440">
      <w:pPr>
        <w:jc w:val="right"/>
        <w:rPr>
          <w:rFonts w:hint="eastAsia" w:ascii="宋体" w:hAnsi="宋体" w:cs="宋体"/>
          <w:color w:val="auto"/>
          <w:highlight w:val="none"/>
          <w:lang w:bidi="en-US"/>
        </w:rPr>
      </w:pPr>
    </w:p>
    <w:p w14:paraId="7D47EE5A">
      <w:pPr>
        <w:jc w:val="right"/>
        <w:rPr>
          <w:rFonts w:hint="eastAsia" w:ascii="宋体" w:hAnsi="宋体" w:cs="宋体"/>
          <w:color w:val="auto"/>
          <w:highlight w:val="none"/>
          <w:lang w:bidi="en-US"/>
        </w:rPr>
      </w:pPr>
    </w:p>
    <w:p w14:paraId="4F71CBA5">
      <w:pPr>
        <w:jc w:val="right"/>
        <w:rPr>
          <w:rFonts w:hint="eastAsia" w:ascii="宋体" w:hAnsi="宋体" w:cs="宋体"/>
          <w:color w:val="auto"/>
          <w:highlight w:val="none"/>
          <w:lang w:bidi="en-US"/>
        </w:rPr>
      </w:pPr>
    </w:p>
    <w:p w14:paraId="455C42E7">
      <w:pPr>
        <w:jc w:val="right"/>
        <w:rPr>
          <w:rFonts w:hint="eastAsia" w:ascii="宋体" w:hAnsi="宋体" w:cs="宋体"/>
          <w:color w:val="auto"/>
          <w:highlight w:val="none"/>
          <w:u w:val="single"/>
          <w:lang w:bidi="en-US"/>
        </w:rPr>
      </w:pPr>
      <w:r>
        <w:rPr>
          <w:rFonts w:hint="eastAsia" w:ascii="宋体" w:hAnsi="宋体" w:cs="宋体"/>
          <w:color w:val="auto"/>
          <w:highlight w:val="none"/>
          <w:lang w:bidi="en-US"/>
        </w:rPr>
        <w:t>投标人：</w:t>
      </w:r>
      <w:r>
        <w:rPr>
          <w:rFonts w:hint="eastAsia" w:ascii="宋体" w:hAnsi="宋体" w:cs="宋体"/>
          <w:color w:val="auto"/>
          <w:highlight w:val="none"/>
          <w:u w:val="single"/>
          <w:lang w:bidi="en-US"/>
        </w:rPr>
        <w:t xml:space="preserve">     </w:t>
      </w:r>
      <w:r>
        <w:rPr>
          <w:rFonts w:hint="eastAsia" w:ascii="宋体" w:hAnsi="宋体" w:cs="宋体"/>
          <w:color w:val="auto"/>
          <w:highlight w:val="none"/>
          <w:u w:val="single"/>
          <w:lang w:val="en-US" w:eastAsia="zh-CN" w:bidi="en-US"/>
        </w:rPr>
        <w:t xml:space="preserve">    </w:t>
      </w:r>
      <w:r>
        <w:rPr>
          <w:rFonts w:hint="eastAsia" w:ascii="宋体" w:hAnsi="宋体" w:cs="宋体"/>
          <w:color w:val="auto"/>
          <w:highlight w:val="none"/>
          <w:u w:val="single"/>
          <w:lang w:bidi="en-US"/>
        </w:rPr>
        <w:t xml:space="preserve">  （盖单位章）</w:t>
      </w:r>
    </w:p>
    <w:p w14:paraId="01229A65">
      <w:pPr>
        <w:jc w:val="center"/>
        <w:rPr>
          <w:rFonts w:hint="eastAsia" w:ascii="宋体" w:hAnsi="宋体" w:cs="宋体"/>
          <w:color w:val="auto"/>
          <w:highlight w:val="none"/>
          <w:u w:val="single"/>
          <w:lang w:bidi="en-US"/>
        </w:rPr>
      </w:pPr>
      <w:r>
        <w:rPr>
          <w:rFonts w:hint="eastAsia" w:ascii="宋体" w:hAnsi="宋体" w:cs="宋体"/>
          <w:color w:val="auto"/>
          <w:highlight w:val="none"/>
          <w:lang w:val="en-US" w:eastAsia="zh-CN" w:bidi="en-US"/>
        </w:rPr>
        <w:t xml:space="preserve">                                      </w:t>
      </w:r>
      <w:r>
        <w:rPr>
          <w:rFonts w:hint="eastAsia" w:ascii="宋体" w:hAnsi="宋体" w:cs="宋体"/>
          <w:color w:val="auto"/>
          <w:highlight w:val="none"/>
          <w:lang w:bidi="en-US"/>
        </w:rPr>
        <w:t>日  期：</w:t>
      </w:r>
      <w:r>
        <w:rPr>
          <w:rFonts w:hint="eastAsia" w:ascii="宋体" w:hAnsi="宋体" w:cs="宋体"/>
          <w:color w:val="auto"/>
          <w:highlight w:val="none"/>
          <w:u w:val="single"/>
          <w:lang w:bidi="en-US"/>
        </w:rPr>
        <w:t xml:space="preserve">                   </w:t>
      </w:r>
    </w:p>
    <w:p w14:paraId="765D165C">
      <w:pPr>
        <w:pStyle w:val="3"/>
        <w:widowControl/>
        <w:numPr>
          <w:ilvl w:val="0"/>
          <w:numId w:val="13"/>
        </w:numPr>
        <w:spacing w:before="120" w:after="120" w:line="240" w:lineRule="auto"/>
        <w:jc w:val="center"/>
        <w:rPr>
          <w:rFonts w:hint="eastAsia" w:ascii="宋体" w:hAnsi="宋体" w:cs="宋体"/>
          <w:b/>
          <w:bCs/>
          <w:color w:val="auto"/>
          <w:kern w:val="0"/>
          <w:sz w:val="24"/>
          <w:highlight w:val="none"/>
          <w:lang w:val="en-US" w:eastAsia="zh-CN" w:bidi="en-US"/>
        </w:rPr>
      </w:pPr>
      <w:r>
        <w:rPr>
          <w:rFonts w:hint="eastAsia" w:ascii="宋体" w:hAnsi="宋体" w:cs="宋体"/>
          <w:b/>
          <w:bCs/>
          <w:color w:val="auto"/>
          <w:kern w:val="0"/>
          <w:sz w:val="24"/>
          <w:highlight w:val="none"/>
          <w:lang w:val="en-US" w:eastAsia="zh-CN" w:bidi="en-US"/>
        </w:rPr>
        <w:br w:type="page"/>
      </w:r>
      <w:r>
        <w:rPr>
          <w:rFonts w:hint="eastAsia" w:ascii="宋体" w:hAnsi="宋体" w:cs="宋体"/>
          <w:b/>
          <w:bCs/>
          <w:color w:val="auto"/>
          <w:kern w:val="0"/>
          <w:sz w:val="24"/>
          <w:highlight w:val="none"/>
          <w:lang w:val="en-US" w:eastAsia="zh-CN" w:bidi="en-US"/>
        </w:rPr>
        <w:t>投标主体资格证明材料（如有）</w:t>
      </w:r>
    </w:p>
    <w:p w14:paraId="52A033B7">
      <w:pPr>
        <w:pStyle w:val="3"/>
        <w:widowControl/>
        <w:numPr>
          <w:ilvl w:val="0"/>
          <w:numId w:val="0"/>
        </w:numPr>
        <w:spacing w:before="120" w:after="120" w:line="240" w:lineRule="auto"/>
        <w:jc w:val="left"/>
        <w:rPr>
          <w:rStyle w:val="107"/>
          <w:rFonts w:hint="eastAsia" w:ascii="宋体" w:hAnsi="宋体" w:eastAsia="宋体" w:cs="宋体"/>
          <w:b/>
          <w:bCs w:val="0"/>
          <w:color w:val="auto"/>
          <w:sz w:val="20"/>
          <w:szCs w:val="20"/>
          <w:highlight w:val="none"/>
          <w:lang w:val="en-US"/>
        </w:rPr>
      </w:pPr>
    </w:p>
    <w:p w14:paraId="5020D526">
      <w:pPr>
        <w:pStyle w:val="3"/>
        <w:widowControl/>
        <w:numPr>
          <w:ilvl w:val="0"/>
          <w:numId w:val="0"/>
        </w:numPr>
        <w:spacing w:before="120" w:after="120" w:line="240" w:lineRule="auto"/>
        <w:jc w:val="left"/>
        <w:rPr>
          <w:rStyle w:val="107"/>
          <w:rFonts w:hint="eastAsia" w:ascii="宋体" w:hAnsi="宋体" w:eastAsia="宋体" w:cs="宋体"/>
          <w:b/>
          <w:bCs w:val="0"/>
          <w:color w:val="auto"/>
          <w:sz w:val="20"/>
          <w:szCs w:val="20"/>
          <w:highlight w:val="none"/>
          <w:lang w:val="en-US"/>
        </w:rPr>
      </w:pPr>
      <w:r>
        <w:rPr>
          <w:rStyle w:val="107"/>
          <w:rFonts w:hint="eastAsia" w:ascii="宋体" w:hAnsi="宋体" w:eastAsia="宋体" w:cs="宋体"/>
          <w:b/>
          <w:bCs w:val="0"/>
          <w:color w:val="auto"/>
          <w:sz w:val="20"/>
          <w:szCs w:val="20"/>
          <w:highlight w:val="none"/>
          <w:lang w:val="en-US"/>
        </w:rPr>
        <w:t>注：</w:t>
      </w:r>
    </w:p>
    <w:p w14:paraId="0D803B93">
      <w:pPr>
        <w:pStyle w:val="3"/>
        <w:widowControl/>
        <w:numPr>
          <w:ilvl w:val="0"/>
          <w:numId w:val="0"/>
        </w:numPr>
        <w:spacing w:before="120" w:after="120" w:line="240" w:lineRule="auto"/>
        <w:jc w:val="left"/>
        <w:rPr>
          <w:rStyle w:val="107"/>
          <w:rFonts w:hint="eastAsia" w:ascii="宋体" w:hAnsi="宋体" w:eastAsia="宋体" w:cs="宋体"/>
          <w:b/>
          <w:bCs w:val="0"/>
          <w:color w:val="auto"/>
          <w:sz w:val="20"/>
          <w:szCs w:val="20"/>
          <w:highlight w:val="none"/>
          <w:lang w:val="en-US"/>
        </w:rPr>
      </w:pPr>
      <w:r>
        <w:rPr>
          <w:rStyle w:val="107"/>
          <w:rFonts w:hint="eastAsia" w:ascii="宋体" w:hAnsi="宋体" w:eastAsia="宋体" w:cs="宋体"/>
          <w:b/>
          <w:bCs w:val="0"/>
          <w:color w:val="auto"/>
          <w:sz w:val="20"/>
          <w:szCs w:val="20"/>
          <w:highlight w:val="none"/>
          <w:lang w:val="en-US"/>
        </w:rPr>
        <w:t>1、</w:t>
      </w:r>
      <w:r>
        <w:rPr>
          <w:rStyle w:val="107"/>
          <w:rFonts w:hint="eastAsia" w:ascii="宋体" w:hAnsi="宋体" w:eastAsia="宋体" w:cs="宋体"/>
          <w:b/>
          <w:bCs w:val="0"/>
          <w:color w:val="auto"/>
          <w:sz w:val="20"/>
          <w:szCs w:val="20"/>
          <w:highlight w:val="none"/>
        </w:rPr>
        <w:t>制造商（或制造商所在的集团公司）在中国关境内设立的仅销售本制造商（或制造商所在的集团公司）产品的贸易公司参加投标</w:t>
      </w:r>
      <w:r>
        <w:rPr>
          <w:rStyle w:val="107"/>
          <w:rFonts w:hint="eastAsia" w:ascii="宋体" w:hAnsi="宋体" w:eastAsia="宋体" w:cs="宋体"/>
          <w:b/>
          <w:bCs w:val="0"/>
          <w:color w:val="auto"/>
          <w:sz w:val="20"/>
          <w:szCs w:val="20"/>
          <w:highlight w:val="none"/>
          <w:lang w:val="en-US"/>
        </w:rPr>
        <w:t>时须提供。</w:t>
      </w:r>
    </w:p>
    <w:p w14:paraId="3D7ED3A2">
      <w:pPr>
        <w:pStyle w:val="3"/>
        <w:widowControl/>
        <w:numPr>
          <w:ilvl w:val="0"/>
          <w:numId w:val="0"/>
        </w:numPr>
        <w:spacing w:before="120" w:after="120" w:line="240" w:lineRule="auto"/>
        <w:ind w:firstLine="0" w:firstLineChars="0"/>
        <w:jc w:val="left"/>
        <w:rPr>
          <w:rStyle w:val="107"/>
          <w:rFonts w:ascii="宋体" w:hAnsi="宋体" w:eastAsia="宋体" w:cs="宋体"/>
          <w:b/>
          <w:bCs w:val="0"/>
          <w:color w:val="auto"/>
          <w:sz w:val="20"/>
          <w:szCs w:val="20"/>
          <w:highlight w:val="none"/>
        </w:rPr>
      </w:pPr>
      <w:r>
        <w:rPr>
          <w:rStyle w:val="107"/>
          <w:rFonts w:hint="eastAsia" w:ascii="宋体" w:hAnsi="宋体" w:eastAsia="宋体" w:cs="宋体"/>
          <w:b/>
          <w:bCs w:val="0"/>
          <w:color w:val="auto"/>
          <w:sz w:val="20"/>
          <w:szCs w:val="20"/>
          <w:highlight w:val="none"/>
          <w:lang w:val="en-US"/>
        </w:rPr>
        <w:t>2、提供</w:t>
      </w:r>
      <w:r>
        <w:rPr>
          <w:rStyle w:val="107"/>
          <w:rFonts w:ascii="宋体" w:hAnsi="宋体" w:eastAsia="宋体" w:cs="宋体"/>
          <w:b/>
          <w:bCs w:val="0"/>
          <w:color w:val="auto"/>
          <w:sz w:val="20"/>
          <w:szCs w:val="20"/>
          <w:highlight w:val="none"/>
        </w:rPr>
        <w:t>制造商及贸易公司之间的关系证明（或：集团公司、制造商及贸易公司之间的关系证明），主要体现制造商及贸易公司之间股权关系（或：集团公司、制造商及贸易公司之间的股权关系），涉及的各方主体均须在证明上盖章）。</w:t>
      </w:r>
    </w:p>
    <w:p w14:paraId="4CB91CC7">
      <w:pPr>
        <w:widowControl/>
        <w:spacing w:line="261" w:lineRule="auto"/>
        <w:ind w:left="120" w:right="40"/>
        <w:rPr>
          <w:rFonts w:hint="eastAsia" w:ascii="宋体" w:hAnsi="宋体" w:cs="宋体"/>
          <w:color w:val="auto"/>
          <w:kern w:val="0"/>
          <w:szCs w:val="21"/>
          <w:highlight w:val="none"/>
        </w:rPr>
      </w:pPr>
      <w:r>
        <w:rPr>
          <w:rFonts w:hint="eastAsia" w:ascii="宋体" w:hAnsi="宋体" w:cs="宋体"/>
          <w:color w:val="auto"/>
          <w:kern w:val="0"/>
          <w:szCs w:val="21"/>
          <w:highlight w:val="none"/>
        </w:rPr>
        <w:br w:type="page"/>
      </w:r>
    </w:p>
    <w:p w14:paraId="6DA260DA">
      <w:pPr>
        <w:pStyle w:val="3"/>
        <w:widowControl/>
        <w:spacing w:before="120" w:after="120" w:line="240" w:lineRule="auto"/>
        <w:jc w:val="center"/>
        <w:rPr>
          <w:rStyle w:val="107"/>
          <w:rFonts w:hint="eastAsia" w:ascii="宋体" w:hAnsi="宋体" w:eastAsia="宋体" w:cs="宋体"/>
          <w:b/>
          <w:bCs/>
          <w:color w:val="auto"/>
          <w:sz w:val="30"/>
          <w:szCs w:val="30"/>
          <w:highlight w:val="none"/>
        </w:rPr>
      </w:pPr>
      <w:r>
        <w:rPr>
          <w:rStyle w:val="107"/>
          <w:rFonts w:hint="eastAsia" w:ascii="宋体" w:hAnsi="宋体" w:eastAsia="宋体" w:cs="宋体"/>
          <w:b/>
          <w:bCs w:val="0"/>
          <w:color w:val="auto"/>
          <w:sz w:val="30"/>
          <w:szCs w:val="30"/>
          <w:highlight w:val="none"/>
          <w:lang w:val="en-US"/>
        </w:rPr>
        <w:t>八</w:t>
      </w:r>
      <w:r>
        <w:rPr>
          <w:rStyle w:val="107"/>
          <w:rFonts w:hint="eastAsia" w:ascii="宋体" w:hAnsi="宋体" w:eastAsia="宋体" w:cs="宋体"/>
          <w:b/>
          <w:bCs/>
          <w:color w:val="auto"/>
          <w:sz w:val="30"/>
          <w:szCs w:val="30"/>
          <w:highlight w:val="none"/>
        </w:rPr>
        <w:t>、符合性审查与详细评审材料</w:t>
      </w:r>
    </w:p>
    <w:p w14:paraId="40DE685B">
      <w:pPr>
        <w:widowControl/>
        <w:tabs>
          <w:tab w:val="left" w:pos="5580"/>
        </w:tabs>
        <w:wordWrap w:val="0"/>
        <w:adjustRightInd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特别提醒：</w:t>
      </w:r>
    </w:p>
    <w:p w14:paraId="196DD51D">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1．提供证明材料</w:t>
      </w:r>
      <w:r>
        <w:rPr>
          <w:rFonts w:hint="eastAsia" w:ascii="宋体" w:hAnsi="宋体" w:cs="宋体"/>
          <w:b/>
          <w:color w:val="auto"/>
          <w:szCs w:val="21"/>
          <w:highlight w:val="none"/>
        </w:rPr>
        <w:t>扫描件或电子证照</w:t>
      </w:r>
      <w:r>
        <w:rPr>
          <w:rFonts w:hint="eastAsia" w:ascii="宋体" w:hAnsi="宋体" w:cs="宋体"/>
          <w:color w:val="auto"/>
          <w:szCs w:val="21"/>
          <w:highlight w:val="none"/>
        </w:rPr>
        <w:t>；</w:t>
      </w:r>
    </w:p>
    <w:p w14:paraId="7AA22DF4">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2．建议设置评审索引，以便评标委员会顺利开展评审工作；</w:t>
      </w:r>
    </w:p>
    <w:p w14:paraId="3C8EF6E1">
      <w:pPr>
        <w:widowControl/>
        <w:tabs>
          <w:tab w:val="left" w:pos="5580"/>
        </w:tabs>
        <w:wordWrap w:val="0"/>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3．内容须清晰、明确，若提供相关资料内容模糊不清或无法辨认，评标委员会有权不予认可。</w:t>
      </w:r>
    </w:p>
    <w:p w14:paraId="4912138C">
      <w:pPr>
        <w:pStyle w:val="4"/>
        <w:spacing w:before="120" w:after="120" w:line="240" w:lineRule="auto"/>
        <w:jc w:val="center"/>
        <w:rPr>
          <w:rStyle w:val="107"/>
          <w:rFonts w:hint="eastAsia" w:ascii="宋体" w:hAnsi="宋体" w:eastAsia="宋体" w:cs="宋体"/>
          <w:b/>
          <w:bCs/>
          <w:color w:val="auto"/>
          <w:sz w:val="24"/>
          <w:szCs w:val="24"/>
          <w:highlight w:val="none"/>
        </w:rPr>
      </w:pPr>
      <w:r>
        <w:rPr>
          <w:rFonts w:hint="eastAsia" w:cs="宋体"/>
          <w:color w:val="auto"/>
          <w:sz w:val="24"/>
          <w:highlight w:val="none"/>
          <w:lang w:eastAsia="zh-CN"/>
        </w:rPr>
        <w:t>（一）商务要求偏离表</w:t>
      </w:r>
    </w:p>
    <w:tbl>
      <w:tblPr>
        <w:tblStyle w:val="48"/>
        <w:tblW w:w="9978" w:type="dxa"/>
        <w:tblInd w:w="0" w:type="dxa"/>
        <w:tblLayout w:type="fixed"/>
        <w:tblCellMar>
          <w:top w:w="0" w:type="dxa"/>
          <w:left w:w="108" w:type="dxa"/>
          <w:bottom w:w="0" w:type="dxa"/>
          <w:right w:w="108" w:type="dxa"/>
        </w:tblCellMar>
      </w:tblPr>
      <w:tblGrid>
        <w:gridCol w:w="738"/>
        <w:gridCol w:w="1638"/>
        <w:gridCol w:w="2114"/>
        <w:gridCol w:w="2553"/>
        <w:gridCol w:w="1570"/>
        <w:gridCol w:w="1365"/>
      </w:tblGrid>
      <w:tr w14:paraId="4B6728E3">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1CE9CD43">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638" w:type="dxa"/>
            <w:tcBorders>
              <w:top w:val="single" w:color="000000" w:sz="4" w:space="0"/>
              <w:left w:val="nil"/>
              <w:bottom w:val="single" w:color="000000" w:sz="4" w:space="0"/>
              <w:right w:val="single" w:color="000000" w:sz="4" w:space="0"/>
            </w:tcBorders>
            <w:noWrap w:val="0"/>
            <w:vAlign w:val="center"/>
          </w:tcPr>
          <w:p w14:paraId="4A8123FC">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商务要求项</w:t>
            </w:r>
          </w:p>
        </w:tc>
        <w:tc>
          <w:tcPr>
            <w:tcW w:w="2114" w:type="dxa"/>
            <w:tcBorders>
              <w:top w:val="single" w:color="000000" w:sz="4" w:space="0"/>
              <w:left w:val="nil"/>
              <w:bottom w:val="single" w:color="000000" w:sz="4" w:space="0"/>
              <w:right w:val="single" w:color="000000" w:sz="4" w:space="0"/>
            </w:tcBorders>
            <w:noWrap w:val="0"/>
            <w:vAlign w:val="center"/>
          </w:tcPr>
          <w:p w14:paraId="621A1F31">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招标文件的条款</w:t>
            </w:r>
          </w:p>
        </w:tc>
        <w:tc>
          <w:tcPr>
            <w:tcW w:w="2553" w:type="dxa"/>
            <w:tcBorders>
              <w:top w:val="single" w:color="000000" w:sz="4" w:space="0"/>
              <w:left w:val="nil"/>
              <w:bottom w:val="single" w:color="000000" w:sz="4" w:space="0"/>
              <w:right w:val="single" w:color="000000" w:sz="4" w:space="0"/>
            </w:tcBorders>
            <w:noWrap w:val="0"/>
            <w:vAlign w:val="center"/>
          </w:tcPr>
          <w:p w14:paraId="085C8B6C">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投标文件的条款</w:t>
            </w:r>
          </w:p>
        </w:tc>
        <w:tc>
          <w:tcPr>
            <w:tcW w:w="1570" w:type="dxa"/>
            <w:tcBorders>
              <w:top w:val="single" w:color="000000" w:sz="4" w:space="0"/>
              <w:left w:val="nil"/>
              <w:bottom w:val="single" w:color="000000" w:sz="4" w:space="0"/>
              <w:right w:val="single" w:color="000000" w:sz="4" w:space="0"/>
            </w:tcBorders>
            <w:noWrap w:val="0"/>
            <w:vAlign w:val="center"/>
          </w:tcPr>
          <w:p w14:paraId="5E05C4B9">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365" w:type="dxa"/>
            <w:tcBorders>
              <w:top w:val="single" w:color="000000" w:sz="4" w:space="0"/>
              <w:left w:val="nil"/>
              <w:bottom w:val="single" w:color="000000" w:sz="4" w:space="0"/>
              <w:right w:val="single" w:color="000000" w:sz="4" w:space="0"/>
            </w:tcBorders>
            <w:noWrap w:val="0"/>
            <w:vAlign w:val="center"/>
          </w:tcPr>
          <w:p w14:paraId="718B3E34">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2799DADB">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56EE08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1638" w:type="dxa"/>
            <w:tcBorders>
              <w:top w:val="single" w:color="000000" w:sz="4" w:space="0"/>
              <w:left w:val="nil"/>
              <w:bottom w:val="single" w:color="000000" w:sz="4" w:space="0"/>
              <w:right w:val="single" w:color="000000" w:sz="4" w:space="0"/>
            </w:tcBorders>
            <w:noWrap w:val="0"/>
            <w:vAlign w:val="center"/>
          </w:tcPr>
          <w:p w14:paraId="0E541FA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交付（实施）的时间（期限）</w:t>
            </w:r>
          </w:p>
        </w:tc>
        <w:tc>
          <w:tcPr>
            <w:tcW w:w="2114" w:type="dxa"/>
            <w:tcBorders>
              <w:top w:val="single" w:color="000000" w:sz="4" w:space="0"/>
              <w:left w:val="nil"/>
              <w:bottom w:val="single" w:color="000000" w:sz="4" w:space="0"/>
              <w:right w:val="single" w:color="000000" w:sz="4" w:space="0"/>
            </w:tcBorders>
            <w:noWrap w:val="0"/>
            <w:vAlign w:val="center"/>
          </w:tcPr>
          <w:p w14:paraId="4C11C4B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4ADED07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1FF438D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3725EFD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CBB771E">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2A48131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1638" w:type="dxa"/>
            <w:tcBorders>
              <w:top w:val="single" w:color="000000" w:sz="4" w:space="0"/>
              <w:left w:val="nil"/>
              <w:bottom w:val="single" w:color="000000" w:sz="4" w:space="0"/>
              <w:right w:val="single" w:color="000000" w:sz="4" w:space="0"/>
            </w:tcBorders>
            <w:noWrap w:val="0"/>
            <w:vAlign w:val="center"/>
          </w:tcPr>
          <w:p w14:paraId="4FB7D60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交付（实施）的地点（范围）</w:t>
            </w:r>
          </w:p>
        </w:tc>
        <w:tc>
          <w:tcPr>
            <w:tcW w:w="2114" w:type="dxa"/>
            <w:tcBorders>
              <w:top w:val="single" w:color="000000" w:sz="4" w:space="0"/>
              <w:left w:val="nil"/>
              <w:bottom w:val="single" w:color="000000" w:sz="4" w:space="0"/>
              <w:right w:val="single" w:color="000000" w:sz="4" w:space="0"/>
            </w:tcBorders>
            <w:noWrap w:val="0"/>
            <w:vAlign w:val="center"/>
          </w:tcPr>
          <w:p w14:paraId="225EE27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1DDEC8C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1875E5E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4356597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53E5A6B1">
        <w:tblPrEx>
          <w:tblCellMar>
            <w:top w:w="0" w:type="dxa"/>
            <w:left w:w="108" w:type="dxa"/>
            <w:bottom w:w="0" w:type="dxa"/>
            <w:right w:w="108" w:type="dxa"/>
          </w:tblCellMar>
        </w:tblPrEx>
        <w:trPr>
          <w:trHeight w:val="406"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1DD3F7D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3</w:t>
            </w:r>
          </w:p>
        </w:tc>
        <w:tc>
          <w:tcPr>
            <w:tcW w:w="1638" w:type="dxa"/>
            <w:tcBorders>
              <w:top w:val="single" w:color="000000" w:sz="4" w:space="0"/>
              <w:left w:val="nil"/>
              <w:bottom w:val="single" w:color="000000" w:sz="4" w:space="0"/>
              <w:right w:val="single" w:color="000000" w:sz="4" w:space="0"/>
            </w:tcBorders>
            <w:noWrap w:val="0"/>
            <w:vAlign w:val="center"/>
          </w:tcPr>
          <w:p w14:paraId="75413D1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2114" w:type="dxa"/>
            <w:tcBorders>
              <w:top w:val="single" w:color="000000" w:sz="4" w:space="0"/>
              <w:left w:val="nil"/>
              <w:bottom w:val="single" w:color="000000" w:sz="4" w:space="0"/>
              <w:right w:val="single" w:color="000000" w:sz="4" w:space="0"/>
            </w:tcBorders>
            <w:noWrap w:val="0"/>
            <w:vAlign w:val="center"/>
          </w:tcPr>
          <w:p w14:paraId="01CEEAD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1C7DD15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384F2B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71F0BC2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62878F23">
        <w:tblPrEx>
          <w:tblCellMar>
            <w:top w:w="0" w:type="dxa"/>
            <w:left w:w="108" w:type="dxa"/>
            <w:bottom w:w="0" w:type="dxa"/>
            <w:right w:w="108" w:type="dxa"/>
          </w:tblCellMar>
        </w:tblPrEx>
        <w:trPr>
          <w:trHeight w:val="662"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DA9346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4</w:t>
            </w:r>
          </w:p>
        </w:tc>
        <w:tc>
          <w:tcPr>
            <w:tcW w:w="1638" w:type="dxa"/>
            <w:tcBorders>
              <w:top w:val="single" w:color="000000" w:sz="4" w:space="0"/>
              <w:left w:val="nil"/>
              <w:bottom w:val="single" w:color="000000" w:sz="4" w:space="0"/>
              <w:right w:val="single" w:color="000000" w:sz="4" w:space="0"/>
            </w:tcBorders>
            <w:noWrap w:val="0"/>
            <w:vAlign w:val="center"/>
          </w:tcPr>
          <w:p w14:paraId="13FA850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质量保证期</w:t>
            </w:r>
          </w:p>
        </w:tc>
        <w:tc>
          <w:tcPr>
            <w:tcW w:w="2114" w:type="dxa"/>
            <w:tcBorders>
              <w:top w:val="single" w:color="000000" w:sz="4" w:space="0"/>
              <w:left w:val="nil"/>
              <w:bottom w:val="single" w:color="000000" w:sz="4" w:space="0"/>
              <w:right w:val="single" w:color="000000" w:sz="4" w:space="0"/>
            </w:tcBorders>
            <w:noWrap w:val="0"/>
            <w:vAlign w:val="center"/>
          </w:tcPr>
          <w:p w14:paraId="12E461F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3EDFFAF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717FEE1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582D605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316693EB">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3BFB92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638" w:type="dxa"/>
            <w:tcBorders>
              <w:top w:val="single" w:color="000000" w:sz="4" w:space="0"/>
              <w:left w:val="nil"/>
              <w:bottom w:val="single" w:color="000000" w:sz="4" w:space="0"/>
              <w:right w:val="single" w:color="000000" w:sz="4" w:space="0"/>
            </w:tcBorders>
            <w:noWrap w:val="0"/>
            <w:vAlign w:val="center"/>
          </w:tcPr>
          <w:p w14:paraId="6B62D94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114" w:type="dxa"/>
            <w:tcBorders>
              <w:top w:val="single" w:color="000000" w:sz="4" w:space="0"/>
              <w:left w:val="nil"/>
              <w:bottom w:val="single" w:color="000000" w:sz="4" w:space="0"/>
              <w:right w:val="single" w:color="000000" w:sz="4" w:space="0"/>
            </w:tcBorders>
            <w:noWrap w:val="0"/>
            <w:vAlign w:val="center"/>
          </w:tcPr>
          <w:p w14:paraId="113E8BB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0D3D457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66BDBD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307B73B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25B65441">
      <w:pPr>
        <w:rPr>
          <w:rFonts w:hint="eastAsia" w:ascii="宋体" w:hAnsi="宋体" w:cs="宋体"/>
          <w:color w:val="auto"/>
          <w:szCs w:val="21"/>
          <w:highlight w:val="none"/>
        </w:rPr>
      </w:pPr>
      <w:r>
        <w:rPr>
          <w:rFonts w:hint="eastAsia" w:ascii="宋体" w:hAnsi="宋体" w:cs="宋体"/>
          <w:color w:val="auto"/>
          <w:szCs w:val="21"/>
          <w:highlight w:val="none"/>
        </w:rPr>
        <w:t>投标人保证：投标人须逐条响应招标文件第三章采购需求3.商务要求的全部要求。</w:t>
      </w:r>
    </w:p>
    <w:p w14:paraId="5AA0D9B9">
      <w:pPr>
        <w:widowControl/>
        <w:spacing w:line="360" w:lineRule="exact"/>
        <w:ind w:firstLine="411" w:firstLineChars="196"/>
        <w:rPr>
          <w:rFonts w:hint="eastAsia" w:ascii="宋体" w:hAnsi="宋体" w:cs="宋体"/>
          <w:color w:val="auto"/>
          <w:highlight w:val="none"/>
        </w:rPr>
      </w:pPr>
    </w:p>
    <w:p w14:paraId="639B97F1">
      <w:pPr>
        <w:pStyle w:val="4"/>
        <w:spacing w:before="120" w:after="120" w:line="240" w:lineRule="auto"/>
        <w:jc w:val="center"/>
        <w:rPr>
          <w:rFonts w:hint="eastAsia" w:cs="宋体"/>
          <w:color w:val="auto"/>
          <w:sz w:val="24"/>
          <w:highlight w:val="none"/>
          <w:lang w:eastAsia="zh-CN"/>
        </w:rPr>
      </w:pPr>
      <w:r>
        <w:rPr>
          <w:rFonts w:hint="eastAsia" w:cs="宋体"/>
          <w:color w:val="auto"/>
          <w:sz w:val="24"/>
          <w:highlight w:val="none"/>
          <w:lang w:eastAsia="zh-CN"/>
        </w:rPr>
        <w:t>（二）技术要求偏离表</w:t>
      </w:r>
    </w:p>
    <w:tbl>
      <w:tblPr>
        <w:tblStyle w:val="48"/>
        <w:tblW w:w="9938" w:type="dxa"/>
        <w:tblInd w:w="93" w:type="dxa"/>
        <w:tblLayout w:type="fixed"/>
        <w:tblCellMar>
          <w:top w:w="0" w:type="dxa"/>
          <w:left w:w="108" w:type="dxa"/>
          <w:bottom w:w="0" w:type="dxa"/>
          <w:right w:w="108" w:type="dxa"/>
        </w:tblCellMar>
      </w:tblPr>
      <w:tblGrid>
        <w:gridCol w:w="1023"/>
        <w:gridCol w:w="1372"/>
        <w:gridCol w:w="2173"/>
        <w:gridCol w:w="2107"/>
        <w:gridCol w:w="1845"/>
        <w:gridCol w:w="1418"/>
      </w:tblGrid>
      <w:tr w14:paraId="1093EE45">
        <w:tblPrEx>
          <w:tblCellMar>
            <w:top w:w="0" w:type="dxa"/>
            <w:left w:w="108" w:type="dxa"/>
            <w:bottom w:w="0" w:type="dxa"/>
            <w:right w:w="108" w:type="dxa"/>
          </w:tblCellMar>
        </w:tblPrEx>
        <w:trPr>
          <w:trHeight w:val="340" w:hRule="atLeast"/>
        </w:trPr>
        <w:tc>
          <w:tcPr>
            <w:tcW w:w="1023" w:type="dxa"/>
            <w:tcBorders>
              <w:top w:val="single" w:color="000000" w:sz="4" w:space="0"/>
              <w:left w:val="single" w:color="000000" w:sz="4" w:space="0"/>
              <w:bottom w:val="single" w:color="auto" w:sz="4" w:space="0"/>
              <w:right w:val="single" w:color="000000" w:sz="4" w:space="0"/>
            </w:tcBorders>
            <w:noWrap w:val="0"/>
            <w:vAlign w:val="center"/>
          </w:tcPr>
          <w:p w14:paraId="1CD20690">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372" w:type="dxa"/>
            <w:tcBorders>
              <w:top w:val="single" w:color="000000" w:sz="4" w:space="0"/>
              <w:left w:val="nil"/>
              <w:bottom w:val="single" w:color="auto" w:sz="4" w:space="0"/>
              <w:right w:val="single" w:color="000000" w:sz="4" w:space="0"/>
            </w:tcBorders>
            <w:noWrap w:val="0"/>
            <w:vAlign w:val="center"/>
          </w:tcPr>
          <w:p w14:paraId="06C93DC4">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技术要求项</w:t>
            </w:r>
          </w:p>
          <w:p w14:paraId="035B1E59">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条款号</w:t>
            </w:r>
          </w:p>
        </w:tc>
        <w:tc>
          <w:tcPr>
            <w:tcW w:w="2173" w:type="dxa"/>
            <w:tcBorders>
              <w:top w:val="single" w:color="000000" w:sz="4" w:space="0"/>
              <w:left w:val="nil"/>
              <w:bottom w:val="single" w:color="000000" w:sz="4" w:space="0"/>
              <w:right w:val="single" w:color="000000" w:sz="4" w:space="0"/>
            </w:tcBorders>
            <w:noWrap w:val="0"/>
            <w:vAlign w:val="center"/>
          </w:tcPr>
          <w:p w14:paraId="680B4195">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招标文件的条款</w:t>
            </w:r>
          </w:p>
        </w:tc>
        <w:tc>
          <w:tcPr>
            <w:tcW w:w="2107" w:type="dxa"/>
            <w:tcBorders>
              <w:top w:val="single" w:color="000000" w:sz="4" w:space="0"/>
              <w:left w:val="nil"/>
              <w:bottom w:val="single" w:color="000000" w:sz="4" w:space="0"/>
              <w:right w:val="single" w:color="000000" w:sz="4" w:space="0"/>
            </w:tcBorders>
            <w:noWrap w:val="0"/>
            <w:vAlign w:val="center"/>
          </w:tcPr>
          <w:p w14:paraId="0D9F1A32">
            <w:pPr>
              <w:keepNext w:val="0"/>
              <w:keepLines w:val="0"/>
              <w:widowControl/>
              <w:suppressLineNumbers w:val="0"/>
              <w:spacing w:before="0" w:beforeAutospacing="0" w:after="0" w:afterAutospacing="0"/>
              <w:ind w:left="0" w:right="0"/>
              <w:jc w:val="center"/>
              <w:rPr>
                <w:rFonts w:hint="default" w:ascii="宋体" w:hAnsi="宋体" w:cs="宋体"/>
                <w:b/>
                <w:color w:val="auto"/>
                <w:kern w:val="0"/>
                <w:szCs w:val="21"/>
                <w:highlight w:val="none"/>
              </w:rPr>
            </w:pPr>
            <w:r>
              <w:rPr>
                <w:rFonts w:hint="eastAsia" w:ascii="宋体" w:hAnsi="宋体" w:cs="宋体"/>
                <w:b/>
                <w:color w:val="auto"/>
                <w:kern w:val="0"/>
                <w:szCs w:val="21"/>
                <w:highlight w:val="none"/>
              </w:rPr>
              <w:t>投标文件的条款</w:t>
            </w:r>
          </w:p>
        </w:tc>
        <w:tc>
          <w:tcPr>
            <w:tcW w:w="1845" w:type="dxa"/>
            <w:tcBorders>
              <w:top w:val="single" w:color="000000" w:sz="4" w:space="0"/>
              <w:left w:val="nil"/>
              <w:bottom w:val="single" w:color="000000" w:sz="4" w:space="0"/>
              <w:right w:val="single" w:color="000000" w:sz="4" w:space="0"/>
            </w:tcBorders>
            <w:noWrap w:val="0"/>
            <w:vAlign w:val="center"/>
          </w:tcPr>
          <w:p w14:paraId="01EF0BF3">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偏离说明</w:t>
            </w:r>
          </w:p>
        </w:tc>
        <w:tc>
          <w:tcPr>
            <w:tcW w:w="1418" w:type="dxa"/>
            <w:tcBorders>
              <w:top w:val="single" w:color="000000" w:sz="4" w:space="0"/>
              <w:left w:val="nil"/>
              <w:bottom w:val="single" w:color="000000" w:sz="4" w:space="0"/>
              <w:right w:val="single" w:color="000000" w:sz="4" w:space="0"/>
            </w:tcBorders>
            <w:noWrap w:val="0"/>
            <w:vAlign w:val="center"/>
          </w:tcPr>
          <w:p w14:paraId="51FEC0A6">
            <w:pPr>
              <w:keepNext w:val="0"/>
              <w:keepLines w:val="0"/>
              <w:widowControl/>
              <w:suppressLineNumbers w:val="0"/>
              <w:spacing w:before="0" w:beforeAutospacing="0" w:after="0" w:afterAutospacing="0"/>
              <w:ind w:left="0" w:right="0"/>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备注</w:t>
            </w:r>
          </w:p>
        </w:tc>
      </w:tr>
      <w:tr w14:paraId="0CF3DDEA">
        <w:tblPrEx>
          <w:tblCellMar>
            <w:top w:w="0" w:type="dxa"/>
            <w:left w:w="108" w:type="dxa"/>
            <w:bottom w:w="0" w:type="dxa"/>
            <w:right w:w="108" w:type="dxa"/>
          </w:tblCellMar>
        </w:tblPrEx>
        <w:trPr>
          <w:trHeight w:val="340" w:hRule="atLeast"/>
        </w:trPr>
        <w:tc>
          <w:tcPr>
            <w:tcW w:w="1023" w:type="dxa"/>
            <w:vMerge w:val="restart"/>
            <w:tcBorders>
              <w:top w:val="single" w:color="auto" w:sz="4" w:space="0"/>
              <w:left w:val="single" w:color="000000" w:sz="4" w:space="0"/>
              <w:bottom w:val="single" w:color="000000" w:sz="4" w:space="0"/>
              <w:right w:val="single" w:color="000000" w:sz="4" w:space="0"/>
            </w:tcBorders>
            <w:noWrap w:val="0"/>
            <w:vAlign w:val="center"/>
          </w:tcPr>
          <w:p w14:paraId="3FAABD08">
            <w:pPr>
              <w:keepNext w:val="0"/>
              <w:keepLines w:val="0"/>
              <w:widowControl/>
              <w:suppressLineNumbers w:val="0"/>
              <w:spacing w:before="0" w:beforeAutospacing="0" w:after="0" w:afterAutospacing="0"/>
              <w:ind w:left="0" w:right="0"/>
              <w:rPr>
                <w:rFonts w:hint="eastAsia" w:ascii="宋体" w:hAnsi="宋体" w:cs="宋体"/>
                <w:bCs/>
                <w:color w:val="auto"/>
                <w:kern w:val="0"/>
                <w:szCs w:val="21"/>
                <w:highlight w:val="none"/>
              </w:rPr>
            </w:pPr>
          </w:p>
        </w:tc>
        <w:tc>
          <w:tcPr>
            <w:tcW w:w="1372" w:type="dxa"/>
            <w:vMerge w:val="restart"/>
            <w:tcBorders>
              <w:top w:val="single" w:color="auto" w:sz="4" w:space="0"/>
              <w:left w:val="nil"/>
              <w:bottom w:val="single" w:color="000000" w:sz="4" w:space="0"/>
              <w:right w:val="single" w:color="000000" w:sz="4" w:space="0"/>
            </w:tcBorders>
            <w:noWrap w:val="0"/>
            <w:vAlign w:val="center"/>
          </w:tcPr>
          <w:p w14:paraId="0DDED32C">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024B5FB4">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center"/>
          </w:tcPr>
          <w:p w14:paraId="4458DCD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246A74A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2F41721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2DA1A92">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221464CA">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372" w:type="dxa"/>
            <w:vMerge w:val="continue"/>
            <w:tcBorders>
              <w:top w:val="nil"/>
              <w:left w:val="nil"/>
              <w:bottom w:val="single" w:color="000000" w:sz="4" w:space="0"/>
              <w:right w:val="single" w:color="000000" w:sz="4" w:space="0"/>
            </w:tcBorders>
            <w:noWrap w:val="0"/>
            <w:vAlign w:val="center"/>
          </w:tcPr>
          <w:p w14:paraId="4CED918E">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5175D8A6">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4008994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6F012AE8">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43CCC78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7ED6CB47">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auto" w:sz="4" w:space="0"/>
              <w:right w:val="single" w:color="000000" w:sz="4" w:space="0"/>
            </w:tcBorders>
            <w:noWrap w:val="0"/>
            <w:vAlign w:val="center"/>
          </w:tcPr>
          <w:p w14:paraId="1EF98FDE">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372" w:type="dxa"/>
            <w:vMerge w:val="continue"/>
            <w:tcBorders>
              <w:top w:val="nil"/>
              <w:left w:val="nil"/>
              <w:bottom w:val="single" w:color="auto" w:sz="4" w:space="0"/>
              <w:right w:val="single" w:color="000000" w:sz="4" w:space="0"/>
            </w:tcBorders>
            <w:noWrap w:val="0"/>
            <w:vAlign w:val="center"/>
          </w:tcPr>
          <w:p w14:paraId="10EB986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116D7F0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05FAC08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00527FD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1896464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51ADD33">
        <w:tblPrEx>
          <w:tblCellMar>
            <w:top w:w="0" w:type="dxa"/>
            <w:left w:w="108" w:type="dxa"/>
            <w:bottom w:w="0" w:type="dxa"/>
            <w:right w:w="108" w:type="dxa"/>
          </w:tblCellMar>
        </w:tblPrEx>
        <w:trPr>
          <w:trHeight w:val="340" w:hRule="atLeast"/>
        </w:trPr>
        <w:tc>
          <w:tcPr>
            <w:tcW w:w="1023" w:type="dxa"/>
            <w:vMerge w:val="restart"/>
            <w:tcBorders>
              <w:top w:val="single" w:color="auto" w:sz="4" w:space="0"/>
              <w:left w:val="single" w:color="000000" w:sz="4" w:space="0"/>
              <w:bottom w:val="single" w:color="000000" w:sz="4" w:space="0"/>
              <w:right w:val="single" w:color="000000" w:sz="4" w:space="0"/>
            </w:tcBorders>
            <w:noWrap w:val="0"/>
            <w:vAlign w:val="center"/>
          </w:tcPr>
          <w:p w14:paraId="3D19E5F5">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372" w:type="dxa"/>
            <w:vMerge w:val="restart"/>
            <w:tcBorders>
              <w:top w:val="single" w:color="auto" w:sz="4" w:space="0"/>
              <w:left w:val="nil"/>
              <w:bottom w:val="single" w:color="000000" w:sz="4" w:space="0"/>
              <w:right w:val="single" w:color="000000" w:sz="4" w:space="0"/>
            </w:tcBorders>
            <w:noWrap w:val="0"/>
            <w:vAlign w:val="center"/>
          </w:tcPr>
          <w:p w14:paraId="132A8009">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01DC49B8">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12946B8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459A7A1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23627AD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5537064D">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068B51B0">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372" w:type="dxa"/>
            <w:vMerge w:val="continue"/>
            <w:tcBorders>
              <w:top w:val="nil"/>
              <w:left w:val="nil"/>
              <w:bottom w:val="single" w:color="000000" w:sz="4" w:space="0"/>
              <w:right w:val="single" w:color="000000" w:sz="4" w:space="0"/>
            </w:tcBorders>
            <w:noWrap w:val="0"/>
            <w:vAlign w:val="center"/>
          </w:tcPr>
          <w:p w14:paraId="2C4F30B3">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1585996B">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50B5DE0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2AF653F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1D98C094">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7024062E">
        <w:tblPrEx>
          <w:tblCellMar>
            <w:top w:w="0" w:type="dxa"/>
            <w:left w:w="108" w:type="dxa"/>
            <w:bottom w:w="0" w:type="dxa"/>
            <w:right w:w="108" w:type="dxa"/>
          </w:tblCellMar>
        </w:tblPrEx>
        <w:trPr>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0F216E37">
            <w:pPr>
              <w:keepNext w:val="0"/>
              <w:keepLines w:val="0"/>
              <w:widowControl/>
              <w:suppressLineNumbers w:val="0"/>
              <w:spacing w:before="0" w:beforeAutospacing="0" w:after="0" w:afterAutospacing="0"/>
              <w:ind w:left="0" w:right="0"/>
              <w:jc w:val="left"/>
              <w:rPr>
                <w:rFonts w:hint="eastAsia" w:ascii="宋体" w:hAnsi="宋体" w:cs="宋体"/>
                <w:bCs/>
                <w:color w:val="auto"/>
                <w:kern w:val="0"/>
                <w:szCs w:val="21"/>
                <w:highlight w:val="none"/>
              </w:rPr>
            </w:pPr>
          </w:p>
        </w:tc>
        <w:tc>
          <w:tcPr>
            <w:tcW w:w="1372" w:type="dxa"/>
            <w:vMerge w:val="continue"/>
            <w:tcBorders>
              <w:top w:val="nil"/>
              <w:left w:val="nil"/>
              <w:bottom w:val="single" w:color="000000" w:sz="4" w:space="0"/>
              <w:right w:val="single" w:color="000000" w:sz="4" w:space="0"/>
            </w:tcBorders>
            <w:noWrap w:val="0"/>
            <w:vAlign w:val="center"/>
          </w:tcPr>
          <w:p w14:paraId="41C94890">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679F35FC">
            <w:pPr>
              <w:keepNext w:val="0"/>
              <w:keepLines w:val="0"/>
              <w:widowControl/>
              <w:suppressLineNumbers w:val="0"/>
              <w:spacing w:before="0" w:beforeAutospacing="0" w:after="0" w:afterAutospacing="0"/>
              <w:ind w:left="0" w:right="0"/>
              <w:jc w:val="left"/>
              <w:rPr>
                <w:rFonts w:hint="eastAsia" w:ascii="宋体" w:hAnsi="宋体" w:cs="宋体"/>
                <w:color w:val="auto"/>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520E271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08EBEFE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60EAE8E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4B4E4A41">
      <w:pPr>
        <w:rPr>
          <w:rFonts w:hint="eastAsia" w:ascii="宋体" w:hAnsi="宋体" w:cs="宋体"/>
          <w:color w:val="auto"/>
          <w:szCs w:val="21"/>
          <w:highlight w:val="none"/>
        </w:rPr>
      </w:pPr>
      <w:r>
        <w:rPr>
          <w:rFonts w:hint="eastAsia" w:ascii="宋体" w:hAnsi="宋体" w:cs="宋体"/>
          <w:color w:val="auto"/>
          <w:szCs w:val="21"/>
          <w:highlight w:val="none"/>
        </w:rPr>
        <w:t>投标人保证：投标人须逐条响应招标文件第三章采购需求4.2技术要求表的全部要求。</w:t>
      </w:r>
    </w:p>
    <w:p w14:paraId="2B936B29">
      <w:pPr>
        <w:widowControl/>
        <w:spacing w:line="360" w:lineRule="exact"/>
        <w:ind w:firstLine="470" w:firstLineChars="196"/>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p>
    <w:p w14:paraId="594CE015">
      <w:pPr>
        <w:widowControl/>
        <w:spacing w:line="360" w:lineRule="exact"/>
        <w:ind w:firstLine="470" w:firstLineChars="196"/>
        <w:rPr>
          <w:rFonts w:hint="eastAsia" w:ascii="宋体" w:hAnsi="宋体" w:cs="宋体"/>
          <w:color w:val="auto"/>
          <w:kern w:val="0"/>
          <w:sz w:val="24"/>
          <w:highlight w:val="none"/>
        </w:rPr>
      </w:pPr>
    </w:p>
    <w:p w14:paraId="0D1210B5">
      <w:pPr>
        <w:pStyle w:val="4"/>
        <w:jc w:val="center"/>
        <w:rPr>
          <w:rStyle w:val="107"/>
          <w:rFonts w:hint="eastAsia" w:ascii="宋体" w:hAnsi="宋体" w:eastAsia="宋体" w:cs="宋体"/>
          <w:b/>
          <w:bCs w:val="0"/>
          <w:color w:val="auto"/>
          <w:sz w:val="24"/>
          <w:szCs w:val="24"/>
          <w:highlight w:val="none"/>
        </w:rPr>
      </w:pPr>
      <w:r>
        <w:rPr>
          <w:rFonts w:hint="eastAsia" w:cs="宋体"/>
          <w:color w:val="auto"/>
          <w:highlight w:val="none"/>
          <w:lang w:eastAsia="zh-CN"/>
        </w:rPr>
        <w:br w:type="page"/>
      </w:r>
      <w:r>
        <w:rPr>
          <w:rFonts w:hint="eastAsia" w:cs="宋体"/>
          <w:color w:val="auto"/>
          <w:sz w:val="24"/>
          <w:highlight w:val="none"/>
          <w:lang w:eastAsia="zh-CN"/>
        </w:rPr>
        <w:t>（三）</w:t>
      </w:r>
      <w:r>
        <w:rPr>
          <w:rStyle w:val="107"/>
          <w:rFonts w:hint="eastAsia" w:ascii="宋体" w:hAnsi="宋体" w:eastAsia="宋体" w:cs="宋体"/>
          <w:b/>
          <w:bCs w:val="0"/>
          <w:color w:val="auto"/>
          <w:sz w:val="24"/>
          <w:szCs w:val="24"/>
          <w:highlight w:val="none"/>
        </w:rPr>
        <w:t>技术响应资料</w:t>
      </w:r>
    </w:p>
    <w:p w14:paraId="353A53F9">
      <w:pPr>
        <w:widowControl/>
        <w:jc w:val="left"/>
        <w:rPr>
          <w:rFonts w:hint="eastAsia" w:ascii="宋体" w:hAnsi="宋体" w:cs="宋体"/>
          <w:color w:val="auto"/>
          <w:highlight w:val="none"/>
        </w:rPr>
      </w:pPr>
    </w:p>
    <w:p w14:paraId="5081DB5A">
      <w:pPr>
        <w:pStyle w:val="5"/>
        <w:keepNext w:val="0"/>
        <w:tabs>
          <w:tab w:val="left" w:pos="1260"/>
        </w:tabs>
        <w:jc w:val="center"/>
        <w:rPr>
          <w:rFonts w:hint="eastAsia" w:cs="宋体"/>
          <w:b w:val="0"/>
          <w:bCs w:val="0"/>
          <w:color w:val="auto"/>
          <w:sz w:val="24"/>
          <w:highlight w:val="none"/>
          <w:lang w:eastAsia="zh-CN"/>
        </w:rPr>
      </w:pPr>
      <w:r>
        <w:rPr>
          <w:rFonts w:hint="eastAsia" w:ascii="宋体" w:hAnsi="宋体" w:cs="宋体"/>
          <w:color w:val="auto"/>
          <w:sz w:val="24"/>
          <w:highlight w:val="none"/>
          <w:lang w:eastAsia="zh-CN"/>
        </w:rPr>
        <w:t>1.货物（服务）主要技术指标和性能的详细说明</w:t>
      </w:r>
    </w:p>
    <w:tbl>
      <w:tblPr>
        <w:tblStyle w:val="48"/>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701"/>
        <w:gridCol w:w="1134"/>
        <w:gridCol w:w="1984"/>
        <w:gridCol w:w="2269"/>
        <w:gridCol w:w="1135"/>
      </w:tblGrid>
      <w:tr w14:paraId="5187A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489C6FCD">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货物名称</w:t>
            </w:r>
          </w:p>
        </w:tc>
        <w:tc>
          <w:tcPr>
            <w:tcW w:w="1701" w:type="dxa"/>
            <w:noWrap w:val="0"/>
            <w:vAlign w:val="center"/>
          </w:tcPr>
          <w:p w14:paraId="3564AB19">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主要部件或功能配置名称</w:t>
            </w:r>
          </w:p>
        </w:tc>
        <w:tc>
          <w:tcPr>
            <w:tcW w:w="1134" w:type="dxa"/>
            <w:noWrap w:val="0"/>
            <w:vAlign w:val="center"/>
          </w:tcPr>
          <w:p w14:paraId="1FFC8FCE">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规格/型号</w:t>
            </w:r>
          </w:p>
        </w:tc>
        <w:tc>
          <w:tcPr>
            <w:tcW w:w="1984" w:type="dxa"/>
            <w:noWrap w:val="0"/>
            <w:vAlign w:val="center"/>
          </w:tcPr>
          <w:p w14:paraId="2E3F5B2A">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产地、品牌及制造商名称</w:t>
            </w:r>
          </w:p>
        </w:tc>
        <w:tc>
          <w:tcPr>
            <w:tcW w:w="2269" w:type="dxa"/>
            <w:noWrap w:val="0"/>
            <w:vAlign w:val="center"/>
          </w:tcPr>
          <w:p w14:paraId="3E499DE8">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r>
              <w:rPr>
                <w:rFonts w:hint="eastAsia" w:ascii="宋体" w:hAnsi="宋体" w:cs="宋体"/>
                <w:b/>
                <w:color w:val="auto"/>
                <w:szCs w:val="21"/>
                <w:highlight w:val="none"/>
              </w:rPr>
              <w:t>主要技术指标及功能描述</w:t>
            </w:r>
          </w:p>
        </w:tc>
        <w:tc>
          <w:tcPr>
            <w:tcW w:w="1135" w:type="dxa"/>
            <w:noWrap w:val="0"/>
            <w:vAlign w:val="center"/>
          </w:tcPr>
          <w:p w14:paraId="65D28FA0">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6422B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restart"/>
            <w:noWrap w:val="0"/>
            <w:vAlign w:val="center"/>
          </w:tcPr>
          <w:p w14:paraId="638F80D5">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2E494865">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134" w:type="dxa"/>
            <w:noWrap w:val="0"/>
            <w:vAlign w:val="center"/>
          </w:tcPr>
          <w:p w14:paraId="474593C8">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984" w:type="dxa"/>
            <w:noWrap w:val="0"/>
            <w:vAlign w:val="center"/>
          </w:tcPr>
          <w:p w14:paraId="54B5D2F7">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2269" w:type="dxa"/>
            <w:noWrap w:val="0"/>
            <w:vAlign w:val="top"/>
          </w:tcPr>
          <w:p w14:paraId="1756C26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5E484C1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23F6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17CB4363">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2EB291E6">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134" w:type="dxa"/>
            <w:noWrap w:val="0"/>
            <w:vAlign w:val="center"/>
          </w:tcPr>
          <w:p w14:paraId="697DAF13">
            <w:pPr>
              <w:keepNext w:val="0"/>
              <w:keepLines w:val="0"/>
              <w:widowControl/>
              <w:suppressLineNumbers w:val="0"/>
              <w:spacing w:before="0" w:beforeAutospacing="0" w:after="0" w:afterAutospacing="0"/>
              <w:ind w:left="0" w:right="0"/>
              <w:jc w:val="center"/>
              <w:rPr>
                <w:rFonts w:hint="eastAsia" w:ascii="宋体" w:hAnsi="宋体" w:cs="宋体"/>
                <w:b/>
                <w:color w:val="auto"/>
                <w:szCs w:val="21"/>
                <w:highlight w:val="none"/>
              </w:rPr>
            </w:pPr>
          </w:p>
        </w:tc>
        <w:tc>
          <w:tcPr>
            <w:tcW w:w="1984" w:type="dxa"/>
            <w:noWrap w:val="0"/>
            <w:vAlign w:val="center"/>
          </w:tcPr>
          <w:p w14:paraId="7308549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6524A4F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6AC4BD6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6AFDE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1296BC33">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13E21BC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22D9107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042E5F7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5D5C83D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0BCCABC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2150A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restart"/>
            <w:noWrap w:val="0"/>
            <w:vAlign w:val="center"/>
          </w:tcPr>
          <w:p w14:paraId="05457BAE">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0C144345">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0FE9C98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38E3DB2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74411F5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3F735C3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3207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0D0025A4">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5E11590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49E2F06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54ECAE16">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2BD0D8A2">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2CA5966F">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42E27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vMerge w:val="continue"/>
            <w:noWrap w:val="0"/>
            <w:vAlign w:val="center"/>
          </w:tcPr>
          <w:p w14:paraId="090C72A9">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2461FBA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321185B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770156D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66F3246A">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314B353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0A0E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7B3B501B">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1B39A1F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3E0E32E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2C3BB64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24B428C9">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67D5703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006BA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2D5ABDD5">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29BEBC6C">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30365237">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09CEEAD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731B8323">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3AD9CFD0">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r w14:paraId="1554F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1384" w:type="dxa"/>
            <w:noWrap w:val="0"/>
            <w:vAlign w:val="center"/>
          </w:tcPr>
          <w:p w14:paraId="06F4C0DE">
            <w:pPr>
              <w:keepNext w:val="0"/>
              <w:keepLines w:val="0"/>
              <w:widowControl/>
              <w:suppressLineNumbers w:val="0"/>
              <w:spacing w:before="0" w:beforeAutospacing="0" w:after="0" w:afterAutospacing="0"/>
              <w:ind w:left="0" w:right="0"/>
              <w:rPr>
                <w:rFonts w:hint="eastAsia" w:ascii="宋体" w:hAnsi="宋体" w:cs="宋体"/>
                <w:color w:val="auto"/>
                <w:kern w:val="0"/>
                <w:szCs w:val="21"/>
                <w:highlight w:val="none"/>
              </w:rPr>
            </w:pPr>
          </w:p>
        </w:tc>
        <w:tc>
          <w:tcPr>
            <w:tcW w:w="1701" w:type="dxa"/>
            <w:noWrap w:val="0"/>
            <w:vAlign w:val="top"/>
          </w:tcPr>
          <w:p w14:paraId="5CB7FE0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4" w:type="dxa"/>
            <w:noWrap w:val="0"/>
            <w:vAlign w:val="center"/>
          </w:tcPr>
          <w:p w14:paraId="31041701">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984" w:type="dxa"/>
            <w:noWrap w:val="0"/>
            <w:vAlign w:val="center"/>
          </w:tcPr>
          <w:p w14:paraId="01D87D5E">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2269" w:type="dxa"/>
            <w:noWrap w:val="0"/>
            <w:vAlign w:val="top"/>
          </w:tcPr>
          <w:p w14:paraId="0C88A23B">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c>
          <w:tcPr>
            <w:tcW w:w="1135" w:type="dxa"/>
            <w:noWrap w:val="0"/>
            <w:vAlign w:val="center"/>
          </w:tcPr>
          <w:p w14:paraId="69728D0D">
            <w:pPr>
              <w:keepNext w:val="0"/>
              <w:keepLines w:val="0"/>
              <w:widowControl/>
              <w:suppressLineNumbers w:val="0"/>
              <w:spacing w:before="0" w:beforeAutospacing="0" w:after="0" w:afterAutospacing="0"/>
              <w:ind w:left="0" w:right="0"/>
              <w:jc w:val="center"/>
              <w:rPr>
                <w:rFonts w:hint="eastAsia" w:ascii="宋体" w:hAnsi="宋体" w:cs="宋体"/>
                <w:color w:val="auto"/>
                <w:kern w:val="0"/>
                <w:szCs w:val="21"/>
                <w:highlight w:val="none"/>
              </w:rPr>
            </w:pPr>
          </w:p>
        </w:tc>
      </w:tr>
    </w:tbl>
    <w:p w14:paraId="7D995765">
      <w:pPr>
        <w:widowControl/>
        <w:jc w:val="left"/>
        <w:rPr>
          <w:rFonts w:hint="eastAsia" w:ascii="宋体" w:hAnsi="宋体" w:cs="宋体"/>
          <w:color w:val="auto"/>
          <w:sz w:val="24"/>
          <w:highlight w:val="none"/>
        </w:rPr>
      </w:pPr>
      <w:r>
        <w:rPr>
          <w:rFonts w:hint="eastAsia" w:ascii="宋体" w:hAnsi="宋体" w:cs="宋体"/>
          <w:color w:val="auto"/>
          <w:sz w:val="24"/>
          <w:highlight w:val="none"/>
        </w:rPr>
        <w:t>注：投标人应将投标产品拆分为相关主要部件分别描述。</w:t>
      </w:r>
    </w:p>
    <w:p w14:paraId="3612C0B5">
      <w:pPr>
        <w:widowControl/>
        <w:jc w:val="left"/>
        <w:rPr>
          <w:rFonts w:hint="eastAsia" w:ascii="宋体" w:hAnsi="宋体" w:cs="宋体"/>
          <w:color w:val="auto"/>
          <w:sz w:val="24"/>
          <w:highlight w:val="none"/>
        </w:rPr>
      </w:pPr>
    </w:p>
    <w:p w14:paraId="082746B2">
      <w:pPr>
        <w:pStyle w:val="5"/>
        <w:keepNext w:val="0"/>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eastAsia="zh-CN"/>
        </w:rPr>
        <w:t>2.货物（服务）说明（按此格式或者投标人自定格式）</w:t>
      </w:r>
    </w:p>
    <w:tbl>
      <w:tblPr>
        <w:tblStyle w:val="48"/>
        <w:tblW w:w="956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09"/>
        <w:gridCol w:w="6452"/>
      </w:tblGrid>
      <w:tr w14:paraId="1DC05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7" w:hRule="atLeast"/>
          <w:jc w:val="center"/>
        </w:trPr>
        <w:tc>
          <w:tcPr>
            <w:tcW w:w="3109" w:type="dxa"/>
            <w:noWrap w:val="0"/>
            <w:vAlign w:val="center"/>
          </w:tcPr>
          <w:p w14:paraId="0694CBAE">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货物名称</w:t>
            </w:r>
          </w:p>
        </w:tc>
        <w:tc>
          <w:tcPr>
            <w:tcW w:w="6452" w:type="dxa"/>
            <w:noWrap w:val="0"/>
            <w:vAlign w:val="center"/>
          </w:tcPr>
          <w:p w14:paraId="061A7F91">
            <w:pPr>
              <w:keepNext w:val="0"/>
              <w:keepLines w:val="0"/>
              <w:widowControl/>
              <w:suppressLineNumbers w:val="0"/>
              <w:spacing w:before="0" w:beforeAutospacing="0" w:after="0" w:afterAutospacing="0"/>
              <w:ind w:left="0" w:right="0"/>
              <w:jc w:val="center"/>
              <w:rPr>
                <w:rFonts w:hint="eastAsia" w:ascii="宋体" w:hAnsi="宋体" w:cs="宋体"/>
                <w:b/>
                <w:bCs/>
                <w:color w:val="auto"/>
                <w:kern w:val="0"/>
                <w:szCs w:val="21"/>
                <w:highlight w:val="none"/>
              </w:rPr>
            </w:pPr>
          </w:p>
        </w:tc>
      </w:tr>
      <w:tr w14:paraId="39CFA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9561" w:type="dxa"/>
            <w:gridSpan w:val="2"/>
            <w:noWrap w:val="0"/>
            <w:vAlign w:val="center"/>
          </w:tcPr>
          <w:p w14:paraId="3716C1ED">
            <w:pPr>
              <w:keepNext w:val="0"/>
              <w:keepLines w:val="0"/>
              <w:widowControl/>
              <w:suppressLineNumbers w:val="0"/>
              <w:spacing w:before="0" w:beforeAutospacing="0" w:after="0" w:afterAutospacing="0"/>
              <w:ind w:left="0" w:righ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供货范围</w:t>
            </w:r>
          </w:p>
        </w:tc>
      </w:tr>
      <w:tr w14:paraId="5871C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8" w:hRule="atLeast"/>
          <w:jc w:val="center"/>
        </w:trPr>
        <w:tc>
          <w:tcPr>
            <w:tcW w:w="9561" w:type="dxa"/>
            <w:gridSpan w:val="2"/>
            <w:noWrap w:val="0"/>
            <w:vAlign w:val="center"/>
          </w:tcPr>
          <w:p w14:paraId="4410E4A1">
            <w:pPr>
              <w:keepNext w:val="0"/>
              <w:keepLines w:val="0"/>
              <w:widowControl/>
              <w:suppressLineNumbers w:val="0"/>
              <w:spacing w:before="0" w:beforeAutospacing="0" w:after="0" w:afterAutospacing="0"/>
              <w:ind w:left="0" w:right="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工艺、参数等货物（服务）详细说明</w:t>
            </w:r>
          </w:p>
        </w:tc>
      </w:tr>
    </w:tbl>
    <w:p w14:paraId="356F4FB6">
      <w:pPr>
        <w:widowControl/>
        <w:jc w:val="left"/>
        <w:rPr>
          <w:rFonts w:hint="eastAsia" w:ascii="宋体" w:hAnsi="宋体" w:cs="宋体"/>
          <w:color w:val="auto"/>
          <w:sz w:val="24"/>
          <w:highlight w:val="none"/>
        </w:rPr>
      </w:pPr>
    </w:p>
    <w:p w14:paraId="74183E04">
      <w:pPr>
        <w:pStyle w:val="5"/>
        <w:keepNext w:val="0"/>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eastAsia="zh-CN"/>
        </w:rPr>
        <w:t>3.产品综合评价</w:t>
      </w:r>
    </w:p>
    <w:p w14:paraId="55113F14">
      <w:pPr>
        <w:rPr>
          <w:rFonts w:hint="eastAsia" w:ascii="宋体" w:hAnsi="宋体" w:cs="宋体"/>
          <w:color w:val="auto"/>
          <w:sz w:val="24"/>
          <w:highlight w:val="none"/>
          <w:lang w:bidi="en-US"/>
        </w:rPr>
      </w:pPr>
    </w:p>
    <w:p w14:paraId="2DCF172C">
      <w:pPr>
        <w:pStyle w:val="5"/>
        <w:tabs>
          <w:tab w:val="left" w:pos="1260"/>
        </w:tabs>
        <w:jc w:val="center"/>
        <w:rPr>
          <w:rFonts w:hint="default" w:cs="宋体"/>
          <w:bCs w:val="0"/>
          <w:iCs w:val="0"/>
          <w:color w:val="auto"/>
          <w:sz w:val="24"/>
          <w:highlight w:val="none"/>
          <w:lang w:val="en-US" w:eastAsia="zh-CN"/>
        </w:rPr>
      </w:pPr>
      <w:r>
        <w:rPr>
          <w:rFonts w:hint="eastAsia" w:ascii="宋体" w:hAnsi="宋体" w:cs="宋体"/>
          <w:iCs w:val="0"/>
          <w:color w:val="auto"/>
          <w:sz w:val="24"/>
          <w:highlight w:val="none"/>
          <w:lang w:eastAsia="zh-CN"/>
        </w:rPr>
        <w:t>4.售后服务</w:t>
      </w:r>
      <w:r>
        <w:rPr>
          <w:rFonts w:hint="eastAsia" w:ascii="宋体" w:hAnsi="宋体" w:cs="宋体"/>
          <w:iCs w:val="0"/>
          <w:color w:val="auto"/>
          <w:sz w:val="24"/>
          <w:highlight w:val="none"/>
          <w:lang w:val="en-US" w:eastAsia="zh-CN"/>
        </w:rPr>
        <w:t>方案</w:t>
      </w:r>
    </w:p>
    <w:p w14:paraId="0D5FC948">
      <w:pPr>
        <w:rPr>
          <w:rFonts w:hint="eastAsia" w:ascii="宋体" w:hAnsi="宋体" w:cs="宋体"/>
          <w:color w:val="auto"/>
          <w:sz w:val="24"/>
          <w:highlight w:val="none"/>
          <w:lang w:bidi="en-US"/>
        </w:rPr>
      </w:pPr>
    </w:p>
    <w:p w14:paraId="481180C2">
      <w:pPr>
        <w:pStyle w:val="5"/>
        <w:tabs>
          <w:tab w:val="left" w:pos="1260"/>
        </w:tabs>
        <w:jc w:val="center"/>
        <w:rPr>
          <w:rFonts w:hint="eastAsia" w:cs="宋体"/>
          <w:bCs w:val="0"/>
          <w:iCs w:val="0"/>
          <w:color w:val="auto"/>
          <w:sz w:val="24"/>
          <w:highlight w:val="none"/>
          <w:lang w:eastAsia="zh-CN"/>
        </w:rPr>
      </w:pPr>
      <w:r>
        <w:rPr>
          <w:rFonts w:hint="eastAsia" w:ascii="宋体" w:hAnsi="宋体" w:cs="宋体"/>
          <w:iCs w:val="0"/>
          <w:color w:val="auto"/>
          <w:sz w:val="24"/>
          <w:highlight w:val="none"/>
          <w:lang w:eastAsia="zh-CN"/>
        </w:rPr>
        <w:t>5.</w:t>
      </w:r>
      <w:r>
        <w:rPr>
          <w:rFonts w:hint="eastAsia" w:ascii="宋体" w:hAnsi="宋体" w:cs="宋体"/>
          <w:iCs w:val="0"/>
          <w:color w:val="auto"/>
          <w:sz w:val="24"/>
          <w:highlight w:val="none"/>
          <w:lang w:val="en-US" w:eastAsia="zh-CN"/>
        </w:rPr>
        <w:t>技术</w:t>
      </w:r>
      <w:r>
        <w:rPr>
          <w:rFonts w:hint="eastAsia" w:ascii="宋体" w:hAnsi="宋体" w:cs="宋体"/>
          <w:iCs w:val="0"/>
          <w:color w:val="auto"/>
          <w:sz w:val="24"/>
          <w:highlight w:val="none"/>
          <w:lang w:eastAsia="zh-CN"/>
        </w:rPr>
        <w:t>培训方案</w:t>
      </w:r>
    </w:p>
    <w:p w14:paraId="43EFEC57">
      <w:pPr>
        <w:rPr>
          <w:rFonts w:hint="eastAsia" w:ascii="宋体" w:hAnsi="宋体" w:cs="宋体"/>
          <w:color w:val="auto"/>
          <w:sz w:val="24"/>
          <w:highlight w:val="none"/>
          <w:lang w:bidi="en-US"/>
        </w:rPr>
      </w:pPr>
    </w:p>
    <w:p w14:paraId="312E0BE3">
      <w:pPr>
        <w:pStyle w:val="5"/>
        <w:tabs>
          <w:tab w:val="left" w:pos="1260"/>
        </w:tabs>
        <w:jc w:val="center"/>
        <w:rPr>
          <w:rFonts w:hint="eastAsia" w:ascii="宋体" w:hAnsi="宋体" w:cs="宋体"/>
          <w:iCs w:val="0"/>
          <w:color w:val="auto"/>
          <w:sz w:val="24"/>
          <w:highlight w:val="none"/>
          <w:lang w:eastAsia="zh-CN"/>
        </w:rPr>
      </w:pPr>
      <w:r>
        <w:rPr>
          <w:rFonts w:hint="eastAsia" w:ascii="宋体" w:hAnsi="宋体" w:cs="宋体"/>
          <w:iCs w:val="0"/>
          <w:color w:val="auto"/>
          <w:sz w:val="24"/>
          <w:highlight w:val="none"/>
          <w:lang w:eastAsia="zh-CN"/>
        </w:rPr>
        <w:t>6.</w:t>
      </w:r>
      <w:r>
        <w:rPr>
          <w:rFonts w:hint="eastAsia" w:ascii="宋体" w:hAnsi="宋体" w:cs="宋体"/>
          <w:iCs w:val="0"/>
          <w:color w:val="auto"/>
          <w:sz w:val="24"/>
          <w:highlight w:val="none"/>
          <w:lang w:val="en-US" w:eastAsia="zh-CN"/>
        </w:rPr>
        <w:t>应急服务</w:t>
      </w:r>
      <w:r>
        <w:rPr>
          <w:rFonts w:hint="eastAsia" w:ascii="宋体" w:hAnsi="宋体" w:cs="宋体"/>
          <w:iCs w:val="0"/>
          <w:color w:val="auto"/>
          <w:sz w:val="24"/>
          <w:highlight w:val="none"/>
          <w:lang w:eastAsia="zh-CN"/>
        </w:rPr>
        <w:t>服务</w:t>
      </w:r>
    </w:p>
    <w:p w14:paraId="48A13C79">
      <w:pPr>
        <w:rPr>
          <w:rFonts w:hint="eastAsia"/>
          <w:color w:val="auto"/>
          <w:highlight w:val="none"/>
        </w:rPr>
      </w:pPr>
    </w:p>
    <w:p w14:paraId="33AE97BE">
      <w:pPr>
        <w:pStyle w:val="5"/>
        <w:tabs>
          <w:tab w:val="left" w:pos="1260"/>
        </w:tabs>
        <w:jc w:val="center"/>
        <w:rPr>
          <w:rFonts w:hint="eastAsia" w:ascii="宋体" w:hAnsi="宋体" w:cs="宋体"/>
          <w:b w:val="0"/>
          <w:bCs w:val="0"/>
          <w:color w:val="auto"/>
          <w:sz w:val="24"/>
          <w:highlight w:val="none"/>
        </w:rPr>
      </w:pPr>
      <w:r>
        <w:rPr>
          <w:rFonts w:hint="eastAsia" w:ascii="宋体" w:hAnsi="宋体" w:cs="宋体"/>
          <w:iCs w:val="0"/>
          <w:color w:val="auto"/>
          <w:sz w:val="24"/>
          <w:highlight w:val="none"/>
          <w:lang w:eastAsia="zh-CN"/>
        </w:rPr>
        <w:t>7.</w:t>
      </w:r>
      <w:r>
        <w:rPr>
          <w:rFonts w:hint="eastAsia" w:ascii="宋体" w:hAnsi="宋体" w:cs="宋体"/>
          <w:iCs w:val="0"/>
          <w:color w:val="auto"/>
          <w:sz w:val="24"/>
          <w:highlight w:val="none"/>
          <w:lang w:val="en-US" w:eastAsia="zh-CN"/>
        </w:rPr>
        <w:t>供货安装</w:t>
      </w:r>
      <w:r>
        <w:rPr>
          <w:rFonts w:hint="eastAsia" w:ascii="宋体" w:hAnsi="宋体" w:cs="宋体"/>
          <w:iCs w:val="0"/>
          <w:color w:val="auto"/>
          <w:sz w:val="24"/>
          <w:highlight w:val="none"/>
          <w:lang w:eastAsia="zh-CN"/>
        </w:rPr>
        <w:t>方案</w:t>
      </w:r>
    </w:p>
    <w:p w14:paraId="60C4B241">
      <w:pPr>
        <w:spacing w:line="360" w:lineRule="auto"/>
        <w:jc w:val="center"/>
        <w:outlineLvl w:val="2"/>
        <w:rPr>
          <w:rFonts w:hint="eastAsia" w:ascii="宋体" w:hAnsi="宋体" w:cs="宋体"/>
          <w:b/>
          <w:bCs/>
          <w:color w:val="auto"/>
          <w:kern w:val="0"/>
          <w:sz w:val="24"/>
          <w:highlight w:val="none"/>
          <w:lang w:bidi="en-US"/>
        </w:rPr>
      </w:pPr>
      <w:r>
        <w:rPr>
          <w:rFonts w:hint="eastAsia" w:ascii="宋体" w:hAnsi="宋体" w:cs="宋体"/>
          <w:b/>
          <w:bCs/>
          <w:color w:val="auto"/>
          <w:kern w:val="0"/>
          <w:sz w:val="24"/>
          <w:highlight w:val="none"/>
          <w:lang w:bidi="en-US"/>
        </w:rPr>
        <w:br w:type="page"/>
      </w:r>
      <w:r>
        <w:rPr>
          <w:rFonts w:hint="eastAsia" w:ascii="宋体" w:hAnsi="宋体" w:cs="宋体"/>
          <w:b/>
          <w:bCs/>
          <w:color w:val="auto"/>
          <w:kern w:val="0"/>
          <w:sz w:val="24"/>
          <w:highlight w:val="none"/>
          <w:lang w:bidi="en-US"/>
        </w:rPr>
        <w:t>（四）用于评标的业绩证明材料</w:t>
      </w:r>
    </w:p>
    <w:p w14:paraId="74B7AA1E">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1.业绩承诺函</w:t>
      </w:r>
    </w:p>
    <w:p w14:paraId="33BAF401">
      <w:pPr>
        <w:pStyle w:val="27"/>
        <w:spacing w:line="360" w:lineRule="auto"/>
        <w:rPr>
          <w:rFonts w:hint="eastAsia" w:hAnsi="宋体" w:cs="宋体"/>
          <w:b/>
          <w:color w:val="auto"/>
          <w:sz w:val="21"/>
          <w:highlight w:val="none"/>
          <w:u w:val="single"/>
        </w:rPr>
      </w:pPr>
      <w:r>
        <w:rPr>
          <w:rFonts w:hint="eastAsia" w:hAnsi="宋体" w:cs="宋体"/>
          <w:color w:val="auto"/>
          <w:sz w:val="21"/>
          <w:highlight w:val="none"/>
        </w:rPr>
        <w:t>致：安徽省卫生健康委员会</w:t>
      </w:r>
    </w:p>
    <w:p w14:paraId="579CB4FC">
      <w:pPr>
        <w:spacing w:line="360" w:lineRule="auto"/>
        <w:ind w:firstLine="435"/>
        <w:rPr>
          <w:rFonts w:hint="eastAsia" w:ascii="宋体" w:hAnsi="宋体" w:cs="宋体"/>
          <w:color w:val="auto"/>
          <w:highlight w:val="none"/>
        </w:rPr>
      </w:pPr>
      <w:r>
        <w:rPr>
          <w:rFonts w:hint="eastAsia" w:ascii="宋体" w:hAnsi="宋体" w:cs="宋体"/>
          <w:color w:val="auto"/>
          <w:highlight w:val="none"/>
        </w:rPr>
        <w:t>我方承诺：投标文件中所提供的业绩均真实有效，若有质疑，我方承诺会将2个工作日内可就以下业绩信息提供(对应的发票、合同或业主单位加盖公章证明材料)原件供贵单位核对。若被发现存在任何虚假、隐瞒情况，我公司承担由此产生的一切后果。同时我方承诺贵方可就我方业绩进行公布。</w:t>
      </w:r>
    </w:p>
    <w:p w14:paraId="753D58F0">
      <w:pPr>
        <w:spacing w:line="360" w:lineRule="auto"/>
        <w:ind w:firstLine="3700" w:firstLineChars="1762"/>
        <w:rPr>
          <w:rFonts w:hint="eastAsia" w:ascii="宋体" w:hAnsi="宋体" w:cs="宋体"/>
          <w:color w:val="auto"/>
          <w:highlight w:val="none"/>
          <w:u w:val="single"/>
        </w:rPr>
      </w:pPr>
      <w:r>
        <w:rPr>
          <w:rFonts w:hint="eastAsia" w:ascii="宋体" w:hAnsi="宋体" w:cs="宋体"/>
          <w:color w:val="auto"/>
          <w:highlight w:val="none"/>
        </w:rPr>
        <w:t>投标人：</w:t>
      </w:r>
      <w:r>
        <w:rPr>
          <w:rFonts w:hint="eastAsia" w:ascii="宋体" w:hAnsi="宋体" w:cs="宋体"/>
          <w:color w:val="auto"/>
          <w:highlight w:val="none"/>
          <w:u w:val="single"/>
        </w:rPr>
        <w:t xml:space="preserve">              </w:t>
      </w:r>
      <w:r>
        <w:rPr>
          <w:rFonts w:hint="eastAsia" w:ascii="宋体" w:hAnsi="宋体" w:cs="宋体"/>
          <w:color w:val="auto"/>
          <w:highlight w:val="none"/>
        </w:rPr>
        <w:t>（盖单位章）</w:t>
      </w:r>
    </w:p>
    <w:p w14:paraId="34D583A7">
      <w:pPr>
        <w:tabs>
          <w:tab w:val="left" w:pos="630"/>
        </w:tabs>
        <w:spacing w:line="360" w:lineRule="auto"/>
        <w:ind w:firstLine="3700" w:firstLineChars="1762"/>
        <w:rPr>
          <w:rFonts w:hint="eastAsia" w:ascii="宋体" w:hAnsi="宋体" w:cs="宋体"/>
          <w:color w:val="auto"/>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14:paraId="31209121">
      <w:pPr>
        <w:jc w:val="center"/>
        <w:rPr>
          <w:rFonts w:hint="eastAsia" w:ascii="宋体" w:hAnsi="宋体" w:cs="宋体"/>
          <w:color w:val="auto"/>
          <w:sz w:val="28"/>
          <w:highlight w:val="none"/>
        </w:rPr>
      </w:pPr>
    </w:p>
    <w:p w14:paraId="154BCBDF">
      <w:pPr>
        <w:jc w:val="center"/>
        <w:rPr>
          <w:rFonts w:hint="eastAsia" w:ascii="宋体" w:hAnsi="宋体" w:cs="宋体"/>
          <w:color w:val="auto"/>
          <w:sz w:val="28"/>
          <w:highlight w:val="none"/>
        </w:rPr>
      </w:pPr>
      <w:r>
        <w:rPr>
          <w:rFonts w:hint="eastAsia" w:ascii="宋体" w:hAnsi="宋体" w:cs="宋体"/>
          <w:b/>
          <w:bCs/>
          <w:color w:val="auto"/>
          <w:sz w:val="24"/>
          <w:highlight w:val="none"/>
        </w:rPr>
        <w:t>2.业绩汇总表</w:t>
      </w:r>
    </w:p>
    <w:tbl>
      <w:tblPr>
        <w:tblStyle w:val="48"/>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980"/>
        <w:gridCol w:w="983"/>
        <w:gridCol w:w="896"/>
        <w:gridCol w:w="1121"/>
        <w:gridCol w:w="837"/>
        <w:gridCol w:w="837"/>
        <w:gridCol w:w="995"/>
        <w:gridCol w:w="995"/>
        <w:gridCol w:w="949"/>
        <w:gridCol w:w="613"/>
      </w:tblGrid>
      <w:tr w14:paraId="7A18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10FE5856">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序号</w:t>
            </w:r>
          </w:p>
        </w:tc>
        <w:tc>
          <w:tcPr>
            <w:tcW w:w="498" w:type="pct"/>
            <w:noWrap w:val="0"/>
            <w:vAlign w:val="center"/>
          </w:tcPr>
          <w:p w14:paraId="4E2A5FE9">
            <w:pPr>
              <w:keepNext w:val="0"/>
              <w:keepLines w:val="0"/>
              <w:suppressLineNumbers w:val="0"/>
              <w:spacing w:before="0" w:beforeAutospacing="0" w:after="0" w:afterAutospacing="0"/>
              <w:ind w:left="0" w:right="0"/>
              <w:jc w:val="center"/>
              <w:rPr>
                <w:rFonts w:hint="default" w:ascii="宋体" w:hAnsi="宋体" w:eastAsia="宋体" w:cs="宋体"/>
                <w:b/>
                <w:color w:val="auto"/>
                <w:highlight w:val="none"/>
                <w:lang w:val="en-US" w:eastAsia="zh-CN"/>
              </w:rPr>
            </w:pPr>
            <w:r>
              <w:rPr>
                <w:rFonts w:hint="eastAsia" w:ascii="宋体" w:hAnsi="宋体" w:cs="宋体"/>
                <w:b/>
                <w:color w:val="auto"/>
                <w:highlight w:val="none"/>
                <w:lang w:val="en-US" w:eastAsia="zh-CN"/>
              </w:rPr>
              <w:t>时间分类</w:t>
            </w:r>
          </w:p>
        </w:tc>
        <w:tc>
          <w:tcPr>
            <w:tcW w:w="499" w:type="pct"/>
            <w:noWrap w:val="0"/>
            <w:vAlign w:val="center"/>
          </w:tcPr>
          <w:p w14:paraId="6CAA8D4F">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项目名称</w:t>
            </w:r>
          </w:p>
        </w:tc>
        <w:tc>
          <w:tcPr>
            <w:tcW w:w="454" w:type="pct"/>
            <w:noWrap w:val="0"/>
            <w:vAlign w:val="center"/>
          </w:tcPr>
          <w:p w14:paraId="06B8F7F3">
            <w:pPr>
              <w:keepNext w:val="0"/>
              <w:keepLines w:val="0"/>
              <w:widowControl/>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合同主要内容</w:t>
            </w:r>
          </w:p>
        </w:tc>
        <w:tc>
          <w:tcPr>
            <w:tcW w:w="569" w:type="pct"/>
            <w:noWrap w:val="0"/>
            <w:vAlign w:val="center"/>
          </w:tcPr>
          <w:p w14:paraId="09236401">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符合评标要求的设备台数</w:t>
            </w:r>
          </w:p>
        </w:tc>
        <w:tc>
          <w:tcPr>
            <w:tcW w:w="425" w:type="pct"/>
            <w:noWrap w:val="0"/>
            <w:vAlign w:val="center"/>
          </w:tcPr>
          <w:p w14:paraId="44A31F10">
            <w:pPr>
              <w:keepNext w:val="0"/>
              <w:keepLines w:val="0"/>
              <w:suppressLineNumbers w:val="0"/>
              <w:spacing w:before="0" w:beforeAutospacing="0" w:after="0" w:afterAutospacing="0"/>
              <w:ind w:left="0" w:right="0"/>
              <w:jc w:val="center"/>
              <w:rPr>
                <w:rFonts w:hint="eastAsia" w:ascii="宋体" w:hAnsi="宋体" w:eastAsia="宋体" w:cs="宋体"/>
                <w:b/>
                <w:color w:val="auto"/>
                <w:highlight w:val="none"/>
                <w:lang w:eastAsia="zh-CN"/>
              </w:rPr>
            </w:pPr>
            <w:r>
              <w:rPr>
                <w:rFonts w:hint="eastAsia" w:ascii="宋体" w:hAnsi="宋体" w:cs="宋体"/>
                <w:b/>
                <w:color w:val="auto"/>
                <w:highlight w:val="none"/>
              </w:rPr>
              <w:t>符合评标要求的设备</w:t>
            </w:r>
            <w:r>
              <w:rPr>
                <w:rFonts w:hint="eastAsia" w:ascii="宋体" w:hAnsi="宋体" w:cs="宋体"/>
                <w:b/>
                <w:color w:val="auto"/>
                <w:highlight w:val="none"/>
                <w:lang w:val="en-US" w:eastAsia="zh-CN"/>
              </w:rPr>
              <w:t>单价</w:t>
            </w:r>
          </w:p>
        </w:tc>
        <w:tc>
          <w:tcPr>
            <w:tcW w:w="425" w:type="pct"/>
            <w:noWrap w:val="0"/>
            <w:vAlign w:val="center"/>
          </w:tcPr>
          <w:p w14:paraId="71471079">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签约合同价金额</w:t>
            </w:r>
          </w:p>
        </w:tc>
        <w:tc>
          <w:tcPr>
            <w:tcW w:w="505" w:type="pct"/>
            <w:noWrap w:val="0"/>
            <w:vAlign w:val="center"/>
          </w:tcPr>
          <w:p w14:paraId="5A6E944C">
            <w:pPr>
              <w:keepNext w:val="0"/>
              <w:keepLines w:val="0"/>
              <w:suppressLineNumbers w:val="0"/>
              <w:spacing w:before="0" w:beforeAutospacing="0" w:after="0" w:afterAutospacing="0"/>
              <w:ind w:left="0" w:right="0"/>
              <w:jc w:val="center"/>
              <w:rPr>
                <w:rFonts w:hint="default" w:ascii="宋体" w:hAnsi="宋体" w:eastAsia="宋体" w:cs="宋体"/>
                <w:b/>
                <w:color w:val="auto"/>
                <w:highlight w:val="none"/>
                <w:lang w:val="en-US" w:eastAsia="zh-CN"/>
              </w:rPr>
            </w:pPr>
            <w:r>
              <w:rPr>
                <w:rFonts w:hint="eastAsia" w:ascii="宋体" w:hAnsi="宋体" w:cs="宋体"/>
                <w:b/>
                <w:color w:val="auto"/>
                <w:highlight w:val="none"/>
              </w:rPr>
              <w:t>设备</w:t>
            </w:r>
            <w:r>
              <w:rPr>
                <w:rFonts w:hint="eastAsia" w:ascii="宋体" w:hAnsi="宋体" w:cs="宋体"/>
                <w:b/>
                <w:color w:val="auto"/>
                <w:highlight w:val="none"/>
                <w:lang w:val="en-US" w:eastAsia="zh-CN"/>
              </w:rPr>
              <w:t>单台平均价格</w:t>
            </w:r>
          </w:p>
        </w:tc>
        <w:tc>
          <w:tcPr>
            <w:tcW w:w="505" w:type="pct"/>
            <w:noWrap w:val="0"/>
            <w:vAlign w:val="center"/>
          </w:tcPr>
          <w:p w14:paraId="3333E6D5">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业主单位</w:t>
            </w:r>
          </w:p>
          <w:p w14:paraId="67E89373">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及联系电话</w:t>
            </w:r>
          </w:p>
        </w:tc>
        <w:tc>
          <w:tcPr>
            <w:tcW w:w="482" w:type="pct"/>
            <w:noWrap w:val="0"/>
            <w:vAlign w:val="center"/>
          </w:tcPr>
          <w:p w14:paraId="006CD698">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合同签订时间</w:t>
            </w:r>
          </w:p>
        </w:tc>
        <w:tc>
          <w:tcPr>
            <w:tcW w:w="311" w:type="pct"/>
            <w:noWrap w:val="0"/>
            <w:vAlign w:val="center"/>
          </w:tcPr>
          <w:p w14:paraId="686BEAD2">
            <w:pPr>
              <w:keepNext w:val="0"/>
              <w:keepLines w:val="0"/>
              <w:suppressLineNumbers w:val="0"/>
              <w:spacing w:before="0" w:beforeAutospacing="0" w:after="0" w:afterAutospacing="0"/>
              <w:ind w:left="0" w:right="0"/>
              <w:jc w:val="center"/>
              <w:rPr>
                <w:rFonts w:hint="eastAsia" w:ascii="宋体" w:hAnsi="宋体" w:cs="宋体"/>
                <w:b/>
                <w:color w:val="auto"/>
                <w:highlight w:val="none"/>
              </w:rPr>
            </w:pPr>
            <w:r>
              <w:rPr>
                <w:rFonts w:hint="eastAsia" w:ascii="宋体" w:hAnsi="宋体" w:cs="宋体"/>
                <w:b/>
                <w:color w:val="auto"/>
                <w:highlight w:val="none"/>
              </w:rPr>
              <w:t>备注</w:t>
            </w:r>
          </w:p>
        </w:tc>
      </w:tr>
      <w:tr w14:paraId="5C0A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380D70AE">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1</w:t>
            </w:r>
          </w:p>
        </w:tc>
        <w:tc>
          <w:tcPr>
            <w:tcW w:w="498" w:type="pct"/>
            <w:vMerge w:val="restart"/>
            <w:noWrap w:val="0"/>
            <w:vAlign w:val="center"/>
          </w:tcPr>
          <w:p w14:paraId="63F3B3A4">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2025年1月1日（不含）前</w:t>
            </w:r>
          </w:p>
        </w:tc>
        <w:tc>
          <w:tcPr>
            <w:tcW w:w="499" w:type="pct"/>
            <w:noWrap w:val="0"/>
            <w:vAlign w:val="center"/>
          </w:tcPr>
          <w:p w14:paraId="2BD65A8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3156742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1D6769E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420646D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71661AC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restart"/>
            <w:noWrap w:val="0"/>
            <w:vAlign w:val="center"/>
          </w:tcPr>
          <w:p w14:paraId="3375D7A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72DCDB8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180B8DA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488607A0">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24E2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2D87087F">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2</w:t>
            </w:r>
          </w:p>
        </w:tc>
        <w:tc>
          <w:tcPr>
            <w:tcW w:w="498" w:type="pct"/>
            <w:vMerge w:val="continue"/>
            <w:noWrap w:val="0"/>
            <w:vAlign w:val="center"/>
          </w:tcPr>
          <w:p w14:paraId="3A71FE6A">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p>
        </w:tc>
        <w:tc>
          <w:tcPr>
            <w:tcW w:w="499" w:type="pct"/>
            <w:noWrap w:val="0"/>
            <w:vAlign w:val="center"/>
          </w:tcPr>
          <w:p w14:paraId="1F337AA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0E9513E0">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1FEA618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44A5BC3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5068EE6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continue"/>
            <w:noWrap w:val="0"/>
            <w:vAlign w:val="center"/>
          </w:tcPr>
          <w:p w14:paraId="5BBC4C9B">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4533568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76DB2FC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304BC3FB">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3FD2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0A389EFE">
            <w:pPr>
              <w:keepNext w:val="0"/>
              <w:keepLines w:val="0"/>
              <w:suppressLineNumbers w:val="0"/>
              <w:spacing w:before="0" w:beforeAutospacing="0" w:after="0" w:afterAutospacing="0"/>
              <w:ind w:left="0" w:right="0"/>
              <w:jc w:val="center"/>
              <w:rPr>
                <w:rFonts w:hint="eastAsia" w:ascii="宋体" w:hAnsi="宋体" w:eastAsia="宋体" w:cs="宋体"/>
                <w:color w:val="auto"/>
                <w:highlight w:val="none"/>
                <w:lang w:eastAsia="zh-CN"/>
              </w:rPr>
            </w:pPr>
            <w:r>
              <w:rPr>
                <w:rFonts w:hint="eastAsia" w:ascii="宋体" w:hAnsi="宋体" w:cs="宋体"/>
                <w:color w:val="auto"/>
                <w:highlight w:val="none"/>
              </w:rPr>
              <w:t>……</w:t>
            </w:r>
          </w:p>
        </w:tc>
        <w:tc>
          <w:tcPr>
            <w:tcW w:w="498" w:type="pct"/>
            <w:vMerge w:val="continue"/>
            <w:noWrap w:val="0"/>
            <w:vAlign w:val="center"/>
          </w:tcPr>
          <w:p w14:paraId="1618259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99" w:type="pct"/>
            <w:noWrap w:val="0"/>
            <w:vAlign w:val="center"/>
          </w:tcPr>
          <w:p w14:paraId="10F005C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69744C70">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7F23E8E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17B335B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0F4AB1F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continue"/>
            <w:noWrap w:val="0"/>
            <w:vAlign w:val="center"/>
          </w:tcPr>
          <w:p w14:paraId="76A0630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45A5227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3938644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08114CFE">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0B69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614AD76C">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498" w:type="pct"/>
            <w:vMerge w:val="restart"/>
            <w:noWrap w:val="0"/>
            <w:vAlign w:val="center"/>
          </w:tcPr>
          <w:p w14:paraId="4FFB2854">
            <w:pPr>
              <w:keepNext w:val="0"/>
              <w:keepLines w:val="0"/>
              <w:suppressLineNumbers w:val="0"/>
              <w:spacing w:before="0" w:beforeAutospacing="0" w:after="0" w:afterAutospacing="0"/>
              <w:ind w:left="0" w:right="0"/>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2025年1月1日（含）后</w:t>
            </w:r>
          </w:p>
        </w:tc>
        <w:tc>
          <w:tcPr>
            <w:tcW w:w="499" w:type="pct"/>
            <w:noWrap w:val="0"/>
            <w:vAlign w:val="center"/>
          </w:tcPr>
          <w:p w14:paraId="769E257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0A79248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44A95DF9">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3BF1F0A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2439010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restart"/>
            <w:noWrap w:val="0"/>
            <w:vAlign w:val="center"/>
          </w:tcPr>
          <w:p w14:paraId="1BE2211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4C8EC8A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504DEC2F">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209D58FE">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4BCB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2CB45CE0">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498" w:type="pct"/>
            <w:vMerge w:val="continue"/>
            <w:noWrap w:val="0"/>
            <w:vAlign w:val="center"/>
          </w:tcPr>
          <w:p w14:paraId="44E7A102">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99" w:type="pct"/>
            <w:noWrap w:val="0"/>
            <w:vAlign w:val="center"/>
          </w:tcPr>
          <w:p w14:paraId="6489B358">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0785006C">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38521D6E">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41B3CE8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377CF793">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continue"/>
            <w:noWrap w:val="0"/>
            <w:vAlign w:val="center"/>
          </w:tcPr>
          <w:p w14:paraId="0F765FC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5C67885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2013276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22D05EF5">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7E0C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noWrap w:val="0"/>
            <w:vAlign w:val="center"/>
          </w:tcPr>
          <w:p w14:paraId="1094E1E1">
            <w:pPr>
              <w:keepNext w:val="0"/>
              <w:keepLines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cs="宋体"/>
                <w:color w:val="auto"/>
                <w:highlight w:val="none"/>
              </w:rPr>
              <w:t>……</w:t>
            </w:r>
          </w:p>
        </w:tc>
        <w:tc>
          <w:tcPr>
            <w:tcW w:w="498" w:type="pct"/>
            <w:vMerge w:val="continue"/>
            <w:noWrap w:val="0"/>
            <w:vAlign w:val="center"/>
          </w:tcPr>
          <w:p w14:paraId="2AE9F79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99" w:type="pct"/>
            <w:noWrap w:val="0"/>
            <w:vAlign w:val="center"/>
          </w:tcPr>
          <w:p w14:paraId="433C1596">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54" w:type="pct"/>
            <w:noWrap w:val="0"/>
            <w:vAlign w:val="center"/>
          </w:tcPr>
          <w:p w14:paraId="326C5CA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69" w:type="pct"/>
            <w:noWrap w:val="0"/>
            <w:vAlign w:val="center"/>
          </w:tcPr>
          <w:p w14:paraId="6533D68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2C33C09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0AED28D5">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vMerge w:val="continue"/>
            <w:noWrap w:val="0"/>
            <w:vAlign w:val="center"/>
          </w:tcPr>
          <w:p w14:paraId="5AE98FE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0DF122B1">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82" w:type="pct"/>
            <w:noWrap w:val="0"/>
            <w:vAlign w:val="center"/>
          </w:tcPr>
          <w:p w14:paraId="7C2EBABD">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311" w:type="pct"/>
            <w:noWrap w:val="0"/>
            <w:vAlign w:val="center"/>
          </w:tcPr>
          <w:p w14:paraId="74340C27">
            <w:pPr>
              <w:keepNext w:val="0"/>
              <w:keepLines w:val="0"/>
              <w:suppressLineNumbers w:val="0"/>
              <w:spacing w:before="0" w:beforeAutospacing="0" w:after="0" w:afterAutospacing="0"/>
              <w:ind w:left="0" w:right="0"/>
              <w:rPr>
                <w:rFonts w:hint="eastAsia" w:ascii="宋体" w:hAnsi="宋体" w:cs="宋体"/>
                <w:color w:val="auto"/>
                <w:highlight w:val="none"/>
              </w:rPr>
            </w:pPr>
          </w:p>
        </w:tc>
      </w:tr>
      <w:tr w14:paraId="4ABE0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75" w:type="pct"/>
            <w:gridSpan w:val="4"/>
            <w:noWrap w:val="0"/>
            <w:vAlign w:val="center"/>
          </w:tcPr>
          <w:p w14:paraId="3C83CE9E">
            <w:pPr>
              <w:keepNext w:val="0"/>
              <w:keepLines w:val="0"/>
              <w:suppressLineNumbers w:val="0"/>
              <w:spacing w:before="0" w:beforeAutospacing="0" w:after="0" w:afterAutospacing="0"/>
              <w:ind w:left="0" w:right="0"/>
              <w:rPr>
                <w:rFonts w:hint="eastAsia" w:ascii="宋体" w:hAnsi="宋体" w:cs="宋体"/>
                <w:color w:val="auto"/>
                <w:highlight w:val="none"/>
              </w:rPr>
            </w:pPr>
            <w:r>
              <w:rPr>
                <w:rFonts w:hint="eastAsia" w:ascii="宋体" w:hAnsi="宋体" w:cs="宋体"/>
                <w:color w:val="auto"/>
                <w:highlight w:val="none"/>
              </w:rPr>
              <w:t>合计</w:t>
            </w:r>
          </w:p>
        </w:tc>
        <w:tc>
          <w:tcPr>
            <w:tcW w:w="569" w:type="pct"/>
            <w:noWrap w:val="0"/>
            <w:vAlign w:val="center"/>
          </w:tcPr>
          <w:p w14:paraId="2441FBDA">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7E6C0FE7">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425" w:type="pct"/>
            <w:noWrap w:val="0"/>
            <w:vAlign w:val="center"/>
          </w:tcPr>
          <w:p w14:paraId="140A3694">
            <w:pPr>
              <w:keepNext w:val="0"/>
              <w:keepLines w:val="0"/>
              <w:suppressLineNumbers w:val="0"/>
              <w:spacing w:before="0" w:beforeAutospacing="0" w:after="0" w:afterAutospacing="0"/>
              <w:ind w:left="0" w:right="0"/>
              <w:rPr>
                <w:rFonts w:hint="eastAsia" w:ascii="宋体" w:hAnsi="宋体" w:cs="宋体"/>
                <w:color w:val="auto"/>
                <w:highlight w:val="none"/>
              </w:rPr>
            </w:pPr>
          </w:p>
        </w:tc>
        <w:tc>
          <w:tcPr>
            <w:tcW w:w="505" w:type="pct"/>
            <w:noWrap w:val="0"/>
            <w:vAlign w:val="center"/>
          </w:tcPr>
          <w:p w14:paraId="6BE131A4">
            <w:pPr>
              <w:keepNext w:val="0"/>
              <w:keepLines w:val="0"/>
              <w:suppressLineNumbers w:val="0"/>
              <w:spacing w:before="0" w:beforeAutospacing="0" w:after="0" w:afterAutospacing="0"/>
              <w:ind w:left="0" w:right="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w:t>
            </w:r>
          </w:p>
        </w:tc>
        <w:tc>
          <w:tcPr>
            <w:tcW w:w="505" w:type="pct"/>
            <w:noWrap w:val="0"/>
            <w:vAlign w:val="center"/>
          </w:tcPr>
          <w:p w14:paraId="34AEE9CD">
            <w:pPr>
              <w:keepNext w:val="0"/>
              <w:keepLines w:val="0"/>
              <w:suppressLineNumbers w:val="0"/>
              <w:spacing w:before="0" w:beforeAutospacing="0" w:after="0" w:afterAutospacing="0"/>
              <w:ind w:left="0" w:right="0"/>
              <w:rPr>
                <w:rFonts w:hint="eastAsia" w:ascii="宋体" w:hAnsi="宋体" w:cs="宋体"/>
                <w:color w:val="auto"/>
                <w:highlight w:val="none"/>
              </w:rPr>
            </w:pPr>
            <w:r>
              <w:rPr>
                <w:rFonts w:hint="eastAsia" w:ascii="宋体" w:hAnsi="宋体" w:cs="宋体"/>
                <w:color w:val="auto"/>
                <w:highlight w:val="none"/>
              </w:rPr>
              <w:t>/</w:t>
            </w:r>
          </w:p>
        </w:tc>
        <w:tc>
          <w:tcPr>
            <w:tcW w:w="482" w:type="pct"/>
            <w:noWrap w:val="0"/>
            <w:vAlign w:val="center"/>
          </w:tcPr>
          <w:p w14:paraId="30042452">
            <w:pPr>
              <w:keepNext w:val="0"/>
              <w:keepLines w:val="0"/>
              <w:suppressLineNumbers w:val="0"/>
              <w:spacing w:before="0" w:beforeAutospacing="0" w:after="0" w:afterAutospacing="0"/>
              <w:ind w:left="0" w:right="0"/>
              <w:rPr>
                <w:rFonts w:hint="eastAsia" w:ascii="宋体" w:hAnsi="宋体" w:cs="宋体"/>
                <w:color w:val="auto"/>
                <w:highlight w:val="none"/>
              </w:rPr>
            </w:pPr>
            <w:r>
              <w:rPr>
                <w:rFonts w:hint="eastAsia" w:ascii="宋体" w:hAnsi="宋体" w:cs="宋体"/>
                <w:color w:val="auto"/>
                <w:highlight w:val="none"/>
              </w:rPr>
              <w:t>/</w:t>
            </w:r>
          </w:p>
        </w:tc>
        <w:tc>
          <w:tcPr>
            <w:tcW w:w="311" w:type="pct"/>
            <w:noWrap w:val="0"/>
            <w:vAlign w:val="center"/>
          </w:tcPr>
          <w:p w14:paraId="4F767F8A">
            <w:pPr>
              <w:keepNext w:val="0"/>
              <w:keepLines w:val="0"/>
              <w:suppressLineNumbers w:val="0"/>
              <w:spacing w:before="0" w:beforeAutospacing="0" w:after="0" w:afterAutospacing="0"/>
              <w:ind w:left="0" w:right="0"/>
              <w:rPr>
                <w:rFonts w:hint="eastAsia" w:ascii="宋体" w:hAnsi="宋体" w:cs="宋体"/>
                <w:color w:val="auto"/>
                <w:highlight w:val="none"/>
              </w:rPr>
            </w:pPr>
            <w:r>
              <w:rPr>
                <w:rFonts w:hint="eastAsia" w:ascii="宋体" w:hAnsi="宋体" w:cs="宋体"/>
                <w:color w:val="auto"/>
                <w:highlight w:val="none"/>
              </w:rPr>
              <w:t>/</w:t>
            </w:r>
          </w:p>
        </w:tc>
      </w:tr>
    </w:tbl>
    <w:p w14:paraId="31E54796">
      <w:pPr>
        <w:rPr>
          <w:rFonts w:hint="eastAsia" w:ascii="宋体" w:hAnsi="宋体" w:cs="宋体"/>
          <w:color w:val="auto"/>
          <w:highlight w:val="none"/>
          <w:lang w:bidi="en-US"/>
        </w:rPr>
      </w:pPr>
    </w:p>
    <w:p w14:paraId="2161D566">
      <w:pPr>
        <w:rPr>
          <w:rFonts w:hint="eastAsia" w:ascii="宋体" w:hAnsi="宋体" w:cs="宋体"/>
          <w:color w:val="auto"/>
          <w:highlight w:val="none"/>
          <w:lang w:bidi="en-US"/>
        </w:rPr>
      </w:pPr>
    </w:p>
    <w:p w14:paraId="3E7CB918">
      <w:pPr>
        <w:rPr>
          <w:rFonts w:hint="eastAsia" w:ascii="宋体" w:hAnsi="宋体" w:cs="宋体"/>
          <w:color w:val="auto"/>
          <w:highlight w:val="none"/>
          <w:lang w:bidi="en-US"/>
        </w:rPr>
      </w:pPr>
    </w:p>
    <w:p w14:paraId="10E03071">
      <w:pPr>
        <w:spacing w:line="360" w:lineRule="auto"/>
        <w:rPr>
          <w:rFonts w:hint="eastAsia" w:ascii="宋体" w:hAnsi="宋体" w:cs="宋体"/>
          <w:color w:val="auto"/>
          <w:highlight w:val="none"/>
          <w:lang w:val="en-US" w:eastAsia="zh-CN" w:bidi="en-US"/>
        </w:rPr>
      </w:pPr>
      <w:r>
        <w:rPr>
          <w:rFonts w:hint="eastAsia" w:ascii="宋体" w:hAnsi="宋体" w:cs="宋体"/>
          <w:color w:val="auto"/>
          <w:highlight w:val="none"/>
          <w:lang w:val="en-US" w:eastAsia="zh-CN" w:bidi="en-US"/>
        </w:rPr>
        <w:t>注：</w:t>
      </w:r>
    </w:p>
    <w:p w14:paraId="69D7049F">
      <w:pPr>
        <w:numPr>
          <w:ilvl w:val="0"/>
          <w:numId w:val="14"/>
        </w:numPr>
        <w:spacing w:line="360" w:lineRule="auto"/>
        <w:rPr>
          <w:rFonts w:hint="default" w:ascii="宋体" w:hAnsi="宋体" w:cs="宋体"/>
          <w:color w:val="auto"/>
          <w:highlight w:val="none"/>
          <w:lang w:val="en-US" w:eastAsia="zh-CN" w:bidi="en-US"/>
        </w:rPr>
      </w:pPr>
      <w:r>
        <w:rPr>
          <w:rFonts w:hint="eastAsia" w:ascii="宋体" w:hAnsi="宋体" w:cs="宋体"/>
          <w:color w:val="auto"/>
          <w:highlight w:val="none"/>
          <w:lang w:val="en-US" w:eastAsia="zh-CN" w:bidi="en-US"/>
        </w:rPr>
        <w:t>所提供业绩须按年度（2025年1月1日之前与2025年1月1日之后）分类排序；</w:t>
      </w:r>
    </w:p>
    <w:p w14:paraId="22BC89FA">
      <w:pPr>
        <w:numPr>
          <w:ilvl w:val="0"/>
          <w:numId w:val="0"/>
        </w:numPr>
        <w:spacing w:line="360" w:lineRule="auto"/>
        <w:rPr>
          <w:rFonts w:hint="default" w:ascii="宋体" w:hAnsi="宋体" w:cs="宋体"/>
          <w:color w:val="auto"/>
          <w:highlight w:val="none"/>
          <w:lang w:val="en-US" w:eastAsia="zh-CN" w:bidi="en-US"/>
        </w:rPr>
        <w:sectPr>
          <w:footnotePr>
            <w:numFmt w:val="decimalEnclosedCircleChinese"/>
            <w:numRestart w:val="eachPage"/>
          </w:footnotePr>
          <w:pgSz w:w="11906" w:h="16838"/>
          <w:pgMar w:top="1134" w:right="1134" w:bottom="1134" w:left="1134" w:header="851" w:footer="851" w:gutter="0"/>
          <w:cols w:space="720" w:num="1"/>
          <w:docGrid w:linePitch="312" w:charSpace="0"/>
        </w:sectPr>
      </w:pPr>
      <w:r>
        <w:rPr>
          <w:rFonts w:hint="eastAsia" w:ascii="宋体" w:hAnsi="宋体" w:cs="宋体"/>
          <w:color w:val="auto"/>
          <w:highlight w:val="none"/>
          <w:lang w:val="en-US" w:eastAsia="zh-CN" w:bidi="en-US"/>
        </w:rPr>
        <w:t>2、所提供业绩须在上表中体现2025年1月1日之前与2025年1月1日之后供货设备平均单价。</w:t>
      </w:r>
    </w:p>
    <w:p w14:paraId="1B13A606">
      <w:pPr>
        <w:pStyle w:val="4"/>
        <w:tabs>
          <w:tab w:val="left" w:pos="1260"/>
        </w:tabs>
        <w:jc w:val="center"/>
        <w:rPr>
          <w:rFonts w:cs="宋体"/>
          <w:color w:val="auto"/>
          <w:sz w:val="24"/>
          <w:highlight w:val="none"/>
          <w:lang w:eastAsia="zh-CN"/>
        </w:rPr>
      </w:pPr>
      <w:r>
        <w:rPr>
          <w:rFonts w:hint="eastAsia" w:cs="宋体"/>
          <w:color w:val="auto"/>
          <w:sz w:val="24"/>
          <w:highlight w:val="none"/>
          <w:lang w:eastAsia="zh-CN"/>
        </w:rPr>
        <w:t>（五）其他材料</w:t>
      </w:r>
    </w:p>
    <w:p w14:paraId="4C5F5491">
      <w:pPr>
        <w:widowControl/>
        <w:jc w:val="left"/>
        <w:rPr>
          <w:rFonts w:hint="eastAsia" w:ascii="宋体" w:hAnsi="宋体" w:cs="宋体"/>
          <w:color w:val="auto"/>
          <w:highlight w:val="none"/>
        </w:rPr>
      </w:pPr>
    </w:p>
    <w:p w14:paraId="68DCF104">
      <w:pPr>
        <w:widowControl/>
        <w:jc w:val="left"/>
        <w:rPr>
          <w:rFonts w:hint="eastAsia" w:ascii="宋体" w:hAnsi="宋体" w:cs="宋体"/>
          <w:color w:val="auto"/>
          <w:highlight w:val="none"/>
        </w:rPr>
      </w:pPr>
    </w:p>
    <w:p w14:paraId="2D9C7F1F">
      <w:pPr>
        <w:widowControl/>
        <w:jc w:val="left"/>
        <w:rPr>
          <w:rFonts w:hint="eastAsia" w:ascii="宋体" w:hAnsi="宋体" w:cs="宋体"/>
          <w:color w:val="auto"/>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3821CDC0">
      <w:pPr>
        <w:spacing w:line="360" w:lineRule="auto"/>
        <w:jc w:val="center"/>
        <w:outlineLvl w:val="1"/>
        <w:rPr>
          <w:rFonts w:hint="eastAsia" w:ascii="宋体" w:hAnsi="宋体"/>
          <w:b/>
          <w:color w:val="auto"/>
          <w:sz w:val="24"/>
          <w:highlight w:val="none"/>
        </w:rPr>
      </w:pPr>
      <w:bookmarkStart w:id="897" w:name="_Hlk11531103"/>
      <w:r>
        <w:rPr>
          <w:rStyle w:val="107"/>
          <w:rFonts w:hint="eastAsia" w:ascii="宋体" w:hAnsi="宋体" w:eastAsia="宋体" w:cs="宋体"/>
          <w:color w:val="auto"/>
          <w:sz w:val="30"/>
          <w:szCs w:val="30"/>
          <w:highlight w:val="none"/>
          <w:lang w:val="en-US"/>
        </w:rPr>
        <w:t>九</w:t>
      </w:r>
      <w:r>
        <w:rPr>
          <w:rStyle w:val="107"/>
          <w:rFonts w:hint="eastAsia" w:ascii="宋体" w:hAnsi="宋体" w:eastAsia="宋体" w:cs="宋体"/>
          <w:color w:val="auto"/>
          <w:sz w:val="30"/>
          <w:szCs w:val="30"/>
          <w:highlight w:val="none"/>
        </w:rPr>
        <w:t>、主要标的承诺函</w:t>
      </w:r>
    </w:p>
    <w:p w14:paraId="1E540E2A">
      <w:pPr>
        <w:jc w:val="center"/>
        <w:rPr>
          <w:rFonts w:hint="eastAsia"/>
          <w:color w:val="auto"/>
          <w:highlight w:val="none"/>
        </w:rPr>
      </w:pPr>
      <w:r>
        <w:rPr>
          <w:rFonts w:hint="eastAsia" w:ascii="宋体" w:hAnsi="宋体"/>
          <w:b/>
          <w:color w:val="auto"/>
          <w:sz w:val="24"/>
          <w:highlight w:val="none"/>
        </w:rPr>
        <w:t>（列出招标文件标明</w:t>
      </w:r>
      <w:r>
        <w:rPr>
          <w:rFonts w:hint="eastAsia" w:ascii="仿宋" w:hAnsi="仿宋" w:eastAsia="仿宋" w:cs="仿宋"/>
          <w:color w:val="auto"/>
          <w:sz w:val="24"/>
          <w:highlight w:val="none"/>
        </w:rPr>
        <w:t>▲</w:t>
      </w:r>
      <w:r>
        <w:rPr>
          <w:rFonts w:hint="eastAsia" w:ascii="宋体" w:hAnsi="宋体"/>
          <w:b/>
          <w:color w:val="auto"/>
          <w:sz w:val="24"/>
          <w:highlight w:val="none"/>
        </w:rPr>
        <w:t>货物的信息）</w:t>
      </w:r>
    </w:p>
    <w:p w14:paraId="16A0996D">
      <w:pPr>
        <w:widowControl/>
        <w:tabs>
          <w:tab w:val="left" w:leader="underscore" w:pos="2880"/>
        </w:tabs>
        <w:spacing w:line="360" w:lineRule="auto"/>
        <w:rPr>
          <w:rFonts w:hint="eastAsia" w:ascii="宋体" w:hAnsi="宋体" w:cs="宋体"/>
          <w:b/>
          <w:color w:val="auto"/>
          <w:szCs w:val="21"/>
          <w:highlight w:val="none"/>
        </w:rPr>
      </w:pPr>
      <w:r>
        <w:rPr>
          <w:rFonts w:hint="eastAsia" w:ascii="宋体" w:hAnsi="宋体" w:cs="宋体"/>
          <w:color w:val="auto"/>
          <w:szCs w:val="21"/>
          <w:highlight w:val="none"/>
        </w:rPr>
        <w:t>致：安徽省卫生健康委员会（采购人名称)</w:t>
      </w:r>
    </w:p>
    <w:p w14:paraId="5954096E">
      <w:pPr>
        <w:widowControl/>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u w:val="single"/>
        </w:rPr>
        <w:t xml:space="preserve">  安徽省招标集团股份有限公司  </w:t>
      </w:r>
      <w:r>
        <w:rPr>
          <w:rFonts w:hint="eastAsia" w:ascii="宋体" w:hAnsi="宋体" w:cs="宋体"/>
          <w:color w:val="auto"/>
          <w:szCs w:val="21"/>
          <w:highlight w:val="none"/>
        </w:rPr>
        <w:t>（采购代理名称)</w:t>
      </w:r>
    </w:p>
    <w:p w14:paraId="2C080717">
      <w:pPr>
        <w:spacing w:line="360" w:lineRule="auto"/>
        <w:ind w:firstLine="435"/>
        <w:rPr>
          <w:rFonts w:ascii="宋体" w:hAnsi="宋体"/>
          <w:color w:val="auto"/>
          <w:szCs w:val="21"/>
          <w:highlight w:val="none"/>
        </w:rPr>
      </w:pPr>
      <w:r>
        <w:rPr>
          <w:rFonts w:hint="eastAsia" w:ascii="宋体" w:hAnsi="宋体"/>
          <w:color w:val="auto"/>
          <w:szCs w:val="21"/>
          <w:highlight w:val="none"/>
        </w:rPr>
        <w:t>我单位同意中标结果公告中公告以下主要标的信息并承诺：投标文件中所提供的主要标的信息均真实有效。若被发现存在任何虚假、隐瞒情况，我单位承担由此产生的一切后果。</w:t>
      </w:r>
    </w:p>
    <w:tbl>
      <w:tblPr>
        <w:tblStyle w:val="4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583"/>
        <w:gridCol w:w="1062"/>
        <w:gridCol w:w="1646"/>
        <w:gridCol w:w="1890"/>
        <w:gridCol w:w="1809"/>
        <w:gridCol w:w="1003"/>
      </w:tblGrid>
      <w:tr w14:paraId="10CB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37" w:type="pct"/>
            <w:noWrap w:val="0"/>
            <w:vAlign w:val="center"/>
          </w:tcPr>
          <w:p w14:paraId="0584EF02">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序号</w:t>
            </w:r>
          </w:p>
        </w:tc>
        <w:tc>
          <w:tcPr>
            <w:tcW w:w="803" w:type="pct"/>
            <w:noWrap w:val="0"/>
            <w:vAlign w:val="center"/>
          </w:tcPr>
          <w:p w14:paraId="0F77F9BD">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名称</w:t>
            </w:r>
          </w:p>
        </w:tc>
        <w:tc>
          <w:tcPr>
            <w:tcW w:w="539" w:type="pct"/>
            <w:noWrap w:val="0"/>
            <w:vAlign w:val="center"/>
          </w:tcPr>
          <w:p w14:paraId="7EA71955">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品牌</w:t>
            </w:r>
          </w:p>
        </w:tc>
        <w:tc>
          <w:tcPr>
            <w:tcW w:w="835" w:type="pct"/>
            <w:noWrap w:val="0"/>
            <w:vAlign w:val="center"/>
          </w:tcPr>
          <w:p w14:paraId="5566FF98">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规格型号</w:t>
            </w:r>
          </w:p>
        </w:tc>
        <w:tc>
          <w:tcPr>
            <w:tcW w:w="959" w:type="pct"/>
            <w:noWrap w:val="0"/>
            <w:vAlign w:val="center"/>
          </w:tcPr>
          <w:p w14:paraId="3AFDD921">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数量</w:t>
            </w:r>
          </w:p>
        </w:tc>
        <w:tc>
          <w:tcPr>
            <w:tcW w:w="918" w:type="pct"/>
            <w:noWrap w:val="0"/>
            <w:vAlign w:val="center"/>
          </w:tcPr>
          <w:p w14:paraId="27BF479E">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单价</w:t>
            </w:r>
          </w:p>
        </w:tc>
        <w:tc>
          <w:tcPr>
            <w:tcW w:w="509" w:type="pct"/>
            <w:noWrap w:val="0"/>
            <w:vAlign w:val="center"/>
          </w:tcPr>
          <w:p w14:paraId="36727AE6">
            <w:pPr>
              <w:keepNext w:val="0"/>
              <w:keepLines w:val="0"/>
              <w:widowControl/>
              <w:suppressLineNumbers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备注</w:t>
            </w:r>
          </w:p>
        </w:tc>
      </w:tr>
      <w:tr w14:paraId="743E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66EFC893">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1</w:t>
            </w:r>
          </w:p>
        </w:tc>
        <w:tc>
          <w:tcPr>
            <w:tcW w:w="803" w:type="pct"/>
            <w:noWrap w:val="0"/>
            <w:vAlign w:val="center"/>
          </w:tcPr>
          <w:p w14:paraId="643999D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182D912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7347085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097EC3A1">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5061EE8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6D2054B8">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184F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47EC2056">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2</w:t>
            </w:r>
          </w:p>
        </w:tc>
        <w:tc>
          <w:tcPr>
            <w:tcW w:w="803" w:type="pct"/>
            <w:noWrap w:val="0"/>
            <w:vAlign w:val="center"/>
          </w:tcPr>
          <w:p w14:paraId="37FA6C83">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443D467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77603554">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73FCD971">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1F9CEDA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3740316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0E7C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1FB769C2">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3</w:t>
            </w:r>
          </w:p>
        </w:tc>
        <w:tc>
          <w:tcPr>
            <w:tcW w:w="803" w:type="pct"/>
            <w:noWrap w:val="0"/>
            <w:vAlign w:val="center"/>
          </w:tcPr>
          <w:p w14:paraId="1925E2C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11F226BA">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4E3B9471">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7FC0094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6BEC657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781CD0A8">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42A0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03D87784">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4</w:t>
            </w:r>
          </w:p>
        </w:tc>
        <w:tc>
          <w:tcPr>
            <w:tcW w:w="803" w:type="pct"/>
            <w:noWrap w:val="0"/>
            <w:vAlign w:val="center"/>
          </w:tcPr>
          <w:p w14:paraId="6F7755EC">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056E923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39CAB39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47B4DD1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11C52B3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5F4A9E58">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4D9D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5FF52D51">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5</w:t>
            </w:r>
          </w:p>
        </w:tc>
        <w:tc>
          <w:tcPr>
            <w:tcW w:w="803" w:type="pct"/>
            <w:noWrap w:val="0"/>
            <w:vAlign w:val="center"/>
          </w:tcPr>
          <w:p w14:paraId="2D1A2597">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2E6EE01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41611DEC">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013C1C10">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60D0A1A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79AD845F">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r w14:paraId="3285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2A65D79E">
            <w:pPr>
              <w:keepNext w:val="0"/>
              <w:keepLines w:val="0"/>
              <w:suppressLineNumbers w:val="0"/>
              <w:spacing w:before="0" w:beforeAutospacing="0" w:after="0" w:afterAutospacing="0" w:line="360" w:lineRule="auto"/>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w:t>
            </w:r>
          </w:p>
        </w:tc>
        <w:tc>
          <w:tcPr>
            <w:tcW w:w="803" w:type="pct"/>
            <w:noWrap w:val="0"/>
            <w:vAlign w:val="center"/>
          </w:tcPr>
          <w:p w14:paraId="2EED0F5B">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39" w:type="pct"/>
            <w:noWrap w:val="0"/>
            <w:vAlign w:val="center"/>
          </w:tcPr>
          <w:p w14:paraId="693602BE">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835" w:type="pct"/>
            <w:noWrap w:val="0"/>
            <w:vAlign w:val="center"/>
          </w:tcPr>
          <w:p w14:paraId="08749D56">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59" w:type="pct"/>
            <w:noWrap w:val="0"/>
            <w:vAlign w:val="center"/>
          </w:tcPr>
          <w:p w14:paraId="522CFD9A">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918" w:type="pct"/>
            <w:noWrap w:val="0"/>
            <w:vAlign w:val="center"/>
          </w:tcPr>
          <w:p w14:paraId="308065FD">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c>
          <w:tcPr>
            <w:tcW w:w="509" w:type="pct"/>
            <w:noWrap w:val="0"/>
            <w:vAlign w:val="center"/>
          </w:tcPr>
          <w:p w14:paraId="5ABA99D0">
            <w:pPr>
              <w:keepNext w:val="0"/>
              <w:keepLines w:val="0"/>
              <w:suppressLineNumbers w:val="0"/>
              <w:spacing w:before="0" w:beforeAutospacing="0" w:after="0" w:afterAutospacing="0" w:line="360" w:lineRule="auto"/>
              <w:ind w:left="0" w:right="0"/>
              <w:rPr>
                <w:rFonts w:hint="default" w:ascii="宋体" w:hAnsi="宋体" w:cs="Times New Roman"/>
                <w:color w:val="auto"/>
                <w:szCs w:val="21"/>
                <w:highlight w:val="none"/>
              </w:rPr>
            </w:pPr>
          </w:p>
        </w:tc>
      </w:tr>
    </w:tbl>
    <w:p w14:paraId="3898277B">
      <w:pPr>
        <w:adjustRightInd w:val="0"/>
        <w:snapToGrid w:val="0"/>
        <w:spacing w:line="360" w:lineRule="auto"/>
        <w:rPr>
          <w:rFonts w:ascii="宋体" w:hAnsi="宋体"/>
          <w:b/>
          <w:bCs/>
          <w:color w:val="auto"/>
          <w:szCs w:val="21"/>
          <w:highlight w:val="none"/>
        </w:rPr>
      </w:pPr>
    </w:p>
    <w:p w14:paraId="4491A387">
      <w:pPr>
        <w:adjustRightInd w:val="0"/>
        <w:snapToGrid w:val="0"/>
        <w:spacing w:line="360" w:lineRule="auto"/>
        <w:rPr>
          <w:rFonts w:ascii="宋体" w:hAnsi="宋体"/>
          <w:b/>
          <w:bCs/>
          <w:color w:val="auto"/>
          <w:szCs w:val="21"/>
          <w:highlight w:val="none"/>
        </w:rPr>
      </w:pPr>
      <w:r>
        <w:rPr>
          <w:rFonts w:hint="eastAsia" w:ascii="宋体" w:hAnsi="宋体"/>
          <w:b/>
          <w:bCs/>
          <w:color w:val="auto"/>
          <w:szCs w:val="21"/>
          <w:highlight w:val="none"/>
        </w:rPr>
        <w:t>备注：</w:t>
      </w:r>
    </w:p>
    <w:p w14:paraId="10CEE9BA">
      <w:pPr>
        <w:spacing w:line="360" w:lineRule="auto"/>
        <w:ind w:firstLine="435"/>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color w:val="auto"/>
          <w:szCs w:val="21"/>
          <w:highlight w:val="none"/>
        </w:rPr>
        <w:t>表中所列内容为满足本项目要求的</w:t>
      </w:r>
      <w:r>
        <w:rPr>
          <w:rFonts w:hint="eastAsia" w:ascii="宋体" w:hAnsi="宋体"/>
          <w:bCs/>
          <w:color w:val="auto"/>
          <w:szCs w:val="21"/>
          <w:highlight w:val="none"/>
        </w:rPr>
        <w:t>主要标的信息；</w:t>
      </w:r>
    </w:p>
    <w:p w14:paraId="35D83A1A">
      <w:pPr>
        <w:spacing w:line="360" w:lineRule="auto"/>
        <w:ind w:firstLine="435"/>
        <w:rPr>
          <w:rFonts w:ascii="宋体" w:hAnsi="宋体"/>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中标人提供的以上承诺情况（含名称、品牌、规格型号、数量、单价），经评标委员会确认后，将按约定随中标结果公告同时公告。</w:t>
      </w:r>
    </w:p>
    <w:bookmarkEnd w:id="897"/>
    <w:p w14:paraId="55114BBE">
      <w:pPr>
        <w:pStyle w:val="3"/>
        <w:widowControl/>
        <w:spacing w:before="120" w:after="120" w:line="240" w:lineRule="auto"/>
        <w:jc w:val="center"/>
        <w:rPr>
          <w:rStyle w:val="107"/>
          <w:rFonts w:hint="eastAsia" w:ascii="宋体" w:hAnsi="宋体" w:eastAsia="宋体" w:cs="宋体"/>
          <w:b/>
          <w:bCs/>
          <w:color w:val="auto"/>
          <w:sz w:val="30"/>
          <w:szCs w:val="30"/>
          <w:highlight w:val="none"/>
        </w:rPr>
      </w:pPr>
      <w:r>
        <w:rPr>
          <w:rStyle w:val="107"/>
          <w:rFonts w:hint="eastAsia" w:ascii="宋体" w:hAnsi="宋体" w:eastAsia="宋体" w:cs="宋体"/>
          <w:b/>
          <w:bCs/>
          <w:color w:val="auto"/>
          <w:sz w:val="30"/>
          <w:szCs w:val="30"/>
          <w:highlight w:val="none"/>
        </w:rPr>
        <w:br w:type="page"/>
      </w:r>
      <w:r>
        <w:rPr>
          <w:rStyle w:val="107"/>
          <w:rFonts w:hint="eastAsia" w:ascii="宋体" w:hAnsi="宋体" w:eastAsia="宋体" w:cs="宋体"/>
          <w:b/>
          <w:bCs/>
          <w:color w:val="auto"/>
          <w:sz w:val="30"/>
          <w:szCs w:val="30"/>
          <w:highlight w:val="none"/>
          <w:lang w:val="en-US"/>
        </w:rPr>
        <w:t>十</w:t>
      </w:r>
      <w:r>
        <w:rPr>
          <w:rStyle w:val="107"/>
          <w:rFonts w:hint="eastAsia" w:ascii="宋体" w:hAnsi="宋体" w:eastAsia="宋体" w:cs="宋体"/>
          <w:b/>
          <w:bCs/>
          <w:color w:val="auto"/>
          <w:sz w:val="30"/>
          <w:szCs w:val="30"/>
          <w:highlight w:val="none"/>
        </w:rPr>
        <w:t>、投标相关信息汇总表</w:t>
      </w:r>
    </w:p>
    <w:p w14:paraId="17D601AA">
      <w:pPr>
        <w:adjustRightInd w:val="0"/>
        <w:snapToGrid w:val="0"/>
        <w:spacing w:line="300" w:lineRule="auto"/>
        <w:rPr>
          <w:rFonts w:ascii="宋体" w:hAnsi="宋体"/>
          <w:b/>
          <w:bCs/>
          <w:color w:val="auto"/>
          <w:szCs w:val="21"/>
          <w:highlight w:val="none"/>
        </w:rPr>
      </w:pPr>
      <w:r>
        <w:rPr>
          <w:rFonts w:hint="eastAsia" w:ascii="宋体" w:hAnsi="宋体"/>
          <w:b/>
          <w:bCs/>
          <w:color w:val="auto"/>
          <w:szCs w:val="21"/>
          <w:highlight w:val="none"/>
        </w:rPr>
        <w:t>填表说明：</w:t>
      </w:r>
    </w:p>
    <w:p w14:paraId="797C9A71">
      <w:pPr>
        <w:numPr>
          <w:ilvl w:val="0"/>
          <w:numId w:val="15"/>
        </w:numPr>
        <w:adjustRightInd w:val="0"/>
        <w:snapToGrid w:val="0"/>
        <w:spacing w:line="300" w:lineRule="auto"/>
        <w:rPr>
          <w:rFonts w:ascii="宋体" w:hAnsi="宋体"/>
          <w:b/>
          <w:bCs/>
          <w:color w:val="auto"/>
          <w:szCs w:val="21"/>
          <w:highlight w:val="none"/>
        </w:rPr>
      </w:pPr>
      <w:r>
        <w:rPr>
          <w:rFonts w:hint="eastAsia" w:ascii="宋体" w:hAnsi="宋体"/>
          <w:color w:val="auto"/>
          <w:szCs w:val="21"/>
          <w:highlight w:val="none"/>
        </w:rPr>
        <w:t>为便于了解投标企业及投标产品的相关信息，请各投标人认真填写下表，</w:t>
      </w:r>
      <w:r>
        <w:rPr>
          <w:rFonts w:hint="eastAsia" w:ascii="宋体" w:hAnsi="宋体"/>
          <w:b/>
          <w:bCs/>
          <w:color w:val="auto"/>
          <w:szCs w:val="21"/>
          <w:highlight w:val="none"/>
        </w:rPr>
        <w:t>不得弄虚作假。</w:t>
      </w:r>
    </w:p>
    <w:p w14:paraId="677C625F">
      <w:pPr>
        <w:numPr>
          <w:ilvl w:val="0"/>
          <w:numId w:val="15"/>
        </w:numPr>
        <w:adjustRightInd w:val="0"/>
        <w:snapToGrid w:val="0"/>
        <w:spacing w:line="300" w:lineRule="auto"/>
        <w:rPr>
          <w:rFonts w:hint="eastAsia" w:ascii="宋体" w:hAnsi="宋体"/>
          <w:color w:val="auto"/>
          <w:szCs w:val="21"/>
          <w:highlight w:val="none"/>
        </w:rPr>
      </w:pPr>
      <w:r>
        <w:rPr>
          <w:rFonts w:hint="eastAsia" w:ascii="宋体" w:hAnsi="宋体"/>
          <w:color w:val="auto"/>
          <w:szCs w:val="21"/>
          <w:highlight w:val="none"/>
        </w:rPr>
        <w:t>本表内容仅供参考，不作为本项目的资格要求或者评审因素。</w:t>
      </w:r>
    </w:p>
    <w:p w14:paraId="1BFC9C3D">
      <w:pPr>
        <w:numPr>
          <w:ilvl w:val="0"/>
          <w:numId w:val="15"/>
        </w:numPr>
        <w:adjustRightInd w:val="0"/>
        <w:snapToGrid w:val="0"/>
        <w:spacing w:line="300" w:lineRule="auto"/>
        <w:rPr>
          <w:rFonts w:ascii="宋体" w:hAnsi="宋体"/>
          <w:color w:val="auto"/>
          <w:szCs w:val="21"/>
          <w:highlight w:val="none"/>
        </w:rPr>
      </w:pPr>
      <w:r>
        <w:rPr>
          <w:rFonts w:hint="eastAsia" w:ascii="宋体" w:hAnsi="宋体"/>
          <w:color w:val="auto"/>
          <w:szCs w:val="21"/>
          <w:highlight w:val="none"/>
        </w:rPr>
        <w:t>在本表后，应附相应证明材料（格式、内容不限）。</w:t>
      </w:r>
    </w:p>
    <w:tbl>
      <w:tblPr>
        <w:tblStyle w:val="48"/>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4677"/>
        <w:gridCol w:w="3779"/>
      </w:tblGrid>
      <w:tr w14:paraId="53ED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noWrap w:val="0"/>
            <w:vAlign w:val="center"/>
          </w:tcPr>
          <w:p w14:paraId="51E553DF">
            <w:pPr>
              <w:keepNext w:val="0"/>
              <w:keepLines w:val="0"/>
              <w:suppressLineNumbers w:val="0"/>
              <w:adjustRightInd w:val="0"/>
              <w:snapToGrid w:val="0"/>
              <w:spacing w:before="0" w:beforeAutospacing="0" w:after="0" w:afterAutospacing="0"/>
              <w:ind w:left="0" w:right="0"/>
              <w:jc w:val="center"/>
              <w:rPr>
                <w:rFonts w:hint="eastAsia" w:ascii="宋体" w:hAnsi="宋体" w:cs="Times New Roman"/>
                <w:b/>
                <w:bCs/>
                <w:color w:val="auto"/>
                <w:szCs w:val="21"/>
                <w:highlight w:val="none"/>
              </w:rPr>
            </w:pPr>
            <w:r>
              <w:rPr>
                <w:rFonts w:hint="eastAsia" w:ascii="宋体" w:hAnsi="宋体" w:cs="Times New Roman"/>
                <w:b/>
                <w:bCs/>
                <w:color w:val="auto"/>
                <w:szCs w:val="21"/>
                <w:highlight w:val="none"/>
              </w:rPr>
              <w:t>相关主体</w:t>
            </w:r>
          </w:p>
        </w:tc>
        <w:tc>
          <w:tcPr>
            <w:tcW w:w="4677" w:type="dxa"/>
            <w:noWrap w:val="0"/>
            <w:vAlign w:val="center"/>
          </w:tcPr>
          <w:p w14:paraId="20827CC2">
            <w:pPr>
              <w:keepNext w:val="0"/>
              <w:keepLines w:val="0"/>
              <w:suppressLineNumbers w:val="0"/>
              <w:adjustRightInd w:val="0"/>
              <w:snapToGrid w:val="0"/>
              <w:spacing w:before="0" w:beforeAutospacing="0" w:after="0" w:afterAutospacing="0"/>
              <w:ind w:left="0" w:right="0"/>
              <w:jc w:val="center"/>
              <w:rPr>
                <w:rFonts w:hint="eastAsia" w:ascii="宋体" w:hAnsi="宋体" w:cs="Times New Roman"/>
                <w:b/>
                <w:bCs/>
                <w:color w:val="auto"/>
                <w:szCs w:val="21"/>
                <w:highlight w:val="none"/>
              </w:rPr>
            </w:pPr>
            <w:r>
              <w:rPr>
                <w:rFonts w:hint="eastAsia" w:ascii="宋体" w:hAnsi="宋体" w:cs="Times New Roman"/>
                <w:b/>
                <w:bCs/>
                <w:color w:val="auto"/>
                <w:szCs w:val="21"/>
                <w:highlight w:val="none"/>
              </w:rPr>
              <w:t>项目</w:t>
            </w:r>
          </w:p>
        </w:tc>
        <w:tc>
          <w:tcPr>
            <w:tcW w:w="3779" w:type="dxa"/>
            <w:noWrap w:val="0"/>
            <w:vAlign w:val="center"/>
          </w:tcPr>
          <w:p w14:paraId="003C5DFE">
            <w:pPr>
              <w:keepNext w:val="0"/>
              <w:keepLines w:val="0"/>
              <w:suppressLineNumbers w:val="0"/>
              <w:adjustRightInd w:val="0"/>
              <w:snapToGrid w:val="0"/>
              <w:spacing w:before="0" w:beforeAutospacing="0" w:after="0" w:afterAutospacing="0"/>
              <w:ind w:left="0" w:right="0"/>
              <w:jc w:val="center"/>
              <w:rPr>
                <w:rFonts w:hint="eastAsia" w:ascii="宋体" w:hAnsi="宋体" w:cs="Times New Roman"/>
                <w:b/>
                <w:bCs/>
                <w:color w:val="auto"/>
                <w:szCs w:val="21"/>
                <w:highlight w:val="none"/>
              </w:rPr>
            </w:pPr>
            <w:r>
              <w:rPr>
                <w:rFonts w:hint="eastAsia" w:ascii="宋体" w:hAnsi="宋体" w:cs="Times New Roman"/>
                <w:b/>
                <w:bCs/>
                <w:color w:val="auto"/>
                <w:szCs w:val="21"/>
                <w:highlight w:val="none"/>
              </w:rPr>
              <w:t>具体信息内容</w:t>
            </w:r>
          </w:p>
        </w:tc>
      </w:tr>
      <w:tr w14:paraId="4C3F1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restart"/>
            <w:noWrap w:val="0"/>
            <w:vAlign w:val="center"/>
          </w:tcPr>
          <w:p w14:paraId="7ABC65FB">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投标人</w:t>
            </w:r>
          </w:p>
          <w:p w14:paraId="3859DADF">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bookmarkStart w:id="898" w:name="OLE_LINK18"/>
            <w:r>
              <w:rPr>
                <w:rFonts w:hint="eastAsia" w:ascii="宋体" w:hAnsi="宋体" w:cs="Times New Roman"/>
                <w:color w:val="auto"/>
                <w:szCs w:val="21"/>
                <w:highlight w:val="none"/>
              </w:rPr>
              <w:t>相关信息</w:t>
            </w:r>
            <w:bookmarkEnd w:id="898"/>
          </w:p>
        </w:tc>
        <w:tc>
          <w:tcPr>
            <w:tcW w:w="4677" w:type="dxa"/>
            <w:noWrap w:val="0"/>
            <w:vAlign w:val="center"/>
          </w:tcPr>
          <w:p w14:paraId="676483AD">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1.1企业名称</w:t>
            </w:r>
          </w:p>
        </w:tc>
        <w:tc>
          <w:tcPr>
            <w:tcW w:w="3779" w:type="dxa"/>
            <w:noWrap w:val="0"/>
            <w:vAlign w:val="center"/>
          </w:tcPr>
          <w:p w14:paraId="57BBEB19">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0CED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69B2481D">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56C8E269">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1.2注册资本（以营业执照为准，万元）</w:t>
            </w:r>
          </w:p>
        </w:tc>
        <w:tc>
          <w:tcPr>
            <w:tcW w:w="3779" w:type="dxa"/>
            <w:noWrap w:val="0"/>
            <w:vAlign w:val="center"/>
          </w:tcPr>
          <w:p w14:paraId="0AFB9E92">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785E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23A1DC2D">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1D1498D9">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1.3是否属于：中小企业、残疾人福利性</w:t>
            </w:r>
          </w:p>
        </w:tc>
        <w:tc>
          <w:tcPr>
            <w:tcW w:w="3779" w:type="dxa"/>
            <w:noWrap w:val="0"/>
            <w:vAlign w:val="center"/>
          </w:tcPr>
          <w:p w14:paraId="4A5EA62F">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2D91E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63E49F7F">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68FBD377">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1.4在职员工数量(人)</w:t>
            </w:r>
          </w:p>
        </w:tc>
        <w:tc>
          <w:tcPr>
            <w:tcW w:w="3779" w:type="dxa"/>
            <w:noWrap w:val="0"/>
            <w:vAlign w:val="center"/>
          </w:tcPr>
          <w:p w14:paraId="325A104F">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67272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796F53F0">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1AF57BF7">
            <w:pPr>
              <w:keepNext w:val="0"/>
              <w:keepLines w:val="0"/>
              <w:suppressLineNumbers w:val="0"/>
              <w:adjustRightInd w:val="0"/>
              <w:snapToGrid w:val="0"/>
              <w:spacing w:before="0" w:beforeAutospacing="0" w:after="0" w:afterAutospacing="0"/>
              <w:ind w:left="0" w:right="0"/>
              <w:rPr>
                <w:rFonts w:hint="eastAsia" w:ascii="宋体" w:hAnsi="宋体" w:cs="Times New Roman"/>
                <w:i/>
                <w:iCs/>
                <w:color w:val="auto"/>
                <w:szCs w:val="21"/>
                <w:highlight w:val="none"/>
              </w:rPr>
            </w:pPr>
            <w:bookmarkStart w:id="899" w:name="OLE_LINK2"/>
            <w:r>
              <w:rPr>
                <w:rFonts w:hint="eastAsia" w:ascii="宋体" w:hAnsi="宋体" w:cs="Times New Roman"/>
                <w:i/>
                <w:iCs/>
                <w:color w:val="auto"/>
                <w:szCs w:val="21"/>
                <w:highlight w:val="none"/>
              </w:rPr>
              <w:t>1.4.1专业技术人员数量</w:t>
            </w:r>
            <w:bookmarkEnd w:id="899"/>
            <w:r>
              <w:rPr>
                <w:rFonts w:hint="eastAsia" w:ascii="宋体" w:hAnsi="宋体" w:cs="Times New Roman"/>
                <w:color w:val="auto"/>
                <w:szCs w:val="21"/>
                <w:highlight w:val="none"/>
              </w:rPr>
              <w:t>(人)</w:t>
            </w:r>
          </w:p>
        </w:tc>
        <w:tc>
          <w:tcPr>
            <w:tcW w:w="3779" w:type="dxa"/>
            <w:noWrap w:val="0"/>
            <w:vAlign w:val="center"/>
          </w:tcPr>
          <w:p w14:paraId="3728065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42959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73817490">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026681B4">
            <w:pPr>
              <w:keepNext w:val="0"/>
              <w:keepLines w:val="0"/>
              <w:suppressLineNumbers w:val="0"/>
              <w:adjustRightInd w:val="0"/>
              <w:snapToGrid w:val="0"/>
              <w:spacing w:before="0" w:beforeAutospacing="0" w:after="0" w:afterAutospacing="0"/>
              <w:ind w:left="0" w:right="0"/>
              <w:rPr>
                <w:rFonts w:hint="eastAsia" w:ascii="宋体" w:hAnsi="宋体" w:cs="Times New Roman"/>
                <w:i/>
                <w:iCs/>
                <w:color w:val="auto"/>
                <w:szCs w:val="21"/>
                <w:highlight w:val="none"/>
              </w:rPr>
            </w:pPr>
            <w:r>
              <w:rPr>
                <w:rFonts w:hint="eastAsia" w:ascii="宋体" w:hAnsi="宋体" w:cs="Times New Roman"/>
                <w:i/>
                <w:iCs/>
                <w:color w:val="auto"/>
                <w:szCs w:val="21"/>
                <w:highlight w:val="none"/>
              </w:rPr>
              <w:t>1.4.2销售团队人员数量</w:t>
            </w:r>
            <w:r>
              <w:rPr>
                <w:rFonts w:hint="eastAsia" w:ascii="宋体" w:hAnsi="宋体" w:cs="Times New Roman"/>
                <w:color w:val="auto"/>
                <w:szCs w:val="21"/>
                <w:highlight w:val="none"/>
              </w:rPr>
              <w:t>(人)</w:t>
            </w:r>
          </w:p>
        </w:tc>
        <w:tc>
          <w:tcPr>
            <w:tcW w:w="3779" w:type="dxa"/>
            <w:noWrap w:val="0"/>
            <w:vAlign w:val="center"/>
          </w:tcPr>
          <w:p w14:paraId="7E858C64">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3119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6BE46E38">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6DEF0308">
            <w:pPr>
              <w:keepNext w:val="0"/>
              <w:keepLines w:val="0"/>
              <w:suppressLineNumbers w:val="0"/>
              <w:adjustRightInd w:val="0"/>
              <w:snapToGrid w:val="0"/>
              <w:spacing w:before="0" w:beforeAutospacing="0" w:after="0" w:afterAutospacing="0"/>
              <w:ind w:left="0" w:right="0"/>
              <w:rPr>
                <w:rFonts w:hint="eastAsia" w:ascii="宋体" w:hAnsi="宋体" w:cs="Times New Roman"/>
                <w:i/>
                <w:iCs/>
                <w:color w:val="auto"/>
                <w:szCs w:val="21"/>
                <w:highlight w:val="none"/>
              </w:rPr>
            </w:pPr>
            <w:r>
              <w:rPr>
                <w:rFonts w:hint="eastAsia" w:ascii="宋体" w:hAnsi="宋体" w:cs="Times New Roman"/>
                <w:i/>
                <w:iCs/>
                <w:color w:val="auto"/>
                <w:szCs w:val="21"/>
                <w:highlight w:val="none"/>
              </w:rPr>
              <w:t>1.4.3售后、维修人员数量</w:t>
            </w:r>
            <w:r>
              <w:rPr>
                <w:rFonts w:hint="eastAsia" w:ascii="宋体" w:hAnsi="宋体" w:cs="Times New Roman"/>
                <w:color w:val="auto"/>
                <w:szCs w:val="21"/>
                <w:highlight w:val="none"/>
              </w:rPr>
              <w:t>(人)</w:t>
            </w:r>
          </w:p>
        </w:tc>
        <w:tc>
          <w:tcPr>
            <w:tcW w:w="3779" w:type="dxa"/>
            <w:noWrap w:val="0"/>
            <w:vAlign w:val="center"/>
          </w:tcPr>
          <w:p w14:paraId="18E5028D">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4054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2B15E453">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08520C5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1.5上年度</w:t>
            </w:r>
            <w:r>
              <w:rPr>
                <w:rFonts w:hint="default" w:ascii="宋体" w:hAnsi="宋体" w:cs="Times New Roman"/>
                <w:color w:val="auto"/>
                <w:szCs w:val="21"/>
                <w:highlight w:val="none"/>
              </w:rPr>
              <w:t>研发投入</w:t>
            </w:r>
            <w:r>
              <w:rPr>
                <w:rFonts w:hint="eastAsia" w:ascii="宋体" w:hAnsi="宋体" w:cs="Times New Roman"/>
                <w:color w:val="auto"/>
                <w:szCs w:val="21"/>
                <w:highlight w:val="none"/>
              </w:rPr>
              <w:t>（万元）</w:t>
            </w:r>
          </w:p>
        </w:tc>
        <w:tc>
          <w:tcPr>
            <w:tcW w:w="3779" w:type="dxa"/>
            <w:noWrap w:val="0"/>
            <w:vAlign w:val="center"/>
          </w:tcPr>
          <w:p w14:paraId="6BAE66D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25E4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7A6F5226">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1F3EE8C2">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1.6主要生产产品类别</w:t>
            </w:r>
          </w:p>
        </w:tc>
        <w:tc>
          <w:tcPr>
            <w:tcW w:w="3779" w:type="dxa"/>
            <w:noWrap w:val="0"/>
            <w:vAlign w:val="center"/>
          </w:tcPr>
          <w:p w14:paraId="522088C6">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05746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6EF791D1">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54BE0623">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1.7拥有</w:t>
            </w:r>
            <w:r>
              <w:rPr>
                <w:rFonts w:hint="eastAsia" w:ascii="宋体" w:hAnsi="宋体" w:cs="Times New Roman"/>
                <w:b/>
                <w:bCs/>
                <w:color w:val="auto"/>
                <w:szCs w:val="21"/>
                <w:highlight w:val="none"/>
              </w:rPr>
              <w:t>发明</w:t>
            </w:r>
            <w:r>
              <w:rPr>
                <w:rFonts w:hint="default" w:ascii="宋体" w:hAnsi="宋体" w:cs="Times New Roman"/>
                <w:b/>
                <w:bCs/>
                <w:color w:val="auto"/>
                <w:szCs w:val="21"/>
                <w:highlight w:val="none"/>
              </w:rPr>
              <w:t>专利</w:t>
            </w:r>
            <w:r>
              <w:rPr>
                <w:rFonts w:hint="default" w:ascii="宋体" w:hAnsi="宋体" w:cs="Times New Roman"/>
                <w:color w:val="auto"/>
                <w:szCs w:val="21"/>
                <w:highlight w:val="none"/>
              </w:rPr>
              <w:t>数量</w:t>
            </w:r>
            <w:r>
              <w:rPr>
                <w:rFonts w:hint="eastAsia" w:ascii="宋体" w:hAnsi="宋体" w:cs="Times New Roman"/>
                <w:color w:val="auto"/>
                <w:szCs w:val="21"/>
                <w:highlight w:val="none"/>
              </w:rPr>
              <w:t>(件)</w:t>
            </w:r>
          </w:p>
        </w:tc>
        <w:tc>
          <w:tcPr>
            <w:tcW w:w="3779" w:type="dxa"/>
            <w:noWrap w:val="0"/>
            <w:vAlign w:val="center"/>
          </w:tcPr>
          <w:p w14:paraId="6D988C45">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4C24E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3578E175">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58D15BC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1.8备件库（列明地址）</w:t>
            </w:r>
          </w:p>
        </w:tc>
        <w:tc>
          <w:tcPr>
            <w:tcW w:w="3779" w:type="dxa"/>
            <w:noWrap w:val="0"/>
            <w:vAlign w:val="center"/>
          </w:tcPr>
          <w:p w14:paraId="5CD92BCC">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72A4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1" w:hRule="atLeast"/>
          <w:jc w:val="center"/>
        </w:trPr>
        <w:tc>
          <w:tcPr>
            <w:tcW w:w="1233" w:type="dxa"/>
            <w:vMerge w:val="continue"/>
            <w:noWrap w:val="0"/>
            <w:vAlign w:val="center"/>
          </w:tcPr>
          <w:p w14:paraId="443F60D9">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p>
        </w:tc>
        <w:tc>
          <w:tcPr>
            <w:tcW w:w="4677" w:type="dxa"/>
            <w:noWrap w:val="0"/>
            <w:vAlign w:val="center"/>
          </w:tcPr>
          <w:p w14:paraId="2A4ACAE4">
            <w:pPr>
              <w:keepNext w:val="0"/>
              <w:keepLines w:val="0"/>
              <w:suppressLineNumbers w:val="0"/>
              <w:adjustRightInd w:val="0"/>
              <w:snapToGrid w:val="0"/>
              <w:spacing w:before="0" w:beforeAutospacing="0" w:after="0" w:afterAutospacing="0"/>
              <w:ind w:left="0" w:right="0"/>
              <w:rPr>
                <w:rFonts w:hint="default" w:ascii="宋体" w:hAnsi="宋体" w:cs="Times New Roman"/>
                <w:color w:val="auto"/>
                <w:szCs w:val="21"/>
                <w:highlight w:val="none"/>
              </w:rPr>
            </w:pPr>
            <w:r>
              <w:rPr>
                <w:rFonts w:hint="eastAsia" w:ascii="宋体" w:hAnsi="宋体" w:cs="Times New Roman"/>
                <w:color w:val="auto"/>
                <w:szCs w:val="21"/>
                <w:highlight w:val="none"/>
              </w:rPr>
              <w:t>1.9行业地位</w:t>
            </w:r>
          </w:p>
        </w:tc>
        <w:tc>
          <w:tcPr>
            <w:tcW w:w="3779" w:type="dxa"/>
            <w:noWrap w:val="0"/>
            <w:vAlign w:val="center"/>
          </w:tcPr>
          <w:p w14:paraId="10AB87E9">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4272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restart"/>
            <w:noWrap w:val="0"/>
            <w:vAlign w:val="center"/>
          </w:tcPr>
          <w:p w14:paraId="39AAF046">
            <w:pPr>
              <w:keepNext w:val="0"/>
              <w:keepLines w:val="0"/>
              <w:suppressLineNumbers w:val="0"/>
              <w:adjustRightInd w:val="0"/>
              <w:snapToGrid w:val="0"/>
              <w:spacing w:before="0" w:beforeAutospacing="0" w:after="0" w:afterAutospacing="0"/>
              <w:ind w:left="0" w:right="0"/>
              <w:jc w:val="center"/>
              <w:rPr>
                <w:rFonts w:hint="default" w:ascii="宋体" w:hAnsi="宋体" w:cs="Times New Roman"/>
                <w:color w:val="auto"/>
                <w:szCs w:val="21"/>
                <w:highlight w:val="none"/>
              </w:rPr>
            </w:pPr>
            <w:r>
              <w:rPr>
                <w:rFonts w:hint="eastAsia" w:ascii="宋体" w:hAnsi="宋体" w:cs="Times New Roman"/>
                <w:color w:val="auto"/>
                <w:szCs w:val="21"/>
                <w:highlight w:val="none"/>
              </w:rPr>
              <w:t>投标产品</w:t>
            </w:r>
          </w:p>
          <w:p w14:paraId="336CB648">
            <w:pPr>
              <w:keepNext w:val="0"/>
              <w:keepLines w:val="0"/>
              <w:suppressLineNumbers w:val="0"/>
              <w:adjustRightInd w:val="0"/>
              <w:snapToGrid w:val="0"/>
              <w:spacing w:before="0" w:beforeAutospacing="0" w:after="0" w:afterAutospacing="0"/>
              <w:ind w:left="0" w:right="0"/>
              <w:jc w:val="center"/>
              <w:rPr>
                <w:rFonts w:hint="eastAsia" w:ascii="宋体" w:hAnsi="宋体" w:cs="Times New Roman"/>
                <w:color w:val="auto"/>
                <w:szCs w:val="21"/>
                <w:highlight w:val="none"/>
              </w:rPr>
            </w:pPr>
            <w:r>
              <w:rPr>
                <w:rFonts w:hint="eastAsia" w:ascii="宋体" w:hAnsi="宋体" w:cs="Times New Roman"/>
                <w:color w:val="auto"/>
                <w:szCs w:val="21"/>
                <w:highlight w:val="none"/>
              </w:rPr>
              <w:t>相关信息</w:t>
            </w:r>
          </w:p>
        </w:tc>
        <w:tc>
          <w:tcPr>
            <w:tcW w:w="4677" w:type="dxa"/>
            <w:noWrap w:val="0"/>
            <w:vAlign w:val="center"/>
          </w:tcPr>
          <w:p w14:paraId="489B976B">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2.1所投产品名称、规格型号</w:t>
            </w:r>
          </w:p>
        </w:tc>
        <w:tc>
          <w:tcPr>
            <w:tcW w:w="3779" w:type="dxa"/>
            <w:noWrap w:val="0"/>
            <w:vAlign w:val="center"/>
          </w:tcPr>
          <w:p w14:paraId="42BC5E5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5396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18FB9C52">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2ABB5FC8">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2.2</w:t>
            </w:r>
            <w:r>
              <w:rPr>
                <w:rFonts w:hint="eastAsia" w:ascii="宋体" w:hAnsi="宋体" w:cs="宋体"/>
                <w:color w:val="auto"/>
                <w:kern w:val="0"/>
                <w:szCs w:val="21"/>
                <w:highlight w:val="none"/>
              </w:rPr>
              <w:t>产品技术参数(优于/满足/不满足招标文件)</w:t>
            </w:r>
          </w:p>
        </w:tc>
        <w:tc>
          <w:tcPr>
            <w:tcW w:w="3779" w:type="dxa"/>
            <w:noWrap w:val="0"/>
            <w:vAlign w:val="center"/>
          </w:tcPr>
          <w:p w14:paraId="76FAE3CE">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3B22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572322B4">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52FF4061">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2.3所投产品</w:t>
            </w:r>
            <w:r>
              <w:rPr>
                <w:rFonts w:hint="default" w:ascii="宋体" w:hAnsi="宋体" w:cs="Times New Roman"/>
                <w:color w:val="auto"/>
                <w:szCs w:val="21"/>
                <w:highlight w:val="none"/>
              </w:rPr>
              <w:t>市场份额</w:t>
            </w:r>
          </w:p>
        </w:tc>
        <w:tc>
          <w:tcPr>
            <w:tcW w:w="3779" w:type="dxa"/>
            <w:noWrap w:val="0"/>
            <w:vAlign w:val="center"/>
          </w:tcPr>
          <w:p w14:paraId="0FAA8610">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w:t>
            </w:r>
          </w:p>
        </w:tc>
      </w:tr>
      <w:tr w14:paraId="6F13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11FBA7AB">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7F03107B">
            <w:pPr>
              <w:keepNext w:val="0"/>
              <w:keepLines w:val="0"/>
              <w:suppressLineNumbers w:val="0"/>
              <w:adjustRightInd w:val="0"/>
              <w:snapToGrid w:val="0"/>
              <w:spacing w:before="0" w:beforeAutospacing="0" w:after="0" w:afterAutospacing="0"/>
              <w:ind w:left="0" w:right="0"/>
              <w:rPr>
                <w:rFonts w:hint="eastAsia" w:ascii="宋体" w:hAnsi="宋体" w:cs="Times New Roman"/>
                <w:i/>
                <w:iCs/>
                <w:color w:val="auto"/>
                <w:szCs w:val="21"/>
                <w:highlight w:val="none"/>
              </w:rPr>
            </w:pPr>
            <w:r>
              <w:rPr>
                <w:rFonts w:hint="eastAsia" w:ascii="宋体" w:hAnsi="宋体" w:cs="Times New Roman"/>
                <w:i/>
                <w:iCs/>
                <w:color w:val="auto"/>
                <w:szCs w:val="21"/>
                <w:highlight w:val="none"/>
              </w:rPr>
              <w:t>2.3</w:t>
            </w:r>
            <w:bookmarkStart w:id="900" w:name="OLE_LINK8"/>
            <w:r>
              <w:rPr>
                <w:rFonts w:hint="eastAsia" w:ascii="宋体" w:hAnsi="宋体" w:cs="Times New Roman"/>
                <w:i/>
                <w:iCs/>
                <w:color w:val="auto"/>
                <w:szCs w:val="21"/>
                <w:highlight w:val="none"/>
              </w:rPr>
              <w:t>.1所投产品在全国</w:t>
            </w:r>
            <w:r>
              <w:rPr>
                <w:rFonts w:hint="default" w:ascii="宋体" w:hAnsi="宋体" w:cs="Times New Roman"/>
                <w:i/>
                <w:iCs/>
                <w:color w:val="auto"/>
                <w:szCs w:val="21"/>
                <w:highlight w:val="none"/>
              </w:rPr>
              <w:t>市场份额</w:t>
            </w:r>
            <w:bookmarkEnd w:id="900"/>
          </w:p>
        </w:tc>
        <w:tc>
          <w:tcPr>
            <w:tcW w:w="3779" w:type="dxa"/>
            <w:noWrap w:val="0"/>
            <w:vAlign w:val="center"/>
          </w:tcPr>
          <w:p w14:paraId="5FDAC0B6">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2D60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2FF3F468">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4C5CD7D0">
            <w:pPr>
              <w:keepNext w:val="0"/>
              <w:keepLines w:val="0"/>
              <w:suppressLineNumbers w:val="0"/>
              <w:adjustRightInd w:val="0"/>
              <w:snapToGrid w:val="0"/>
              <w:spacing w:before="0" w:beforeAutospacing="0" w:after="0" w:afterAutospacing="0"/>
              <w:ind w:left="0" w:right="0"/>
              <w:rPr>
                <w:rFonts w:hint="eastAsia" w:ascii="宋体" w:hAnsi="宋体" w:cs="Times New Roman"/>
                <w:i/>
                <w:iCs/>
                <w:color w:val="auto"/>
                <w:szCs w:val="21"/>
                <w:highlight w:val="none"/>
              </w:rPr>
            </w:pPr>
            <w:r>
              <w:rPr>
                <w:rFonts w:hint="eastAsia" w:ascii="宋体" w:hAnsi="宋体" w:cs="Times New Roman"/>
                <w:i/>
                <w:iCs/>
                <w:color w:val="auto"/>
                <w:szCs w:val="21"/>
                <w:highlight w:val="none"/>
              </w:rPr>
              <w:t>2.3.2所投产品在安徽省</w:t>
            </w:r>
            <w:r>
              <w:rPr>
                <w:rFonts w:hint="default" w:ascii="宋体" w:hAnsi="宋体" w:cs="Times New Roman"/>
                <w:i/>
                <w:iCs/>
                <w:color w:val="auto"/>
                <w:szCs w:val="21"/>
                <w:highlight w:val="none"/>
              </w:rPr>
              <w:t>市场份额</w:t>
            </w:r>
          </w:p>
        </w:tc>
        <w:tc>
          <w:tcPr>
            <w:tcW w:w="3779" w:type="dxa"/>
            <w:noWrap w:val="0"/>
            <w:vAlign w:val="center"/>
          </w:tcPr>
          <w:p w14:paraId="5C83AE5C">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45757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7613E1BD">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417DDF49">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2.4所投产品主要使用单位(医院名称，要求在每个医院名称前加序号)</w:t>
            </w:r>
          </w:p>
        </w:tc>
        <w:tc>
          <w:tcPr>
            <w:tcW w:w="3779" w:type="dxa"/>
            <w:noWrap w:val="0"/>
            <w:vAlign w:val="center"/>
          </w:tcPr>
          <w:p w14:paraId="0F8D57C4">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r w14:paraId="50B3D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233" w:type="dxa"/>
            <w:vMerge w:val="continue"/>
            <w:noWrap w:val="0"/>
            <w:vAlign w:val="center"/>
          </w:tcPr>
          <w:p w14:paraId="0B4916BF">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c>
          <w:tcPr>
            <w:tcW w:w="4677" w:type="dxa"/>
            <w:noWrap w:val="0"/>
            <w:vAlign w:val="center"/>
          </w:tcPr>
          <w:p w14:paraId="157411E6">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r>
              <w:rPr>
                <w:rFonts w:hint="eastAsia" w:ascii="宋体" w:hAnsi="宋体" w:cs="Times New Roman"/>
                <w:color w:val="auto"/>
                <w:szCs w:val="21"/>
                <w:highlight w:val="none"/>
              </w:rPr>
              <w:t>2.5所投产品主要优势(简述)</w:t>
            </w:r>
          </w:p>
        </w:tc>
        <w:tc>
          <w:tcPr>
            <w:tcW w:w="3779" w:type="dxa"/>
            <w:noWrap w:val="0"/>
            <w:vAlign w:val="center"/>
          </w:tcPr>
          <w:p w14:paraId="3D1DBE1A">
            <w:pPr>
              <w:keepNext w:val="0"/>
              <w:keepLines w:val="0"/>
              <w:suppressLineNumbers w:val="0"/>
              <w:adjustRightInd w:val="0"/>
              <w:snapToGrid w:val="0"/>
              <w:spacing w:before="0" w:beforeAutospacing="0" w:after="0" w:afterAutospacing="0"/>
              <w:ind w:left="0" w:right="0"/>
              <w:rPr>
                <w:rFonts w:hint="eastAsia" w:ascii="宋体" w:hAnsi="宋体" w:cs="Times New Roman"/>
                <w:color w:val="auto"/>
                <w:szCs w:val="21"/>
                <w:highlight w:val="none"/>
              </w:rPr>
            </w:pPr>
          </w:p>
        </w:tc>
      </w:tr>
    </w:tbl>
    <w:p w14:paraId="35C63D3C">
      <w:pPr>
        <w:rPr>
          <w:color w:val="auto"/>
          <w:highlight w:val="none"/>
        </w:rPr>
      </w:pPr>
    </w:p>
    <w:p w14:paraId="1AD58572">
      <w:pPr>
        <w:pStyle w:val="3"/>
        <w:widowControl/>
        <w:spacing w:before="120" w:after="120" w:line="240" w:lineRule="auto"/>
        <w:jc w:val="center"/>
        <w:rPr>
          <w:rStyle w:val="107"/>
          <w:rFonts w:hint="eastAsia" w:ascii="宋体" w:hAnsi="宋体" w:eastAsia="宋体" w:cs="宋体"/>
          <w:b/>
          <w:bCs/>
          <w:color w:val="auto"/>
          <w:sz w:val="30"/>
          <w:szCs w:val="30"/>
          <w:highlight w:val="none"/>
        </w:rPr>
      </w:pPr>
      <w:r>
        <w:rPr>
          <w:rFonts w:hint="eastAsia" w:ascii="宋体" w:hAnsi="宋体"/>
          <w:b w:val="0"/>
          <w:bCs w:val="0"/>
          <w:color w:val="auto"/>
          <w:sz w:val="21"/>
          <w:szCs w:val="21"/>
          <w:highlight w:val="none"/>
        </w:rPr>
        <w:br w:type="page"/>
      </w:r>
      <w:r>
        <w:rPr>
          <w:rStyle w:val="107"/>
          <w:rFonts w:hint="eastAsia" w:ascii="宋体" w:hAnsi="宋体" w:eastAsia="宋体" w:cs="宋体"/>
          <w:b/>
          <w:bCs/>
          <w:color w:val="auto"/>
          <w:sz w:val="30"/>
          <w:szCs w:val="30"/>
          <w:highlight w:val="none"/>
          <w:lang w:val="en-US"/>
        </w:rPr>
        <w:t>十一</w:t>
      </w:r>
      <w:r>
        <w:rPr>
          <w:rStyle w:val="107"/>
          <w:rFonts w:hint="eastAsia" w:ascii="宋体" w:hAnsi="宋体" w:eastAsia="宋体" w:cs="宋体"/>
          <w:b/>
          <w:bCs/>
          <w:color w:val="auto"/>
          <w:sz w:val="30"/>
          <w:szCs w:val="30"/>
          <w:highlight w:val="none"/>
        </w:rPr>
        <w:t>、投标人认为应该提供的其他资料</w:t>
      </w:r>
    </w:p>
    <w:p w14:paraId="261C9028">
      <w:pPr>
        <w:widowControl/>
        <w:jc w:val="left"/>
        <w:rPr>
          <w:rFonts w:hint="eastAsia" w:ascii="宋体" w:hAnsi="宋体" w:cs="宋体"/>
          <w:color w:val="auto"/>
          <w:szCs w:val="21"/>
          <w:highlight w:val="none"/>
        </w:rPr>
      </w:pPr>
    </w:p>
    <w:sectPr>
      <w:footerReference r:id="rId9" w:type="even"/>
      <w:footnotePr>
        <w:numFmt w:val="decimalEnclosedCircleChinese"/>
        <w:numRestart w:val="eachPage"/>
      </w:footnotePr>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onospace">
    <w:altName w:val="Noto Serif SC"/>
    <w:panose1 w:val="00000000000000000000"/>
    <w:charset w:val="00"/>
    <w:family w:val="auto"/>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华文楷体">
    <w:panose1 w:val="02010600040101010101"/>
    <w:charset w:val="86"/>
    <w:family w:val="auto"/>
    <w:pitch w:val="default"/>
    <w:sig w:usb0="00000287" w:usb1="080F0000" w:usb2="00000000" w:usb3="00000000" w:csb0="0004009F" w:csb1="DFD70000"/>
  </w:font>
  <w:font w:name="方正书宋简体">
    <w:altName w:val="宋体"/>
    <w:panose1 w:val="02000000000000000000"/>
    <w:charset w:val="00"/>
    <w:family w:val="auto"/>
    <w:pitch w:val="default"/>
    <w:sig w:usb0="00000000" w:usb1="00000000"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Mincho">
    <w:altName w:val="MS UI Gothic"/>
    <w:panose1 w:val="02020609040205080304"/>
    <w:charset w:val="00"/>
    <w:family w:val="roman"/>
    <w:pitch w:val="default"/>
    <w:sig w:usb0="00000000" w:usb1="00000000" w:usb2="00000010" w:usb3="00000000" w:csb0="4002009F" w:csb1="DFD70000"/>
  </w:font>
  <w:font w:name="MS UI Gothic">
    <w:panose1 w:val="020B0600070205080204"/>
    <w:charset w:val="80"/>
    <w:family w:val="auto"/>
    <w:pitch w:val="default"/>
    <w:sig w:usb0="E00002FF" w:usb1="6AC7FDFB" w:usb2="08000012" w:usb3="00000000" w:csb0="4002009F" w:csb1="DFD70000"/>
  </w:font>
  <w:font w:name="ˎ̥">
    <w:altName w:val="Noto Serif SC"/>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E1AE9">
    <w:pPr>
      <w:pStyle w:val="31"/>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2E00">
    <w:pPr>
      <w:pStyle w:val="31"/>
      <w:rPr>
        <w:rFonts w:ascii="宋体" w:hAnsi="宋体"/>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A0D34">
    <w:pPr>
      <w:pStyle w:val="31"/>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14</w:t>
    </w:r>
    <w:r>
      <w:rPr>
        <w:rFonts w:ascii="宋体" w:hAnsi="宋体"/>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C92F9">
    <w:pPr>
      <w:pStyle w:val="31"/>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97</w:t>
    </w:r>
    <w:r>
      <w:rPr>
        <w:rFonts w:ascii="宋体" w:hAnsi="宋体"/>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9A963">
    <w:pPr>
      <w:pStyle w:val="31"/>
      <w:framePr w:wrap="around" w:vAnchor="text" w:hAnchor="margin" w:xAlign="center" w:y="1"/>
      <w:rPr>
        <w:rStyle w:val="53"/>
      </w:rPr>
    </w:pPr>
    <w:r>
      <w:fldChar w:fldCharType="begin"/>
    </w:r>
    <w:r>
      <w:rPr>
        <w:rStyle w:val="53"/>
      </w:rPr>
      <w:instrText xml:space="preserve">PAGE  </w:instrText>
    </w:r>
    <w:r>
      <w:fldChar w:fldCharType="separate"/>
    </w:r>
    <w:r>
      <w:fldChar w:fldCharType="end"/>
    </w:r>
  </w:p>
  <w:p w14:paraId="5B493872">
    <w:pPr>
      <w:pStyle w:val="3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13D3A67">
      <w:pPr>
        <w:widowControl/>
        <w:jc w:val="left"/>
        <w:rPr>
          <w:rFonts w:eastAsia="仿宋"/>
        </w:rPr>
      </w:pPr>
      <w:r>
        <w:rPr>
          <w:rStyle w:val="61"/>
          <w:rFonts w:eastAsia="仿宋"/>
        </w:rPr>
        <w:footnoteRef/>
      </w:r>
      <w:r>
        <w:rPr>
          <w:rFonts w:hint="eastAsia" w:ascii="宋体" w:hAnsi="宋体" w:eastAsia="仿宋" w:cs="宋体"/>
          <w:color w:val="000000"/>
          <w:kern w:val="0"/>
          <w:sz w:val="18"/>
          <w:szCs w:val="18"/>
          <w:lang w:bidi="ar"/>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E19E">
    <w:pPr>
      <w:pStyle w:val="32"/>
      <w:jc w:val="left"/>
      <w:rPr>
        <w:sz w:val="21"/>
      </w:rPr>
    </w:pPr>
    <w:r>
      <w:rPr>
        <w:rFonts w:hint="eastAsia"/>
        <w:sz w:val="21"/>
      </w:rPr>
      <w:t xml:space="preserve">        项目名称                                             安徽省招标集团股份有限公司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7C96A"/>
    <w:multiLevelType w:val="singleLevel"/>
    <w:tmpl w:val="9F17C96A"/>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D7CA6A8"/>
    <w:multiLevelType w:val="singleLevel"/>
    <w:tmpl w:val="CD7CA6A8"/>
    <w:lvl w:ilvl="0" w:tentative="0">
      <w:start w:val="1"/>
      <w:numFmt w:val="chineseCounting"/>
      <w:suff w:val="nothing"/>
      <w:lvlText w:val="%1、"/>
      <w:lvlJc w:val="left"/>
      <w:rPr>
        <w:rFonts w:hint="eastAsia"/>
        <w:color w:val="000000"/>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69CF25"/>
    <w:multiLevelType w:val="singleLevel"/>
    <w:tmpl w:val="FF69CF25"/>
    <w:lvl w:ilvl="0" w:tentative="0">
      <w:start w:val="1"/>
      <w:numFmt w:val="decimal"/>
      <w:suff w:val="nothing"/>
      <w:lvlText w:val="%1、"/>
      <w:lvlJc w:val="left"/>
    </w:lvl>
  </w:abstractNum>
  <w:abstractNum w:abstractNumId="8">
    <w:nsid w:val="FFEFC674"/>
    <w:multiLevelType w:val="singleLevel"/>
    <w:tmpl w:val="FFEFC674"/>
    <w:lvl w:ilvl="0" w:tentative="0">
      <w:start w:val="1"/>
      <w:numFmt w:val="decimal"/>
      <w:suff w:val="nothing"/>
      <w:lvlText w:val="（%1）"/>
      <w:lvlJc w:val="left"/>
    </w:lvl>
  </w:abstractNum>
  <w:abstractNum w:abstractNumId="9">
    <w:nsid w:val="05919A7A"/>
    <w:multiLevelType w:val="singleLevel"/>
    <w:tmpl w:val="05919A7A"/>
    <w:lvl w:ilvl="0" w:tentative="0">
      <w:start w:val="3"/>
      <w:numFmt w:val="chineseCounting"/>
      <w:suff w:val="nothing"/>
      <w:lvlText w:val="（%1）"/>
      <w:lvlJc w:val="left"/>
      <w:rPr>
        <w:rFonts w:hint="eastAsia"/>
      </w:rPr>
    </w:lvl>
  </w:abstractNum>
  <w:abstractNum w:abstractNumId="10">
    <w:nsid w:val="194673F9"/>
    <w:multiLevelType w:val="singleLevel"/>
    <w:tmpl w:val="194673F9"/>
    <w:lvl w:ilvl="0" w:tentative="0">
      <w:start w:val="1"/>
      <w:numFmt w:val="decimal"/>
      <w:suff w:val="nothing"/>
      <w:lvlText w:val="（%1）"/>
      <w:lvlJc w:val="left"/>
    </w:lvl>
  </w:abstractNum>
  <w:abstractNum w:abstractNumId="11">
    <w:nsid w:val="45D376A0"/>
    <w:multiLevelType w:val="multilevel"/>
    <w:tmpl w:val="45D376A0"/>
    <w:lvl w:ilvl="0" w:tentative="0">
      <w:start w:val="1"/>
      <w:numFmt w:val="decimal"/>
      <w:lvlText w:val="%1."/>
      <w:lvlJc w:val="left"/>
      <w:pPr>
        <w:ind w:left="795" w:hanging="360"/>
      </w:pPr>
      <w:rPr>
        <w:rFonts w:hint="default"/>
        <w:b w:val="0"/>
      </w:rPr>
    </w:lvl>
    <w:lvl w:ilvl="1" w:tentative="0">
      <w:start w:val="1"/>
      <w:numFmt w:val="lowerLetter"/>
      <w:lvlText w:val="%2)"/>
      <w:lvlJc w:val="left"/>
      <w:pPr>
        <w:ind w:left="1315" w:hanging="440"/>
      </w:pPr>
    </w:lvl>
    <w:lvl w:ilvl="2" w:tentative="0">
      <w:start w:val="1"/>
      <w:numFmt w:val="lowerRoman"/>
      <w:lvlText w:val="%3."/>
      <w:lvlJc w:val="right"/>
      <w:pPr>
        <w:ind w:left="1755" w:hanging="440"/>
      </w:pPr>
    </w:lvl>
    <w:lvl w:ilvl="3" w:tentative="0">
      <w:start w:val="1"/>
      <w:numFmt w:val="decimal"/>
      <w:lvlText w:val="%4."/>
      <w:lvlJc w:val="left"/>
      <w:pPr>
        <w:ind w:left="2195" w:hanging="440"/>
      </w:pPr>
    </w:lvl>
    <w:lvl w:ilvl="4" w:tentative="0">
      <w:start w:val="1"/>
      <w:numFmt w:val="lowerLetter"/>
      <w:lvlText w:val="%5)"/>
      <w:lvlJc w:val="left"/>
      <w:pPr>
        <w:ind w:left="2635" w:hanging="440"/>
      </w:pPr>
    </w:lvl>
    <w:lvl w:ilvl="5" w:tentative="0">
      <w:start w:val="1"/>
      <w:numFmt w:val="lowerRoman"/>
      <w:lvlText w:val="%6."/>
      <w:lvlJc w:val="right"/>
      <w:pPr>
        <w:ind w:left="3075" w:hanging="440"/>
      </w:pPr>
    </w:lvl>
    <w:lvl w:ilvl="6" w:tentative="0">
      <w:start w:val="1"/>
      <w:numFmt w:val="decimal"/>
      <w:lvlText w:val="%7."/>
      <w:lvlJc w:val="left"/>
      <w:pPr>
        <w:ind w:left="3515" w:hanging="440"/>
      </w:pPr>
    </w:lvl>
    <w:lvl w:ilvl="7" w:tentative="0">
      <w:start w:val="1"/>
      <w:numFmt w:val="lowerLetter"/>
      <w:lvlText w:val="%8)"/>
      <w:lvlJc w:val="left"/>
      <w:pPr>
        <w:ind w:left="3955" w:hanging="440"/>
      </w:pPr>
    </w:lvl>
    <w:lvl w:ilvl="8" w:tentative="0">
      <w:start w:val="1"/>
      <w:numFmt w:val="lowerRoman"/>
      <w:lvlText w:val="%9."/>
      <w:lvlJc w:val="right"/>
      <w:pPr>
        <w:ind w:left="4395" w:hanging="440"/>
      </w:pPr>
    </w:lvl>
  </w:abstractNum>
  <w:abstractNum w:abstractNumId="12">
    <w:nsid w:val="4C860984"/>
    <w:multiLevelType w:val="singleLevel"/>
    <w:tmpl w:val="4C860984"/>
    <w:lvl w:ilvl="0" w:tentative="0">
      <w:start w:val="1"/>
      <w:numFmt w:val="decimal"/>
      <w:suff w:val="nothing"/>
      <w:lvlText w:val="%1）"/>
      <w:lvlJc w:val="left"/>
    </w:lvl>
  </w:abstractNum>
  <w:abstractNum w:abstractNumId="13">
    <w:nsid w:val="7A0F6431"/>
    <w:multiLevelType w:val="singleLevel"/>
    <w:tmpl w:val="7A0F6431"/>
    <w:lvl w:ilvl="0" w:tentative="0">
      <w:start w:val="1"/>
      <w:numFmt w:val="decimal"/>
      <w:suff w:val="space"/>
      <w:lvlText w:val="%1."/>
      <w:lvlJc w:val="left"/>
    </w:lvl>
  </w:abstractNum>
  <w:abstractNum w:abstractNumId="14">
    <w:nsid w:val="7B8715BE"/>
    <w:multiLevelType w:val="singleLevel"/>
    <w:tmpl w:val="7B8715BE"/>
    <w:lvl w:ilvl="0" w:tentative="0">
      <w:start w:val="2"/>
      <w:numFmt w:val="decimal"/>
      <w:suff w:val="nothing"/>
      <w:lvlText w:val="%1、"/>
      <w:lvlJc w:val="left"/>
    </w:lvl>
  </w:abstractNum>
  <w:num w:numId="1">
    <w:abstractNumId w:val="0"/>
  </w:num>
  <w:num w:numId="2">
    <w:abstractNumId w:val="12"/>
  </w:num>
  <w:num w:numId="3">
    <w:abstractNumId w:val="14"/>
  </w:num>
  <w:num w:numId="4">
    <w:abstractNumId w:val="10"/>
  </w:num>
  <w:num w:numId="5">
    <w:abstractNumId w:val="13"/>
  </w:num>
  <w:num w:numId="6">
    <w:abstractNumId w:val="3"/>
  </w:num>
  <w:num w:numId="7">
    <w:abstractNumId w:val="8"/>
  </w:num>
  <w:num w:numId="8">
    <w:abstractNumId w:val="5"/>
  </w:num>
  <w:num w:numId="9">
    <w:abstractNumId w:val="4"/>
  </w:num>
  <w:num w:numId="10">
    <w:abstractNumId w:val="1"/>
  </w:num>
  <w:num w:numId="11">
    <w:abstractNumId w:val="6"/>
  </w:num>
  <w:num w:numId="12">
    <w:abstractNumId w:val="2"/>
  </w:num>
  <w:num w:numId="13">
    <w:abstractNumId w:val="9"/>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af471d34-4eb3-4fff-b241-65df72152677"/>
  </w:docVars>
  <w:rsids>
    <w:rsidRoot w:val="00172A27"/>
    <w:rsid w:val="00000EE6"/>
    <w:rsid w:val="000015DE"/>
    <w:rsid w:val="00003E42"/>
    <w:rsid w:val="00004E49"/>
    <w:rsid w:val="0000515D"/>
    <w:rsid w:val="000051EC"/>
    <w:rsid w:val="00005E04"/>
    <w:rsid w:val="0000746E"/>
    <w:rsid w:val="00010114"/>
    <w:rsid w:val="0001038B"/>
    <w:rsid w:val="00010F47"/>
    <w:rsid w:val="000124DF"/>
    <w:rsid w:val="00012FFE"/>
    <w:rsid w:val="00013B67"/>
    <w:rsid w:val="000155DE"/>
    <w:rsid w:val="00020481"/>
    <w:rsid w:val="000218DB"/>
    <w:rsid w:val="00023307"/>
    <w:rsid w:val="0002356B"/>
    <w:rsid w:val="000246C1"/>
    <w:rsid w:val="00024F3F"/>
    <w:rsid w:val="000255A6"/>
    <w:rsid w:val="00025A74"/>
    <w:rsid w:val="00025AC2"/>
    <w:rsid w:val="00026830"/>
    <w:rsid w:val="00027256"/>
    <w:rsid w:val="0002748A"/>
    <w:rsid w:val="0002784F"/>
    <w:rsid w:val="00031C00"/>
    <w:rsid w:val="00032599"/>
    <w:rsid w:val="0003297D"/>
    <w:rsid w:val="00033154"/>
    <w:rsid w:val="00033736"/>
    <w:rsid w:val="00034B9D"/>
    <w:rsid w:val="00036A83"/>
    <w:rsid w:val="000375C2"/>
    <w:rsid w:val="00037C3C"/>
    <w:rsid w:val="000404FE"/>
    <w:rsid w:val="00041449"/>
    <w:rsid w:val="0004245A"/>
    <w:rsid w:val="000427C4"/>
    <w:rsid w:val="00042C11"/>
    <w:rsid w:val="00043439"/>
    <w:rsid w:val="000439A3"/>
    <w:rsid w:val="00043D27"/>
    <w:rsid w:val="00043E94"/>
    <w:rsid w:val="00044F0B"/>
    <w:rsid w:val="000468AA"/>
    <w:rsid w:val="000468B6"/>
    <w:rsid w:val="000473AB"/>
    <w:rsid w:val="0005058F"/>
    <w:rsid w:val="00050D28"/>
    <w:rsid w:val="00052113"/>
    <w:rsid w:val="00053E8B"/>
    <w:rsid w:val="000547D3"/>
    <w:rsid w:val="00054E5C"/>
    <w:rsid w:val="00056D97"/>
    <w:rsid w:val="00057923"/>
    <w:rsid w:val="00060A4A"/>
    <w:rsid w:val="00063445"/>
    <w:rsid w:val="00063931"/>
    <w:rsid w:val="00064B9A"/>
    <w:rsid w:val="00065650"/>
    <w:rsid w:val="0006576D"/>
    <w:rsid w:val="00070A25"/>
    <w:rsid w:val="00073AF9"/>
    <w:rsid w:val="00074DF9"/>
    <w:rsid w:val="00075412"/>
    <w:rsid w:val="00075935"/>
    <w:rsid w:val="000761BE"/>
    <w:rsid w:val="000772D3"/>
    <w:rsid w:val="00077482"/>
    <w:rsid w:val="00081489"/>
    <w:rsid w:val="000816E1"/>
    <w:rsid w:val="00083268"/>
    <w:rsid w:val="0008541F"/>
    <w:rsid w:val="00090E07"/>
    <w:rsid w:val="000916C1"/>
    <w:rsid w:val="0009475E"/>
    <w:rsid w:val="00094771"/>
    <w:rsid w:val="00094F75"/>
    <w:rsid w:val="00096107"/>
    <w:rsid w:val="000976ED"/>
    <w:rsid w:val="000979EA"/>
    <w:rsid w:val="00097DC6"/>
    <w:rsid w:val="000A0F60"/>
    <w:rsid w:val="000A128E"/>
    <w:rsid w:val="000A12FF"/>
    <w:rsid w:val="000A16B8"/>
    <w:rsid w:val="000A3B07"/>
    <w:rsid w:val="000A3D79"/>
    <w:rsid w:val="000A4340"/>
    <w:rsid w:val="000A5BF7"/>
    <w:rsid w:val="000A5C0C"/>
    <w:rsid w:val="000A61DD"/>
    <w:rsid w:val="000A6FC0"/>
    <w:rsid w:val="000A70D0"/>
    <w:rsid w:val="000A77EE"/>
    <w:rsid w:val="000A79DD"/>
    <w:rsid w:val="000A7DC5"/>
    <w:rsid w:val="000B0EE4"/>
    <w:rsid w:val="000B46DA"/>
    <w:rsid w:val="000B6A03"/>
    <w:rsid w:val="000C0ECE"/>
    <w:rsid w:val="000C5A16"/>
    <w:rsid w:val="000C5BA6"/>
    <w:rsid w:val="000C5D50"/>
    <w:rsid w:val="000C7096"/>
    <w:rsid w:val="000C71F7"/>
    <w:rsid w:val="000C7736"/>
    <w:rsid w:val="000D279E"/>
    <w:rsid w:val="000D3FE0"/>
    <w:rsid w:val="000D4E5D"/>
    <w:rsid w:val="000D7B48"/>
    <w:rsid w:val="000E11B8"/>
    <w:rsid w:val="000E21BD"/>
    <w:rsid w:val="000E4AD6"/>
    <w:rsid w:val="000E5ADA"/>
    <w:rsid w:val="000E6D50"/>
    <w:rsid w:val="000F01D6"/>
    <w:rsid w:val="000F0D8B"/>
    <w:rsid w:val="000F1FA4"/>
    <w:rsid w:val="000F2211"/>
    <w:rsid w:val="000F2F23"/>
    <w:rsid w:val="000F4ADB"/>
    <w:rsid w:val="000F53CC"/>
    <w:rsid w:val="000F584F"/>
    <w:rsid w:val="000F5D14"/>
    <w:rsid w:val="000F667F"/>
    <w:rsid w:val="000F7880"/>
    <w:rsid w:val="000F7E56"/>
    <w:rsid w:val="001025F4"/>
    <w:rsid w:val="0010348B"/>
    <w:rsid w:val="00107FD5"/>
    <w:rsid w:val="00110BE3"/>
    <w:rsid w:val="00112587"/>
    <w:rsid w:val="00112E2C"/>
    <w:rsid w:val="00112EE6"/>
    <w:rsid w:val="0011378C"/>
    <w:rsid w:val="001152D7"/>
    <w:rsid w:val="00116812"/>
    <w:rsid w:val="00116960"/>
    <w:rsid w:val="0011795B"/>
    <w:rsid w:val="00117B7B"/>
    <w:rsid w:val="00117FBE"/>
    <w:rsid w:val="00121B37"/>
    <w:rsid w:val="00121B69"/>
    <w:rsid w:val="001223FC"/>
    <w:rsid w:val="00122F13"/>
    <w:rsid w:val="001234D6"/>
    <w:rsid w:val="001238B9"/>
    <w:rsid w:val="00124A16"/>
    <w:rsid w:val="00127355"/>
    <w:rsid w:val="00127B39"/>
    <w:rsid w:val="001308B8"/>
    <w:rsid w:val="001312B3"/>
    <w:rsid w:val="001332F5"/>
    <w:rsid w:val="00133B1E"/>
    <w:rsid w:val="0013459C"/>
    <w:rsid w:val="00134BF1"/>
    <w:rsid w:val="00134D87"/>
    <w:rsid w:val="0013669F"/>
    <w:rsid w:val="00140F5C"/>
    <w:rsid w:val="00141914"/>
    <w:rsid w:val="00142F60"/>
    <w:rsid w:val="00143525"/>
    <w:rsid w:val="00143676"/>
    <w:rsid w:val="001445A3"/>
    <w:rsid w:val="0014469A"/>
    <w:rsid w:val="0014502C"/>
    <w:rsid w:val="001460C4"/>
    <w:rsid w:val="00146FD4"/>
    <w:rsid w:val="00147984"/>
    <w:rsid w:val="00147A4D"/>
    <w:rsid w:val="00150872"/>
    <w:rsid w:val="001535DC"/>
    <w:rsid w:val="00155032"/>
    <w:rsid w:val="001572C7"/>
    <w:rsid w:val="00160C40"/>
    <w:rsid w:val="00161BC7"/>
    <w:rsid w:val="001626E4"/>
    <w:rsid w:val="00163D7D"/>
    <w:rsid w:val="00164A8E"/>
    <w:rsid w:val="00164BCE"/>
    <w:rsid w:val="001651AB"/>
    <w:rsid w:val="001661D2"/>
    <w:rsid w:val="00166FE9"/>
    <w:rsid w:val="00167340"/>
    <w:rsid w:val="001703F4"/>
    <w:rsid w:val="0017148F"/>
    <w:rsid w:val="00171F36"/>
    <w:rsid w:val="001728C2"/>
    <w:rsid w:val="00172A35"/>
    <w:rsid w:val="00175802"/>
    <w:rsid w:val="0017600A"/>
    <w:rsid w:val="001771D6"/>
    <w:rsid w:val="0018065B"/>
    <w:rsid w:val="00180FD4"/>
    <w:rsid w:val="001828E4"/>
    <w:rsid w:val="00182FAC"/>
    <w:rsid w:val="001841F8"/>
    <w:rsid w:val="00186E39"/>
    <w:rsid w:val="00187020"/>
    <w:rsid w:val="001905CC"/>
    <w:rsid w:val="00190C19"/>
    <w:rsid w:val="00191926"/>
    <w:rsid w:val="001934F7"/>
    <w:rsid w:val="0019476E"/>
    <w:rsid w:val="00195BD9"/>
    <w:rsid w:val="00196B3C"/>
    <w:rsid w:val="00196DDF"/>
    <w:rsid w:val="001A06B0"/>
    <w:rsid w:val="001A0D56"/>
    <w:rsid w:val="001A140C"/>
    <w:rsid w:val="001A14D6"/>
    <w:rsid w:val="001A19C8"/>
    <w:rsid w:val="001A19EC"/>
    <w:rsid w:val="001A1FBB"/>
    <w:rsid w:val="001A2C11"/>
    <w:rsid w:val="001A2D1D"/>
    <w:rsid w:val="001A2E92"/>
    <w:rsid w:val="001A44E4"/>
    <w:rsid w:val="001A4A07"/>
    <w:rsid w:val="001A5724"/>
    <w:rsid w:val="001A6276"/>
    <w:rsid w:val="001A79D1"/>
    <w:rsid w:val="001A7D2C"/>
    <w:rsid w:val="001A7D6D"/>
    <w:rsid w:val="001B02CF"/>
    <w:rsid w:val="001B042A"/>
    <w:rsid w:val="001B07F0"/>
    <w:rsid w:val="001B282E"/>
    <w:rsid w:val="001B2929"/>
    <w:rsid w:val="001B3E90"/>
    <w:rsid w:val="001C11DF"/>
    <w:rsid w:val="001C200A"/>
    <w:rsid w:val="001C243D"/>
    <w:rsid w:val="001C265C"/>
    <w:rsid w:val="001C4234"/>
    <w:rsid w:val="001C5578"/>
    <w:rsid w:val="001C5CE1"/>
    <w:rsid w:val="001C754D"/>
    <w:rsid w:val="001D02FB"/>
    <w:rsid w:val="001D1122"/>
    <w:rsid w:val="001D1C3E"/>
    <w:rsid w:val="001D238A"/>
    <w:rsid w:val="001D29AE"/>
    <w:rsid w:val="001D3E51"/>
    <w:rsid w:val="001D7CF6"/>
    <w:rsid w:val="001E0418"/>
    <w:rsid w:val="001E044A"/>
    <w:rsid w:val="001E09CE"/>
    <w:rsid w:val="001E1E9A"/>
    <w:rsid w:val="001E2297"/>
    <w:rsid w:val="001E2782"/>
    <w:rsid w:val="001E6D55"/>
    <w:rsid w:val="001E7EDC"/>
    <w:rsid w:val="001F0114"/>
    <w:rsid w:val="001F353B"/>
    <w:rsid w:val="001F66E1"/>
    <w:rsid w:val="001F68D4"/>
    <w:rsid w:val="001F6A1B"/>
    <w:rsid w:val="0020035B"/>
    <w:rsid w:val="0020458B"/>
    <w:rsid w:val="00204ADC"/>
    <w:rsid w:val="00204F51"/>
    <w:rsid w:val="00206CE4"/>
    <w:rsid w:val="00210DFF"/>
    <w:rsid w:val="002112BC"/>
    <w:rsid w:val="0021199B"/>
    <w:rsid w:val="002128A6"/>
    <w:rsid w:val="002128BE"/>
    <w:rsid w:val="00212B56"/>
    <w:rsid w:val="00213CED"/>
    <w:rsid w:val="002164FE"/>
    <w:rsid w:val="00216CD9"/>
    <w:rsid w:val="00217E32"/>
    <w:rsid w:val="00217FAC"/>
    <w:rsid w:val="00222380"/>
    <w:rsid w:val="00222456"/>
    <w:rsid w:val="00224C6E"/>
    <w:rsid w:val="0022505B"/>
    <w:rsid w:val="00226066"/>
    <w:rsid w:val="00226DBD"/>
    <w:rsid w:val="00230331"/>
    <w:rsid w:val="00231005"/>
    <w:rsid w:val="00231053"/>
    <w:rsid w:val="002321B7"/>
    <w:rsid w:val="00232795"/>
    <w:rsid w:val="00233F42"/>
    <w:rsid w:val="00233FC5"/>
    <w:rsid w:val="00236181"/>
    <w:rsid w:val="00237227"/>
    <w:rsid w:val="0023767B"/>
    <w:rsid w:val="00237A6E"/>
    <w:rsid w:val="00242711"/>
    <w:rsid w:val="00244D65"/>
    <w:rsid w:val="00245699"/>
    <w:rsid w:val="002459F9"/>
    <w:rsid w:val="00245A12"/>
    <w:rsid w:val="00246076"/>
    <w:rsid w:val="00246F5B"/>
    <w:rsid w:val="0025032C"/>
    <w:rsid w:val="00251733"/>
    <w:rsid w:val="00255049"/>
    <w:rsid w:val="00257657"/>
    <w:rsid w:val="0026067A"/>
    <w:rsid w:val="00260BEB"/>
    <w:rsid w:val="00261B38"/>
    <w:rsid w:val="00261C36"/>
    <w:rsid w:val="00263356"/>
    <w:rsid w:val="0026531B"/>
    <w:rsid w:val="00265615"/>
    <w:rsid w:val="00266066"/>
    <w:rsid w:val="00266565"/>
    <w:rsid w:val="00266B0E"/>
    <w:rsid w:val="0027098A"/>
    <w:rsid w:val="002715A1"/>
    <w:rsid w:val="00271C5D"/>
    <w:rsid w:val="00272008"/>
    <w:rsid w:val="00273E55"/>
    <w:rsid w:val="00274241"/>
    <w:rsid w:val="00274F39"/>
    <w:rsid w:val="00276080"/>
    <w:rsid w:val="00276280"/>
    <w:rsid w:val="002769A2"/>
    <w:rsid w:val="00276FE3"/>
    <w:rsid w:val="00277535"/>
    <w:rsid w:val="00277635"/>
    <w:rsid w:val="00277E70"/>
    <w:rsid w:val="00281123"/>
    <w:rsid w:val="00281D54"/>
    <w:rsid w:val="00281D9F"/>
    <w:rsid w:val="0028213E"/>
    <w:rsid w:val="00283136"/>
    <w:rsid w:val="0028363E"/>
    <w:rsid w:val="00284E56"/>
    <w:rsid w:val="00286EAC"/>
    <w:rsid w:val="0028769B"/>
    <w:rsid w:val="00287DFF"/>
    <w:rsid w:val="00291563"/>
    <w:rsid w:val="0029320E"/>
    <w:rsid w:val="00295C13"/>
    <w:rsid w:val="00296F58"/>
    <w:rsid w:val="002A01F0"/>
    <w:rsid w:val="002A0879"/>
    <w:rsid w:val="002A1C9C"/>
    <w:rsid w:val="002A1E5D"/>
    <w:rsid w:val="002A444F"/>
    <w:rsid w:val="002A5D60"/>
    <w:rsid w:val="002A5EBD"/>
    <w:rsid w:val="002A5F75"/>
    <w:rsid w:val="002B08BA"/>
    <w:rsid w:val="002B12B6"/>
    <w:rsid w:val="002B1A96"/>
    <w:rsid w:val="002B1C7D"/>
    <w:rsid w:val="002B2078"/>
    <w:rsid w:val="002B2FA7"/>
    <w:rsid w:val="002B4A27"/>
    <w:rsid w:val="002B4AE4"/>
    <w:rsid w:val="002B70C1"/>
    <w:rsid w:val="002C067A"/>
    <w:rsid w:val="002C14FE"/>
    <w:rsid w:val="002C1B39"/>
    <w:rsid w:val="002C213A"/>
    <w:rsid w:val="002C2FB0"/>
    <w:rsid w:val="002C3F6A"/>
    <w:rsid w:val="002C53B6"/>
    <w:rsid w:val="002C5E6B"/>
    <w:rsid w:val="002C73EB"/>
    <w:rsid w:val="002C790A"/>
    <w:rsid w:val="002D06CF"/>
    <w:rsid w:val="002D0E61"/>
    <w:rsid w:val="002D2007"/>
    <w:rsid w:val="002D27C9"/>
    <w:rsid w:val="002D43C3"/>
    <w:rsid w:val="002D5B6E"/>
    <w:rsid w:val="002D5D09"/>
    <w:rsid w:val="002D6122"/>
    <w:rsid w:val="002D6A1E"/>
    <w:rsid w:val="002D7BCC"/>
    <w:rsid w:val="002E0475"/>
    <w:rsid w:val="002E0DEC"/>
    <w:rsid w:val="002E4A98"/>
    <w:rsid w:val="002E4CE5"/>
    <w:rsid w:val="002E5F09"/>
    <w:rsid w:val="002E6073"/>
    <w:rsid w:val="002E7141"/>
    <w:rsid w:val="002E792C"/>
    <w:rsid w:val="002F25A0"/>
    <w:rsid w:val="002F3EC6"/>
    <w:rsid w:val="002F4654"/>
    <w:rsid w:val="002F4E5D"/>
    <w:rsid w:val="002F6329"/>
    <w:rsid w:val="002F66AC"/>
    <w:rsid w:val="002F705A"/>
    <w:rsid w:val="002F7BEE"/>
    <w:rsid w:val="002F7F61"/>
    <w:rsid w:val="0030379C"/>
    <w:rsid w:val="00305BFF"/>
    <w:rsid w:val="00306B25"/>
    <w:rsid w:val="00307CC9"/>
    <w:rsid w:val="00307FD1"/>
    <w:rsid w:val="00310097"/>
    <w:rsid w:val="00311A0C"/>
    <w:rsid w:val="00312774"/>
    <w:rsid w:val="003148AA"/>
    <w:rsid w:val="0031711F"/>
    <w:rsid w:val="003177DA"/>
    <w:rsid w:val="00320D03"/>
    <w:rsid w:val="00321FF9"/>
    <w:rsid w:val="00322124"/>
    <w:rsid w:val="003225EC"/>
    <w:rsid w:val="00324B74"/>
    <w:rsid w:val="00326F79"/>
    <w:rsid w:val="00327B3D"/>
    <w:rsid w:val="00330AD8"/>
    <w:rsid w:val="003326B1"/>
    <w:rsid w:val="00333A18"/>
    <w:rsid w:val="00333F38"/>
    <w:rsid w:val="00334351"/>
    <w:rsid w:val="0033453F"/>
    <w:rsid w:val="00334582"/>
    <w:rsid w:val="003353AB"/>
    <w:rsid w:val="00341733"/>
    <w:rsid w:val="003427DF"/>
    <w:rsid w:val="00342D2D"/>
    <w:rsid w:val="003437C7"/>
    <w:rsid w:val="003444B5"/>
    <w:rsid w:val="00345B7C"/>
    <w:rsid w:val="00346313"/>
    <w:rsid w:val="00346964"/>
    <w:rsid w:val="00347BA6"/>
    <w:rsid w:val="00347E8F"/>
    <w:rsid w:val="00350B6E"/>
    <w:rsid w:val="003513F2"/>
    <w:rsid w:val="00351711"/>
    <w:rsid w:val="00353053"/>
    <w:rsid w:val="00353D04"/>
    <w:rsid w:val="00355AF1"/>
    <w:rsid w:val="0035676B"/>
    <w:rsid w:val="00356F67"/>
    <w:rsid w:val="00357CA1"/>
    <w:rsid w:val="00360F32"/>
    <w:rsid w:val="0036138D"/>
    <w:rsid w:val="00362C07"/>
    <w:rsid w:val="00363705"/>
    <w:rsid w:val="00364313"/>
    <w:rsid w:val="0036551F"/>
    <w:rsid w:val="00365B2C"/>
    <w:rsid w:val="00367E0D"/>
    <w:rsid w:val="0037008C"/>
    <w:rsid w:val="003700A0"/>
    <w:rsid w:val="00371165"/>
    <w:rsid w:val="0037148A"/>
    <w:rsid w:val="00371C23"/>
    <w:rsid w:val="0037310B"/>
    <w:rsid w:val="00373D8A"/>
    <w:rsid w:val="00374BB0"/>
    <w:rsid w:val="003760BB"/>
    <w:rsid w:val="003762AC"/>
    <w:rsid w:val="003775F4"/>
    <w:rsid w:val="003806EA"/>
    <w:rsid w:val="00381246"/>
    <w:rsid w:val="00382560"/>
    <w:rsid w:val="00384920"/>
    <w:rsid w:val="00385E7A"/>
    <w:rsid w:val="00387913"/>
    <w:rsid w:val="003905F9"/>
    <w:rsid w:val="0039071F"/>
    <w:rsid w:val="003932B9"/>
    <w:rsid w:val="003967E2"/>
    <w:rsid w:val="00397F08"/>
    <w:rsid w:val="003A001C"/>
    <w:rsid w:val="003A00E8"/>
    <w:rsid w:val="003A07AC"/>
    <w:rsid w:val="003A0D61"/>
    <w:rsid w:val="003A1760"/>
    <w:rsid w:val="003A4BED"/>
    <w:rsid w:val="003A51FF"/>
    <w:rsid w:val="003A53B1"/>
    <w:rsid w:val="003A654E"/>
    <w:rsid w:val="003A675D"/>
    <w:rsid w:val="003B330F"/>
    <w:rsid w:val="003B3926"/>
    <w:rsid w:val="003B66B5"/>
    <w:rsid w:val="003B6922"/>
    <w:rsid w:val="003C0F55"/>
    <w:rsid w:val="003C1B24"/>
    <w:rsid w:val="003C1CE5"/>
    <w:rsid w:val="003C1E21"/>
    <w:rsid w:val="003C2C89"/>
    <w:rsid w:val="003C3393"/>
    <w:rsid w:val="003C64C5"/>
    <w:rsid w:val="003C704C"/>
    <w:rsid w:val="003C7640"/>
    <w:rsid w:val="003D16BD"/>
    <w:rsid w:val="003D4199"/>
    <w:rsid w:val="003D6C18"/>
    <w:rsid w:val="003E1306"/>
    <w:rsid w:val="003E17B3"/>
    <w:rsid w:val="003E2432"/>
    <w:rsid w:val="003E2CEC"/>
    <w:rsid w:val="003E2FDF"/>
    <w:rsid w:val="003E415B"/>
    <w:rsid w:val="003E468D"/>
    <w:rsid w:val="003E5E25"/>
    <w:rsid w:val="003E6BB5"/>
    <w:rsid w:val="003E7687"/>
    <w:rsid w:val="003F0D0F"/>
    <w:rsid w:val="003F101B"/>
    <w:rsid w:val="003F1CA3"/>
    <w:rsid w:val="003F23C9"/>
    <w:rsid w:val="003F2746"/>
    <w:rsid w:val="003F2BE8"/>
    <w:rsid w:val="003F38D7"/>
    <w:rsid w:val="003F4C1E"/>
    <w:rsid w:val="003F59A5"/>
    <w:rsid w:val="003F7E4F"/>
    <w:rsid w:val="0040042C"/>
    <w:rsid w:val="00400523"/>
    <w:rsid w:val="00402FF0"/>
    <w:rsid w:val="00404B45"/>
    <w:rsid w:val="004053F3"/>
    <w:rsid w:val="004054D1"/>
    <w:rsid w:val="00406417"/>
    <w:rsid w:val="00406A90"/>
    <w:rsid w:val="004108AA"/>
    <w:rsid w:val="00410D35"/>
    <w:rsid w:val="00412C19"/>
    <w:rsid w:val="00413192"/>
    <w:rsid w:val="00413208"/>
    <w:rsid w:val="0042144D"/>
    <w:rsid w:val="00422301"/>
    <w:rsid w:val="00425ABC"/>
    <w:rsid w:val="00431932"/>
    <w:rsid w:val="004347EE"/>
    <w:rsid w:val="00434D17"/>
    <w:rsid w:val="00435BA2"/>
    <w:rsid w:val="00436185"/>
    <w:rsid w:val="004371D0"/>
    <w:rsid w:val="004372C8"/>
    <w:rsid w:val="00437397"/>
    <w:rsid w:val="00440C74"/>
    <w:rsid w:val="00444894"/>
    <w:rsid w:val="00445D94"/>
    <w:rsid w:val="00450901"/>
    <w:rsid w:val="00451450"/>
    <w:rsid w:val="004516C9"/>
    <w:rsid w:val="0045356D"/>
    <w:rsid w:val="00455258"/>
    <w:rsid w:val="00455BFC"/>
    <w:rsid w:val="004560B8"/>
    <w:rsid w:val="0046162D"/>
    <w:rsid w:val="00461BED"/>
    <w:rsid w:val="00461C22"/>
    <w:rsid w:val="00462613"/>
    <w:rsid w:val="004628D7"/>
    <w:rsid w:val="004628DE"/>
    <w:rsid w:val="00462BB9"/>
    <w:rsid w:val="00463827"/>
    <w:rsid w:val="00463E9B"/>
    <w:rsid w:val="00464A87"/>
    <w:rsid w:val="00465F99"/>
    <w:rsid w:val="00470D00"/>
    <w:rsid w:val="0047292D"/>
    <w:rsid w:val="00472BFF"/>
    <w:rsid w:val="00474201"/>
    <w:rsid w:val="004743F1"/>
    <w:rsid w:val="00474D7B"/>
    <w:rsid w:val="00475316"/>
    <w:rsid w:val="00475814"/>
    <w:rsid w:val="004763FB"/>
    <w:rsid w:val="004818A1"/>
    <w:rsid w:val="00482683"/>
    <w:rsid w:val="00482BA3"/>
    <w:rsid w:val="0048315C"/>
    <w:rsid w:val="00483EBD"/>
    <w:rsid w:val="004851D5"/>
    <w:rsid w:val="004877F5"/>
    <w:rsid w:val="00490556"/>
    <w:rsid w:val="00490764"/>
    <w:rsid w:val="004911F3"/>
    <w:rsid w:val="00493FBE"/>
    <w:rsid w:val="00494B58"/>
    <w:rsid w:val="004954D9"/>
    <w:rsid w:val="00495CAE"/>
    <w:rsid w:val="00497552"/>
    <w:rsid w:val="004A0EC8"/>
    <w:rsid w:val="004A1EC5"/>
    <w:rsid w:val="004A381C"/>
    <w:rsid w:val="004A5C6C"/>
    <w:rsid w:val="004A5C87"/>
    <w:rsid w:val="004B02A6"/>
    <w:rsid w:val="004B1E33"/>
    <w:rsid w:val="004B3DB4"/>
    <w:rsid w:val="004B46A2"/>
    <w:rsid w:val="004B528A"/>
    <w:rsid w:val="004B569C"/>
    <w:rsid w:val="004B6068"/>
    <w:rsid w:val="004B6333"/>
    <w:rsid w:val="004B724B"/>
    <w:rsid w:val="004B7403"/>
    <w:rsid w:val="004B7AC5"/>
    <w:rsid w:val="004C0D1D"/>
    <w:rsid w:val="004C4DD2"/>
    <w:rsid w:val="004C53E7"/>
    <w:rsid w:val="004C618F"/>
    <w:rsid w:val="004D1339"/>
    <w:rsid w:val="004D1387"/>
    <w:rsid w:val="004D2216"/>
    <w:rsid w:val="004D2495"/>
    <w:rsid w:val="004D2BDC"/>
    <w:rsid w:val="004D4E39"/>
    <w:rsid w:val="004D5913"/>
    <w:rsid w:val="004D6D3C"/>
    <w:rsid w:val="004E0C6D"/>
    <w:rsid w:val="004E2397"/>
    <w:rsid w:val="004E2AC2"/>
    <w:rsid w:val="004E3242"/>
    <w:rsid w:val="004E3821"/>
    <w:rsid w:val="004E6F07"/>
    <w:rsid w:val="004F03D0"/>
    <w:rsid w:val="004F08DE"/>
    <w:rsid w:val="004F4659"/>
    <w:rsid w:val="004F47D0"/>
    <w:rsid w:val="004F5655"/>
    <w:rsid w:val="004F57F5"/>
    <w:rsid w:val="004F5969"/>
    <w:rsid w:val="004F5C59"/>
    <w:rsid w:val="004F7AB7"/>
    <w:rsid w:val="00501A38"/>
    <w:rsid w:val="005026C3"/>
    <w:rsid w:val="00503933"/>
    <w:rsid w:val="0050448F"/>
    <w:rsid w:val="00504B58"/>
    <w:rsid w:val="005051FB"/>
    <w:rsid w:val="00505B66"/>
    <w:rsid w:val="005068A9"/>
    <w:rsid w:val="00510991"/>
    <w:rsid w:val="005109D2"/>
    <w:rsid w:val="005112C9"/>
    <w:rsid w:val="00511F1D"/>
    <w:rsid w:val="0051266C"/>
    <w:rsid w:val="005160D5"/>
    <w:rsid w:val="0051720C"/>
    <w:rsid w:val="00517537"/>
    <w:rsid w:val="00517580"/>
    <w:rsid w:val="0052142D"/>
    <w:rsid w:val="00521A3E"/>
    <w:rsid w:val="005228C0"/>
    <w:rsid w:val="00522ABB"/>
    <w:rsid w:val="00522CC7"/>
    <w:rsid w:val="005269E9"/>
    <w:rsid w:val="005323B2"/>
    <w:rsid w:val="00532557"/>
    <w:rsid w:val="00532F96"/>
    <w:rsid w:val="005334BC"/>
    <w:rsid w:val="00533DAE"/>
    <w:rsid w:val="005425C4"/>
    <w:rsid w:val="00542B90"/>
    <w:rsid w:val="005436DB"/>
    <w:rsid w:val="00543B7C"/>
    <w:rsid w:val="00544428"/>
    <w:rsid w:val="00544533"/>
    <w:rsid w:val="0054740D"/>
    <w:rsid w:val="00550089"/>
    <w:rsid w:val="00550AC5"/>
    <w:rsid w:val="00550C4F"/>
    <w:rsid w:val="00552515"/>
    <w:rsid w:val="005532C5"/>
    <w:rsid w:val="005535C2"/>
    <w:rsid w:val="00562BF2"/>
    <w:rsid w:val="005662F7"/>
    <w:rsid w:val="005678BA"/>
    <w:rsid w:val="00570194"/>
    <w:rsid w:val="005725D1"/>
    <w:rsid w:val="00573644"/>
    <w:rsid w:val="00573714"/>
    <w:rsid w:val="00574ABD"/>
    <w:rsid w:val="0057601A"/>
    <w:rsid w:val="00580C15"/>
    <w:rsid w:val="00581065"/>
    <w:rsid w:val="0058138D"/>
    <w:rsid w:val="00583396"/>
    <w:rsid w:val="00584087"/>
    <w:rsid w:val="0058523D"/>
    <w:rsid w:val="00587D01"/>
    <w:rsid w:val="00590535"/>
    <w:rsid w:val="00590704"/>
    <w:rsid w:val="005915AC"/>
    <w:rsid w:val="005921FC"/>
    <w:rsid w:val="00592EBE"/>
    <w:rsid w:val="00595FA3"/>
    <w:rsid w:val="00596FBF"/>
    <w:rsid w:val="005A1BFB"/>
    <w:rsid w:val="005A1E00"/>
    <w:rsid w:val="005A2E2F"/>
    <w:rsid w:val="005A3182"/>
    <w:rsid w:val="005A57AB"/>
    <w:rsid w:val="005A6E70"/>
    <w:rsid w:val="005A78C5"/>
    <w:rsid w:val="005A7E35"/>
    <w:rsid w:val="005B11CF"/>
    <w:rsid w:val="005B1718"/>
    <w:rsid w:val="005B218E"/>
    <w:rsid w:val="005B2767"/>
    <w:rsid w:val="005B3A3A"/>
    <w:rsid w:val="005B5115"/>
    <w:rsid w:val="005C1942"/>
    <w:rsid w:val="005C2719"/>
    <w:rsid w:val="005C2FD6"/>
    <w:rsid w:val="005C5BB9"/>
    <w:rsid w:val="005C7C99"/>
    <w:rsid w:val="005D02C9"/>
    <w:rsid w:val="005D3220"/>
    <w:rsid w:val="005D3A70"/>
    <w:rsid w:val="005D67F1"/>
    <w:rsid w:val="005D7854"/>
    <w:rsid w:val="005D78EB"/>
    <w:rsid w:val="005E0238"/>
    <w:rsid w:val="005E0DB4"/>
    <w:rsid w:val="005E174D"/>
    <w:rsid w:val="005E177A"/>
    <w:rsid w:val="005E22E1"/>
    <w:rsid w:val="005E3FEE"/>
    <w:rsid w:val="005E5081"/>
    <w:rsid w:val="005E5E31"/>
    <w:rsid w:val="005E644E"/>
    <w:rsid w:val="005E7108"/>
    <w:rsid w:val="005F0B98"/>
    <w:rsid w:val="005F6552"/>
    <w:rsid w:val="005F6E1C"/>
    <w:rsid w:val="005F71AF"/>
    <w:rsid w:val="005F79BC"/>
    <w:rsid w:val="0060066E"/>
    <w:rsid w:val="00600E56"/>
    <w:rsid w:val="006011D5"/>
    <w:rsid w:val="00601AB9"/>
    <w:rsid w:val="00601BE8"/>
    <w:rsid w:val="00602420"/>
    <w:rsid w:val="006033DF"/>
    <w:rsid w:val="006038FB"/>
    <w:rsid w:val="00604264"/>
    <w:rsid w:val="00605DD2"/>
    <w:rsid w:val="0060652C"/>
    <w:rsid w:val="00606ABA"/>
    <w:rsid w:val="00607743"/>
    <w:rsid w:val="00607D8D"/>
    <w:rsid w:val="00612482"/>
    <w:rsid w:val="006128E2"/>
    <w:rsid w:val="006132F9"/>
    <w:rsid w:val="006139AE"/>
    <w:rsid w:val="00613A30"/>
    <w:rsid w:val="00613A8D"/>
    <w:rsid w:val="00613F12"/>
    <w:rsid w:val="00617239"/>
    <w:rsid w:val="00620484"/>
    <w:rsid w:val="0062098B"/>
    <w:rsid w:val="00621D5C"/>
    <w:rsid w:val="0062338C"/>
    <w:rsid w:val="0062359C"/>
    <w:rsid w:val="0062741C"/>
    <w:rsid w:val="00627C85"/>
    <w:rsid w:val="006330D8"/>
    <w:rsid w:val="00633F6A"/>
    <w:rsid w:val="00634BF7"/>
    <w:rsid w:val="006354E6"/>
    <w:rsid w:val="00635F79"/>
    <w:rsid w:val="00636108"/>
    <w:rsid w:val="00637B8B"/>
    <w:rsid w:val="00641649"/>
    <w:rsid w:val="0064285F"/>
    <w:rsid w:val="006451E1"/>
    <w:rsid w:val="00645757"/>
    <w:rsid w:val="006468BE"/>
    <w:rsid w:val="00646E39"/>
    <w:rsid w:val="006522D1"/>
    <w:rsid w:val="00652CC5"/>
    <w:rsid w:val="00654E52"/>
    <w:rsid w:val="00655B10"/>
    <w:rsid w:val="00656B43"/>
    <w:rsid w:val="00660164"/>
    <w:rsid w:val="00660B27"/>
    <w:rsid w:val="00661004"/>
    <w:rsid w:val="00661783"/>
    <w:rsid w:val="00661E73"/>
    <w:rsid w:val="00663504"/>
    <w:rsid w:val="00663F63"/>
    <w:rsid w:val="0066508F"/>
    <w:rsid w:val="00665ED2"/>
    <w:rsid w:val="00666592"/>
    <w:rsid w:val="0066676B"/>
    <w:rsid w:val="006725DA"/>
    <w:rsid w:val="006726D4"/>
    <w:rsid w:val="00674E14"/>
    <w:rsid w:val="00675871"/>
    <w:rsid w:val="00675F31"/>
    <w:rsid w:val="00680778"/>
    <w:rsid w:val="0068090C"/>
    <w:rsid w:val="00681014"/>
    <w:rsid w:val="00681EC0"/>
    <w:rsid w:val="00686738"/>
    <w:rsid w:val="00687651"/>
    <w:rsid w:val="0069052F"/>
    <w:rsid w:val="00690EB4"/>
    <w:rsid w:val="00691D8C"/>
    <w:rsid w:val="006942C5"/>
    <w:rsid w:val="0069652E"/>
    <w:rsid w:val="0069703B"/>
    <w:rsid w:val="006973D4"/>
    <w:rsid w:val="00697617"/>
    <w:rsid w:val="00697FA8"/>
    <w:rsid w:val="006A01E6"/>
    <w:rsid w:val="006A052D"/>
    <w:rsid w:val="006A1AE6"/>
    <w:rsid w:val="006A21C2"/>
    <w:rsid w:val="006A21E9"/>
    <w:rsid w:val="006A25F4"/>
    <w:rsid w:val="006A33EC"/>
    <w:rsid w:val="006A75F1"/>
    <w:rsid w:val="006B0D53"/>
    <w:rsid w:val="006B14E8"/>
    <w:rsid w:val="006B17F3"/>
    <w:rsid w:val="006B2B87"/>
    <w:rsid w:val="006B2DB9"/>
    <w:rsid w:val="006B40C5"/>
    <w:rsid w:val="006B4AA2"/>
    <w:rsid w:val="006B5B8C"/>
    <w:rsid w:val="006B5D1A"/>
    <w:rsid w:val="006B6329"/>
    <w:rsid w:val="006B6BD3"/>
    <w:rsid w:val="006B7769"/>
    <w:rsid w:val="006C205A"/>
    <w:rsid w:val="006C2213"/>
    <w:rsid w:val="006C3263"/>
    <w:rsid w:val="006C6A96"/>
    <w:rsid w:val="006D1D18"/>
    <w:rsid w:val="006D2135"/>
    <w:rsid w:val="006D3E2B"/>
    <w:rsid w:val="006D4460"/>
    <w:rsid w:val="006D5F5C"/>
    <w:rsid w:val="006E18D3"/>
    <w:rsid w:val="006E26B6"/>
    <w:rsid w:val="006E2A24"/>
    <w:rsid w:val="006E3D11"/>
    <w:rsid w:val="006E4886"/>
    <w:rsid w:val="006E53F0"/>
    <w:rsid w:val="006E541D"/>
    <w:rsid w:val="006E5FE0"/>
    <w:rsid w:val="006E6F2C"/>
    <w:rsid w:val="006E7EA8"/>
    <w:rsid w:val="006F0993"/>
    <w:rsid w:val="006F1D64"/>
    <w:rsid w:val="006F1E6B"/>
    <w:rsid w:val="006F21A2"/>
    <w:rsid w:val="006F3A5E"/>
    <w:rsid w:val="006F3EDE"/>
    <w:rsid w:val="006F4111"/>
    <w:rsid w:val="006F6705"/>
    <w:rsid w:val="006F683B"/>
    <w:rsid w:val="007009EE"/>
    <w:rsid w:val="007012F2"/>
    <w:rsid w:val="00701671"/>
    <w:rsid w:val="0070168D"/>
    <w:rsid w:val="007025FA"/>
    <w:rsid w:val="007030DF"/>
    <w:rsid w:val="00703354"/>
    <w:rsid w:val="00704D25"/>
    <w:rsid w:val="007069B7"/>
    <w:rsid w:val="00706E96"/>
    <w:rsid w:val="0070700C"/>
    <w:rsid w:val="0070704E"/>
    <w:rsid w:val="0071003D"/>
    <w:rsid w:val="00710F99"/>
    <w:rsid w:val="007120A9"/>
    <w:rsid w:val="00712EE9"/>
    <w:rsid w:val="00715789"/>
    <w:rsid w:val="007159AE"/>
    <w:rsid w:val="00716901"/>
    <w:rsid w:val="007203FC"/>
    <w:rsid w:val="00720E95"/>
    <w:rsid w:val="007249ED"/>
    <w:rsid w:val="007251E8"/>
    <w:rsid w:val="007268ED"/>
    <w:rsid w:val="00730DE9"/>
    <w:rsid w:val="007314F8"/>
    <w:rsid w:val="00731D64"/>
    <w:rsid w:val="0073257C"/>
    <w:rsid w:val="0073499C"/>
    <w:rsid w:val="007349BC"/>
    <w:rsid w:val="007356AA"/>
    <w:rsid w:val="007357B7"/>
    <w:rsid w:val="00735D2F"/>
    <w:rsid w:val="0073689F"/>
    <w:rsid w:val="00736F5D"/>
    <w:rsid w:val="00737077"/>
    <w:rsid w:val="007400EE"/>
    <w:rsid w:val="0074084E"/>
    <w:rsid w:val="007411FF"/>
    <w:rsid w:val="00741253"/>
    <w:rsid w:val="00742917"/>
    <w:rsid w:val="007436FC"/>
    <w:rsid w:val="007446E1"/>
    <w:rsid w:val="007456C5"/>
    <w:rsid w:val="00746A36"/>
    <w:rsid w:val="007478D7"/>
    <w:rsid w:val="0075111C"/>
    <w:rsid w:val="0075176F"/>
    <w:rsid w:val="007529F3"/>
    <w:rsid w:val="0075311D"/>
    <w:rsid w:val="007578C3"/>
    <w:rsid w:val="007601AE"/>
    <w:rsid w:val="0076097B"/>
    <w:rsid w:val="00763814"/>
    <w:rsid w:val="00763ED9"/>
    <w:rsid w:val="0076594E"/>
    <w:rsid w:val="00767AB0"/>
    <w:rsid w:val="00767D49"/>
    <w:rsid w:val="007712AD"/>
    <w:rsid w:val="00771F5E"/>
    <w:rsid w:val="00775002"/>
    <w:rsid w:val="00783F52"/>
    <w:rsid w:val="007848FF"/>
    <w:rsid w:val="00785AD2"/>
    <w:rsid w:val="00786E84"/>
    <w:rsid w:val="00787122"/>
    <w:rsid w:val="0078781A"/>
    <w:rsid w:val="0079058B"/>
    <w:rsid w:val="007932CB"/>
    <w:rsid w:val="0079402B"/>
    <w:rsid w:val="007941A9"/>
    <w:rsid w:val="00794949"/>
    <w:rsid w:val="00796FF4"/>
    <w:rsid w:val="007A0B9A"/>
    <w:rsid w:val="007A12CB"/>
    <w:rsid w:val="007A1581"/>
    <w:rsid w:val="007A4536"/>
    <w:rsid w:val="007A464A"/>
    <w:rsid w:val="007A47B8"/>
    <w:rsid w:val="007A6FAB"/>
    <w:rsid w:val="007B0381"/>
    <w:rsid w:val="007B1397"/>
    <w:rsid w:val="007B1C65"/>
    <w:rsid w:val="007B2044"/>
    <w:rsid w:val="007B63B7"/>
    <w:rsid w:val="007C028F"/>
    <w:rsid w:val="007C134E"/>
    <w:rsid w:val="007C240D"/>
    <w:rsid w:val="007C360F"/>
    <w:rsid w:val="007C3AA7"/>
    <w:rsid w:val="007C3CCD"/>
    <w:rsid w:val="007C3FCF"/>
    <w:rsid w:val="007C6621"/>
    <w:rsid w:val="007D0465"/>
    <w:rsid w:val="007D1CE7"/>
    <w:rsid w:val="007D3F55"/>
    <w:rsid w:val="007D44C4"/>
    <w:rsid w:val="007D457C"/>
    <w:rsid w:val="007D5D54"/>
    <w:rsid w:val="007D61A9"/>
    <w:rsid w:val="007D6A50"/>
    <w:rsid w:val="007D6AEA"/>
    <w:rsid w:val="007E0956"/>
    <w:rsid w:val="007E1A18"/>
    <w:rsid w:val="007E31E6"/>
    <w:rsid w:val="007E375B"/>
    <w:rsid w:val="007E3B79"/>
    <w:rsid w:val="007E45E3"/>
    <w:rsid w:val="007E5654"/>
    <w:rsid w:val="007E5FAC"/>
    <w:rsid w:val="007E60C8"/>
    <w:rsid w:val="007E74EA"/>
    <w:rsid w:val="007E76A5"/>
    <w:rsid w:val="007F03A2"/>
    <w:rsid w:val="007F45F2"/>
    <w:rsid w:val="007F4C9D"/>
    <w:rsid w:val="007F6137"/>
    <w:rsid w:val="007F6C54"/>
    <w:rsid w:val="00800003"/>
    <w:rsid w:val="00801C95"/>
    <w:rsid w:val="00801CEE"/>
    <w:rsid w:val="0080258D"/>
    <w:rsid w:val="0080287B"/>
    <w:rsid w:val="00806C9D"/>
    <w:rsid w:val="00806F4E"/>
    <w:rsid w:val="008075DA"/>
    <w:rsid w:val="00807713"/>
    <w:rsid w:val="0081199D"/>
    <w:rsid w:val="00812D4B"/>
    <w:rsid w:val="00813899"/>
    <w:rsid w:val="008139D0"/>
    <w:rsid w:val="00813B81"/>
    <w:rsid w:val="00814C40"/>
    <w:rsid w:val="008151B1"/>
    <w:rsid w:val="008151D9"/>
    <w:rsid w:val="0081644A"/>
    <w:rsid w:val="00816893"/>
    <w:rsid w:val="00816C41"/>
    <w:rsid w:val="008213E0"/>
    <w:rsid w:val="0082268C"/>
    <w:rsid w:val="008237E3"/>
    <w:rsid w:val="00823AB7"/>
    <w:rsid w:val="00824037"/>
    <w:rsid w:val="00824FE8"/>
    <w:rsid w:val="008274FD"/>
    <w:rsid w:val="00827C6A"/>
    <w:rsid w:val="0083147B"/>
    <w:rsid w:val="00832D12"/>
    <w:rsid w:val="00833492"/>
    <w:rsid w:val="00833644"/>
    <w:rsid w:val="00833680"/>
    <w:rsid w:val="00833D0E"/>
    <w:rsid w:val="0083528A"/>
    <w:rsid w:val="00835A10"/>
    <w:rsid w:val="0084156E"/>
    <w:rsid w:val="00841B62"/>
    <w:rsid w:val="00842D8A"/>
    <w:rsid w:val="00842FC1"/>
    <w:rsid w:val="008439D6"/>
    <w:rsid w:val="008440CA"/>
    <w:rsid w:val="008444A8"/>
    <w:rsid w:val="008454AE"/>
    <w:rsid w:val="008511BF"/>
    <w:rsid w:val="00851262"/>
    <w:rsid w:val="00852730"/>
    <w:rsid w:val="008527BF"/>
    <w:rsid w:val="008538EF"/>
    <w:rsid w:val="008551CC"/>
    <w:rsid w:val="008565A9"/>
    <w:rsid w:val="0086283F"/>
    <w:rsid w:val="00862AE0"/>
    <w:rsid w:val="00862E3A"/>
    <w:rsid w:val="00865AA7"/>
    <w:rsid w:val="00865BAF"/>
    <w:rsid w:val="00867433"/>
    <w:rsid w:val="00870B60"/>
    <w:rsid w:val="008723C3"/>
    <w:rsid w:val="00873FED"/>
    <w:rsid w:val="00874CD5"/>
    <w:rsid w:val="00874F8C"/>
    <w:rsid w:val="0087724E"/>
    <w:rsid w:val="00881457"/>
    <w:rsid w:val="0088324D"/>
    <w:rsid w:val="00883257"/>
    <w:rsid w:val="00883428"/>
    <w:rsid w:val="00887C47"/>
    <w:rsid w:val="0089116B"/>
    <w:rsid w:val="00893C36"/>
    <w:rsid w:val="00894241"/>
    <w:rsid w:val="00894B7F"/>
    <w:rsid w:val="00894DAA"/>
    <w:rsid w:val="0089574F"/>
    <w:rsid w:val="00896A76"/>
    <w:rsid w:val="00897999"/>
    <w:rsid w:val="008A0A66"/>
    <w:rsid w:val="008A1D97"/>
    <w:rsid w:val="008A349B"/>
    <w:rsid w:val="008A4200"/>
    <w:rsid w:val="008A54F2"/>
    <w:rsid w:val="008A5DDC"/>
    <w:rsid w:val="008B0D44"/>
    <w:rsid w:val="008B4BFF"/>
    <w:rsid w:val="008B7236"/>
    <w:rsid w:val="008B752F"/>
    <w:rsid w:val="008C0579"/>
    <w:rsid w:val="008C247E"/>
    <w:rsid w:val="008C2562"/>
    <w:rsid w:val="008C4030"/>
    <w:rsid w:val="008C4745"/>
    <w:rsid w:val="008C4811"/>
    <w:rsid w:val="008C529A"/>
    <w:rsid w:val="008C5C3F"/>
    <w:rsid w:val="008C6A0F"/>
    <w:rsid w:val="008D0075"/>
    <w:rsid w:val="008D0160"/>
    <w:rsid w:val="008D1571"/>
    <w:rsid w:val="008D2307"/>
    <w:rsid w:val="008D4898"/>
    <w:rsid w:val="008D6494"/>
    <w:rsid w:val="008D7057"/>
    <w:rsid w:val="008D789A"/>
    <w:rsid w:val="008E0428"/>
    <w:rsid w:val="008E052C"/>
    <w:rsid w:val="008E05E7"/>
    <w:rsid w:val="008E0BD8"/>
    <w:rsid w:val="008E1748"/>
    <w:rsid w:val="008E2ACD"/>
    <w:rsid w:val="008E2FC7"/>
    <w:rsid w:val="008E5FBC"/>
    <w:rsid w:val="008E6AD7"/>
    <w:rsid w:val="008E70A4"/>
    <w:rsid w:val="008E7533"/>
    <w:rsid w:val="008F08FF"/>
    <w:rsid w:val="008F092F"/>
    <w:rsid w:val="008F40D8"/>
    <w:rsid w:val="008F655A"/>
    <w:rsid w:val="008F6E5A"/>
    <w:rsid w:val="008F7063"/>
    <w:rsid w:val="008F71E1"/>
    <w:rsid w:val="0090006F"/>
    <w:rsid w:val="00900763"/>
    <w:rsid w:val="00900A9D"/>
    <w:rsid w:val="009010D5"/>
    <w:rsid w:val="00903814"/>
    <w:rsid w:val="00904C4C"/>
    <w:rsid w:val="009050D5"/>
    <w:rsid w:val="009058DE"/>
    <w:rsid w:val="00906CBB"/>
    <w:rsid w:val="0090732E"/>
    <w:rsid w:val="00910279"/>
    <w:rsid w:val="009109D5"/>
    <w:rsid w:val="00910CFA"/>
    <w:rsid w:val="009117AA"/>
    <w:rsid w:val="00913646"/>
    <w:rsid w:val="00915E53"/>
    <w:rsid w:val="0091687D"/>
    <w:rsid w:val="00916D36"/>
    <w:rsid w:val="00920C96"/>
    <w:rsid w:val="00921934"/>
    <w:rsid w:val="00922A9D"/>
    <w:rsid w:val="0092413B"/>
    <w:rsid w:val="00927238"/>
    <w:rsid w:val="00933B9E"/>
    <w:rsid w:val="0093412B"/>
    <w:rsid w:val="009369DD"/>
    <w:rsid w:val="009400C7"/>
    <w:rsid w:val="00941127"/>
    <w:rsid w:val="0094163C"/>
    <w:rsid w:val="00941DA2"/>
    <w:rsid w:val="00942484"/>
    <w:rsid w:val="00943649"/>
    <w:rsid w:val="00944BED"/>
    <w:rsid w:val="00944E56"/>
    <w:rsid w:val="00947140"/>
    <w:rsid w:val="00950C80"/>
    <w:rsid w:val="0095107C"/>
    <w:rsid w:val="009520D2"/>
    <w:rsid w:val="00952EB0"/>
    <w:rsid w:val="0095321B"/>
    <w:rsid w:val="00953F92"/>
    <w:rsid w:val="00954D1F"/>
    <w:rsid w:val="00955751"/>
    <w:rsid w:val="00956475"/>
    <w:rsid w:val="00956646"/>
    <w:rsid w:val="00956E71"/>
    <w:rsid w:val="00957645"/>
    <w:rsid w:val="00957BC2"/>
    <w:rsid w:val="00957C69"/>
    <w:rsid w:val="00957FE3"/>
    <w:rsid w:val="0096003D"/>
    <w:rsid w:val="00961054"/>
    <w:rsid w:val="009634DD"/>
    <w:rsid w:val="00963F9A"/>
    <w:rsid w:val="00964429"/>
    <w:rsid w:val="009671CD"/>
    <w:rsid w:val="00967BD9"/>
    <w:rsid w:val="0097036A"/>
    <w:rsid w:val="009708A5"/>
    <w:rsid w:val="009711D3"/>
    <w:rsid w:val="00971518"/>
    <w:rsid w:val="00972574"/>
    <w:rsid w:val="00972CCD"/>
    <w:rsid w:val="009740FB"/>
    <w:rsid w:val="0097433D"/>
    <w:rsid w:val="00974DAF"/>
    <w:rsid w:val="009767B0"/>
    <w:rsid w:val="00977953"/>
    <w:rsid w:val="00977B3D"/>
    <w:rsid w:val="00977FB5"/>
    <w:rsid w:val="00981DC6"/>
    <w:rsid w:val="0098201A"/>
    <w:rsid w:val="00982905"/>
    <w:rsid w:val="00984359"/>
    <w:rsid w:val="0098592B"/>
    <w:rsid w:val="00986C3C"/>
    <w:rsid w:val="00990BD1"/>
    <w:rsid w:val="00993110"/>
    <w:rsid w:val="00994475"/>
    <w:rsid w:val="00994862"/>
    <w:rsid w:val="009954E5"/>
    <w:rsid w:val="00995595"/>
    <w:rsid w:val="009964F2"/>
    <w:rsid w:val="009A0865"/>
    <w:rsid w:val="009A1AA4"/>
    <w:rsid w:val="009A1ACC"/>
    <w:rsid w:val="009A2357"/>
    <w:rsid w:val="009A2D43"/>
    <w:rsid w:val="009A2E3F"/>
    <w:rsid w:val="009A41ED"/>
    <w:rsid w:val="009A45E6"/>
    <w:rsid w:val="009A4B78"/>
    <w:rsid w:val="009A5897"/>
    <w:rsid w:val="009A5DB5"/>
    <w:rsid w:val="009B154D"/>
    <w:rsid w:val="009B26AC"/>
    <w:rsid w:val="009B50E4"/>
    <w:rsid w:val="009B5640"/>
    <w:rsid w:val="009B63BE"/>
    <w:rsid w:val="009C29D1"/>
    <w:rsid w:val="009C3563"/>
    <w:rsid w:val="009C512B"/>
    <w:rsid w:val="009C528C"/>
    <w:rsid w:val="009C52F1"/>
    <w:rsid w:val="009C666F"/>
    <w:rsid w:val="009D0A16"/>
    <w:rsid w:val="009D3468"/>
    <w:rsid w:val="009D36B3"/>
    <w:rsid w:val="009D52D4"/>
    <w:rsid w:val="009D724D"/>
    <w:rsid w:val="009E11C6"/>
    <w:rsid w:val="009E17F8"/>
    <w:rsid w:val="009E2219"/>
    <w:rsid w:val="009E2815"/>
    <w:rsid w:val="009E2FDE"/>
    <w:rsid w:val="009E409F"/>
    <w:rsid w:val="009E4144"/>
    <w:rsid w:val="009E6195"/>
    <w:rsid w:val="009E7D0E"/>
    <w:rsid w:val="009F0F8C"/>
    <w:rsid w:val="009F1398"/>
    <w:rsid w:val="009F2352"/>
    <w:rsid w:val="009F4DD3"/>
    <w:rsid w:val="009F611A"/>
    <w:rsid w:val="009F634D"/>
    <w:rsid w:val="009F639D"/>
    <w:rsid w:val="009F6594"/>
    <w:rsid w:val="009F7949"/>
    <w:rsid w:val="00A002EC"/>
    <w:rsid w:val="00A0127A"/>
    <w:rsid w:val="00A0248B"/>
    <w:rsid w:val="00A0288A"/>
    <w:rsid w:val="00A03562"/>
    <w:rsid w:val="00A03869"/>
    <w:rsid w:val="00A04E62"/>
    <w:rsid w:val="00A0503A"/>
    <w:rsid w:val="00A0513E"/>
    <w:rsid w:val="00A114D4"/>
    <w:rsid w:val="00A12F4A"/>
    <w:rsid w:val="00A132A2"/>
    <w:rsid w:val="00A16E4A"/>
    <w:rsid w:val="00A17348"/>
    <w:rsid w:val="00A206D7"/>
    <w:rsid w:val="00A2103B"/>
    <w:rsid w:val="00A22270"/>
    <w:rsid w:val="00A23E35"/>
    <w:rsid w:val="00A24F09"/>
    <w:rsid w:val="00A2607F"/>
    <w:rsid w:val="00A2695E"/>
    <w:rsid w:val="00A27CB8"/>
    <w:rsid w:val="00A30E48"/>
    <w:rsid w:val="00A32560"/>
    <w:rsid w:val="00A34225"/>
    <w:rsid w:val="00A342E0"/>
    <w:rsid w:val="00A4092C"/>
    <w:rsid w:val="00A419CF"/>
    <w:rsid w:val="00A4249E"/>
    <w:rsid w:val="00A44DEE"/>
    <w:rsid w:val="00A45096"/>
    <w:rsid w:val="00A45599"/>
    <w:rsid w:val="00A45B14"/>
    <w:rsid w:val="00A50060"/>
    <w:rsid w:val="00A50CED"/>
    <w:rsid w:val="00A52CAE"/>
    <w:rsid w:val="00A54350"/>
    <w:rsid w:val="00A54E80"/>
    <w:rsid w:val="00A56167"/>
    <w:rsid w:val="00A568F3"/>
    <w:rsid w:val="00A57508"/>
    <w:rsid w:val="00A57793"/>
    <w:rsid w:val="00A60C03"/>
    <w:rsid w:val="00A62E30"/>
    <w:rsid w:val="00A641B8"/>
    <w:rsid w:val="00A66080"/>
    <w:rsid w:val="00A66E54"/>
    <w:rsid w:val="00A67471"/>
    <w:rsid w:val="00A67DB7"/>
    <w:rsid w:val="00A713B1"/>
    <w:rsid w:val="00A714E9"/>
    <w:rsid w:val="00A715FE"/>
    <w:rsid w:val="00A71F03"/>
    <w:rsid w:val="00A7202D"/>
    <w:rsid w:val="00A73FDD"/>
    <w:rsid w:val="00A759EE"/>
    <w:rsid w:val="00A75EC1"/>
    <w:rsid w:val="00A76F89"/>
    <w:rsid w:val="00A812A7"/>
    <w:rsid w:val="00A81DF6"/>
    <w:rsid w:val="00A826BF"/>
    <w:rsid w:val="00A85DCC"/>
    <w:rsid w:val="00A85E5A"/>
    <w:rsid w:val="00A87BA8"/>
    <w:rsid w:val="00A87F74"/>
    <w:rsid w:val="00A929F6"/>
    <w:rsid w:val="00A92AD9"/>
    <w:rsid w:val="00A93B69"/>
    <w:rsid w:val="00A95E7D"/>
    <w:rsid w:val="00A96A66"/>
    <w:rsid w:val="00A96E1A"/>
    <w:rsid w:val="00A96F39"/>
    <w:rsid w:val="00A97345"/>
    <w:rsid w:val="00AA168F"/>
    <w:rsid w:val="00AA2449"/>
    <w:rsid w:val="00AA29AF"/>
    <w:rsid w:val="00AA3307"/>
    <w:rsid w:val="00AA3C9F"/>
    <w:rsid w:val="00AA4649"/>
    <w:rsid w:val="00AA7FCA"/>
    <w:rsid w:val="00AB0FF2"/>
    <w:rsid w:val="00AB2335"/>
    <w:rsid w:val="00AB329D"/>
    <w:rsid w:val="00AB3CD8"/>
    <w:rsid w:val="00AB6154"/>
    <w:rsid w:val="00AB6FD8"/>
    <w:rsid w:val="00AB7F93"/>
    <w:rsid w:val="00AC087F"/>
    <w:rsid w:val="00AC0B3D"/>
    <w:rsid w:val="00AC18EE"/>
    <w:rsid w:val="00AC41FD"/>
    <w:rsid w:val="00AC45B9"/>
    <w:rsid w:val="00AC523C"/>
    <w:rsid w:val="00AC539E"/>
    <w:rsid w:val="00AC5F9F"/>
    <w:rsid w:val="00AC7D55"/>
    <w:rsid w:val="00AD1C4A"/>
    <w:rsid w:val="00AD2F11"/>
    <w:rsid w:val="00AD32C2"/>
    <w:rsid w:val="00AD570C"/>
    <w:rsid w:val="00AD5A48"/>
    <w:rsid w:val="00AD7391"/>
    <w:rsid w:val="00AD74BF"/>
    <w:rsid w:val="00AE1DC1"/>
    <w:rsid w:val="00AE3533"/>
    <w:rsid w:val="00AE528F"/>
    <w:rsid w:val="00AE5324"/>
    <w:rsid w:val="00AE570E"/>
    <w:rsid w:val="00AE5D4F"/>
    <w:rsid w:val="00AE6100"/>
    <w:rsid w:val="00AE656E"/>
    <w:rsid w:val="00AE6DC4"/>
    <w:rsid w:val="00AE7570"/>
    <w:rsid w:val="00AF08B8"/>
    <w:rsid w:val="00AF0D34"/>
    <w:rsid w:val="00AF15AA"/>
    <w:rsid w:val="00AF2ABD"/>
    <w:rsid w:val="00AF3F4B"/>
    <w:rsid w:val="00AF4211"/>
    <w:rsid w:val="00AF4AA0"/>
    <w:rsid w:val="00AF4B9F"/>
    <w:rsid w:val="00AF6749"/>
    <w:rsid w:val="00AF68BD"/>
    <w:rsid w:val="00AF6D81"/>
    <w:rsid w:val="00B0037B"/>
    <w:rsid w:val="00B00899"/>
    <w:rsid w:val="00B0216D"/>
    <w:rsid w:val="00B02881"/>
    <w:rsid w:val="00B034AC"/>
    <w:rsid w:val="00B052C3"/>
    <w:rsid w:val="00B05D97"/>
    <w:rsid w:val="00B07CA0"/>
    <w:rsid w:val="00B11565"/>
    <w:rsid w:val="00B1179D"/>
    <w:rsid w:val="00B11988"/>
    <w:rsid w:val="00B1379A"/>
    <w:rsid w:val="00B13DB1"/>
    <w:rsid w:val="00B15FF8"/>
    <w:rsid w:val="00B17D03"/>
    <w:rsid w:val="00B209E3"/>
    <w:rsid w:val="00B2115D"/>
    <w:rsid w:val="00B21E5B"/>
    <w:rsid w:val="00B238BD"/>
    <w:rsid w:val="00B23B30"/>
    <w:rsid w:val="00B24774"/>
    <w:rsid w:val="00B248DD"/>
    <w:rsid w:val="00B2494E"/>
    <w:rsid w:val="00B25616"/>
    <w:rsid w:val="00B300E7"/>
    <w:rsid w:val="00B306DF"/>
    <w:rsid w:val="00B322F1"/>
    <w:rsid w:val="00B3370B"/>
    <w:rsid w:val="00B337E3"/>
    <w:rsid w:val="00B34272"/>
    <w:rsid w:val="00B34D03"/>
    <w:rsid w:val="00B37E7C"/>
    <w:rsid w:val="00B40822"/>
    <w:rsid w:val="00B41E99"/>
    <w:rsid w:val="00B42894"/>
    <w:rsid w:val="00B43988"/>
    <w:rsid w:val="00B44E0A"/>
    <w:rsid w:val="00B455A6"/>
    <w:rsid w:val="00B455BF"/>
    <w:rsid w:val="00B457CD"/>
    <w:rsid w:val="00B4674F"/>
    <w:rsid w:val="00B46C41"/>
    <w:rsid w:val="00B51E45"/>
    <w:rsid w:val="00B51EA8"/>
    <w:rsid w:val="00B52858"/>
    <w:rsid w:val="00B5297E"/>
    <w:rsid w:val="00B552ED"/>
    <w:rsid w:val="00B57D63"/>
    <w:rsid w:val="00B64BCA"/>
    <w:rsid w:val="00B72F51"/>
    <w:rsid w:val="00B734D0"/>
    <w:rsid w:val="00B74A95"/>
    <w:rsid w:val="00B75245"/>
    <w:rsid w:val="00B757AB"/>
    <w:rsid w:val="00B75B0C"/>
    <w:rsid w:val="00B76276"/>
    <w:rsid w:val="00B77ADD"/>
    <w:rsid w:val="00B77E4F"/>
    <w:rsid w:val="00B8378B"/>
    <w:rsid w:val="00B837B0"/>
    <w:rsid w:val="00B83DCA"/>
    <w:rsid w:val="00B84B88"/>
    <w:rsid w:val="00B90048"/>
    <w:rsid w:val="00B91A2E"/>
    <w:rsid w:val="00B92D15"/>
    <w:rsid w:val="00B92D9A"/>
    <w:rsid w:val="00B95A31"/>
    <w:rsid w:val="00B979A5"/>
    <w:rsid w:val="00B97BEB"/>
    <w:rsid w:val="00B97C94"/>
    <w:rsid w:val="00BA04BA"/>
    <w:rsid w:val="00BA1F5A"/>
    <w:rsid w:val="00BA268A"/>
    <w:rsid w:val="00BA4BA8"/>
    <w:rsid w:val="00BA4BC5"/>
    <w:rsid w:val="00BB0BCD"/>
    <w:rsid w:val="00BB2931"/>
    <w:rsid w:val="00BB5462"/>
    <w:rsid w:val="00BB7785"/>
    <w:rsid w:val="00BC05D4"/>
    <w:rsid w:val="00BC2449"/>
    <w:rsid w:val="00BC25A6"/>
    <w:rsid w:val="00BC2FBF"/>
    <w:rsid w:val="00BC4367"/>
    <w:rsid w:val="00BC4797"/>
    <w:rsid w:val="00BC6263"/>
    <w:rsid w:val="00BC6DDD"/>
    <w:rsid w:val="00BD1D25"/>
    <w:rsid w:val="00BD1EDE"/>
    <w:rsid w:val="00BD23CD"/>
    <w:rsid w:val="00BD28C1"/>
    <w:rsid w:val="00BD2941"/>
    <w:rsid w:val="00BD3126"/>
    <w:rsid w:val="00BD3E9D"/>
    <w:rsid w:val="00BD4880"/>
    <w:rsid w:val="00BD6195"/>
    <w:rsid w:val="00BD66C5"/>
    <w:rsid w:val="00BD6C67"/>
    <w:rsid w:val="00BE0E62"/>
    <w:rsid w:val="00BE1F09"/>
    <w:rsid w:val="00BE231E"/>
    <w:rsid w:val="00BE2D05"/>
    <w:rsid w:val="00BE39F7"/>
    <w:rsid w:val="00BE48CF"/>
    <w:rsid w:val="00BE4C93"/>
    <w:rsid w:val="00BE50B9"/>
    <w:rsid w:val="00BF0DEE"/>
    <w:rsid w:val="00BF0EC7"/>
    <w:rsid w:val="00BF110C"/>
    <w:rsid w:val="00BF1A5D"/>
    <w:rsid w:val="00BF23F6"/>
    <w:rsid w:val="00BF2B44"/>
    <w:rsid w:val="00BF3F28"/>
    <w:rsid w:val="00BF5EEB"/>
    <w:rsid w:val="00BF64DD"/>
    <w:rsid w:val="00BF7A2C"/>
    <w:rsid w:val="00BF7A93"/>
    <w:rsid w:val="00BF7B0B"/>
    <w:rsid w:val="00C00D5C"/>
    <w:rsid w:val="00C02486"/>
    <w:rsid w:val="00C04F90"/>
    <w:rsid w:val="00C05A4D"/>
    <w:rsid w:val="00C05C2F"/>
    <w:rsid w:val="00C07E7D"/>
    <w:rsid w:val="00C10318"/>
    <w:rsid w:val="00C10B98"/>
    <w:rsid w:val="00C10C67"/>
    <w:rsid w:val="00C1153A"/>
    <w:rsid w:val="00C119B7"/>
    <w:rsid w:val="00C120AF"/>
    <w:rsid w:val="00C126D9"/>
    <w:rsid w:val="00C127DF"/>
    <w:rsid w:val="00C138B3"/>
    <w:rsid w:val="00C15B04"/>
    <w:rsid w:val="00C170F7"/>
    <w:rsid w:val="00C2180A"/>
    <w:rsid w:val="00C23F48"/>
    <w:rsid w:val="00C24593"/>
    <w:rsid w:val="00C24D16"/>
    <w:rsid w:val="00C2569A"/>
    <w:rsid w:val="00C258FB"/>
    <w:rsid w:val="00C267C4"/>
    <w:rsid w:val="00C306E7"/>
    <w:rsid w:val="00C30778"/>
    <w:rsid w:val="00C31A9A"/>
    <w:rsid w:val="00C31F71"/>
    <w:rsid w:val="00C3203F"/>
    <w:rsid w:val="00C32803"/>
    <w:rsid w:val="00C32F38"/>
    <w:rsid w:val="00C425B0"/>
    <w:rsid w:val="00C4546B"/>
    <w:rsid w:val="00C45B7F"/>
    <w:rsid w:val="00C469F5"/>
    <w:rsid w:val="00C46DB0"/>
    <w:rsid w:val="00C500E6"/>
    <w:rsid w:val="00C5353C"/>
    <w:rsid w:val="00C54FED"/>
    <w:rsid w:val="00C565F8"/>
    <w:rsid w:val="00C578C6"/>
    <w:rsid w:val="00C60459"/>
    <w:rsid w:val="00C60BAB"/>
    <w:rsid w:val="00C610FA"/>
    <w:rsid w:val="00C613B4"/>
    <w:rsid w:val="00C61D83"/>
    <w:rsid w:val="00C62C44"/>
    <w:rsid w:val="00C632AB"/>
    <w:rsid w:val="00C634CA"/>
    <w:rsid w:val="00C644A8"/>
    <w:rsid w:val="00C65B1C"/>
    <w:rsid w:val="00C65C4D"/>
    <w:rsid w:val="00C663AC"/>
    <w:rsid w:val="00C66670"/>
    <w:rsid w:val="00C66EE1"/>
    <w:rsid w:val="00C7101B"/>
    <w:rsid w:val="00C7356D"/>
    <w:rsid w:val="00C73771"/>
    <w:rsid w:val="00C74557"/>
    <w:rsid w:val="00C75937"/>
    <w:rsid w:val="00C76C4B"/>
    <w:rsid w:val="00C77766"/>
    <w:rsid w:val="00C77883"/>
    <w:rsid w:val="00C806A3"/>
    <w:rsid w:val="00C81E19"/>
    <w:rsid w:val="00C845A6"/>
    <w:rsid w:val="00C85D23"/>
    <w:rsid w:val="00C863D5"/>
    <w:rsid w:val="00C92348"/>
    <w:rsid w:val="00C9239C"/>
    <w:rsid w:val="00C929EA"/>
    <w:rsid w:val="00C93756"/>
    <w:rsid w:val="00C93CD2"/>
    <w:rsid w:val="00C94B3C"/>
    <w:rsid w:val="00C96890"/>
    <w:rsid w:val="00C96BD7"/>
    <w:rsid w:val="00CA12B8"/>
    <w:rsid w:val="00CA1D7F"/>
    <w:rsid w:val="00CA2F68"/>
    <w:rsid w:val="00CA3A0E"/>
    <w:rsid w:val="00CA4149"/>
    <w:rsid w:val="00CA560C"/>
    <w:rsid w:val="00CA63AC"/>
    <w:rsid w:val="00CA6F4A"/>
    <w:rsid w:val="00CA7875"/>
    <w:rsid w:val="00CB11D3"/>
    <w:rsid w:val="00CB1CE8"/>
    <w:rsid w:val="00CB2237"/>
    <w:rsid w:val="00CB239A"/>
    <w:rsid w:val="00CB49C4"/>
    <w:rsid w:val="00CB4AE3"/>
    <w:rsid w:val="00CB5B47"/>
    <w:rsid w:val="00CB7E0F"/>
    <w:rsid w:val="00CC0197"/>
    <w:rsid w:val="00CC0ACC"/>
    <w:rsid w:val="00CC112F"/>
    <w:rsid w:val="00CC1168"/>
    <w:rsid w:val="00CC28E2"/>
    <w:rsid w:val="00CC297E"/>
    <w:rsid w:val="00CC2F4D"/>
    <w:rsid w:val="00CC348A"/>
    <w:rsid w:val="00CC3E4C"/>
    <w:rsid w:val="00CC3EA4"/>
    <w:rsid w:val="00CC5092"/>
    <w:rsid w:val="00CC5796"/>
    <w:rsid w:val="00CC5E53"/>
    <w:rsid w:val="00CC63BE"/>
    <w:rsid w:val="00CC6DC8"/>
    <w:rsid w:val="00CD0444"/>
    <w:rsid w:val="00CD059B"/>
    <w:rsid w:val="00CD18B5"/>
    <w:rsid w:val="00CD1DCE"/>
    <w:rsid w:val="00CD35C5"/>
    <w:rsid w:val="00CD461C"/>
    <w:rsid w:val="00CD4CC9"/>
    <w:rsid w:val="00CD602D"/>
    <w:rsid w:val="00CD7B2C"/>
    <w:rsid w:val="00CE07F7"/>
    <w:rsid w:val="00CE258D"/>
    <w:rsid w:val="00CE4033"/>
    <w:rsid w:val="00CE6167"/>
    <w:rsid w:val="00CE64F8"/>
    <w:rsid w:val="00CE79A3"/>
    <w:rsid w:val="00CE79EB"/>
    <w:rsid w:val="00CF0B46"/>
    <w:rsid w:val="00CF1204"/>
    <w:rsid w:val="00CF28E5"/>
    <w:rsid w:val="00CF2CFA"/>
    <w:rsid w:val="00CF6780"/>
    <w:rsid w:val="00D01F56"/>
    <w:rsid w:val="00D0341C"/>
    <w:rsid w:val="00D044EA"/>
    <w:rsid w:val="00D047ED"/>
    <w:rsid w:val="00D057BC"/>
    <w:rsid w:val="00D05D49"/>
    <w:rsid w:val="00D066B9"/>
    <w:rsid w:val="00D078EB"/>
    <w:rsid w:val="00D11A8A"/>
    <w:rsid w:val="00D11B49"/>
    <w:rsid w:val="00D13AE4"/>
    <w:rsid w:val="00D205E9"/>
    <w:rsid w:val="00D20F9F"/>
    <w:rsid w:val="00D221CA"/>
    <w:rsid w:val="00D235F4"/>
    <w:rsid w:val="00D240D1"/>
    <w:rsid w:val="00D24634"/>
    <w:rsid w:val="00D30AE9"/>
    <w:rsid w:val="00D30C76"/>
    <w:rsid w:val="00D31EB3"/>
    <w:rsid w:val="00D32643"/>
    <w:rsid w:val="00D32B95"/>
    <w:rsid w:val="00D337F1"/>
    <w:rsid w:val="00D35D1C"/>
    <w:rsid w:val="00D365AB"/>
    <w:rsid w:val="00D409E5"/>
    <w:rsid w:val="00D40FA3"/>
    <w:rsid w:val="00D415C6"/>
    <w:rsid w:val="00D42421"/>
    <w:rsid w:val="00D436D0"/>
    <w:rsid w:val="00D44C01"/>
    <w:rsid w:val="00D47E7C"/>
    <w:rsid w:val="00D526AD"/>
    <w:rsid w:val="00D539FB"/>
    <w:rsid w:val="00D542A7"/>
    <w:rsid w:val="00D54E5A"/>
    <w:rsid w:val="00D55452"/>
    <w:rsid w:val="00D55EAF"/>
    <w:rsid w:val="00D572A3"/>
    <w:rsid w:val="00D601BE"/>
    <w:rsid w:val="00D616FE"/>
    <w:rsid w:val="00D64024"/>
    <w:rsid w:val="00D6620B"/>
    <w:rsid w:val="00D66FCB"/>
    <w:rsid w:val="00D703D6"/>
    <w:rsid w:val="00D71509"/>
    <w:rsid w:val="00D720E2"/>
    <w:rsid w:val="00D72FA1"/>
    <w:rsid w:val="00D75A87"/>
    <w:rsid w:val="00D75E2E"/>
    <w:rsid w:val="00D776AA"/>
    <w:rsid w:val="00D77AF4"/>
    <w:rsid w:val="00D80EC1"/>
    <w:rsid w:val="00D8157E"/>
    <w:rsid w:val="00D81E72"/>
    <w:rsid w:val="00D82F78"/>
    <w:rsid w:val="00D8317D"/>
    <w:rsid w:val="00D83E92"/>
    <w:rsid w:val="00D86654"/>
    <w:rsid w:val="00D94B98"/>
    <w:rsid w:val="00D9606F"/>
    <w:rsid w:val="00D96341"/>
    <w:rsid w:val="00D96787"/>
    <w:rsid w:val="00D975FF"/>
    <w:rsid w:val="00DA488D"/>
    <w:rsid w:val="00DA4C68"/>
    <w:rsid w:val="00DA4FAA"/>
    <w:rsid w:val="00DA7577"/>
    <w:rsid w:val="00DA78C2"/>
    <w:rsid w:val="00DB17CE"/>
    <w:rsid w:val="00DB1C99"/>
    <w:rsid w:val="00DB1D78"/>
    <w:rsid w:val="00DB1FC0"/>
    <w:rsid w:val="00DB2A4E"/>
    <w:rsid w:val="00DB502A"/>
    <w:rsid w:val="00DB5699"/>
    <w:rsid w:val="00DB7BB6"/>
    <w:rsid w:val="00DB7FDF"/>
    <w:rsid w:val="00DC091F"/>
    <w:rsid w:val="00DC0C0A"/>
    <w:rsid w:val="00DC0EC5"/>
    <w:rsid w:val="00DC35F0"/>
    <w:rsid w:val="00DC5E6F"/>
    <w:rsid w:val="00DC5E85"/>
    <w:rsid w:val="00DD0362"/>
    <w:rsid w:val="00DD06D4"/>
    <w:rsid w:val="00DD2F12"/>
    <w:rsid w:val="00DD2F67"/>
    <w:rsid w:val="00DD30A7"/>
    <w:rsid w:val="00DD3112"/>
    <w:rsid w:val="00DD5776"/>
    <w:rsid w:val="00DD5E77"/>
    <w:rsid w:val="00DD7E75"/>
    <w:rsid w:val="00DE0B09"/>
    <w:rsid w:val="00DE0EFA"/>
    <w:rsid w:val="00DE2396"/>
    <w:rsid w:val="00DE2E2D"/>
    <w:rsid w:val="00DE364A"/>
    <w:rsid w:val="00DE5108"/>
    <w:rsid w:val="00DE6255"/>
    <w:rsid w:val="00DE6ED8"/>
    <w:rsid w:val="00DE7147"/>
    <w:rsid w:val="00DE7538"/>
    <w:rsid w:val="00DE7D27"/>
    <w:rsid w:val="00DF1310"/>
    <w:rsid w:val="00DF14F2"/>
    <w:rsid w:val="00DF1597"/>
    <w:rsid w:val="00DF1F45"/>
    <w:rsid w:val="00DF3AA2"/>
    <w:rsid w:val="00DF489C"/>
    <w:rsid w:val="00DF6756"/>
    <w:rsid w:val="00DF7F8D"/>
    <w:rsid w:val="00E02189"/>
    <w:rsid w:val="00E02272"/>
    <w:rsid w:val="00E02566"/>
    <w:rsid w:val="00E034F2"/>
    <w:rsid w:val="00E03BA0"/>
    <w:rsid w:val="00E042D5"/>
    <w:rsid w:val="00E0430A"/>
    <w:rsid w:val="00E049DC"/>
    <w:rsid w:val="00E07CD6"/>
    <w:rsid w:val="00E11E37"/>
    <w:rsid w:val="00E130CE"/>
    <w:rsid w:val="00E1311E"/>
    <w:rsid w:val="00E14B19"/>
    <w:rsid w:val="00E1536A"/>
    <w:rsid w:val="00E20377"/>
    <w:rsid w:val="00E205DD"/>
    <w:rsid w:val="00E20ABB"/>
    <w:rsid w:val="00E20D8D"/>
    <w:rsid w:val="00E20E04"/>
    <w:rsid w:val="00E21538"/>
    <w:rsid w:val="00E22504"/>
    <w:rsid w:val="00E24A79"/>
    <w:rsid w:val="00E2511C"/>
    <w:rsid w:val="00E30EE3"/>
    <w:rsid w:val="00E3147F"/>
    <w:rsid w:val="00E334E4"/>
    <w:rsid w:val="00E344A1"/>
    <w:rsid w:val="00E34885"/>
    <w:rsid w:val="00E356C1"/>
    <w:rsid w:val="00E37A3A"/>
    <w:rsid w:val="00E40BBA"/>
    <w:rsid w:val="00E40E46"/>
    <w:rsid w:val="00E41D52"/>
    <w:rsid w:val="00E42E9B"/>
    <w:rsid w:val="00E432F8"/>
    <w:rsid w:val="00E4363F"/>
    <w:rsid w:val="00E43684"/>
    <w:rsid w:val="00E45C03"/>
    <w:rsid w:val="00E47532"/>
    <w:rsid w:val="00E47DF5"/>
    <w:rsid w:val="00E50937"/>
    <w:rsid w:val="00E51B41"/>
    <w:rsid w:val="00E52BA6"/>
    <w:rsid w:val="00E54501"/>
    <w:rsid w:val="00E561AF"/>
    <w:rsid w:val="00E56B27"/>
    <w:rsid w:val="00E628FC"/>
    <w:rsid w:val="00E62971"/>
    <w:rsid w:val="00E63C58"/>
    <w:rsid w:val="00E6589A"/>
    <w:rsid w:val="00E67D79"/>
    <w:rsid w:val="00E7242F"/>
    <w:rsid w:val="00E727C7"/>
    <w:rsid w:val="00E72A9D"/>
    <w:rsid w:val="00E7731C"/>
    <w:rsid w:val="00E77D66"/>
    <w:rsid w:val="00E80BF6"/>
    <w:rsid w:val="00E81003"/>
    <w:rsid w:val="00E83180"/>
    <w:rsid w:val="00E84C17"/>
    <w:rsid w:val="00E858EB"/>
    <w:rsid w:val="00E90FDC"/>
    <w:rsid w:val="00E93137"/>
    <w:rsid w:val="00E93DC8"/>
    <w:rsid w:val="00EA0948"/>
    <w:rsid w:val="00EA1203"/>
    <w:rsid w:val="00EA15CF"/>
    <w:rsid w:val="00EA19FC"/>
    <w:rsid w:val="00EA2897"/>
    <w:rsid w:val="00EA4222"/>
    <w:rsid w:val="00EA4F54"/>
    <w:rsid w:val="00EA5743"/>
    <w:rsid w:val="00EA62D8"/>
    <w:rsid w:val="00EB004E"/>
    <w:rsid w:val="00EB0054"/>
    <w:rsid w:val="00EB049D"/>
    <w:rsid w:val="00EB04C8"/>
    <w:rsid w:val="00EB0FFF"/>
    <w:rsid w:val="00EB1299"/>
    <w:rsid w:val="00EB141F"/>
    <w:rsid w:val="00EB1660"/>
    <w:rsid w:val="00EB18E2"/>
    <w:rsid w:val="00EB1A33"/>
    <w:rsid w:val="00EB21DD"/>
    <w:rsid w:val="00EB3FCC"/>
    <w:rsid w:val="00EB4B42"/>
    <w:rsid w:val="00EB52F1"/>
    <w:rsid w:val="00EB5368"/>
    <w:rsid w:val="00EB7969"/>
    <w:rsid w:val="00EC1ADE"/>
    <w:rsid w:val="00EC1D78"/>
    <w:rsid w:val="00EC334E"/>
    <w:rsid w:val="00EC3478"/>
    <w:rsid w:val="00EC34D3"/>
    <w:rsid w:val="00EC6A89"/>
    <w:rsid w:val="00ED11E4"/>
    <w:rsid w:val="00ED3390"/>
    <w:rsid w:val="00ED348F"/>
    <w:rsid w:val="00ED4EB9"/>
    <w:rsid w:val="00ED5F26"/>
    <w:rsid w:val="00ED6F13"/>
    <w:rsid w:val="00ED7E51"/>
    <w:rsid w:val="00EE05FC"/>
    <w:rsid w:val="00EE0785"/>
    <w:rsid w:val="00EE1257"/>
    <w:rsid w:val="00EE16CE"/>
    <w:rsid w:val="00EE17F2"/>
    <w:rsid w:val="00EE38AE"/>
    <w:rsid w:val="00EE4459"/>
    <w:rsid w:val="00EE50B4"/>
    <w:rsid w:val="00EE5734"/>
    <w:rsid w:val="00EE5A78"/>
    <w:rsid w:val="00EE660A"/>
    <w:rsid w:val="00EF1590"/>
    <w:rsid w:val="00EF21EF"/>
    <w:rsid w:val="00EF2AF0"/>
    <w:rsid w:val="00EF3AF2"/>
    <w:rsid w:val="00EF4ED8"/>
    <w:rsid w:val="00EF54D3"/>
    <w:rsid w:val="00EF5652"/>
    <w:rsid w:val="00EF5CA2"/>
    <w:rsid w:val="00EF6406"/>
    <w:rsid w:val="00EF6626"/>
    <w:rsid w:val="00EF6EEA"/>
    <w:rsid w:val="00EF7297"/>
    <w:rsid w:val="00EF72DD"/>
    <w:rsid w:val="00EF73B9"/>
    <w:rsid w:val="00EF7BF7"/>
    <w:rsid w:val="00F03B89"/>
    <w:rsid w:val="00F04E29"/>
    <w:rsid w:val="00F05426"/>
    <w:rsid w:val="00F05594"/>
    <w:rsid w:val="00F077B5"/>
    <w:rsid w:val="00F108B3"/>
    <w:rsid w:val="00F10D18"/>
    <w:rsid w:val="00F13006"/>
    <w:rsid w:val="00F13AC4"/>
    <w:rsid w:val="00F148DD"/>
    <w:rsid w:val="00F151A0"/>
    <w:rsid w:val="00F16E9D"/>
    <w:rsid w:val="00F17058"/>
    <w:rsid w:val="00F17150"/>
    <w:rsid w:val="00F2192E"/>
    <w:rsid w:val="00F21FD2"/>
    <w:rsid w:val="00F2231D"/>
    <w:rsid w:val="00F22E1A"/>
    <w:rsid w:val="00F24A70"/>
    <w:rsid w:val="00F24DB5"/>
    <w:rsid w:val="00F250BF"/>
    <w:rsid w:val="00F251E8"/>
    <w:rsid w:val="00F26ABF"/>
    <w:rsid w:val="00F27817"/>
    <w:rsid w:val="00F30E39"/>
    <w:rsid w:val="00F30FBE"/>
    <w:rsid w:val="00F31952"/>
    <w:rsid w:val="00F31D3C"/>
    <w:rsid w:val="00F32070"/>
    <w:rsid w:val="00F32217"/>
    <w:rsid w:val="00F33F2E"/>
    <w:rsid w:val="00F347F4"/>
    <w:rsid w:val="00F414F2"/>
    <w:rsid w:val="00F41A20"/>
    <w:rsid w:val="00F41E6A"/>
    <w:rsid w:val="00F42430"/>
    <w:rsid w:val="00F42A03"/>
    <w:rsid w:val="00F42FF3"/>
    <w:rsid w:val="00F43401"/>
    <w:rsid w:val="00F43DDE"/>
    <w:rsid w:val="00F43FE9"/>
    <w:rsid w:val="00F44180"/>
    <w:rsid w:val="00F44F67"/>
    <w:rsid w:val="00F45205"/>
    <w:rsid w:val="00F45911"/>
    <w:rsid w:val="00F51017"/>
    <w:rsid w:val="00F51901"/>
    <w:rsid w:val="00F52082"/>
    <w:rsid w:val="00F52784"/>
    <w:rsid w:val="00F54E86"/>
    <w:rsid w:val="00F54EBD"/>
    <w:rsid w:val="00F5508E"/>
    <w:rsid w:val="00F554FB"/>
    <w:rsid w:val="00F557B0"/>
    <w:rsid w:val="00F55E0C"/>
    <w:rsid w:val="00F5694E"/>
    <w:rsid w:val="00F56E96"/>
    <w:rsid w:val="00F572B2"/>
    <w:rsid w:val="00F605E4"/>
    <w:rsid w:val="00F60D96"/>
    <w:rsid w:val="00F612A4"/>
    <w:rsid w:val="00F62718"/>
    <w:rsid w:val="00F62CDB"/>
    <w:rsid w:val="00F6352E"/>
    <w:rsid w:val="00F63880"/>
    <w:rsid w:val="00F64D8F"/>
    <w:rsid w:val="00F65ABD"/>
    <w:rsid w:val="00F65B88"/>
    <w:rsid w:val="00F65DFE"/>
    <w:rsid w:val="00F663A3"/>
    <w:rsid w:val="00F677C3"/>
    <w:rsid w:val="00F700F4"/>
    <w:rsid w:val="00F7059D"/>
    <w:rsid w:val="00F71123"/>
    <w:rsid w:val="00F7155B"/>
    <w:rsid w:val="00F717EF"/>
    <w:rsid w:val="00F7338F"/>
    <w:rsid w:val="00F73B7B"/>
    <w:rsid w:val="00F7423B"/>
    <w:rsid w:val="00F74AF2"/>
    <w:rsid w:val="00F75115"/>
    <w:rsid w:val="00F752CF"/>
    <w:rsid w:val="00F76508"/>
    <w:rsid w:val="00F770EC"/>
    <w:rsid w:val="00F81615"/>
    <w:rsid w:val="00F81B58"/>
    <w:rsid w:val="00F82F75"/>
    <w:rsid w:val="00F835BC"/>
    <w:rsid w:val="00F847B7"/>
    <w:rsid w:val="00F8772A"/>
    <w:rsid w:val="00F90A1B"/>
    <w:rsid w:val="00F93020"/>
    <w:rsid w:val="00F93676"/>
    <w:rsid w:val="00F93A0C"/>
    <w:rsid w:val="00F948C0"/>
    <w:rsid w:val="00F94FCE"/>
    <w:rsid w:val="00F95520"/>
    <w:rsid w:val="00F976F3"/>
    <w:rsid w:val="00FA0517"/>
    <w:rsid w:val="00FA0FA4"/>
    <w:rsid w:val="00FA139D"/>
    <w:rsid w:val="00FA4EFB"/>
    <w:rsid w:val="00FA5818"/>
    <w:rsid w:val="00FA5C1D"/>
    <w:rsid w:val="00FA5D33"/>
    <w:rsid w:val="00FA6AB1"/>
    <w:rsid w:val="00FA6E1F"/>
    <w:rsid w:val="00FA6E6A"/>
    <w:rsid w:val="00FB021D"/>
    <w:rsid w:val="00FB3C4E"/>
    <w:rsid w:val="00FB4750"/>
    <w:rsid w:val="00FB47A2"/>
    <w:rsid w:val="00FB5564"/>
    <w:rsid w:val="00FB7028"/>
    <w:rsid w:val="00FB7093"/>
    <w:rsid w:val="00FB7F98"/>
    <w:rsid w:val="00FC1631"/>
    <w:rsid w:val="00FC242F"/>
    <w:rsid w:val="00FC2484"/>
    <w:rsid w:val="00FC2BD9"/>
    <w:rsid w:val="00FC2D0F"/>
    <w:rsid w:val="00FC4AA8"/>
    <w:rsid w:val="00FC6A46"/>
    <w:rsid w:val="00FC79DA"/>
    <w:rsid w:val="00FD08D9"/>
    <w:rsid w:val="00FD235F"/>
    <w:rsid w:val="00FD3402"/>
    <w:rsid w:val="00FD4D1D"/>
    <w:rsid w:val="00FD626E"/>
    <w:rsid w:val="00FD64F7"/>
    <w:rsid w:val="00FD7415"/>
    <w:rsid w:val="00FE0199"/>
    <w:rsid w:val="00FE0647"/>
    <w:rsid w:val="00FE0B6C"/>
    <w:rsid w:val="00FE1553"/>
    <w:rsid w:val="00FE3B9C"/>
    <w:rsid w:val="00FE42B0"/>
    <w:rsid w:val="00FE5A40"/>
    <w:rsid w:val="00FE79B5"/>
    <w:rsid w:val="00FF0094"/>
    <w:rsid w:val="00FF200D"/>
    <w:rsid w:val="00FF3417"/>
    <w:rsid w:val="00FF3842"/>
    <w:rsid w:val="00FF412F"/>
    <w:rsid w:val="00FF4200"/>
    <w:rsid w:val="00FF589A"/>
    <w:rsid w:val="00FF7E9E"/>
    <w:rsid w:val="0100390C"/>
    <w:rsid w:val="013A0E1B"/>
    <w:rsid w:val="01453498"/>
    <w:rsid w:val="01492D91"/>
    <w:rsid w:val="01791910"/>
    <w:rsid w:val="018207C5"/>
    <w:rsid w:val="019D115B"/>
    <w:rsid w:val="01BA56C5"/>
    <w:rsid w:val="01C43648"/>
    <w:rsid w:val="01E557E7"/>
    <w:rsid w:val="021F7210"/>
    <w:rsid w:val="022E1C2A"/>
    <w:rsid w:val="02372857"/>
    <w:rsid w:val="025A2F9E"/>
    <w:rsid w:val="02954528"/>
    <w:rsid w:val="02B7624C"/>
    <w:rsid w:val="02BF2AD7"/>
    <w:rsid w:val="02BF331E"/>
    <w:rsid w:val="02C40969"/>
    <w:rsid w:val="02D63692"/>
    <w:rsid w:val="02F72AEC"/>
    <w:rsid w:val="02FC1AE4"/>
    <w:rsid w:val="031B6DD5"/>
    <w:rsid w:val="033435C8"/>
    <w:rsid w:val="03353A41"/>
    <w:rsid w:val="03882932"/>
    <w:rsid w:val="03923C39"/>
    <w:rsid w:val="03A95345"/>
    <w:rsid w:val="03D64DF8"/>
    <w:rsid w:val="03E272F9"/>
    <w:rsid w:val="03F0652E"/>
    <w:rsid w:val="03FA6E50"/>
    <w:rsid w:val="043F0BEF"/>
    <w:rsid w:val="04441D61"/>
    <w:rsid w:val="04602913"/>
    <w:rsid w:val="046917C8"/>
    <w:rsid w:val="046948F3"/>
    <w:rsid w:val="047B2D9D"/>
    <w:rsid w:val="04912ACD"/>
    <w:rsid w:val="04A95FD5"/>
    <w:rsid w:val="04B05EB6"/>
    <w:rsid w:val="04B74C29"/>
    <w:rsid w:val="04C66C1A"/>
    <w:rsid w:val="04D72BD5"/>
    <w:rsid w:val="04E90B5B"/>
    <w:rsid w:val="04E946B7"/>
    <w:rsid w:val="04F0495F"/>
    <w:rsid w:val="04FD384B"/>
    <w:rsid w:val="05066DF9"/>
    <w:rsid w:val="05767713"/>
    <w:rsid w:val="05A52CD4"/>
    <w:rsid w:val="05C23886"/>
    <w:rsid w:val="05D7202B"/>
    <w:rsid w:val="05E97064"/>
    <w:rsid w:val="05EA6938"/>
    <w:rsid w:val="05F477B7"/>
    <w:rsid w:val="06650974"/>
    <w:rsid w:val="067173C9"/>
    <w:rsid w:val="069F7723"/>
    <w:rsid w:val="06B60AB5"/>
    <w:rsid w:val="06D0125C"/>
    <w:rsid w:val="06E4782C"/>
    <w:rsid w:val="06EA0EFF"/>
    <w:rsid w:val="07061550"/>
    <w:rsid w:val="07262586"/>
    <w:rsid w:val="07287718"/>
    <w:rsid w:val="073666DA"/>
    <w:rsid w:val="07572125"/>
    <w:rsid w:val="076C0976"/>
    <w:rsid w:val="077539C2"/>
    <w:rsid w:val="078057A6"/>
    <w:rsid w:val="078472AA"/>
    <w:rsid w:val="078864CD"/>
    <w:rsid w:val="07893F2F"/>
    <w:rsid w:val="07A87241"/>
    <w:rsid w:val="07B45450"/>
    <w:rsid w:val="07C75183"/>
    <w:rsid w:val="07E017A1"/>
    <w:rsid w:val="07F43A9E"/>
    <w:rsid w:val="08144141"/>
    <w:rsid w:val="08186CD8"/>
    <w:rsid w:val="081E77A0"/>
    <w:rsid w:val="08274BAD"/>
    <w:rsid w:val="08470072"/>
    <w:rsid w:val="085E56AE"/>
    <w:rsid w:val="08687981"/>
    <w:rsid w:val="086F1B39"/>
    <w:rsid w:val="08766CE3"/>
    <w:rsid w:val="08874912"/>
    <w:rsid w:val="088D4241"/>
    <w:rsid w:val="088F37C7"/>
    <w:rsid w:val="08903B99"/>
    <w:rsid w:val="08932D2D"/>
    <w:rsid w:val="089E3A0A"/>
    <w:rsid w:val="08AE3F90"/>
    <w:rsid w:val="08B11C07"/>
    <w:rsid w:val="08B63438"/>
    <w:rsid w:val="08BD68A7"/>
    <w:rsid w:val="090D306A"/>
    <w:rsid w:val="092B34F0"/>
    <w:rsid w:val="094E673D"/>
    <w:rsid w:val="094F29F6"/>
    <w:rsid w:val="09581E0B"/>
    <w:rsid w:val="096C2B3B"/>
    <w:rsid w:val="097468F3"/>
    <w:rsid w:val="097A6225"/>
    <w:rsid w:val="09C15C02"/>
    <w:rsid w:val="09FA34EB"/>
    <w:rsid w:val="0A0873B6"/>
    <w:rsid w:val="0A132C02"/>
    <w:rsid w:val="0A1C72DC"/>
    <w:rsid w:val="0A287A2F"/>
    <w:rsid w:val="0A557BB7"/>
    <w:rsid w:val="0A5A32F8"/>
    <w:rsid w:val="0A652A31"/>
    <w:rsid w:val="0A692E7A"/>
    <w:rsid w:val="0A8A5D79"/>
    <w:rsid w:val="0AA25A34"/>
    <w:rsid w:val="0AB47859"/>
    <w:rsid w:val="0AD61B81"/>
    <w:rsid w:val="0B0A1F19"/>
    <w:rsid w:val="0B36617C"/>
    <w:rsid w:val="0B57681E"/>
    <w:rsid w:val="0B61144B"/>
    <w:rsid w:val="0BA73406"/>
    <w:rsid w:val="0BBA6DAD"/>
    <w:rsid w:val="0BC96FF0"/>
    <w:rsid w:val="0BD172B9"/>
    <w:rsid w:val="0BE45BD8"/>
    <w:rsid w:val="0BE93BEF"/>
    <w:rsid w:val="0BEB340A"/>
    <w:rsid w:val="0C0A1AE2"/>
    <w:rsid w:val="0C0E3F93"/>
    <w:rsid w:val="0C2506CA"/>
    <w:rsid w:val="0C2D4FE5"/>
    <w:rsid w:val="0C364685"/>
    <w:rsid w:val="0C4A304C"/>
    <w:rsid w:val="0C4F5747"/>
    <w:rsid w:val="0C566AD6"/>
    <w:rsid w:val="0C5F2EAB"/>
    <w:rsid w:val="0C6D4AE3"/>
    <w:rsid w:val="0C9615C8"/>
    <w:rsid w:val="0CAD06C0"/>
    <w:rsid w:val="0CB0103F"/>
    <w:rsid w:val="0CBC5489"/>
    <w:rsid w:val="0CE2480D"/>
    <w:rsid w:val="0CE916F8"/>
    <w:rsid w:val="0D381061"/>
    <w:rsid w:val="0D4A7030"/>
    <w:rsid w:val="0D543BFA"/>
    <w:rsid w:val="0D870F11"/>
    <w:rsid w:val="0D8853B5"/>
    <w:rsid w:val="0D956B94"/>
    <w:rsid w:val="0D9D62C2"/>
    <w:rsid w:val="0D9E2637"/>
    <w:rsid w:val="0DA467D8"/>
    <w:rsid w:val="0DBD78FC"/>
    <w:rsid w:val="0DE43DD8"/>
    <w:rsid w:val="0DE843A2"/>
    <w:rsid w:val="0E1E7A30"/>
    <w:rsid w:val="0E2826F4"/>
    <w:rsid w:val="0E2C4F72"/>
    <w:rsid w:val="0E364E11"/>
    <w:rsid w:val="0E372937"/>
    <w:rsid w:val="0E5D6CF2"/>
    <w:rsid w:val="0E7476E7"/>
    <w:rsid w:val="0E8611C8"/>
    <w:rsid w:val="0E8C4A31"/>
    <w:rsid w:val="0E917BF5"/>
    <w:rsid w:val="0E960DA4"/>
    <w:rsid w:val="0EB83A78"/>
    <w:rsid w:val="0EB97747"/>
    <w:rsid w:val="0ECC12D1"/>
    <w:rsid w:val="0ECC7523"/>
    <w:rsid w:val="0ED47CAB"/>
    <w:rsid w:val="0EDD528C"/>
    <w:rsid w:val="0EE02FCE"/>
    <w:rsid w:val="0EE06B2A"/>
    <w:rsid w:val="0EEA5BFB"/>
    <w:rsid w:val="0EF32D02"/>
    <w:rsid w:val="0EFE61C3"/>
    <w:rsid w:val="0F27226E"/>
    <w:rsid w:val="0F434C0A"/>
    <w:rsid w:val="0F4F60D6"/>
    <w:rsid w:val="0F5F1EEF"/>
    <w:rsid w:val="0F655282"/>
    <w:rsid w:val="0F931DEF"/>
    <w:rsid w:val="0F977D7B"/>
    <w:rsid w:val="0F984030"/>
    <w:rsid w:val="0F9A13CF"/>
    <w:rsid w:val="0FAB26CD"/>
    <w:rsid w:val="0FB352D7"/>
    <w:rsid w:val="0FD536FB"/>
    <w:rsid w:val="102562D8"/>
    <w:rsid w:val="1026403A"/>
    <w:rsid w:val="103A075C"/>
    <w:rsid w:val="104355C3"/>
    <w:rsid w:val="107C2883"/>
    <w:rsid w:val="10826892"/>
    <w:rsid w:val="10892F46"/>
    <w:rsid w:val="109B6D62"/>
    <w:rsid w:val="10B34A9A"/>
    <w:rsid w:val="110B17C6"/>
    <w:rsid w:val="112C24FB"/>
    <w:rsid w:val="11407D54"/>
    <w:rsid w:val="11603F18"/>
    <w:rsid w:val="1160532F"/>
    <w:rsid w:val="11717FD1"/>
    <w:rsid w:val="117B6FDE"/>
    <w:rsid w:val="118869FA"/>
    <w:rsid w:val="118E6D12"/>
    <w:rsid w:val="119B4F8B"/>
    <w:rsid w:val="11C646FD"/>
    <w:rsid w:val="11D5049D"/>
    <w:rsid w:val="12077DEA"/>
    <w:rsid w:val="120E7E53"/>
    <w:rsid w:val="1222745A"/>
    <w:rsid w:val="122B27B2"/>
    <w:rsid w:val="12301ADC"/>
    <w:rsid w:val="123A700C"/>
    <w:rsid w:val="124D44D7"/>
    <w:rsid w:val="12850115"/>
    <w:rsid w:val="12B8077A"/>
    <w:rsid w:val="12B97DBE"/>
    <w:rsid w:val="12CA3D79"/>
    <w:rsid w:val="12CF4E33"/>
    <w:rsid w:val="12DA1AE3"/>
    <w:rsid w:val="131F3AA2"/>
    <w:rsid w:val="13B50586"/>
    <w:rsid w:val="13C84454"/>
    <w:rsid w:val="13EA5B55"/>
    <w:rsid w:val="13F20130"/>
    <w:rsid w:val="13F549F9"/>
    <w:rsid w:val="13F54E26"/>
    <w:rsid w:val="140426A2"/>
    <w:rsid w:val="143D67CD"/>
    <w:rsid w:val="144769FF"/>
    <w:rsid w:val="1457163D"/>
    <w:rsid w:val="146B333A"/>
    <w:rsid w:val="14A512BD"/>
    <w:rsid w:val="14B040EF"/>
    <w:rsid w:val="14CD28D8"/>
    <w:rsid w:val="14D013EF"/>
    <w:rsid w:val="15264D8E"/>
    <w:rsid w:val="15545B7C"/>
    <w:rsid w:val="15703044"/>
    <w:rsid w:val="15785D0F"/>
    <w:rsid w:val="15986A60"/>
    <w:rsid w:val="15A01BE5"/>
    <w:rsid w:val="15A23301"/>
    <w:rsid w:val="15A9411A"/>
    <w:rsid w:val="15B52ECF"/>
    <w:rsid w:val="15B91CD3"/>
    <w:rsid w:val="15DF38F8"/>
    <w:rsid w:val="15F5735F"/>
    <w:rsid w:val="16066474"/>
    <w:rsid w:val="16175528"/>
    <w:rsid w:val="164125A5"/>
    <w:rsid w:val="16571DC8"/>
    <w:rsid w:val="167B0653"/>
    <w:rsid w:val="169E46FD"/>
    <w:rsid w:val="16A94950"/>
    <w:rsid w:val="16AA0906"/>
    <w:rsid w:val="16B8213B"/>
    <w:rsid w:val="16D70F4D"/>
    <w:rsid w:val="16F6136F"/>
    <w:rsid w:val="16F92E7F"/>
    <w:rsid w:val="16FD0098"/>
    <w:rsid w:val="172D0D7B"/>
    <w:rsid w:val="17342109"/>
    <w:rsid w:val="173C5E4F"/>
    <w:rsid w:val="173E758D"/>
    <w:rsid w:val="174E431E"/>
    <w:rsid w:val="174E4322"/>
    <w:rsid w:val="17521617"/>
    <w:rsid w:val="1791586D"/>
    <w:rsid w:val="17BD4979"/>
    <w:rsid w:val="17C012EF"/>
    <w:rsid w:val="17DB38DF"/>
    <w:rsid w:val="17F35B20"/>
    <w:rsid w:val="17F96393"/>
    <w:rsid w:val="18133ACD"/>
    <w:rsid w:val="18496726"/>
    <w:rsid w:val="1862744F"/>
    <w:rsid w:val="18F953B8"/>
    <w:rsid w:val="192B08D4"/>
    <w:rsid w:val="193C2941"/>
    <w:rsid w:val="19605C43"/>
    <w:rsid w:val="197762DD"/>
    <w:rsid w:val="199131C9"/>
    <w:rsid w:val="19B4308D"/>
    <w:rsid w:val="19BF32D3"/>
    <w:rsid w:val="19CF2F48"/>
    <w:rsid w:val="19EB5772"/>
    <w:rsid w:val="1A240213"/>
    <w:rsid w:val="1A400DC5"/>
    <w:rsid w:val="1A472154"/>
    <w:rsid w:val="1A4F0751"/>
    <w:rsid w:val="1A580DF8"/>
    <w:rsid w:val="1A756CC1"/>
    <w:rsid w:val="1A782D25"/>
    <w:rsid w:val="1A914743"/>
    <w:rsid w:val="1AB77E0F"/>
    <w:rsid w:val="1ABB7E7A"/>
    <w:rsid w:val="1AD334BF"/>
    <w:rsid w:val="1AE950FA"/>
    <w:rsid w:val="1B000F42"/>
    <w:rsid w:val="1B035C89"/>
    <w:rsid w:val="1B3E12F9"/>
    <w:rsid w:val="1B6D1746"/>
    <w:rsid w:val="1B7032B1"/>
    <w:rsid w:val="1B711290"/>
    <w:rsid w:val="1BBE1FA1"/>
    <w:rsid w:val="1BDE0896"/>
    <w:rsid w:val="1BE7599C"/>
    <w:rsid w:val="1BE97440"/>
    <w:rsid w:val="1C071B9A"/>
    <w:rsid w:val="1C1F5136"/>
    <w:rsid w:val="1C2C1601"/>
    <w:rsid w:val="1C2E40E0"/>
    <w:rsid w:val="1C2F2E9F"/>
    <w:rsid w:val="1C427076"/>
    <w:rsid w:val="1C4C7CC3"/>
    <w:rsid w:val="1C826725"/>
    <w:rsid w:val="1C8522C5"/>
    <w:rsid w:val="1C8A69E1"/>
    <w:rsid w:val="1CAB0EE1"/>
    <w:rsid w:val="1CB27711"/>
    <w:rsid w:val="1CBA28AA"/>
    <w:rsid w:val="1CD75A11"/>
    <w:rsid w:val="1CF15B94"/>
    <w:rsid w:val="1CF4044F"/>
    <w:rsid w:val="1D047E88"/>
    <w:rsid w:val="1D156539"/>
    <w:rsid w:val="1D4A7C0F"/>
    <w:rsid w:val="1D61442A"/>
    <w:rsid w:val="1D623D91"/>
    <w:rsid w:val="1D6F55A4"/>
    <w:rsid w:val="1DA358F3"/>
    <w:rsid w:val="1DED20B4"/>
    <w:rsid w:val="1E077C8E"/>
    <w:rsid w:val="1E1423D7"/>
    <w:rsid w:val="1E307789"/>
    <w:rsid w:val="1E3231A6"/>
    <w:rsid w:val="1E452953"/>
    <w:rsid w:val="1E5352A7"/>
    <w:rsid w:val="1E5906A7"/>
    <w:rsid w:val="1E652BA8"/>
    <w:rsid w:val="1E6E088F"/>
    <w:rsid w:val="1E956A34"/>
    <w:rsid w:val="1EB3600A"/>
    <w:rsid w:val="1EFF4369"/>
    <w:rsid w:val="1F0028D1"/>
    <w:rsid w:val="1F02211F"/>
    <w:rsid w:val="1F126F73"/>
    <w:rsid w:val="1F170346"/>
    <w:rsid w:val="1F1A472F"/>
    <w:rsid w:val="1F1C0F96"/>
    <w:rsid w:val="1F4E5D32"/>
    <w:rsid w:val="1F725038"/>
    <w:rsid w:val="1F74219C"/>
    <w:rsid w:val="1F9A0F77"/>
    <w:rsid w:val="1FB9784D"/>
    <w:rsid w:val="1FBB33C8"/>
    <w:rsid w:val="1FCD30FB"/>
    <w:rsid w:val="1FCF7AFB"/>
    <w:rsid w:val="1FD11A8F"/>
    <w:rsid w:val="1FFB3446"/>
    <w:rsid w:val="1FFC753C"/>
    <w:rsid w:val="201A220D"/>
    <w:rsid w:val="20436F19"/>
    <w:rsid w:val="20474C5B"/>
    <w:rsid w:val="207B1149"/>
    <w:rsid w:val="208B6917"/>
    <w:rsid w:val="20B00359"/>
    <w:rsid w:val="20C067BC"/>
    <w:rsid w:val="20D61B3B"/>
    <w:rsid w:val="20EE1E40"/>
    <w:rsid w:val="20EE50D7"/>
    <w:rsid w:val="20F87D04"/>
    <w:rsid w:val="21303DC9"/>
    <w:rsid w:val="21310AEB"/>
    <w:rsid w:val="213276BA"/>
    <w:rsid w:val="21352D06"/>
    <w:rsid w:val="21475F62"/>
    <w:rsid w:val="21486EDD"/>
    <w:rsid w:val="215738CC"/>
    <w:rsid w:val="215A276C"/>
    <w:rsid w:val="216B4463"/>
    <w:rsid w:val="216C7565"/>
    <w:rsid w:val="21A41C3A"/>
    <w:rsid w:val="21B7296D"/>
    <w:rsid w:val="21EA368F"/>
    <w:rsid w:val="21F4671D"/>
    <w:rsid w:val="22145011"/>
    <w:rsid w:val="221B1EC0"/>
    <w:rsid w:val="222334A6"/>
    <w:rsid w:val="22245FA1"/>
    <w:rsid w:val="22266AF2"/>
    <w:rsid w:val="22456F79"/>
    <w:rsid w:val="224F3AF6"/>
    <w:rsid w:val="22511DC1"/>
    <w:rsid w:val="22AA51F5"/>
    <w:rsid w:val="22BD28C6"/>
    <w:rsid w:val="22CC112F"/>
    <w:rsid w:val="231862A6"/>
    <w:rsid w:val="236560AB"/>
    <w:rsid w:val="23713D9D"/>
    <w:rsid w:val="2381161B"/>
    <w:rsid w:val="2381693A"/>
    <w:rsid w:val="239006C7"/>
    <w:rsid w:val="2393640A"/>
    <w:rsid w:val="239857CE"/>
    <w:rsid w:val="23B9512F"/>
    <w:rsid w:val="23C228BF"/>
    <w:rsid w:val="23DF4CF4"/>
    <w:rsid w:val="23E65186"/>
    <w:rsid w:val="24083164"/>
    <w:rsid w:val="24211926"/>
    <w:rsid w:val="243A0633"/>
    <w:rsid w:val="244F0582"/>
    <w:rsid w:val="24612064"/>
    <w:rsid w:val="2468168D"/>
    <w:rsid w:val="2472370F"/>
    <w:rsid w:val="247578BD"/>
    <w:rsid w:val="248C70E1"/>
    <w:rsid w:val="248D111F"/>
    <w:rsid w:val="249B37C8"/>
    <w:rsid w:val="24BE74B6"/>
    <w:rsid w:val="24C72FCF"/>
    <w:rsid w:val="24DF5ADD"/>
    <w:rsid w:val="25107F16"/>
    <w:rsid w:val="254625F0"/>
    <w:rsid w:val="256B319A"/>
    <w:rsid w:val="256F74FA"/>
    <w:rsid w:val="2585493F"/>
    <w:rsid w:val="25866F31"/>
    <w:rsid w:val="25942519"/>
    <w:rsid w:val="25B7775A"/>
    <w:rsid w:val="261641B1"/>
    <w:rsid w:val="26191500"/>
    <w:rsid w:val="26343C96"/>
    <w:rsid w:val="264562B9"/>
    <w:rsid w:val="26497337"/>
    <w:rsid w:val="264E03C6"/>
    <w:rsid w:val="266F0A68"/>
    <w:rsid w:val="26795443"/>
    <w:rsid w:val="267C3185"/>
    <w:rsid w:val="267E1B60"/>
    <w:rsid w:val="267F3064"/>
    <w:rsid w:val="26A55E55"/>
    <w:rsid w:val="26AC0E40"/>
    <w:rsid w:val="26B24DF9"/>
    <w:rsid w:val="26C16DEA"/>
    <w:rsid w:val="26CD42AA"/>
    <w:rsid w:val="26EE3C38"/>
    <w:rsid w:val="26F31699"/>
    <w:rsid w:val="274F43F6"/>
    <w:rsid w:val="278843D0"/>
    <w:rsid w:val="278B7844"/>
    <w:rsid w:val="278C3449"/>
    <w:rsid w:val="27914A0E"/>
    <w:rsid w:val="27A97085"/>
    <w:rsid w:val="27AC17B9"/>
    <w:rsid w:val="27B92042"/>
    <w:rsid w:val="27BE67C9"/>
    <w:rsid w:val="27F31225"/>
    <w:rsid w:val="28090A48"/>
    <w:rsid w:val="28214B72"/>
    <w:rsid w:val="28217234"/>
    <w:rsid w:val="2842532C"/>
    <w:rsid w:val="284B1574"/>
    <w:rsid w:val="285C326E"/>
    <w:rsid w:val="285C5F30"/>
    <w:rsid w:val="28D23530"/>
    <w:rsid w:val="28F0207E"/>
    <w:rsid w:val="2929093D"/>
    <w:rsid w:val="29433BB0"/>
    <w:rsid w:val="29546686"/>
    <w:rsid w:val="295E6B72"/>
    <w:rsid w:val="29695805"/>
    <w:rsid w:val="29BA6E37"/>
    <w:rsid w:val="29EE63C2"/>
    <w:rsid w:val="2A1F4553"/>
    <w:rsid w:val="2A7D3457"/>
    <w:rsid w:val="2AAF3B29"/>
    <w:rsid w:val="2ABC4E3A"/>
    <w:rsid w:val="2AD96DF8"/>
    <w:rsid w:val="2B2F7F0F"/>
    <w:rsid w:val="2B4F0E68"/>
    <w:rsid w:val="2B6820A6"/>
    <w:rsid w:val="2B894ABF"/>
    <w:rsid w:val="2B991FF2"/>
    <w:rsid w:val="2BBA71F5"/>
    <w:rsid w:val="2BD3551E"/>
    <w:rsid w:val="2C0004FA"/>
    <w:rsid w:val="2C567FD4"/>
    <w:rsid w:val="2C8114F5"/>
    <w:rsid w:val="2CBE62A5"/>
    <w:rsid w:val="2CC82C80"/>
    <w:rsid w:val="2CF6099E"/>
    <w:rsid w:val="2D0B0DBF"/>
    <w:rsid w:val="2D2154E0"/>
    <w:rsid w:val="2D241E80"/>
    <w:rsid w:val="2D6F2652"/>
    <w:rsid w:val="2DB61363"/>
    <w:rsid w:val="2DC60756"/>
    <w:rsid w:val="2DD91921"/>
    <w:rsid w:val="2DD935D3"/>
    <w:rsid w:val="2DE66F76"/>
    <w:rsid w:val="2E001AD0"/>
    <w:rsid w:val="2E0B157A"/>
    <w:rsid w:val="2E126BCA"/>
    <w:rsid w:val="2E3010A6"/>
    <w:rsid w:val="2E36329E"/>
    <w:rsid w:val="2E383E35"/>
    <w:rsid w:val="2E3C1B78"/>
    <w:rsid w:val="2E3C1BBC"/>
    <w:rsid w:val="2E564673"/>
    <w:rsid w:val="2E627104"/>
    <w:rsid w:val="2E7310E3"/>
    <w:rsid w:val="2EAA5CB6"/>
    <w:rsid w:val="2EB634D4"/>
    <w:rsid w:val="2EBA484A"/>
    <w:rsid w:val="2EBF4ACA"/>
    <w:rsid w:val="2EBF6305"/>
    <w:rsid w:val="2ECD5689"/>
    <w:rsid w:val="2EFC41EE"/>
    <w:rsid w:val="2F245597"/>
    <w:rsid w:val="2F366A04"/>
    <w:rsid w:val="2F3E5FCF"/>
    <w:rsid w:val="2F4E55EA"/>
    <w:rsid w:val="2F6055E3"/>
    <w:rsid w:val="2F6853E0"/>
    <w:rsid w:val="2F9360A5"/>
    <w:rsid w:val="2FC02334"/>
    <w:rsid w:val="2FD7142C"/>
    <w:rsid w:val="300114C0"/>
    <w:rsid w:val="30087265"/>
    <w:rsid w:val="30154375"/>
    <w:rsid w:val="30161F54"/>
    <w:rsid w:val="302477D8"/>
    <w:rsid w:val="30430644"/>
    <w:rsid w:val="304C7B53"/>
    <w:rsid w:val="3065199C"/>
    <w:rsid w:val="3078546E"/>
    <w:rsid w:val="309D61D2"/>
    <w:rsid w:val="30AD0B0B"/>
    <w:rsid w:val="30B8290E"/>
    <w:rsid w:val="30E62404"/>
    <w:rsid w:val="30E84725"/>
    <w:rsid w:val="30E91A28"/>
    <w:rsid w:val="30EE2159"/>
    <w:rsid w:val="30F1088E"/>
    <w:rsid w:val="310D2C36"/>
    <w:rsid w:val="31612BBD"/>
    <w:rsid w:val="31865A40"/>
    <w:rsid w:val="31AB491E"/>
    <w:rsid w:val="31B97E9E"/>
    <w:rsid w:val="3200767E"/>
    <w:rsid w:val="32396FA7"/>
    <w:rsid w:val="32470AEB"/>
    <w:rsid w:val="325B4596"/>
    <w:rsid w:val="325F5E35"/>
    <w:rsid w:val="329B78D9"/>
    <w:rsid w:val="32FD73FC"/>
    <w:rsid w:val="32FE389F"/>
    <w:rsid w:val="3301294A"/>
    <w:rsid w:val="330412E9"/>
    <w:rsid w:val="33114C55"/>
    <w:rsid w:val="33353039"/>
    <w:rsid w:val="335214F5"/>
    <w:rsid w:val="33545CD9"/>
    <w:rsid w:val="335F1E64"/>
    <w:rsid w:val="33615BDC"/>
    <w:rsid w:val="33624B1A"/>
    <w:rsid w:val="33686F6B"/>
    <w:rsid w:val="336A3155"/>
    <w:rsid w:val="33754FA3"/>
    <w:rsid w:val="339636B4"/>
    <w:rsid w:val="33E16D1D"/>
    <w:rsid w:val="341964B7"/>
    <w:rsid w:val="343706EB"/>
    <w:rsid w:val="34637732"/>
    <w:rsid w:val="346C2A8B"/>
    <w:rsid w:val="347F40F6"/>
    <w:rsid w:val="348C6C89"/>
    <w:rsid w:val="3495510D"/>
    <w:rsid w:val="34AE4E51"/>
    <w:rsid w:val="34B53812"/>
    <w:rsid w:val="34C74165"/>
    <w:rsid w:val="34C957E7"/>
    <w:rsid w:val="34CA209B"/>
    <w:rsid w:val="34FB7DE4"/>
    <w:rsid w:val="350B22A4"/>
    <w:rsid w:val="354B6B44"/>
    <w:rsid w:val="35703BE5"/>
    <w:rsid w:val="35771225"/>
    <w:rsid w:val="3598434D"/>
    <w:rsid w:val="35A74DBB"/>
    <w:rsid w:val="35CF6FF8"/>
    <w:rsid w:val="35ED589A"/>
    <w:rsid w:val="361D460D"/>
    <w:rsid w:val="362101EF"/>
    <w:rsid w:val="36211653"/>
    <w:rsid w:val="3629779E"/>
    <w:rsid w:val="366559E4"/>
    <w:rsid w:val="368C3850"/>
    <w:rsid w:val="369B1405"/>
    <w:rsid w:val="36A76752"/>
    <w:rsid w:val="36C579F2"/>
    <w:rsid w:val="36E92BF7"/>
    <w:rsid w:val="36F34D9D"/>
    <w:rsid w:val="37014501"/>
    <w:rsid w:val="3703111F"/>
    <w:rsid w:val="370A0339"/>
    <w:rsid w:val="37394EDD"/>
    <w:rsid w:val="37624C68"/>
    <w:rsid w:val="376E2676"/>
    <w:rsid w:val="377834F5"/>
    <w:rsid w:val="37820C94"/>
    <w:rsid w:val="37B409D1"/>
    <w:rsid w:val="37CA01F4"/>
    <w:rsid w:val="37CE0538"/>
    <w:rsid w:val="37DA67DD"/>
    <w:rsid w:val="37EF7C5B"/>
    <w:rsid w:val="3848736B"/>
    <w:rsid w:val="386F2B4A"/>
    <w:rsid w:val="387E7EAA"/>
    <w:rsid w:val="38A40A60"/>
    <w:rsid w:val="38A5581F"/>
    <w:rsid w:val="38D317F4"/>
    <w:rsid w:val="38D806EF"/>
    <w:rsid w:val="38E3051F"/>
    <w:rsid w:val="38FA7508"/>
    <w:rsid w:val="38FF77EE"/>
    <w:rsid w:val="392032FC"/>
    <w:rsid w:val="39567866"/>
    <w:rsid w:val="396708A0"/>
    <w:rsid w:val="398322DC"/>
    <w:rsid w:val="39B20F40"/>
    <w:rsid w:val="39D03040"/>
    <w:rsid w:val="39D30EAD"/>
    <w:rsid w:val="39E7174C"/>
    <w:rsid w:val="39F06BFD"/>
    <w:rsid w:val="39F318CA"/>
    <w:rsid w:val="3A080B60"/>
    <w:rsid w:val="3A103EB8"/>
    <w:rsid w:val="3A2B1428"/>
    <w:rsid w:val="3A322081"/>
    <w:rsid w:val="3A900F1E"/>
    <w:rsid w:val="3AC16F61"/>
    <w:rsid w:val="3AD34A1B"/>
    <w:rsid w:val="3B261CFB"/>
    <w:rsid w:val="3B3C4395"/>
    <w:rsid w:val="3B6F58DE"/>
    <w:rsid w:val="3B800BCA"/>
    <w:rsid w:val="3B882877"/>
    <w:rsid w:val="3B9D404A"/>
    <w:rsid w:val="3BB54DB0"/>
    <w:rsid w:val="3BB56AC5"/>
    <w:rsid w:val="3BC540D4"/>
    <w:rsid w:val="3BCE7B87"/>
    <w:rsid w:val="3BD333EF"/>
    <w:rsid w:val="3C105A6B"/>
    <w:rsid w:val="3C125DCE"/>
    <w:rsid w:val="3C147B24"/>
    <w:rsid w:val="3C1852A6"/>
    <w:rsid w:val="3C3E4D0D"/>
    <w:rsid w:val="3C422F3E"/>
    <w:rsid w:val="3C4349DD"/>
    <w:rsid w:val="3C6504EB"/>
    <w:rsid w:val="3C700C3E"/>
    <w:rsid w:val="3C713683"/>
    <w:rsid w:val="3C744E98"/>
    <w:rsid w:val="3C746980"/>
    <w:rsid w:val="3C797AF3"/>
    <w:rsid w:val="3C8A61A4"/>
    <w:rsid w:val="3C8B52A9"/>
    <w:rsid w:val="3C8B6ACE"/>
    <w:rsid w:val="3C9155E1"/>
    <w:rsid w:val="3C9568F7"/>
    <w:rsid w:val="3CD25997"/>
    <w:rsid w:val="3CD94A35"/>
    <w:rsid w:val="3CE07B72"/>
    <w:rsid w:val="3CEA09F1"/>
    <w:rsid w:val="3CF55CFC"/>
    <w:rsid w:val="3D0870C9"/>
    <w:rsid w:val="3D3A1978"/>
    <w:rsid w:val="3D3B56F0"/>
    <w:rsid w:val="3D591958"/>
    <w:rsid w:val="3D5F318D"/>
    <w:rsid w:val="3D6320AE"/>
    <w:rsid w:val="3D632551"/>
    <w:rsid w:val="3D6B67D2"/>
    <w:rsid w:val="3D70539A"/>
    <w:rsid w:val="3D73032B"/>
    <w:rsid w:val="3D7F04B3"/>
    <w:rsid w:val="3D7F382F"/>
    <w:rsid w:val="3D887631"/>
    <w:rsid w:val="3DB039E8"/>
    <w:rsid w:val="3DD516A1"/>
    <w:rsid w:val="3DE418E4"/>
    <w:rsid w:val="3DFC4E7F"/>
    <w:rsid w:val="3E0856D8"/>
    <w:rsid w:val="3E186EBA"/>
    <w:rsid w:val="3E1D6BA4"/>
    <w:rsid w:val="3E3D1DE7"/>
    <w:rsid w:val="3E546A69"/>
    <w:rsid w:val="3E8E1705"/>
    <w:rsid w:val="3E96695C"/>
    <w:rsid w:val="3EE31B9B"/>
    <w:rsid w:val="3EE6168C"/>
    <w:rsid w:val="3F0C10F2"/>
    <w:rsid w:val="3F161F71"/>
    <w:rsid w:val="3F1F34F0"/>
    <w:rsid w:val="3F3C12AC"/>
    <w:rsid w:val="3F593C0C"/>
    <w:rsid w:val="3F634A8A"/>
    <w:rsid w:val="3F8E439A"/>
    <w:rsid w:val="3F8F762D"/>
    <w:rsid w:val="3F982986"/>
    <w:rsid w:val="3F984F0D"/>
    <w:rsid w:val="3FC813FA"/>
    <w:rsid w:val="3FCA4B09"/>
    <w:rsid w:val="3FE157CB"/>
    <w:rsid w:val="3FEE07F8"/>
    <w:rsid w:val="400224F5"/>
    <w:rsid w:val="400F3235"/>
    <w:rsid w:val="405C7E57"/>
    <w:rsid w:val="406867FC"/>
    <w:rsid w:val="40931A53"/>
    <w:rsid w:val="40B53071"/>
    <w:rsid w:val="40C52E0C"/>
    <w:rsid w:val="40E045E4"/>
    <w:rsid w:val="40F40090"/>
    <w:rsid w:val="41083B3B"/>
    <w:rsid w:val="414A7CB0"/>
    <w:rsid w:val="41742B91"/>
    <w:rsid w:val="41744230"/>
    <w:rsid w:val="41875415"/>
    <w:rsid w:val="418A5041"/>
    <w:rsid w:val="419D4283"/>
    <w:rsid w:val="41A265EF"/>
    <w:rsid w:val="41A5185F"/>
    <w:rsid w:val="41D016DB"/>
    <w:rsid w:val="41E40104"/>
    <w:rsid w:val="423B3E49"/>
    <w:rsid w:val="42497F67"/>
    <w:rsid w:val="42562684"/>
    <w:rsid w:val="4258464E"/>
    <w:rsid w:val="425D3A1A"/>
    <w:rsid w:val="42621029"/>
    <w:rsid w:val="427431DA"/>
    <w:rsid w:val="427521D5"/>
    <w:rsid w:val="427841F9"/>
    <w:rsid w:val="42800DA2"/>
    <w:rsid w:val="428B3394"/>
    <w:rsid w:val="429513FF"/>
    <w:rsid w:val="42954EF1"/>
    <w:rsid w:val="42A54AC6"/>
    <w:rsid w:val="42AF1AB8"/>
    <w:rsid w:val="42BD09E0"/>
    <w:rsid w:val="42C81D93"/>
    <w:rsid w:val="42E134BC"/>
    <w:rsid w:val="42F223AD"/>
    <w:rsid w:val="43010842"/>
    <w:rsid w:val="43056584"/>
    <w:rsid w:val="430D6FF5"/>
    <w:rsid w:val="43482915"/>
    <w:rsid w:val="434846C3"/>
    <w:rsid w:val="43525542"/>
    <w:rsid w:val="43963F1E"/>
    <w:rsid w:val="43B92ECB"/>
    <w:rsid w:val="43CD2975"/>
    <w:rsid w:val="441822E7"/>
    <w:rsid w:val="44426629"/>
    <w:rsid w:val="444C03C6"/>
    <w:rsid w:val="44652ACA"/>
    <w:rsid w:val="44936155"/>
    <w:rsid w:val="44A21BB1"/>
    <w:rsid w:val="44A44849"/>
    <w:rsid w:val="44A771C7"/>
    <w:rsid w:val="44A91191"/>
    <w:rsid w:val="45062425"/>
    <w:rsid w:val="450C60CA"/>
    <w:rsid w:val="451F76A5"/>
    <w:rsid w:val="452B615F"/>
    <w:rsid w:val="45917D94"/>
    <w:rsid w:val="459D3BC2"/>
    <w:rsid w:val="46184820"/>
    <w:rsid w:val="461E6DF1"/>
    <w:rsid w:val="46291A0F"/>
    <w:rsid w:val="46494FE1"/>
    <w:rsid w:val="464D0C32"/>
    <w:rsid w:val="466A4950"/>
    <w:rsid w:val="467557CF"/>
    <w:rsid w:val="467B0194"/>
    <w:rsid w:val="468E4AE3"/>
    <w:rsid w:val="46C61AAB"/>
    <w:rsid w:val="472114B3"/>
    <w:rsid w:val="47243A51"/>
    <w:rsid w:val="474004D4"/>
    <w:rsid w:val="47683462"/>
    <w:rsid w:val="476843AC"/>
    <w:rsid w:val="476B28BD"/>
    <w:rsid w:val="477F37B9"/>
    <w:rsid w:val="47971775"/>
    <w:rsid w:val="47AA2318"/>
    <w:rsid w:val="47BB2E28"/>
    <w:rsid w:val="47C167F2"/>
    <w:rsid w:val="47EE3067"/>
    <w:rsid w:val="48323EE8"/>
    <w:rsid w:val="48453261"/>
    <w:rsid w:val="48515DC8"/>
    <w:rsid w:val="486378A9"/>
    <w:rsid w:val="48931F3C"/>
    <w:rsid w:val="489B1B33"/>
    <w:rsid w:val="48AE03C2"/>
    <w:rsid w:val="48AE5485"/>
    <w:rsid w:val="48B578B7"/>
    <w:rsid w:val="48B60321"/>
    <w:rsid w:val="48EC1A58"/>
    <w:rsid w:val="49217E1E"/>
    <w:rsid w:val="49423962"/>
    <w:rsid w:val="496B110B"/>
    <w:rsid w:val="49706721"/>
    <w:rsid w:val="497E2BEC"/>
    <w:rsid w:val="49AD1724"/>
    <w:rsid w:val="49C02B87"/>
    <w:rsid w:val="49CD756B"/>
    <w:rsid w:val="49D433EE"/>
    <w:rsid w:val="4A3B0ADD"/>
    <w:rsid w:val="4A4C2CEB"/>
    <w:rsid w:val="4A5E73C4"/>
    <w:rsid w:val="4A655C81"/>
    <w:rsid w:val="4A770517"/>
    <w:rsid w:val="4A8330FE"/>
    <w:rsid w:val="4A8C758B"/>
    <w:rsid w:val="4AB14E2D"/>
    <w:rsid w:val="4AB368C6"/>
    <w:rsid w:val="4AD50ED4"/>
    <w:rsid w:val="4AE05DDE"/>
    <w:rsid w:val="4AE747C1"/>
    <w:rsid w:val="4AF13892"/>
    <w:rsid w:val="4AF22945"/>
    <w:rsid w:val="4B0340A4"/>
    <w:rsid w:val="4B197B96"/>
    <w:rsid w:val="4BAF3531"/>
    <w:rsid w:val="4BC468B1"/>
    <w:rsid w:val="4BC77845"/>
    <w:rsid w:val="4BD44D46"/>
    <w:rsid w:val="4BD73BBC"/>
    <w:rsid w:val="4BDA4326"/>
    <w:rsid w:val="4BDE34A9"/>
    <w:rsid w:val="4BFC604B"/>
    <w:rsid w:val="4C2542C6"/>
    <w:rsid w:val="4C435E96"/>
    <w:rsid w:val="4C842195"/>
    <w:rsid w:val="4C8844D8"/>
    <w:rsid w:val="4C8A69D2"/>
    <w:rsid w:val="4C95594A"/>
    <w:rsid w:val="4CB07870"/>
    <w:rsid w:val="4CC21042"/>
    <w:rsid w:val="4CDC150E"/>
    <w:rsid w:val="4CFC448F"/>
    <w:rsid w:val="4D0E3563"/>
    <w:rsid w:val="4D217F10"/>
    <w:rsid w:val="4D2E4B65"/>
    <w:rsid w:val="4D657A67"/>
    <w:rsid w:val="4DB36BDD"/>
    <w:rsid w:val="4DB85C9F"/>
    <w:rsid w:val="4DBE5CAD"/>
    <w:rsid w:val="4DD83BCC"/>
    <w:rsid w:val="4DEB6377"/>
    <w:rsid w:val="4DF1636E"/>
    <w:rsid w:val="4E016821"/>
    <w:rsid w:val="4E0765A5"/>
    <w:rsid w:val="4E1115CD"/>
    <w:rsid w:val="4E2E5373"/>
    <w:rsid w:val="4E54216E"/>
    <w:rsid w:val="4E745CB6"/>
    <w:rsid w:val="4E760D0B"/>
    <w:rsid w:val="4EC5501F"/>
    <w:rsid w:val="4ED02686"/>
    <w:rsid w:val="4EE27577"/>
    <w:rsid w:val="4F191E40"/>
    <w:rsid w:val="4F2D2E36"/>
    <w:rsid w:val="4F4665CF"/>
    <w:rsid w:val="4F49480A"/>
    <w:rsid w:val="4F561D44"/>
    <w:rsid w:val="4F6D0752"/>
    <w:rsid w:val="4F714FA1"/>
    <w:rsid w:val="4F786D37"/>
    <w:rsid w:val="4F913A9A"/>
    <w:rsid w:val="4FD0705F"/>
    <w:rsid w:val="4FDE142C"/>
    <w:rsid w:val="5011774A"/>
    <w:rsid w:val="50146059"/>
    <w:rsid w:val="50395ABF"/>
    <w:rsid w:val="504D156B"/>
    <w:rsid w:val="505500A3"/>
    <w:rsid w:val="50583632"/>
    <w:rsid w:val="505C6EFD"/>
    <w:rsid w:val="50630D8E"/>
    <w:rsid w:val="506F736F"/>
    <w:rsid w:val="50722D7F"/>
    <w:rsid w:val="5080549C"/>
    <w:rsid w:val="509E5922"/>
    <w:rsid w:val="50BB2978"/>
    <w:rsid w:val="50DE6667"/>
    <w:rsid w:val="50FE4613"/>
    <w:rsid w:val="50FF2BEF"/>
    <w:rsid w:val="51022221"/>
    <w:rsid w:val="51044B29"/>
    <w:rsid w:val="515114EF"/>
    <w:rsid w:val="515A3F3F"/>
    <w:rsid w:val="515E634C"/>
    <w:rsid w:val="515E7330"/>
    <w:rsid w:val="517514EA"/>
    <w:rsid w:val="51944BC6"/>
    <w:rsid w:val="51AB05F0"/>
    <w:rsid w:val="51AC0513"/>
    <w:rsid w:val="51B24883"/>
    <w:rsid w:val="51B6604B"/>
    <w:rsid w:val="520914C1"/>
    <w:rsid w:val="521F2A93"/>
    <w:rsid w:val="522E717A"/>
    <w:rsid w:val="523C1897"/>
    <w:rsid w:val="528C45CC"/>
    <w:rsid w:val="52943481"/>
    <w:rsid w:val="52B25C24"/>
    <w:rsid w:val="52C87D18"/>
    <w:rsid w:val="5325057D"/>
    <w:rsid w:val="534216DE"/>
    <w:rsid w:val="53427D34"/>
    <w:rsid w:val="539B439B"/>
    <w:rsid w:val="539F20DD"/>
    <w:rsid w:val="53A30849"/>
    <w:rsid w:val="53B43B75"/>
    <w:rsid w:val="53DE5743"/>
    <w:rsid w:val="53E329CC"/>
    <w:rsid w:val="53FA7313"/>
    <w:rsid w:val="54040192"/>
    <w:rsid w:val="545033D7"/>
    <w:rsid w:val="545C3887"/>
    <w:rsid w:val="545D78A2"/>
    <w:rsid w:val="549239F0"/>
    <w:rsid w:val="54CF07A0"/>
    <w:rsid w:val="54FC282C"/>
    <w:rsid w:val="55006BAB"/>
    <w:rsid w:val="550F289A"/>
    <w:rsid w:val="551C775D"/>
    <w:rsid w:val="553D7E00"/>
    <w:rsid w:val="55525CA4"/>
    <w:rsid w:val="55545149"/>
    <w:rsid w:val="5560418C"/>
    <w:rsid w:val="559957C1"/>
    <w:rsid w:val="559D0BD6"/>
    <w:rsid w:val="55CE055B"/>
    <w:rsid w:val="55D32512"/>
    <w:rsid w:val="55FF023A"/>
    <w:rsid w:val="56091A90"/>
    <w:rsid w:val="561B17C3"/>
    <w:rsid w:val="561F5757"/>
    <w:rsid w:val="562D159C"/>
    <w:rsid w:val="563E212D"/>
    <w:rsid w:val="564A6822"/>
    <w:rsid w:val="56546D4A"/>
    <w:rsid w:val="56755DC2"/>
    <w:rsid w:val="56D022B5"/>
    <w:rsid w:val="56F52014"/>
    <w:rsid w:val="571C70F4"/>
    <w:rsid w:val="574511ED"/>
    <w:rsid w:val="57511940"/>
    <w:rsid w:val="57631674"/>
    <w:rsid w:val="57742E61"/>
    <w:rsid w:val="57792C45"/>
    <w:rsid w:val="578F06BB"/>
    <w:rsid w:val="578F7385"/>
    <w:rsid w:val="57A44166"/>
    <w:rsid w:val="57D85BBE"/>
    <w:rsid w:val="57DC6353"/>
    <w:rsid w:val="57F80965"/>
    <w:rsid w:val="58507E4A"/>
    <w:rsid w:val="586B07E0"/>
    <w:rsid w:val="587353B9"/>
    <w:rsid w:val="587578B0"/>
    <w:rsid w:val="588763EC"/>
    <w:rsid w:val="589C0C1E"/>
    <w:rsid w:val="58AC2BA6"/>
    <w:rsid w:val="58B303D9"/>
    <w:rsid w:val="58B46E15"/>
    <w:rsid w:val="58E67606"/>
    <w:rsid w:val="590609A6"/>
    <w:rsid w:val="59101387"/>
    <w:rsid w:val="59367672"/>
    <w:rsid w:val="5987789B"/>
    <w:rsid w:val="599876AE"/>
    <w:rsid w:val="599C08D7"/>
    <w:rsid w:val="599E6821"/>
    <w:rsid w:val="59AF3A4D"/>
    <w:rsid w:val="5A1B6236"/>
    <w:rsid w:val="5A204D11"/>
    <w:rsid w:val="5A271555"/>
    <w:rsid w:val="5A7501D5"/>
    <w:rsid w:val="5A8319A8"/>
    <w:rsid w:val="5A8453A2"/>
    <w:rsid w:val="5A9A35FE"/>
    <w:rsid w:val="5AA4622B"/>
    <w:rsid w:val="5AB04BD0"/>
    <w:rsid w:val="5ACD1013"/>
    <w:rsid w:val="5AD563E4"/>
    <w:rsid w:val="5AEB22A5"/>
    <w:rsid w:val="5B040A3C"/>
    <w:rsid w:val="5B3752F1"/>
    <w:rsid w:val="5B383448"/>
    <w:rsid w:val="5B597015"/>
    <w:rsid w:val="5B5F2152"/>
    <w:rsid w:val="5B6B166F"/>
    <w:rsid w:val="5B9E711E"/>
    <w:rsid w:val="5BB85C75"/>
    <w:rsid w:val="5BBA55DA"/>
    <w:rsid w:val="5BBB7CD0"/>
    <w:rsid w:val="5BBF7D40"/>
    <w:rsid w:val="5BF46D3E"/>
    <w:rsid w:val="5C062BE6"/>
    <w:rsid w:val="5C1271C4"/>
    <w:rsid w:val="5C272C70"/>
    <w:rsid w:val="5C95407D"/>
    <w:rsid w:val="5C966568"/>
    <w:rsid w:val="5CBF10FA"/>
    <w:rsid w:val="5CC3547D"/>
    <w:rsid w:val="5CDC569F"/>
    <w:rsid w:val="5D0E5BDE"/>
    <w:rsid w:val="5D1551BE"/>
    <w:rsid w:val="5D235B2D"/>
    <w:rsid w:val="5D504448"/>
    <w:rsid w:val="5D7111F5"/>
    <w:rsid w:val="5D7E0FB5"/>
    <w:rsid w:val="5DAD36A2"/>
    <w:rsid w:val="5DC25B98"/>
    <w:rsid w:val="5DD010E5"/>
    <w:rsid w:val="5DF433DA"/>
    <w:rsid w:val="5E062B6C"/>
    <w:rsid w:val="5E1216FE"/>
    <w:rsid w:val="5E2145D5"/>
    <w:rsid w:val="5E2532E6"/>
    <w:rsid w:val="5E37356E"/>
    <w:rsid w:val="5E624433"/>
    <w:rsid w:val="5E647C88"/>
    <w:rsid w:val="5E662E3D"/>
    <w:rsid w:val="5EA762EA"/>
    <w:rsid w:val="5EA8689A"/>
    <w:rsid w:val="5EB033F0"/>
    <w:rsid w:val="5ED668DC"/>
    <w:rsid w:val="5EE75279"/>
    <w:rsid w:val="5EFA0B0F"/>
    <w:rsid w:val="5F3670FF"/>
    <w:rsid w:val="5F3C14E7"/>
    <w:rsid w:val="5F43646F"/>
    <w:rsid w:val="5F531FCE"/>
    <w:rsid w:val="5F796DF2"/>
    <w:rsid w:val="5F830B05"/>
    <w:rsid w:val="5F8C7892"/>
    <w:rsid w:val="5F926F9A"/>
    <w:rsid w:val="5FA0070D"/>
    <w:rsid w:val="5FA7456C"/>
    <w:rsid w:val="5FA75A77"/>
    <w:rsid w:val="5FAD7C21"/>
    <w:rsid w:val="5FB1569B"/>
    <w:rsid w:val="5FB567E4"/>
    <w:rsid w:val="5FCB425A"/>
    <w:rsid w:val="5FDC0215"/>
    <w:rsid w:val="5FE64BF0"/>
    <w:rsid w:val="60235E44"/>
    <w:rsid w:val="603142B4"/>
    <w:rsid w:val="606A75CF"/>
    <w:rsid w:val="60A71ADB"/>
    <w:rsid w:val="60C969EB"/>
    <w:rsid w:val="60D27197"/>
    <w:rsid w:val="60F26B13"/>
    <w:rsid w:val="60FE7C06"/>
    <w:rsid w:val="61137C66"/>
    <w:rsid w:val="61281925"/>
    <w:rsid w:val="612C6DB7"/>
    <w:rsid w:val="61573FF7"/>
    <w:rsid w:val="615763BF"/>
    <w:rsid w:val="618A0B45"/>
    <w:rsid w:val="619F599E"/>
    <w:rsid w:val="61A60ADB"/>
    <w:rsid w:val="61CB0541"/>
    <w:rsid w:val="61DB4C28"/>
    <w:rsid w:val="61E56882"/>
    <w:rsid w:val="61F1160C"/>
    <w:rsid w:val="622540F5"/>
    <w:rsid w:val="622A5268"/>
    <w:rsid w:val="62443927"/>
    <w:rsid w:val="6263240A"/>
    <w:rsid w:val="628A7090"/>
    <w:rsid w:val="628F77C1"/>
    <w:rsid w:val="6296758D"/>
    <w:rsid w:val="629E2047"/>
    <w:rsid w:val="62A852DD"/>
    <w:rsid w:val="62AA720C"/>
    <w:rsid w:val="62BF00A6"/>
    <w:rsid w:val="62C76F5B"/>
    <w:rsid w:val="62CD2097"/>
    <w:rsid w:val="62D43425"/>
    <w:rsid w:val="62DA64E4"/>
    <w:rsid w:val="62F34051"/>
    <w:rsid w:val="62F83A45"/>
    <w:rsid w:val="62FC1D6B"/>
    <w:rsid w:val="63100C30"/>
    <w:rsid w:val="63141A74"/>
    <w:rsid w:val="636369CE"/>
    <w:rsid w:val="63646678"/>
    <w:rsid w:val="636C365E"/>
    <w:rsid w:val="637D2246"/>
    <w:rsid w:val="638C3D00"/>
    <w:rsid w:val="63952BB5"/>
    <w:rsid w:val="639E713F"/>
    <w:rsid w:val="63C67212"/>
    <w:rsid w:val="63CE5D8F"/>
    <w:rsid w:val="63D538F9"/>
    <w:rsid w:val="63E21F44"/>
    <w:rsid w:val="640F75CE"/>
    <w:rsid w:val="64121A53"/>
    <w:rsid w:val="642624E5"/>
    <w:rsid w:val="644833A9"/>
    <w:rsid w:val="644F7B8E"/>
    <w:rsid w:val="64836EB1"/>
    <w:rsid w:val="64850E7B"/>
    <w:rsid w:val="64C37BF6"/>
    <w:rsid w:val="64C43921"/>
    <w:rsid w:val="64D04E20"/>
    <w:rsid w:val="64E75692"/>
    <w:rsid w:val="64ED7F25"/>
    <w:rsid w:val="64F4744C"/>
    <w:rsid w:val="65075D34"/>
    <w:rsid w:val="650841B7"/>
    <w:rsid w:val="651B533C"/>
    <w:rsid w:val="652C579B"/>
    <w:rsid w:val="653C50AB"/>
    <w:rsid w:val="65534AD5"/>
    <w:rsid w:val="65644F35"/>
    <w:rsid w:val="656E5DB3"/>
    <w:rsid w:val="65744A4C"/>
    <w:rsid w:val="658253BB"/>
    <w:rsid w:val="658B078D"/>
    <w:rsid w:val="65A74E21"/>
    <w:rsid w:val="65D379C4"/>
    <w:rsid w:val="65DC0F6F"/>
    <w:rsid w:val="65DC606E"/>
    <w:rsid w:val="65E46529"/>
    <w:rsid w:val="65F52031"/>
    <w:rsid w:val="660364FC"/>
    <w:rsid w:val="660374C1"/>
    <w:rsid w:val="66095E1A"/>
    <w:rsid w:val="66112985"/>
    <w:rsid w:val="66195D1F"/>
    <w:rsid w:val="661A55F3"/>
    <w:rsid w:val="66352F1F"/>
    <w:rsid w:val="664663E8"/>
    <w:rsid w:val="6654401A"/>
    <w:rsid w:val="66846F11"/>
    <w:rsid w:val="66871EA3"/>
    <w:rsid w:val="66B16CB1"/>
    <w:rsid w:val="66B75807"/>
    <w:rsid w:val="66BD7505"/>
    <w:rsid w:val="66D165D2"/>
    <w:rsid w:val="671539F5"/>
    <w:rsid w:val="67193AFD"/>
    <w:rsid w:val="67235FB8"/>
    <w:rsid w:val="67395F4D"/>
    <w:rsid w:val="67801483"/>
    <w:rsid w:val="67D85766"/>
    <w:rsid w:val="67DB403A"/>
    <w:rsid w:val="67DE0BD1"/>
    <w:rsid w:val="68055F4C"/>
    <w:rsid w:val="68057AA9"/>
    <w:rsid w:val="6818150B"/>
    <w:rsid w:val="68386205"/>
    <w:rsid w:val="68442EF0"/>
    <w:rsid w:val="684B5F38"/>
    <w:rsid w:val="68517B9D"/>
    <w:rsid w:val="685667C9"/>
    <w:rsid w:val="68792AA5"/>
    <w:rsid w:val="688A022F"/>
    <w:rsid w:val="68B166E3"/>
    <w:rsid w:val="68E90EE7"/>
    <w:rsid w:val="690B02EE"/>
    <w:rsid w:val="69272501"/>
    <w:rsid w:val="6942333C"/>
    <w:rsid w:val="69601969"/>
    <w:rsid w:val="696D6542"/>
    <w:rsid w:val="69855479"/>
    <w:rsid w:val="69B12FFE"/>
    <w:rsid w:val="69C26753"/>
    <w:rsid w:val="69E14DA6"/>
    <w:rsid w:val="69F525FF"/>
    <w:rsid w:val="69F864CC"/>
    <w:rsid w:val="6A1360A0"/>
    <w:rsid w:val="6A1A0092"/>
    <w:rsid w:val="6A2151A2"/>
    <w:rsid w:val="6A260884"/>
    <w:rsid w:val="6A335EA2"/>
    <w:rsid w:val="6A470981"/>
    <w:rsid w:val="6A507835"/>
    <w:rsid w:val="6A6631B8"/>
    <w:rsid w:val="6A70612A"/>
    <w:rsid w:val="6A7554EE"/>
    <w:rsid w:val="6A780A53"/>
    <w:rsid w:val="6A7C062B"/>
    <w:rsid w:val="6A877238"/>
    <w:rsid w:val="6A95793E"/>
    <w:rsid w:val="6A9E3EEB"/>
    <w:rsid w:val="6AA778F8"/>
    <w:rsid w:val="6ABA1153"/>
    <w:rsid w:val="6ACD4FC1"/>
    <w:rsid w:val="6AD04302"/>
    <w:rsid w:val="6AD77F57"/>
    <w:rsid w:val="6B146AB5"/>
    <w:rsid w:val="6B163FCD"/>
    <w:rsid w:val="6B8237AB"/>
    <w:rsid w:val="6B8C2AEF"/>
    <w:rsid w:val="6BAA0E8B"/>
    <w:rsid w:val="6BBB1626"/>
    <w:rsid w:val="6BC26511"/>
    <w:rsid w:val="6BFD01D8"/>
    <w:rsid w:val="6C2947E2"/>
    <w:rsid w:val="6C303DC2"/>
    <w:rsid w:val="6C325359"/>
    <w:rsid w:val="6C3D1C31"/>
    <w:rsid w:val="6C455FEF"/>
    <w:rsid w:val="6C5F4D83"/>
    <w:rsid w:val="6C6E48EB"/>
    <w:rsid w:val="6CBE1415"/>
    <w:rsid w:val="6CFA1CDB"/>
    <w:rsid w:val="6D3451EC"/>
    <w:rsid w:val="6D3F05F3"/>
    <w:rsid w:val="6D560EAF"/>
    <w:rsid w:val="6D5C4743"/>
    <w:rsid w:val="6D604F27"/>
    <w:rsid w:val="6D7872BE"/>
    <w:rsid w:val="6D8C78FD"/>
    <w:rsid w:val="6DAC1227"/>
    <w:rsid w:val="6DDD5884"/>
    <w:rsid w:val="6DE8556D"/>
    <w:rsid w:val="6E11406C"/>
    <w:rsid w:val="6E151448"/>
    <w:rsid w:val="6E667195"/>
    <w:rsid w:val="6E730CC4"/>
    <w:rsid w:val="6E781A51"/>
    <w:rsid w:val="6E815015"/>
    <w:rsid w:val="6EB04D47"/>
    <w:rsid w:val="6EB80735"/>
    <w:rsid w:val="6EC4144C"/>
    <w:rsid w:val="6EC95E08"/>
    <w:rsid w:val="6EF410D7"/>
    <w:rsid w:val="6F072A92"/>
    <w:rsid w:val="6F1B0286"/>
    <w:rsid w:val="6F4D3531"/>
    <w:rsid w:val="6F571EE4"/>
    <w:rsid w:val="6F6C5073"/>
    <w:rsid w:val="6F752F0D"/>
    <w:rsid w:val="6F7C10CD"/>
    <w:rsid w:val="6FB70357"/>
    <w:rsid w:val="6FBF7F62"/>
    <w:rsid w:val="6FD92F65"/>
    <w:rsid w:val="6FEB08EB"/>
    <w:rsid w:val="70223A22"/>
    <w:rsid w:val="702B51F4"/>
    <w:rsid w:val="702C6118"/>
    <w:rsid w:val="7040034C"/>
    <w:rsid w:val="706A53C9"/>
    <w:rsid w:val="707B17AF"/>
    <w:rsid w:val="707C1572"/>
    <w:rsid w:val="707F70C6"/>
    <w:rsid w:val="70866D14"/>
    <w:rsid w:val="70AD382B"/>
    <w:rsid w:val="70C1148D"/>
    <w:rsid w:val="7105445C"/>
    <w:rsid w:val="71080E6A"/>
    <w:rsid w:val="71121CE9"/>
    <w:rsid w:val="711C24DA"/>
    <w:rsid w:val="713F0604"/>
    <w:rsid w:val="71520337"/>
    <w:rsid w:val="717E112C"/>
    <w:rsid w:val="71940C37"/>
    <w:rsid w:val="71A14E1B"/>
    <w:rsid w:val="71B903B6"/>
    <w:rsid w:val="71BA7C8A"/>
    <w:rsid w:val="71E644D0"/>
    <w:rsid w:val="720363C6"/>
    <w:rsid w:val="72054E52"/>
    <w:rsid w:val="7224305C"/>
    <w:rsid w:val="723B0DCB"/>
    <w:rsid w:val="72404633"/>
    <w:rsid w:val="72554F0C"/>
    <w:rsid w:val="72AD0E60"/>
    <w:rsid w:val="72AF1B77"/>
    <w:rsid w:val="72B821FC"/>
    <w:rsid w:val="72D651FD"/>
    <w:rsid w:val="72DD1906"/>
    <w:rsid w:val="72E923EA"/>
    <w:rsid w:val="72F91763"/>
    <w:rsid w:val="73027B3B"/>
    <w:rsid w:val="73124222"/>
    <w:rsid w:val="73165394"/>
    <w:rsid w:val="7317617A"/>
    <w:rsid w:val="733A5527"/>
    <w:rsid w:val="733F48EB"/>
    <w:rsid w:val="73470694"/>
    <w:rsid w:val="735040D2"/>
    <w:rsid w:val="73506AF8"/>
    <w:rsid w:val="73814580"/>
    <w:rsid w:val="73AD7AA7"/>
    <w:rsid w:val="73D541D6"/>
    <w:rsid w:val="73DC65DE"/>
    <w:rsid w:val="73FD152F"/>
    <w:rsid w:val="73FE47A6"/>
    <w:rsid w:val="74132B02"/>
    <w:rsid w:val="743B5D19"/>
    <w:rsid w:val="746B4DE1"/>
    <w:rsid w:val="748B1959"/>
    <w:rsid w:val="74980757"/>
    <w:rsid w:val="74CB28DA"/>
    <w:rsid w:val="74E474F8"/>
    <w:rsid w:val="74E55980"/>
    <w:rsid w:val="750A2CD7"/>
    <w:rsid w:val="7519750B"/>
    <w:rsid w:val="751C3136"/>
    <w:rsid w:val="751F2C26"/>
    <w:rsid w:val="75297059"/>
    <w:rsid w:val="7533222E"/>
    <w:rsid w:val="7537556F"/>
    <w:rsid w:val="754506F8"/>
    <w:rsid w:val="754B0FF5"/>
    <w:rsid w:val="756F4DCB"/>
    <w:rsid w:val="75842A89"/>
    <w:rsid w:val="75952EE8"/>
    <w:rsid w:val="75A650F5"/>
    <w:rsid w:val="75DB4288"/>
    <w:rsid w:val="762865F3"/>
    <w:rsid w:val="76297DEC"/>
    <w:rsid w:val="763B75EC"/>
    <w:rsid w:val="764E21C9"/>
    <w:rsid w:val="76531987"/>
    <w:rsid w:val="76763C9B"/>
    <w:rsid w:val="768C1C34"/>
    <w:rsid w:val="76AA190D"/>
    <w:rsid w:val="76B92C06"/>
    <w:rsid w:val="76B94B5B"/>
    <w:rsid w:val="76BD0317"/>
    <w:rsid w:val="76D57A40"/>
    <w:rsid w:val="76E84B17"/>
    <w:rsid w:val="771B10EA"/>
    <w:rsid w:val="77512E3F"/>
    <w:rsid w:val="775E11DE"/>
    <w:rsid w:val="778803B6"/>
    <w:rsid w:val="77924BEB"/>
    <w:rsid w:val="77B57CE6"/>
    <w:rsid w:val="77CB2BF1"/>
    <w:rsid w:val="77DA2E34"/>
    <w:rsid w:val="77E45A61"/>
    <w:rsid w:val="782056FD"/>
    <w:rsid w:val="783B7D77"/>
    <w:rsid w:val="783D79E7"/>
    <w:rsid w:val="784F2557"/>
    <w:rsid w:val="78654DE1"/>
    <w:rsid w:val="78665094"/>
    <w:rsid w:val="78874D6A"/>
    <w:rsid w:val="78B35B5F"/>
    <w:rsid w:val="78C23FF4"/>
    <w:rsid w:val="78E24DCB"/>
    <w:rsid w:val="78F849C2"/>
    <w:rsid w:val="78FC310E"/>
    <w:rsid w:val="79045E32"/>
    <w:rsid w:val="79294073"/>
    <w:rsid w:val="792A0134"/>
    <w:rsid w:val="79701CA2"/>
    <w:rsid w:val="79773031"/>
    <w:rsid w:val="797C0A9B"/>
    <w:rsid w:val="79AD6A52"/>
    <w:rsid w:val="79AE1324"/>
    <w:rsid w:val="79C478F8"/>
    <w:rsid w:val="79C73545"/>
    <w:rsid w:val="79CD225A"/>
    <w:rsid w:val="79CD432C"/>
    <w:rsid w:val="79E42B8D"/>
    <w:rsid w:val="79E57CFB"/>
    <w:rsid w:val="7A0B3779"/>
    <w:rsid w:val="7A392094"/>
    <w:rsid w:val="7A3E76AA"/>
    <w:rsid w:val="7A5E5F9F"/>
    <w:rsid w:val="7A61783D"/>
    <w:rsid w:val="7A677E53"/>
    <w:rsid w:val="7A6F0A15"/>
    <w:rsid w:val="7A7B13B1"/>
    <w:rsid w:val="7A831561"/>
    <w:rsid w:val="7A8F6158"/>
    <w:rsid w:val="7AAC4F5C"/>
    <w:rsid w:val="7ABB0CFB"/>
    <w:rsid w:val="7AEF309B"/>
    <w:rsid w:val="7AEF6BF7"/>
    <w:rsid w:val="7B2B1E08"/>
    <w:rsid w:val="7B56326B"/>
    <w:rsid w:val="7B592AEB"/>
    <w:rsid w:val="7B5C2E58"/>
    <w:rsid w:val="7B7D06A6"/>
    <w:rsid w:val="7B931C78"/>
    <w:rsid w:val="7B9854E0"/>
    <w:rsid w:val="7BB10350"/>
    <w:rsid w:val="7BB33D4C"/>
    <w:rsid w:val="7BBA2624"/>
    <w:rsid w:val="7BD06A28"/>
    <w:rsid w:val="7BF00D90"/>
    <w:rsid w:val="7C092C19"/>
    <w:rsid w:val="7C142DB9"/>
    <w:rsid w:val="7C1639FF"/>
    <w:rsid w:val="7C2C400E"/>
    <w:rsid w:val="7C363F29"/>
    <w:rsid w:val="7C3A6A8B"/>
    <w:rsid w:val="7C661068"/>
    <w:rsid w:val="7C720C48"/>
    <w:rsid w:val="7CCF49B2"/>
    <w:rsid w:val="7CF404F4"/>
    <w:rsid w:val="7CF43450"/>
    <w:rsid w:val="7D07647A"/>
    <w:rsid w:val="7D20217D"/>
    <w:rsid w:val="7D251E74"/>
    <w:rsid w:val="7D2F59D0"/>
    <w:rsid w:val="7D311748"/>
    <w:rsid w:val="7D686039"/>
    <w:rsid w:val="7D795D1F"/>
    <w:rsid w:val="7D7D498E"/>
    <w:rsid w:val="7D8F09BA"/>
    <w:rsid w:val="7D93181C"/>
    <w:rsid w:val="7D9E69C0"/>
    <w:rsid w:val="7DF03702"/>
    <w:rsid w:val="7E0B3D48"/>
    <w:rsid w:val="7E1075B0"/>
    <w:rsid w:val="7E1B02FF"/>
    <w:rsid w:val="7E2C4AFF"/>
    <w:rsid w:val="7E3A462D"/>
    <w:rsid w:val="7E413C0D"/>
    <w:rsid w:val="7E686E70"/>
    <w:rsid w:val="7E7429F4"/>
    <w:rsid w:val="7E9822DE"/>
    <w:rsid w:val="7ECD75C7"/>
    <w:rsid w:val="7EF02F3D"/>
    <w:rsid w:val="7F030EC3"/>
    <w:rsid w:val="7F1B6380"/>
    <w:rsid w:val="7F21759B"/>
    <w:rsid w:val="7F26481D"/>
    <w:rsid w:val="7F303FB0"/>
    <w:rsid w:val="7F460DAF"/>
    <w:rsid w:val="7F578E9F"/>
    <w:rsid w:val="7F631C00"/>
    <w:rsid w:val="7F761695"/>
    <w:rsid w:val="7F7B569D"/>
    <w:rsid w:val="7F994B1D"/>
    <w:rsid w:val="7FBB5A6A"/>
    <w:rsid w:val="7FC034C5"/>
    <w:rsid w:val="7FE162E8"/>
    <w:rsid w:val="7FF151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39" w:semiHidden="0" w:name="toc 3"/>
    <w:lsdException w:unhideWhenUsed="0" w:uiPriority="39" w:semiHidden="0" w:name="toc 4"/>
    <w:lsdException w:unhideWhenUsed="0" w:uiPriority="39" w:semiHidden="0" w:name="toc 5"/>
    <w:lsdException w:uiPriority="39" w:semiHidden="0" w:name="toc 6"/>
    <w:lsdException w:uiPriority="39" w:semiHidden="0" w:name="toc 7"/>
    <w:lsdException w:qFormat="1" w:uiPriority="39" w:semiHidden="0" w:name="toc 8"/>
    <w:lsdException w:uiPriority="39" w:semiHidden="0" w:name="toc 9"/>
    <w:lsdException w:unhideWhenUsed="0" w:uiPriority="0" w:semiHidden="0" w:name="Normal Indent"/>
    <w:lsdException w:qFormat="1" w:unhideWhenUsed="0" w:uiPriority="99" w:semiHidden="0" w:name="footnote text"/>
    <w:lsdException w:qFormat="1" w:unhideWhenUsed="0" w:uiPriority="0" w:name="annotation text"/>
    <w:lsdException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4"/>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65"/>
    <w:qFormat/>
    <w:uiPriority w:val="9"/>
    <w:pPr>
      <w:keepNext/>
      <w:keepLines/>
      <w:spacing w:before="260" w:beforeLines="0" w:after="260" w:afterLines="0" w:line="416" w:lineRule="auto"/>
      <w:outlineLvl w:val="1"/>
    </w:pPr>
    <w:rPr>
      <w:rFonts w:ascii="Cambria" w:hAnsi="Cambria"/>
      <w:b/>
      <w:bCs/>
      <w:sz w:val="32"/>
      <w:szCs w:val="32"/>
    </w:rPr>
  </w:style>
  <w:style w:type="paragraph" w:styleId="4">
    <w:name w:val="heading 3"/>
    <w:basedOn w:val="1"/>
    <w:next w:val="1"/>
    <w:link w:val="91"/>
    <w:qFormat/>
    <w:uiPriority w:val="0"/>
    <w:pPr>
      <w:keepNext/>
      <w:keepLines/>
      <w:widowControl/>
      <w:snapToGrid w:val="0"/>
      <w:spacing w:line="360" w:lineRule="auto"/>
      <w:jc w:val="left"/>
      <w:outlineLvl w:val="2"/>
    </w:pPr>
    <w:rPr>
      <w:rFonts w:ascii="宋体" w:hAnsi="宋体"/>
      <w:b/>
      <w:bCs/>
      <w:kern w:val="0"/>
      <w:sz w:val="28"/>
      <w:lang w:eastAsia="en-US" w:bidi="en-US"/>
    </w:rPr>
  </w:style>
  <w:style w:type="paragraph" w:styleId="5">
    <w:name w:val="heading 4"/>
    <w:basedOn w:val="1"/>
    <w:next w:val="1"/>
    <w:link w:val="67"/>
    <w:qFormat/>
    <w:uiPriority w:val="0"/>
    <w:pPr>
      <w:keepNext/>
      <w:keepLines/>
      <w:widowControl/>
      <w:spacing w:beforeLines="0" w:line="276" w:lineRule="auto"/>
      <w:jc w:val="left"/>
      <w:outlineLvl w:val="3"/>
    </w:pPr>
    <w:rPr>
      <w:rFonts w:ascii="Cambria" w:hAnsi="Cambria" w:eastAsia="宋体"/>
      <w:b/>
      <w:bCs/>
      <w:iCs/>
      <w:color w:val="4F81BD"/>
      <w:kern w:val="0"/>
      <w:sz w:val="22"/>
      <w:lang w:eastAsia="en-US" w:bidi="en-US"/>
    </w:rPr>
  </w:style>
  <w:style w:type="paragraph" w:styleId="6">
    <w:name w:val="heading 5"/>
    <w:basedOn w:val="1"/>
    <w:next w:val="1"/>
    <w:link w:val="68"/>
    <w:qFormat/>
    <w:uiPriority w:val="0"/>
    <w:pPr>
      <w:keepNext/>
      <w:keepLines/>
      <w:widowControl/>
      <w:spacing w:before="200" w:beforeLines="0" w:line="276" w:lineRule="auto"/>
      <w:jc w:val="left"/>
      <w:outlineLvl w:val="4"/>
    </w:pPr>
    <w:rPr>
      <w:rFonts w:ascii="Cambria" w:hAnsi="Cambria"/>
      <w:color w:val="243F60"/>
      <w:kern w:val="0"/>
      <w:sz w:val="22"/>
      <w:lang w:eastAsia="en-US" w:bidi="en-US"/>
    </w:rPr>
  </w:style>
  <w:style w:type="paragraph" w:styleId="7">
    <w:name w:val="heading 6"/>
    <w:basedOn w:val="1"/>
    <w:next w:val="1"/>
    <w:link w:val="69"/>
    <w:qFormat/>
    <w:uiPriority w:val="0"/>
    <w:pPr>
      <w:keepNext/>
      <w:keepLines/>
      <w:adjustRightInd w:val="0"/>
      <w:spacing w:before="240" w:beforeLines="0" w:after="64" w:afterLines="0" w:line="320" w:lineRule="atLeast"/>
      <w:textAlignment w:val="baseline"/>
      <w:outlineLvl w:val="5"/>
    </w:pPr>
    <w:rPr>
      <w:rFonts w:ascii="Arial" w:hAnsi="Arial" w:eastAsia="黑体"/>
      <w:b/>
      <w:kern w:val="0"/>
      <w:sz w:val="24"/>
      <w:szCs w:val="20"/>
    </w:rPr>
  </w:style>
  <w:style w:type="paragraph" w:styleId="8">
    <w:name w:val="heading 7"/>
    <w:basedOn w:val="1"/>
    <w:next w:val="1"/>
    <w:link w:val="70"/>
    <w:qFormat/>
    <w:uiPriority w:val="0"/>
    <w:pPr>
      <w:keepNext/>
      <w:keepLines/>
      <w:adjustRightInd w:val="0"/>
      <w:spacing w:before="240" w:beforeLines="0" w:after="64" w:afterLines="0" w:line="320" w:lineRule="atLeast"/>
      <w:textAlignment w:val="baseline"/>
      <w:outlineLvl w:val="6"/>
    </w:pPr>
    <w:rPr>
      <w:b/>
      <w:kern w:val="0"/>
      <w:sz w:val="24"/>
      <w:szCs w:val="20"/>
    </w:rPr>
  </w:style>
  <w:style w:type="paragraph" w:styleId="9">
    <w:name w:val="heading 8"/>
    <w:basedOn w:val="1"/>
    <w:next w:val="1"/>
    <w:link w:val="71"/>
    <w:qFormat/>
    <w:uiPriority w:val="0"/>
    <w:pPr>
      <w:keepNext/>
      <w:keepLines/>
      <w:adjustRightInd w:val="0"/>
      <w:spacing w:before="240" w:beforeLines="0" w:after="64" w:afterLines="0" w:line="320" w:lineRule="atLeast"/>
      <w:textAlignment w:val="baseline"/>
      <w:outlineLvl w:val="7"/>
    </w:pPr>
    <w:rPr>
      <w:rFonts w:ascii="Arial" w:hAnsi="Arial" w:eastAsia="黑体"/>
      <w:kern w:val="0"/>
      <w:sz w:val="24"/>
      <w:szCs w:val="20"/>
    </w:rPr>
  </w:style>
  <w:style w:type="paragraph" w:styleId="10">
    <w:name w:val="heading 9"/>
    <w:basedOn w:val="1"/>
    <w:next w:val="1"/>
    <w:link w:val="72"/>
    <w:qFormat/>
    <w:uiPriority w:val="0"/>
    <w:pPr>
      <w:keepNext/>
      <w:keepLines/>
      <w:adjustRightInd w:val="0"/>
      <w:spacing w:before="240" w:beforeLines="0" w:after="64" w:afterLines="0" w:line="320" w:lineRule="atLeast"/>
      <w:textAlignment w:val="baseline"/>
      <w:outlineLvl w:val="8"/>
    </w:pPr>
    <w:rPr>
      <w:rFonts w:ascii="Arial" w:hAnsi="Arial" w:eastAsia="黑体"/>
      <w:kern w:val="0"/>
      <w:szCs w:val="20"/>
    </w:rPr>
  </w:style>
  <w:style w:type="character" w:default="1" w:styleId="50">
    <w:name w:val="Default Paragraph Font"/>
    <w:semiHidden/>
    <w:uiPriority w:val="0"/>
  </w:style>
  <w:style w:type="table" w:default="1" w:styleId="4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11">
    <w:name w:val="toc 7"/>
    <w:basedOn w:val="1"/>
    <w:next w:val="1"/>
    <w:unhideWhenUsed/>
    <w:uiPriority w:val="39"/>
    <w:pPr>
      <w:ind w:left="1260"/>
      <w:jc w:val="left"/>
    </w:pPr>
    <w:rPr>
      <w:rFonts w:ascii="Calibri" w:hAnsi="Calibri"/>
      <w:sz w:val="18"/>
      <w:szCs w:val="18"/>
    </w:rPr>
  </w:style>
  <w:style w:type="paragraph" w:styleId="12">
    <w:name w:val="Normal Indent"/>
    <w:basedOn w:val="1"/>
    <w:uiPriority w:val="0"/>
    <w:pPr>
      <w:ind w:firstLine="420" w:firstLineChars="200"/>
    </w:pPr>
  </w:style>
  <w:style w:type="paragraph" w:styleId="13">
    <w:name w:val="caption"/>
    <w:basedOn w:val="1"/>
    <w:next w:val="1"/>
    <w:qFormat/>
    <w:uiPriority w:val="0"/>
    <w:pPr>
      <w:adjustRightInd w:val="0"/>
      <w:spacing w:before="152" w:beforeLines="0" w:after="160" w:afterLines="0" w:line="360" w:lineRule="atLeast"/>
      <w:jc w:val="left"/>
      <w:textAlignment w:val="baseline"/>
    </w:pPr>
    <w:rPr>
      <w:rFonts w:ascii="Arial" w:hAnsi="Arial" w:eastAsia="黑体"/>
      <w:kern w:val="0"/>
      <w:sz w:val="24"/>
    </w:rPr>
  </w:style>
  <w:style w:type="paragraph" w:styleId="14">
    <w:name w:val="Document Map"/>
    <w:basedOn w:val="1"/>
    <w:link w:val="73"/>
    <w:semiHidden/>
    <w:qFormat/>
    <w:uiPriority w:val="0"/>
    <w:pPr>
      <w:shd w:val="clear" w:color="auto" w:fill="000080"/>
    </w:pPr>
  </w:style>
  <w:style w:type="paragraph" w:styleId="15">
    <w:name w:val="toa heading"/>
    <w:next w:val="1"/>
    <w:qFormat/>
    <w:uiPriority w:val="99"/>
    <w:pPr>
      <w:widowControl w:val="0"/>
      <w:autoSpaceDE w:val="0"/>
      <w:autoSpaceDN w:val="0"/>
      <w:adjustRightInd w:val="0"/>
      <w:spacing w:before="120"/>
    </w:pPr>
    <w:rPr>
      <w:rFonts w:ascii="Arial" w:hAnsi="Arial" w:eastAsia="宋体" w:cs="Times New Roman"/>
      <w:sz w:val="24"/>
      <w:lang w:val="en-US" w:eastAsia="zh-CN" w:bidi="ar-SA"/>
    </w:rPr>
  </w:style>
  <w:style w:type="paragraph" w:styleId="16">
    <w:name w:val="annotation text"/>
    <w:basedOn w:val="1"/>
    <w:link w:val="74"/>
    <w:semiHidden/>
    <w:qFormat/>
    <w:uiPriority w:val="0"/>
    <w:pPr>
      <w:jc w:val="left"/>
    </w:pPr>
  </w:style>
  <w:style w:type="paragraph" w:styleId="17">
    <w:name w:val="Body Text 3"/>
    <w:basedOn w:val="1"/>
    <w:link w:val="75"/>
    <w:qFormat/>
    <w:uiPriority w:val="0"/>
    <w:pPr>
      <w:spacing w:after="120" w:afterLines="0"/>
    </w:pPr>
    <w:rPr>
      <w:sz w:val="16"/>
      <w:szCs w:val="16"/>
    </w:rPr>
  </w:style>
  <w:style w:type="paragraph" w:styleId="18">
    <w:name w:val="Body Text"/>
    <w:basedOn w:val="1"/>
    <w:link w:val="76"/>
    <w:qFormat/>
    <w:uiPriority w:val="0"/>
    <w:rPr>
      <w:rFonts w:eastAsia="黑体"/>
      <w:sz w:val="36"/>
    </w:rPr>
  </w:style>
  <w:style w:type="paragraph" w:styleId="19">
    <w:name w:val="Body Text Indent"/>
    <w:basedOn w:val="1"/>
    <w:next w:val="20"/>
    <w:link w:val="77"/>
    <w:qFormat/>
    <w:uiPriority w:val="0"/>
    <w:pPr>
      <w:spacing w:after="120" w:afterLines="0"/>
      <w:ind w:left="420" w:leftChars="200"/>
    </w:pPr>
  </w:style>
  <w:style w:type="paragraph" w:styleId="20">
    <w:name w:val="envelope return"/>
    <w:basedOn w:val="1"/>
    <w:unhideWhenUsed/>
    <w:qFormat/>
    <w:uiPriority w:val="99"/>
    <w:pPr>
      <w:snapToGrid w:val="0"/>
    </w:pPr>
    <w:rPr>
      <w:rFonts w:ascii="Arial" w:hAnsi="Arial"/>
    </w:rPr>
  </w:style>
  <w:style w:type="paragraph" w:styleId="21">
    <w:name w:val="Block Text"/>
    <w:basedOn w:val="1"/>
    <w:qFormat/>
    <w:uiPriority w:val="0"/>
    <w:pPr>
      <w:spacing w:after="120" w:afterLines="0"/>
      <w:ind w:left="1440" w:leftChars="700" w:right="1440" w:rightChars="700"/>
    </w:pPr>
  </w:style>
  <w:style w:type="paragraph" w:styleId="22">
    <w:name w:val="List Bullet 2"/>
    <w:basedOn w:val="1"/>
    <w:uiPriority w:val="0"/>
    <w:pPr>
      <w:numPr>
        <w:ilvl w:val="0"/>
        <w:numId w:val="1"/>
      </w:numPr>
    </w:pPr>
  </w:style>
  <w:style w:type="paragraph" w:styleId="23">
    <w:name w:val="toc 5"/>
    <w:basedOn w:val="1"/>
    <w:next w:val="1"/>
    <w:uiPriority w:val="39"/>
    <w:pPr>
      <w:ind w:left="840"/>
      <w:jc w:val="left"/>
    </w:pPr>
    <w:rPr>
      <w:rFonts w:ascii="Calibri" w:hAnsi="Calibri"/>
      <w:sz w:val="18"/>
      <w:szCs w:val="18"/>
    </w:rPr>
  </w:style>
  <w:style w:type="paragraph" w:styleId="24">
    <w:name w:val="toc 3"/>
    <w:basedOn w:val="1"/>
    <w:next w:val="1"/>
    <w:uiPriority w:val="39"/>
    <w:pPr>
      <w:ind w:left="420"/>
      <w:jc w:val="left"/>
    </w:pPr>
    <w:rPr>
      <w:rFonts w:ascii="Calibri" w:hAnsi="Calibri"/>
      <w:i/>
      <w:iCs/>
      <w:sz w:val="20"/>
      <w:szCs w:val="20"/>
    </w:rPr>
  </w:style>
  <w:style w:type="paragraph" w:styleId="25">
    <w:name w:val="Plain Text"/>
    <w:basedOn w:val="1"/>
    <w:link w:val="78"/>
    <w:qFormat/>
    <w:uiPriority w:val="0"/>
    <w:rPr>
      <w:rFonts w:ascii="宋体" w:hAnsi="Courier New"/>
      <w:szCs w:val="21"/>
    </w:rPr>
  </w:style>
  <w:style w:type="paragraph" w:styleId="26">
    <w:name w:val="toc 8"/>
    <w:basedOn w:val="1"/>
    <w:next w:val="1"/>
    <w:unhideWhenUsed/>
    <w:qFormat/>
    <w:uiPriority w:val="39"/>
    <w:pPr>
      <w:ind w:left="1470"/>
      <w:jc w:val="left"/>
    </w:pPr>
    <w:rPr>
      <w:rFonts w:ascii="Calibri" w:hAnsi="Calibri"/>
      <w:sz w:val="18"/>
      <w:szCs w:val="18"/>
    </w:rPr>
  </w:style>
  <w:style w:type="paragraph" w:styleId="27">
    <w:name w:val="Date"/>
    <w:basedOn w:val="1"/>
    <w:next w:val="1"/>
    <w:link w:val="79"/>
    <w:uiPriority w:val="0"/>
    <w:pPr>
      <w:adjustRightInd w:val="0"/>
      <w:spacing w:line="360" w:lineRule="atLeast"/>
    </w:pPr>
    <w:rPr>
      <w:rFonts w:ascii="宋体"/>
      <w:kern w:val="0"/>
      <w:sz w:val="24"/>
      <w:szCs w:val="20"/>
    </w:rPr>
  </w:style>
  <w:style w:type="paragraph" w:styleId="28">
    <w:name w:val="Body Text Indent 2"/>
    <w:basedOn w:val="1"/>
    <w:link w:val="80"/>
    <w:qFormat/>
    <w:uiPriority w:val="0"/>
    <w:pPr>
      <w:spacing w:after="120" w:afterLines="0" w:line="480" w:lineRule="auto"/>
      <w:ind w:left="420" w:leftChars="200"/>
    </w:pPr>
  </w:style>
  <w:style w:type="paragraph" w:styleId="29">
    <w:name w:val="endnote text"/>
    <w:basedOn w:val="1"/>
    <w:link w:val="81"/>
    <w:uiPriority w:val="0"/>
    <w:pPr>
      <w:snapToGrid w:val="0"/>
      <w:jc w:val="left"/>
    </w:pPr>
  </w:style>
  <w:style w:type="paragraph" w:styleId="30">
    <w:name w:val="Balloon Text"/>
    <w:basedOn w:val="1"/>
    <w:link w:val="82"/>
    <w:semiHidden/>
    <w:qFormat/>
    <w:uiPriority w:val="0"/>
    <w:rPr>
      <w:sz w:val="18"/>
      <w:szCs w:val="18"/>
    </w:rPr>
  </w:style>
  <w:style w:type="paragraph" w:styleId="31">
    <w:name w:val="footer"/>
    <w:basedOn w:val="1"/>
    <w:link w:val="83"/>
    <w:unhideWhenUsed/>
    <w:qFormat/>
    <w:uiPriority w:val="99"/>
    <w:pPr>
      <w:tabs>
        <w:tab w:val="center" w:pos="4153"/>
        <w:tab w:val="right" w:pos="8306"/>
      </w:tabs>
      <w:snapToGrid w:val="0"/>
      <w:jc w:val="left"/>
    </w:pPr>
    <w:rPr>
      <w:kern w:val="0"/>
      <w:sz w:val="18"/>
      <w:szCs w:val="18"/>
    </w:rPr>
  </w:style>
  <w:style w:type="paragraph" w:styleId="32">
    <w:name w:val="header"/>
    <w:basedOn w:val="1"/>
    <w:link w:val="84"/>
    <w:unhideWhenUsed/>
    <w:uiPriority w:val="0"/>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spacing w:before="120" w:after="120"/>
      <w:jc w:val="left"/>
    </w:pPr>
    <w:rPr>
      <w:rFonts w:ascii="Calibri" w:hAnsi="Calibri"/>
      <w:b/>
      <w:bCs/>
      <w:caps/>
      <w:sz w:val="20"/>
      <w:szCs w:val="20"/>
    </w:rPr>
  </w:style>
  <w:style w:type="paragraph" w:styleId="34">
    <w:name w:val="toc 4"/>
    <w:basedOn w:val="1"/>
    <w:next w:val="1"/>
    <w:uiPriority w:val="39"/>
    <w:pPr>
      <w:ind w:left="630"/>
      <w:jc w:val="left"/>
    </w:pPr>
    <w:rPr>
      <w:rFonts w:ascii="Calibri" w:hAnsi="Calibri"/>
      <w:sz w:val="18"/>
      <w:szCs w:val="18"/>
    </w:rPr>
  </w:style>
  <w:style w:type="paragraph" w:styleId="35">
    <w:name w:val="List"/>
    <w:basedOn w:val="1"/>
    <w:qFormat/>
    <w:uiPriority w:val="0"/>
    <w:pPr>
      <w:adjustRightInd w:val="0"/>
      <w:spacing w:line="360" w:lineRule="atLeast"/>
      <w:ind w:left="420" w:hanging="420"/>
      <w:jc w:val="left"/>
    </w:pPr>
    <w:rPr>
      <w:rFonts w:hint="eastAsia" w:ascii="宋体"/>
      <w:kern w:val="0"/>
      <w:sz w:val="24"/>
      <w:szCs w:val="20"/>
    </w:rPr>
  </w:style>
  <w:style w:type="paragraph" w:styleId="36">
    <w:name w:val="footnote text"/>
    <w:basedOn w:val="1"/>
    <w:link w:val="85"/>
    <w:qFormat/>
    <w:uiPriority w:val="99"/>
    <w:pPr>
      <w:snapToGrid w:val="0"/>
      <w:jc w:val="left"/>
    </w:pPr>
    <w:rPr>
      <w:sz w:val="18"/>
      <w:szCs w:val="18"/>
    </w:rPr>
  </w:style>
  <w:style w:type="paragraph" w:styleId="37">
    <w:name w:val="toc 6"/>
    <w:basedOn w:val="1"/>
    <w:next w:val="1"/>
    <w:unhideWhenUsed/>
    <w:uiPriority w:val="39"/>
    <w:pPr>
      <w:ind w:left="1050"/>
      <w:jc w:val="left"/>
    </w:pPr>
    <w:rPr>
      <w:rFonts w:ascii="Calibri" w:hAnsi="Calibri"/>
      <w:sz w:val="18"/>
      <w:szCs w:val="18"/>
    </w:rPr>
  </w:style>
  <w:style w:type="paragraph" w:styleId="38">
    <w:name w:val="Body Text Indent 3"/>
    <w:basedOn w:val="1"/>
    <w:link w:val="86"/>
    <w:qFormat/>
    <w:uiPriority w:val="0"/>
    <w:pPr>
      <w:spacing w:after="120" w:afterLines="0"/>
      <w:ind w:left="420" w:leftChars="200"/>
    </w:pPr>
    <w:rPr>
      <w:sz w:val="16"/>
      <w:szCs w:val="16"/>
    </w:rPr>
  </w:style>
  <w:style w:type="paragraph" w:styleId="39">
    <w:name w:val="toc 2"/>
    <w:basedOn w:val="1"/>
    <w:next w:val="1"/>
    <w:qFormat/>
    <w:uiPriority w:val="39"/>
    <w:pPr>
      <w:ind w:left="210"/>
      <w:jc w:val="left"/>
    </w:pPr>
    <w:rPr>
      <w:rFonts w:ascii="Calibri" w:hAnsi="Calibri"/>
      <w:smallCaps/>
      <w:sz w:val="20"/>
      <w:szCs w:val="20"/>
    </w:rPr>
  </w:style>
  <w:style w:type="paragraph" w:styleId="40">
    <w:name w:val="toc 9"/>
    <w:basedOn w:val="1"/>
    <w:next w:val="1"/>
    <w:unhideWhenUsed/>
    <w:uiPriority w:val="39"/>
    <w:pPr>
      <w:ind w:left="1680"/>
      <w:jc w:val="left"/>
    </w:pPr>
    <w:rPr>
      <w:rFonts w:ascii="Calibri" w:hAnsi="Calibri"/>
      <w:sz w:val="18"/>
      <w:szCs w:val="18"/>
    </w:rPr>
  </w:style>
  <w:style w:type="paragraph" w:styleId="41">
    <w:name w:val="Body Text 2"/>
    <w:basedOn w:val="1"/>
    <w:link w:val="87"/>
    <w:qFormat/>
    <w:uiPriority w:val="0"/>
    <w:pPr>
      <w:jc w:val="center"/>
    </w:pPr>
    <w:rPr>
      <w:rFonts w:eastAsia="黑体"/>
      <w:bCs/>
      <w:sz w:val="72"/>
    </w:rPr>
  </w:style>
  <w:style w:type="paragraph" w:styleId="4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43">
    <w:name w:val="index 1"/>
    <w:basedOn w:val="1"/>
    <w:next w:val="1"/>
    <w:semiHidden/>
    <w:uiPriority w:val="0"/>
    <w:pPr>
      <w:spacing w:line="220" w:lineRule="exact"/>
      <w:jc w:val="center"/>
    </w:pPr>
    <w:rPr>
      <w:rFonts w:ascii="仿宋_GB2312" w:eastAsia="仿宋_GB2312"/>
      <w:szCs w:val="21"/>
    </w:rPr>
  </w:style>
  <w:style w:type="paragraph" w:styleId="44">
    <w:name w:val="Title"/>
    <w:basedOn w:val="1"/>
    <w:link w:val="88"/>
    <w:qFormat/>
    <w:uiPriority w:val="0"/>
    <w:pPr>
      <w:adjustRightInd w:val="0"/>
      <w:spacing w:before="240" w:beforeLines="0" w:after="60" w:afterLines="0" w:line="360" w:lineRule="atLeast"/>
      <w:jc w:val="center"/>
      <w:outlineLvl w:val="0"/>
    </w:pPr>
    <w:rPr>
      <w:rFonts w:ascii="Arial" w:hAnsi="Arial"/>
      <w:b/>
      <w:kern w:val="0"/>
      <w:sz w:val="32"/>
      <w:szCs w:val="20"/>
    </w:rPr>
  </w:style>
  <w:style w:type="paragraph" w:styleId="45">
    <w:name w:val="annotation subject"/>
    <w:basedOn w:val="16"/>
    <w:next w:val="16"/>
    <w:link w:val="89"/>
    <w:semiHidden/>
    <w:qFormat/>
    <w:uiPriority w:val="0"/>
    <w:rPr>
      <w:b/>
      <w:bCs/>
    </w:rPr>
  </w:style>
  <w:style w:type="paragraph" w:styleId="46">
    <w:name w:val="Body Text First Indent"/>
    <w:basedOn w:val="18"/>
    <w:link w:val="90"/>
    <w:qFormat/>
    <w:uiPriority w:val="0"/>
    <w:pPr>
      <w:tabs>
        <w:tab w:val="left" w:pos="1418"/>
      </w:tabs>
      <w:autoSpaceDE w:val="0"/>
      <w:autoSpaceDN w:val="0"/>
      <w:adjustRightInd w:val="0"/>
      <w:spacing w:before="120" w:beforeLines="0" w:after="120" w:afterLines="0"/>
      <w:ind w:left="1418" w:hanging="567"/>
      <w:jc w:val="left"/>
    </w:pPr>
    <w:rPr>
      <w:rFonts w:eastAsia="PMingLiU"/>
      <w:lang w:eastAsia="zh-TW"/>
    </w:rPr>
  </w:style>
  <w:style w:type="paragraph" w:styleId="47">
    <w:name w:val="Body Text First Indent 2"/>
    <w:basedOn w:val="19"/>
    <w:next w:val="1"/>
    <w:unhideWhenUsed/>
    <w:qFormat/>
    <w:uiPriority w:val="0"/>
    <w:pPr>
      <w:ind w:firstLine="420" w:firstLineChars="200"/>
    </w:pPr>
  </w:style>
  <w:style w:type="table" w:styleId="49">
    <w:name w:val="Table Grid"/>
    <w:basedOn w:val="48"/>
    <w:unhideWhenUsed/>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22"/>
    <w:rPr>
      <w:b/>
      <w:bCs/>
    </w:rPr>
  </w:style>
  <w:style w:type="character" w:styleId="52">
    <w:name w:val="endnote reference"/>
    <w:uiPriority w:val="0"/>
    <w:rPr>
      <w:vertAlign w:val="superscript"/>
    </w:rPr>
  </w:style>
  <w:style w:type="character" w:styleId="53">
    <w:name w:val="page number"/>
    <w:qFormat/>
    <w:uiPriority w:val="0"/>
  </w:style>
  <w:style w:type="character" w:styleId="54">
    <w:name w:val="FollowedHyperlink"/>
    <w:uiPriority w:val="0"/>
    <w:rPr>
      <w:color w:val="333333"/>
      <w:u w:val="none"/>
    </w:rPr>
  </w:style>
  <w:style w:type="character" w:styleId="55">
    <w:name w:val="Emphasis"/>
    <w:qFormat/>
    <w:uiPriority w:val="0"/>
    <w:rPr>
      <w:i/>
    </w:rPr>
  </w:style>
  <w:style w:type="character" w:styleId="56">
    <w:name w:val="HTML Definition"/>
    <w:qFormat/>
    <w:uiPriority w:val="0"/>
    <w:rPr>
      <w:i/>
      <w:iCs/>
    </w:rPr>
  </w:style>
  <w:style w:type="character" w:styleId="57">
    <w:name w:val="HTML Acronym"/>
    <w:qFormat/>
    <w:uiPriority w:val="0"/>
    <w:rPr>
      <w:color w:val="222E3A"/>
      <w:sz w:val="25"/>
      <w:szCs w:val="25"/>
    </w:rPr>
  </w:style>
  <w:style w:type="character" w:styleId="58">
    <w:name w:val="Hyperlink"/>
    <w:qFormat/>
    <w:uiPriority w:val="99"/>
    <w:rPr>
      <w:color w:val="333333"/>
      <w:u w:val="none"/>
    </w:rPr>
  </w:style>
  <w:style w:type="character" w:styleId="59">
    <w:name w:val="HTML Code"/>
    <w:uiPriority w:val="0"/>
    <w:rPr>
      <w:rFonts w:hint="default" w:ascii="monospace" w:hAnsi="monospace" w:eastAsia="monospace" w:cs="monospace"/>
      <w:sz w:val="21"/>
      <w:szCs w:val="21"/>
    </w:rPr>
  </w:style>
  <w:style w:type="character" w:styleId="60">
    <w:name w:val="annotation reference"/>
    <w:qFormat/>
    <w:uiPriority w:val="0"/>
    <w:rPr>
      <w:sz w:val="21"/>
      <w:szCs w:val="21"/>
    </w:rPr>
  </w:style>
  <w:style w:type="character" w:styleId="61">
    <w:name w:val="footnote reference"/>
    <w:qFormat/>
    <w:uiPriority w:val="99"/>
    <w:rPr>
      <w:vertAlign w:val="superscript"/>
    </w:rPr>
  </w:style>
  <w:style w:type="character" w:styleId="62">
    <w:name w:val="HTML Keyboard"/>
    <w:qFormat/>
    <w:uiPriority w:val="0"/>
    <w:rPr>
      <w:rFonts w:ascii="monospace" w:hAnsi="monospace" w:eastAsia="monospace" w:cs="monospace"/>
      <w:sz w:val="21"/>
      <w:szCs w:val="21"/>
    </w:rPr>
  </w:style>
  <w:style w:type="character" w:styleId="63">
    <w:name w:val="HTML Sample"/>
    <w:qFormat/>
    <w:uiPriority w:val="0"/>
    <w:rPr>
      <w:rFonts w:hint="default" w:ascii="monospace" w:hAnsi="monospace" w:eastAsia="monospace" w:cs="monospace"/>
      <w:sz w:val="21"/>
      <w:szCs w:val="21"/>
    </w:rPr>
  </w:style>
  <w:style w:type="character" w:customStyle="1" w:styleId="64">
    <w:name w:val="标题 1 字符"/>
    <w:link w:val="2"/>
    <w:qFormat/>
    <w:uiPriority w:val="9"/>
    <w:rPr>
      <w:rFonts w:eastAsia="宋体"/>
      <w:b/>
      <w:bCs/>
      <w:kern w:val="44"/>
      <w:sz w:val="44"/>
      <w:szCs w:val="44"/>
      <w:lang w:val="en-US" w:eastAsia="zh-CN" w:bidi="ar-SA"/>
    </w:rPr>
  </w:style>
  <w:style w:type="character" w:customStyle="1" w:styleId="65">
    <w:name w:val="标题 2 字符"/>
    <w:link w:val="3"/>
    <w:qFormat/>
    <w:uiPriority w:val="9"/>
    <w:rPr>
      <w:rFonts w:ascii="Cambria" w:hAnsi="Cambria" w:eastAsia="宋体"/>
      <w:b/>
      <w:bCs/>
      <w:kern w:val="2"/>
      <w:sz w:val="32"/>
      <w:szCs w:val="32"/>
      <w:lang w:val="en-US" w:eastAsia="zh-CN" w:bidi="ar-SA"/>
    </w:rPr>
  </w:style>
  <w:style w:type="character" w:customStyle="1" w:styleId="66">
    <w:name w:val="标题 3 字符1"/>
    <w:link w:val="4"/>
    <w:qFormat/>
    <w:uiPriority w:val="0"/>
    <w:rPr>
      <w:rFonts w:ascii="宋体" w:hAnsi="宋体"/>
      <w:b/>
      <w:bCs/>
      <w:sz w:val="28"/>
      <w:szCs w:val="24"/>
      <w:lang w:eastAsia="en-US" w:bidi="en-US"/>
    </w:rPr>
  </w:style>
  <w:style w:type="character" w:customStyle="1" w:styleId="67">
    <w:name w:val="标题 4 字符"/>
    <w:link w:val="5"/>
    <w:qFormat/>
    <w:uiPriority w:val="0"/>
    <w:rPr>
      <w:rFonts w:ascii="Cambria" w:hAnsi="Cambria" w:eastAsia="宋体"/>
      <w:b/>
      <w:bCs/>
      <w:iCs/>
      <w:color w:val="4F81BD"/>
      <w:sz w:val="22"/>
      <w:szCs w:val="24"/>
      <w:lang w:val="en-US" w:eastAsia="en-US" w:bidi="en-US"/>
    </w:rPr>
  </w:style>
  <w:style w:type="character" w:customStyle="1" w:styleId="68">
    <w:name w:val="标题 5 字符"/>
    <w:link w:val="6"/>
    <w:qFormat/>
    <w:uiPriority w:val="0"/>
    <w:rPr>
      <w:rFonts w:ascii="Cambria" w:hAnsi="Cambria" w:eastAsia="宋体"/>
      <w:color w:val="243F60"/>
      <w:sz w:val="22"/>
      <w:szCs w:val="24"/>
      <w:lang w:val="en-US" w:eastAsia="en-US" w:bidi="en-US"/>
    </w:rPr>
  </w:style>
  <w:style w:type="character" w:customStyle="1" w:styleId="69">
    <w:name w:val="标题 6 字符"/>
    <w:link w:val="7"/>
    <w:qFormat/>
    <w:uiPriority w:val="0"/>
    <w:rPr>
      <w:rFonts w:ascii="Arial" w:hAnsi="Arial" w:eastAsia="黑体"/>
      <w:b/>
      <w:sz w:val="24"/>
      <w:lang w:val="en-US" w:eastAsia="zh-CN" w:bidi="ar-SA"/>
    </w:rPr>
  </w:style>
  <w:style w:type="character" w:customStyle="1" w:styleId="70">
    <w:name w:val="标题 7 字符"/>
    <w:link w:val="8"/>
    <w:qFormat/>
    <w:uiPriority w:val="0"/>
    <w:rPr>
      <w:rFonts w:eastAsia="宋体"/>
      <w:b/>
      <w:sz w:val="24"/>
      <w:lang w:val="en-US" w:eastAsia="zh-CN" w:bidi="ar-SA"/>
    </w:rPr>
  </w:style>
  <w:style w:type="character" w:customStyle="1" w:styleId="71">
    <w:name w:val="标题 8 字符"/>
    <w:link w:val="9"/>
    <w:qFormat/>
    <w:uiPriority w:val="0"/>
    <w:rPr>
      <w:rFonts w:ascii="Arial" w:hAnsi="Arial" w:eastAsia="黑体"/>
      <w:sz w:val="24"/>
      <w:lang w:val="en-US" w:eastAsia="zh-CN" w:bidi="ar-SA"/>
    </w:rPr>
  </w:style>
  <w:style w:type="character" w:customStyle="1" w:styleId="72">
    <w:name w:val="标题 9 字符"/>
    <w:link w:val="10"/>
    <w:qFormat/>
    <w:uiPriority w:val="0"/>
    <w:rPr>
      <w:rFonts w:ascii="Arial" w:hAnsi="Arial" w:eastAsia="黑体"/>
      <w:sz w:val="21"/>
      <w:lang w:val="en-US" w:eastAsia="zh-CN" w:bidi="ar-SA"/>
    </w:rPr>
  </w:style>
  <w:style w:type="character" w:customStyle="1" w:styleId="73">
    <w:name w:val="文档结构图 字符"/>
    <w:link w:val="14"/>
    <w:semiHidden/>
    <w:qFormat/>
    <w:uiPriority w:val="0"/>
    <w:rPr>
      <w:rFonts w:eastAsia="宋体"/>
      <w:kern w:val="2"/>
      <w:sz w:val="21"/>
      <w:szCs w:val="24"/>
      <w:lang w:val="en-US" w:eastAsia="zh-CN" w:bidi="ar-SA"/>
    </w:rPr>
  </w:style>
  <w:style w:type="character" w:customStyle="1" w:styleId="74">
    <w:name w:val="批注文字 字符"/>
    <w:link w:val="16"/>
    <w:semiHidden/>
    <w:qFormat/>
    <w:uiPriority w:val="0"/>
    <w:rPr>
      <w:rFonts w:eastAsia="宋体"/>
      <w:kern w:val="2"/>
      <w:sz w:val="21"/>
      <w:szCs w:val="24"/>
      <w:lang w:val="en-US" w:eastAsia="zh-CN" w:bidi="ar-SA"/>
    </w:rPr>
  </w:style>
  <w:style w:type="character" w:customStyle="1" w:styleId="75">
    <w:name w:val="正文文本 3 字符"/>
    <w:link w:val="17"/>
    <w:qFormat/>
    <w:uiPriority w:val="0"/>
    <w:rPr>
      <w:rFonts w:eastAsia="宋体"/>
      <w:kern w:val="2"/>
      <w:sz w:val="16"/>
      <w:szCs w:val="16"/>
      <w:lang w:val="en-US" w:eastAsia="zh-CN" w:bidi="ar-SA"/>
    </w:rPr>
  </w:style>
  <w:style w:type="character" w:customStyle="1" w:styleId="76">
    <w:name w:val="正文文本 字符"/>
    <w:link w:val="18"/>
    <w:qFormat/>
    <w:uiPriority w:val="0"/>
    <w:rPr>
      <w:rFonts w:eastAsia="黑体"/>
      <w:kern w:val="2"/>
      <w:sz w:val="36"/>
      <w:szCs w:val="24"/>
      <w:lang w:val="en-US" w:eastAsia="zh-CN" w:bidi="ar-SA"/>
    </w:rPr>
  </w:style>
  <w:style w:type="character" w:customStyle="1" w:styleId="77">
    <w:name w:val="正文文本缩进 字符"/>
    <w:link w:val="19"/>
    <w:qFormat/>
    <w:uiPriority w:val="0"/>
    <w:rPr>
      <w:rFonts w:eastAsia="宋体"/>
      <w:kern w:val="2"/>
      <w:sz w:val="21"/>
      <w:szCs w:val="24"/>
      <w:lang w:val="en-US" w:eastAsia="zh-CN" w:bidi="ar-SA"/>
    </w:rPr>
  </w:style>
  <w:style w:type="character" w:customStyle="1" w:styleId="78">
    <w:name w:val="纯文本 字符"/>
    <w:link w:val="25"/>
    <w:qFormat/>
    <w:uiPriority w:val="0"/>
    <w:rPr>
      <w:rFonts w:ascii="宋体" w:hAnsi="Courier New" w:eastAsia="宋体"/>
      <w:kern w:val="2"/>
      <w:sz w:val="21"/>
      <w:szCs w:val="21"/>
      <w:lang w:val="en-US" w:eastAsia="zh-CN" w:bidi="ar-SA"/>
    </w:rPr>
  </w:style>
  <w:style w:type="character" w:customStyle="1" w:styleId="79">
    <w:name w:val="日期 字符"/>
    <w:link w:val="27"/>
    <w:qFormat/>
    <w:uiPriority w:val="0"/>
    <w:rPr>
      <w:rFonts w:ascii="宋体" w:eastAsia="宋体"/>
      <w:sz w:val="24"/>
      <w:lang w:val="en-US" w:eastAsia="zh-CN" w:bidi="ar-SA"/>
    </w:rPr>
  </w:style>
  <w:style w:type="character" w:customStyle="1" w:styleId="80">
    <w:name w:val="正文文本缩进 2 字符"/>
    <w:link w:val="28"/>
    <w:qFormat/>
    <w:uiPriority w:val="0"/>
    <w:rPr>
      <w:rFonts w:eastAsia="宋体"/>
      <w:kern w:val="2"/>
      <w:sz w:val="21"/>
      <w:szCs w:val="24"/>
      <w:lang w:val="en-US" w:eastAsia="zh-CN" w:bidi="ar-SA"/>
    </w:rPr>
  </w:style>
  <w:style w:type="character" w:customStyle="1" w:styleId="81">
    <w:name w:val="尾注文本 字符"/>
    <w:link w:val="29"/>
    <w:qFormat/>
    <w:uiPriority w:val="0"/>
    <w:rPr>
      <w:kern w:val="2"/>
      <w:sz w:val="21"/>
      <w:szCs w:val="24"/>
    </w:rPr>
  </w:style>
  <w:style w:type="character" w:customStyle="1" w:styleId="82">
    <w:name w:val="批注框文本 字符"/>
    <w:link w:val="30"/>
    <w:semiHidden/>
    <w:qFormat/>
    <w:uiPriority w:val="0"/>
    <w:rPr>
      <w:rFonts w:eastAsia="宋体"/>
      <w:kern w:val="2"/>
      <w:sz w:val="18"/>
      <w:szCs w:val="18"/>
      <w:lang w:val="en-US" w:eastAsia="zh-CN" w:bidi="ar-SA"/>
    </w:rPr>
  </w:style>
  <w:style w:type="character" w:customStyle="1" w:styleId="83">
    <w:name w:val="页脚 字符"/>
    <w:link w:val="31"/>
    <w:qFormat/>
    <w:uiPriority w:val="99"/>
    <w:rPr>
      <w:rFonts w:eastAsia="宋体"/>
      <w:sz w:val="18"/>
      <w:szCs w:val="18"/>
      <w:lang w:val="en-US" w:eastAsia="zh-CN" w:bidi="ar-SA"/>
    </w:rPr>
  </w:style>
  <w:style w:type="character" w:customStyle="1" w:styleId="84">
    <w:name w:val="页眉 字符"/>
    <w:link w:val="32"/>
    <w:qFormat/>
    <w:uiPriority w:val="0"/>
    <w:rPr>
      <w:rFonts w:eastAsia="宋体"/>
      <w:sz w:val="18"/>
      <w:szCs w:val="18"/>
      <w:lang w:val="en-US" w:eastAsia="zh-CN" w:bidi="ar-SA"/>
    </w:rPr>
  </w:style>
  <w:style w:type="character" w:customStyle="1" w:styleId="85">
    <w:name w:val="脚注文本 字符"/>
    <w:link w:val="36"/>
    <w:qFormat/>
    <w:uiPriority w:val="99"/>
    <w:rPr>
      <w:kern w:val="2"/>
      <w:sz w:val="18"/>
      <w:szCs w:val="18"/>
    </w:rPr>
  </w:style>
  <w:style w:type="character" w:customStyle="1" w:styleId="86">
    <w:name w:val="正文文本缩进 3 字符"/>
    <w:link w:val="38"/>
    <w:qFormat/>
    <w:uiPriority w:val="0"/>
    <w:rPr>
      <w:rFonts w:eastAsia="宋体"/>
      <w:kern w:val="2"/>
      <w:sz w:val="16"/>
      <w:szCs w:val="16"/>
      <w:lang w:val="en-US" w:eastAsia="zh-CN" w:bidi="ar-SA"/>
    </w:rPr>
  </w:style>
  <w:style w:type="character" w:customStyle="1" w:styleId="87">
    <w:name w:val="正文文本 2 字符"/>
    <w:link w:val="41"/>
    <w:qFormat/>
    <w:uiPriority w:val="0"/>
    <w:rPr>
      <w:rFonts w:eastAsia="黑体"/>
      <w:bCs/>
      <w:kern w:val="2"/>
      <w:sz w:val="72"/>
      <w:szCs w:val="24"/>
      <w:lang w:val="en-US" w:eastAsia="zh-CN" w:bidi="ar-SA"/>
    </w:rPr>
  </w:style>
  <w:style w:type="character" w:customStyle="1" w:styleId="88">
    <w:name w:val="标题 字符"/>
    <w:link w:val="44"/>
    <w:qFormat/>
    <w:uiPriority w:val="0"/>
    <w:rPr>
      <w:rFonts w:ascii="Arial" w:hAnsi="Arial" w:eastAsia="宋体"/>
      <w:b/>
      <w:sz w:val="32"/>
      <w:lang w:val="en-US" w:eastAsia="zh-CN" w:bidi="ar-SA"/>
    </w:rPr>
  </w:style>
  <w:style w:type="character" w:customStyle="1" w:styleId="89">
    <w:name w:val="批注主题 字符"/>
    <w:link w:val="45"/>
    <w:semiHidden/>
    <w:qFormat/>
    <w:uiPriority w:val="0"/>
    <w:rPr>
      <w:rFonts w:eastAsia="宋体"/>
      <w:b/>
      <w:bCs/>
      <w:kern w:val="2"/>
      <w:sz w:val="21"/>
      <w:szCs w:val="24"/>
      <w:lang w:val="en-US" w:eastAsia="zh-CN" w:bidi="ar-SA"/>
    </w:rPr>
  </w:style>
  <w:style w:type="character" w:customStyle="1" w:styleId="90">
    <w:name w:val="正文首行缩进 字符"/>
    <w:link w:val="46"/>
    <w:qFormat/>
    <w:uiPriority w:val="0"/>
    <w:rPr>
      <w:rFonts w:eastAsia="PMingLiU"/>
      <w:kern w:val="2"/>
      <w:sz w:val="36"/>
      <w:szCs w:val="24"/>
      <w:lang w:val="en-US" w:eastAsia="zh-TW" w:bidi="ar-SA"/>
    </w:rPr>
  </w:style>
  <w:style w:type="character" w:customStyle="1" w:styleId="91">
    <w:name w:val="标题 3 字符"/>
    <w:link w:val="4"/>
    <w:qFormat/>
    <w:uiPriority w:val="0"/>
    <w:rPr>
      <w:b/>
      <w:bCs/>
      <w:kern w:val="2"/>
      <w:sz w:val="32"/>
      <w:szCs w:val="32"/>
    </w:rPr>
  </w:style>
  <w:style w:type="paragraph" w:customStyle="1" w:styleId="9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93">
    <w:name w:val="列出段落1"/>
    <w:basedOn w:val="1"/>
    <w:qFormat/>
    <w:uiPriority w:val="0"/>
    <w:pPr>
      <w:ind w:firstLine="420" w:firstLineChars="200"/>
    </w:pPr>
  </w:style>
  <w:style w:type="character" w:customStyle="1" w:styleId="94">
    <w:name w:val="脚注文本 字符1"/>
    <w:qFormat/>
    <w:uiPriority w:val="0"/>
    <w:rPr>
      <w:kern w:val="2"/>
      <w:sz w:val="18"/>
      <w:szCs w:val="18"/>
    </w:rPr>
  </w:style>
  <w:style w:type="character" w:customStyle="1" w:styleId="95">
    <w:name w:val="font161"/>
    <w:qFormat/>
    <w:uiPriority w:val="0"/>
    <w:rPr>
      <w:b/>
      <w:bCs/>
      <w:sz w:val="32"/>
      <w:szCs w:val="32"/>
    </w:rPr>
  </w:style>
  <w:style w:type="character" w:customStyle="1" w:styleId="96">
    <w:name w:val="Char Char11"/>
    <w:qFormat/>
    <w:uiPriority w:val="0"/>
    <w:rPr>
      <w:rFonts w:ascii="宋体" w:eastAsia="宋体" w:cs="Times New Roman"/>
      <w:sz w:val="24"/>
      <w:lang w:val="en-US" w:eastAsia="zh-CN" w:bidi="ar-SA"/>
    </w:rPr>
  </w:style>
  <w:style w:type="character" w:customStyle="1" w:styleId="97">
    <w:name w:val="Heading 1 Char"/>
    <w:qFormat/>
    <w:locked/>
    <w:uiPriority w:val="0"/>
    <w:rPr>
      <w:rFonts w:ascii="Times New Roman" w:hAnsi="Times New Roman" w:eastAsia="宋体" w:cs="Times New Roman"/>
      <w:b/>
      <w:bCs/>
      <w:kern w:val="44"/>
      <w:sz w:val="44"/>
      <w:szCs w:val="44"/>
    </w:rPr>
  </w:style>
  <w:style w:type="character" w:customStyle="1" w:styleId="98">
    <w:name w:val="Footer Char"/>
    <w:qFormat/>
    <w:locked/>
    <w:uiPriority w:val="0"/>
    <w:rPr>
      <w:rFonts w:ascii="宋体" w:cs="Times New Roman"/>
      <w:sz w:val="24"/>
      <w:szCs w:val="24"/>
    </w:rPr>
  </w:style>
  <w:style w:type="character" w:customStyle="1" w:styleId="99">
    <w:name w:val="Char Char1"/>
    <w:qFormat/>
    <w:uiPriority w:val="0"/>
    <w:rPr>
      <w:rFonts w:eastAsia="宋体"/>
      <w:kern w:val="2"/>
      <w:sz w:val="24"/>
      <w:lang w:val="en-US" w:eastAsia="zh-CN" w:bidi="ar-SA"/>
    </w:rPr>
  </w:style>
  <w:style w:type="character" w:customStyle="1" w:styleId="100">
    <w:name w:val="f14b1"/>
    <w:qFormat/>
    <w:uiPriority w:val="0"/>
    <w:rPr>
      <w:rFonts w:cs="Times New Roman"/>
      <w:b/>
      <w:bCs/>
      <w:sz w:val="21"/>
      <w:szCs w:val="21"/>
    </w:rPr>
  </w:style>
  <w:style w:type="character" w:customStyle="1" w:styleId="101">
    <w:name w:val="Plain Text Char"/>
    <w:qFormat/>
    <w:locked/>
    <w:uiPriority w:val="0"/>
    <w:rPr>
      <w:rFonts w:ascii="宋体" w:hAnsi="宋体" w:eastAsia="宋体" w:cs="宋体"/>
      <w:kern w:val="0"/>
      <w:sz w:val="24"/>
      <w:szCs w:val="24"/>
    </w:rPr>
  </w:style>
  <w:style w:type="character" w:customStyle="1" w:styleId="102">
    <w:name w:val="apple-converted-space"/>
    <w:qFormat/>
    <w:uiPriority w:val="0"/>
  </w:style>
  <w:style w:type="character" w:customStyle="1" w:styleId="103">
    <w:name w:val="Heading 2 Char"/>
    <w:qFormat/>
    <w:locked/>
    <w:uiPriority w:val="0"/>
    <w:rPr>
      <w:rFonts w:ascii="宋体" w:hAnsi="宋体" w:eastAsia="宋体" w:cs="Times New Roman"/>
      <w:kern w:val="0"/>
      <w:sz w:val="20"/>
      <w:szCs w:val="20"/>
    </w:rPr>
  </w:style>
  <w:style w:type="character" w:customStyle="1" w:styleId="104">
    <w:name w:val="Char Char"/>
    <w:qFormat/>
    <w:uiPriority w:val="0"/>
    <w:rPr>
      <w:rFonts w:ascii="Arial" w:hAnsi="Arial" w:eastAsia="黑体"/>
      <w:b/>
      <w:bCs/>
      <w:kern w:val="2"/>
      <w:sz w:val="32"/>
      <w:szCs w:val="32"/>
      <w:lang w:val="en-US" w:eastAsia="zh-CN" w:bidi="ar-SA"/>
    </w:rPr>
  </w:style>
  <w:style w:type="character" w:customStyle="1" w:styleId="105">
    <w:name w:val="Date Char"/>
    <w:qFormat/>
    <w:locked/>
    <w:uiPriority w:val="0"/>
    <w:rPr>
      <w:rFonts w:eastAsia="宋体"/>
      <w:sz w:val="24"/>
    </w:rPr>
  </w:style>
  <w:style w:type="character" w:customStyle="1" w:styleId="106">
    <w:name w:val="样式 粉红"/>
    <w:qFormat/>
    <w:uiPriority w:val="0"/>
    <w:rPr>
      <w:color w:val="auto"/>
      <w:u w:val="none"/>
    </w:rPr>
  </w:style>
  <w:style w:type="character" w:customStyle="1" w:styleId="107">
    <w:name w:val="标题 2 Char Char"/>
    <w:qFormat/>
    <w:uiPriority w:val="0"/>
    <w:rPr>
      <w:rFonts w:ascii="Arial" w:hAnsi="Arial" w:eastAsia="黑体" w:cs="Times New Roman"/>
      <w:b/>
      <w:bCs/>
      <w:kern w:val="2"/>
      <w:sz w:val="32"/>
      <w:szCs w:val="32"/>
      <w:lang w:val="en-US" w:eastAsia="zh-CN" w:bidi="ar-SA"/>
    </w:rPr>
  </w:style>
  <w:style w:type="character" w:customStyle="1" w:styleId="108">
    <w:name w:val="缩进正文 Char"/>
    <w:link w:val="109"/>
    <w:qFormat/>
    <w:locked/>
    <w:uiPriority w:val="0"/>
    <w:rPr>
      <w:rFonts w:ascii="宋体" w:hAnsi="宋体"/>
      <w:spacing w:val="30"/>
      <w:sz w:val="24"/>
      <w:szCs w:val="24"/>
      <w:lang w:val="en-GB" w:eastAsia="zh-CN" w:bidi="ar-SA"/>
    </w:rPr>
  </w:style>
  <w:style w:type="paragraph" w:customStyle="1" w:styleId="109">
    <w:name w:val="缩进正文"/>
    <w:link w:val="108"/>
    <w:qFormat/>
    <w:uiPriority w:val="0"/>
    <w:pPr>
      <w:adjustRightInd w:val="0"/>
      <w:snapToGrid w:val="0"/>
      <w:spacing w:before="218" w:beforeLines="70" w:after="218" w:afterLines="70" w:line="360" w:lineRule="exact"/>
      <w:ind w:left="1021"/>
      <w:jc w:val="both"/>
      <w:textAlignment w:val="baseline"/>
    </w:pPr>
    <w:rPr>
      <w:rFonts w:ascii="宋体" w:hAnsi="宋体" w:eastAsia="宋体" w:cs="Times New Roman"/>
      <w:spacing w:val="30"/>
      <w:sz w:val="24"/>
      <w:szCs w:val="24"/>
      <w:lang w:val="en-GB" w:eastAsia="zh-CN" w:bidi="ar-SA"/>
    </w:rPr>
  </w:style>
  <w:style w:type="character" w:customStyle="1" w:styleId="110">
    <w:name w:val="样式3 Char Char"/>
    <w:link w:val="111"/>
    <w:qFormat/>
    <w:locked/>
    <w:uiPriority w:val="0"/>
    <w:rPr>
      <w:rFonts w:ascii="宋体" w:hAnsi="宋体" w:eastAsia="黑体"/>
      <w:sz w:val="36"/>
      <w:szCs w:val="36"/>
      <w:lang w:bidi="ar-SA"/>
    </w:rPr>
  </w:style>
  <w:style w:type="paragraph" w:customStyle="1" w:styleId="111">
    <w:name w:val="样式3"/>
    <w:basedOn w:val="1"/>
    <w:link w:val="110"/>
    <w:qFormat/>
    <w:uiPriority w:val="0"/>
    <w:pPr>
      <w:spacing w:line="940" w:lineRule="exact"/>
      <w:jc w:val="center"/>
    </w:pPr>
    <w:rPr>
      <w:rFonts w:ascii="宋体" w:hAnsi="宋体" w:eastAsia="黑体"/>
      <w:kern w:val="0"/>
      <w:sz w:val="36"/>
      <w:szCs w:val="36"/>
    </w:rPr>
  </w:style>
  <w:style w:type="character" w:customStyle="1" w:styleId="112">
    <w:name w:val="普通文字1 Char"/>
    <w:qFormat/>
    <w:uiPriority w:val="0"/>
    <w:rPr>
      <w:rFonts w:ascii="宋体" w:hAnsi="Courier New" w:eastAsia="宋体"/>
      <w:kern w:val="2"/>
      <w:sz w:val="21"/>
      <w:lang w:val="en-US" w:eastAsia="zh-CN" w:bidi="ar-SA"/>
    </w:rPr>
  </w:style>
  <w:style w:type="character" w:customStyle="1" w:styleId="113">
    <w:name w:val="Char Char6"/>
    <w:qFormat/>
    <w:uiPriority w:val="0"/>
    <w:rPr>
      <w:rFonts w:eastAsia="宋体"/>
      <w:b/>
      <w:bCs/>
      <w:kern w:val="2"/>
      <w:sz w:val="32"/>
      <w:szCs w:val="32"/>
      <w:lang w:val="en-US" w:eastAsia="zh-CN" w:bidi="ar-SA"/>
    </w:rPr>
  </w:style>
  <w:style w:type="character" w:customStyle="1" w:styleId="114">
    <w:name w:val="Heading 3 Char"/>
    <w:qFormat/>
    <w:locked/>
    <w:uiPriority w:val="0"/>
    <w:rPr>
      <w:rFonts w:ascii="Cambria" w:hAnsi="Cambria" w:eastAsia="宋体" w:cs="Times New Roman"/>
      <w:b/>
      <w:bCs/>
      <w:color w:val="4F81BD"/>
      <w:kern w:val="0"/>
      <w:sz w:val="22"/>
      <w:lang w:eastAsia="en-US"/>
    </w:rPr>
  </w:style>
  <w:style w:type="character" w:customStyle="1" w:styleId="115">
    <w:name w:val="Header Char"/>
    <w:qFormat/>
    <w:locked/>
    <w:uiPriority w:val="0"/>
    <w:rPr>
      <w:rFonts w:ascii="宋体" w:cs="Times New Roman"/>
      <w:sz w:val="24"/>
      <w:szCs w:val="24"/>
    </w:rPr>
  </w:style>
  <w:style w:type="paragraph" w:customStyle="1" w:styleId="116">
    <w:name w:val="2"/>
    <w:basedOn w:val="1"/>
    <w:next w:val="19"/>
    <w:qFormat/>
    <w:uiPriority w:val="0"/>
    <w:pPr>
      <w:ind w:left="432"/>
    </w:pPr>
    <w:rPr>
      <w:szCs w:val="20"/>
    </w:rPr>
  </w:style>
  <w:style w:type="paragraph" w:customStyle="1" w:styleId="117">
    <w:name w:val="样式 标题 2 + (西文) 方正书宋简体 (中文) 方正黑体简体 非加粗 黑色 段前: 0 磅 段后: 0 磅 行..."/>
    <w:basedOn w:val="3"/>
    <w:qFormat/>
    <w:uiPriority w:val="0"/>
    <w:pPr>
      <w:spacing w:before="0" w:beforeLines="0" w:after="0" w:afterLines="0" w:line="300" w:lineRule="exact"/>
      <w:jc w:val="left"/>
    </w:pPr>
    <w:rPr>
      <w:rFonts w:ascii="方正书宋简体" w:hAnsi="宋体" w:eastAsia="方正小标宋简体" w:cs="宋体"/>
      <w:b w:val="0"/>
      <w:bCs w:val="0"/>
      <w:color w:val="000000"/>
      <w:sz w:val="21"/>
      <w:szCs w:val="20"/>
    </w:rPr>
  </w:style>
  <w:style w:type="paragraph" w:customStyle="1" w:styleId="118">
    <w:name w:val="Char Char Char Char"/>
    <w:basedOn w:val="1"/>
    <w:qFormat/>
    <w:uiPriority w:val="0"/>
    <w:rPr>
      <w:rFonts w:ascii="Tahoma" w:hAnsi="Tahoma"/>
      <w:sz w:val="24"/>
      <w:szCs w:val="20"/>
    </w:rPr>
  </w:style>
  <w:style w:type="paragraph" w:customStyle="1" w:styleId="119">
    <w:name w:val="1"/>
    <w:basedOn w:val="1"/>
    <w:qFormat/>
    <w:uiPriority w:val="0"/>
  </w:style>
  <w:style w:type="paragraph" w:customStyle="1" w:styleId="120">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eastAsia="黑体" w:cs="宋体"/>
      <w:b w:val="0"/>
      <w:bCs w:val="0"/>
      <w:sz w:val="28"/>
      <w:szCs w:val="20"/>
    </w:rPr>
  </w:style>
  <w:style w:type="paragraph" w:customStyle="1" w:styleId="121">
    <w:name w:val="3"/>
    <w:basedOn w:val="1"/>
    <w:next w:val="17"/>
    <w:qFormat/>
    <w:uiPriority w:val="0"/>
    <w:rPr>
      <w:rFonts w:ascii="宋体"/>
      <w:sz w:val="24"/>
      <w:szCs w:val="20"/>
    </w:rPr>
  </w:style>
  <w:style w:type="paragraph" w:customStyle="1" w:styleId="122">
    <w:name w:val="Char Char Char1"/>
    <w:basedOn w:val="1"/>
    <w:qFormat/>
    <w:uiPriority w:val="0"/>
    <w:rPr>
      <w:szCs w:val="20"/>
    </w:rPr>
  </w:style>
  <w:style w:type="paragraph" w:customStyle="1" w:styleId="123">
    <w:name w:val="。"/>
    <w:basedOn w:val="1"/>
    <w:qFormat/>
    <w:uiPriority w:val="0"/>
    <w:pPr>
      <w:adjustRightInd w:val="0"/>
      <w:spacing w:line="360" w:lineRule="atLeast"/>
      <w:ind w:right="679"/>
      <w:jc w:val="left"/>
      <w:textAlignment w:val="baseline"/>
    </w:pPr>
    <w:rPr>
      <w:rFonts w:ascii="宋体"/>
      <w:sz w:val="24"/>
    </w:rPr>
  </w:style>
  <w:style w:type="paragraph" w:customStyle="1" w:styleId="124">
    <w:name w:val="Char1"/>
    <w:basedOn w:val="1"/>
    <w:qFormat/>
    <w:uiPriority w:val="0"/>
    <w:rPr>
      <w:rFonts w:ascii="Tahoma" w:hAnsi="Tahoma"/>
      <w:sz w:val="24"/>
      <w:szCs w:val="20"/>
    </w:rPr>
  </w:style>
  <w:style w:type="paragraph" w:customStyle="1" w:styleId="125">
    <w:name w:val="p17"/>
    <w:basedOn w:val="1"/>
    <w:qFormat/>
    <w:uiPriority w:val="0"/>
    <w:pPr>
      <w:widowControl/>
    </w:pPr>
    <w:rPr>
      <w:kern w:val="0"/>
      <w:szCs w:val="21"/>
    </w:rPr>
  </w:style>
  <w:style w:type="paragraph" w:customStyle="1" w:styleId="126">
    <w:name w:val="5"/>
    <w:basedOn w:val="1"/>
    <w:qFormat/>
    <w:uiPriority w:val="0"/>
    <w:rPr>
      <w:rFonts w:ascii="Tahoma" w:hAnsi="Tahoma"/>
      <w:sz w:val="24"/>
      <w:szCs w:val="20"/>
    </w:rPr>
  </w:style>
  <w:style w:type="paragraph" w:customStyle="1" w:styleId="127">
    <w:name w:val="样式1"/>
    <w:basedOn w:val="1"/>
    <w:next w:val="12"/>
    <w:qFormat/>
    <w:uiPriority w:val="0"/>
    <w:rPr>
      <w:rFonts w:ascii="宋体" w:hAnsi="Arial Unicode MS"/>
      <w:color w:val="000000"/>
      <w:kern w:val="0"/>
      <w:sz w:val="24"/>
      <w:szCs w:val="36"/>
    </w:rPr>
  </w:style>
  <w:style w:type="paragraph" w:customStyle="1" w:styleId="128">
    <w:name w:val="列出段落2"/>
    <w:basedOn w:val="1"/>
    <w:qFormat/>
    <w:uiPriority w:val="0"/>
    <w:pPr>
      <w:ind w:firstLine="420" w:firstLineChars="200"/>
    </w:pPr>
  </w:style>
  <w:style w:type="paragraph" w:customStyle="1" w:styleId="129">
    <w:name w:val="Char Char Char"/>
    <w:basedOn w:val="1"/>
    <w:qFormat/>
    <w:uiPriority w:val="0"/>
    <w:rPr>
      <w:szCs w:val="20"/>
    </w:rPr>
  </w:style>
  <w:style w:type="paragraph" w:customStyle="1" w:styleId="130">
    <w:name w:val="表格"/>
    <w:basedOn w:val="1"/>
    <w:qFormat/>
    <w:uiPriority w:val="0"/>
    <w:pPr>
      <w:jc w:val="center"/>
      <w:textAlignment w:val="center"/>
    </w:pPr>
    <w:rPr>
      <w:rFonts w:ascii="华文细黑" w:hAnsi="华文细黑"/>
      <w:kern w:val="0"/>
      <w:szCs w:val="20"/>
    </w:rPr>
  </w:style>
  <w:style w:type="paragraph" w:customStyle="1" w:styleId="131">
    <w:name w:val="Char Char Char Char Char Char2 Char1"/>
    <w:basedOn w:val="1"/>
    <w:qFormat/>
    <w:uiPriority w:val="0"/>
    <w:pPr>
      <w:spacing w:line="360" w:lineRule="auto"/>
      <w:ind w:firstLine="200" w:firstLineChars="200"/>
    </w:pPr>
    <w:rPr>
      <w:rFonts w:ascii="宋体" w:hAnsi="宋体" w:cs="宋体"/>
      <w:sz w:val="24"/>
    </w:rPr>
  </w:style>
  <w:style w:type="paragraph" w:styleId="132">
    <w:name w:val="List Paragraph"/>
    <w:basedOn w:val="1"/>
    <w:qFormat/>
    <w:uiPriority w:val="34"/>
    <w:pPr>
      <w:ind w:firstLine="420" w:firstLineChars="200"/>
    </w:pPr>
  </w:style>
  <w:style w:type="paragraph" w:customStyle="1" w:styleId="133">
    <w:name w:val="样式 标题 2 + (西文) 方正书宋简体 (中文) 方正黑体简体 非加粗 黑色 行距: 固定值 15 磅1"/>
    <w:basedOn w:val="3"/>
    <w:qFormat/>
    <w:uiPriority w:val="0"/>
    <w:pPr>
      <w:spacing w:before="0" w:beforeLines="0" w:after="0" w:afterLines="0" w:line="300" w:lineRule="exact"/>
      <w:jc w:val="left"/>
    </w:pPr>
    <w:rPr>
      <w:rFonts w:ascii="方正书宋简体" w:hAnsi="宋体" w:eastAsia="方正小标宋简体" w:cs="宋体"/>
      <w:b w:val="0"/>
      <w:bCs w:val="0"/>
      <w:color w:val="000000"/>
      <w:sz w:val="21"/>
      <w:szCs w:val="20"/>
    </w:rPr>
  </w:style>
  <w:style w:type="paragraph" w:customStyle="1" w:styleId="134">
    <w:name w:val="xl24"/>
    <w:basedOn w:val="1"/>
    <w:qFormat/>
    <w:uiPriority w:val="0"/>
    <w:pPr>
      <w:widowControl/>
      <w:spacing w:before="100" w:beforeLines="0" w:after="100" w:afterLines="0"/>
      <w:jc w:val="center"/>
      <w:textAlignment w:val="center"/>
    </w:pPr>
    <w:rPr>
      <w:rFonts w:ascii="宋体" w:hAnsi="宋体"/>
      <w:kern w:val="0"/>
      <w:sz w:val="24"/>
      <w:szCs w:val="20"/>
    </w:rPr>
  </w:style>
  <w:style w:type="paragraph" w:customStyle="1" w:styleId="135">
    <w:name w:val="Char Char Char Char Char Char Char Char Char Char Char Char Char"/>
    <w:basedOn w:val="1"/>
    <w:qFormat/>
    <w:uiPriority w:val="0"/>
    <w:rPr>
      <w:rFonts w:ascii="仿宋_GB2312" w:eastAsia="仿宋_GB2312"/>
      <w:b/>
      <w:sz w:val="32"/>
      <w:szCs w:val="32"/>
    </w:rPr>
  </w:style>
  <w:style w:type="paragraph" w:customStyle="1" w:styleId="136">
    <w:name w:val="表格文字"/>
    <w:basedOn w:val="1"/>
    <w:qFormat/>
    <w:uiPriority w:val="0"/>
    <w:pPr>
      <w:adjustRightInd w:val="0"/>
      <w:spacing w:line="420" w:lineRule="atLeast"/>
      <w:jc w:val="left"/>
      <w:textAlignment w:val="baseline"/>
    </w:pPr>
    <w:rPr>
      <w:kern w:val="0"/>
      <w:szCs w:val="20"/>
    </w:rPr>
  </w:style>
  <w:style w:type="paragraph" w:customStyle="1" w:styleId="137">
    <w:name w:val="样式 标题 1 + 黑体 三号 非加粗 居中 段前: 6 磅 段后: 6 磅 行距: 固定值 20 磅"/>
    <w:basedOn w:val="2"/>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138">
    <w:name w:val="样式 标题 3 + (中文) 黑体 小四 非加粗 段前: 7.8 磅 段后: 0 磅 行距: 固定值 20 磅"/>
    <w:basedOn w:val="4"/>
    <w:qFormat/>
    <w:uiPriority w:val="0"/>
    <w:pPr>
      <w:widowControl w:val="0"/>
      <w:spacing w:before="0" w:beforeLines="0" w:line="400" w:lineRule="exact"/>
      <w:jc w:val="both"/>
    </w:pPr>
    <w:rPr>
      <w:rFonts w:ascii="Times New Roman" w:hAnsi="Times New Roman" w:eastAsia="黑体"/>
      <w:b w:val="0"/>
      <w:bCs w:val="0"/>
      <w:color w:val="auto"/>
      <w:kern w:val="2"/>
      <w:sz w:val="24"/>
      <w:szCs w:val="20"/>
      <w:lang w:bidi="ar-SA"/>
    </w:rPr>
  </w:style>
  <w:style w:type="paragraph" w:customStyle="1" w:styleId="139">
    <w:name w:val="Char1 Char Char Char Char Char Char1 Char Char Char1"/>
    <w:basedOn w:val="1"/>
    <w:qFormat/>
    <w:uiPriority w:val="0"/>
    <w:pPr>
      <w:spacing w:line="360" w:lineRule="auto"/>
      <w:ind w:firstLine="200" w:firstLineChars="200"/>
    </w:pPr>
    <w:rPr>
      <w:rFonts w:ascii="宋体" w:hAnsi="宋体" w:cs="宋体"/>
      <w:sz w:val="24"/>
    </w:rPr>
  </w:style>
  <w:style w:type="paragraph" w:customStyle="1" w:styleId="140">
    <w:name w:val="_Style 139"/>
    <w:basedOn w:val="2"/>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141">
    <w:name w:val="列出段落3"/>
    <w:basedOn w:val="1"/>
    <w:qFormat/>
    <w:uiPriority w:val="0"/>
    <w:pPr>
      <w:ind w:firstLine="420" w:firstLineChars="200"/>
    </w:pPr>
  </w:style>
  <w:style w:type="paragraph" w:customStyle="1" w:styleId="14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4">
    <w:name w:val="XW正文"/>
    <w:basedOn w:val="19"/>
    <w:qFormat/>
    <w:uiPriority w:val="0"/>
    <w:pPr>
      <w:adjustRightInd w:val="0"/>
      <w:snapToGrid w:val="0"/>
      <w:spacing w:after="0" w:afterLines="0" w:line="300" w:lineRule="auto"/>
      <w:ind w:left="0" w:leftChars="0" w:firstLine="520" w:firstLineChars="200"/>
      <w:jc w:val="left"/>
    </w:pPr>
    <w:rPr>
      <w:kern w:val="0"/>
    </w:rPr>
  </w:style>
  <w:style w:type="paragraph" w:customStyle="1" w:styleId="145">
    <w:name w:val="Blockquote"/>
    <w:basedOn w:val="1"/>
    <w:qFormat/>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146">
    <w:name w:val="金安桥正文"/>
    <w:basedOn w:val="19"/>
    <w:qFormat/>
    <w:uiPriority w:val="0"/>
    <w:pPr>
      <w:adjustRightInd w:val="0"/>
      <w:spacing w:after="0" w:afterLines="0" w:line="300" w:lineRule="auto"/>
      <w:ind w:left="0" w:leftChars="0" w:firstLine="200" w:firstLineChars="200"/>
      <w:jc w:val="left"/>
    </w:pPr>
    <w:rPr>
      <w:kern w:val="0"/>
      <w:sz w:val="24"/>
      <w:szCs w:val="20"/>
    </w:rPr>
  </w:style>
  <w:style w:type="paragraph" w:customStyle="1" w:styleId="147">
    <w:name w:val="cntrt"/>
    <w:basedOn w:val="1"/>
    <w:qFormat/>
    <w:uiPriority w:val="0"/>
    <w:pPr>
      <w:widowControl/>
      <w:jc w:val="left"/>
    </w:pPr>
    <w:rPr>
      <w:rFonts w:ascii="Arial" w:hAnsi="Arial" w:cs="Arial"/>
      <w:kern w:val="0"/>
      <w:sz w:val="20"/>
      <w:szCs w:val="20"/>
      <w:lang w:val="en-AU"/>
    </w:rPr>
  </w:style>
  <w:style w:type="paragraph" w:customStyle="1" w:styleId="148">
    <w:name w:val="Char"/>
    <w:basedOn w:val="1"/>
    <w:qFormat/>
    <w:uiPriority w:val="0"/>
  </w:style>
  <w:style w:type="paragraph" w:customStyle="1" w:styleId="149">
    <w:name w:val="Char1 Char Char Char Char Char Char1 Char Char Char"/>
    <w:basedOn w:val="1"/>
    <w:qFormat/>
    <w:uiPriority w:val="0"/>
    <w:pPr>
      <w:spacing w:line="360" w:lineRule="auto"/>
      <w:ind w:firstLine="200" w:firstLineChars="200"/>
    </w:pPr>
    <w:rPr>
      <w:rFonts w:ascii="宋体" w:hAnsi="宋体" w:cs="宋体"/>
      <w:sz w:val="24"/>
    </w:rPr>
  </w:style>
  <w:style w:type="paragraph" w:customStyle="1" w:styleId="150">
    <w:name w:val="默认段落字体 Para Char"/>
    <w:basedOn w:val="1"/>
    <w:qFormat/>
    <w:uiPriority w:val="0"/>
    <w:rPr>
      <w:szCs w:val="20"/>
    </w:rPr>
  </w:style>
  <w:style w:type="paragraph" w:customStyle="1" w:styleId="151">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152">
    <w:name w:val="4"/>
    <w:basedOn w:val="1"/>
    <w:qFormat/>
    <w:uiPriority w:val="0"/>
    <w:rPr>
      <w:rFonts w:ascii="Tahoma" w:hAnsi="Tahoma"/>
      <w:sz w:val="24"/>
      <w:szCs w:val="20"/>
    </w:rPr>
  </w:style>
  <w:style w:type="paragraph" w:customStyle="1" w:styleId="153">
    <w:name w:val="Char2"/>
    <w:basedOn w:val="1"/>
    <w:qFormat/>
    <w:uiPriority w:val="0"/>
    <w:rPr>
      <w:rFonts w:ascii="Tahoma" w:hAnsi="Tahoma"/>
      <w:sz w:val="24"/>
      <w:szCs w:val="20"/>
    </w:rPr>
  </w:style>
  <w:style w:type="paragraph" w:customStyle="1" w:styleId="154">
    <w:name w:val="List Paragraph1"/>
    <w:basedOn w:val="1"/>
    <w:qFormat/>
    <w:uiPriority w:val="0"/>
    <w:pPr>
      <w:ind w:firstLine="420" w:firstLineChars="200"/>
    </w:pPr>
  </w:style>
  <w:style w:type="paragraph" w:customStyle="1" w:styleId="155">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56">
    <w:name w:val="p0"/>
    <w:basedOn w:val="1"/>
    <w:qFormat/>
    <w:uiPriority w:val="0"/>
    <w:pPr>
      <w:widowControl/>
    </w:pPr>
    <w:rPr>
      <w:kern w:val="0"/>
      <w:szCs w:val="21"/>
    </w:rPr>
  </w:style>
  <w:style w:type="paragraph" w:customStyle="1" w:styleId="157">
    <w:name w:val="p15"/>
    <w:basedOn w:val="1"/>
    <w:qFormat/>
    <w:uiPriority w:val="0"/>
    <w:pPr>
      <w:widowControl/>
      <w:spacing w:before="100" w:line="400" w:lineRule="atLeast"/>
    </w:pPr>
    <w:rPr>
      <w:kern w:val="0"/>
      <w:sz w:val="28"/>
      <w:szCs w:val="28"/>
    </w:rPr>
  </w:style>
  <w:style w:type="paragraph" w:customStyle="1" w:styleId="158">
    <w:name w:val="p18"/>
    <w:basedOn w:val="1"/>
    <w:qFormat/>
    <w:uiPriority w:val="0"/>
    <w:pPr>
      <w:widowControl/>
    </w:pPr>
    <w:rPr>
      <w:rFonts w:ascii="宋体" w:hAnsi="宋体" w:cs="宋体"/>
      <w:kern w:val="0"/>
      <w:szCs w:val="21"/>
    </w:rPr>
  </w:style>
  <w:style w:type="paragraph" w:customStyle="1" w:styleId="159">
    <w:name w:val="Default Paragraph Char Char Char Char"/>
    <w:basedOn w:val="1"/>
    <w:next w:val="1"/>
    <w:qFormat/>
    <w:uiPriority w:val="0"/>
    <w:pPr>
      <w:widowControl/>
      <w:spacing w:line="360" w:lineRule="auto"/>
      <w:jc w:val="left"/>
    </w:pPr>
    <w:rPr>
      <w:kern w:val="0"/>
      <w:szCs w:val="20"/>
      <w:lang w:eastAsia="en-US"/>
    </w:rPr>
  </w:style>
  <w:style w:type="character" w:customStyle="1" w:styleId="160">
    <w:name w:val="正文文本缩进 2 Char1"/>
    <w:semiHidden/>
    <w:qFormat/>
    <w:uiPriority w:val="99"/>
    <w:rPr>
      <w:kern w:val="2"/>
      <w:sz w:val="21"/>
      <w:szCs w:val="22"/>
    </w:rPr>
  </w:style>
  <w:style w:type="character" w:customStyle="1" w:styleId="161">
    <w:name w:val="页脚 Char1"/>
    <w:semiHidden/>
    <w:qFormat/>
    <w:uiPriority w:val="99"/>
    <w:rPr>
      <w:kern w:val="2"/>
      <w:sz w:val="18"/>
      <w:szCs w:val="18"/>
    </w:rPr>
  </w:style>
  <w:style w:type="character" w:customStyle="1" w:styleId="162">
    <w:name w:val="正文文本缩进 Char1"/>
    <w:semiHidden/>
    <w:qFormat/>
    <w:uiPriority w:val="99"/>
    <w:rPr>
      <w:kern w:val="2"/>
      <w:sz w:val="21"/>
      <w:szCs w:val="22"/>
    </w:rPr>
  </w:style>
  <w:style w:type="character" w:customStyle="1" w:styleId="163">
    <w:name w:val="正文文本 3 Char1"/>
    <w:semiHidden/>
    <w:qFormat/>
    <w:uiPriority w:val="99"/>
    <w:rPr>
      <w:kern w:val="2"/>
      <w:sz w:val="16"/>
      <w:szCs w:val="16"/>
    </w:rPr>
  </w:style>
  <w:style w:type="character" w:customStyle="1" w:styleId="164">
    <w:name w:val="批注文字 Char1"/>
    <w:semiHidden/>
    <w:qFormat/>
    <w:uiPriority w:val="0"/>
    <w:rPr>
      <w:rFonts w:ascii="Times New Roman" w:hAnsi="Times New Roman"/>
      <w:kern w:val="2"/>
      <w:sz w:val="21"/>
      <w:szCs w:val="24"/>
    </w:rPr>
  </w:style>
  <w:style w:type="character" w:customStyle="1" w:styleId="165">
    <w:name w:val="批注主题 Char1"/>
    <w:semiHidden/>
    <w:qFormat/>
    <w:uiPriority w:val="99"/>
    <w:rPr>
      <w:rFonts w:ascii="Times New Roman" w:hAnsi="Times New Roman"/>
      <w:b/>
      <w:bCs/>
      <w:kern w:val="2"/>
      <w:sz w:val="21"/>
      <w:szCs w:val="24"/>
    </w:rPr>
  </w:style>
  <w:style w:type="character" w:customStyle="1" w:styleId="166">
    <w:name w:val="正文文本缩进 3 Char1"/>
    <w:semiHidden/>
    <w:qFormat/>
    <w:uiPriority w:val="99"/>
    <w:rPr>
      <w:kern w:val="2"/>
      <w:sz w:val="16"/>
      <w:szCs w:val="16"/>
    </w:rPr>
  </w:style>
  <w:style w:type="character" w:customStyle="1" w:styleId="167">
    <w:name w:val="批注框文本 Char1"/>
    <w:semiHidden/>
    <w:qFormat/>
    <w:uiPriority w:val="99"/>
    <w:rPr>
      <w:kern w:val="2"/>
      <w:sz w:val="18"/>
      <w:szCs w:val="18"/>
    </w:rPr>
  </w:style>
  <w:style w:type="character" w:customStyle="1" w:styleId="168">
    <w:name w:val="正文文本 Char1"/>
    <w:semiHidden/>
    <w:qFormat/>
    <w:uiPriority w:val="99"/>
    <w:rPr>
      <w:kern w:val="2"/>
      <w:sz w:val="21"/>
      <w:szCs w:val="22"/>
    </w:rPr>
  </w:style>
  <w:style w:type="character" w:customStyle="1" w:styleId="169">
    <w:name w:val="文档结构图 Char1"/>
    <w:semiHidden/>
    <w:qFormat/>
    <w:uiPriority w:val="99"/>
    <w:rPr>
      <w:rFonts w:ascii="宋体"/>
      <w:kern w:val="2"/>
      <w:sz w:val="18"/>
      <w:szCs w:val="18"/>
    </w:rPr>
  </w:style>
  <w:style w:type="character" w:customStyle="1" w:styleId="170">
    <w:name w:val="页眉 Char1"/>
    <w:semiHidden/>
    <w:qFormat/>
    <w:uiPriority w:val="99"/>
    <w:rPr>
      <w:kern w:val="2"/>
      <w:sz w:val="18"/>
      <w:szCs w:val="18"/>
    </w:rPr>
  </w:style>
  <w:style w:type="character" w:customStyle="1" w:styleId="171">
    <w:name w:val="日期 Char1"/>
    <w:semiHidden/>
    <w:qFormat/>
    <w:uiPriority w:val="99"/>
    <w:rPr>
      <w:kern w:val="2"/>
      <w:sz w:val="21"/>
      <w:szCs w:val="22"/>
    </w:rPr>
  </w:style>
  <w:style w:type="character" w:customStyle="1" w:styleId="172">
    <w:name w:val="标题 Char1"/>
    <w:qFormat/>
    <w:uiPriority w:val="10"/>
    <w:rPr>
      <w:rFonts w:ascii="Cambria" w:hAnsi="Cambria" w:cs="Times New Roman"/>
      <w:b/>
      <w:bCs/>
      <w:kern w:val="2"/>
      <w:sz w:val="32"/>
      <w:szCs w:val="32"/>
    </w:rPr>
  </w:style>
  <w:style w:type="character" w:customStyle="1" w:styleId="173">
    <w:name w:val="纯文本 Char1"/>
    <w:semiHidden/>
    <w:qFormat/>
    <w:uiPriority w:val="99"/>
    <w:rPr>
      <w:rFonts w:ascii="宋体" w:hAnsi="Courier New" w:cs="Courier New"/>
      <w:kern w:val="2"/>
      <w:sz w:val="21"/>
      <w:szCs w:val="21"/>
    </w:rPr>
  </w:style>
  <w:style w:type="character" w:customStyle="1" w:styleId="174">
    <w:name w:val="正文首行缩进 Char1"/>
    <w:semiHidden/>
    <w:qFormat/>
    <w:uiPriority w:val="99"/>
  </w:style>
  <w:style w:type="character" w:customStyle="1" w:styleId="175">
    <w:name w:val="正文文本 2 Char1"/>
    <w:semiHidden/>
    <w:qFormat/>
    <w:uiPriority w:val="99"/>
    <w:rPr>
      <w:kern w:val="2"/>
      <w:sz w:val="21"/>
      <w:szCs w:val="22"/>
    </w:rPr>
  </w:style>
  <w:style w:type="paragraph" w:customStyle="1" w:styleId="176">
    <w:name w:val="paragraphindent"/>
    <w:basedOn w:val="1"/>
    <w:qFormat/>
    <w:uiPriority w:val="0"/>
    <w:pPr>
      <w:widowControl/>
      <w:spacing w:before="75" w:after="75"/>
      <w:jc w:val="left"/>
    </w:pPr>
    <w:rPr>
      <w:rFonts w:ascii="宋体" w:hAnsi="宋体" w:cs="宋体"/>
      <w:kern w:val="0"/>
      <w:sz w:val="24"/>
    </w:rPr>
  </w:style>
  <w:style w:type="character" w:customStyle="1" w:styleId="177">
    <w:name w:val="正文2 Char"/>
    <w:link w:val="178"/>
    <w:qFormat/>
    <w:uiPriority w:val="0"/>
    <w:rPr>
      <w:rFonts w:ascii="宋体" w:eastAsia="楷体"/>
      <w:b/>
      <w:color w:val="0000FF"/>
      <w:kern w:val="2"/>
      <w:sz w:val="21"/>
      <w:szCs w:val="22"/>
      <w:lang w:val="en-US" w:eastAsia="zh-CN" w:bidi="ar-SA"/>
    </w:rPr>
  </w:style>
  <w:style w:type="paragraph" w:customStyle="1" w:styleId="178">
    <w:name w:val="正文2"/>
    <w:link w:val="177"/>
    <w:qFormat/>
    <w:uiPriority w:val="0"/>
    <w:pPr>
      <w:widowControl w:val="0"/>
      <w:adjustRightInd w:val="0"/>
      <w:spacing w:line="312" w:lineRule="atLeast"/>
      <w:jc w:val="both"/>
      <w:textAlignment w:val="baseline"/>
    </w:pPr>
    <w:rPr>
      <w:rFonts w:ascii="宋体" w:hAnsi="Times New Roman" w:eastAsia="楷体" w:cs="Times New Roman"/>
      <w:b/>
      <w:color w:val="0000FF"/>
      <w:kern w:val="2"/>
      <w:sz w:val="21"/>
      <w:szCs w:val="22"/>
      <w:lang w:val="en-US" w:eastAsia="zh-CN" w:bidi="ar-SA"/>
    </w:rPr>
  </w:style>
  <w:style w:type="paragraph" w:customStyle="1" w:styleId="179">
    <w:name w:val="_Style 178"/>
    <w:unhideWhenUsed/>
    <w:qFormat/>
    <w:uiPriority w:val="99"/>
    <w:rPr>
      <w:rFonts w:ascii="Times New Roman" w:hAnsi="Times New Roman" w:eastAsia="宋体" w:cs="Times New Roman"/>
      <w:kern w:val="2"/>
      <w:sz w:val="21"/>
      <w:szCs w:val="24"/>
      <w:lang w:val="en-US" w:eastAsia="zh-CN" w:bidi="ar-SA"/>
    </w:rPr>
  </w:style>
  <w:style w:type="paragraph" w:customStyle="1" w:styleId="180">
    <w:name w:val="msolistparagraph"/>
    <w:basedOn w:val="1"/>
    <w:qFormat/>
    <w:uiPriority w:val="0"/>
    <w:pPr>
      <w:keepNext w:val="0"/>
      <w:keepLines w:val="0"/>
      <w:widowControl w:val="0"/>
      <w:suppressLineNumbers w:val="0"/>
      <w:autoSpaceDE w:val="0"/>
      <w:autoSpaceDN w:val="0"/>
      <w:spacing w:before="0" w:beforeAutospacing="0" w:after="0" w:afterAutospacing="0"/>
      <w:ind w:left="205" w:right="169" w:firstLine="655"/>
      <w:jc w:val="left"/>
    </w:pPr>
    <w:rPr>
      <w:rFonts w:hint="eastAsia" w:ascii="仿宋" w:hAnsi="仿宋" w:eastAsia="仿宋" w:cs="仿宋"/>
      <w:kern w:val="0"/>
      <w:sz w:val="22"/>
      <w:szCs w:val="22"/>
      <w:u w:val="single" w:color="000000"/>
      <w:lang w:val="en-US" w:eastAsia="zh-CN" w:bidi="ar"/>
    </w:rPr>
  </w:style>
  <w:style w:type="character" w:customStyle="1" w:styleId="181">
    <w:name w:val="button"/>
    <w:qFormat/>
    <w:uiPriority w:val="0"/>
  </w:style>
  <w:style w:type="paragraph" w:customStyle="1" w:styleId="182">
    <w:name w:val="D&amp;L"/>
    <w:basedOn w:val="32"/>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83">
    <w:name w:val="null3"/>
    <w:basedOn w:val="1"/>
    <w:qFormat/>
    <w:uiPriority w:val="0"/>
    <w:pPr>
      <w:keepNext w:val="0"/>
      <w:keepLines w:val="0"/>
      <w:widowControl/>
      <w:suppressLineNumbers w:val="0"/>
      <w:spacing w:before="0" w:beforeAutospacing="0" w:after="0" w:afterAutospacing="0"/>
      <w:ind w:left="0" w:right="0"/>
      <w:jc w:val="left"/>
    </w:pPr>
    <w:rPr>
      <w:rFonts w:hint="default" w:ascii="Calibri" w:hAnsi="Calibri" w:eastAsia="宋体" w:cs="Times New Roman"/>
      <w:kern w:val="0"/>
      <w:sz w:val="20"/>
      <w:szCs w:val="20"/>
      <w:lang w:val="en-US" w:eastAsia="zh-CN" w:bidi="ar"/>
    </w:rPr>
  </w:style>
  <w:style w:type="table" w:customStyle="1" w:styleId="184">
    <w:name w:val="Table Normal"/>
    <w:unhideWhenUsed/>
    <w:qFormat/>
    <w:uiPriority w:val="0"/>
    <w:rPr>
      <w:rFonts w:ascii="Calibri" w:hAnsi="Calibri" w:cs="Calibri"/>
      <w:lang w:val="en-US" w:eastAsia="zh-CN" w:bidi="ar-SA"/>
    </w:rPr>
    <w:tblPr>
      <w:tblCellMar>
        <w:top w:w="0" w:type="dxa"/>
        <w:left w:w="0" w:type="dxa"/>
        <w:bottom w:w="0" w:type="dxa"/>
        <w:right w:w="0" w:type="dxa"/>
      </w:tblCellMar>
    </w:tblPr>
  </w:style>
  <w:style w:type="table" w:customStyle="1" w:styleId="185">
    <w:name w:val="Table Normal1"/>
    <w:unhideWhenUsed/>
    <w:qFormat/>
    <w:uiPriority w:val="0"/>
    <w:rPr>
      <w:rFonts w:ascii="Calibri" w:hAnsi="Calibri" w:cs="Calibri"/>
      <w:lang w:val="en-US" w:eastAsia="zh-CN" w:bidi="ar-SA"/>
    </w:rPr>
    <w:tblPr>
      <w:tblCellMar>
        <w:top w:w="0" w:type="dxa"/>
        <w:left w:w="0" w:type="dxa"/>
        <w:bottom w:w="0" w:type="dxa"/>
        <w:right w:w="0" w:type="dxa"/>
      </w:tblCellMar>
    </w:tblPr>
  </w:style>
  <w:style w:type="character" w:customStyle="1" w:styleId="186">
    <w:name w:val="font11"/>
    <w:basedOn w:val="50"/>
    <w:qFormat/>
    <w:uiPriority w:val="0"/>
    <w:rPr>
      <w:rFonts w:hint="eastAsia" w:ascii="仿宋" w:hAnsi="仿宋" w:eastAsia="仿宋" w:cs="仿宋"/>
      <w:color w:val="000000"/>
      <w:sz w:val="24"/>
      <w:szCs w:val="24"/>
      <w:u w:val="none"/>
    </w:rPr>
  </w:style>
  <w:style w:type="character" w:customStyle="1" w:styleId="187">
    <w:name w:val="font21"/>
    <w:basedOn w:val="5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104</Pages>
  <Words>14180</Words>
  <Characters>15785</Characters>
  <Lines>495</Lines>
  <Paragraphs>139</Paragraphs>
  <TotalTime>29</TotalTime>
  <ScaleCrop>false</ScaleCrop>
  <LinksUpToDate>false</LinksUpToDate>
  <CharactersWithSpaces>15950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2025-04-08T15:56:00Z</dcterms:created>
  <dc:creator>孟凡金</dc:creator>
  <cp:lastModifiedBy>Mouns-J</cp:lastModifiedBy>
  <cp:lastPrinted>2020-06-16T14:07:00Z</cp:lastPrinted>
  <dcterms:modified xsi:type="dcterms:W3CDTF">2025-12-02T12:13:39Z</dcterms:modified>
  <dc:title>项目名称</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58D10F02595747118AE0C3A8A4476B6F_13</vt:lpwstr>
  </property>
  <property fmtid="{D5CDD505-2E9C-101B-9397-08002B2CF9AE}" pid="4" name="KSOTemplateDocerSaveRecord">
    <vt:lpwstr>eyJoZGlkIjoiYjhjMDk2ZTY1MjMyZmE3NjYxOWEwZDdiM2MyOGE1OGEiLCJ1c2VySWQiOiIzMjIxNTQ2MDAifQ==</vt:lpwstr>
  </property>
</Properties>
</file>