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FE1B6">
      <w:pPr>
        <w:keepNext/>
        <w:keepLines/>
        <w:pageBreakBefore w:val="0"/>
        <w:widowControl w:val="0"/>
        <w:wordWrap w:val="0"/>
        <w:overflowPunct/>
        <w:topLinePunct w:val="0"/>
        <w:bidi w:val="0"/>
        <w:spacing w:line="360" w:lineRule="auto"/>
        <w:jc w:val="center"/>
        <w:outlineLvl w:val="0"/>
        <w:rPr>
          <w:rFonts w:hint="eastAsia" w:ascii="方正小标宋_GBK" w:hAnsi="方正小标宋_GBK" w:eastAsia="华文中宋" w:cs="方正小标宋_GBK"/>
          <w:bCs/>
          <w:color w:val="auto"/>
          <w:kern w:val="44"/>
          <w:sz w:val="44"/>
          <w:szCs w:val="44"/>
          <w:highlight w:val="none"/>
          <w:lang w:val="en-US" w:eastAsia="zh-CN" w:bidi="ar-SA"/>
        </w:rPr>
      </w:pPr>
      <w:bookmarkStart w:id="0" w:name="_Toc1698162705"/>
      <w:bookmarkStart w:id="1" w:name="_Toc998780686"/>
      <w:bookmarkStart w:id="2" w:name="_Toc2039865327"/>
      <w:bookmarkStart w:id="3" w:name="_Toc1127235811"/>
      <w:bookmarkStart w:id="4" w:name="_Toc1919576966"/>
      <w:bookmarkStart w:id="5" w:name="_Toc1408663617_WPSOffice_Level1"/>
      <w:bookmarkStart w:id="6" w:name="_Toc1695149163"/>
      <w:bookmarkStart w:id="7" w:name="_Toc517905978"/>
      <w:bookmarkStart w:id="8" w:name="_Toc1932310260"/>
      <w:r>
        <w:rPr>
          <w:rFonts w:hint="eastAsia" w:ascii="方正小标宋_GBK" w:hAnsi="方正小标宋_GBK" w:eastAsia="华文中宋" w:cs="方正小标宋_GBK"/>
          <w:bCs/>
          <w:color w:val="auto"/>
          <w:kern w:val="44"/>
          <w:sz w:val="44"/>
          <w:szCs w:val="44"/>
          <w:highlight w:val="none"/>
          <w:lang w:val="en-US" w:eastAsia="zh-CN" w:bidi="ar-SA"/>
        </w:rPr>
        <w:t>第三章  采购需求</w:t>
      </w:r>
      <w:bookmarkEnd w:id="0"/>
      <w:bookmarkEnd w:id="1"/>
      <w:bookmarkEnd w:id="2"/>
      <w:bookmarkEnd w:id="3"/>
      <w:bookmarkEnd w:id="4"/>
      <w:bookmarkEnd w:id="5"/>
      <w:bookmarkEnd w:id="6"/>
      <w:bookmarkEnd w:id="7"/>
      <w:bookmarkEnd w:id="8"/>
    </w:p>
    <w:p w14:paraId="5C06B6DD">
      <w:pPr>
        <w:pageBreakBefore w:val="0"/>
        <w:wordWrap w:val="0"/>
        <w:overflowPunct/>
        <w:topLinePunct w:val="0"/>
        <w:bidi w:val="0"/>
        <w:spacing w:line="360" w:lineRule="auto"/>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前注：</w:t>
      </w:r>
    </w:p>
    <w:p w14:paraId="6DC0454B">
      <w:pPr>
        <w:pageBreakBefore w:val="0"/>
        <w:wordWrap w:val="0"/>
        <w:overflowPunct/>
        <w:topLinePunct w:val="0"/>
        <w:bidi w:val="0"/>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20"/>
          <w:highlight w:val="none"/>
        </w:rPr>
        <w:t>1.</w:t>
      </w:r>
      <w:r>
        <w:rPr>
          <w:rFonts w:hint="eastAsia" w:ascii="宋体" w:hAnsi="宋体" w:eastAsia="宋体" w:cs="宋体"/>
          <w:color w:val="auto"/>
          <w:sz w:val="24"/>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5C9EFC0F">
      <w:pPr>
        <w:pageBreakBefore w:val="0"/>
        <w:wordWrap w:val="0"/>
        <w:overflowPunct/>
        <w:topLinePunct w:val="0"/>
        <w:bidi w:val="0"/>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2.下列采购需求中：</w:t>
      </w:r>
    </w:p>
    <w:p w14:paraId="5B5A9FAF">
      <w:pPr>
        <w:pageBreakBefore w:val="0"/>
        <w:wordWrap w:val="0"/>
        <w:overflowPunct/>
        <w:topLinePunct w:val="0"/>
        <w:bidi w:val="0"/>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86942BD">
      <w:pPr>
        <w:pageBreakBefore w:val="0"/>
        <w:wordWrap w:val="0"/>
        <w:overflowPunct/>
        <w:topLinePunct w:val="0"/>
        <w:bidi w:val="0"/>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E1FA7A7">
      <w:pPr>
        <w:pageBreakBefore w:val="0"/>
        <w:wordWrap w:val="0"/>
        <w:overflowPunct/>
        <w:topLinePunct w:val="0"/>
        <w:bidi w:val="0"/>
        <w:spacing w:line="360" w:lineRule="auto"/>
        <w:ind w:firstLine="480" w:firstLineChars="200"/>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3.下列采购需求中：标注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18"/>
          <w:highlight w:val="none"/>
        </w:rPr>
        <w:t>的产品（核心产品），投标人在投标文件《主要中标标的承诺函》中填写名称、品牌、规格、型号、数量、单价等信息。</w:t>
      </w:r>
    </w:p>
    <w:p w14:paraId="4ED29590">
      <w:pPr>
        <w:keepNext/>
        <w:keepLines/>
        <w:pageBreakBefore w:val="0"/>
        <w:widowControl w:val="0"/>
        <w:wordWrap w:val="0"/>
        <w:overflowPunct/>
        <w:topLinePunct w:val="0"/>
        <w:bidi w:val="0"/>
        <w:spacing w:before="240" w:line="360" w:lineRule="auto"/>
        <w:ind w:firstLine="0" w:firstLineChars="0"/>
        <w:jc w:val="left"/>
        <w:outlineLvl w:val="1"/>
        <w:rPr>
          <w:rFonts w:ascii="Arial" w:hAnsi="Arial" w:eastAsia="黑体" w:cs="Times New Roman"/>
          <w:bCs/>
          <w:color w:val="auto"/>
          <w:kern w:val="0"/>
          <w:sz w:val="28"/>
          <w:szCs w:val="32"/>
          <w:highlight w:val="none"/>
          <w:lang w:val="en-US" w:eastAsia="zh-CN" w:bidi="ar-SA"/>
        </w:rPr>
      </w:pPr>
      <w:bookmarkStart w:id="9" w:name="_Toc1437377518_WPSOffice_Level2"/>
      <w:bookmarkStart w:id="10" w:name="_Toc382548620"/>
      <w:bookmarkStart w:id="11" w:name="_Toc1452677390"/>
      <w:bookmarkStart w:id="12" w:name="_Toc292361325"/>
      <w:bookmarkStart w:id="13" w:name="_Toc337877615"/>
      <w:bookmarkStart w:id="14" w:name="_Toc2025078090"/>
      <w:bookmarkStart w:id="15" w:name="_Toc1899401549"/>
      <w:bookmarkStart w:id="16" w:name="_Toc1064185329"/>
      <w:r>
        <w:rPr>
          <w:rFonts w:hint="eastAsia" w:ascii="Arial" w:hAnsi="Arial" w:eastAsia="黑体" w:cs="Times New Roman"/>
          <w:bCs/>
          <w:color w:val="auto"/>
          <w:kern w:val="0"/>
          <w:sz w:val="28"/>
          <w:szCs w:val="32"/>
          <w:highlight w:val="none"/>
          <w:lang w:val="en-US" w:eastAsia="zh-CN" w:bidi="ar-SA"/>
        </w:rPr>
        <w:t>一、采购需求前附表</w:t>
      </w:r>
      <w:bookmarkEnd w:id="9"/>
      <w:bookmarkEnd w:id="10"/>
      <w:bookmarkEnd w:id="11"/>
      <w:bookmarkEnd w:id="12"/>
      <w:bookmarkEnd w:id="13"/>
      <w:bookmarkEnd w:id="14"/>
      <w:bookmarkEnd w:id="15"/>
      <w:bookmarkEnd w:id="16"/>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7A36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269B2484">
            <w:pPr>
              <w:pageBreakBefore w:val="0"/>
              <w:widowControl w:val="0"/>
              <w:pBdr>
                <w:bottom w:val="none" w:color="auto" w:sz="0" w:space="0"/>
              </w:pBdr>
              <w:wordWrap w:val="0"/>
              <w:overflowPunct/>
              <w:topLinePunct w:val="0"/>
              <w:bidi w:val="0"/>
              <w:adjustRightInd/>
              <w:snapToGrid/>
              <w:spacing w:line="240" w:lineRule="auto"/>
              <w:jc w:val="center"/>
              <w:textAlignment w:val="auto"/>
              <w:rPr>
                <w:rFonts w:hint="eastAsia" w:ascii="宋体" w:hAnsi="宋体" w:eastAsia="宋体" w:cs="宋体"/>
                <w:b/>
                <w:color w:val="auto"/>
                <w:kern w:val="2"/>
                <w:sz w:val="24"/>
                <w:szCs w:val="20"/>
                <w:highlight w:val="none"/>
                <w:lang w:val="en-US" w:eastAsia="zh-CN" w:bidi="ar-SA"/>
              </w:rPr>
            </w:pPr>
            <w:r>
              <w:rPr>
                <w:rFonts w:hint="eastAsia" w:ascii="宋体" w:hAnsi="宋体" w:eastAsia="宋体" w:cs="宋体"/>
                <w:b/>
                <w:color w:val="auto"/>
                <w:kern w:val="2"/>
                <w:sz w:val="24"/>
                <w:szCs w:val="20"/>
                <w:highlight w:val="none"/>
                <w:lang w:val="en-US" w:eastAsia="zh-CN" w:bidi="ar-SA"/>
              </w:rPr>
              <w:t>序号</w:t>
            </w:r>
          </w:p>
        </w:tc>
        <w:tc>
          <w:tcPr>
            <w:tcW w:w="2054" w:type="dxa"/>
            <w:noWrap w:val="0"/>
            <w:vAlign w:val="center"/>
          </w:tcPr>
          <w:p w14:paraId="7D02C75E">
            <w:pPr>
              <w:pageBreakBefore w:val="0"/>
              <w:widowControl w:val="0"/>
              <w:wordWrap w:val="0"/>
              <w:overflowPunct/>
              <w:topLinePunct w:val="0"/>
              <w:bidi w:val="0"/>
              <w:spacing w:before="0" w:beforeAutospacing="0" w:after="0" w:afterAutospacing="0" w:line="360" w:lineRule="auto"/>
              <w:jc w:val="center"/>
              <w:rPr>
                <w:rFonts w:hint="eastAsia" w:ascii="宋体" w:hAnsi="宋体" w:eastAsia="宋体" w:cs="宋体"/>
                <w:b/>
                <w:bCs w:val="0"/>
                <w:color w:val="auto"/>
                <w:kern w:val="0"/>
                <w:sz w:val="24"/>
                <w:szCs w:val="28"/>
                <w:highlight w:val="none"/>
                <w:lang w:val="en-US" w:eastAsia="zh-CN" w:bidi="ar-SA"/>
              </w:rPr>
            </w:pPr>
            <w:r>
              <w:rPr>
                <w:rFonts w:hint="eastAsia" w:ascii="宋体" w:hAnsi="宋体" w:eastAsia="宋体" w:cs="宋体"/>
                <w:b/>
                <w:bCs w:val="0"/>
                <w:color w:val="auto"/>
                <w:kern w:val="0"/>
                <w:sz w:val="24"/>
                <w:szCs w:val="28"/>
                <w:highlight w:val="none"/>
                <w:lang w:val="en-US" w:eastAsia="zh-CN" w:bidi="ar-SA"/>
              </w:rPr>
              <w:t>条款名称</w:t>
            </w:r>
          </w:p>
        </w:tc>
        <w:tc>
          <w:tcPr>
            <w:tcW w:w="5544" w:type="dxa"/>
            <w:noWrap w:val="0"/>
            <w:vAlign w:val="center"/>
          </w:tcPr>
          <w:p w14:paraId="17E92ACC">
            <w:pPr>
              <w:pageBreakBefore w:val="0"/>
              <w:widowControl w:val="0"/>
              <w:wordWrap w:val="0"/>
              <w:overflowPunct/>
              <w:topLinePunct w:val="0"/>
              <w:bidi w:val="0"/>
              <w:spacing w:before="0" w:beforeAutospacing="0" w:after="0" w:afterAutospacing="0" w:line="360" w:lineRule="auto"/>
              <w:jc w:val="center"/>
              <w:rPr>
                <w:rFonts w:hint="eastAsia" w:ascii="宋体" w:hAnsi="宋体" w:eastAsia="宋体" w:cs="宋体"/>
                <w:b/>
                <w:bCs w:val="0"/>
                <w:color w:val="auto"/>
                <w:kern w:val="0"/>
                <w:sz w:val="24"/>
                <w:szCs w:val="28"/>
                <w:highlight w:val="none"/>
                <w:lang w:val="en-US" w:eastAsia="zh-CN" w:bidi="ar-SA"/>
              </w:rPr>
            </w:pPr>
            <w:r>
              <w:rPr>
                <w:rFonts w:hint="eastAsia" w:ascii="宋体" w:hAnsi="宋体" w:eastAsia="宋体" w:cs="宋体"/>
                <w:b/>
                <w:bCs w:val="0"/>
                <w:color w:val="auto"/>
                <w:kern w:val="0"/>
                <w:sz w:val="24"/>
                <w:szCs w:val="28"/>
                <w:highlight w:val="none"/>
                <w:lang w:val="en-US" w:eastAsia="zh-CN" w:bidi="ar-SA"/>
              </w:rPr>
              <w:t>内容、说明与要求</w:t>
            </w:r>
          </w:p>
        </w:tc>
      </w:tr>
      <w:tr w14:paraId="6741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0F545002">
            <w:pPr>
              <w:pageBreakBefore w:val="0"/>
              <w:widowControl w:val="0"/>
              <w:pBdr>
                <w:bottom w:val="none" w:color="auto" w:sz="0" w:space="0"/>
              </w:pBdr>
              <w:wordWrap w:val="0"/>
              <w:overflowPunct/>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1</w:t>
            </w:r>
          </w:p>
        </w:tc>
        <w:tc>
          <w:tcPr>
            <w:tcW w:w="2054" w:type="dxa"/>
            <w:noWrap w:val="0"/>
            <w:vAlign w:val="center"/>
          </w:tcPr>
          <w:p w14:paraId="059CF764">
            <w:pPr>
              <w:pageBreakBefore w:val="0"/>
              <w:widowControl w:val="0"/>
              <w:wordWrap w:val="0"/>
              <w:overflowPunct/>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付款方式</w:t>
            </w:r>
          </w:p>
        </w:tc>
        <w:tc>
          <w:tcPr>
            <w:tcW w:w="5544" w:type="dxa"/>
            <w:noWrap w:val="0"/>
            <w:vAlign w:val="center"/>
          </w:tcPr>
          <w:p w14:paraId="4ADFAE7C">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1、合同签订并收到中标人提供的等额预付款保函或其他担保措施后，采购人支付合同价款的40%；</w:t>
            </w:r>
          </w:p>
          <w:p w14:paraId="32931A45">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2、货物运送到学校后，采购人支付合同价款的30%；</w:t>
            </w:r>
          </w:p>
          <w:p w14:paraId="2F3E814F">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3、所有设备安装调试完毕且经过验收合格正常使用后一次性付清剩余合同价款。</w:t>
            </w:r>
          </w:p>
          <w:p w14:paraId="6A2460E9">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备注：</w:t>
            </w:r>
          </w:p>
          <w:p w14:paraId="3A72A693">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（1）本项目要求中标人提供预付款保函或其他担保措施。</w:t>
            </w:r>
          </w:p>
          <w:p w14:paraId="110A0A80">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（2）付款前中标人须按要求开具有效的发票。</w:t>
            </w:r>
          </w:p>
          <w:p w14:paraId="3F9DC780">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（3）预付款保函形式：银行保函、担保机构担保。</w:t>
            </w:r>
          </w:p>
          <w:p w14:paraId="7FA1E7D9">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tc>
      </w:tr>
      <w:tr w14:paraId="35E1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noWrap w:val="0"/>
            <w:vAlign w:val="center"/>
          </w:tcPr>
          <w:p w14:paraId="41DD6357">
            <w:pPr>
              <w:pageBreakBefore w:val="0"/>
              <w:widowControl w:val="0"/>
              <w:pBdr>
                <w:bottom w:val="none" w:color="auto" w:sz="0" w:space="0"/>
              </w:pBdr>
              <w:wordWrap w:val="0"/>
              <w:overflowPunct/>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2</w:t>
            </w:r>
          </w:p>
        </w:tc>
        <w:tc>
          <w:tcPr>
            <w:tcW w:w="2054" w:type="dxa"/>
            <w:noWrap w:val="0"/>
            <w:vAlign w:val="center"/>
          </w:tcPr>
          <w:p w14:paraId="6F910562">
            <w:pPr>
              <w:pageBreakBefore w:val="0"/>
              <w:widowControl w:val="0"/>
              <w:wordWrap w:val="0"/>
              <w:overflowPunct/>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供货及安装地点</w:t>
            </w:r>
          </w:p>
        </w:tc>
        <w:tc>
          <w:tcPr>
            <w:tcW w:w="5544" w:type="dxa"/>
            <w:noWrap w:val="0"/>
            <w:vAlign w:val="center"/>
          </w:tcPr>
          <w:p w14:paraId="0D1679A0">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安徽农业大学，具体按采购人指定。</w:t>
            </w:r>
          </w:p>
        </w:tc>
      </w:tr>
      <w:tr w14:paraId="2089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noWrap w:val="0"/>
            <w:vAlign w:val="center"/>
          </w:tcPr>
          <w:p w14:paraId="09DD9496">
            <w:pPr>
              <w:pageBreakBefore w:val="0"/>
              <w:widowControl w:val="0"/>
              <w:pBdr>
                <w:bottom w:val="none" w:color="auto" w:sz="0" w:space="0"/>
              </w:pBdr>
              <w:wordWrap w:val="0"/>
              <w:overflowPunct/>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3</w:t>
            </w:r>
          </w:p>
        </w:tc>
        <w:tc>
          <w:tcPr>
            <w:tcW w:w="2054" w:type="dxa"/>
            <w:noWrap w:val="0"/>
            <w:vAlign w:val="center"/>
          </w:tcPr>
          <w:p w14:paraId="2DC97A29">
            <w:pPr>
              <w:pageBreakBefore w:val="0"/>
              <w:widowControl w:val="0"/>
              <w:wordWrap w:val="0"/>
              <w:overflowPunct/>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供货及安装期限</w:t>
            </w:r>
          </w:p>
        </w:tc>
        <w:tc>
          <w:tcPr>
            <w:tcW w:w="5544" w:type="dxa"/>
            <w:noWrap w:val="0"/>
            <w:vAlign w:val="center"/>
          </w:tcPr>
          <w:p w14:paraId="02CCDB48">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合同生效后，国产设备30个日历日内完成供货、安装、调试、培训等所有工作内容，进口设备90个日历日内完成供货、安装、调试、培训等所有工作内容，采购需求中另有规定的，按采购需求执行。</w:t>
            </w:r>
          </w:p>
        </w:tc>
      </w:tr>
      <w:tr w14:paraId="0BD7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57CAF8E8">
            <w:pPr>
              <w:pageBreakBefore w:val="0"/>
              <w:widowControl w:val="0"/>
              <w:pBdr>
                <w:bottom w:val="none" w:color="auto" w:sz="0" w:space="0"/>
              </w:pBdr>
              <w:wordWrap w:val="0"/>
              <w:overflowPunct/>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4</w:t>
            </w:r>
          </w:p>
        </w:tc>
        <w:tc>
          <w:tcPr>
            <w:tcW w:w="2054" w:type="dxa"/>
            <w:noWrap w:val="0"/>
            <w:vAlign w:val="center"/>
          </w:tcPr>
          <w:p w14:paraId="288BF0C8">
            <w:pPr>
              <w:pageBreakBefore w:val="0"/>
              <w:widowControl w:val="0"/>
              <w:wordWrap w:val="0"/>
              <w:overflowPunct/>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免费质保期</w:t>
            </w:r>
          </w:p>
        </w:tc>
        <w:tc>
          <w:tcPr>
            <w:tcW w:w="5544" w:type="dxa"/>
            <w:noWrap w:val="0"/>
            <w:vAlign w:val="center"/>
          </w:tcPr>
          <w:p w14:paraId="077FB2E0">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自验收合格后1年。</w:t>
            </w:r>
          </w:p>
          <w:p w14:paraId="4BFAF213">
            <w:pPr>
              <w:pageBreakBefore w:val="0"/>
              <w:widowControl w:val="0"/>
              <w:wordWrap w:val="0"/>
              <w:overflowPunct/>
              <w:topLinePunct w:val="0"/>
              <w:bidi w:val="0"/>
              <w:spacing w:before="0" w:beforeAutospacing="0" w:after="0" w:afterAutospacing="0" w:line="360" w:lineRule="auto"/>
              <w:jc w:val="left"/>
              <w:rPr>
                <w:rFonts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注：免费质保期从验收合格之日起开始计算。</w:t>
            </w:r>
          </w:p>
        </w:tc>
      </w:tr>
    </w:tbl>
    <w:p w14:paraId="3494DD64">
      <w:pPr>
        <w:keepNext/>
        <w:keepLines/>
        <w:pageBreakBefore w:val="0"/>
        <w:widowControl w:val="0"/>
        <w:wordWrap w:val="0"/>
        <w:overflowPunct/>
        <w:topLinePunct w:val="0"/>
        <w:bidi w:val="0"/>
        <w:spacing w:before="240" w:line="360" w:lineRule="auto"/>
        <w:ind w:firstLine="0" w:firstLineChars="0"/>
        <w:jc w:val="left"/>
        <w:outlineLvl w:val="1"/>
        <w:rPr>
          <w:rFonts w:hint="eastAsia" w:ascii="Arial" w:hAnsi="Arial" w:eastAsia="黑体" w:cs="Times New Roman"/>
          <w:bCs/>
          <w:color w:val="auto"/>
          <w:kern w:val="0"/>
          <w:sz w:val="28"/>
          <w:szCs w:val="32"/>
          <w:highlight w:val="none"/>
          <w:lang w:val="en-US" w:eastAsia="zh-CN" w:bidi="ar-SA"/>
        </w:rPr>
      </w:pPr>
      <w:bookmarkStart w:id="17" w:name="_Toc1191965283_WPSOffice_Level2"/>
      <w:bookmarkStart w:id="18" w:name="_Toc1715351726"/>
      <w:bookmarkStart w:id="19" w:name="_Toc1693477008"/>
      <w:bookmarkStart w:id="20" w:name="_Toc717369146"/>
      <w:bookmarkStart w:id="21" w:name="_Toc626387511"/>
      <w:bookmarkStart w:id="22" w:name="_Toc302804901"/>
      <w:bookmarkStart w:id="23" w:name="_Toc369119811"/>
      <w:bookmarkStart w:id="24" w:name="_Toc58935147"/>
      <w:r>
        <w:rPr>
          <w:rFonts w:hint="eastAsia" w:ascii="Arial" w:hAnsi="Arial" w:eastAsia="黑体" w:cs="Times New Roman"/>
          <w:bCs/>
          <w:color w:val="auto"/>
          <w:kern w:val="0"/>
          <w:sz w:val="28"/>
          <w:szCs w:val="32"/>
          <w:highlight w:val="none"/>
          <w:lang w:val="en-US" w:eastAsia="zh-CN" w:bidi="ar-SA"/>
        </w:rPr>
        <w:t>二、货物需求</w:t>
      </w:r>
      <w:bookmarkEnd w:id="17"/>
      <w:bookmarkEnd w:id="18"/>
      <w:bookmarkEnd w:id="19"/>
      <w:bookmarkEnd w:id="20"/>
      <w:bookmarkEnd w:id="21"/>
      <w:bookmarkEnd w:id="22"/>
      <w:bookmarkEnd w:id="23"/>
      <w:bookmarkEnd w:id="24"/>
    </w:p>
    <w:p w14:paraId="7BF80C18">
      <w:pPr>
        <w:pageBreakBefore w:val="0"/>
        <w:widowControl w:val="0"/>
        <w:wordWrap w:val="0"/>
        <w:overflowPunct/>
        <w:topLinePunct w:val="0"/>
        <w:bidi w:val="0"/>
        <w:spacing w:line="360" w:lineRule="auto"/>
        <w:ind w:left="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（一）货物需求说明</w:t>
      </w:r>
    </w:p>
    <w:tbl>
      <w:tblPr>
        <w:tblStyle w:val="2"/>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50E9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top"/>
          </w:tcPr>
          <w:p w14:paraId="11AE601C">
            <w:pPr>
              <w:pageBreakBefore w:val="0"/>
              <w:widowControl w:val="0"/>
              <w:wordWrap w:val="0"/>
              <w:overflowPunct/>
              <w:topLinePunct w:val="0"/>
              <w:bidi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需求内容类别</w:t>
            </w:r>
          </w:p>
        </w:tc>
        <w:tc>
          <w:tcPr>
            <w:tcW w:w="1277" w:type="dxa"/>
            <w:noWrap w:val="0"/>
            <w:vAlign w:val="top"/>
          </w:tcPr>
          <w:p w14:paraId="2FFB4603">
            <w:pPr>
              <w:pageBreakBefore w:val="0"/>
              <w:widowControl w:val="0"/>
              <w:wordWrap w:val="0"/>
              <w:overflowPunct/>
              <w:topLinePunct w:val="0"/>
              <w:bidi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标识符号</w:t>
            </w:r>
          </w:p>
        </w:tc>
        <w:tc>
          <w:tcPr>
            <w:tcW w:w="5692" w:type="dxa"/>
            <w:noWrap w:val="0"/>
            <w:vAlign w:val="top"/>
          </w:tcPr>
          <w:p w14:paraId="3B11D851">
            <w:pPr>
              <w:pageBreakBefore w:val="0"/>
              <w:widowControl w:val="0"/>
              <w:wordWrap w:val="0"/>
              <w:overflowPunct/>
              <w:topLinePunct w:val="0"/>
              <w:bidi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投标要求</w:t>
            </w:r>
          </w:p>
        </w:tc>
      </w:tr>
      <w:tr w14:paraId="73D6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4B4E1445">
            <w:pPr>
              <w:pageBreakBefore w:val="0"/>
              <w:widowControl w:val="0"/>
              <w:wordWrap w:val="0"/>
              <w:overflowPunct/>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重要指标项</w:t>
            </w:r>
          </w:p>
        </w:tc>
        <w:tc>
          <w:tcPr>
            <w:tcW w:w="1277" w:type="dxa"/>
            <w:noWrap w:val="0"/>
            <w:vAlign w:val="center"/>
          </w:tcPr>
          <w:p w14:paraId="5FE84B2B">
            <w:pPr>
              <w:pageBreakBefore w:val="0"/>
              <w:widowControl w:val="0"/>
              <w:wordWrap w:val="0"/>
              <w:overflowPunct/>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5692" w:type="dxa"/>
            <w:noWrap w:val="0"/>
            <w:vAlign w:val="center"/>
          </w:tcPr>
          <w:p w14:paraId="01AECFA6">
            <w:pPr>
              <w:pageBreakBefore w:val="0"/>
              <w:widowControl w:val="0"/>
              <w:wordWrap w:val="0"/>
              <w:overflowPunct/>
              <w:topLinePunct w:val="0"/>
              <w:bidi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评分项，详见“第四章评标方法和标准”中评分细则。</w:t>
            </w:r>
          </w:p>
        </w:tc>
      </w:tr>
      <w:tr w14:paraId="2583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5FC6677B">
            <w:pPr>
              <w:pageBreakBefore w:val="0"/>
              <w:widowControl w:val="0"/>
              <w:wordWrap w:val="0"/>
              <w:overflowPunct/>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无标识项</w:t>
            </w:r>
          </w:p>
        </w:tc>
        <w:tc>
          <w:tcPr>
            <w:tcW w:w="1277" w:type="dxa"/>
            <w:noWrap w:val="0"/>
            <w:vAlign w:val="center"/>
          </w:tcPr>
          <w:p w14:paraId="15002315">
            <w:pPr>
              <w:pageBreakBefore w:val="0"/>
              <w:widowControl w:val="0"/>
              <w:wordWrap w:val="0"/>
              <w:overflowPunct/>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p>
        </w:tc>
        <w:tc>
          <w:tcPr>
            <w:tcW w:w="5692" w:type="dxa"/>
            <w:noWrap w:val="0"/>
            <w:vAlign w:val="center"/>
          </w:tcPr>
          <w:p w14:paraId="057B4DA0">
            <w:pPr>
              <w:pageBreakBefore w:val="0"/>
              <w:widowControl w:val="0"/>
              <w:wordWrap w:val="0"/>
              <w:overflowPunct/>
              <w:topLinePunct w:val="0"/>
              <w:bidi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符合性审查项，5项以上（不含5项）负偏离或未响应，将导致</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p>
        </w:tc>
      </w:tr>
      <w:tr w14:paraId="0CD7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noWrap w:val="0"/>
            <w:vAlign w:val="center"/>
          </w:tcPr>
          <w:p w14:paraId="2DC5A432">
            <w:pPr>
              <w:pageBreakBefore w:val="0"/>
              <w:widowControl w:val="0"/>
              <w:wordWrap w:val="0"/>
              <w:overflowPunct/>
              <w:topLinePunct w:val="0"/>
              <w:bidi w:val="0"/>
              <w:spacing w:line="500" w:lineRule="exact"/>
              <w:ind w:left="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055BDC52">
            <w:pPr>
              <w:pageBreakBefore w:val="0"/>
              <w:widowControl w:val="0"/>
              <w:wordWrap w:val="0"/>
              <w:overflowPunct/>
              <w:topLinePunct w:val="0"/>
              <w:bidi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ascii="宋体" w:hAnsi="宋体" w:eastAsia="宋体" w:cs="宋体"/>
                <w:color w:val="auto"/>
                <w:kern w:val="2"/>
                <w:sz w:val="24"/>
                <w:szCs w:val="24"/>
                <w:highlight w:val="none"/>
                <w:lang w:val="en-US" w:eastAsia="zh-CN" w:bidi="ar-SA"/>
              </w:rPr>
              <w:t>.如某项标识中包含多条技术参数或要求，则该项标识所含内容均需满足或优于招标文件要求，否则不予认可。</w:t>
            </w:r>
          </w:p>
          <w:p w14:paraId="77DE8B3E">
            <w:pPr>
              <w:pageBreakBefore w:val="0"/>
              <w:widowControl w:val="0"/>
              <w:wordWrap w:val="0"/>
              <w:overflowPunct/>
              <w:topLinePunct w:val="0"/>
              <w:bidi w:val="0"/>
              <w:spacing w:line="500" w:lineRule="exact"/>
              <w:ind w:left="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ascii="宋体" w:hAnsi="宋体" w:eastAsia="宋体" w:cs="宋体"/>
                <w:color w:val="auto"/>
                <w:kern w:val="2"/>
                <w:sz w:val="24"/>
                <w:szCs w:val="24"/>
                <w:highlight w:val="none"/>
                <w:lang w:val="en-US" w:eastAsia="zh-CN" w:bidi="ar-SA"/>
              </w:rPr>
              <w:t>.“所属行业”栏标注为“/”的项为所投产品配套的工程或服务，无需在《中小企业声明函》中列明。</w:t>
            </w:r>
          </w:p>
        </w:tc>
      </w:tr>
    </w:tbl>
    <w:p w14:paraId="6B6A0846">
      <w:pPr>
        <w:pageBreakBefore w:val="0"/>
        <w:widowControl w:val="0"/>
        <w:wordWrap w:val="0"/>
        <w:overflowPunct/>
        <w:topLinePunct w:val="0"/>
        <w:bidi w:val="0"/>
        <w:ind w:left="0" w:firstLine="0" w:firstLineChars="0"/>
        <w:jc w:val="both"/>
        <w:rPr>
          <w:rFonts w:hint="eastAsia" w:ascii="宋体" w:hAnsi="宋体" w:eastAsia="宋体" w:cs="宋体"/>
          <w:b/>
          <w:bCs/>
          <w:color w:val="auto"/>
          <w:kern w:val="2"/>
          <w:sz w:val="24"/>
          <w:szCs w:val="24"/>
          <w:highlight w:val="none"/>
          <w:lang w:val="en-US" w:eastAsia="zh-CN" w:bidi="ar-SA"/>
        </w:rPr>
      </w:pPr>
    </w:p>
    <w:p w14:paraId="72E6EF62">
      <w:pPr>
        <w:pageBreakBefore w:val="0"/>
        <w:widowControl w:val="0"/>
        <w:wordWrap w:val="0"/>
        <w:overflowPunct/>
        <w:topLinePunct w:val="0"/>
        <w:bidi w:val="0"/>
        <w:spacing w:line="360" w:lineRule="auto"/>
        <w:ind w:left="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（二）货物需求清单</w:t>
      </w:r>
    </w:p>
    <w:p w14:paraId="0D3DA972">
      <w:pPr>
        <w:pageBreakBefore w:val="0"/>
        <w:widowControl w:val="0"/>
        <w:wordWrap w:val="0"/>
        <w:overflowPunct/>
        <w:topLinePunct w:val="0"/>
        <w:bidi w:val="0"/>
        <w:spacing w:line="360" w:lineRule="auto"/>
        <w:ind w:left="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bl>
      <w:tblPr>
        <w:tblStyle w:val="3"/>
        <w:tblW w:w="54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193"/>
        <w:gridCol w:w="4874"/>
        <w:gridCol w:w="1057"/>
        <w:gridCol w:w="778"/>
        <w:gridCol w:w="793"/>
      </w:tblGrid>
      <w:tr w14:paraId="47DC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36E1E5C9">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sz w:val="24"/>
                <w:szCs w:val="24"/>
                <w:highlight w:val="none"/>
              </w:rPr>
              <w:t>序号</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15962586">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货物名称</w:t>
            </w:r>
          </w:p>
        </w:tc>
        <w:tc>
          <w:tcPr>
            <w:tcW w:w="2619" w:type="pct"/>
            <w:tcBorders>
              <w:top w:val="single" w:color="auto" w:sz="4" w:space="0"/>
              <w:left w:val="single" w:color="auto" w:sz="4" w:space="0"/>
              <w:bottom w:val="single" w:color="auto" w:sz="4" w:space="0"/>
              <w:right w:val="single" w:color="auto" w:sz="4" w:space="0"/>
            </w:tcBorders>
            <w:noWrap w:val="0"/>
            <w:vAlign w:val="center"/>
          </w:tcPr>
          <w:p w14:paraId="0774560C">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技术参数及要求</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610CFCD5">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p w14:paraId="0ED39F44">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（单位）</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6185D544">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所属</w:t>
            </w:r>
          </w:p>
          <w:p w14:paraId="474C4F1A">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行业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52CA1834">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备注（进口或强制节能）</w:t>
            </w:r>
          </w:p>
        </w:tc>
      </w:tr>
      <w:tr w14:paraId="4D99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03111B5D">
            <w:pPr>
              <w:keepNext w:val="0"/>
              <w:keepLines w:val="0"/>
              <w:pageBreakBefore w:val="0"/>
              <w:kinsoku/>
              <w:wordWrap w:val="0"/>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7E18A0F">
            <w:pPr>
              <w:keepNext w:val="0"/>
              <w:keepLines w:val="0"/>
              <w:pageBreakBefore w:val="0"/>
              <w:wordWrap w:val="0"/>
              <w:overflowPunct/>
              <w:topLinePunct w:val="0"/>
              <w:bidi w:val="0"/>
              <w:spacing w:line="360" w:lineRule="auto"/>
              <w:jc w:val="center"/>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sz w:val="24"/>
                <w:szCs w:val="20"/>
              </w:rPr>
              <w:t>蛋白</w:t>
            </w:r>
            <w:r>
              <w:rPr>
                <w:rFonts w:hint="eastAsia" w:ascii="宋体" w:hAnsi="宋体" w:eastAsia="宋体" w:cs="宋体"/>
                <w:color w:val="auto"/>
                <w:sz w:val="24"/>
                <w:szCs w:val="20"/>
                <w:lang w:val="en-US" w:eastAsia="zh-CN"/>
              </w:rPr>
              <w:t>纯化</w:t>
            </w:r>
            <w:r>
              <w:rPr>
                <w:rFonts w:hint="eastAsia" w:ascii="宋体" w:hAnsi="宋体" w:eastAsia="宋体" w:cs="宋体"/>
                <w:color w:val="auto"/>
                <w:sz w:val="24"/>
                <w:szCs w:val="20"/>
              </w:rPr>
              <w:t>系统</w:t>
            </w:r>
          </w:p>
        </w:tc>
        <w:tc>
          <w:tcPr>
            <w:tcW w:w="2619" w:type="pct"/>
            <w:tcBorders>
              <w:top w:val="single" w:color="auto" w:sz="4" w:space="0"/>
              <w:left w:val="single" w:color="auto" w:sz="4" w:space="0"/>
              <w:bottom w:val="single" w:color="auto" w:sz="4" w:space="0"/>
              <w:right w:val="single" w:color="auto" w:sz="4" w:space="0"/>
            </w:tcBorders>
            <w:noWrap w:val="0"/>
            <w:vAlign w:val="center"/>
          </w:tcPr>
          <w:p w14:paraId="6CB604AF">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b/>
                <w:bCs/>
                <w:color w:val="auto"/>
                <w:kern w:val="0"/>
                <w:sz w:val="24"/>
                <w:szCs w:val="20"/>
                <w:shd w:val="clear" w:color="auto" w:fill="FFFFFF"/>
              </w:rPr>
            </w:pPr>
            <w:r>
              <w:rPr>
                <w:rFonts w:hint="eastAsia" w:ascii="宋体" w:hAnsi="宋体" w:eastAsia="宋体" w:cs="宋体"/>
                <w:b/>
                <w:bCs/>
                <w:color w:val="auto"/>
                <w:kern w:val="0"/>
                <w:sz w:val="24"/>
                <w:szCs w:val="20"/>
                <w:shd w:val="clear" w:color="auto" w:fill="FFFFFF"/>
                <w:lang w:val="en-US" w:eastAsia="zh-CN"/>
              </w:rPr>
              <w:t>一</w:t>
            </w:r>
            <w:r>
              <w:rPr>
                <w:rFonts w:hint="eastAsia" w:ascii="宋体" w:hAnsi="宋体" w:eastAsia="宋体" w:cs="宋体"/>
                <w:b/>
                <w:bCs/>
                <w:color w:val="auto"/>
                <w:kern w:val="0"/>
                <w:sz w:val="24"/>
                <w:szCs w:val="20"/>
                <w:shd w:val="clear" w:color="auto" w:fill="FFFFFF"/>
                <w:lang w:eastAsia="zh-CN"/>
              </w:rPr>
              <w:t>、</w:t>
            </w:r>
            <w:r>
              <w:rPr>
                <w:rFonts w:hint="eastAsia" w:ascii="宋体" w:hAnsi="宋体" w:eastAsia="宋体" w:cs="宋体"/>
                <w:b/>
                <w:bCs/>
                <w:color w:val="auto"/>
                <w:kern w:val="0"/>
                <w:sz w:val="24"/>
                <w:szCs w:val="20"/>
                <w:shd w:val="clear" w:color="auto" w:fill="FFFFFF"/>
              </w:rPr>
              <w:t>泵</w:t>
            </w:r>
          </w:p>
          <w:p w14:paraId="32FB0D96">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0"/>
                <w:shd w:val="clear" w:color="auto" w:fill="FFFFFF"/>
              </w:rPr>
              <w:t>全自动二元柱塞泵：双泵四泵头，泵头材质为金属，每个泵头均配有除气旋钮</w:t>
            </w:r>
            <w:r>
              <w:rPr>
                <w:rFonts w:hint="eastAsia" w:ascii="宋体" w:hAnsi="宋体" w:eastAsia="宋体" w:cs="宋体"/>
                <w:color w:val="auto"/>
                <w:kern w:val="0"/>
                <w:sz w:val="24"/>
                <w:szCs w:val="20"/>
                <w:shd w:val="clear" w:color="auto" w:fill="FFFFFF"/>
                <w:lang w:eastAsia="zh-CN"/>
              </w:rPr>
              <w:t>；</w:t>
            </w:r>
          </w:p>
          <w:p w14:paraId="038ED71A">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0"/>
                <w:shd w:val="clear" w:color="auto" w:fill="FFFFFF"/>
              </w:rPr>
              <w:t>系统泵流速范围：单泵工作流速0.001-25 mL/min，双泵工作流速：0.01-50 mL/min，压力范围：0-20MPa</w:t>
            </w:r>
            <w:r>
              <w:rPr>
                <w:rFonts w:hint="eastAsia" w:ascii="宋体" w:hAnsi="宋体" w:eastAsia="宋体" w:cs="宋体"/>
                <w:b/>
                <w:bCs/>
                <w:color w:val="auto"/>
                <w:kern w:val="0"/>
                <w:sz w:val="24"/>
                <w:szCs w:val="20"/>
                <w:shd w:val="clear" w:color="auto" w:fill="FFFFFF"/>
              </w:rPr>
              <w:t>（投标文件中提供</w:t>
            </w:r>
            <w:r>
              <w:rPr>
                <w:rFonts w:hint="eastAsia" w:ascii="宋体" w:hAnsi="宋体" w:eastAsia="宋体" w:cs="宋体"/>
                <w:b/>
                <w:bCs/>
                <w:color w:val="auto"/>
                <w:kern w:val="0"/>
                <w:sz w:val="24"/>
                <w:szCs w:val="20"/>
                <w:shd w:val="clear" w:color="auto" w:fill="FFFFFF"/>
                <w:lang w:val="en-US" w:eastAsia="zh-CN"/>
              </w:rPr>
              <w:t>证明材料</w:t>
            </w:r>
            <w:r>
              <w:rPr>
                <w:rFonts w:hint="eastAsia" w:ascii="宋体" w:hAnsi="宋体" w:eastAsia="宋体" w:cs="宋体"/>
                <w:b/>
                <w:bCs/>
                <w:color w:val="auto"/>
                <w:kern w:val="0"/>
                <w:sz w:val="24"/>
                <w:szCs w:val="20"/>
                <w:shd w:val="clear" w:color="auto" w:fill="FFFFFF"/>
              </w:rPr>
              <w:t>）</w:t>
            </w:r>
            <w:r>
              <w:rPr>
                <w:rFonts w:hint="eastAsia" w:ascii="宋体" w:hAnsi="宋体" w:eastAsia="宋体" w:cs="宋体"/>
                <w:color w:val="auto"/>
                <w:sz w:val="24"/>
                <w:szCs w:val="20"/>
                <w:lang w:eastAsia="zh-CN"/>
              </w:rPr>
              <w:t>；</w:t>
            </w:r>
          </w:p>
          <w:p w14:paraId="0843BD56">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0"/>
                <w:shd w:val="clear" w:color="auto" w:fill="FFFFFF"/>
              </w:rPr>
              <w:t>流速精度：RSD≤0.5%；流速准确度：±1.2%</w:t>
            </w:r>
            <w:r>
              <w:rPr>
                <w:rFonts w:hint="eastAsia" w:ascii="宋体" w:hAnsi="宋体" w:eastAsia="宋体" w:cs="宋体"/>
                <w:b/>
                <w:bCs/>
                <w:color w:val="auto"/>
                <w:kern w:val="0"/>
                <w:sz w:val="24"/>
                <w:szCs w:val="20"/>
                <w:shd w:val="clear" w:color="auto" w:fill="FFFFFF"/>
              </w:rPr>
              <w:t>（投标文件中提供</w:t>
            </w:r>
            <w:r>
              <w:rPr>
                <w:rFonts w:hint="eastAsia" w:ascii="宋体" w:hAnsi="宋体" w:eastAsia="宋体" w:cs="宋体"/>
                <w:b/>
                <w:bCs/>
                <w:color w:val="auto"/>
                <w:kern w:val="0"/>
                <w:sz w:val="24"/>
                <w:szCs w:val="20"/>
                <w:shd w:val="clear" w:color="auto" w:fill="FFFFFF"/>
                <w:lang w:val="en-US" w:eastAsia="zh-CN"/>
              </w:rPr>
              <w:t>证明材料</w:t>
            </w:r>
            <w:r>
              <w:rPr>
                <w:rFonts w:hint="eastAsia" w:ascii="宋体" w:hAnsi="宋体" w:eastAsia="宋体" w:cs="宋体"/>
                <w:b/>
                <w:bCs/>
                <w:color w:val="auto"/>
                <w:kern w:val="0"/>
                <w:sz w:val="24"/>
                <w:szCs w:val="20"/>
                <w:shd w:val="clear" w:color="auto" w:fill="FFFFFF"/>
              </w:rPr>
              <w:t>）</w:t>
            </w:r>
            <w:r>
              <w:rPr>
                <w:rFonts w:hint="eastAsia" w:ascii="宋体" w:hAnsi="宋体" w:eastAsia="宋体" w:cs="宋体"/>
                <w:color w:val="auto"/>
                <w:sz w:val="24"/>
                <w:szCs w:val="20"/>
                <w:lang w:eastAsia="zh-CN"/>
              </w:rPr>
              <w:t>；</w:t>
            </w:r>
          </w:p>
          <w:p w14:paraId="0D1F6633">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0"/>
                <w:shd w:val="clear" w:color="auto" w:fill="FFFFFF"/>
              </w:rPr>
              <w:t>梯度合成准确度：±0.6%</w:t>
            </w:r>
            <w:r>
              <w:rPr>
                <w:rFonts w:hint="eastAsia" w:ascii="宋体" w:hAnsi="宋体" w:eastAsia="宋体" w:cs="宋体"/>
                <w:b/>
                <w:bCs/>
                <w:color w:val="auto"/>
                <w:kern w:val="0"/>
                <w:sz w:val="24"/>
                <w:szCs w:val="20"/>
                <w:shd w:val="clear" w:color="auto" w:fill="FFFFFF"/>
              </w:rPr>
              <w:t>（投标文件中提供</w:t>
            </w:r>
            <w:r>
              <w:rPr>
                <w:rFonts w:hint="eastAsia" w:ascii="宋体" w:hAnsi="宋体" w:eastAsia="宋体" w:cs="宋体"/>
                <w:b/>
                <w:bCs/>
                <w:color w:val="auto"/>
                <w:kern w:val="0"/>
                <w:sz w:val="24"/>
                <w:szCs w:val="20"/>
                <w:shd w:val="clear" w:color="auto" w:fill="FFFFFF"/>
                <w:lang w:val="en-US" w:eastAsia="zh-CN"/>
              </w:rPr>
              <w:t>证明材料</w:t>
            </w:r>
            <w:r>
              <w:rPr>
                <w:rFonts w:hint="eastAsia" w:ascii="宋体" w:hAnsi="宋体" w:eastAsia="宋体" w:cs="宋体"/>
                <w:b/>
                <w:bCs/>
                <w:color w:val="auto"/>
                <w:kern w:val="0"/>
                <w:sz w:val="24"/>
                <w:szCs w:val="20"/>
                <w:shd w:val="clear" w:color="auto" w:fill="FFFFFF"/>
              </w:rPr>
              <w:t>）</w:t>
            </w:r>
            <w:r>
              <w:rPr>
                <w:rFonts w:hint="eastAsia" w:ascii="宋体" w:hAnsi="宋体" w:eastAsia="宋体" w:cs="宋体"/>
                <w:color w:val="auto"/>
                <w:sz w:val="24"/>
                <w:szCs w:val="20"/>
                <w:lang w:eastAsia="zh-CN"/>
              </w:rPr>
              <w:t>；</w:t>
            </w:r>
          </w:p>
          <w:p w14:paraId="2437929E">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rPr>
            </w:pPr>
            <w:r>
              <w:rPr>
                <w:rFonts w:hint="eastAsia" w:ascii="宋体" w:hAnsi="宋体" w:eastAsia="宋体" w:cs="宋体"/>
                <w:color w:val="auto"/>
                <w:kern w:val="0"/>
                <w:sz w:val="24"/>
                <w:szCs w:val="20"/>
                <w:shd w:val="clear" w:color="auto" w:fill="FFFFFF"/>
                <w:lang w:val="en-US" w:eastAsia="zh-CN"/>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0"/>
                <w:shd w:val="clear" w:color="auto" w:fill="FFFFFF"/>
              </w:rPr>
              <w:t>具备恒压调速功能和压力控制模式。</w:t>
            </w:r>
          </w:p>
          <w:p w14:paraId="62BE8F7E">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b/>
                <w:bCs/>
                <w:color w:val="auto"/>
                <w:kern w:val="0"/>
                <w:sz w:val="24"/>
                <w:szCs w:val="20"/>
                <w:shd w:val="clear" w:color="auto" w:fill="FFFFFF"/>
                <w:lang w:eastAsia="zh-CN"/>
              </w:rPr>
            </w:pPr>
            <w:r>
              <w:rPr>
                <w:rFonts w:hint="eastAsia" w:ascii="宋体" w:hAnsi="宋体" w:eastAsia="宋体" w:cs="宋体"/>
                <w:b/>
                <w:bCs/>
                <w:color w:val="auto"/>
                <w:kern w:val="0"/>
                <w:sz w:val="24"/>
                <w:szCs w:val="20"/>
                <w:shd w:val="clear" w:color="auto" w:fill="FFFFFF"/>
                <w:lang w:val="en-US" w:eastAsia="zh-CN"/>
              </w:rPr>
              <w:t>二</w:t>
            </w:r>
            <w:r>
              <w:rPr>
                <w:rFonts w:hint="eastAsia" w:ascii="宋体" w:hAnsi="宋体" w:eastAsia="宋体" w:cs="宋体"/>
                <w:b/>
                <w:bCs/>
                <w:color w:val="auto"/>
                <w:kern w:val="0"/>
                <w:sz w:val="24"/>
                <w:szCs w:val="20"/>
                <w:shd w:val="clear" w:color="auto" w:fill="FFFFFF"/>
                <w:lang w:eastAsia="zh-CN"/>
              </w:rPr>
              <w:t>、</w:t>
            </w:r>
            <w:r>
              <w:rPr>
                <w:rFonts w:hint="eastAsia" w:ascii="宋体" w:hAnsi="宋体" w:eastAsia="宋体" w:cs="宋体"/>
                <w:b/>
                <w:bCs/>
                <w:color w:val="auto"/>
                <w:kern w:val="0"/>
                <w:sz w:val="24"/>
                <w:szCs w:val="20"/>
                <w:shd w:val="clear" w:color="auto" w:fill="FFFFFF"/>
              </w:rPr>
              <w:t>检测器</w:t>
            </w:r>
          </w:p>
          <w:p w14:paraId="6B9D6EAD">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1.</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紫外监测器</w:t>
            </w:r>
            <w:r>
              <w:rPr>
                <w:rFonts w:hint="eastAsia" w:ascii="宋体" w:hAnsi="宋体" w:eastAsia="宋体" w:cs="宋体"/>
                <w:color w:val="auto"/>
                <w:kern w:val="0"/>
                <w:sz w:val="24"/>
                <w:szCs w:val="20"/>
                <w:shd w:val="clear" w:color="auto" w:fill="FFFFFF"/>
                <w:lang w:eastAsia="zh-CN"/>
              </w:rPr>
              <w:t>：</w:t>
            </w:r>
          </w:p>
          <w:p w14:paraId="41DD8BCB">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rPr>
            </w:pPr>
            <w:r>
              <w:rPr>
                <w:rFonts w:hint="eastAsia" w:ascii="宋体" w:hAnsi="宋体" w:eastAsia="宋体" w:cs="宋体"/>
                <w:color w:val="auto"/>
                <w:kern w:val="0"/>
                <w:sz w:val="24"/>
                <w:szCs w:val="20"/>
                <w:shd w:val="clear" w:color="auto" w:fill="FFFFFF"/>
              </w:rPr>
              <w:t>★1.1.</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紫外光源：使用单一LED灯冷光源，无需预热，即开即用，无热辐射，无样品加热效应</w:t>
            </w:r>
            <w:r>
              <w:rPr>
                <w:rFonts w:hint="eastAsia" w:ascii="宋体" w:hAnsi="宋体" w:eastAsia="宋体" w:cs="宋体"/>
                <w:b/>
                <w:bCs/>
                <w:color w:val="auto"/>
                <w:kern w:val="0"/>
                <w:sz w:val="24"/>
                <w:szCs w:val="20"/>
                <w:shd w:val="clear" w:color="auto" w:fill="FFFFFF"/>
              </w:rPr>
              <w:t>（投标文件中提供</w:t>
            </w:r>
            <w:r>
              <w:rPr>
                <w:rFonts w:hint="eastAsia" w:ascii="宋体" w:hAnsi="宋体" w:eastAsia="宋体" w:cs="宋体"/>
                <w:b/>
                <w:bCs/>
                <w:color w:val="auto"/>
                <w:kern w:val="0"/>
                <w:sz w:val="24"/>
                <w:szCs w:val="20"/>
                <w:shd w:val="clear" w:color="auto" w:fill="FFFFFF"/>
                <w:lang w:val="en-US" w:eastAsia="zh-CN"/>
              </w:rPr>
              <w:t>证明材料</w:t>
            </w:r>
            <w:r>
              <w:rPr>
                <w:rFonts w:hint="eastAsia" w:ascii="宋体" w:hAnsi="宋体" w:eastAsia="宋体" w:cs="宋体"/>
                <w:b/>
                <w:bCs/>
                <w:color w:val="auto"/>
                <w:kern w:val="0"/>
                <w:sz w:val="24"/>
                <w:szCs w:val="20"/>
                <w:shd w:val="clear" w:color="auto" w:fill="FFFFFF"/>
              </w:rPr>
              <w:t>）</w:t>
            </w:r>
            <w:r>
              <w:rPr>
                <w:rFonts w:hint="eastAsia" w:ascii="宋体" w:hAnsi="宋体" w:eastAsia="宋体" w:cs="宋体"/>
                <w:color w:val="auto"/>
                <w:sz w:val="24"/>
                <w:szCs w:val="20"/>
                <w:lang w:eastAsia="zh-CN"/>
              </w:rPr>
              <w:t>；</w:t>
            </w:r>
          </w:p>
          <w:p w14:paraId="19ECFAD1">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rPr>
            </w:pPr>
            <w:r>
              <w:rPr>
                <w:rFonts w:hint="eastAsia" w:ascii="宋体" w:hAnsi="宋体" w:eastAsia="宋体" w:cs="宋体"/>
                <w:color w:val="auto"/>
                <w:kern w:val="0"/>
                <w:sz w:val="24"/>
                <w:szCs w:val="20"/>
                <w:shd w:val="clear" w:color="auto" w:fill="FFFFFF"/>
              </w:rPr>
              <w:t>★1.2.</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紫外波长范围：单一固定280 nm，紫外监测范围-6到6 AU，在0到2 AU之间线性度为±5%</w:t>
            </w:r>
            <w:r>
              <w:rPr>
                <w:rFonts w:hint="eastAsia" w:ascii="宋体" w:hAnsi="宋体" w:eastAsia="宋体" w:cs="宋体"/>
                <w:b/>
                <w:bCs/>
                <w:color w:val="auto"/>
                <w:kern w:val="0"/>
                <w:sz w:val="24"/>
                <w:szCs w:val="20"/>
                <w:shd w:val="clear" w:color="auto" w:fill="FFFFFF"/>
              </w:rPr>
              <w:t>（投标文件中提供</w:t>
            </w:r>
            <w:r>
              <w:rPr>
                <w:rFonts w:hint="eastAsia" w:ascii="宋体" w:hAnsi="宋体" w:eastAsia="宋体" w:cs="宋体"/>
                <w:b/>
                <w:bCs/>
                <w:color w:val="auto"/>
                <w:kern w:val="0"/>
                <w:sz w:val="24"/>
                <w:szCs w:val="20"/>
                <w:shd w:val="clear" w:color="auto" w:fill="FFFFFF"/>
                <w:lang w:val="en-US" w:eastAsia="zh-CN"/>
              </w:rPr>
              <w:t>证明材料</w:t>
            </w:r>
            <w:r>
              <w:rPr>
                <w:rFonts w:hint="eastAsia" w:ascii="宋体" w:hAnsi="宋体" w:eastAsia="宋体" w:cs="宋体"/>
                <w:b/>
                <w:bCs/>
                <w:color w:val="auto"/>
                <w:kern w:val="0"/>
                <w:sz w:val="24"/>
                <w:szCs w:val="20"/>
                <w:shd w:val="clear" w:color="auto" w:fill="FFFFFF"/>
              </w:rPr>
              <w:t>）</w:t>
            </w:r>
            <w:r>
              <w:rPr>
                <w:rFonts w:hint="eastAsia" w:ascii="宋体" w:hAnsi="宋体" w:eastAsia="宋体" w:cs="宋体"/>
                <w:color w:val="auto"/>
                <w:sz w:val="24"/>
                <w:szCs w:val="20"/>
                <w:lang w:eastAsia="zh-CN"/>
              </w:rPr>
              <w:t>；</w:t>
            </w:r>
          </w:p>
          <w:p w14:paraId="01B05E25">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2.</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电导检测器</w:t>
            </w:r>
            <w:r>
              <w:rPr>
                <w:rFonts w:hint="eastAsia" w:ascii="宋体" w:hAnsi="宋体" w:eastAsia="宋体" w:cs="宋体"/>
                <w:color w:val="auto"/>
                <w:kern w:val="0"/>
                <w:sz w:val="24"/>
                <w:szCs w:val="20"/>
                <w:shd w:val="clear" w:color="auto" w:fill="FFFFFF"/>
                <w:lang w:eastAsia="zh-CN"/>
              </w:rPr>
              <w:t>：</w:t>
            </w:r>
            <w:r>
              <w:rPr>
                <w:rFonts w:hint="eastAsia" w:ascii="宋体" w:hAnsi="宋体" w:eastAsia="宋体" w:cs="宋体"/>
                <w:color w:val="auto"/>
                <w:kern w:val="0"/>
                <w:sz w:val="24"/>
                <w:szCs w:val="20"/>
                <w:shd w:val="clear" w:color="auto" w:fill="FFFFFF"/>
              </w:rPr>
              <w:t>检测范围：0.01mS/cm-999.99mS/cm，内置温度检测器，电脑利用校正因子做自动校正</w:t>
            </w:r>
            <w:r>
              <w:rPr>
                <w:rFonts w:hint="eastAsia" w:ascii="宋体" w:hAnsi="宋体" w:eastAsia="宋体" w:cs="宋体"/>
                <w:color w:val="auto"/>
                <w:kern w:val="0"/>
                <w:sz w:val="24"/>
                <w:szCs w:val="20"/>
                <w:shd w:val="clear" w:color="auto" w:fill="FFFFFF"/>
                <w:lang w:eastAsia="zh-CN"/>
              </w:rPr>
              <w:t>；</w:t>
            </w:r>
          </w:p>
          <w:p w14:paraId="47230D28">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rPr>
            </w:pPr>
            <w:r>
              <w:rPr>
                <w:rFonts w:hint="eastAsia" w:ascii="宋体" w:hAnsi="宋体" w:eastAsia="宋体" w:cs="宋体"/>
                <w:color w:val="auto"/>
                <w:kern w:val="0"/>
                <w:sz w:val="24"/>
                <w:szCs w:val="20"/>
                <w:shd w:val="clear" w:color="auto" w:fill="FFFFFF"/>
              </w:rPr>
              <w:t>3.</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压力传感器：1个，位于系统泵后。</w:t>
            </w:r>
          </w:p>
          <w:p w14:paraId="7488AAF2">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b/>
                <w:bCs/>
                <w:color w:val="auto"/>
                <w:kern w:val="0"/>
                <w:sz w:val="24"/>
                <w:szCs w:val="20"/>
                <w:shd w:val="clear" w:color="auto" w:fill="FFFFFF"/>
                <w:lang w:eastAsia="zh-CN"/>
              </w:rPr>
            </w:pPr>
            <w:r>
              <w:rPr>
                <w:rFonts w:hint="eastAsia" w:ascii="宋体" w:hAnsi="宋体" w:eastAsia="宋体" w:cs="宋体"/>
                <w:b/>
                <w:bCs/>
                <w:color w:val="auto"/>
                <w:kern w:val="0"/>
                <w:sz w:val="24"/>
                <w:szCs w:val="20"/>
                <w:shd w:val="clear" w:color="auto" w:fill="FFFFFF"/>
                <w:lang w:val="en-US" w:eastAsia="zh-CN"/>
              </w:rPr>
              <w:t>三</w:t>
            </w:r>
            <w:r>
              <w:rPr>
                <w:rFonts w:hint="eastAsia" w:ascii="宋体" w:hAnsi="宋体" w:eastAsia="宋体" w:cs="宋体"/>
                <w:b/>
                <w:bCs/>
                <w:color w:val="auto"/>
                <w:kern w:val="0"/>
                <w:sz w:val="24"/>
                <w:szCs w:val="20"/>
                <w:shd w:val="clear" w:color="auto" w:fill="FFFFFF"/>
                <w:lang w:eastAsia="zh-CN"/>
              </w:rPr>
              <w:t>、</w:t>
            </w:r>
            <w:r>
              <w:rPr>
                <w:rFonts w:hint="eastAsia" w:ascii="宋体" w:hAnsi="宋体" w:eastAsia="宋体" w:cs="宋体"/>
                <w:b/>
                <w:bCs/>
                <w:color w:val="auto"/>
                <w:kern w:val="0"/>
                <w:sz w:val="24"/>
                <w:szCs w:val="20"/>
                <w:shd w:val="clear" w:color="auto" w:fill="FFFFFF"/>
              </w:rPr>
              <w:t>阀门</w:t>
            </w:r>
          </w:p>
          <w:p w14:paraId="788FD348">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1.</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入口阀：1个，2个A缓冲液入口和2个B缓冲液入口，实现不同缓冲液之间的转换</w:t>
            </w:r>
            <w:r>
              <w:rPr>
                <w:rFonts w:hint="eastAsia" w:ascii="宋体" w:hAnsi="宋体" w:eastAsia="宋体" w:cs="宋体"/>
                <w:color w:val="auto"/>
                <w:kern w:val="0"/>
                <w:sz w:val="24"/>
                <w:szCs w:val="20"/>
                <w:shd w:val="clear" w:color="auto" w:fill="FFFFFF"/>
                <w:lang w:eastAsia="zh-CN"/>
              </w:rPr>
              <w:t>；</w:t>
            </w:r>
          </w:p>
          <w:p w14:paraId="280A3205">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rPr>
            </w:pPr>
            <w:r>
              <w:rPr>
                <w:rFonts w:hint="eastAsia" w:ascii="宋体" w:hAnsi="宋体" w:eastAsia="宋体" w:cs="宋体"/>
                <w:color w:val="auto"/>
                <w:kern w:val="0"/>
                <w:sz w:val="24"/>
                <w:szCs w:val="20"/>
                <w:shd w:val="clear" w:color="auto" w:fill="FFFFFF"/>
              </w:rPr>
              <w:t>2.</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上样阀：1个，可实现自动切换上样、进样和冲洗三个状态；</w:t>
            </w:r>
          </w:p>
          <w:p w14:paraId="16359DD8">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3.</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单柱位阀: 1个，可连接1根层析柱，同时具有旁路和液流反向功能</w:t>
            </w:r>
            <w:r>
              <w:rPr>
                <w:rFonts w:hint="eastAsia" w:ascii="宋体" w:hAnsi="宋体" w:eastAsia="宋体" w:cs="宋体"/>
                <w:color w:val="auto"/>
                <w:kern w:val="0"/>
                <w:sz w:val="24"/>
                <w:szCs w:val="20"/>
                <w:shd w:val="clear" w:color="auto" w:fill="FFFFFF"/>
                <w:lang w:eastAsia="zh-CN"/>
              </w:rPr>
              <w:t>；</w:t>
            </w:r>
          </w:p>
          <w:p w14:paraId="79C9C426">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4.</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单出口阀：1个，包含1个大体积收集出口，1个废液口，1个收集器口</w:t>
            </w:r>
            <w:r>
              <w:rPr>
                <w:rFonts w:hint="eastAsia" w:ascii="宋体" w:hAnsi="宋体" w:eastAsia="宋体" w:cs="宋体"/>
                <w:color w:val="auto"/>
                <w:kern w:val="0"/>
                <w:sz w:val="24"/>
                <w:szCs w:val="20"/>
                <w:shd w:val="clear" w:color="auto" w:fill="FFFFFF"/>
                <w:lang w:eastAsia="zh-CN"/>
              </w:rPr>
              <w:t>。</w:t>
            </w:r>
          </w:p>
          <w:p w14:paraId="76DCEBE2">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b/>
                <w:bCs/>
                <w:color w:val="auto"/>
                <w:kern w:val="0"/>
                <w:sz w:val="24"/>
                <w:szCs w:val="20"/>
                <w:shd w:val="clear" w:color="auto" w:fill="FFFFFF"/>
              </w:rPr>
            </w:pPr>
            <w:r>
              <w:rPr>
                <w:rFonts w:hint="eastAsia" w:ascii="宋体" w:hAnsi="宋体" w:eastAsia="宋体" w:cs="宋体"/>
                <w:b/>
                <w:bCs/>
                <w:color w:val="auto"/>
                <w:kern w:val="0"/>
                <w:sz w:val="24"/>
                <w:szCs w:val="20"/>
                <w:shd w:val="clear" w:color="auto" w:fill="FFFFFF"/>
                <w:lang w:val="en-US" w:eastAsia="zh-CN"/>
              </w:rPr>
              <w:t>四</w:t>
            </w:r>
            <w:r>
              <w:rPr>
                <w:rFonts w:hint="eastAsia" w:ascii="宋体" w:hAnsi="宋体" w:eastAsia="宋体" w:cs="宋体"/>
                <w:b/>
                <w:bCs/>
                <w:color w:val="auto"/>
                <w:kern w:val="0"/>
                <w:sz w:val="24"/>
                <w:szCs w:val="20"/>
                <w:shd w:val="clear" w:color="auto" w:fill="FFFFFF"/>
                <w:lang w:eastAsia="zh-CN"/>
              </w:rPr>
              <w:t>、</w:t>
            </w:r>
            <w:r>
              <w:rPr>
                <w:rFonts w:hint="eastAsia" w:ascii="宋体" w:hAnsi="宋体" w:eastAsia="宋体" w:cs="宋体"/>
                <w:b/>
                <w:bCs/>
                <w:color w:val="auto"/>
                <w:kern w:val="0"/>
                <w:sz w:val="24"/>
                <w:szCs w:val="20"/>
                <w:shd w:val="clear" w:color="auto" w:fill="FFFFFF"/>
              </w:rPr>
              <w:t>组分收集器</w:t>
            </w:r>
          </w:p>
          <w:p w14:paraId="5BD80E50">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rPr>
            </w:pPr>
            <w:r>
              <w:rPr>
                <w:rFonts w:hint="eastAsia" w:ascii="宋体" w:hAnsi="宋体" w:eastAsia="宋体" w:cs="宋体"/>
                <w:color w:val="auto"/>
                <w:kern w:val="0"/>
                <w:sz w:val="24"/>
                <w:szCs w:val="20"/>
                <w:shd w:val="clear" w:color="auto" w:fill="FFFFFF"/>
              </w:rPr>
              <w:t>可根据体积、时间和峰自动收集，试管容量最多</w:t>
            </w:r>
            <w:r>
              <w:rPr>
                <w:rFonts w:hint="eastAsia" w:ascii="宋体" w:hAnsi="宋体" w:eastAsia="宋体" w:cs="宋体"/>
                <w:color w:val="auto"/>
                <w:kern w:val="0"/>
                <w:sz w:val="24"/>
                <w:szCs w:val="20"/>
                <w:shd w:val="clear" w:color="auto" w:fill="FFFFFF"/>
                <w:lang w:val="en-US" w:eastAsia="zh-CN"/>
              </w:rPr>
              <w:t>≥</w:t>
            </w:r>
            <w:r>
              <w:rPr>
                <w:rFonts w:hint="eastAsia" w:ascii="宋体" w:hAnsi="宋体" w:eastAsia="宋体" w:cs="宋体"/>
                <w:color w:val="auto"/>
                <w:kern w:val="0"/>
                <w:sz w:val="24"/>
                <w:szCs w:val="20"/>
                <w:shd w:val="clear" w:color="auto" w:fill="FFFFFF"/>
              </w:rPr>
              <w:t>175管，收集范围0.1m</w:t>
            </w:r>
            <w:r>
              <w:rPr>
                <w:rFonts w:hint="eastAsia" w:ascii="宋体" w:hAnsi="宋体" w:eastAsia="宋体" w:cs="宋体"/>
                <w:color w:val="auto"/>
                <w:kern w:val="0"/>
                <w:sz w:val="24"/>
                <w:szCs w:val="20"/>
                <w:shd w:val="clear" w:color="auto" w:fill="FFFFFF"/>
                <w:lang w:val="en-US" w:eastAsia="zh-CN"/>
              </w:rPr>
              <w:t>L</w:t>
            </w:r>
            <w:r>
              <w:rPr>
                <w:rFonts w:hint="eastAsia" w:ascii="宋体" w:hAnsi="宋体" w:eastAsia="宋体" w:cs="宋体"/>
                <w:color w:val="auto"/>
                <w:kern w:val="0"/>
                <w:sz w:val="24"/>
                <w:szCs w:val="20"/>
                <w:shd w:val="clear" w:color="auto" w:fill="FFFFFF"/>
              </w:rPr>
              <w:t>-50 m</w:t>
            </w:r>
            <w:r>
              <w:rPr>
                <w:rFonts w:hint="eastAsia" w:ascii="宋体" w:hAnsi="宋体" w:eastAsia="宋体" w:cs="宋体"/>
                <w:color w:val="auto"/>
                <w:kern w:val="0"/>
                <w:sz w:val="24"/>
                <w:szCs w:val="20"/>
                <w:shd w:val="clear" w:color="auto" w:fill="FFFFFF"/>
                <w:lang w:val="en-US" w:eastAsia="zh-CN"/>
              </w:rPr>
              <w:t>L</w:t>
            </w:r>
            <w:r>
              <w:rPr>
                <w:rFonts w:hint="eastAsia" w:ascii="宋体" w:hAnsi="宋体" w:eastAsia="宋体" w:cs="宋体"/>
                <w:color w:val="auto"/>
                <w:kern w:val="0"/>
                <w:sz w:val="24"/>
                <w:szCs w:val="20"/>
                <w:shd w:val="clear" w:color="auto" w:fill="FFFFFF"/>
              </w:rPr>
              <w:t>，兼容3，8，15和50 m</w:t>
            </w:r>
            <w:r>
              <w:rPr>
                <w:rFonts w:hint="eastAsia" w:ascii="宋体" w:hAnsi="宋体" w:eastAsia="宋体" w:cs="宋体"/>
                <w:color w:val="auto"/>
                <w:kern w:val="0"/>
                <w:sz w:val="24"/>
                <w:szCs w:val="20"/>
                <w:shd w:val="clear" w:color="auto" w:fill="FFFFFF"/>
                <w:lang w:val="en-US" w:eastAsia="zh-CN"/>
              </w:rPr>
              <w:t>L</w:t>
            </w:r>
            <w:r>
              <w:rPr>
                <w:rFonts w:hint="eastAsia" w:ascii="宋体" w:hAnsi="宋体" w:eastAsia="宋体" w:cs="宋体"/>
                <w:color w:val="auto"/>
                <w:kern w:val="0"/>
                <w:sz w:val="24"/>
                <w:szCs w:val="20"/>
                <w:shd w:val="clear" w:color="auto" w:fill="FFFFFF"/>
              </w:rPr>
              <w:t>的收集管，具有滴感应器，防滴漏功能，耐受有机溶剂。</w:t>
            </w:r>
          </w:p>
          <w:p w14:paraId="7D396E16">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b/>
                <w:bCs/>
                <w:color w:val="auto"/>
                <w:kern w:val="0"/>
                <w:sz w:val="24"/>
                <w:szCs w:val="20"/>
                <w:shd w:val="clear" w:color="auto" w:fill="FFFFFF"/>
                <w:lang w:eastAsia="zh-CN"/>
              </w:rPr>
            </w:pPr>
            <w:r>
              <w:rPr>
                <w:rFonts w:hint="eastAsia" w:ascii="宋体" w:hAnsi="宋体" w:eastAsia="宋体" w:cs="宋体"/>
                <w:b/>
                <w:bCs/>
                <w:color w:val="auto"/>
                <w:kern w:val="0"/>
                <w:sz w:val="24"/>
                <w:szCs w:val="20"/>
                <w:shd w:val="clear" w:color="auto" w:fill="FFFFFF"/>
                <w:lang w:val="en-US" w:eastAsia="zh-CN"/>
              </w:rPr>
              <w:t>五</w:t>
            </w:r>
            <w:r>
              <w:rPr>
                <w:rFonts w:hint="eastAsia" w:ascii="宋体" w:hAnsi="宋体" w:eastAsia="宋体" w:cs="宋体"/>
                <w:b/>
                <w:bCs/>
                <w:color w:val="auto"/>
                <w:kern w:val="0"/>
                <w:sz w:val="24"/>
                <w:szCs w:val="20"/>
                <w:shd w:val="clear" w:color="auto" w:fill="FFFFFF"/>
                <w:lang w:eastAsia="zh-CN"/>
              </w:rPr>
              <w:t>、</w:t>
            </w:r>
            <w:r>
              <w:rPr>
                <w:rFonts w:hint="eastAsia" w:ascii="宋体" w:hAnsi="宋体" w:eastAsia="宋体" w:cs="宋体"/>
                <w:b/>
                <w:bCs/>
                <w:color w:val="auto"/>
                <w:kern w:val="0"/>
                <w:sz w:val="24"/>
                <w:szCs w:val="20"/>
                <w:shd w:val="clear" w:color="auto" w:fill="FFFFFF"/>
              </w:rPr>
              <w:t>控制软件</w:t>
            </w:r>
          </w:p>
          <w:p w14:paraId="7B911201">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1.</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符合GMP/GLP要求，数据管理采用database模式，支持OPC协议，产生数据可通过以太网连接传输</w:t>
            </w:r>
            <w:r>
              <w:rPr>
                <w:rFonts w:hint="eastAsia" w:ascii="宋体" w:hAnsi="宋体" w:eastAsia="宋体" w:cs="宋体"/>
                <w:color w:val="auto"/>
                <w:kern w:val="0"/>
                <w:sz w:val="24"/>
                <w:szCs w:val="20"/>
                <w:shd w:val="clear" w:color="auto" w:fill="FFFFFF"/>
                <w:lang w:eastAsia="zh-CN"/>
              </w:rPr>
              <w:t>；</w:t>
            </w:r>
          </w:p>
          <w:p w14:paraId="6FE13828">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2.</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软件具有系统管理、系统控制、方法编辑、结果评价功能</w:t>
            </w:r>
            <w:r>
              <w:rPr>
                <w:rFonts w:hint="eastAsia" w:ascii="宋体" w:hAnsi="宋体" w:eastAsia="宋体" w:cs="宋体"/>
                <w:color w:val="auto"/>
                <w:kern w:val="0"/>
                <w:sz w:val="24"/>
                <w:szCs w:val="20"/>
                <w:shd w:val="clear" w:color="auto" w:fill="FFFFFF"/>
                <w:lang w:eastAsia="zh-CN"/>
              </w:rPr>
              <w:t>；</w:t>
            </w:r>
          </w:p>
          <w:p w14:paraId="1B062609">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3.</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方法建立可直接调用模板，删除添加步骤，自行修改每一步的参数，同时支持TEXT指令进行个性化命令，如Watch命令、循环指令loop及其他更多高级命令（具有Scouting和method Queue功能）</w:t>
            </w:r>
            <w:r>
              <w:rPr>
                <w:rFonts w:hint="eastAsia" w:ascii="宋体" w:hAnsi="宋体" w:eastAsia="宋体" w:cs="宋体"/>
                <w:color w:val="auto"/>
                <w:kern w:val="0"/>
                <w:sz w:val="24"/>
                <w:szCs w:val="20"/>
                <w:shd w:val="clear" w:color="auto" w:fill="FFFFFF"/>
                <w:lang w:eastAsia="zh-CN"/>
              </w:rPr>
              <w:t>；</w:t>
            </w:r>
          </w:p>
          <w:p w14:paraId="25DB8869">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★4.</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远程监测：符合审计追踪要求，可实现移动设备平板、手机或计算机在局域网内通过浏览器查看一至多台设备的使用情况（如查看仪器报警信息、使用频率等），可</w:t>
            </w:r>
            <w:r>
              <w:rPr>
                <w:rFonts w:hint="eastAsia" w:ascii="宋体" w:hAnsi="宋体" w:eastAsia="宋体" w:cs="宋体"/>
                <w:color w:val="auto"/>
                <w:kern w:val="0"/>
                <w:sz w:val="24"/>
                <w:szCs w:val="20"/>
                <w:shd w:val="clear" w:color="auto" w:fill="FFFFFF"/>
                <w:lang w:val="en-US" w:eastAsia="zh-CN"/>
              </w:rPr>
              <w:t>至少</w:t>
            </w:r>
            <w:r>
              <w:rPr>
                <w:rFonts w:hint="eastAsia" w:ascii="宋体" w:hAnsi="宋体" w:eastAsia="宋体" w:cs="宋体"/>
                <w:color w:val="auto"/>
                <w:kern w:val="0"/>
                <w:sz w:val="24"/>
                <w:szCs w:val="20"/>
                <w:shd w:val="clear" w:color="auto" w:fill="FFFFFF"/>
              </w:rPr>
              <w:t>同时显示5条实时曲线和50个运行数据</w:t>
            </w:r>
            <w:r>
              <w:rPr>
                <w:rFonts w:hint="eastAsia" w:ascii="宋体" w:hAnsi="宋体" w:eastAsia="宋体" w:cs="宋体"/>
                <w:b/>
                <w:bCs/>
                <w:color w:val="auto"/>
                <w:kern w:val="0"/>
                <w:sz w:val="24"/>
                <w:szCs w:val="20"/>
                <w:shd w:val="clear" w:color="auto" w:fill="FFFFFF"/>
              </w:rPr>
              <w:t>（投标文件中提供</w:t>
            </w:r>
            <w:r>
              <w:rPr>
                <w:rFonts w:hint="eastAsia" w:ascii="宋体" w:hAnsi="宋体" w:eastAsia="宋体" w:cs="宋体"/>
                <w:b/>
                <w:bCs/>
                <w:color w:val="auto"/>
                <w:kern w:val="0"/>
                <w:sz w:val="24"/>
                <w:szCs w:val="20"/>
                <w:shd w:val="clear" w:color="auto" w:fill="FFFFFF"/>
                <w:lang w:val="en-US" w:eastAsia="zh-CN"/>
              </w:rPr>
              <w:t>证明材料</w:t>
            </w:r>
            <w:r>
              <w:rPr>
                <w:rFonts w:hint="eastAsia" w:ascii="宋体" w:hAnsi="宋体" w:eastAsia="宋体" w:cs="宋体"/>
                <w:b/>
                <w:bCs/>
                <w:color w:val="auto"/>
                <w:kern w:val="0"/>
                <w:sz w:val="24"/>
                <w:szCs w:val="20"/>
                <w:shd w:val="clear" w:color="auto" w:fill="FFFFFF"/>
              </w:rPr>
              <w:t>）</w:t>
            </w:r>
            <w:r>
              <w:rPr>
                <w:rFonts w:hint="eastAsia" w:ascii="宋体" w:hAnsi="宋体" w:eastAsia="宋体" w:cs="宋体"/>
                <w:color w:val="auto"/>
                <w:sz w:val="24"/>
                <w:szCs w:val="20"/>
                <w:lang w:eastAsia="zh-CN"/>
              </w:rPr>
              <w:t>；</w:t>
            </w:r>
          </w:p>
          <w:p w14:paraId="4863021A">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★5.</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远程控制：符合审计追踪要求，可实现使用移动设备平板、手机或计算机在局域网内通过浏览器远程控制设备，如进行手动命令操作、查看实验结果数据等</w:t>
            </w:r>
            <w:r>
              <w:rPr>
                <w:rFonts w:hint="eastAsia" w:ascii="宋体" w:hAnsi="宋体" w:eastAsia="宋体" w:cs="宋体"/>
                <w:b/>
                <w:bCs/>
                <w:color w:val="auto"/>
                <w:kern w:val="0"/>
                <w:sz w:val="24"/>
                <w:szCs w:val="20"/>
                <w:shd w:val="clear" w:color="auto" w:fill="FFFFFF"/>
              </w:rPr>
              <w:t>（投标文件中提供</w:t>
            </w:r>
            <w:r>
              <w:rPr>
                <w:rFonts w:hint="eastAsia" w:ascii="宋体" w:hAnsi="宋体" w:eastAsia="宋体" w:cs="宋体"/>
                <w:b/>
                <w:bCs/>
                <w:color w:val="auto"/>
                <w:kern w:val="0"/>
                <w:sz w:val="24"/>
                <w:szCs w:val="20"/>
                <w:shd w:val="clear" w:color="auto" w:fill="FFFFFF"/>
                <w:lang w:val="en-US" w:eastAsia="zh-CN"/>
              </w:rPr>
              <w:t>证明材料</w:t>
            </w:r>
            <w:r>
              <w:rPr>
                <w:rFonts w:hint="eastAsia" w:ascii="宋体" w:hAnsi="宋体" w:eastAsia="宋体" w:cs="宋体"/>
                <w:b/>
                <w:bCs/>
                <w:color w:val="auto"/>
                <w:kern w:val="0"/>
                <w:sz w:val="24"/>
                <w:szCs w:val="20"/>
                <w:shd w:val="clear" w:color="auto" w:fill="FFFFFF"/>
              </w:rPr>
              <w:t>）</w:t>
            </w:r>
            <w:r>
              <w:rPr>
                <w:rFonts w:hint="eastAsia" w:ascii="宋体" w:hAnsi="宋体" w:eastAsia="宋体" w:cs="宋体"/>
                <w:color w:val="auto"/>
                <w:sz w:val="24"/>
                <w:szCs w:val="20"/>
                <w:lang w:eastAsia="zh-CN"/>
              </w:rPr>
              <w:t>；</w:t>
            </w:r>
          </w:p>
          <w:p w14:paraId="6E9722B3">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lang w:val="en-US" w:eastAsia="zh-CN"/>
              </w:rPr>
              <w:t>6</w:t>
            </w:r>
            <w:r>
              <w:rPr>
                <w:rFonts w:hint="eastAsia" w:ascii="宋体" w:hAnsi="宋体" w:eastAsia="宋体" w:cs="宋体"/>
                <w:color w:val="auto"/>
                <w:kern w:val="0"/>
                <w:sz w:val="24"/>
                <w:szCs w:val="20"/>
                <w:shd w:val="clear" w:color="auto" w:fill="FFFFFF"/>
              </w:rPr>
              <w:t>.</w:t>
            </w:r>
            <w:r>
              <w:rPr>
                <w:rFonts w:hint="eastAsia" w:ascii="宋体" w:hAnsi="宋体" w:eastAsia="宋体" w:cs="宋体"/>
                <w:color w:val="auto"/>
                <w:kern w:val="0"/>
                <w:sz w:val="24"/>
                <w:szCs w:val="20"/>
                <w:shd w:val="clear" w:color="auto" w:fill="FFFFFF"/>
                <w:lang w:val="en-US" w:eastAsia="zh-CN"/>
              </w:rPr>
              <w:t xml:space="preserve"> 配套数据处理设备1台，配置不低于:不低于6核处理器/8G内存/硬盘容量256GB SSD+1TBHDD/21英寸高清显示屏。</w:t>
            </w:r>
          </w:p>
          <w:p w14:paraId="023709EA">
            <w:pPr>
              <w:keepNext w:val="0"/>
              <w:keepLines w:val="0"/>
              <w:pageBreakBefore w:val="0"/>
              <w:widowControl/>
              <w:numPr>
                <w:ilvl w:val="0"/>
                <w:numId w:val="0"/>
              </w:numPr>
              <w:wordWrap w:val="0"/>
              <w:overflowPunct/>
              <w:topLinePunct w:val="0"/>
              <w:bidi w:val="0"/>
              <w:spacing w:line="360" w:lineRule="auto"/>
              <w:rPr>
                <w:rFonts w:hint="eastAsia" w:ascii="宋体" w:hAnsi="宋体" w:eastAsia="宋体" w:cs="宋体"/>
                <w:b/>
                <w:bCs/>
                <w:color w:val="auto"/>
                <w:kern w:val="0"/>
                <w:sz w:val="24"/>
                <w:szCs w:val="20"/>
                <w:shd w:val="clear" w:color="auto" w:fill="FFFFFF"/>
                <w:lang w:val="en-US" w:eastAsia="zh-CN"/>
              </w:rPr>
            </w:pPr>
            <w:r>
              <w:rPr>
                <w:rFonts w:hint="eastAsia" w:ascii="宋体" w:hAnsi="宋体" w:eastAsia="宋体" w:cs="宋体"/>
                <w:b/>
                <w:bCs/>
                <w:color w:val="auto"/>
                <w:kern w:val="0"/>
                <w:sz w:val="24"/>
                <w:szCs w:val="20"/>
                <w:shd w:val="clear" w:color="auto" w:fill="FFFFFF"/>
                <w:lang w:val="en-US" w:eastAsia="zh-CN"/>
              </w:rPr>
              <w:t>六、配置要求</w:t>
            </w:r>
          </w:p>
          <w:p w14:paraId="2BA629EB">
            <w:pPr>
              <w:keepNext w:val="0"/>
              <w:keepLines w:val="0"/>
              <w:pageBreakBefore w:val="0"/>
              <w:widowControl/>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1.</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蛋白液相分析系统主机1台</w:t>
            </w:r>
            <w:r>
              <w:rPr>
                <w:rFonts w:hint="eastAsia" w:ascii="宋体" w:hAnsi="宋体" w:eastAsia="宋体" w:cs="宋体"/>
                <w:color w:val="auto"/>
                <w:kern w:val="0"/>
                <w:sz w:val="24"/>
                <w:szCs w:val="20"/>
                <w:shd w:val="clear" w:color="auto" w:fill="FFFFFF"/>
                <w:lang w:eastAsia="zh-CN"/>
              </w:rPr>
              <w:t>；</w:t>
            </w:r>
          </w:p>
          <w:p w14:paraId="78C3BEEA">
            <w:pPr>
              <w:keepNext w:val="0"/>
              <w:keepLines w:val="0"/>
              <w:pageBreakBefore w:val="0"/>
              <w:widowControl/>
              <w:wordWrap w:val="0"/>
              <w:overflowPunct/>
              <w:topLinePunct w:val="0"/>
              <w:bidi w:val="0"/>
              <w:spacing w:line="360" w:lineRule="auto"/>
              <w:rPr>
                <w:rFonts w:hint="eastAsia" w:ascii="宋体" w:hAnsi="宋体" w:eastAsia="宋体" w:cs="宋体"/>
                <w:color w:val="auto"/>
                <w:kern w:val="0"/>
                <w:sz w:val="24"/>
                <w:szCs w:val="20"/>
                <w:shd w:val="clear" w:color="auto" w:fill="FFFFFF"/>
                <w:lang w:val="en-US" w:eastAsia="zh-CN"/>
              </w:rPr>
            </w:pPr>
            <w:r>
              <w:rPr>
                <w:rFonts w:hint="eastAsia" w:ascii="宋体" w:hAnsi="宋体" w:eastAsia="宋体" w:cs="宋体"/>
                <w:color w:val="auto"/>
                <w:kern w:val="0"/>
                <w:sz w:val="24"/>
                <w:szCs w:val="20"/>
                <w:shd w:val="clear" w:color="auto" w:fill="FFFFFF"/>
              </w:rPr>
              <w:t>2.</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用户许可证1套</w:t>
            </w:r>
            <w:r>
              <w:rPr>
                <w:rFonts w:hint="eastAsia" w:ascii="宋体" w:hAnsi="宋体" w:eastAsia="宋体" w:cs="宋体"/>
                <w:color w:val="auto"/>
                <w:kern w:val="0"/>
                <w:sz w:val="24"/>
                <w:szCs w:val="20"/>
                <w:shd w:val="clear" w:color="auto" w:fill="FFFFFF"/>
                <w:lang w:eastAsia="zh-CN"/>
              </w:rPr>
              <w:t>；</w:t>
            </w:r>
          </w:p>
          <w:p w14:paraId="3620C510">
            <w:pPr>
              <w:keepNext w:val="0"/>
              <w:keepLines w:val="0"/>
              <w:pageBreakBefore w:val="0"/>
              <w:widowControl/>
              <w:wordWrap w:val="0"/>
              <w:overflowPunct/>
              <w:topLinePunct w:val="0"/>
              <w:bidi w:val="0"/>
              <w:spacing w:line="360" w:lineRule="auto"/>
              <w:rPr>
                <w:rFonts w:hint="eastAsia" w:ascii="宋体" w:hAnsi="宋体" w:eastAsia="宋体" w:cs="宋体"/>
                <w:color w:val="auto"/>
                <w:kern w:val="0"/>
                <w:sz w:val="24"/>
                <w:szCs w:val="20"/>
                <w:shd w:val="clear" w:color="auto" w:fill="FFFFFF"/>
                <w:lang w:eastAsia="zh-CN"/>
              </w:rPr>
            </w:pPr>
            <w:r>
              <w:rPr>
                <w:rFonts w:hint="eastAsia" w:ascii="宋体" w:hAnsi="宋体" w:eastAsia="宋体" w:cs="宋体"/>
                <w:color w:val="auto"/>
                <w:kern w:val="0"/>
                <w:sz w:val="24"/>
                <w:szCs w:val="20"/>
                <w:shd w:val="clear" w:color="auto" w:fill="FFFFFF"/>
              </w:rPr>
              <w:t>3.</w:t>
            </w:r>
            <w:r>
              <w:rPr>
                <w:rFonts w:hint="eastAsia" w:ascii="宋体" w:hAnsi="宋体" w:eastAsia="宋体" w:cs="宋体"/>
                <w:color w:val="auto"/>
                <w:kern w:val="0"/>
                <w:sz w:val="24"/>
                <w:szCs w:val="20"/>
                <w:shd w:val="clear" w:color="auto" w:fill="FFFFFF"/>
                <w:lang w:val="en-US" w:eastAsia="zh-CN"/>
              </w:rPr>
              <w:t xml:space="preserve"> </w:t>
            </w:r>
            <w:r>
              <w:rPr>
                <w:rFonts w:hint="eastAsia" w:ascii="宋体" w:hAnsi="宋体" w:eastAsia="宋体" w:cs="宋体"/>
                <w:color w:val="auto"/>
                <w:kern w:val="0"/>
                <w:sz w:val="24"/>
                <w:szCs w:val="20"/>
                <w:shd w:val="clear" w:color="auto" w:fill="FFFFFF"/>
              </w:rPr>
              <w:t>圆形收集器1套</w:t>
            </w:r>
            <w:r>
              <w:rPr>
                <w:rFonts w:hint="eastAsia" w:ascii="宋体" w:hAnsi="宋体" w:eastAsia="宋体" w:cs="宋体"/>
                <w:color w:val="auto"/>
                <w:kern w:val="0"/>
                <w:sz w:val="24"/>
                <w:szCs w:val="20"/>
                <w:shd w:val="clear" w:color="auto" w:fill="FFFFFF"/>
                <w:lang w:eastAsia="zh-CN"/>
              </w:rPr>
              <w:t>；</w:t>
            </w:r>
          </w:p>
          <w:p w14:paraId="3280BA29">
            <w:pPr>
              <w:keepNext w:val="0"/>
              <w:keepLines w:val="0"/>
              <w:pageBreakBefore w:val="0"/>
              <w:widowControl/>
              <w:numPr>
                <w:ilvl w:val="0"/>
                <w:numId w:val="0"/>
              </w:numPr>
              <w:wordWrap w:val="0"/>
              <w:overflowPunct/>
              <w:topLinePunct w:val="0"/>
              <w:bidi w:val="0"/>
              <w:spacing w:line="360" w:lineRule="auto"/>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0"/>
                <w:shd w:val="clear" w:color="auto" w:fill="FFFFFF"/>
                <w:lang w:val="en-US" w:eastAsia="zh-CN"/>
              </w:rPr>
              <w:t>4</w:t>
            </w:r>
            <w:r>
              <w:rPr>
                <w:rFonts w:hint="eastAsia" w:ascii="宋体" w:hAnsi="宋体" w:eastAsia="宋体" w:cs="宋体"/>
                <w:color w:val="auto"/>
                <w:kern w:val="0"/>
                <w:sz w:val="24"/>
                <w:szCs w:val="20"/>
                <w:shd w:val="clear" w:color="auto" w:fill="FFFFFF"/>
              </w:rPr>
              <w:t>.</w:t>
            </w:r>
            <w:r>
              <w:rPr>
                <w:rFonts w:hint="eastAsia" w:ascii="宋体" w:hAnsi="宋体" w:eastAsia="宋体" w:cs="宋体"/>
                <w:color w:val="auto"/>
                <w:kern w:val="0"/>
                <w:sz w:val="24"/>
                <w:szCs w:val="20"/>
                <w:shd w:val="clear" w:color="auto" w:fill="FFFFFF"/>
                <w:lang w:val="en-US" w:eastAsia="zh-CN"/>
              </w:rPr>
              <w:t xml:space="preserve"> 数据处理设备1台。</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4BF9173F">
            <w:pPr>
              <w:keepNext w:val="0"/>
              <w:keepLines w:val="0"/>
              <w:pageBreakBefore w:val="0"/>
              <w:kinsoku w:val="0"/>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1套</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740FD0A0">
            <w:pPr>
              <w:keepNext w:val="0"/>
              <w:keepLines w:val="0"/>
              <w:pageBreakBefore w:val="0"/>
              <w:wordWrap w:val="0"/>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686E1CA7">
            <w:pPr>
              <w:keepNext w:val="0"/>
              <w:keepLines w:val="0"/>
              <w:pageBreakBefore w:val="0"/>
              <w:wordWrap w:val="0"/>
              <w:overflowPunct/>
              <w:topLinePunct w:val="0"/>
              <w:bidi w:val="0"/>
              <w:spacing w:line="36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进口</w:t>
            </w:r>
          </w:p>
        </w:tc>
      </w:tr>
      <w:tr w14:paraId="19F0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6967ED8E">
            <w:pPr>
              <w:keepNext w:val="0"/>
              <w:keepLines w:val="0"/>
              <w:pageBreakBefore w:val="0"/>
              <w:kinsoku/>
              <w:wordWrap w:val="0"/>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254279F1">
            <w:pPr>
              <w:keepNext w:val="0"/>
              <w:keepLines w:val="0"/>
              <w:pageBreakBefore w:val="0"/>
              <w:wordWrap w:val="0"/>
              <w:overflowPunct/>
              <w:topLinePunct w:val="0"/>
              <w:bidi w:val="0"/>
              <w:spacing w:line="360" w:lineRule="auto"/>
              <w:jc w:val="center"/>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0"/>
                <w:sz w:val="24"/>
                <w:szCs w:val="20"/>
                <w:shd w:val="clear" w:color="auto" w:fill="FFFFFF"/>
              </w:rPr>
              <w:t>凝胶成像系统</w:t>
            </w:r>
          </w:p>
        </w:tc>
        <w:tc>
          <w:tcPr>
            <w:tcW w:w="2619" w:type="pct"/>
            <w:tcBorders>
              <w:top w:val="single" w:color="auto" w:sz="4" w:space="0"/>
              <w:left w:val="single" w:color="auto" w:sz="4" w:space="0"/>
              <w:bottom w:val="single" w:color="auto" w:sz="4" w:space="0"/>
              <w:right w:val="single" w:color="auto" w:sz="4" w:space="0"/>
            </w:tcBorders>
            <w:noWrap w:val="0"/>
            <w:vAlign w:val="top"/>
          </w:tcPr>
          <w:p w14:paraId="7323B98C">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检测通道：包括600 nm，700 nm、800 nm以及化学发光检测通道（</w:t>
            </w:r>
            <w:r>
              <w:rPr>
                <w:rFonts w:hint="eastAsia" w:ascii="宋体" w:hAnsi="宋体" w:eastAsia="宋体" w:cs="宋体"/>
                <w:b/>
                <w:bCs/>
                <w:color w:val="auto"/>
                <w:sz w:val="24"/>
                <w:szCs w:val="24"/>
                <w:lang w:val="en-US" w:eastAsia="zh-CN"/>
              </w:rPr>
              <w:t>投标文件中</w:t>
            </w:r>
            <w:r>
              <w:rPr>
                <w:rFonts w:hint="eastAsia" w:ascii="宋体" w:hAnsi="宋体" w:eastAsia="宋体" w:cs="宋体"/>
                <w:b/>
                <w:bCs/>
                <w:color w:val="auto"/>
                <w:sz w:val="24"/>
                <w:szCs w:val="24"/>
              </w:rPr>
              <w:t>提供彩页或官网截图核对参数，否则视为该参数不满足招标文件要求）</w:t>
            </w:r>
            <w:r>
              <w:rPr>
                <w:rFonts w:hint="eastAsia" w:ascii="宋体" w:hAnsi="宋体" w:eastAsia="宋体" w:cs="宋体"/>
                <w:b/>
                <w:bCs/>
                <w:color w:val="auto"/>
                <w:sz w:val="24"/>
                <w:szCs w:val="24"/>
                <w:lang w:eastAsia="zh-CN"/>
              </w:rPr>
              <w:t>；</w:t>
            </w:r>
          </w:p>
          <w:p w14:paraId="74378987">
            <w:pPr>
              <w:keepNext w:val="0"/>
              <w:keepLines w:val="0"/>
              <w:pageBreakBefore w:val="0"/>
              <w:numPr>
                <w:ilvl w:val="0"/>
                <w:numId w:val="1"/>
              </w:numPr>
              <w:wordWrap w:val="0"/>
              <w:overflowPunct/>
              <w:topLinePunct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CCD：制冷低噪音CCD </w:t>
            </w:r>
            <w:r>
              <w:rPr>
                <w:rFonts w:hint="eastAsia" w:ascii="宋体" w:hAnsi="宋体" w:eastAsia="宋体" w:cs="宋体"/>
                <w:color w:val="auto"/>
                <w:sz w:val="24"/>
                <w:szCs w:val="24"/>
                <w:lang w:eastAsia="zh-CN"/>
              </w:rPr>
              <w:t>；</w:t>
            </w:r>
          </w:p>
          <w:p w14:paraId="4EEB7637">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2.1 CCD冷却方式：至少可以使用热电冷却</w:t>
            </w:r>
            <w:r>
              <w:rPr>
                <w:rFonts w:hint="eastAsia" w:ascii="宋体" w:hAnsi="宋体" w:eastAsia="宋体" w:cs="宋体"/>
                <w:color w:val="auto"/>
                <w:sz w:val="24"/>
                <w:szCs w:val="24"/>
                <w:lang w:eastAsia="zh-CN"/>
              </w:rPr>
              <w:t>；</w:t>
            </w:r>
          </w:p>
          <w:p w14:paraId="43130CDE">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CCD比特深度：≥22bit</w:t>
            </w:r>
            <w:r>
              <w:rPr>
                <w:rFonts w:hint="eastAsia" w:ascii="宋体" w:hAnsi="宋体" w:eastAsia="宋体" w:cs="宋体"/>
                <w:color w:val="auto"/>
                <w:sz w:val="24"/>
                <w:szCs w:val="24"/>
                <w:lang w:eastAsia="zh-CN"/>
              </w:rPr>
              <w:t>；</w:t>
            </w:r>
          </w:p>
          <w:p w14:paraId="01DD4495">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光源：至少包含固态激光器和散射照明光源（</w:t>
            </w:r>
            <w:r>
              <w:rPr>
                <w:rFonts w:hint="eastAsia" w:ascii="宋体" w:hAnsi="宋体" w:eastAsia="宋体" w:cs="宋体"/>
                <w:b/>
                <w:bCs/>
                <w:color w:val="auto"/>
                <w:sz w:val="24"/>
                <w:szCs w:val="24"/>
                <w:lang w:val="en-US" w:eastAsia="zh-CN"/>
              </w:rPr>
              <w:t>投标文件中</w:t>
            </w:r>
            <w:r>
              <w:rPr>
                <w:rFonts w:hint="eastAsia" w:ascii="宋体" w:hAnsi="宋体" w:eastAsia="宋体" w:cs="宋体"/>
                <w:b/>
                <w:bCs/>
                <w:color w:val="auto"/>
                <w:sz w:val="24"/>
                <w:szCs w:val="24"/>
              </w:rPr>
              <w:t>提供彩页或官网截图核对参数，否则视为该参数不满足招标文件要求）</w:t>
            </w:r>
            <w:r>
              <w:rPr>
                <w:rFonts w:hint="eastAsia" w:ascii="宋体" w:hAnsi="宋体" w:eastAsia="宋体" w:cs="宋体"/>
                <w:b/>
                <w:bCs/>
                <w:color w:val="auto"/>
                <w:sz w:val="24"/>
                <w:szCs w:val="24"/>
                <w:lang w:eastAsia="zh-CN"/>
              </w:rPr>
              <w:t>；</w:t>
            </w:r>
          </w:p>
          <w:p w14:paraId="1F1402E0">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★3.1独立的波长特异性激光器：至少2根，至少包括波长685nm和785nm，双通道独立激发和检测（</w:t>
            </w:r>
            <w:r>
              <w:rPr>
                <w:rFonts w:hint="eastAsia" w:ascii="宋体" w:hAnsi="宋体" w:eastAsia="宋体" w:cs="宋体"/>
                <w:b/>
                <w:bCs/>
                <w:color w:val="auto"/>
                <w:sz w:val="24"/>
                <w:szCs w:val="24"/>
                <w:lang w:val="en-US" w:eastAsia="zh-CN"/>
              </w:rPr>
              <w:t>投标文件中</w:t>
            </w:r>
            <w:r>
              <w:rPr>
                <w:rFonts w:hint="eastAsia" w:ascii="宋体" w:hAnsi="宋体" w:eastAsia="宋体" w:cs="宋体"/>
                <w:b/>
                <w:bCs/>
                <w:color w:val="auto"/>
                <w:sz w:val="24"/>
                <w:szCs w:val="24"/>
              </w:rPr>
              <w:t>提供彩页或官网截图核对参数，否则视为该参数不满足招标文件要求）</w:t>
            </w:r>
            <w:r>
              <w:rPr>
                <w:rFonts w:hint="eastAsia" w:ascii="宋体" w:hAnsi="宋体" w:eastAsia="宋体" w:cs="宋体"/>
                <w:b/>
                <w:bCs/>
                <w:color w:val="auto"/>
                <w:sz w:val="24"/>
                <w:szCs w:val="24"/>
                <w:lang w:eastAsia="zh-CN"/>
              </w:rPr>
              <w:t>；</w:t>
            </w:r>
          </w:p>
          <w:p w14:paraId="47AE2757">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3.2激光器使用寿命：≥20,000个工作小时</w:t>
            </w:r>
            <w:r>
              <w:rPr>
                <w:rFonts w:hint="eastAsia" w:ascii="宋体" w:hAnsi="宋体" w:eastAsia="宋体" w:cs="宋体"/>
                <w:color w:val="auto"/>
                <w:sz w:val="24"/>
                <w:szCs w:val="24"/>
                <w:lang w:eastAsia="zh-CN"/>
              </w:rPr>
              <w:t>；</w:t>
            </w:r>
          </w:p>
          <w:p w14:paraId="472A2E0F">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3.3激光器强度调节方式：自动或手动调节</w:t>
            </w:r>
            <w:r>
              <w:rPr>
                <w:rFonts w:hint="eastAsia" w:ascii="宋体" w:hAnsi="宋体" w:eastAsia="宋体" w:cs="宋体"/>
                <w:color w:val="auto"/>
                <w:sz w:val="24"/>
                <w:szCs w:val="24"/>
                <w:lang w:eastAsia="zh-CN"/>
              </w:rPr>
              <w:t>；</w:t>
            </w:r>
          </w:p>
          <w:p w14:paraId="01F85DE8">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3.4散射照明光源波长：520nm</w:t>
            </w:r>
            <w:r>
              <w:rPr>
                <w:rFonts w:hint="eastAsia" w:ascii="宋体" w:hAnsi="宋体" w:eastAsia="宋体" w:cs="宋体"/>
                <w:color w:val="auto"/>
                <w:sz w:val="24"/>
                <w:szCs w:val="24"/>
                <w:lang w:eastAsia="zh-CN"/>
              </w:rPr>
              <w:t>；</w:t>
            </w:r>
          </w:p>
          <w:p w14:paraId="3730A9ED">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整个成像范围内照明均一性：CV值</w:t>
            </w:r>
            <w:r>
              <w:rPr>
                <w:rFonts w:hint="eastAsia" w:ascii="宋体" w:hAnsi="宋体" w:eastAsia="宋体" w:cs="宋体"/>
                <w:color w:val="auto"/>
                <w:szCs w:val="21"/>
              </w:rPr>
              <w:t>≤</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p>
          <w:p w14:paraId="1EF5F888">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数据采集方式：一次成像，无需进行多次曝光</w:t>
            </w:r>
            <w:r>
              <w:rPr>
                <w:rFonts w:hint="eastAsia" w:ascii="宋体" w:hAnsi="宋体" w:eastAsia="宋体" w:cs="宋体"/>
                <w:color w:val="auto"/>
                <w:sz w:val="24"/>
                <w:szCs w:val="24"/>
                <w:lang w:eastAsia="zh-CN"/>
              </w:rPr>
              <w:t>；</w:t>
            </w:r>
          </w:p>
          <w:p w14:paraId="76EB58F7">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成像分辨率：≤125μm</w:t>
            </w:r>
            <w:r>
              <w:rPr>
                <w:rFonts w:hint="eastAsia" w:ascii="宋体" w:hAnsi="宋体" w:eastAsia="宋体" w:cs="宋体"/>
                <w:color w:val="auto"/>
                <w:sz w:val="24"/>
                <w:szCs w:val="24"/>
                <w:lang w:eastAsia="zh-CN"/>
              </w:rPr>
              <w:t>；</w:t>
            </w:r>
          </w:p>
          <w:p w14:paraId="63C7BF27">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化学发光曝光时间：最长≥60min</w:t>
            </w:r>
            <w:r>
              <w:rPr>
                <w:rFonts w:hint="eastAsia" w:ascii="宋体" w:hAnsi="宋体" w:eastAsia="宋体" w:cs="宋体"/>
                <w:color w:val="auto"/>
                <w:sz w:val="24"/>
                <w:szCs w:val="24"/>
                <w:lang w:eastAsia="zh-CN"/>
              </w:rPr>
              <w:t>；</w:t>
            </w:r>
          </w:p>
          <w:p w14:paraId="11D7FD68">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聚焦方式：固定成像样品盘，自动聚焦，无需手动调节</w:t>
            </w:r>
            <w:r>
              <w:rPr>
                <w:rFonts w:hint="eastAsia" w:ascii="宋体" w:hAnsi="宋体" w:eastAsia="宋体" w:cs="宋体"/>
                <w:color w:val="auto"/>
                <w:sz w:val="24"/>
                <w:szCs w:val="24"/>
                <w:lang w:eastAsia="zh-CN"/>
              </w:rPr>
              <w:t>；</w:t>
            </w:r>
          </w:p>
          <w:p w14:paraId="7985CC53">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无需平场矫正或像素合并即可获得最佳图像</w:t>
            </w:r>
            <w:r>
              <w:rPr>
                <w:rFonts w:hint="eastAsia" w:ascii="宋体" w:hAnsi="宋体" w:eastAsia="宋体" w:cs="宋体"/>
                <w:color w:val="auto"/>
                <w:sz w:val="24"/>
                <w:szCs w:val="24"/>
                <w:lang w:eastAsia="zh-CN"/>
              </w:rPr>
              <w:t>；</w:t>
            </w:r>
          </w:p>
          <w:p w14:paraId="1619D69A">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灵敏度：灵敏度：≥1.2 pg（膜上蛋白），无需像素合并，即可获得最佳分辨率</w:t>
            </w:r>
            <w:r>
              <w:rPr>
                <w:rFonts w:hint="eastAsia" w:ascii="宋体" w:hAnsi="宋体" w:eastAsia="宋体" w:cs="宋体"/>
                <w:color w:val="auto"/>
                <w:sz w:val="24"/>
                <w:szCs w:val="24"/>
                <w:lang w:eastAsia="zh-CN"/>
              </w:rPr>
              <w:t>；</w:t>
            </w:r>
          </w:p>
          <w:p w14:paraId="0CCE7C3E">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双色近红外荧光成像：具有，且适用的染料至少包含IRDye 680、IRDye 800CW、DyLight 680、DyLight 800、Alexa Fluor 680、Qdots 705及Qdots 800等近红外荧光染料（</w:t>
            </w:r>
            <w:r>
              <w:rPr>
                <w:rFonts w:hint="eastAsia" w:ascii="宋体" w:hAnsi="宋体" w:eastAsia="宋体" w:cs="宋体"/>
                <w:b/>
                <w:bCs/>
                <w:color w:val="auto"/>
                <w:sz w:val="24"/>
                <w:szCs w:val="24"/>
                <w:lang w:val="en-US" w:eastAsia="zh-CN"/>
              </w:rPr>
              <w:t>投标文件中</w:t>
            </w:r>
            <w:r>
              <w:rPr>
                <w:rFonts w:hint="eastAsia" w:ascii="宋体" w:hAnsi="宋体" w:eastAsia="宋体" w:cs="宋体"/>
                <w:b/>
                <w:bCs/>
                <w:color w:val="auto"/>
                <w:sz w:val="24"/>
                <w:szCs w:val="24"/>
              </w:rPr>
              <w:t>提供彩页或官网截图核对参数，否则视为该参数不满足招标文件要求）</w:t>
            </w:r>
            <w:r>
              <w:rPr>
                <w:rFonts w:hint="eastAsia" w:ascii="宋体" w:hAnsi="宋体" w:eastAsia="宋体" w:cs="宋体"/>
                <w:b/>
                <w:bCs/>
                <w:color w:val="auto"/>
                <w:sz w:val="24"/>
                <w:szCs w:val="24"/>
                <w:lang w:eastAsia="zh-CN"/>
              </w:rPr>
              <w:t>；</w:t>
            </w:r>
          </w:p>
          <w:p w14:paraId="1FBA2EE8">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化学发光成像：具有，且兼容市面上所有的化学发光试剂盒</w:t>
            </w:r>
            <w:r>
              <w:rPr>
                <w:rFonts w:hint="eastAsia" w:ascii="宋体" w:hAnsi="宋体" w:eastAsia="宋体" w:cs="宋体"/>
                <w:color w:val="auto"/>
                <w:sz w:val="24"/>
                <w:szCs w:val="24"/>
                <w:lang w:eastAsia="zh-CN"/>
              </w:rPr>
              <w:t>；</w:t>
            </w:r>
          </w:p>
          <w:p w14:paraId="4632658D">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应用范围：蛋白质组学和基因组学相关应用，包括双色WesternBlot分析、In-Gel Western分析、化学发光western blot、考马斯亮蓝蛋白质凝胶成像、DNA 凝胶成像及分析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均一化方法：至少兼容总蛋白均一化、看家基因均一化等均一化方法</w:t>
            </w:r>
            <w:r>
              <w:rPr>
                <w:rFonts w:hint="eastAsia" w:ascii="宋体" w:hAnsi="宋体" w:eastAsia="宋体" w:cs="宋体"/>
                <w:color w:val="auto"/>
                <w:sz w:val="24"/>
                <w:szCs w:val="24"/>
                <w:lang w:eastAsia="zh-CN"/>
              </w:rPr>
              <w:t>；</w:t>
            </w:r>
          </w:p>
          <w:p w14:paraId="73A4A752">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DNA凝胶兼容染料：EB, SYBR green, SYBR safe, Nancy-520, Gelstar, GelGreen, GelRed和 Syto60等染色</w:t>
            </w:r>
            <w:r>
              <w:rPr>
                <w:rFonts w:hint="eastAsia" w:ascii="宋体" w:hAnsi="宋体" w:eastAsia="宋体" w:cs="宋体"/>
                <w:color w:val="auto"/>
                <w:sz w:val="24"/>
                <w:szCs w:val="24"/>
                <w:lang w:eastAsia="zh-CN"/>
              </w:rPr>
              <w:t>；</w:t>
            </w:r>
          </w:p>
          <w:p w14:paraId="4DBD5EC2">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DNA凝胶专用成像托盘：具有，避免仪器污染风险</w:t>
            </w:r>
            <w:r>
              <w:rPr>
                <w:rFonts w:hint="eastAsia" w:ascii="宋体" w:hAnsi="宋体" w:eastAsia="宋体" w:cs="宋体"/>
                <w:color w:val="auto"/>
                <w:sz w:val="24"/>
                <w:szCs w:val="24"/>
                <w:lang w:eastAsia="zh-CN"/>
              </w:rPr>
              <w:t>；</w:t>
            </w:r>
          </w:p>
          <w:p w14:paraId="4C87BAC8">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软件功能：</w:t>
            </w:r>
          </w:p>
          <w:p w14:paraId="05DB8E05">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17.1系统控制：包括图像采集、图像调整、定量分析、以及报告输出</w:t>
            </w:r>
            <w:r>
              <w:rPr>
                <w:rFonts w:hint="eastAsia" w:ascii="宋体" w:hAnsi="宋体" w:eastAsia="宋体" w:cs="宋体"/>
                <w:color w:val="auto"/>
                <w:sz w:val="24"/>
                <w:szCs w:val="24"/>
                <w:lang w:eastAsia="zh-CN"/>
              </w:rPr>
              <w:t>；</w:t>
            </w:r>
          </w:p>
          <w:p w14:paraId="0D82E599">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17.2操作系统：兼容Mac和Windows操作系统</w:t>
            </w:r>
            <w:r>
              <w:rPr>
                <w:rFonts w:hint="eastAsia" w:ascii="宋体" w:hAnsi="宋体" w:eastAsia="宋体" w:cs="宋体"/>
                <w:color w:val="auto"/>
                <w:sz w:val="24"/>
                <w:szCs w:val="24"/>
                <w:lang w:eastAsia="zh-CN"/>
              </w:rPr>
              <w:t>；</w:t>
            </w:r>
          </w:p>
          <w:p w14:paraId="5539D853">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17.3分析软件：能够进行抗体验证，自动计算分子量，自动化条带信号强度分析，自动使用总蛋白均一化，自动使用内参蛋白进行均一化</w:t>
            </w:r>
            <w:r>
              <w:rPr>
                <w:rFonts w:hint="eastAsia" w:ascii="宋体" w:hAnsi="宋体" w:eastAsia="宋体" w:cs="宋体"/>
                <w:color w:val="auto"/>
                <w:sz w:val="24"/>
                <w:szCs w:val="24"/>
                <w:lang w:eastAsia="zh-CN"/>
              </w:rPr>
              <w:t>；</w:t>
            </w:r>
          </w:p>
          <w:p w14:paraId="407FBC20">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17.4能够以峰图形式显示条带灰度，从而调整背景信号水平</w:t>
            </w:r>
            <w:r>
              <w:rPr>
                <w:rFonts w:hint="eastAsia" w:ascii="宋体" w:hAnsi="宋体" w:eastAsia="宋体" w:cs="宋体"/>
                <w:color w:val="auto"/>
                <w:sz w:val="24"/>
                <w:szCs w:val="24"/>
                <w:lang w:eastAsia="zh-CN"/>
              </w:rPr>
              <w:t>；</w:t>
            </w:r>
          </w:p>
          <w:p w14:paraId="4B431341">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17.5可在图像上添加形状，文字，颜色等注释</w:t>
            </w:r>
            <w:r>
              <w:rPr>
                <w:rFonts w:hint="eastAsia" w:ascii="宋体" w:hAnsi="宋体" w:eastAsia="宋体" w:cs="宋体"/>
                <w:color w:val="auto"/>
                <w:sz w:val="24"/>
                <w:szCs w:val="24"/>
                <w:lang w:eastAsia="zh-CN"/>
              </w:rPr>
              <w:t>；</w:t>
            </w:r>
          </w:p>
          <w:p w14:paraId="0CD986B2">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17.6能够以图形和图表形式输出数据</w:t>
            </w:r>
            <w:r>
              <w:rPr>
                <w:rFonts w:hint="eastAsia" w:ascii="宋体" w:hAnsi="宋体" w:eastAsia="宋体" w:cs="宋体"/>
                <w:color w:val="auto"/>
                <w:sz w:val="24"/>
                <w:szCs w:val="24"/>
                <w:lang w:eastAsia="zh-CN"/>
              </w:rPr>
              <w:t>；</w:t>
            </w:r>
          </w:p>
          <w:p w14:paraId="788FBFC9">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17.7数据输出方式：剪贴板输出、Excel表格式、PDF</w:t>
            </w:r>
            <w:r>
              <w:rPr>
                <w:rFonts w:hint="eastAsia" w:ascii="宋体" w:hAnsi="宋体" w:eastAsia="宋体" w:cs="宋体"/>
                <w:color w:val="auto"/>
                <w:sz w:val="24"/>
                <w:szCs w:val="24"/>
                <w:lang w:eastAsia="zh-CN"/>
              </w:rPr>
              <w:t>；</w:t>
            </w:r>
          </w:p>
          <w:p w14:paraId="1F903C4F">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17.8可以合并显示多张图像并分析</w:t>
            </w:r>
            <w:r>
              <w:rPr>
                <w:rFonts w:hint="eastAsia" w:ascii="宋体" w:hAnsi="宋体" w:eastAsia="宋体" w:cs="宋体"/>
                <w:color w:val="auto"/>
                <w:sz w:val="24"/>
                <w:szCs w:val="24"/>
                <w:lang w:eastAsia="zh-CN"/>
              </w:rPr>
              <w:t>；</w:t>
            </w:r>
          </w:p>
          <w:p w14:paraId="7FAC1782">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17.9可自定义实验报告的输出内容及格式</w:t>
            </w:r>
            <w:r>
              <w:rPr>
                <w:rFonts w:hint="eastAsia" w:ascii="宋体" w:hAnsi="宋体" w:eastAsia="宋体" w:cs="宋体"/>
                <w:color w:val="auto"/>
                <w:sz w:val="24"/>
                <w:szCs w:val="24"/>
                <w:lang w:eastAsia="zh-CN"/>
              </w:rPr>
              <w:t>；</w:t>
            </w:r>
          </w:p>
          <w:p w14:paraId="57979EF4">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17.10图像输出格式：TIF，JPEG，PNG等，完全满足期刊发表的要求</w:t>
            </w:r>
            <w:r>
              <w:rPr>
                <w:rFonts w:hint="eastAsia" w:ascii="宋体" w:hAnsi="宋体" w:eastAsia="宋体" w:cs="宋体"/>
                <w:color w:val="auto"/>
                <w:sz w:val="24"/>
                <w:szCs w:val="24"/>
                <w:lang w:eastAsia="zh-CN"/>
              </w:rPr>
              <w:t>；</w:t>
            </w:r>
          </w:p>
          <w:p w14:paraId="5AD31997">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17.11能够生成和自定义PDF的实验笔记</w:t>
            </w:r>
            <w:r>
              <w:rPr>
                <w:rFonts w:hint="eastAsia" w:ascii="宋体" w:hAnsi="宋体" w:eastAsia="宋体" w:cs="宋体"/>
                <w:color w:val="auto"/>
                <w:sz w:val="24"/>
                <w:szCs w:val="24"/>
                <w:lang w:eastAsia="zh-CN"/>
              </w:rPr>
              <w:t>；</w:t>
            </w:r>
          </w:p>
          <w:p w14:paraId="263932BD">
            <w:pPr>
              <w:keepNext w:val="0"/>
              <w:keepLines w:val="0"/>
              <w:pageBreakBefore w:val="0"/>
              <w:wordWrap w:val="0"/>
              <w:overflowPunct/>
              <w:topLinePunct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17.12可兼容其他来源的图像分析</w:t>
            </w:r>
            <w:r>
              <w:rPr>
                <w:rFonts w:hint="eastAsia" w:ascii="宋体" w:hAnsi="宋体" w:eastAsia="宋体" w:cs="宋体"/>
                <w:color w:val="auto"/>
                <w:sz w:val="24"/>
                <w:szCs w:val="24"/>
                <w:lang w:eastAsia="zh-CN"/>
              </w:rPr>
              <w:t>；</w:t>
            </w:r>
          </w:p>
          <w:p w14:paraId="4B616DF1">
            <w:pPr>
              <w:keepNext w:val="0"/>
              <w:keepLines w:val="0"/>
              <w:pageBreakBefore w:val="0"/>
              <w:wordWrap w:val="0"/>
              <w:overflowPunct/>
              <w:topLinePunct w:val="0"/>
              <w:bidi w:val="0"/>
              <w:spacing w:line="360" w:lineRule="auto"/>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具有不少于7种</w:t>
            </w:r>
            <w:r>
              <w:rPr>
                <w:rFonts w:hint="eastAsia" w:ascii="宋体" w:hAnsi="宋体" w:eastAsia="宋体" w:cs="宋体"/>
                <w:color w:val="auto"/>
                <w:sz w:val="24"/>
                <w:szCs w:val="24"/>
                <w:lang w:val="en-US" w:eastAsia="zh-CN"/>
              </w:rPr>
              <w:t>不少于</w:t>
            </w:r>
            <w:r>
              <w:rPr>
                <w:rFonts w:hint="eastAsia" w:ascii="宋体" w:hAnsi="宋体" w:eastAsia="宋体" w:cs="宋体"/>
                <w:color w:val="auto"/>
                <w:sz w:val="24"/>
                <w:szCs w:val="24"/>
              </w:rPr>
              <w:t>符合杂志文章发表要求的protocol和免费网络学习平台。</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41EC9DA5">
            <w:pPr>
              <w:keepNext w:val="0"/>
              <w:keepLines w:val="0"/>
              <w:pageBreakBefore w:val="0"/>
              <w:kinsoku w:val="0"/>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1套</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3F0BA322">
            <w:pPr>
              <w:keepNext w:val="0"/>
              <w:keepLines w:val="0"/>
              <w:pageBreakBefore w:val="0"/>
              <w:wordWrap w:val="0"/>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5AE773C9">
            <w:pPr>
              <w:keepNext w:val="0"/>
              <w:keepLines w:val="0"/>
              <w:pageBreakBefore w:val="0"/>
              <w:wordWrap w:val="0"/>
              <w:overflowPunct/>
              <w:topLinePunct w:val="0"/>
              <w:bidi w:val="0"/>
              <w:spacing w:line="36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进口</w:t>
            </w:r>
          </w:p>
        </w:tc>
      </w:tr>
      <w:tr w14:paraId="4BF9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53AEAB61">
            <w:pPr>
              <w:keepNext w:val="0"/>
              <w:keepLines w:val="0"/>
              <w:pageBreakBefore w:val="0"/>
              <w:kinsoku/>
              <w:wordWrap w:val="0"/>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3B857FB">
            <w:pPr>
              <w:keepNext w:val="0"/>
              <w:keepLines w:val="0"/>
              <w:pageBreakBefore w:val="0"/>
              <w:wordWrap w:val="0"/>
              <w:overflowPunct/>
              <w:topLinePunct w:val="0"/>
              <w:bidi w:val="0"/>
              <w:spacing w:line="360" w:lineRule="auto"/>
              <w:jc w:val="center"/>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0"/>
              </w:rPr>
              <w:t>小动物荧光成像系统</w:t>
            </w:r>
          </w:p>
        </w:tc>
        <w:tc>
          <w:tcPr>
            <w:tcW w:w="2619" w:type="pct"/>
            <w:tcBorders>
              <w:top w:val="single" w:color="auto" w:sz="4" w:space="0"/>
              <w:left w:val="single" w:color="auto" w:sz="4" w:space="0"/>
              <w:bottom w:val="single" w:color="auto" w:sz="4" w:space="0"/>
              <w:right w:val="single" w:color="auto" w:sz="4" w:space="0"/>
            </w:tcBorders>
            <w:noWrap w:val="0"/>
            <w:vAlign w:val="top"/>
          </w:tcPr>
          <w:p w14:paraId="12541316">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★1.采用顶置式背照射、背部薄化一级CCD，工作温度达到零下绝对-90℃，CCD温度能够在软件上实时监测，便于可视化应用</w:t>
            </w:r>
            <w:r>
              <w:rPr>
                <w:rFonts w:hint="eastAsia" w:ascii="宋体" w:hAnsi="宋体" w:eastAsia="宋体" w:cs="宋体"/>
                <w:b/>
                <w:bCs/>
                <w:color w:val="auto"/>
                <w:kern w:val="2"/>
                <w:sz w:val="24"/>
                <w:szCs w:val="24"/>
                <w:lang w:val="en-US" w:eastAsia="zh-CN" w:bidi="ar-SA"/>
              </w:rPr>
              <w:t>（投标文件中需提供温度可视化证明材料）</w:t>
            </w:r>
            <w:r>
              <w:rPr>
                <w:rFonts w:hint="eastAsia" w:ascii="宋体" w:hAnsi="宋体" w:eastAsia="宋体" w:cs="宋体"/>
                <w:color w:val="auto"/>
                <w:kern w:val="2"/>
                <w:sz w:val="24"/>
                <w:szCs w:val="24"/>
                <w:lang w:val="en-US" w:eastAsia="zh-CN" w:bidi="ar-SA"/>
              </w:rPr>
              <w:t xml:space="preserve">； </w:t>
            </w:r>
          </w:p>
          <w:p w14:paraId="4B0BC142">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2.CCD相机芯片尺寸≥1.3cm × 1.3cm，有效像素数量≥1000 × 1000，量子效率≥85%（500-700nm）；</w:t>
            </w:r>
          </w:p>
          <w:p w14:paraId="00D997F6">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3.50 mm焦距定焦镜头，最大光圈不低于f/0.95；</w:t>
            </w:r>
          </w:p>
          <w:p w14:paraId="6DEC40CD">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★4.检测灵敏度：可检测小鼠皮下不高于50个生物发光细胞（</w:t>
            </w:r>
            <w:r>
              <w:rPr>
                <w:rFonts w:hint="eastAsia" w:ascii="宋体" w:hAnsi="宋体" w:eastAsia="宋体" w:cs="宋体"/>
                <w:b/>
                <w:bCs/>
                <w:color w:val="auto"/>
                <w:kern w:val="0"/>
                <w:sz w:val="24"/>
                <w:szCs w:val="24"/>
                <w:shd w:val="clear" w:color="auto" w:fill="FFFFFF"/>
                <w:lang w:val="en-US" w:eastAsia="zh-CN" w:bidi="ar-SA"/>
              </w:rPr>
              <w:t>投标文件中提供证明材料</w:t>
            </w:r>
            <w:r>
              <w:rPr>
                <w:rFonts w:hint="eastAsia" w:ascii="宋体" w:hAnsi="宋体" w:eastAsia="宋体" w:cs="宋体"/>
                <w:color w:val="auto"/>
                <w:kern w:val="2"/>
                <w:sz w:val="24"/>
                <w:szCs w:val="24"/>
                <w:lang w:val="en-US" w:eastAsia="zh-CN" w:bidi="ar-SA"/>
              </w:rPr>
              <w:t>）；</w:t>
            </w:r>
          </w:p>
          <w:p w14:paraId="084246C3">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★5.荧光光源：近红外增强型金属卤素灯，可提供全波段连续光谱，波长范围不低于400-1000nm</w:t>
            </w:r>
            <w:r>
              <w:rPr>
                <w:rFonts w:hint="eastAsia" w:ascii="宋体" w:hAnsi="宋体" w:eastAsia="宋体" w:cs="宋体"/>
                <w:b/>
                <w:bCs/>
                <w:color w:val="auto"/>
                <w:kern w:val="0"/>
                <w:sz w:val="24"/>
                <w:szCs w:val="24"/>
                <w:shd w:val="clear" w:color="auto" w:fill="FFFFFF"/>
                <w:lang w:val="en-US" w:eastAsia="zh-CN" w:bidi="ar-SA"/>
              </w:rPr>
              <w:t>（投标文件中提供证明材料）</w:t>
            </w:r>
            <w:r>
              <w:rPr>
                <w:rFonts w:hint="eastAsia" w:ascii="宋体" w:hAnsi="宋体" w:eastAsia="宋体" w:cs="宋体"/>
                <w:color w:val="auto"/>
                <w:kern w:val="2"/>
                <w:sz w:val="24"/>
                <w:szCs w:val="24"/>
                <w:lang w:val="en-US" w:eastAsia="zh-CN" w:bidi="ar-SA"/>
              </w:rPr>
              <w:t>；</w:t>
            </w:r>
          </w:p>
          <w:p w14:paraId="020EBE27">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★6.单个荧光光源功率不低于120W； </w:t>
            </w:r>
          </w:p>
          <w:p w14:paraId="2AED5175">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★7.激发光滤片转轮可同时装载不低于10个滤片，配置滤片数量不少于9个；</w:t>
            </w:r>
          </w:p>
          <w:p w14:paraId="4319D8EE">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8.发射光滤片转轮可同时装载不低于4个滤片，配置滤片数量不少于4个；</w:t>
            </w:r>
          </w:p>
          <w:p w14:paraId="22C1FBD6">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9.成像视野范围可调，范围至少包括5×5cm-12.5×12.5cm； </w:t>
            </w:r>
          </w:p>
          <w:p w14:paraId="31E419B6">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10.动物载物台温度可控（20-40℃），且即时温度可通过软件显示； </w:t>
            </w:r>
          </w:p>
          <w:p w14:paraId="73785483">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11.配备软件包含图像获取及数据分析模块，具备成像参数设置向导，可通过软件设置自动顺序成像、时间序列成像、多通道成像、生物发光和荧光多模式顺序成像等功能；</w:t>
            </w:r>
          </w:p>
          <w:p w14:paraId="11CEAEF2">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★12.具备圆形、矩形、轮廓线、不同规格微孔板等多种ROI圈选定量模式，用于信号的定量分析，采用国际公认的定量标准，以动物体表单位时间、单位面积、单位弧度发出的光子数作为定量单位</w:t>
            </w:r>
            <w:r>
              <w:rPr>
                <w:rFonts w:hint="eastAsia" w:ascii="宋体" w:hAnsi="宋体" w:eastAsia="宋体" w:cs="宋体"/>
                <w:b/>
                <w:bCs/>
                <w:color w:val="auto"/>
                <w:kern w:val="2"/>
                <w:sz w:val="24"/>
                <w:szCs w:val="24"/>
                <w:lang w:val="en-US" w:eastAsia="zh-CN" w:bidi="ar-SA"/>
              </w:rPr>
              <w:t>（投标文件中提供证明材料）</w:t>
            </w:r>
            <w:r>
              <w:rPr>
                <w:rFonts w:hint="eastAsia" w:ascii="宋体" w:hAnsi="宋体" w:eastAsia="宋体" w:cs="宋体"/>
                <w:color w:val="auto"/>
                <w:kern w:val="2"/>
                <w:sz w:val="24"/>
                <w:szCs w:val="24"/>
                <w:lang w:val="en-US" w:eastAsia="zh-CN" w:bidi="ar-SA"/>
              </w:rPr>
              <w:t>；</w:t>
            </w:r>
          </w:p>
          <w:p w14:paraId="27DC6E25">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13.荧光定量采用以动物体表单位时间、单位面积、单位弧度、激发光强度发出的光子数；</w:t>
            </w:r>
          </w:p>
          <w:p w14:paraId="6DFFA121">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14.具有细胞发光曲线测定功能，软件可以根据孔板成像数据，自动计算细胞的发光曲线及单细胞发光强度；</w:t>
            </w:r>
          </w:p>
          <w:p w14:paraId="3D1B829B">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15.不同系统的感光能力一致；</w:t>
            </w:r>
          </w:p>
          <w:p w14:paraId="3639557C">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16.为确保仪器成像仓的避光性，成像仓需使用高反射率半球进行严格的成像测试；</w:t>
            </w:r>
          </w:p>
          <w:p w14:paraId="4B84B163">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kern w:val="2"/>
                <w:sz w:val="24"/>
                <w:szCs w:val="24"/>
                <w:lang w:val="en-US" w:eastAsia="zh-CN" w:bidi="ar-SA"/>
              </w:rPr>
              <w:t>★17.成像仓内标准的气体麻醉管道，可以插入挡光隔板，进行不同小鼠的间隔。配备≥5个以上的挡光板</w:t>
            </w:r>
            <w:r>
              <w:rPr>
                <w:rFonts w:hint="eastAsia" w:ascii="宋体" w:hAnsi="宋体" w:eastAsia="宋体" w:cs="宋体"/>
                <w:b/>
                <w:bCs/>
                <w:color w:val="auto"/>
                <w:kern w:val="0"/>
                <w:sz w:val="24"/>
                <w:szCs w:val="24"/>
                <w:shd w:val="clear" w:color="auto" w:fill="FFFFFF"/>
                <w:lang w:val="en-US" w:eastAsia="zh-CN" w:bidi="ar-SA"/>
              </w:rPr>
              <w:t>（投标文件中提供证明材料）</w:t>
            </w:r>
            <w:r>
              <w:rPr>
                <w:rFonts w:hint="eastAsia" w:ascii="宋体" w:hAnsi="宋体" w:eastAsia="宋体" w:cs="宋体"/>
                <w:color w:val="auto"/>
                <w:kern w:val="2"/>
                <w:sz w:val="24"/>
                <w:szCs w:val="24"/>
                <w:lang w:val="en-US" w:eastAsia="zh-CN" w:bidi="ar-SA"/>
              </w:rPr>
              <w:t>；</w:t>
            </w:r>
          </w:p>
          <w:p w14:paraId="598439C8">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18.智能屏系统:</w:t>
            </w:r>
            <w:r>
              <w:rPr>
                <w:rFonts w:hint="eastAsia" w:ascii="宋体" w:hAnsi="宋体" w:eastAsia="宋体" w:cs="宋体"/>
                <w:b/>
                <w:bCs/>
                <w:color w:val="auto"/>
                <w:kern w:val="2"/>
                <w:sz w:val="24"/>
                <w:szCs w:val="24"/>
                <w:lang w:val="en-US" w:eastAsia="zh-CN" w:bidi="ar-SA"/>
              </w:rPr>
              <w:t>（投标文件需提供证明材料佐证）</w:t>
            </w:r>
            <w:r>
              <w:rPr>
                <w:rFonts w:hint="eastAsia" w:ascii="宋体" w:hAnsi="宋体" w:eastAsia="宋体" w:cs="宋体"/>
                <w:color w:val="auto"/>
                <w:kern w:val="2"/>
                <w:sz w:val="24"/>
                <w:szCs w:val="24"/>
                <w:lang w:val="en-US" w:eastAsia="zh-CN" w:bidi="ar-SA"/>
              </w:rPr>
              <w:t>；</w:t>
            </w:r>
          </w:p>
          <w:p w14:paraId="61A187A0">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18.1可与实验室信息管理系统设备管理数据互联互通，实现仪器设备状态、期间核查、维护保养、鉴定校准等信息变更与智能屏实时智能同步，包括智能屏标识、MAC地址、型号、位置、状态、描述等信息。支持对智能屏状态的自动发现更新和手工更新，可对智能屏显示样式和内容进行定制设计，模板设计支持背景的色块配置；</w:t>
            </w:r>
          </w:p>
          <w:p w14:paraId="0C7B84D3">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18.2电子显示技术，无频闪，无蓝光，不伤眼，低功耗；WIFI 2.4G/蓝牙模式（蓝牙5.0传输协议）；2.4G网络覆盖，接收功率-85dBm/半径15m的圆内；7彩色显示屏≥4英寸，分辨率：≥640*400，可视角度＞170°。</w:t>
            </w:r>
          </w:p>
          <w:p w14:paraId="66C89189">
            <w:pPr>
              <w:keepNext w:val="0"/>
              <w:keepLines w:val="0"/>
              <w:pageBreakBefore w:val="0"/>
              <w:wordWrap w:val="0"/>
              <w:overflowPunct/>
              <w:topLinePunct w:val="0"/>
              <w:bidi w:val="0"/>
              <w:spacing w:line="360" w:lineRule="auto"/>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20</w:t>
            </w:r>
            <w:r>
              <w:rPr>
                <w:rFonts w:hint="eastAsia" w:ascii="宋体" w:hAnsi="宋体" w:eastAsia="宋体" w:cs="宋体"/>
                <w:b/>
                <w:bCs/>
                <w:color w:val="auto"/>
                <w:sz w:val="24"/>
                <w:szCs w:val="24"/>
              </w:rPr>
              <w:t>.配置</w:t>
            </w:r>
            <w:r>
              <w:rPr>
                <w:rFonts w:hint="eastAsia" w:ascii="宋体" w:hAnsi="宋体" w:eastAsia="宋体" w:cs="宋体"/>
                <w:b/>
                <w:bCs/>
                <w:color w:val="auto"/>
                <w:sz w:val="24"/>
                <w:szCs w:val="24"/>
                <w:lang w:val="en-US" w:eastAsia="zh-CN"/>
              </w:rPr>
              <w:t>要求：</w:t>
            </w:r>
          </w:p>
          <w:p w14:paraId="24A1BF96">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1.成像仪主机1套；</w:t>
            </w:r>
          </w:p>
          <w:p w14:paraId="56A2A751">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2.数据处理工作站1台，其中操作系统为Windows 10、核心处理器为 2GB或以上、内存容量不低于32GB、硬盘容量不低于2T；</w:t>
            </w:r>
          </w:p>
          <w:p w14:paraId="51ADFA1C">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3.图像获取软件1套；</w:t>
            </w:r>
          </w:p>
          <w:p w14:paraId="1576D5E8">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4.分析软件4套；</w:t>
            </w:r>
          </w:p>
          <w:p w14:paraId="4BCCE740">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5.麻醉机1台；</w:t>
            </w:r>
          </w:p>
          <w:p w14:paraId="7C57E692">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6.智能屏系统1套；</w:t>
            </w:r>
          </w:p>
          <w:p w14:paraId="44724A62">
            <w:pPr>
              <w:keepNext w:val="0"/>
              <w:keepLines w:val="0"/>
              <w:pageBreakBefore w:val="0"/>
              <w:widowControl w:val="0"/>
              <w:numPr>
                <w:ilvl w:val="0"/>
                <w:numId w:val="0"/>
              </w:numPr>
              <w:wordWrap w:val="0"/>
              <w:overflowPunct/>
              <w:topLinePunct w:val="0"/>
              <w:bidi w:val="0"/>
              <w:spacing w:line="360" w:lineRule="auto"/>
              <w:ind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7.UPS电源1台；</w:t>
            </w:r>
          </w:p>
          <w:p w14:paraId="36881D3E">
            <w:pPr>
              <w:keepNext w:val="0"/>
              <w:keepLines w:val="0"/>
              <w:pageBreakBefore w:val="0"/>
              <w:widowControl w:val="0"/>
              <w:numPr>
                <w:ilvl w:val="0"/>
                <w:numId w:val="0"/>
              </w:numPr>
              <w:wordWrap w:val="0"/>
              <w:overflowPunct/>
              <w:topLinePunct w:val="0"/>
              <w:bidi w:val="0"/>
              <w:spacing w:line="360" w:lineRule="auto"/>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8.除湿机1台。</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56DC984D">
            <w:pPr>
              <w:keepNext w:val="0"/>
              <w:keepLines w:val="0"/>
              <w:pageBreakBefore w:val="0"/>
              <w:kinsoku w:val="0"/>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1套</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750F8487">
            <w:pPr>
              <w:keepNext w:val="0"/>
              <w:keepLines w:val="0"/>
              <w:pageBreakBefore w:val="0"/>
              <w:wordWrap w:val="0"/>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55EC339E">
            <w:pPr>
              <w:keepNext w:val="0"/>
              <w:keepLines w:val="0"/>
              <w:pageBreakBefore w:val="0"/>
              <w:wordWrap w:val="0"/>
              <w:overflowPunct/>
              <w:topLinePunct w:val="0"/>
              <w:bidi w:val="0"/>
              <w:spacing w:line="36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进口</w:t>
            </w:r>
          </w:p>
        </w:tc>
      </w:tr>
    </w:tbl>
    <w:p w14:paraId="3F80585D">
      <w:pPr>
        <w:pageBreakBefore w:val="0"/>
        <w:wordWrap w:val="0"/>
        <w:overflowPunct/>
        <w:topLinePunct w:val="0"/>
        <w:bidi w:val="0"/>
        <w:rPr>
          <w:rFonts w:ascii="Calibri" w:hAnsi="Calibri" w:eastAsia="宋体" w:cs="Times New Roman"/>
          <w:color w:val="auto"/>
          <w:szCs w:val="24"/>
          <w:highlight w:val="none"/>
        </w:rPr>
      </w:pPr>
    </w:p>
    <w:p w14:paraId="189A6D0C">
      <w:pPr>
        <w:pageBreakBefore w:val="0"/>
        <w:widowControl w:val="0"/>
        <w:wordWrap w:val="0"/>
        <w:overflowPunct/>
        <w:topLinePunct w:val="0"/>
        <w:bidi w:val="0"/>
        <w:spacing w:before="156" w:beforeLines="50" w:after="156" w:afterLines="50"/>
        <w:ind w:left="0" w:firstLine="640" w:firstLineChars="200"/>
        <w:jc w:val="both"/>
        <w:rPr>
          <w:rFonts w:hint="eastAsia" w:ascii="Times New Roman" w:hAnsi="@仿宋_GB2312" w:eastAsia="黑体" w:cs="Times New Roman"/>
          <w:color w:val="auto"/>
          <w:kern w:val="2"/>
          <w:sz w:val="32"/>
          <w:szCs w:val="20"/>
          <w:highlight w:val="none"/>
          <w:lang w:val="en-US" w:eastAsia="zh-CN" w:bidi="ar-SA"/>
        </w:rPr>
      </w:pPr>
      <w:bookmarkStart w:id="25" w:name="_Toc1814319857"/>
      <w:bookmarkStart w:id="26" w:name="_Toc1101062245"/>
      <w:bookmarkStart w:id="27" w:name="_Toc49042126"/>
      <w:bookmarkStart w:id="28" w:name="_Toc1061105159_WPSOffice_Level2"/>
      <w:bookmarkStart w:id="29" w:name="_Toc1900587714"/>
      <w:bookmarkStart w:id="30" w:name="_Toc13384869"/>
      <w:bookmarkStart w:id="31" w:name="_Toc1520309192"/>
      <w:bookmarkStart w:id="32" w:name="_Toc902728931"/>
      <w:r>
        <w:rPr>
          <w:rFonts w:hint="eastAsia" w:ascii="Times New Roman" w:hAnsi="@仿宋_GB2312" w:eastAsia="黑体" w:cs="Times New Roman"/>
          <w:color w:val="auto"/>
          <w:kern w:val="2"/>
          <w:sz w:val="32"/>
          <w:szCs w:val="20"/>
          <w:highlight w:val="none"/>
          <w:lang w:val="en-US" w:eastAsia="zh-CN" w:bidi="ar-SA"/>
        </w:rPr>
        <w:t>三、报价要求</w:t>
      </w:r>
      <w:bookmarkEnd w:id="25"/>
      <w:bookmarkEnd w:id="26"/>
      <w:bookmarkEnd w:id="27"/>
      <w:bookmarkEnd w:id="28"/>
      <w:bookmarkEnd w:id="29"/>
      <w:bookmarkEnd w:id="30"/>
      <w:bookmarkEnd w:id="31"/>
      <w:bookmarkEnd w:id="32"/>
    </w:p>
    <w:p w14:paraId="2B100C60">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本项目报总价，投标报价</w:t>
      </w:r>
      <w:r>
        <w:rPr>
          <w:rFonts w:ascii="宋体" w:hAnsi="宋体" w:eastAsia="宋体" w:cs="宋体"/>
          <w:color w:val="auto"/>
          <w:sz w:val="24"/>
          <w:szCs w:val="18"/>
          <w:highlight w:val="none"/>
        </w:rPr>
        <w:t>包括</w:t>
      </w:r>
      <w:r>
        <w:rPr>
          <w:rFonts w:hint="eastAsia" w:ascii="宋体" w:hAnsi="宋体" w:eastAsia="宋体" w:cs="宋体"/>
          <w:color w:val="auto"/>
          <w:sz w:val="24"/>
          <w:szCs w:val="18"/>
          <w:highlight w:val="none"/>
        </w:rPr>
        <w:t>本项目需求的全部货物及所需附件购置费、包装费、运输费、人工费、保险费、安装调试费、各种税费、资料费、售后服务费及完成项目应有的全部费用。</w:t>
      </w:r>
    </w:p>
    <w:p w14:paraId="285BCEAC">
      <w:pPr>
        <w:keepNext/>
        <w:keepLines/>
        <w:pageBreakBefore w:val="0"/>
        <w:widowControl w:val="0"/>
        <w:wordWrap w:val="0"/>
        <w:overflowPunct/>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r>
        <w:rPr>
          <w:rFonts w:ascii="Arial" w:hAnsi="Arial" w:eastAsia="黑体" w:cs="Times New Roman"/>
          <w:bCs/>
          <w:color w:val="auto"/>
          <w:kern w:val="0"/>
          <w:sz w:val="28"/>
          <w:szCs w:val="32"/>
          <w:highlight w:val="none"/>
          <w:lang w:val="en-US" w:eastAsia="zh-CN" w:bidi="ar-SA"/>
        </w:rPr>
        <w:t>四、备品备件及专用工具</w:t>
      </w:r>
    </w:p>
    <w:p w14:paraId="6335FDF4">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bookmarkStart w:id="33" w:name="_Toc445554752"/>
      <w:bookmarkStart w:id="34" w:name="_Toc455587277"/>
      <w:bookmarkStart w:id="35" w:name="_Toc455587093"/>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备品备件：中标人提供能够满足质量保证期内的设备维修要求的备品备件，备品备件应是新品。</w:t>
      </w:r>
    </w:p>
    <w:p w14:paraId="2491AECE">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专用工具：中标人提供设备安装、调试、验收、维修、保养所必要的专用工具、仪器、仪表等工具。</w:t>
      </w:r>
    </w:p>
    <w:bookmarkEnd w:id="33"/>
    <w:bookmarkEnd w:id="34"/>
    <w:bookmarkEnd w:id="35"/>
    <w:p w14:paraId="0E42D8B9">
      <w:pPr>
        <w:keepNext/>
        <w:keepLines/>
        <w:pageBreakBefore w:val="0"/>
        <w:widowControl w:val="0"/>
        <w:wordWrap w:val="0"/>
        <w:overflowPunct/>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36" w:name="_Toc532199625"/>
      <w:bookmarkStart w:id="37" w:name="_Toc455587094"/>
      <w:bookmarkStart w:id="38" w:name="_Toc445554753"/>
      <w:bookmarkStart w:id="39" w:name="_Toc455587278"/>
      <w:r>
        <w:rPr>
          <w:rFonts w:hint="eastAsia" w:ascii="Arial" w:hAnsi="Arial" w:eastAsia="黑体" w:cs="Times New Roman"/>
          <w:bCs/>
          <w:color w:val="auto"/>
          <w:kern w:val="0"/>
          <w:sz w:val="28"/>
          <w:szCs w:val="32"/>
          <w:highlight w:val="none"/>
          <w:lang w:val="en-US" w:eastAsia="zh-CN" w:bidi="ar-SA"/>
        </w:rPr>
        <w:t>五</w:t>
      </w:r>
      <w:r>
        <w:rPr>
          <w:rFonts w:ascii="Arial" w:hAnsi="Arial" w:eastAsia="黑体" w:cs="Times New Roman"/>
          <w:bCs/>
          <w:color w:val="auto"/>
          <w:kern w:val="0"/>
          <w:sz w:val="28"/>
          <w:szCs w:val="32"/>
          <w:highlight w:val="none"/>
          <w:lang w:val="en-US" w:eastAsia="zh-CN" w:bidi="ar-SA"/>
        </w:rPr>
        <w:t>、安装调试、验收试验及质量保证</w:t>
      </w:r>
      <w:bookmarkEnd w:id="36"/>
    </w:p>
    <w:p w14:paraId="3642E063">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中标人在设备安装地点负责安装、调试。</w:t>
      </w:r>
    </w:p>
    <w:p w14:paraId="386881E0">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具体设备验收标准和程序按采购人要求执行，下列验收程序可参照执行：</w:t>
      </w:r>
    </w:p>
    <w:p w14:paraId="31BB8475">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5A359D29">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2.2货物在验收时，中标人应提供发票、制造厂家出具的产品合格证书、装箱清单等</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29C52593">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2.3 中标人应根据采购人使用单位的技术要求提供相应的产品。由中标人所提供的设备部件间的连线和插接件均应视为设备内部器件，包含在相应的设备之中。</w:t>
      </w:r>
    </w:p>
    <w:p w14:paraId="74DF3987">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6B5C22D8">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2F518945">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490F3BDF">
      <w:pPr>
        <w:keepNext/>
        <w:keepLines/>
        <w:pageBreakBefore w:val="0"/>
        <w:widowControl w:val="0"/>
        <w:wordWrap w:val="0"/>
        <w:overflowPunct/>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40" w:name="_Toc532199626"/>
      <w:r>
        <w:rPr>
          <w:rFonts w:ascii="Arial" w:hAnsi="Arial" w:eastAsia="黑体" w:cs="Times New Roman"/>
          <w:bCs/>
          <w:color w:val="auto"/>
          <w:kern w:val="0"/>
          <w:sz w:val="28"/>
          <w:szCs w:val="32"/>
          <w:highlight w:val="none"/>
          <w:lang w:val="en-US" w:eastAsia="zh-CN" w:bidi="ar-SA"/>
        </w:rPr>
        <w:t>六、包装运输</w:t>
      </w:r>
      <w:bookmarkEnd w:id="37"/>
      <w:bookmarkEnd w:id="38"/>
      <w:bookmarkEnd w:id="39"/>
      <w:bookmarkEnd w:id="40"/>
    </w:p>
    <w:p w14:paraId="05974F57">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bookmarkStart w:id="41" w:name="_Toc455587279"/>
      <w:bookmarkStart w:id="42" w:name="_Toc455587095"/>
      <w:bookmarkStart w:id="43" w:name="_Toc445554754"/>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中标人负责设备包装、办理运输和保险，将设备安全运抵交货地点。</w:t>
      </w:r>
    </w:p>
    <w:p w14:paraId="0D0A9420">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设备制造完成并通过试验后应及时包装，否则应得到切实的保护，确保其不受污损。</w:t>
      </w:r>
    </w:p>
    <w:p w14:paraId="5488D902">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在包装箱外应标明采购人的订货号、发货号。</w:t>
      </w:r>
    </w:p>
    <w:p w14:paraId="45F24287">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4</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各种包装应能确保各零部件在运输过程中不致遭到损坏、丢失、变形、受潮和腐蚀。</w:t>
      </w:r>
    </w:p>
    <w:p w14:paraId="3321EB0F">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5</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包装箱上应有明显的包装储运图示标志。</w:t>
      </w:r>
    </w:p>
    <w:p w14:paraId="6BAFBD90">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6</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整体产品或分别运输的部件都要适应运输和装载的要求。</w:t>
      </w:r>
    </w:p>
    <w:p w14:paraId="3574A001">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7</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随产品提供的技术资料应完整无缺。</w:t>
      </w:r>
    </w:p>
    <w:p w14:paraId="6188BC5E">
      <w:pPr>
        <w:keepNext/>
        <w:keepLines/>
        <w:pageBreakBefore w:val="0"/>
        <w:widowControl w:val="0"/>
        <w:wordWrap w:val="0"/>
        <w:overflowPunct/>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44" w:name="_Toc532199627"/>
      <w:r>
        <w:rPr>
          <w:rFonts w:hint="eastAsia" w:ascii="Arial" w:hAnsi="Arial" w:eastAsia="黑体" w:cs="Times New Roman"/>
          <w:bCs/>
          <w:color w:val="auto"/>
          <w:kern w:val="0"/>
          <w:sz w:val="28"/>
          <w:szCs w:val="32"/>
          <w:highlight w:val="none"/>
          <w:lang w:val="en-US" w:eastAsia="zh-CN" w:bidi="ar-SA"/>
        </w:rPr>
        <w:t>七</w:t>
      </w:r>
      <w:r>
        <w:rPr>
          <w:rFonts w:ascii="Arial" w:hAnsi="Arial" w:eastAsia="黑体" w:cs="Times New Roman"/>
          <w:bCs/>
          <w:color w:val="auto"/>
          <w:kern w:val="0"/>
          <w:sz w:val="28"/>
          <w:szCs w:val="32"/>
          <w:highlight w:val="none"/>
          <w:lang w:val="en-US" w:eastAsia="zh-CN" w:bidi="ar-SA"/>
        </w:rPr>
        <w:t>、技术培训</w:t>
      </w:r>
      <w:bookmarkEnd w:id="41"/>
      <w:bookmarkEnd w:id="42"/>
      <w:bookmarkEnd w:id="43"/>
      <w:bookmarkEnd w:id="44"/>
    </w:p>
    <w:p w14:paraId="36E3A5B4">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为使合同设备能正常安装和运行，由中标人提供相应的技术培训，培训费用</w:t>
      </w:r>
      <w:r>
        <w:rPr>
          <w:rFonts w:hint="eastAsia" w:ascii="宋体" w:hAnsi="宋体" w:eastAsia="宋体" w:cs="宋体"/>
          <w:color w:val="auto"/>
          <w:sz w:val="24"/>
          <w:szCs w:val="18"/>
          <w:highlight w:val="none"/>
        </w:rPr>
        <w:t>包含在投标报价内</w:t>
      </w:r>
      <w:r>
        <w:rPr>
          <w:rFonts w:ascii="宋体" w:hAnsi="宋体" w:eastAsia="宋体" w:cs="宋体"/>
          <w:color w:val="auto"/>
          <w:sz w:val="24"/>
          <w:szCs w:val="18"/>
          <w:highlight w:val="none"/>
        </w:rPr>
        <w:t>。</w:t>
      </w:r>
    </w:p>
    <w:p w14:paraId="4B38782A">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培训的时间、人数、地点等具体内容由</w:t>
      </w:r>
      <w:r>
        <w:rPr>
          <w:rFonts w:hint="eastAsia" w:ascii="宋体" w:hAnsi="宋体" w:eastAsia="宋体" w:cs="宋体"/>
          <w:color w:val="auto"/>
          <w:sz w:val="24"/>
          <w:szCs w:val="18"/>
          <w:highlight w:val="none"/>
        </w:rPr>
        <w:t>采购人和中标人</w:t>
      </w:r>
      <w:r>
        <w:rPr>
          <w:rFonts w:ascii="宋体" w:hAnsi="宋体" w:eastAsia="宋体" w:cs="宋体"/>
          <w:color w:val="auto"/>
          <w:sz w:val="24"/>
          <w:szCs w:val="18"/>
          <w:highlight w:val="none"/>
        </w:rPr>
        <w:t>双方商定，内容至少包括：设备原理、使用、维护、运行操作、常见故障处理等。</w:t>
      </w:r>
    </w:p>
    <w:p w14:paraId="6F4A6AEF">
      <w:pPr>
        <w:keepNext/>
        <w:keepLines/>
        <w:pageBreakBefore w:val="0"/>
        <w:widowControl w:val="0"/>
        <w:wordWrap w:val="0"/>
        <w:overflowPunct/>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45" w:name="_Toc532199628"/>
      <w:r>
        <w:rPr>
          <w:rFonts w:hint="eastAsia" w:ascii="Arial" w:hAnsi="Arial" w:eastAsia="黑体" w:cs="Times New Roman"/>
          <w:bCs/>
          <w:color w:val="auto"/>
          <w:kern w:val="0"/>
          <w:sz w:val="28"/>
          <w:szCs w:val="32"/>
          <w:highlight w:val="none"/>
          <w:lang w:val="en-US" w:eastAsia="zh-CN" w:bidi="ar-SA"/>
        </w:rPr>
        <w:t>八</w:t>
      </w:r>
      <w:r>
        <w:rPr>
          <w:rFonts w:ascii="Arial" w:hAnsi="Arial" w:eastAsia="黑体" w:cs="Times New Roman"/>
          <w:bCs/>
          <w:color w:val="auto"/>
          <w:kern w:val="0"/>
          <w:sz w:val="28"/>
          <w:szCs w:val="32"/>
          <w:highlight w:val="none"/>
          <w:lang w:val="en-US" w:eastAsia="zh-CN" w:bidi="ar-SA"/>
        </w:rPr>
        <w:t>、质保及售后服务</w:t>
      </w:r>
    </w:p>
    <w:p w14:paraId="52C4833A">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自</w:t>
      </w:r>
      <w:r>
        <w:rPr>
          <w:rFonts w:hint="eastAsia" w:ascii="宋体" w:hAnsi="宋体" w:eastAsia="宋体" w:cs="宋体"/>
          <w:color w:val="auto"/>
          <w:sz w:val="24"/>
          <w:szCs w:val="18"/>
          <w:highlight w:val="none"/>
        </w:rPr>
        <w:t>验收合格之日</w:t>
      </w:r>
      <w:r>
        <w:rPr>
          <w:rFonts w:ascii="宋体" w:hAnsi="宋体" w:eastAsia="宋体" w:cs="宋体"/>
          <w:color w:val="auto"/>
          <w:sz w:val="24"/>
          <w:szCs w:val="18"/>
          <w:highlight w:val="none"/>
        </w:rPr>
        <w:t>起进入免费质保期。</w:t>
      </w:r>
    </w:p>
    <w:p w14:paraId="230FDDCC">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45"/>
      <w:bookmarkStart w:id="46" w:name="_GoBack"/>
      <w:bookmarkEnd w:id="4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FCC4F"/>
    <w:multiLevelType w:val="singleLevel"/>
    <w:tmpl w:val="1F9FCC4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D32D7"/>
    <w:rsid w:val="158D36E7"/>
    <w:rsid w:val="6C1D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2025-10-20T05:09:00Z</dcterms:created>
  <dc:creator>xmy</dc:creator>
  <cp:lastModifiedBy>xmy</cp:lastModifiedBy>
  <dcterms:modified xsi:type="dcterms:W3CDTF">2025-10-20T05:10:50Z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63C1ECF8215F4C0E88A45A18DBD3E3B3_11</vt:lpwstr>
  </property>
  <property fmtid="{D5CDD505-2E9C-101B-9397-08002B2CF9AE}" pid="4" name="KSOTemplateDocerSaveRecord">
    <vt:lpwstr>eyJoZGlkIjoiNTExYmM0YzRjNTViMjY1NDczMmU1ZGNjYmEyMjBlYjUiLCJ1c2VySWQiOiIzMjQ4MTEwODkifQ==</vt:lpwstr>
  </property>
</Properties>
</file>