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44DC67">
      <w:pPr>
        <w:widowControl/>
        <w:tabs>
          <w:tab w:val="center" w:pos="4153"/>
        </w:tabs>
        <w:spacing w:line="440" w:lineRule="exact"/>
        <w:jc w:val="center"/>
        <w:rPr>
          <w:rFonts w:ascii="宋体" w:hAnsi="宋体" w:eastAsia="仿宋"/>
          <w:sz w:val="36"/>
          <w:szCs w:val="36"/>
        </w:rPr>
      </w:pPr>
    </w:p>
    <w:p w14:paraId="1D57FB96">
      <w:pPr>
        <w:widowControl/>
        <w:tabs>
          <w:tab w:val="center" w:pos="4153"/>
        </w:tabs>
        <w:spacing w:line="440" w:lineRule="exact"/>
        <w:jc w:val="center"/>
        <w:rPr>
          <w:rFonts w:ascii="宋体" w:hAnsi="宋体" w:eastAsia="仿宋"/>
          <w:sz w:val="36"/>
          <w:szCs w:val="36"/>
        </w:rPr>
      </w:pPr>
    </w:p>
    <w:p w14:paraId="73DE6DC2">
      <w:pPr>
        <w:widowControl/>
        <w:tabs>
          <w:tab w:val="center" w:pos="4153"/>
        </w:tabs>
        <w:spacing w:line="440" w:lineRule="exact"/>
        <w:rPr>
          <w:rFonts w:ascii="宋体" w:hAnsi="宋体" w:eastAsia="仿宋"/>
          <w:sz w:val="36"/>
          <w:szCs w:val="36"/>
        </w:rPr>
      </w:pPr>
    </w:p>
    <w:p w14:paraId="2ADA9E5F">
      <w:pPr>
        <w:widowControl/>
        <w:tabs>
          <w:tab w:val="center" w:pos="4153"/>
        </w:tabs>
        <w:spacing w:line="440" w:lineRule="exact"/>
        <w:jc w:val="center"/>
        <w:rPr>
          <w:rFonts w:ascii="宋体" w:hAnsi="宋体" w:eastAsia="仿宋"/>
          <w:sz w:val="36"/>
          <w:szCs w:val="36"/>
        </w:rPr>
      </w:pPr>
    </w:p>
    <w:p w14:paraId="49C3499C">
      <w:pPr>
        <w:widowControl/>
        <w:tabs>
          <w:tab w:val="center" w:pos="4153"/>
        </w:tabs>
        <w:spacing w:line="440" w:lineRule="exact"/>
        <w:jc w:val="center"/>
        <w:rPr>
          <w:rFonts w:ascii="宋体" w:hAnsi="宋体" w:eastAsia="仿宋"/>
          <w:sz w:val="36"/>
          <w:szCs w:val="36"/>
        </w:rPr>
      </w:pPr>
    </w:p>
    <w:p w14:paraId="5C4FC32F">
      <w:pPr>
        <w:widowControl/>
        <w:spacing w:line="360" w:lineRule="auto"/>
        <w:jc w:val="center"/>
        <w:rPr>
          <w:rFonts w:eastAsia="仿宋"/>
          <w:b/>
          <w:color w:val="000000"/>
          <w:sz w:val="44"/>
          <w:szCs w:val="44"/>
        </w:rPr>
      </w:pPr>
      <w:r>
        <w:rPr>
          <w:rFonts w:hint="eastAsia" w:eastAsia="仿宋"/>
          <w:b/>
          <w:color w:val="000000"/>
          <w:sz w:val="44"/>
          <w:szCs w:val="44"/>
        </w:rPr>
        <w:t>安徽省煤炭科学研究院矿山灾害调查治理及检测技术能力建设项目</w:t>
      </w:r>
    </w:p>
    <w:p w14:paraId="408FC00D">
      <w:pPr>
        <w:widowControl/>
        <w:spacing w:line="360" w:lineRule="auto"/>
        <w:jc w:val="center"/>
        <w:rPr>
          <w:rFonts w:eastAsia="仿宋"/>
          <w:b/>
          <w:color w:val="0070C0"/>
          <w:sz w:val="44"/>
          <w:szCs w:val="44"/>
        </w:rPr>
      </w:pPr>
    </w:p>
    <w:p w14:paraId="43441F3F">
      <w:pPr>
        <w:widowControl/>
        <w:jc w:val="center"/>
        <w:rPr>
          <w:rFonts w:ascii="宋体" w:hAnsi="宋体" w:eastAsia="仿宋"/>
          <w:b/>
          <w:sz w:val="72"/>
        </w:rPr>
      </w:pPr>
      <w:r>
        <w:rPr>
          <w:rFonts w:hint="eastAsia" w:ascii="宋体" w:hAnsi="宋体" w:eastAsia="仿宋"/>
          <w:b/>
          <w:sz w:val="72"/>
        </w:rPr>
        <w:t>竞争性磋商文件</w:t>
      </w:r>
    </w:p>
    <w:p w14:paraId="17863E18">
      <w:pPr>
        <w:widowControl/>
        <w:jc w:val="center"/>
        <w:rPr>
          <w:rFonts w:ascii="宋体" w:hAnsi="宋体" w:eastAsia="仿宋"/>
          <w:b/>
          <w:sz w:val="72"/>
        </w:rPr>
      </w:pPr>
      <w:r>
        <w:rPr>
          <w:rFonts w:hint="eastAsia" w:ascii="宋体" w:hAnsi="宋体" w:eastAsia="仿宋"/>
          <w:b/>
          <w:sz w:val="72"/>
        </w:rPr>
        <w:t>货物类</w:t>
      </w:r>
    </w:p>
    <w:p w14:paraId="1EB9AA76">
      <w:pPr>
        <w:widowControl/>
        <w:jc w:val="center"/>
        <w:rPr>
          <w:rFonts w:ascii="宋体" w:hAnsi="宋体" w:eastAsia="仿宋"/>
          <w:b/>
          <w:sz w:val="72"/>
        </w:rPr>
      </w:pPr>
    </w:p>
    <w:p w14:paraId="49734D72">
      <w:pPr>
        <w:widowControl/>
        <w:tabs>
          <w:tab w:val="center" w:pos="4153"/>
        </w:tabs>
        <w:spacing w:line="480" w:lineRule="auto"/>
        <w:jc w:val="center"/>
        <w:rPr>
          <w:rFonts w:ascii="宋体" w:hAnsi="宋体" w:eastAsia="仿宋"/>
          <w:sz w:val="36"/>
          <w:szCs w:val="36"/>
        </w:rPr>
      </w:pPr>
      <w:r>
        <w:rPr>
          <w:rFonts w:hint="eastAsia" w:ascii="宋体" w:hAnsi="宋体" w:eastAsia="仿宋"/>
          <w:b/>
          <w:sz w:val="28"/>
          <w:szCs w:val="28"/>
        </w:rPr>
        <w:t>项目编号：ZF2025-03-1233</w:t>
      </w:r>
    </w:p>
    <w:p w14:paraId="6F63D176">
      <w:pPr>
        <w:widowControl/>
        <w:tabs>
          <w:tab w:val="center" w:pos="4153"/>
        </w:tabs>
        <w:spacing w:line="480" w:lineRule="auto"/>
        <w:rPr>
          <w:rFonts w:ascii="宋体" w:hAnsi="宋体" w:eastAsia="仿宋"/>
          <w:sz w:val="36"/>
          <w:szCs w:val="36"/>
        </w:rPr>
      </w:pPr>
    </w:p>
    <w:p w14:paraId="2A13126C">
      <w:pPr>
        <w:widowControl/>
        <w:tabs>
          <w:tab w:val="center" w:pos="4153"/>
        </w:tabs>
        <w:spacing w:line="480" w:lineRule="auto"/>
        <w:jc w:val="center"/>
        <w:rPr>
          <w:rFonts w:ascii="宋体" w:hAnsi="宋体" w:eastAsia="仿宋"/>
          <w:sz w:val="36"/>
          <w:szCs w:val="36"/>
        </w:rPr>
      </w:pPr>
    </w:p>
    <w:p w14:paraId="2D077535">
      <w:pPr>
        <w:pStyle w:val="46"/>
        <w:ind w:firstLine="720"/>
        <w:rPr>
          <w:rFonts w:ascii="宋体" w:hAnsi="宋体" w:eastAsia="仿宋"/>
          <w:sz w:val="36"/>
          <w:szCs w:val="36"/>
        </w:rPr>
      </w:pPr>
    </w:p>
    <w:p w14:paraId="573C3A26">
      <w:pPr>
        <w:pStyle w:val="46"/>
        <w:ind w:firstLine="720"/>
        <w:rPr>
          <w:rFonts w:ascii="宋体" w:hAnsi="宋体" w:eastAsia="仿宋"/>
          <w:sz w:val="36"/>
          <w:szCs w:val="36"/>
        </w:rPr>
      </w:pPr>
    </w:p>
    <w:p w14:paraId="14832C97">
      <w:pPr>
        <w:pStyle w:val="46"/>
        <w:ind w:firstLine="720"/>
        <w:rPr>
          <w:rFonts w:ascii="宋体" w:hAnsi="宋体" w:eastAsia="仿宋"/>
          <w:sz w:val="36"/>
          <w:szCs w:val="36"/>
        </w:rPr>
      </w:pPr>
    </w:p>
    <w:p w14:paraId="5326F524">
      <w:pPr>
        <w:widowControl/>
        <w:tabs>
          <w:tab w:val="center" w:pos="4153"/>
        </w:tabs>
        <w:spacing w:line="480" w:lineRule="auto"/>
        <w:ind w:firstLine="1699" w:firstLineChars="531"/>
        <w:rPr>
          <w:rFonts w:ascii="宋体" w:hAnsi="宋体" w:eastAsia="仿宋"/>
          <w:sz w:val="32"/>
          <w:szCs w:val="36"/>
        </w:rPr>
      </w:pPr>
      <w:r>
        <w:rPr>
          <w:rFonts w:hint="eastAsia" w:ascii="宋体" w:hAnsi="宋体" w:eastAsia="仿宋"/>
          <w:sz w:val="32"/>
          <w:szCs w:val="36"/>
        </w:rPr>
        <w:t>采   购   人：安徽省煤炭科学研究院</w:t>
      </w:r>
    </w:p>
    <w:p w14:paraId="4A1C10E9">
      <w:pPr>
        <w:widowControl/>
        <w:tabs>
          <w:tab w:val="center" w:pos="4153"/>
        </w:tabs>
        <w:spacing w:line="480" w:lineRule="auto"/>
        <w:ind w:firstLine="1699" w:firstLineChars="531"/>
        <w:rPr>
          <w:rFonts w:ascii="宋体" w:hAnsi="宋体" w:eastAsia="仿宋"/>
          <w:sz w:val="32"/>
          <w:szCs w:val="36"/>
        </w:rPr>
      </w:pPr>
      <w:r>
        <w:rPr>
          <w:rFonts w:hint="eastAsia" w:ascii="宋体" w:hAnsi="宋体" w:eastAsia="仿宋"/>
          <w:sz w:val="32"/>
          <w:szCs w:val="36"/>
        </w:rPr>
        <w:t>采购代理机构：安徽省招标集团股份有限公司</w:t>
      </w:r>
    </w:p>
    <w:p w14:paraId="5968B57C">
      <w:pPr>
        <w:widowControl/>
        <w:tabs>
          <w:tab w:val="center" w:pos="4153"/>
        </w:tabs>
        <w:spacing w:line="480" w:lineRule="auto"/>
        <w:ind w:firstLine="849" w:firstLineChars="236"/>
        <w:jc w:val="center"/>
        <w:rPr>
          <w:rFonts w:ascii="宋体" w:hAnsi="宋体" w:eastAsia="仿宋"/>
          <w:sz w:val="36"/>
          <w:szCs w:val="36"/>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eastAsia="仿宋"/>
          <w:sz w:val="36"/>
          <w:szCs w:val="36"/>
        </w:rPr>
        <w:t>2025年8月</w:t>
      </w:r>
      <w:r>
        <w:rPr>
          <w:rFonts w:hint="eastAsia" w:ascii="宋体" w:hAnsi="宋体" w:eastAsia="仿宋"/>
          <w:sz w:val="36"/>
          <w:szCs w:val="36"/>
          <w:lang w:val="en-US" w:eastAsia="zh-CN"/>
        </w:rPr>
        <w:t>25</w:t>
      </w:r>
      <w:r>
        <w:rPr>
          <w:rFonts w:hint="eastAsia" w:ascii="宋体" w:hAnsi="宋体" w:eastAsia="仿宋"/>
          <w:sz w:val="36"/>
          <w:szCs w:val="36"/>
        </w:rPr>
        <w:t>日</w:t>
      </w:r>
    </w:p>
    <w:p w14:paraId="057DC350">
      <w:pPr>
        <w:widowControl/>
        <w:tabs>
          <w:tab w:val="center" w:pos="4153"/>
        </w:tabs>
        <w:spacing w:line="480" w:lineRule="auto"/>
        <w:jc w:val="center"/>
        <w:outlineLvl w:val="0"/>
        <w:rPr>
          <w:rFonts w:ascii="宋体" w:hAnsi="宋体" w:eastAsia="仿宋"/>
          <w:sz w:val="44"/>
          <w:szCs w:val="52"/>
        </w:rPr>
      </w:pPr>
      <w:bookmarkStart w:id="0" w:name="_Toc18639"/>
      <w:r>
        <w:rPr>
          <w:rFonts w:hint="eastAsia" w:ascii="宋体" w:hAnsi="宋体" w:eastAsia="仿宋"/>
          <w:sz w:val="44"/>
          <w:szCs w:val="52"/>
        </w:rPr>
        <w:t>目  录</w:t>
      </w:r>
      <w:bookmarkEnd w:id="0"/>
    </w:p>
    <w:p w14:paraId="7CABAC9B">
      <w:pPr>
        <w:pStyle w:val="32"/>
        <w:tabs>
          <w:tab w:val="right" w:leader="dot" w:pos="9638"/>
        </w:tabs>
        <w:rPr>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TOC \o "1-1" \h \z \u </w:instrText>
      </w:r>
      <w:r>
        <w:rPr>
          <w:rFonts w:ascii="Times New Roman" w:hAnsi="Times New Roman" w:eastAsia="仿宋"/>
          <w:sz w:val="28"/>
          <w:szCs w:val="28"/>
        </w:rPr>
        <w:fldChar w:fldCharType="separate"/>
      </w:r>
      <w:r>
        <w:fldChar w:fldCharType="begin"/>
      </w:r>
      <w:r>
        <w:instrText xml:space="preserve"> HYPERLINK \l "_Toc75" </w:instrText>
      </w:r>
      <w:r>
        <w:fldChar w:fldCharType="separate"/>
      </w:r>
      <w:r>
        <w:rPr>
          <w:rFonts w:hint="eastAsia" w:ascii="宋体" w:hAnsi="宋体" w:eastAsia="仿宋"/>
          <w:sz w:val="28"/>
          <w:szCs w:val="28"/>
        </w:rPr>
        <w:t xml:space="preserve">第一章  </w:t>
      </w:r>
      <w:r>
        <w:rPr>
          <w:rFonts w:hint="eastAsia" w:eastAsia="仿宋"/>
          <w:sz w:val="28"/>
          <w:szCs w:val="28"/>
        </w:rPr>
        <w:t>竞争性磋商公告</w:t>
      </w:r>
      <w:r>
        <w:rPr>
          <w:sz w:val="28"/>
          <w:szCs w:val="28"/>
        </w:rPr>
        <w:tab/>
      </w:r>
      <w:r>
        <w:rPr>
          <w:sz w:val="28"/>
          <w:szCs w:val="28"/>
        </w:rPr>
        <w:fldChar w:fldCharType="begin"/>
      </w:r>
      <w:r>
        <w:rPr>
          <w:sz w:val="28"/>
          <w:szCs w:val="28"/>
        </w:rPr>
        <w:instrText xml:space="preserve"> PAGEREF _Toc75 \h </w:instrText>
      </w:r>
      <w:r>
        <w:rPr>
          <w:sz w:val="28"/>
          <w:szCs w:val="28"/>
        </w:rPr>
        <w:fldChar w:fldCharType="separate"/>
      </w:r>
      <w:r>
        <w:rPr>
          <w:sz w:val="28"/>
          <w:szCs w:val="28"/>
        </w:rPr>
        <w:t>1</w:t>
      </w:r>
      <w:r>
        <w:rPr>
          <w:sz w:val="28"/>
          <w:szCs w:val="28"/>
        </w:rPr>
        <w:fldChar w:fldCharType="end"/>
      </w:r>
      <w:r>
        <w:rPr>
          <w:sz w:val="28"/>
          <w:szCs w:val="28"/>
        </w:rPr>
        <w:fldChar w:fldCharType="end"/>
      </w:r>
    </w:p>
    <w:p w14:paraId="729F1E1E">
      <w:pPr>
        <w:pStyle w:val="32"/>
        <w:tabs>
          <w:tab w:val="right" w:leader="dot" w:pos="9638"/>
        </w:tabs>
        <w:rPr>
          <w:sz w:val="28"/>
          <w:szCs w:val="28"/>
        </w:rPr>
      </w:pPr>
      <w:r>
        <w:fldChar w:fldCharType="begin"/>
      </w:r>
      <w:r>
        <w:instrText xml:space="preserve"> HYPERLINK \l "_Toc32750" </w:instrText>
      </w:r>
      <w:r>
        <w:fldChar w:fldCharType="separate"/>
      </w:r>
      <w:r>
        <w:rPr>
          <w:rFonts w:hint="eastAsia" w:ascii="宋体" w:hAnsi="宋体" w:eastAsia="仿宋"/>
          <w:sz w:val="28"/>
          <w:szCs w:val="28"/>
        </w:rPr>
        <w:t>第二章</w:t>
      </w:r>
      <w:r>
        <w:rPr>
          <w:rFonts w:ascii="宋体" w:hAnsi="宋体" w:eastAsia="仿宋"/>
          <w:sz w:val="28"/>
          <w:szCs w:val="28"/>
        </w:rPr>
        <w:t xml:space="preserve"> </w:t>
      </w:r>
      <w:r>
        <w:rPr>
          <w:rFonts w:hint="eastAsia" w:ascii="宋体" w:hAnsi="宋体" w:eastAsia="仿宋"/>
          <w:sz w:val="28"/>
          <w:szCs w:val="28"/>
        </w:rPr>
        <w:t xml:space="preserve"> 供应商须知</w:t>
      </w:r>
      <w:r>
        <w:rPr>
          <w:sz w:val="28"/>
          <w:szCs w:val="28"/>
        </w:rPr>
        <w:tab/>
      </w:r>
      <w:r>
        <w:rPr>
          <w:sz w:val="28"/>
          <w:szCs w:val="28"/>
        </w:rPr>
        <w:fldChar w:fldCharType="begin"/>
      </w:r>
      <w:r>
        <w:rPr>
          <w:sz w:val="28"/>
          <w:szCs w:val="28"/>
        </w:rPr>
        <w:instrText xml:space="preserve"> PAGEREF _Toc32750 \h </w:instrText>
      </w:r>
      <w:r>
        <w:rPr>
          <w:sz w:val="28"/>
          <w:szCs w:val="28"/>
        </w:rPr>
        <w:fldChar w:fldCharType="separate"/>
      </w:r>
      <w:r>
        <w:rPr>
          <w:sz w:val="28"/>
          <w:szCs w:val="28"/>
        </w:rPr>
        <w:t>6</w:t>
      </w:r>
      <w:r>
        <w:rPr>
          <w:sz w:val="28"/>
          <w:szCs w:val="28"/>
        </w:rPr>
        <w:fldChar w:fldCharType="end"/>
      </w:r>
      <w:r>
        <w:rPr>
          <w:sz w:val="28"/>
          <w:szCs w:val="28"/>
        </w:rPr>
        <w:fldChar w:fldCharType="end"/>
      </w:r>
    </w:p>
    <w:p w14:paraId="539B4043">
      <w:pPr>
        <w:pStyle w:val="32"/>
        <w:tabs>
          <w:tab w:val="right" w:leader="dot" w:pos="9638"/>
        </w:tabs>
        <w:rPr>
          <w:sz w:val="28"/>
          <w:szCs w:val="28"/>
        </w:rPr>
      </w:pPr>
      <w:r>
        <w:fldChar w:fldCharType="begin"/>
      </w:r>
      <w:r>
        <w:instrText xml:space="preserve"> HYPERLINK \l "_Toc28978" </w:instrText>
      </w:r>
      <w:r>
        <w:fldChar w:fldCharType="separate"/>
      </w:r>
      <w:r>
        <w:rPr>
          <w:rFonts w:hint="eastAsia" w:ascii="宋体" w:hAnsi="宋体" w:eastAsia="仿宋"/>
          <w:sz w:val="28"/>
          <w:szCs w:val="28"/>
        </w:rPr>
        <w:t>第三章  采购需求</w:t>
      </w:r>
      <w:r>
        <w:rPr>
          <w:sz w:val="28"/>
          <w:szCs w:val="28"/>
        </w:rPr>
        <w:tab/>
      </w:r>
      <w:r>
        <w:rPr>
          <w:sz w:val="28"/>
          <w:szCs w:val="28"/>
        </w:rPr>
        <w:fldChar w:fldCharType="begin"/>
      </w:r>
      <w:r>
        <w:rPr>
          <w:sz w:val="28"/>
          <w:szCs w:val="28"/>
        </w:rPr>
        <w:instrText xml:space="preserve"> PAGEREF _Toc28978 \h </w:instrText>
      </w:r>
      <w:r>
        <w:rPr>
          <w:sz w:val="28"/>
          <w:szCs w:val="28"/>
        </w:rPr>
        <w:fldChar w:fldCharType="separate"/>
      </w:r>
      <w:r>
        <w:rPr>
          <w:sz w:val="28"/>
          <w:szCs w:val="28"/>
        </w:rPr>
        <w:t>34</w:t>
      </w:r>
      <w:r>
        <w:rPr>
          <w:sz w:val="28"/>
          <w:szCs w:val="28"/>
        </w:rPr>
        <w:fldChar w:fldCharType="end"/>
      </w:r>
      <w:r>
        <w:rPr>
          <w:sz w:val="28"/>
          <w:szCs w:val="28"/>
        </w:rPr>
        <w:fldChar w:fldCharType="end"/>
      </w:r>
    </w:p>
    <w:p w14:paraId="79757F66">
      <w:pPr>
        <w:pStyle w:val="32"/>
        <w:tabs>
          <w:tab w:val="right" w:leader="dot" w:pos="9638"/>
        </w:tabs>
        <w:rPr>
          <w:sz w:val="28"/>
          <w:szCs w:val="28"/>
        </w:rPr>
      </w:pPr>
      <w:r>
        <w:fldChar w:fldCharType="begin"/>
      </w:r>
      <w:r>
        <w:instrText xml:space="preserve"> HYPERLINK \l "_Toc25995" </w:instrText>
      </w:r>
      <w:r>
        <w:fldChar w:fldCharType="separate"/>
      </w:r>
      <w:r>
        <w:rPr>
          <w:rFonts w:hint="eastAsia" w:ascii="宋体" w:hAnsi="宋体" w:eastAsia="仿宋"/>
          <w:sz w:val="28"/>
          <w:szCs w:val="28"/>
        </w:rPr>
        <w:t xml:space="preserve">第四章  </w:t>
      </w:r>
      <w:r>
        <w:rPr>
          <w:rFonts w:hint="eastAsia" w:eastAsia="仿宋"/>
          <w:sz w:val="28"/>
          <w:szCs w:val="28"/>
        </w:rPr>
        <w:t>磋商和评审办法</w:t>
      </w:r>
      <w:r>
        <w:rPr>
          <w:sz w:val="28"/>
          <w:szCs w:val="28"/>
        </w:rPr>
        <w:tab/>
      </w:r>
      <w:r>
        <w:rPr>
          <w:sz w:val="28"/>
          <w:szCs w:val="28"/>
        </w:rPr>
        <w:fldChar w:fldCharType="begin"/>
      </w:r>
      <w:r>
        <w:rPr>
          <w:sz w:val="28"/>
          <w:szCs w:val="28"/>
        </w:rPr>
        <w:instrText xml:space="preserve"> PAGEREF _Toc25995 \h </w:instrText>
      </w:r>
      <w:r>
        <w:rPr>
          <w:sz w:val="28"/>
          <w:szCs w:val="28"/>
        </w:rPr>
        <w:fldChar w:fldCharType="separate"/>
      </w:r>
      <w:r>
        <w:rPr>
          <w:sz w:val="28"/>
          <w:szCs w:val="28"/>
        </w:rPr>
        <w:t>53</w:t>
      </w:r>
      <w:r>
        <w:rPr>
          <w:sz w:val="28"/>
          <w:szCs w:val="28"/>
        </w:rPr>
        <w:fldChar w:fldCharType="end"/>
      </w:r>
      <w:r>
        <w:rPr>
          <w:sz w:val="28"/>
          <w:szCs w:val="28"/>
        </w:rPr>
        <w:fldChar w:fldCharType="end"/>
      </w:r>
    </w:p>
    <w:p w14:paraId="532D6B59">
      <w:pPr>
        <w:pStyle w:val="32"/>
        <w:tabs>
          <w:tab w:val="right" w:leader="dot" w:pos="9638"/>
        </w:tabs>
        <w:rPr>
          <w:sz w:val="28"/>
          <w:szCs w:val="28"/>
        </w:rPr>
      </w:pPr>
      <w:r>
        <w:fldChar w:fldCharType="begin"/>
      </w:r>
      <w:r>
        <w:instrText xml:space="preserve"> HYPERLINK \l "_Toc9730" </w:instrText>
      </w:r>
      <w:r>
        <w:fldChar w:fldCharType="separate"/>
      </w:r>
      <w:r>
        <w:rPr>
          <w:rFonts w:hint="eastAsia" w:ascii="宋体" w:hAnsi="宋体" w:eastAsia="仿宋"/>
          <w:sz w:val="28"/>
          <w:szCs w:val="28"/>
        </w:rPr>
        <w:t>第五章  合同条款及格式</w:t>
      </w:r>
      <w:r>
        <w:rPr>
          <w:sz w:val="28"/>
          <w:szCs w:val="28"/>
        </w:rPr>
        <w:tab/>
      </w:r>
      <w:r>
        <w:rPr>
          <w:sz w:val="28"/>
          <w:szCs w:val="28"/>
        </w:rPr>
        <w:fldChar w:fldCharType="begin"/>
      </w:r>
      <w:r>
        <w:rPr>
          <w:sz w:val="28"/>
          <w:szCs w:val="28"/>
        </w:rPr>
        <w:instrText xml:space="preserve"> PAGEREF _Toc9730 \h </w:instrText>
      </w:r>
      <w:r>
        <w:rPr>
          <w:sz w:val="28"/>
          <w:szCs w:val="28"/>
        </w:rPr>
        <w:fldChar w:fldCharType="separate"/>
      </w:r>
      <w:r>
        <w:rPr>
          <w:sz w:val="28"/>
          <w:szCs w:val="28"/>
        </w:rPr>
        <w:t>63</w:t>
      </w:r>
      <w:r>
        <w:rPr>
          <w:sz w:val="28"/>
          <w:szCs w:val="28"/>
        </w:rPr>
        <w:fldChar w:fldCharType="end"/>
      </w:r>
      <w:r>
        <w:rPr>
          <w:sz w:val="28"/>
          <w:szCs w:val="28"/>
        </w:rPr>
        <w:fldChar w:fldCharType="end"/>
      </w:r>
    </w:p>
    <w:p w14:paraId="04E6CF0D">
      <w:pPr>
        <w:pStyle w:val="32"/>
        <w:tabs>
          <w:tab w:val="right" w:leader="dot" w:pos="9638"/>
        </w:tabs>
        <w:rPr>
          <w:sz w:val="28"/>
          <w:szCs w:val="28"/>
        </w:rPr>
      </w:pPr>
      <w:r>
        <w:fldChar w:fldCharType="begin"/>
      </w:r>
      <w:r>
        <w:instrText xml:space="preserve"> HYPERLINK \l "_Toc27208" </w:instrText>
      </w:r>
      <w:r>
        <w:fldChar w:fldCharType="separate"/>
      </w:r>
      <w:r>
        <w:rPr>
          <w:rFonts w:hint="eastAsia" w:ascii="楷体_GB2312" w:hAnsi="楷体_GB2312" w:eastAsia="仿宋"/>
          <w:sz w:val="28"/>
          <w:szCs w:val="28"/>
        </w:rPr>
        <w:t>第六章  响应文件格式</w:t>
      </w:r>
      <w:r>
        <w:rPr>
          <w:sz w:val="28"/>
          <w:szCs w:val="28"/>
        </w:rPr>
        <w:tab/>
      </w:r>
      <w:r>
        <w:rPr>
          <w:sz w:val="28"/>
          <w:szCs w:val="28"/>
        </w:rPr>
        <w:fldChar w:fldCharType="begin"/>
      </w:r>
      <w:r>
        <w:rPr>
          <w:sz w:val="28"/>
          <w:szCs w:val="28"/>
        </w:rPr>
        <w:instrText xml:space="preserve"> PAGEREF _Toc27208 \h </w:instrText>
      </w:r>
      <w:r>
        <w:rPr>
          <w:sz w:val="28"/>
          <w:szCs w:val="28"/>
        </w:rPr>
        <w:fldChar w:fldCharType="separate"/>
      </w:r>
      <w:r>
        <w:rPr>
          <w:sz w:val="28"/>
          <w:szCs w:val="28"/>
        </w:rPr>
        <w:t>78</w:t>
      </w:r>
      <w:r>
        <w:rPr>
          <w:sz w:val="28"/>
          <w:szCs w:val="28"/>
        </w:rPr>
        <w:fldChar w:fldCharType="end"/>
      </w:r>
      <w:r>
        <w:rPr>
          <w:sz w:val="28"/>
          <w:szCs w:val="28"/>
        </w:rPr>
        <w:fldChar w:fldCharType="end"/>
      </w:r>
    </w:p>
    <w:p w14:paraId="1C350394">
      <w:pPr>
        <w:widowControl/>
        <w:spacing w:line="360" w:lineRule="auto"/>
        <w:rPr>
          <w:rFonts w:ascii="宋体" w:hAnsi="宋体" w:eastAsia="仿宋"/>
          <w:sz w:val="52"/>
          <w:szCs w:val="52"/>
        </w:rPr>
      </w:pPr>
      <w:r>
        <w:rPr>
          <w:rFonts w:eastAsia="仿宋"/>
          <w:sz w:val="28"/>
          <w:szCs w:val="28"/>
        </w:rPr>
        <w:fldChar w:fldCharType="end"/>
      </w:r>
    </w:p>
    <w:p w14:paraId="5743954E">
      <w:pPr>
        <w:widowControl/>
        <w:tabs>
          <w:tab w:val="center" w:pos="4153"/>
        </w:tabs>
        <w:spacing w:line="480" w:lineRule="auto"/>
        <w:jc w:val="center"/>
        <w:rPr>
          <w:rFonts w:ascii="宋体" w:hAnsi="宋体" w:eastAsia="仿宋"/>
          <w:sz w:val="52"/>
          <w:szCs w:val="52"/>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24B8E1AE">
      <w:pPr>
        <w:pStyle w:val="2"/>
        <w:widowControl/>
        <w:spacing w:before="0" w:after="0" w:line="240" w:lineRule="auto"/>
        <w:jc w:val="center"/>
        <w:rPr>
          <w:rFonts w:ascii="宋体" w:hAnsi="宋体" w:eastAsia="仿宋"/>
        </w:rPr>
      </w:pPr>
      <w:bookmarkStart w:id="1" w:name="_Toc466024489"/>
      <w:bookmarkStart w:id="2" w:name="_Toc75"/>
      <w:r>
        <w:rPr>
          <w:rFonts w:hint="eastAsia" w:ascii="宋体" w:hAnsi="宋体" w:eastAsia="仿宋"/>
        </w:rPr>
        <w:t xml:space="preserve">第一章  </w:t>
      </w:r>
      <w:bookmarkEnd w:id="1"/>
      <w:r>
        <w:rPr>
          <w:rFonts w:hint="eastAsia" w:ascii="Calibri" w:hAnsi="Calibri" w:eastAsia="仿宋"/>
        </w:rPr>
        <w:t>竞争性磋商公告</w:t>
      </w:r>
      <w:bookmarkEnd w:id="2"/>
    </w:p>
    <w:p w14:paraId="653E2ED2">
      <w:pPr>
        <w:rPr>
          <w:rFonts w:eastAsia="仿宋"/>
        </w:rPr>
      </w:pPr>
    </w:p>
    <w:p w14:paraId="7215E5F5">
      <w:pPr>
        <w:widowControl/>
        <w:adjustRightInd w:val="0"/>
        <w:snapToGrid w:val="0"/>
        <w:spacing w:before="120" w:beforeLines="50" w:after="120" w:afterLines="50" w:line="560" w:lineRule="exact"/>
        <w:jc w:val="center"/>
        <w:rPr>
          <w:rFonts w:ascii="仿宋" w:hAnsi="仿宋" w:eastAsia="仿宋" w:cs="仿宋"/>
          <w:b/>
          <w:bCs/>
          <w:sz w:val="28"/>
          <w:szCs w:val="28"/>
        </w:rPr>
      </w:pPr>
      <w:r>
        <w:rPr>
          <w:rFonts w:hint="eastAsia" w:ascii="宋体" w:hAnsi="宋体" w:cs="宋体"/>
          <w:b/>
          <w:bCs/>
          <w:sz w:val="44"/>
          <w:szCs w:val="44"/>
        </w:rPr>
        <w:t>安徽省煤炭科学研究院矿山灾害调查治理及检测技术能力建设项目竞争性磋商公告</w:t>
      </w:r>
    </w:p>
    <w:p w14:paraId="5A78C43E">
      <w:pPr>
        <w:adjustRightInd w:val="0"/>
        <w:snapToGrid w:val="0"/>
        <w:spacing w:line="560" w:lineRule="exact"/>
        <w:ind w:firstLine="560" w:firstLineChars="200"/>
        <w:jc w:val="center"/>
        <w:rPr>
          <w:rFonts w:ascii="仿宋" w:hAnsi="仿宋" w:eastAsia="仿宋" w:cs="仿宋"/>
          <w:sz w:val="28"/>
          <w:szCs w:val="28"/>
        </w:rPr>
      </w:pPr>
    </w:p>
    <w:p w14:paraId="527C52A1">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项目概况</w:t>
      </w:r>
    </w:p>
    <w:p w14:paraId="72197666">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安徽省</w:t>
      </w:r>
      <w:r>
        <w:rPr>
          <w:rFonts w:hint="eastAsia" w:ascii="仿宋" w:hAnsi="仿宋" w:eastAsia="仿宋" w:cs="仿宋"/>
          <w:color w:val="000000"/>
          <w:sz w:val="28"/>
          <w:szCs w:val="28"/>
        </w:rPr>
        <w:t>煤炭科学研究院矿山灾害调查治理及检测技术能力建设项目的潜在供应商应在“优质采招标采购平台（www.yzczb.com）”或“优质采云采购平台（www.youzhicai.com）”获取采</w:t>
      </w:r>
      <w:r>
        <w:rPr>
          <w:rFonts w:hint="eastAsia" w:ascii="仿宋" w:hAnsi="仿宋" w:eastAsia="仿宋" w:cs="仿宋"/>
          <w:sz w:val="28"/>
          <w:szCs w:val="28"/>
        </w:rPr>
        <w:t>购文件</w:t>
      </w:r>
      <w:r>
        <w:rPr>
          <w:rFonts w:hint="eastAsia" w:ascii="仿宋" w:hAnsi="仿宋" w:eastAsia="仿宋" w:cs="仿宋"/>
          <w:bCs/>
          <w:sz w:val="28"/>
          <w:szCs w:val="28"/>
        </w:rPr>
        <w:t>，并于2025年</w:t>
      </w:r>
      <w:r>
        <w:rPr>
          <w:rFonts w:hint="eastAsia" w:ascii="仿宋" w:hAnsi="仿宋" w:eastAsia="仿宋" w:cs="仿宋"/>
          <w:bCs/>
          <w:sz w:val="28"/>
          <w:szCs w:val="28"/>
          <w:lang w:val="en-US" w:eastAsia="zh-CN"/>
        </w:rPr>
        <w:t>9</w:t>
      </w:r>
      <w:r>
        <w:rPr>
          <w:rFonts w:hint="eastAsia" w:ascii="仿宋" w:hAnsi="仿宋" w:eastAsia="仿宋" w:cs="仿宋"/>
          <w:bCs/>
          <w:sz w:val="28"/>
          <w:szCs w:val="28"/>
        </w:rPr>
        <w:t>月</w:t>
      </w:r>
      <w:r>
        <w:rPr>
          <w:rFonts w:hint="eastAsia" w:ascii="仿宋" w:hAnsi="仿宋" w:eastAsia="仿宋" w:cs="仿宋"/>
          <w:bCs/>
          <w:sz w:val="28"/>
          <w:szCs w:val="28"/>
          <w:lang w:val="en-US" w:eastAsia="zh-CN"/>
        </w:rPr>
        <w:t>5</w:t>
      </w:r>
      <w:r>
        <w:rPr>
          <w:rFonts w:hint="eastAsia" w:ascii="仿宋" w:hAnsi="仿宋" w:eastAsia="仿宋" w:cs="仿宋"/>
          <w:bCs/>
          <w:sz w:val="28"/>
          <w:szCs w:val="28"/>
        </w:rPr>
        <w:t>日1</w:t>
      </w:r>
      <w:r>
        <w:rPr>
          <w:rFonts w:hint="eastAsia" w:ascii="仿宋" w:hAnsi="仿宋" w:eastAsia="仿宋" w:cs="仿宋"/>
          <w:bCs/>
          <w:sz w:val="28"/>
          <w:szCs w:val="28"/>
          <w:lang w:val="en-US" w:eastAsia="zh-CN"/>
        </w:rPr>
        <w:t>4</w:t>
      </w:r>
      <w:r>
        <w:rPr>
          <w:rFonts w:hint="eastAsia" w:ascii="仿宋" w:hAnsi="仿宋" w:eastAsia="仿宋" w:cs="仿宋"/>
          <w:bCs/>
          <w:sz w:val="28"/>
          <w:szCs w:val="28"/>
        </w:rPr>
        <w:t xml:space="preserve">点 </w:t>
      </w:r>
      <w:r>
        <w:rPr>
          <w:rFonts w:hint="eastAsia" w:ascii="仿宋" w:hAnsi="仿宋" w:eastAsia="仿宋" w:cs="仿宋"/>
          <w:bCs/>
          <w:sz w:val="28"/>
          <w:szCs w:val="28"/>
          <w:lang w:val="en-US" w:eastAsia="zh-CN"/>
        </w:rPr>
        <w:t>3</w:t>
      </w:r>
      <w:r>
        <w:rPr>
          <w:rFonts w:hint="eastAsia" w:ascii="仿宋" w:hAnsi="仿宋" w:eastAsia="仿宋" w:cs="仿宋"/>
          <w:bCs/>
          <w:sz w:val="28"/>
          <w:szCs w:val="28"/>
        </w:rPr>
        <w:t>0分（北京时间）前递交响应文件</w:t>
      </w:r>
      <w:r>
        <w:rPr>
          <w:rFonts w:hint="eastAsia" w:ascii="仿宋" w:hAnsi="仿宋" w:eastAsia="仿宋" w:cs="仿宋"/>
          <w:sz w:val="28"/>
          <w:szCs w:val="28"/>
        </w:rPr>
        <w:t>。</w:t>
      </w:r>
    </w:p>
    <w:p w14:paraId="545A9B96">
      <w:pPr>
        <w:adjustRightInd w:val="0"/>
        <w:snapToGrid w:val="0"/>
        <w:spacing w:line="560" w:lineRule="exact"/>
        <w:ind w:firstLine="560" w:firstLineChars="200"/>
        <w:rPr>
          <w:rFonts w:ascii="仿宋" w:hAnsi="仿宋" w:eastAsia="仿宋" w:cs="仿宋"/>
          <w:sz w:val="28"/>
          <w:szCs w:val="28"/>
        </w:rPr>
      </w:pPr>
    </w:p>
    <w:p w14:paraId="7AFB7121">
      <w:pPr>
        <w:pStyle w:val="3"/>
        <w:widowControl/>
        <w:adjustRightInd w:val="0"/>
        <w:snapToGrid w:val="0"/>
        <w:spacing w:before="48" w:beforeLines="20" w:after="48" w:afterLines="20" w:line="560" w:lineRule="exact"/>
        <w:ind w:firstLine="560" w:firstLineChars="200"/>
        <w:rPr>
          <w:rStyle w:val="103"/>
          <w:rFonts w:ascii="仿宋" w:hAnsi="仿宋" w:eastAsia="仿宋" w:cs="仿宋"/>
          <w:b w:val="0"/>
          <w:bCs w:val="0"/>
          <w:sz w:val="28"/>
          <w:szCs w:val="28"/>
        </w:rPr>
      </w:pPr>
      <w:bookmarkStart w:id="3" w:name="_Toc35393790"/>
      <w:bookmarkStart w:id="4" w:name="_Toc28359002"/>
      <w:bookmarkStart w:id="5" w:name="_Toc35393621"/>
      <w:bookmarkStart w:id="6" w:name="_Toc28359079"/>
      <w:bookmarkStart w:id="7" w:name="_Hlk24379207"/>
      <w:r>
        <w:rPr>
          <w:rStyle w:val="103"/>
          <w:rFonts w:hint="eastAsia" w:ascii="仿宋" w:hAnsi="仿宋" w:eastAsia="仿宋" w:cs="仿宋"/>
          <w:b w:val="0"/>
          <w:bCs w:val="0"/>
          <w:sz w:val="28"/>
          <w:szCs w:val="28"/>
        </w:rPr>
        <w:t>一、项目基本情况</w:t>
      </w:r>
      <w:bookmarkEnd w:id="3"/>
      <w:bookmarkEnd w:id="4"/>
      <w:bookmarkEnd w:id="5"/>
      <w:bookmarkEnd w:id="6"/>
    </w:p>
    <w:p w14:paraId="4BB9CD0E">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项目编号：ZF2025-03-1233</w:t>
      </w:r>
    </w:p>
    <w:p w14:paraId="0EAE27D1">
      <w:pPr>
        <w:adjustRightInd w:val="0"/>
        <w:snapToGrid w:val="0"/>
        <w:spacing w:line="560" w:lineRule="exact"/>
        <w:ind w:firstLine="560" w:firstLineChars="200"/>
        <w:rPr>
          <w:rFonts w:ascii="仿宋" w:hAnsi="仿宋" w:eastAsia="仿宋" w:cs="仿宋"/>
          <w:color w:val="0000FF"/>
          <w:sz w:val="28"/>
          <w:szCs w:val="28"/>
        </w:rPr>
      </w:pPr>
      <w:r>
        <w:rPr>
          <w:rFonts w:hint="eastAsia" w:ascii="仿宋" w:hAnsi="仿宋" w:eastAsia="仿宋" w:cs="仿宋"/>
          <w:sz w:val="28"/>
          <w:szCs w:val="28"/>
        </w:rPr>
        <w:t>项目名称：安徽省煤炭科学研究院矿山灾害调查治理及检测技术能力建设项目</w:t>
      </w:r>
    </w:p>
    <w:p w14:paraId="40869E55">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采购方式：竞争性磋商</w:t>
      </w:r>
    </w:p>
    <w:bookmarkEnd w:id="7"/>
    <w:p w14:paraId="0649071B">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预算金</w:t>
      </w:r>
      <w:r>
        <w:rPr>
          <w:rFonts w:hint="eastAsia" w:ascii="仿宋" w:hAnsi="仿宋" w:eastAsia="仿宋" w:cs="仿宋"/>
          <w:color w:val="000000"/>
          <w:sz w:val="28"/>
          <w:szCs w:val="28"/>
        </w:rPr>
        <w:t xml:space="preserve">额：79.6万元        </w:t>
      </w:r>
      <w:r>
        <w:rPr>
          <w:rFonts w:hint="eastAsia" w:ascii="仿宋" w:hAnsi="仿宋" w:eastAsia="仿宋" w:cs="仿宋"/>
          <w:sz w:val="28"/>
          <w:szCs w:val="28"/>
        </w:rPr>
        <w:t xml:space="preserve"> </w:t>
      </w:r>
    </w:p>
    <w:p w14:paraId="1BE2A3C6">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最高限价：</w:t>
      </w:r>
      <w:r>
        <w:rPr>
          <w:rFonts w:hint="eastAsia" w:ascii="仿宋" w:hAnsi="仿宋" w:eastAsia="仿宋" w:cs="仿宋"/>
          <w:color w:val="000000"/>
          <w:sz w:val="28"/>
          <w:szCs w:val="28"/>
        </w:rPr>
        <w:t xml:space="preserve">79.6万元      </w:t>
      </w:r>
      <w:r>
        <w:rPr>
          <w:rFonts w:hint="eastAsia" w:ascii="仿宋" w:hAnsi="仿宋" w:eastAsia="仿宋" w:cs="仿宋"/>
          <w:sz w:val="28"/>
          <w:szCs w:val="28"/>
        </w:rPr>
        <w:t xml:space="preserve">           </w:t>
      </w:r>
    </w:p>
    <w:p w14:paraId="1661096E">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采购需求：主要采购6台微型</w:t>
      </w:r>
      <w:bookmarkStart w:id="777" w:name="_GoBack"/>
      <w:r>
        <w:rPr>
          <w:rFonts w:hint="eastAsia" w:ascii="仿宋" w:hAnsi="仿宋" w:eastAsia="仿宋" w:cs="仿宋"/>
          <w:sz w:val="28"/>
          <w:szCs w:val="28"/>
        </w:rPr>
        <w:t>地震探测仪</w:t>
      </w:r>
      <w:bookmarkEnd w:id="777"/>
      <w:r>
        <w:rPr>
          <w:rFonts w:hint="eastAsia" w:ascii="仿宋" w:hAnsi="仿宋" w:eastAsia="仿宋" w:cs="仿宋"/>
          <w:sz w:val="28"/>
          <w:szCs w:val="28"/>
        </w:rPr>
        <w:t>台站，1套光学建模飞行平台套装，温度传感器校验装置、风压传感器校验装置和矿井巷道风速检测装置各1套，2套有毒有害气体检测报警装置，1套煤岩试样自动加工及数据采集系统，1套热重分析仪。</w:t>
      </w:r>
    </w:p>
    <w:p w14:paraId="5F9AAF4C">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合同履行期限：合同签订生效后30日历天内完成供货、安装和调试。</w:t>
      </w:r>
    </w:p>
    <w:p w14:paraId="4C041334">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本项目不接受联合体。</w:t>
      </w:r>
      <w:bookmarkStart w:id="8" w:name="_Toc35393791"/>
      <w:bookmarkStart w:id="9" w:name="_Toc28359003"/>
      <w:bookmarkStart w:id="10" w:name="_Toc28359080"/>
      <w:bookmarkStart w:id="11" w:name="_Toc35393622"/>
    </w:p>
    <w:p w14:paraId="74A4286A">
      <w:pPr>
        <w:pStyle w:val="3"/>
        <w:widowControl/>
        <w:adjustRightInd w:val="0"/>
        <w:snapToGrid w:val="0"/>
        <w:spacing w:before="48" w:beforeLines="20" w:after="48" w:afterLines="20" w:line="560" w:lineRule="exact"/>
        <w:ind w:firstLine="560" w:firstLineChars="200"/>
        <w:rPr>
          <w:rStyle w:val="103"/>
          <w:rFonts w:ascii="仿宋" w:hAnsi="仿宋" w:eastAsia="仿宋" w:cs="仿宋"/>
          <w:b w:val="0"/>
          <w:bCs w:val="0"/>
          <w:sz w:val="28"/>
          <w:szCs w:val="28"/>
        </w:rPr>
      </w:pPr>
      <w:r>
        <w:rPr>
          <w:rStyle w:val="103"/>
          <w:rFonts w:hint="eastAsia" w:ascii="仿宋" w:hAnsi="仿宋" w:eastAsia="仿宋" w:cs="仿宋"/>
          <w:b w:val="0"/>
          <w:bCs w:val="0"/>
          <w:sz w:val="28"/>
          <w:szCs w:val="28"/>
        </w:rPr>
        <w:t>二、申请人的资格要求：</w:t>
      </w:r>
      <w:bookmarkEnd w:id="8"/>
      <w:bookmarkEnd w:id="9"/>
      <w:bookmarkEnd w:id="10"/>
      <w:bookmarkEnd w:id="11"/>
    </w:p>
    <w:p w14:paraId="644BBA8E">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1.满足《中华人民共和国政府采购法》第二十二条规定；</w:t>
      </w:r>
    </w:p>
    <w:p w14:paraId="47592AFB">
      <w:pPr>
        <w:adjustRightInd w:val="0"/>
        <w:snapToGrid w:val="0"/>
        <w:spacing w:line="560" w:lineRule="exact"/>
        <w:ind w:firstLine="560" w:firstLineChars="200"/>
        <w:rPr>
          <w:rFonts w:ascii="仿宋" w:hAnsi="仿宋" w:eastAsia="仿宋" w:cs="仿宋"/>
          <w:color w:val="000000"/>
          <w:sz w:val="28"/>
          <w:szCs w:val="28"/>
          <w:highlight w:val="yellow"/>
        </w:rPr>
      </w:pPr>
      <w:bookmarkStart w:id="12" w:name="_Toc28359004"/>
      <w:bookmarkStart w:id="13" w:name="_Toc28359081"/>
      <w:r>
        <w:rPr>
          <w:rFonts w:hint="eastAsia" w:ascii="仿宋" w:hAnsi="仿宋" w:eastAsia="仿宋" w:cs="仿宋"/>
          <w:color w:val="000000"/>
          <w:sz w:val="28"/>
          <w:szCs w:val="28"/>
        </w:rPr>
        <w:t>2.落实政府采购政策需满足的资格要求：</w:t>
      </w:r>
      <w:bookmarkStart w:id="14" w:name="_Toc35393792"/>
      <w:bookmarkStart w:id="15" w:name="_Toc35393623"/>
      <w:r>
        <w:rPr>
          <w:rFonts w:hint="eastAsia" w:ascii="仿宋" w:hAnsi="仿宋" w:eastAsia="仿宋" w:cs="仿宋"/>
          <w:color w:val="000000"/>
          <w:sz w:val="28"/>
          <w:szCs w:val="28"/>
        </w:rPr>
        <w:t>本采购项目整体专门面向中小企业采购，供应商提供的货物由中小微企业、监狱企业或残疾人福利性单位制造。</w:t>
      </w:r>
    </w:p>
    <w:p w14:paraId="01E8DE83">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3.信誉要求：</w:t>
      </w:r>
    </w:p>
    <w:p w14:paraId="2A7ABCA1">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截至提交首次响应文件截止时间，供应商（不含其不具有独立法人资格的分支机构）存在下列有效情形之一的，其响应文件按无效处理。</w:t>
      </w:r>
    </w:p>
    <w:p w14:paraId="2F6B3D6B">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（1）被人民法院列入失信被执行人名单的；</w:t>
      </w:r>
    </w:p>
    <w:p w14:paraId="137353F2">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（2）被税务机关列入重大税收违法案件当事人名单的；</w:t>
      </w:r>
    </w:p>
    <w:p w14:paraId="745ADF97">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（3）被财政部门列入政府采购严重违法失信名单的；</w:t>
      </w:r>
    </w:p>
    <w:p w14:paraId="5ADFF1F5">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5A13D7A2">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注：“有效”是指“情形”规定的程度、起止期间处于有效状态。</w:t>
      </w:r>
    </w:p>
    <w:p w14:paraId="0927F3F0">
      <w:pPr>
        <w:pStyle w:val="3"/>
        <w:widowControl/>
        <w:adjustRightInd w:val="0"/>
        <w:snapToGrid w:val="0"/>
        <w:spacing w:before="48" w:beforeLines="20" w:after="48" w:afterLines="20" w:line="560" w:lineRule="exact"/>
        <w:ind w:firstLine="560" w:firstLineChars="200"/>
        <w:rPr>
          <w:rStyle w:val="103"/>
          <w:rFonts w:ascii="仿宋" w:hAnsi="仿宋" w:eastAsia="仿宋" w:cs="仿宋"/>
          <w:b w:val="0"/>
          <w:bCs w:val="0"/>
          <w:sz w:val="28"/>
          <w:szCs w:val="28"/>
        </w:rPr>
      </w:pPr>
      <w:r>
        <w:rPr>
          <w:rStyle w:val="103"/>
          <w:rFonts w:hint="eastAsia" w:ascii="仿宋" w:hAnsi="仿宋" w:eastAsia="仿宋" w:cs="仿宋"/>
          <w:b w:val="0"/>
          <w:bCs w:val="0"/>
          <w:sz w:val="28"/>
          <w:szCs w:val="28"/>
        </w:rPr>
        <w:t>三、获取采购文件</w:t>
      </w:r>
      <w:bookmarkEnd w:id="12"/>
      <w:bookmarkEnd w:id="13"/>
      <w:bookmarkEnd w:id="14"/>
      <w:bookmarkEnd w:id="15"/>
    </w:p>
    <w:p w14:paraId="6CE1A468">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color w:val="000000"/>
          <w:sz w:val="28"/>
          <w:szCs w:val="28"/>
        </w:rPr>
        <w:t>时间：2025年8月</w:t>
      </w:r>
      <w:r>
        <w:rPr>
          <w:rFonts w:hint="eastAsia" w:ascii="仿宋" w:hAnsi="仿宋" w:eastAsia="仿宋" w:cs="仿宋"/>
          <w:color w:val="000000"/>
          <w:sz w:val="28"/>
          <w:szCs w:val="28"/>
          <w:lang w:val="en-US" w:eastAsia="zh-CN"/>
        </w:rPr>
        <w:t>25</w:t>
      </w:r>
      <w:r>
        <w:rPr>
          <w:rFonts w:hint="eastAsia" w:ascii="仿宋" w:hAnsi="仿宋" w:eastAsia="仿宋" w:cs="仿宋"/>
          <w:color w:val="000000"/>
          <w:sz w:val="28"/>
          <w:szCs w:val="28"/>
        </w:rPr>
        <w:t>日至2025年</w:t>
      </w:r>
      <w:r>
        <w:rPr>
          <w:rFonts w:hint="eastAsia" w:ascii="仿宋" w:hAnsi="仿宋" w:eastAsia="仿宋" w:cs="仿宋"/>
          <w:color w:val="000000"/>
          <w:sz w:val="28"/>
          <w:szCs w:val="28"/>
          <w:lang w:val="en-US" w:eastAsia="zh-CN"/>
        </w:rPr>
        <w:t>9</w:t>
      </w:r>
      <w:r>
        <w:rPr>
          <w:rFonts w:hint="eastAsia" w:ascii="仿宋" w:hAnsi="仿宋" w:eastAsia="仿宋" w:cs="仿宋"/>
          <w:color w:val="000000"/>
          <w:sz w:val="28"/>
          <w:szCs w:val="28"/>
        </w:rPr>
        <w:t>月</w:t>
      </w: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日</w:t>
      </w:r>
      <w:r>
        <w:rPr>
          <w:rFonts w:hint="eastAsia" w:ascii="仿宋" w:hAnsi="仿宋" w:eastAsia="仿宋" w:cs="仿宋"/>
          <w:iCs/>
          <w:color w:val="000000"/>
          <w:sz w:val="28"/>
          <w:szCs w:val="28"/>
        </w:rPr>
        <w:t>17：30分止(北京时</w:t>
      </w:r>
      <w:r>
        <w:rPr>
          <w:rFonts w:hint="eastAsia" w:ascii="仿宋" w:hAnsi="仿宋" w:eastAsia="仿宋" w:cs="仿宋"/>
          <w:iCs/>
          <w:sz w:val="28"/>
          <w:szCs w:val="28"/>
        </w:rPr>
        <w:t>间)</w:t>
      </w:r>
      <w:r>
        <w:rPr>
          <w:rFonts w:hint="eastAsia" w:ascii="仿宋" w:hAnsi="仿宋" w:eastAsia="仿宋" w:cs="仿宋"/>
          <w:sz w:val="28"/>
          <w:szCs w:val="28"/>
        </w:rPr>
        <w:t>。</w:t>
      </w:r>
    </w:p>
    <w:p w14:paraId="691ABDE8">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地点：“优质采招标采购平台（www.yzczb.com）”或“优质采云采购平台（www.youzhicai.com）”</w:t>
      </w:r>
    </w:p>
    <w:p w14:paraId="79CB5445">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方式：在线下载</w:t>
      </w:r>
    </w:p>
    <w:p w14:paraId="4419A960">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售价(元)：0</w:t>
      </w:r>
    </w:p>
    <w:p w14:paraId="5CA6A642">
      <w:pPr>
        <w:pStyle w:val="3"/>
        <w:widowControl/>
        <w:adjustRightInd w:val="0"/>
        <w:snapToGrid w:val="0"/>
        <w:spacing w:before="48" w:beforeLines="20" w:after="48" w:afterLines="20" w:line="560" w:lineRule="exact"/>
        <w:ind w:firstLine="560" w:firstLineChars="200"/>
        <w:rPr>
          <w:rStyle w:val="103"/>
          <w:rFonts w:ascii="仿宋" w:hAnsi="仿宋" w:eastAsia="仿宋" w:cs="仿宋"/>
          <w:b w:val="0"/>
          <w:bCs w:val="0"/>
          <w:sz w:val="28"/>
          <w:szCs w:val="28"/>
        </w:rPr>
      </w:pPr>
      <w:bookmarkStart w:id="16" w:name="_Toc28359082"/>
      <w:bookmarkStart w:id="17" w:name="_Toc35393793"/>
      <w:bookmarkStart w:id="18" w:name="_Toc35393624"/>
      <w:bookmarkStart w:id="19" w:name="_Toc28359005"/>
      <w:r>
        <w:rPr>
          <w:rStyle w:val="103"/>
          <w:rFonts w:hint="eastAsia" w:ascii="仿宋" w:hAnsi="仿宋" w:eastAsia="仿宋" w:cs="仿宋"/>
          <w:b w:val="0"/>
          <w:bCs w:val="0"/>
          <w:sz w:val="28"/>
          <w:szCs w:val="28"/>
        </w:rPr>
        <w:t>四、</w:t>
      </w:r>
      <w:bookmarkEnd w:id="16"/>
      <w:bookmarkEnd w:id="17"/>
      <w:bookmarkEnd w:id="18"/>
      <w:bookmarkEnd w:id="19"/>
      <w:r>
        <w:rPr>
          <w:rStyle w:val="103"/>
          <w:rFonts w:hint="eastAsia" w:ascii="仿宋" w:hAnsi="仿宋" w:eastAsia="仿宋" w:cs="仿宋"/>
          <w:b w:val="0"/>
          <w:bCs w:val="0"/>
          <w:sz w:val="28"/>
          <w:szCs w:val="28"/>
        </w:rPr>
        <w:t>响应文件提交</w:t>
      </w:r>
    </w:p>
    <w:p w14:paraId="05C76235">
      <w:pPr>
        <w:adjustRightInd w:val="0"/>
        <w:snapToGrid w:val="0"/>
        <w:spacing w:line="560" w:lineRule="exact"/>
        <w:ind w:firstLine="560" w:firstLineChars="200"/>
        <w:rPr>
          <w:rFonts w:ascii="仿宋" w:hAnsi="仿宋" w:eastAsia="仿宋" w:cs="仿宋"/>
          <w:color w:val="0000FF"/>
          <w:sz w:val="28"/>
          <w:szCs w:val="28"/>
        </w:rPr>
      </w:pPr>
      <w:r>
        <w:rPr>
          <w:rFonts w:hint="eastAsia" w:ascii="仿宋" w:hAnsi="仿宋" w:eastAsia="仿宋" w:cs="仿宋"/>
          <w:bCs/>
          <w:sz w:val="28"/>
          <w:szCs w:val="28"/>
        </w:rPr>
        <w:t>截止时间：</w:t>
      </w:r>
      <w:r>
        <w:rPr>
          <w:rFonts w:hint="eastAsia" w:ascii="仿宋" w:hAnsi="仿宋" w:eastAsia="仿宋" w:cs="仿宋"/>
          <w:color w:val="000000"/>
          <w:sz w:val="28"/>
          <w:szCs w:val="28"/>
        </w:rPr>
        <w:t>2025</w:t>
      </w:r>
      <w:r>
        <w:rPr>
          <w:rFonts w:hint="eastAsia" w:ascii="仿宋" w:hAnsi="仿宋" w:eastAsia="仿宋" w:cs="仿宋"/>
          <w:bCs/>
          <w:color w:val="000000"/>
          <w:sz w:val="28"/>
          <w:szCs w:val="28"/>
        </w:rPr>
        <w:t>年</w:t>
      </w:r>
      <w:r>
        <w:rPr>
          <w:rFonts w:hint="eastAsia" w:ascii="仿宋" w:hAnsi="仿宋" w:eastAsia="仿宋" w:cs="仿宋"/>
          <w:bCs/>
          <w:color w:val="000000"/>
          <w:sz w:val="28"/>
          <w:szCs w:val="28"/>
          <w:lang w:val="en-US" w:eastAsia="zh-CN"/>
        </w:rPr>
        <w:t>9</w:t>
      </w:r>
      <w:r>
        <w:rPr>
          <w:rFonts w:hint="eastAsia" w:ascii="仿宋" w:hAnsi="仿宋" w:eastAsia="仿宋" w:cs="仿宋"/>
          <w:bCs/>
          <w:color w:val="000000"/>
          <w:sz w:val="28"/>
          <w:szCs w:val="28"/>
        </w:rPr>
        <w:t>月</w:t>
      </w:r>
      <w:r>
        <w:rPr>
          <w:rFonts w:hint="eastAsia" w:ascii="仿宋" w:hAnsi="仿宋" w:eastAsia="仿宋" w:cs="仿宋"/>
          <w:bCs/>
          <w:color w:val="000000"/>
          <w:sz w:val="28"/>
          <w:szCs w:val="28"/>
          <w:lang w:val="en-US" w:eastAsia="zh-CN"/>
        </w:rPr>
        <w:t>5</w:t>
      </w:r>
      <w:r>
        <w:rPr>
          <w:rFonts w:hint="eastAsia" w:ascii="仿宋" w:hAnsi="仿宋" w:eastAsia="仿宋" w:cs="仿宋"/>
          <w:bCs/>
          <w:color w:val="000000"/>
          <w:sz w:val="28"/>
          <w:szCs w:val="28"/>
        </w:rPr>
        <w:t>日1</w:t>
      </w:r>
      <w:r>
        <w:rPr>
          <w:rFonts w:hint="eastAsia" w:ascii="仿宋" w:hAnsi="仿宋" w:eastAsia="仿宋" w:cs="仿宋"/>
          <w:bCs/>
          <w:color w:val="000000"/>
          <w:sz w:val="28"/>
          <w:szCs w:val="28"/>
          <w:lang w:val="en-US" w:eastAsia="zh-CN"/>
        </w:rPr>
        <w:t>4</w:t>
      </w:r>
      <w:r>
        <w:rPr>
          <w:rFonts w:hint="eastAsia" w:ascii="仿宋" w:hAnsi="仿宋" w:eastAsia="仿宋" w:cs="仿宋"/>
          <w:bCs/>
          <w:color w:val="000000"/>
          <w:sz w:val="28"/>
          <w:szCs w:val="28"/>
        </w:rPr>
        <w:t>点</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0分（北京时间）</w:t>
      </w:r>
    </w:p>
    <w:p w14:paraId="5CC2C6C6">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电子响应文件线上提交方式：“优质采招标采购平台（www.yzczb.com）”或“优质采云采购平台（www.youzhicai.com）”</w:t>
      </w:r>
    </w:p>
    <w:p w14:paraId="28420D0C">
      <w:pPr>
        <w:pStyle w:val="3"/>
        <w:widowControl/>
        <w:adjustRightInd w:val="0"/>
        <w:snapToGrid w:val="0"/>
        <w:spacing w:before="48" w:beforeLines="20" w:after="48" w:afterLines="20" w:line="560" w:lineRule="exact"/>
        <w:ind w:firstLine="560" w:firstLineChars="200"/>
        <w:rPr>
          <w:rStyle w:val="103"/>
          <w:rFonts w:ascii="仿宋" w:hAnsi="仿宋" w:eastAsia="仿宋" w:cs="仿宋"/>
          <w:b w:val="0"/>
          <w:bCs w:val="0"/>
          <w:sz w:val="28"/>
          <w:szCs w:val="28"/>
        </w:rPr>
      </w:pPr>
      <w:bookmarkStart w:id="20" w:name="_Toc35393794"/>
      <w:bookmarkStart w:id="21" w:name="_Toc28359084"/>
      <w:bookmarkStart w:id="22" w:name="_Toc35393625"/>
      <w:bookmarkStart w:id="23" w:name="_Toc28359007"/>
      <w:r>
        <w:rPr>
          <w:rStyle w:val="103"/>
          <w:rFonts w:hint="eastAsia" w:ascii="仿宋" w:hAnsi="仿宋" w:eastAsia="仿宋" w:cs="仿宋"/>
          <w:b w:val="0"/>
          <w:bCs w:val="0"/>
          <w:sz w:val="28"/>
          <w:szCs w:val="28"/>
        </w:rPr>
        <w:t>五、开启</w:t>
      </w:r>
    </w:p>
    <w:p w14:paraId="75F2B3D3">
      <w:pPr>
        <w:adjustRightInd w:val="0"/>
        <w:snapToGrid w:val="0"/>
        <w:spacing w:line="560" w:lineRule="exact"/>
        <w:ind w:firstLine="560" w:firstLineChars="200"/>
        <w:rPr>
          <w:rFonts w:ascii="仿宋" w:hAnsi="仿宋" w:eastAsia="仿宋" w:cs="仿宋"/>
          <w:bCs/>
          <w:sz w:val="28"/>
          <w:szCs w:val="28"/>
        </w:rPr>
      </w:pPr>
      <w:r>
        <w:rPr>
          <w:rFonts w:hint="eastAsia" w:ascii="仿宋" w:hAnsi="仿宋" w:eastAsia="仿宋" w:cs="仿宋"/>
          <w:sz w:val="28"/>
          <w:szCs w:val="28"/>
        </w:rPr>
        <w:t>时间：2025</w:t>
      </w:r>
      <w:r>
        <w:rPr>
          <w:rFonts w:hint="eastAsia" w:ascii="仿宋" w:hAnsi="仿宋" w:eastAsia="仿宋" w:cs="仿宋"/>
          <w:bCs/>
          <w:sz w:val="28"/>
          <w:szCs w:val="28"/>
        </w:rPr>
        <w:t>年</w:t>
      </w:r>
      <w:r>
        <w:rPr>
          <w:rFonts w:hint="eastAsia" w:ascii="仿宋" w:hAnsi="仿宋" w:eastAsia="仿宋" w:cs="仿宋"/>
          <w:bCs/>
          <w:color w:val="000000"/>
          <w:sz w:val="28"/>
          <w:szCs w:val="28"/>
          <w:lang w:val="en-US" w:eastAsia="zh-CN"/>
        </w:rPr>
        <w:t>9</w:t>
      </w:r>
      <w:r>
        <w:rPr>
          <w:rFonts w:hint="eastAsia" w:ascii="仿宋" w:hAnsi="仿宋" w:eastAsia="仿宋" w:cs="仿宋"/>
          <w:bCs/>
          <w:color w:val="000000"/>
          <w:sz w:val="28"/>
          <w:szCs w:val="28"/>
        </w:rPr>
        <w:t>月</w:t>
      </w:r>
      <w:r>
        <w:rPr>
          <w:rFonts w:hint="eastAsia" w:ascii="仿宋" w:hAnsi="仿宋" w:eastAsia="仿宋" w:cs="仿宋"/>
          <w:bCs/>
          <w:color w:val="000000"/>
          <w:sz w:val="28"/>
          <w:szCs w:val="28"/>
          <w:lang w:val="en-US" w:eastAsia="zh-CN"/>
        </w:rPr>
        <w:t>5</w:t>
      </w:r>
      <w:r>
        <w:rPr>
          <w:rFonts w:hint="eastAsia" w:ascii="仿宋" w:hAnsi="仿宋" w:eastAsia="仿宋" w:cs="仿宋"/>
          <w:bCs/>
          <w:color w:val="000000"/>
          <w:sz w:val="28"/>
          <w:szCs w:val="28"/>
        </w:rPr>
        <w:t>日1</w:t>
      </w:r>
      <w:r>
        <w:rPr>
          <w:rFonts w:hint="eastAsia" w:ascii="仿宋" w:hAnsi="仿宋" w:eastAsia="仿宋" w:cs="仿宋"/>
          <w:bCs/>
          <w:color w:val="000000"/>
          <w:sz w:val="28"/>
          <w:szCs w:val="28"/>
          <w:lang w:val="en-US" w:eastAsia="zh-CN"/>
        </w:rPr>
        <w:t>4</w:t>
      </w:r>
      <w:r>
        <w:rPr>
          <w:rFonts w:hint="eastAsia" w:ascii="仿宋" w:hAnsi="仿宋" w:eastAsia="仿宋" w:cs="仿宋"/>
          <w:bCs/>
          <w:color w:val="000000"/>
          <w:sz w:val="28"/>
          <w:szCs w:val="28"/>
        </w:rPr>
        <w:t>点</w:t>
      </w:r>
      <w:r>
        <w:rPr>
          <w:rFonts w:hint="eastAsia" w:ascii="仿宋" w:hAnsi="仿宋" w:eastAsia="仿宋" w:cs="仿宋"/>
          <w:bCs/>
          <w:color w:val="000000"/>
          <w:sz w:val="28"/>
          <w:szCs w:val="28"/>
          <w:lang w:val="en-US" w:eastAsia="zh-CN"/>
        </w:rPr>
        <w:t>3</w:t>
      </w:r>
      <w:r>
        <w:rPr>
          <w:rFonts w:hint="eastAsia" w:ascii="仿宋" w:hAnsi="仿宋" w:eastAsia="仿宋" w:cs="仿宋"/>
          <w:bCs/>
          <w:sz w:val="28"/>
          <w:szCs w:val="28"/>
        </w:rPr>
        <w:t>0分（北京时间）</w:t>
      </w:r>
    </w:p>
    <w:p w14:paraId="6C202A83">
      <w:pPr>
        <w:adjustRightInd w:val="0"/>
        <w:snapToGrid w:val="0"/>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地点：线上开启地点：“优质采招标采购平台（www.yzczb.com）”或“优质采云采购平台（www.youzhicai.com）”</w:t>
      </w:r>
    </w:p>
    <w:p w14:paraId="6BEC8F91">
      <w:pPr>
        <w:pStyle w:val="3"/>
        <w:widowControl/>
        <w:adjustRightInd w:val="0"/>
        <w:snapToGrid w:val="0"/>
        <w:spacing w:before="48" w:beforeLines="20" w:after="48" w:afterLines="20" w:line="560" w:lineRule="exact"/>
        <w:ind w:firstLine="560" w:firstLineChars="200"/>
        <w:rPr>
          <w:rStyle w:val="103"/>
          <w:rFonts w:ascii="仿宋" w:hAnsi="仿宋" w:eastAsia="仿宋" w:cs="仿宋"/>
          <w:b w:val="0"/>
          <w:bCs w:val="0"/>
          <w:sz w:val="28"/>
          <w:szCs w:val="28"/>
        </w:rPr>
      </w:pPr>
      <w:r>
        <w:rPr>
          <w:rStyle w:val="103"/>
          <w:rFonts w:hint="eastAsia" w:ascii="仿宋" w:hAnsi="仿宋" w:eastAsia="仿宋" w:cs="仿宋"/>
          <w:b w:val="0"/>
          <w:bCs w:val="0"/>
          <w:sz w:val="28"/>
          <w:szCs w:val="28"/>
        </w:rPr>
        <w:t>六、公告期限</w:t>
      </w:r>
      <w:bookmarkEnd w:id="20"/>
      <w:bookmarkEnd w:id="21"/>
      <w:bookmarkEnd w:id="22"/>
      <w:bookmarkEnd w:id="23"/>
    </w:p>
    <w:p w14:paraId="544B2AB7">
      <w:pPr>
        <w:adjustRightInd w:val="0"/>
        <w:snapToGrid w:val="0"/>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自本公告发布之日起3个工作日。</w:t>
      </w:r>
    </w:p>
    <w:p w14:paraId="27BC88A0">
      <w:pPr>
        <w:pStyle w:val="3"/>
        <w:widowControl/>
        <w:adjustRightInd w:val="0"/>
        <w:snapToGrid w:val="0"/>
        <w:spacing w:before="48" w:beforeLines="20" w:after="48" w:afterLines="20" w:line="560" w:lineRule="exact"/>
        <w:ind w:firstLine="560" w:firstLineChars="200"/>
        <w:rPr>
          <w:rStyle w:val="103"/>
          <w:rFonts w:ascii="仿宋" w:hAnsi="仿宋" w:eastAsia="仿宋" w:cs="仿宋"/>
          <w:b w:val="0"/>
          <w:bCs w:val="0"/>
          <w:sz w:val="28"/>
          <w:szCs w:val="28"/>
        </w:rPr>
      </w:pPr>
      <w:bookmarkStart w:id="24" w:name="_Toc35393626"/>
      <w:bookmarkStart w:id="25" w:name="_Toc35393795"/>
      <w:r>
        <w:rPr>
          <w:rStyle w:val="103"/>
          <w:rFonts w:hint="eastAsia" w:ascii="仿宋" w:hAnsi="仿宋" w:eastAsia="仿宋" w:cs="仿宋"/>
          <w:b w:val="0"/>
          <w:bCs w:val="0"/>
          <w:sz w:val="28"/>
          <w:szCs w:val="28"/>
        </w:rPr>
        <w:t>七、其他补充事宜</w:t>
      </w:r>
      <w:bookmarkEnd w:id="24"/>
      <w:bookmarkEnd w:id="25"/>
    </w:p>
    <w:p w14:paraId="48A6434B">
      <w:pPr>
        <w:widowControl/>
        <w:topLinePunct/>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本项目相关信息同时在“安徽省政府采购网（www.ccgp-anhui.gov.cn）、中国招标投标公共服务平台（www.cebpubservice.com）、安徽省招标投标信息网（http://www.ahtba.org.cn/）、优质采招标采购平台（www.yzczb.com）和优质采云采购平台（www.youzhicai.com）”等媒介上发布；</w:t>
      </w:r>
    </w:p>
    <w:p w14:paraId="1B821371">
      <w:pPr>
        <w:widowControl/>
        <w:topLinePunct/>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2.本项目需落实的节能环保、中小企业扶持等相关政府采购政策详见采购文件。</w:t>
      </w:r>
    </w:p>
    <w:p w14:paraId="49349ECD">
      <w:pPr>
        <w:widowControl/>
        <w:topLinePunct/>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3.政府采购电子化交易要求：</w:t>
      </w:r>
    </w:p>
    <w:p w14:paraId="328449E1">
      <w:pPr>
        <w:widowControl/>
        <w:topLinePunct/>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184666BB">
      <w:pPr>
        <w:widowControl/>
        <w:topLinePunct/>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已注册的潜在投标人/供应商可登录优质采平台获取招标采购文件，本项目的招标采购文件及其他资料（含澄清、答疑及相关补充文件）通过优质采平台发布，采购人/代理机构不再另行书面通知，潜在投标人/供应商应及时关注、查阅优质采平台。因未及时查看导致不利后果的，责任自负。</w:t>
      </w:r>
    </w:p>
    <w:p w14:paraId="00A60332">
      <w:pPr>
        <w:widowControl/>
        <w:topLinePunct/>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（3）已注册的潜在投标人/供应商若注册信息发生变更（如：与初始注册信息不一致），应及时网上提交变更申请。因未及时变更导致不利后果的，责任自负。</w:t>
      </w:r>
    </w:p>
    <w:p w14:paraId="6EF81A90">
      <w:pPr>
        <w:widowControl/>
        <w:wordWrap w:val="0"/>
        <w:topLinePunct/>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6B8408C9">
      <w:pPr>
        <w:widowControl/>
        <w:wordWrap w:val="0"/>
        <w:topLinePunct/>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（5）电子投标/响应文件必须使用“优质采投标文件制作工具”制作生成并上传。下载地址：http://toolcdn.youzhicai.com/tools/BidderTools.zip，使用说明书及视频教程下载地址:http://file.youzhicai.com/files/BidderHelp.rar。</w:t>
      </w:r>
    </w:p>
    <w:p w14:paraId="579BECA4">
      <w:pPr>
        <w:pStyle w:val="3"/>
        <w:widowControl/>
        <w:adjustRightInd w:val="0"/>
        <w:snapToGrid w:val="0"/>
        <w:spacing w:before="48" w:beforeLines="20" w:after="48" w:afterLines="20" w:line="560" w:lineRule="exact"/>
        <w:ind w:firstLine="560" w:firstLineChars="200"/>
        <w:rPr>
          <w:rStyle w:val="103"/>
          <w:rFonts w:ascii="仿宋" w:hAnsi="仿宋" w:eastAsia="仿宋" w:cs="仿宋"/>
          <w:b w:val="0"/>
          <w:bCs w:val="0"/>
          <w:sz w:val="28"/>
          <w:szCs w:val="28"/>
        </w:rPr>
      </w:pPr>
      <w:r>
        <w:rPr>
          <w:rStyle w:val="103"/>
          <w:rFonts w:hint="eastAsia" w:ascii="仿宋" w:hAnsi="仿宋" w:eastAsia="仿宋" w:cs="仿宋"/>
          <w:b w:val="0"/>
          <w:bCs w:val="0"/>
          <w:sz w:val="28"/>
          <w:szCs w:val="28"/>
        </w:rPr>
        <w:t>八、凡对本次采购提出询问，请按以下方式联系。</w:t>
      </w:r>
    </w:p>
    <w:p w14:paraId="3567B5C5">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1.采购人信息</w:t>
      </w:r>
    </w:p>
    <w:p w14:paraId="37FA1336">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名 称：安徽省煤炭科学研究院 </w:t>
      </w:r>
    </w:p>
    <w:p w14:paraId="485A3A2C">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地 址：合肥市包河区宣城路81号 </w:t>
      </w:r>
    </w:p>
    <w:p w14:paraId="082C56B7">
      <w:pPr>
        <w:widowControl/>
        <w:adjustRightInd w:val="0"/>
        <w:snapToGrid w:val="0"/>
        <w:spacing w:line="560" w:lineRule="exact"/>
        <w:ind w:firstLine="560" w:firstLineChars="200"/>
        <w:jc w:val="left"/>
        <w:rPr>
          <w:rFonts w:ascii="仿宋" w:hAnsi="仿宋" w:eastAsia="仿宋" w:cs="仿宋"/>
          <w:color w:val="000000"/>
          <w:sz w:val="28"/>
          <w:szCs w:val="28"/>
        </w:rPr>
      </w:pPr>
      <w:r>
        <w:rPr>
          <w:rFonts w:hint="eastAsia" w:ascii="仿宋" w:hAnsi="仿宋" w:eastAsia="仿宋" w:cs="仿宋"/>
          <w:sz w:val="28"/>
          <w:szCs w:val="28"/>
        </w:rPr>
        <w:t>联系方式：</w:t>
      </w:r>
      <w:bookmarkStart w:id="26" w:name="_Toc28359086"/>
      <w:bookmarkStart w:id="27" w:name="_Toc28359009"/>
      <w:r>
        <w:rPr>
          <w:rFonts w:hint="eastAsia" w:ascii="仿宋" w:hAnsi="仿宋" w:eastAsia="仿宋" w:cs="仿宋"/>
          <w:sz w:val="28"/>
          <w:szCs w:val="28"/>
        </w:rPr>
        <w:t>王</w:t>
      </w:r>
      <w:r>
        <w:rPr>
          <w:rFonts w:hint="eastAsia" w:ascii="仿宋" w:hAnsi="仿宋" w:eastAsia="仿宋" w:cs="仿宋"/>
          <w:color w:val="000000"/>
          <w:sz w:val="28"/>
          <w:szCs w:val="28"/>
        </w:rPr>
        <w:t xml:space="preserve">主任  </w:t>
      </w:r>
    </w:p>
    <w:p w14:paraId="7C2BFC1E">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color w:val="000000"/>
          <w:sz w:val="28"/>
          <w:szCs w:val="28"/>
        </w:rPr>
        <w:t>电 话：18019902070</w:t>
      </w:r>
    </w:p>
    <w:p w14:paraId="2BA68FA8">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2.采购代理机构信息</w:t>
      </w:r>
      <w:bookmarkEnd w:id="26"/>
      <w:bookmarkEnd w:id="27"/>
    </w:p>
    <w:p w14:paraId="4C798965">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名 称：安徽省招标集团股份有限公司</w:t>
      </w:r>
    </w:p>
    <w:p w14:paraId="6335E0E6">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地 址：合肥市包河区紫云路888号1207室</w:t>
      </w:r>
    </w:p>
    <w:p w14:paraId="0899A451">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联系方式：</w:t>
      </w:r>
      <w:bookmarkStart w:id="28" w:name="_Toc28359010"/>
      <w:bookmarkStart w:id="29" w:name="_Toc28359087"/>
      <w:r>
        <w:rPr>
          <w:rFonts w:hint="eastAsia" w:ascii="仿宋" w:hAnsi="仿宋" w:eastAsia="仿宋" w:cs="仿宋"/>
          <w:sz w:val="28"/>
          <w:szCs w:val="28"/>
        </w:rPr>
        <w:t>许沁 18298001230 </w:t>
      </w:r>
    </w:p>
    <w:p w14:paraId="2177A277">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应急客服电话：0551-62220153（接听时间：8:30-12:00,13:30-17:30，节假日除外。潜在供应商应优先拨打项目联系人联系电话，无人接听时再拨打该“应急客服电话”）</w:t>
      </w:r>
    </w:p>
    <w:p w14:paraId="48DB5146">
      <w:pPr>
        <w:widowControl/>
        <w:adjustRightInd w:val="0"/>
        <w:snapToGrid w:val="0"/>
        <w:spacing w:line="56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3.项目联系方式</w:t>
      </w:r>
      <w:bookmarkEnd w:id="28"/>
      <w:bookmarkEnd w:id="29"/>
    </w:p>
    <w:p w14:paraId="6F7E03A6">
      <w:pPr>
        <w:pStyle w:val="24"/>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项目联系人：许沁    栾晓男 </w:t>
      </w:r>
    </w:p>
    <w:p w14:paraId="1B06E5F1">
      <w:pPr>
        <w:pStyle w:val="24"/>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电 话：18298001230   0551-66061377 </w:t>
      </w:r>
    </w:p>
    <w:p w14:paraId="57382DE9">
      <w:pPr>
        <w:widowControl/>
        <w:adjustRightInd w:val="0"/>
        <w:snapToGrid w:val="0"/>
        <w:spacing w:line="560" w:lineRule="exact"/>
        <w:ind w:firstLine="560" w:firstLineChars="200"/>
        <w:jc w:val="left"/>
        <w:rPr>
          <w:rFonts w:ascii="仿宋" w:hAnsi="仿宋" w:eastAsia="仿宋" w:cs="仿宋"/>
          <w:i/>
          <w:color w:val="0000FF"/>
          <w:sz w:val="28"/>
          <w:szCs w:val="28"/>
        </w:rPr>
      </w:pPr>
      <w:r>
        <w:rPr>
          <w:rFonts w:hint="eastAsia" w:ascii="仿宋" w:hAnsi="仿宋" w:eastAsia="仿宋" w:cs="仿宋"/>
          <w:sz w:val="28"/>
          <w:szCs w:val="28"/>
        </w:rPr>
        <w:t>附件：采购文件</w:t>
      </w:r>
    </w:p>
    <w:p w14:paraId="3EA8B7FF">
      <w:pPr>
        <w:pStyle w:val="2"/>
        <w:widowControl/>
        <w:adjustRightInd w:val="0"/>
        <w:snapToGrid w:val="0"/>
        <w:spacing w:before="0" w:after="0" w:line="560" w:lineRule="exact"/>
        <w:ind w:firstLine="562" w:firstLineChars="200"/>
        <w:jc w:val="center"/>
        <w:rPr>
          <w:rFonts w:ascii="宋体" w:hAnsi="宋体" w:eastAsia="仿宋"/>
        </w:rPr>
      </w:pPr>
      <w:bookmarkStart w:id="30" w:name="_Toc241459614"/>
      <w:bookmarkStart w:id="31" w:name="_Toc445554685"/>
      <w:bookmarkStart w:id="32" w:name="_Toc466024497"/>
      <w:bookmarkStart w:id="33" w:name="_Toc333587477"/>
      <w:bookmarkStart w:id="34" w:name="_Toc342296160"/>
      <w:bookmarkStart w:id="35" w:name="_Toc371415919"/>
      <w:bookmarkStart w:id="36" w:name="_Toc342297617"/>
      <w:r>
        <w:rPr>
          <w:rFonts w:hint="eastAsia" w:ascii="仿宋" w:hAnsi="仿宋" w:eastAsia="仿宋" w:cs="仿宋"/>
          <w:sz w:val="28"/>
          <w:szCs w:val="28"/>
        </w:rPr>
        <w:br w:type="page"/>
      </w:r>
      <w:bookmarkStart w:id="37" w:name="_Toc32750"/>
      <w:r>
        <w:rPr>
          <w:rFonts w:hint="eastAsia" w:ascii="宋体" w:hAnsi="宋体" w:eastAsia="仿宋"/>
        </w:rPr>
        <w:t>第二章</w:t>
      </w:r>
      <w:r>
        <w:rPr>
          <w:rFonts w:ascii="宋体" w:hAnsi="宋体" w:eastAsia="仿宋"/>
        </w:rPr>
        <w:t xml:space="preserve"> </w:t>
      </w:r>
      <w:r>
        <w:rPr>
          <w:rFonts w:hint="eastAsia" w:ascii="宋体" w:hAnsi="宋体" w:eastAsia="仿宋"/>
        </w:rPr>
        <w:t xml:space="preserve"> 供应商须知</w:t>
      </w:r>
      <w:bookmarkEnd w:id="30"/>
      <w:bookmarkEnd w:id="31"/>
      <w:bookmarkEnd w:id="32"/>
      <w:bookmarkEnd w:id="37"/>
    </w:p>
    <w:p w14:paraId="35815873">
      <w:pPr>
        <w:pStyle w:val="3"/>
        <w:widowControl/>
        <w:spacing w:before="120" w:after="120" w:line="240" w:lineRule="auto"/>
        <w:jc w:val="center"/>
        <w:rPr>
          <w:rStyle w:val="103"/>
          <w:rFonts w:ascii="仿宋" w:hAnsi="仿宋" w:eastAsia="仿宋" w:cs="仿宋"/>
          <w:b/>
          <w:bCs w:val="0"/>
          <w:sz w:val="28"/>
          <w:szCs w:val="28"/>
        </w:rPr>
      </w:pPr>
      <w:bookmarkStart w:id="38" w:name="_Toc445554686"/>
      <w:bookmarkStart w:id="39" w:name="_Toc466024498"/>
      <w:r>
        <w:rPr>
          <w:rStyle w:val="103"/>
          <w:rFonts w:hint="eastAsia" w:ascii="仿宋" w:hAnsi="仿宋" w:eastAsia="仿宋" w:cs="仿宋"/>
          <w:b/>
          <w:bCs w:val="0"/>
          <w:sz w:val="28"/>
          <w:szCs w:val="28"/>
        </w:rPr>
        <w:t>供应商须知前附表</w:t>
      </w:r>
      <w:bookmarkEnd w:id="38"/>
      <w:bookmarkEnd w:id="39"/>
    </w:p>
    <w:p w14:paraId="53AACCAE">
      <w:pPr>
        <w:widowControl/>
        <w:adjustRightInd w:val="0"/>
        <w:snapToGrid w:val="0"/>
        <w:spacing w:before="240" w:beforeLines="100" w:after="120" w:afterLines="50" w:line="360" w:lineRule="auto"/>
        <w:ind w:firstLine="482" w:firstLineChars="200"/>
        <w:rPr>
          <w:rFonts w:ascii="宋体" w:hAnsi="宋体" w:eastAsia="仿宋"/>
          <w:b/>
          <w:bCs/>
          <w:sz w:val="24"/>
        </w:rPr>
      </w:pPr>
      <w:r>
        <w:rPr>
          <w:rFonts w:hint="eastAsia" w:ascii="宋体" w:hAnsi="宋体" w:eastAsia="仿宋"/>
          <w:b/>
          <w:bCs/>
          <w:sz w:val="24"/>
        </w:rPr>
        <w:t>本《供应商须知前附表》是对本章《供应商须知》的具体补充和修改，如有不一致，以本《供应商须知前附表》为准。</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45A0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vAlign w:val="center"/>
          </w:tcPr>
          <w:p w14:paraId="29E62CF5">
            <w:pPr>
              <w:widowControl/>
              <w:adjustRightInd w:val="0"/>
              <w:snapToGrid w:val="0"/>
              <w:spacing w:line="288" w:lineRule="auto"/>
              <w:jc w:val="center"/>
              <w:rPr>
                <w:rFonts w:ascii="宋体" w:hAnsi="宋体" w:cs="Calibri"/>
                <w:b/>
                <w:sz w:val="24"/>
              </w:rPr>
            </w:pPr>
            <w:r>
              <w:rPr>
                <w:rFonts w:hint="eastAsia" w:ascii="宋体" w:hAnsi="宋体" w:eastAsia="仿宋" w:cs="Calibri"/>
                <w:b/>
                <w:sz w:val="24"/>
              </w:rPr>
              <w:t>条款号</w:t>
            </w:r>
          </w:p>
        </w:tc>
        <w:tc>
          <w:tcPr>
            <w:tcW w:w="1581" w:type="dxa"/>
            <w:vAlign w:val="center"/>
          </w:tcPr>
          <w:p w14:paraId="587D6CCA">
            <w:pPr>
              <w:widowControl/>
              <w:adjustRightInd w:val="0"/>
              <w:snapToGrid w:val="0"/>
              <w:spacing w:line="288" w:lineRule="auto"/>
              <w:jc w:val="center"/>
              <w:rPr>
                <w:rFonts w:ascii="宋体" w:hAnsi="宋体" w:cs="Calibri"/>
                <w:b/>
                <w:sz w:val="24"/>
              </w:rPr>
            </w:pPr>
            <w:r>
              <w:rPr>
                <w:rFonts w:hint="eastAsia" w:ascii="宋体" w:hAnsi="宋体" w:eastAsia="仿宋" w:cs="Calibri"/>
                <w:b/>
                <w:sz w:val="24"/>
              </w:rPr>
              <w:t>条款名称</w:t>
            </w:r>
          </w:p>
        </w:tc>
        <w:tc>
          <w:tcPr>
            <w:tcW w:w="7229" w:type="dxa"/>
            <w:vAlign w:val="center"/>
          </w:tcPr>
          <w:p w14:paraId="48D5688A">
            <w:pPr>
              <w:widowControl/>
              <w:adjustRightInd w:val="0"/>
              <w:snapToGrid w:val="0"/>
              <w:spacing w:line="288" w:lineRule="auto"/>
              <w:jc w:val="center"/>
              <w:rPr>
                <w:rFonts w:ascii="宋体" w:hAnsi="宋体" w:cs="Calibri"/>
                <w:b/>
                <w:sz w:val="24"/>
              </w:rPr>
            </w:pPr>
            <w:r>
              <w:rPr>
                <w:rFonts w:hint="eastAsia" w:ascii="宋体" w:hAnsi="宋体" w:eastAsia="仿宋" w:cs="Calibri"/>
                <w:b/>
                <w:sz w:val="24"/>
              </w:rPr>
              <w:t>编</w:t>
            </w:r>
            <w:r>
              <w:rPr>
                <w:rFonts w:ascii="宋体" w:hAnsi="宋体" w:eastAsia="仿宋" w:cs="Calibri"/>
                <w:b/>
                <w:sz w:val="24"/>
              </w:rPr>
              <w:t xml:space="preserve">  </w:t>
            </w:r>
            <w:r>
              <w:rPr>
                <w:rFonts w:hint="eastAsia" w:ascii="宋体" w:hAnsi="宋体" w:eastAsia="仿宋" w:cs="Calibri"/>
                <w:b/>
                <w:sz w:val="24"/>
              </w:rPr>
              <w:t>列</w:t>
            </w:r>
            <w:r>
              <w:rPr>
                <w:rFonts w:ascii="宋体" w:hAnsi="宋体" w:eastAsia="仿宋" w:cs="Calibri"/>
                <w:b/>
                <w:sz w:val="24"/>
              </w:rPr>
              <w:t xml:space="preserve">  </w:t>
            </w:r>
            <w:r>
              <w:rPr>
                <w:rFonts w:hint="eastAsia" w:ascii="宋体" w:hAnsi="宋体" w:eastAsia="仿宋" w:cs="Calibri"/>
                <w:b/>
                <w:sz w:val="24"/>
              </w:rPr>
              <w:t>内</w:t>
            </w:r>
            <w:r>
              <w:rPr>
                <w:rFonts w:ascii="宋体" w:hAnsi="宋体" w:eastAsia="仿宋" w:cs="Calibri"/>
                <w:b/>
                <w:sz w:val="24"/>
              </w:rPr>
              <w:t xml:space="preserve">  </w:t>
            </w:r>
            <w:r>
              <w:rPr>
                <w:rFonts w:hint="eastAsia" w:ascii="宋体" w:hAnsi="宋体" w:eastAsia="仿宋" w:cs="Calibri"/>
                <w:b/>
                <w:sz w:val="24"/>
              </w:rPr>
              <w:t>容</w:t>
            </w:r>
          </w:p>
        </w:tc>
      </w:tr>
      <w:tr w14:paraId="57CB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42DA713">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1.1.2</w:t>
            </w:r>
          </w:p>
        </w:tc>
        <w:tc>
          <w:tcPr>
            <w:tcW w:w="1581" w:type="dxa"/>
            <w:vAlign w:val="center"/>
          </w:tcPr>
          <w:p w14:paraId="14C96287">
            <w:pPr>
              <w:adjustRightInd w:val="0"/>
              <w:snapToGrid w:val="0"/>
              <w:spacing w:line="288" w:lineRule="auto"/>
              <w:jc w:val="center"/>
              <w:rPr>
                <w:rFonts w:ascii="宋体" w:hAnsi="宋体"/>
                <w:sz w:val="24"/>
              </w:rPr>
            </w:pPr>
            <w:r>
              <w:rPr>
                <w:rFonts w:hint="eastAsia" w:ascii="宋体" w:hAnsi="宋体" w:eastAsia="仿宋"/>
                <w:sz w:val="24"/>
              </w:rPr>
              <w:t>采购人</w:t>
            </w:r>
          </w:p>
        </w:tc>
        <w:tc>
          <w:tcPr>
            <w:tcW w:w="7229" w:type="dxa"/>
            <w:vAlign w:val="center"/>
          </w:tcPr>
          <w:p w14:paraId="11EAE7DD">
            <w:pPr>
              <w:adjustRightInd w:val="0"/>
              <w:snapToGrid w:val="0"/>
              <w:spacing w:line="288" w:lineRule="auto"/>
              <w:rPr>
                <w:rFonts w:ascii="宋体" w:hAnsi="宋体" w:eastAsia="仿宋"/>
                <w:sz w:val="24"/>
              </w:rPr>
            </w:pPr>
            <w:r>
              <w:rPr>
                <w:rFonts w:hint="eastAsia" w:ascii="宋体" w:hAnsi="宋体" w:eastAsia="仿宋"/>
                <w:sz w:val="24"/>
              </w:rPr>
              <w:t>见竞争性磋商公告</w:t>
            </w:r>
          </w:p>
        </w:tc>
      </w:tr>
      <w:tr w14:paraId="5677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5F40299">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1.1.3</w:t>
            </w:r>
          </w:p>
        </w:tc>
        <w:tc>
          <w:tcPr>
            <w:tcW w:w="1581" w:type="dxa"/>
            <w:vAlign w:val="center"/>
          </w:tcPr>
          <w:p w14:paraId="0FF6FD04">
            <w:pPr>
              <w:adjustRightInd w:val="0"/>
              <w:snapToGrid w:val="0"/>
              <w:spacing w:line="288" w:lineRule="auto"/>
              <w:jc w:val="center"/>
              <w:rPr>
                <w:rFonts w:ascii="宋体" w:hAnsi="宋体"/>
                <w:sz w:val="24"/>
              </w:rPr>
            </w:pPr>
            <w:r>
              <w:rPr>
                <w:rFonts w:hint="eastAsia" w:ascii="宋体" w:hAnsi="宋体" w:eastAsia="仿宋"/>
                <w:sz w:val="24"/>
              </w:rPr>
              <w:t>采购代理机构</w:t>
            </w:r>
          </w:p>
        </w:tc>
        <w:tc>
          <w:tcPr>
            <w:tcW w:w="7229" w:type="dxa"/>
            <w:vAlign w:val="center"/>
          </w:tcPr>
          <w:p w14:paraId="7AAE7977">
            <w:pPr>
              <w:adjustRightInd w:val="0"/>
              <w:snapToGrid w:val="0"/>
              <w:spacing w:line="288" w:lineRule="auto"/>
              <w:rPr>
                <w:rFonts w:ascii="宋体" w:hAnsi="宋体" w:eastAsia="仿宋"/>
                <w:sz w:val="24"/>
              </w:rPr>
            </w:pPr>
            <w:r>
              <w:rPr>
                <w:rFonts w:hint="eastAsia" w:ascii="宋体" w:hAnsi="宋体" w:eastAsia="仿宋"/>
                <w:sz w:val="24"/>
              </w:rPr>
              <w:t>见竞争性磋商公告</w:t>
            </w:r>
          </w:p>
        </w:tc>
      </w:tr>
      <w:tr w14:paraId="1E2B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0A6D18E">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1.1.4</w:t>
            </w:r>
          </w:p>
        </w:tc>
        <w:tc>
          <w:tcPr>
            <w:tcW w:w="1581" w:type="dxa"/>
            <w:vAlign w:val="center"/>
          </w:tcPr>
          <w:p w14:paraId="2122D255">
            <w:pPr>
              <w:widowControl/>
              <w:adjustRightInd w:val="0"/>
              <w:snapToGrid w:val="0"/>
              <w:spacing w:line="288" w:lineRule="auto"/>
              <w:jc w:val="center"/>
              <w:rPr>
                <w:rFonts w:ascii="宋体" w:hAnsi="宋体" w:cs="Calibri"/>
                <w:sz w:val="24"/>
              </w:rPr>
            </w:pPr>
            <w:r>
              <w:rPr>
                <w:rFonts w:hint="eastAsia" w:ascii="宋体" w:hAnsi="宋体" w:eastAsia="仿宋" w:cs="Calibri"/>
                <w:sz w:val="24"/>
              </w:rPr>
              <w:t>采购项目名称</w:t>
            </w:r>
          </w:p>
        </w:tc>
        <w:tc>
          <w:tcPr>
            <w:tcW w:w="7229" w:type="dxa"/>
            <w:vAlign w:val="center"/>
          </w:tcPr>
          <w:p w14:paraId="4AA658E1">
            <w:pPr>
              <w:widowControl/>
              <w:adjustRightInd w:val="0"/>
              <w:snapToGrid w:val="0"/>
              <w:spacing w:line="288" w:lineRule="auto"/>
              <w:rPr>
                <w:rFonts w:ascii="宋体" w:hAnsi="宋体" w:eastAsia="仿宋" w:cs="Calibri"/>
                <w:sz w:val="24"/>
              </w:rPr>
            </w:pPr>
            <w:r>
              <w:rPr>
                <w:rFonts w:hint="eastAsia" w:ascii="宋体" w:hAnsi="宋体" w:eastAsia="仿宋"/>
                <w:sz w:val="24"/>
              </w:rPr>
              <w:t>见竞争性磋商公告</w:t>
            </w:r>
          </w:p>
        </w:tc>
      </w:tr>
      <w:tr w14:paraId="361E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123F72C">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1.1.5</w:t>
            </w:r>
          </w:p>
        </w:tc>
        <w:tc>
          <w:tcPr>
            <w:tcW w:w="1581" w:type="dxa"/>
            <w:vAlign w:val="center"/>
          </w:tcPr>
          <w:p w14:paraId="6FFCBA63">
            <w:pPr>
              <w:widowControl/>
              <w:adjustRightInd w:val="0"/>
              <w:snapToGrid w:val="0"/>
              <w:spacing w:line="288" w:lineRule="auto"/>
              <w:jc w:val="center"/>
              <w:rPr>
                <w:rFonts w:ascii="宋体" w:hAnsi="宋体" w:cs="Calibri"/>
                <w:sz w:val="24"/>
              </w:rPr>
            </w:pPr>
            <w:r>
              <w:rPr>
                <w:rFonts w:hint="eastAsia" w:ascii="宋体" w:hAnsi="宋体" w:eastAsia="仿宋" w:cs="Calibri"/>
                <w:sz w:val="24"/>
              </w:rPr>
              <w:t>采购包划分</w:t>
            </w:r>
          </w:p>
        </w:tc>
        <w:tc>
          <w:tcPr>
            <w:tcW w:w="7229" w:type="dxa"/>
            <w:vAlign w:val="center"/>
          </w:tcPr>
          <w:p w14:paraId="0259A6F0">
            <w:pPr>
              <w:widowControl/>
              <w:adjustRightInd w:val="0"/>
              <w:snapToGrid w:val="0"/>
              <w:spacing w:line="288" w:lineRule="auto"/>
              <w:rPr>
                <w:rFonts w:ascii="宋体" w:hAnsi="宋体" w:eastAsia="楷体" w:cs="Calibri"/>
                <w:sz w:val="24"/>
              </w:rPr>
            </w:pPr>
            <w:r>
              <w:rPr>
                <w:rFonts w:hint="eastAsia" w:ascii="宋体" w:hAnsi="宋体" w:eastAsia="仿宋"/>
                <w:sz w:val="24"/>
              </w:rPr>
              <w:t>1</w:t>
            </w:r>
            <w:r>
              <w:rPr>
                <w:rFonts w:ascii="宋体" w:hAnsi="宋体" w:eastAsia="仿宋"/>
                <w:sz w:val="24"/>
              </w:rPr>
              <w:t>个标包</w:t>
            </w:r>
          </w:p>
        </w:tc>
      </w:tr>
      <w:tr w14:paraId="0043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858CF0B">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1.1.6</w:t>
            </w:r>
          </w:p>
        </w:tc>
        <w:tc>
          <w:tcPr>
            <w:tcW w:w="1581" w:type="dxa"/>
            <w:vAlign w:val="center"/>
          </w:tcPr>
          <w:p w14:paraId="75724E52">
            <w:pPr>
              <w:widowControl/>
              <w:adjustRightInd w:val="0"/>
              <w:snapToGrid w:val="0"/>
              <w:spacing w:line="288" w:lineRule="auto"/>
              <w:jc w:val="center"/>
              <w:rPr>
                <w:rFonts w:ascii="宋体" w:hAnsi="宋体" w:cs="Calibri"/>
                <w:sz w:val="24"/>
              </w:rPr>
            </w:pPr>
            <w:r>
              <w:rPr>
                <w:rFonts w:hint="eastAsia" w:ascii="宋体" w:hAnsi="宋体" w:eastAsia="仿宋" w:cs="Calibri"/>
                <w:sz w:val="24"/>
              </w:rPr>
              <w:t>采购预算</w:t>
            </w:r>
          </w:p>
        </w:tc>
        <w:tc>
          <w:tcPr>
            <w:tcW w:w="7229" w:type="dxa"/>
            <w:vAlign w:val="center"/>
          </w:tcPr>
          <w:p w14:paraId="36452215">
            <w:pPr>
              <w:widowControl/>
              <w:adjustRightInd w:val="0"/>
              <w:snapToGrid w:val="0"/>
              <w:spacing w:line="288" w:lineRule="auto"/>
              <w:rPr>
                <w:rFonts w:ascii="宋体" w:hAnsi="宋体" w:eastAsia="仿宋" w:cs="Calibri"/>
                <w:sz w:val="24"/>
              </w:rPr>
            </w:pPr>
            <w:r>
              <w:rPr>
                <w:rFonts w:hint="eastAsia" w:ascii="宋体" w:hAnsi="宋体" w:eastAsia="仿宋"/>
                <w:sz w:val="24"/>
              </w:rPr>
              <w:t>见竞争性磋商公告</w:t>
            </w:r>
          </w:p>
        </w:tc>
      </w:tr>
      <w:tr w14:paraId="0AF3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3E705AE">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1.1.7</w:t>
            </w:r>
          </w:p>
        </w:tc>
        <w:tc>
          <w:tcPr>
            <w:tcW w:w="1581" w:type="dxa"/>
            <w:vAlign w:val="center"/>
          </w:tcPr>
          <w:p w14:paraId="57DD75E3">
            <w:pPr>
              <w:widowControl/>
              <w:adjustRightInd w:val="0"/>
              <w:snapToGrid w:val="0"/>
              <w:spacing w:line="288" w:lineRule="auto"/>
              <w:jc w:val="center"/>
              <w:rPr>
                <w:rFonts w:ascii="宋体" w:hAnsi="宋体" w:cs="Calibri"/>
                <w:sz w:val="24"/>
              </w:rPr>
            </w:pPr>
            <w:r>
              <w:rPr>
                <w:rFonts w:hint="eastAsia" w:ascii="宋体" w:hAnsi="宋体" w:eastAsia="仿宋" w:cs="Calibri"/>
                <w:sz w:val="24"/>
              </w:rPr>
              <w:t>专门面向中小企业采购</w:t>
            </w:r>
          </w:p>
        </w:tc>
        <w:tc>
          <w:tcPr>
            <w:tcW w:w="7229" w:type="dxa"/>
            <w:vAlign w:val="center"/>
          </w:tcPr>
          <w:p w14:paraId="1AFEBAE8">
            <w:pPr>
              <w:widowControl/>
              <w:adjustRightInd w:val="0"/>
              <w:snapToGrid w:val="0"/>
              <w:spacing w:line="288" w:lineRule="auto"/>
              <w:rPr>
                <w:rFonts w:ascii="宋体" w:hAnsi="宋体" w:eastAsia="仿宋" w:cs="Calibri"/>
                <w:sz w:val="24"/>
              </w:rPr>
            </w:pPr>
            <w:r>
              <w:rPr>
                <w:rFonts w:hint="eastAsia" w:ascii="宋体" w:hAnsi="宋体" w:eastAsia="仿宋"/>
                <w:sz w:val="24"/>
              </w:rPr>
              <w:t>见竞争性磋商公告</w:t>
            </w:r>
          </w:p>
        </w:tc>
      </w:tr>
      <w:tr w14:paraId="7428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1" w:hRule="atLeast"/>
        </w:trPr>
        <w:tc>
          <w:tcPr>
            <w:tcW w:w="857" w:type="dxa"/>
            <w:vAlign w:val="center"/>
          </w:tcPr>
          <w:p w14:paraId="5E6DD72E">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1.2.1</w:t>
            </w:r>
          </w:p>
        </w:tc>
        <w:tc>
          <w:tcPr>
            <w:tcW w:w="1581" w:type="dxa"/>
            <w:vAlign w:val="center"/>
          </w:tcPr>
          <w:p w14:paraId="68555AFF">
            <w:pPr>
              <w:widowControl/>
              <w:adjustRightInd w:val="0"/>
              <w:snapToGrid w:val="0"/>
              <w:spacing w:line="288" w:lineRule="auto"/>
              <w:jc w:val="center"/>
              <w:rPr>
                <w:rFonts w:ascii="宋体" w:hAnsi="宋体" w:eastAsia="仿宋"/>
                <w:sz w:val="24"/>
              </w:rPr>
            </w:pPr>
            <w:r>
              <w:rPr>
                <w:rFonts w:hint="eastAsia" w:ascii="宋体" w:hAnsi="宋体" w:eastAsia="仿宋"/>
                <w:sz w:val="24"/>
              </w:rPr>
              <w:t>资金来源及比例</w:t>
            </w:r>
          </w:p>
        </w:tc>
        <w:tc>
          <w:tcPr>
            <w:tcW w:w="7229" w:type="dxa"/>
            <w:vAlign w:val="center"/>
          </w:tcPr>
          <w:p w14:paraId="02AC57C7">
            <w:pPr>
              <w:widowControl/>
              <w:adjustRightInd w:val="0"/>
              <w:snapToGrid w:val="0"/>
              <w:spacing w:line="288" w:lineRule="auto"/>
              <w:rPr>
                <w:rFonts w:ascii="宋体" w:hAnsi="宋体" w:eastAsia="仿宋"/>
                <w:sz w:val="24"/>
              </w:rPr>
            </w:pPr>
            <w:r>
              <w:rPr>
                <w:rFonts w:hint="eastAsia" w:ascii="宋体" w:hAnsi="宋体" w:eastAsia="仿宋"/>
                <w:sz w:val="24"/>
              </w:rPr>
              <w:t>财政资金，100%</w:t>
            </w:r>
          </w:p>
        </w:tc>
      </w:tr>
      <w:tr w14:paraId="69EE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434131C">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1.2.3</w:t>
            </w:r>
          </w:p>
        </w:tc>
        <w:tc>
          <w:tcPr>
            <w:tcW w:w="1581" w:type="dxa"/>
            <w:vAlign w:val="center"/>
          </w:tcPr>
          <w:p w14:paraId="76A0334C">
            <w:pPr>
              <w:widowControl/>
              <w:adjustRightInd w:val="0"/>
              <w:snapToGrid w:val="0"/>
              <w:spacing w:line="288" w:lineRule="auto"/>
              <w:jc w:val="center"/>
              <w:rPr>
                <w:rFonts w:ascii="宋体" w:hAnsi="宋体" w:eastAsia="仿宋"/>
                <w:sz w:val="24"/>
              </w:rPr>
            </w:pPr>
            <w:r>
              <w:rPr>
                <w:rFonts w:hint="eastAsia" w:ascii="宋体" w:hAnsi="宋体" w:eastAsia="仿宋"/>
                <w:sz w:val="24"/>
              </w:rPr>
              <w:t>核心产品</w:t>
            </w:r>
          </w:p>
        </w:tc>
        <w:tc>
          <w:tcPr>
            <w:tcW w:w="7229" w:type="dxa"/>
            <w:vAlign w:val="center"/>
          </w:tcPr>
          <w:p w14:paraId="15412068">
            <w:pPr>
              <w:widowControl/>
              <w:adjustRightInd w:val="0"/>
              <w:snapToGrid w:val="0"/>
              <w:spacing w:line="288" w:lineRule="auto"/>
              <w:rPr>
                <w:rFonts w:ascii="宋体" w:hAnsi="宋体" w:eastAsia="仿宋"/>
                <w:sz w:val="24"/>
              </w:rPr>
            </w:pPr>
            <w:r>
              <w:rPr>
                <w:rFonts w:hint="eastAsia" w:ascii="宋体" w:hAnsi="宋体" w:eastAsia="仿宋"/>
                <w:sz w:val="24"/>
              </w:rPr>
              <w:t>热重分析仪</w:t>
            </w:r>
          </w:p>
        </w:tc>
      </w:tr>
      <w:tr w14:paraId="3400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5B450B5">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1.3.1</w:t>
            </w:r>
          </w:p>
        </w:tc>
        <w:tc>
          <w:tcPr>
            <w:tcW w:w="1581" w:type="dxa"/>
            <w:vAlign w:val="center"/>
          </w:tcPr>
          <w:p w14:paraId="61904BFF">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资格要求</w:t>
            </w:r>
          </w:p>
        </w:tc>
        <w:tc>
          <w:tcPr>
            <w:tcW w:w="7229" w:type="dxa"/>
            <w:vAlign w:val="center"/>
          </w:tcPr>
          <w:p w14:paraId="47289093">
            <w:pPr>
              <w:widowControl/>
              <w:adjustRightInd w:val="0"/>
              <w:snapToGrid w:val="0"/>
              <w:spacing w:line="288" w:lineRule="auto"/>
              <w:rPr>
                <w:rFonts w:ascii="宋体" w:hAnsi="宋体" w:eastAsia="仿宋" w:cs="Calibri"/>
                <w:color w:val="0000FF"/>
                <w:sz w:val="24"/>
              </w:rPr>
            </w:pPr>
            <w:r>
              <w:rPr>
                <w:rFonts w:hint="eastAsia" w:ascii="宋体" w:hAnsi="宋体" w:eastAsia="仿宋" w:cs="Calibri"/>
                <w:sz w:val="24"/>
              </w:rPr>
              <w:t>见竞争性磋商公告</w:t>
            </w:r>
          </w:p>
        </w:tc>
      </w:tr>
      <w:tr w14:paraId="15B5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E6F05CC">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1.3.2</w:t>
            </w:r>
          </w:p>
        </w:tc>
        <w:tc>
          <w:tcPr>
            <w:tcW w:w="1581" w:type="dxa"/>
            <w:vAlign w:val="center"/>
          </w:tcPr>
          <w:p w14:paraId="38A7AE7D">
            <w:pPr>
              <w:widowControl/>
              <w:adjustRightInd w:val="0"/>
              <w:snapToGrid w:val="0"/>
              <w:spacing w:line="288" w:lineRule="auto"/>
              <w:jc w:val="center"/>
              <w:rPr>
                <w:rFonts w:ascii="宋体" w:hAnsi="宋体" w:cs="Calibri"/>
                <w:sz w:val="24"/>
              </w:rPr>
            </w:pPr>
            <w:r>
              <w:rPr>
                <w:rFonts w:hint="eastAsia" w:ascii="宋体" w:hAnsi="宋体" w:eastAsia="仿宋" w:cs="Calibri"/>
                <w:sz w:val="24"/>
              </w:rPr>
              <w:t>联合体响应的其他要求</w:t>
            </w:r>
          </w:p>
        </w:tc>
        <w:tc>
          <w:tcPr>
            <w:tcW w:w="7229" w:type="dxa"/>
            <w:vAlign w:val="center"/>
          </w:tcPr>
          <w:p w14:paraId="63CE3845">
            <w:pPr>
              <w:widowControl/>
              <w:adjustRightInd w:val="0"/>
              <w:snapToGrid w:val="0"/>
              <w:spacing w:line="288" w:lineRule="auto"/>
              <w:rPr>
                <w:rFonts w:ascii="宋体" w:hAnsi="宋体" w:cs="Calibri"/>
                <w:color w:val="000000"/>
                <w:sz w:val="24"/>
                <w:u w:val="single"/>
              </w:rPr>
            </w:pPr>
            <w:r>
              <w:rPr>
                <w:rFonts w:hint="eastAsia" w:ascii="仿宋" w:hAnsi="仿宋" w:eastAsia="仿宋" w:cs="仿宋"/>
                <w:iCs/>
                <w:color w:val="000000"/>
                <w:sz w:val="24"/>
              </w:rPr>
              <w:t>/</w:t>
            </w:r>
          </w:p>
        </w:tc>
      </w:tr>
      <w:tr w14:paraId="3A7F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F2F5F2F">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1.3.3</w:t>
            </w:r>
          </w:p>
        </w:tc>
        <w:tc>
          <w:tcPr>
            <w:tcW w:w="1581" w:type="dxa"/>
            <w:vAlign w:val="center"/>
          </w:tcPr>
          <w:p w14:paraId="77BA7677">
            <w:pPr>
              <w:widowControl/>
              <w:adjustRightInd w:val="0"/>
              <w:snapToGrid w:val="0"/>
              <w:spacing w:line="288" w:lineRule="auto"/>
              <w:rPr>
                <w:rFonts w:ascii="宋体" w:hAnsi="宋体" w:cs="宋体"/>
                <w:iCs/>
                <w:color w:val="0000FF"/>
                <w:sz w:val="24"/>
              </w:rPr>
            </w:pPr>
            <w:r>
              <w:rPr>
                <w:rFonts w:hint="eastAsia" w:ascii="Calibri" w:hAnsi="Calibri" w:eastAsia="仿宋"/>
                <w:sz w:val="24"/>
              </w:rPr>
              <w:t>供应商</w:t>
            </w:r>
            <w:r>
              <w:rPr>
                <w:rFonts w:hint="eastAsia" w:ascii="宋体" w:hAnsi="宋体" w:eastAsia="仿宋" w:cs="Calibri"/>
                <w:sz w:val="24"/>
              </w:rPr>
              <w:t>不得存在的其他情形</w:t>
            </w:r>
          </w:p>
        </w:tc>
        <w:tc>
          <w:tcPr>
            <w:tcW w:w="7229" w:type="dxa"/>
            <w:vAlign w:val="center"/>
          </w:tcPr>
          <w:p w14:paraId="438DE996">
            <w:pPr>
              <w:widowControl/>
              <w:adjustRightInd w:val="0"/>
              <w:snapToGrid w:val="0"/>
              <w:spacing w:line="288" w:lineRule="auto"/>
              <w:rPr>
                <w:rFonts w:ascii="宋体" w:hAnsi="宋体" w:cs="宋体"/>
                <w:iCs/>
                <w:color w:val="000000"/>
                <w:sz w:val="24"/>
              </w:rPr>
            </w:pPr>
            <w:r>
              <w:rPr>
                <w:rFonts w:hint="eastAsia" w:ascii="仿宋" w:hAnsi="仿宋" w:eastAsia="仿宋" w:cs="仿宋"/>
                <w:iCs/>
                <w:color w:val="000000"/>
                <w:sz w:val="24"/>
              </w:rPr>
              <w:t>/</w:t>
            </w:r>
          </w:p>
        </w:tc>
      </w:tr>
      <w:tr w14:paraId="0602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CA54DB4">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1.8.1</w:t>
            </w:r>
          </w:p>
        </w:tc>
        <w:tc>
          <w:tcPr>
            <w:tcW w:w="1581" w:type="dxa"/>
            <w:vAlign w:val="center"/>
          </w:tcPr>
          <w:p w14:paraId="4C482E99">
            <w:pPr>
              <w:widowControl/>
              <w:adjustRightInd w:val="0"/>
              <w:snapToGrid w:val="0"/>
              <w:spacing w:line="288" w:lineRule="auto"/>
              <w:jc w:val="center"/>
              <w:rPr>
                <w:rFonts w:ascii="宋体" w:hAnsi="宋体" w:cs="Calibri"/>
                <w:color w:val="000000"/>
                <w:sz w:val="24"/>
              </w:rPr>
            </w:pPr>
            <w:r>
              <w:rPr>
                <w:rFonts w:hint="eastAsia" w:ascii="宋体" w:hAnsi="宋体" w:eastAsia="仿宋" w:cs="Calibri"/>
                <w:color w:val="000000"/>
                <w:sz w:val="24"/>
              </w:rPr>
              <w:t>是否组织现场考察</w:t>
            </w:r>
          </w:p>
        </w:tc>
        <w:tc>
          <w:tcPr>
            <w:tcW w:w="7229" w:type="dxa"/>
            <w:vAlign w:val="center"/>
          </w:tcPr>
          <w:p w14:paraId="02C21C04">
            <w:pPr>
              <w:widowControl/>
              <w:topLinePunct/>
              <w:adjustRightInd w:val="0"/>
              <w:snapToGrid w:val="0"/>
              <w:spacing w:line="288" w:lineRule="auto"/>
              <w:ind w:left="187" w:hanging="187" w:hangingChars="78"/>
              <w:rPr>
                <w:rFonts w:ascii="宋体" w:hAnsi="宋体" w:eastAsia="仿宋" w:cs="Calibri"/>
                <w:color w:val="000000"/>
                <w:sz w:val="24"/>
              </w:rPr>
            </w:pPr>
            <w:r>
              <w:rPr>
                <w:rFonts w:hint="eastAsia" w:ascii="宋体" w:hAnsi="宋体" w:eastAsia="仿宋"/>
                <w:bCs/>
                <w:color w:val="000000"/>
                <w:sz w:val="24"/>
              </w:rPr>
              <w:sym w:font="Wingdings" w:char="F0FE"/>
            </w:r>
            <w:r>
              <w:rPr>
                <w:rFonts w:hint="eastAsia" w:ascii="宋体" w:hAnsi="宋体" w:eastAsia="仿宋" w:cs="Calibri"/>
                <w:color w:val="000000"/>
                <w:sz w:val="24"/>
              </w:rPr>
              <w:t>不组织，</w:t>
            </w:r>
            <w:r>
              <w:rPr>
                <w:rFonts w:hint="eastAsia" w:ascii="宋体" w:hAnsi="宋体" w:eastAsia="仿宋"/>
                <w:color w:val="000000"/>
                <w:sz w:val="24"/>
              </w:rPr>
              <w:t>由供应商自行考察现场。</w:t>
            </w:r>
          </w:p>
          <w:p w14:paraId="6639C261">
            <w:pPr>
              <w:widowControl/>
              <w:adjustRightInd w:val="0"/>
              <w:snapToGrid w:val="0"/>
              <w:spacing w:line="288" w:lineRule="auto"/>
              <w:rPr>
                <w:rFonts w:ascii="宋体" w:hAnsi="宋体" w:eastAsia="仿宋" w:cs="Calibri"/>
                <w:color w:val="000000"/>
                <w:sz w:val="24"/>
              </w:rPr>
            </w:pPr>
            <w:r>
              <w:rPr>
                <w:rFonts w:hint="eastAsia" w:ascii="宋体" w:hAnsi="宋体" w:eastAsia="仿宋" w:cs="Calibri"/>
                <w:color w:val="000000"/>
                <w:sz w:val="24"/>
              </w:rPr>
              <w:t>□组织，时间：</w:t>
            </w:r>
          </w:p>
          <w:p w14:paraId="22DA6D99">
            <w:pPr>
              <w:widowControl/>
              <w:topLinePunct/>
              <w:adjustRightInd w:val="0"/>
              <w:snapToGrid w:val="0"/>
              <w:spacing w:line="288" w:lineRule="auto"/>
              <w:ind w:firstLine="840" w:firstLineChars="350"/>
              <w:rPr>
                <w:rFonts w:ascii="宋体" w:hAnsi="宋体" w:eastAsia="仿宋" w:cs="Calibri"/>
                <w:color w:val="000000"/>
                <w:sz w:val="24"/>
                <w:u w:val="single"/>
              </w:rPr>
            </w:pPr>
            <w:r>
              <w:rPr>
                <w:rFonts w:hint="eastAsia" w:ascii="宋体" w:hAnsi="宋体" w:eastAsia="仿宋" w:cs="Calibri"/>
                <w:color w:val="000000"/>
                <w:sz w:val="24"/>
              </w:rPr>
              <w:t xml:space="preserve"> 集中地点：</w:t>
            </w:r>
            <w:r>
              <w:rPr>
                <w:rFonts w:hint="eastAsia" w:ascii="仿宋" w:hAnsi="仿宋" w:eastAsia="仿宋" w:cs="仿宋"/>
                <w:iCs/>
                <w:color w:val="000000"/>
                <w:sz w:val="24"/>
              </w:rPr>
              <w:t>/</w:t>
            </w:r>
          </w:p>
          <w:p w14:paraId="1C411214">
            <w:pPr>
              <w:widowControl/>
              <w:topLinePunct/>
              <w:adjustRightInd w:val="0"/>
              <w:snapToGrid w:val="0"/>
              <w:spacing w:line="288" w:lineRule="auto"/>
              <w:ind w:firstLine="840" w:firstLineChars="350"/>
              <w:rPr>
                <w:rFonts w:ascii="宋体" w:hAnsi="宋体" w:cs="Calibri"/>
                <w:color w:val="000000"/>
                <w:sz w:val="24"/>
              </w:rPr>
            </w:pPr>
            <w:r>
              <w:rPr>
                <w:rFonts w:hint="eastAsia" w:ascii="宋体" w:hAnsi="宋体" w:eastAsia="仿宋" w:cs="Calibri"/>
                <w:color w:val="000000"/>
                <w:sz w:val="24"/>
              </w:rPr>
              <w:t xml:space="preserve"> 联系方式：</w:t>
            </w:r>
            <w:r>
              <w:rPr>
                <w:rFonts w:hint="eastAsia" w:ascii="仿宋" w:hAnsi="仿宋" w:eastAsia="仿宋" w:cs="仿宋"/>
                <w:iCs/>
                <w:color w:val="000000"/>
                <w:sz w:val="24"/>
              </w:rPr>
              <w:t>/</w:t>
            </w:r>
          </w:p>
        </w:tc>
      </w:tr>
      <w:tr w14:paraId="152C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76C6255">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1.9</w:t>
            </w:r>
          </w:p>
        </w:tc>
        <w:tc>
          <w:tcPr>
            <w:tcW w:w="1581" w:type="dxa"/>
            <w:vAlign w:val="center"/>
          </w:tcPr>
          <w:p w14:paraId="1209EACE">
            <w:pPr>
              <w:widowControl/>
              <w:adjustRightInd w:val="0"/>
              <w:snapToGrid w:val="0"/>
              <w:spacing w:line="288" w:lineRule="auto"/>
              <w:jc w:val="center"/>
              <w:rPr>
                <w:rFonts w:ascii="宋体" w:hAnsi="宋体" w:cs="Calibri"/>
                <w:color w:val="000000"/>
                <w:sz w:val="24"/>
              </w:rPr>
            </w:pPr>
            <w:r>
              <w:rPr>
                <w:rFonts w:hint="eastAsia" w:ascii="Calibri" w:hAnsi="Calibri" w:eastAsia="仿宋" w:cs="方正小标宋简体"/>
                <w:color w:val="000000"/>
                <w:sz w:val="24"/>
              </w:rPr>
              <w:t>磋商</w:t>
            </w:r>
            <w:r>
              <w:rPr>
                <w:rFonts w:hint="eastAsia" w:ascii="宋体" w:hAnsi="宋体" w:eastAsia="仿宋" w:cs="Calibri"/>
                <w:color w:val="000000"/>
                <w:sz w:val="24"/>
              </w:rPr>
              <w:t>前答疑会</w:t>
            </w:r>
          </w:p>
        </w:tc>
        <w:tc>
          <w:tcPr>
            <w:tcW w:w="7229" w:type="dxa"/>
            <w:vAlign w:val="center"/>
          </w:tcPr>
          <w:p w14:paraId="6C898C64">
            <w:pPr>
              <w:widowControl/>
              <w:topLinePunct/>
              <w:adjustRightInd w:val="0"/>
              <w:snapToGrid w:val="0"/>
              <w:spacing w:line="288" w:lineRule="auto"/>
              <w:ind w:left="187" w:hanging="187" w:hangingChars="78"/>
              <w:rPr>
                <w:rFonts w:ascii="宋体" w:hAnsi="宋体" w:eastAsia="仿宋" w:cs="Calibri"/>
                <w:color w:val="000000"/>
                <w:sz w:val="24"/>
              </w:rPr>
            </w:pPr>
            <w:r>
              <w:rPr>
                <w:rFonts w:hint="eastAsia" w:ascii="宋体" w:hAnsi="宋体" w:eastAsia="仿宋"/>
                <w:bCs/>
                <w:color w:val="000000"/>
                <w:sz w:val="24"/>
              </w:rPr>
              <w:sym w:font="Wingdings" w:char="F0FE"/>
            </w:r>
            <w:r>
              <w:rPr>
                <w:rFonts w:hint="eastAsia" w:ascii="宋体" w:hAnsi="宋体" w:eastAsia="仿宋" w:cs="Calibri"/>
                <w:color w:val="000000"/>
                <w:sz w:val="24"/>
              </w:rPr>
              <w:t>不召开</w:t>
            </w:r>
          </w:p>
          <w:p w14:paraId="405B87DD">
            <w:pPr>
              <w:widowControl/>
              <w:adjustRightInd w:val="0"/>
              <w:snapToGrid w:val="0"/>
              <w:spacing w:line="288" w:lineRule="auto"/>
              <w:rPr>
                <w:rFonts w:ascii="宋体" w:hAnsi="宋体" w:eastAsia="仿宋" w:cs="Calibri"/>
                <w:color w:val="000000"/>
                <w:sz w:val="24"/>
              </w:rPr>
            </w:pPr>
            <w:r>
              <w:rPr>
                <w:rFonts w:hint="eastAsia" w:ascii="宋体" w:hAnsi="宋体" w:eastAsia="仿宋" w:cs="Calibri"/>
                <w:color w:val="000000"/>
                <w:sz w:val="24"/>
              </w:rPr>
              <w:t>□召开，召开时间：</w:t>
            </w:r>
            <w:r>
              <w:rPr>
                <w:rFonts w:hint="eastAsia" w:ascii="仿宋" w:hAnsi="仿宋" w:eastAsia="仿宋" w:cs="仿宋"/>
                <w:iCs/>
                <w:color w:val="000000"/>
                <w:sz w:val="24"/>
              </w:rPr>
              <w:t>/</w:t>
            </w:r>
          </w:p>
          <w:p w14:paraId="33473E7C">
            <w:pPr>
              <w:widowControl/>
              <w:adjustRightInd w:val="0"/>
              <w:snapToGrid w:val="0"/>
              <w:spacing w:line="288" w:lineRule="auto"/>
              <w:ind w:firstLine="960" w:firstLineChars="400"/>
              <w:rPr>
                <w:rFonts w:ascii="宋体" w:hAnsi="宋体" w:eastAsia="仿宋" w:cs="Calibri"/>
                <w:color w:val="000000"/>
                <w:sz w:val="24"/>
                <w:u w:val="single"/>
              </w:rPr>
            </w:pPr>
            <w:r>
              <w:rPr>
                <w:rFonts w:hint="eastAsia" w:ascii="宋体" w:hAnsi="宋体" w:eastAsia="仿宋" w:cs="Calibri"/>
                <w:color w:val="000000"/>
                <w:sz w:val="24"/>
              </w:rPr>
              <w:t>召开地点：</w:t>
            </w:r>
            <w:r>
              <w:rPr>
                <w:rFonts w:hint="eastAsia" w:ascii="仿宋" w:hAnsi="仿宋" w:eastAsia="仿宋" w:cs="仿宋"/>
                <w:iCs/>
                <w:color w:val="000000"/>
                <w:sz w:val="24"/>
              </w:rPr>
              <w:t>/</w:t>
            </w:r>
          </w:p>
          <w:p w14:paraId="3D7DB9F1">
            <w:pPr>
              <w:widowControl/>
              <w:adjustRightInd w:val="0"/>
              <w:snapToGrid w:val="0"/>
              <w:spacing w:line="288" w:lineRule="auto"/>
              <w:ind w:firstLine="960" w:firstLineChars="400"/>
              <w:rPr>
                <w:rFonts w:ascii="宋体" w:hAnsi="宋体" w:cs="Calibri"/>
                <w:color w:val="000000"/>
                <w:sz w:val="24"/>
              </w:rPr>
            </w:pPr>
            <w:r>
              <w:rPr>
                <w:rFonts w:hint="eastAsia" w:ascii="宋体" w:hAnsi="宋体" w:eastAsia="仿宋" w:cs="Calibri"/>
                <w:color w:val="000000"/>
                <w:sz w:val="24"/>
              </w:rPr>
              <w:t>联系方式：</w:t>
            </w:r>
            <w:r>
              <w:rPr>
                <w:rFonts w:hint="eastAsia" w:ascii="仿宋" w:hAnsi="仿宋" w:eastAsia="仿宋" w:cs="仿宋"/>
                <w:iCs/>
                <w:color w:val="000000"/>
                <w:sz w:val="24"/>
              </w:rPr>
              <w:t>/</w:t>
            </w:r>
          </w:p>
        </w:tc>
      </w:tr>
      <w:tr w14:paraId="365C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4B4B886">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1.10.1</w:t>
            </w:r>
          </w:p>
        </w:tc>
        <w:tc>
          <w:tcPr>
            <w:tcW w:w="1581" w:type="dxa"/>
            <w:vAlign w:val="center"/>
          </w:tcPr>
          <w:p w14:paraId="6EA2D3EA">
            <w:pPr>
              <w:widowControl/>
              <w:adjustRightInd w:val="0"/>
              <w:snapToGrid w:val="0"/>
              <w:spacing w:line="288" w:lineRule="auto"/>
              <w:jc w:val="center"/>
              <w:rPr>
                <w:rFonts w:ascii="宋体" w:hAnsi="宋体" w:cs="Calibri"/>
                <w:sz w:val="24"/>
              </w:rPr>
            </w:pPr>
            <w:r>
              <w:rPr>
                <w:rFonts w:hint="eastAsia" w:ascii="宋体" w:hAnsi="宋体" w:eastAsia="仿宋" w:cs="Calibri"/>
                <w:sz w:val="24"/>
              </w:rPr>
              <w:t>分包</w:t>
            </w:r>
          </w:p>
        </w:tc>
        <w:tc>
          <w:tcPr>
            <w:tcW w:w="7229" w:type="dxa"/>
            <w:vAlign w:val="center"/>
          </w:tcPr>
          <w:p w14:paraId="437A8BE3">
            <w:pPr>
              <w:widowControl/>
              <w:topLinePunct/>
              <w:adjustRightInd w:val="0"/>
              <w:snapToGrid w:val="0"/>
              <w:spacing w:line="288" w:lineRule="auto"/>
              <w:ind w:left="187" w:hanging="187" w:hangingChars="78"/>
              <w:rPr>
                <w:rFonts w:ascii="宋体" w:hAnsi="宋体" w:eastAsia="仿宋" w:cs="Calibri"/>
                <w:sz w:val="24"/>
              </w:rPr>
            </w:pPr>
            <w:r>
              <w:rPr>
                <w:rFonts w:hint="eastAsia" w:ascii="宋体" w:hAnsi="宋体" w:eastAsia="仿宋"/>
                <w:bCs/>
                <w:sz w:val="24"/>
              </w:rPr>
              <w:t>☑</w:t>
            </w:r>
            <w:r>
              <w:rPr>
                <w:rFonts w:hint="eastAsia" w:ascii="宋体" w:hAnsi="宋体" w:eastAsia="仿宋" w:cs="Calibri"/>
                <w:sz w:val="24"/>
              </w:rPr>
              <w:t>不允许</w:t>
            </w:r>
          </w:p>
          <w:p w14:paraId="25B1CCF4">
            <w:pPr>
              <w:widowControl/>
              <w:snapToGrid w:val="0"/>
              <w:spacing w:line="288" w:lineRule="auto"/>
              <w:rPr>
                <w:rFonts w:ascii="宋体" w:hAnsi="宋体" w:eastAsia="仿宋"/>
                <w:color w:val="FF0000"/>
                <w:sz w:val="24"/>
              </w:rPr>
            </w:pPr>
            <w:r>
              <w:rPr>
                <w:rFonts w:hint="eastAsia" w:ascii="宋体" w:hAnsi="宋体" w:eastAsia="仿宋" w:cs="Calibri"/>
                <w:sz w:val="24"/>
              </w:rPr>
              <w:t>□允许：</w:t>
            </w:r>
          </w:p>
          <w:p w14:paraId="11C62621">
            <w:pPr>
              <w:widowControl/>
              <w:snapToGrid w:val="0"/>
              <w:spacing w:line="288" w:lineRule="auto"/>
              <w:rPr>
                <w:rFonts w:ascii="楷体" w:hAnsi="楷体" w:eastAsia="仿宋"/>
                <w:color w:val="000000"/>
                <w:sz w:val="24"/>
              </w:rPr>
            </w:pPr>
            <w:r>
              <w:rPr>
                <w:rFonts w:hint="eastAsia" w:ascii="楷体" w:hAnsi="楷体" w:eastAsia="仿宋"/>
                <w:color w:val="000000"/>
                <w:sz w:val="24"/>
              </w:rPr>
              <w:t>（1）允许分包的范围和内容：/</w:t>
            </w:r>
          </w:p>
          <w:p w14:paraId="71AD4187">
            <w:pPr>
              <w:widowControl/>
              <w:snapToGrid w:val="0"/>
              <w:spacing w:line="288" w:lineRule="auto"/>
              <w:rPr>
                <w:rFonts w:ascii="楷体" w:hAnsi="楷体" w:eastAsia="仿宋"/>
                <w:color w:val="000000"/>
                <w:sz w:val="24"/>
              </w:rPr>
            </w:pPr>
            <w:r>
              <w:rPr>
                <w:rFonts w:hint="eastAsia" w:ascii="楷体" w:hAnsi="楷体" w:eastAsia="仿宋"/>
                <w:color w:val="000000"/>
                <w:sz w:val="24"/>
              </w:rPr>
              <w:t>（2）对分包人资质要求：/</w:t>
            </w:r>
          </w:p>
          <w:p w14:paraId="5D7E2BB7">
            <w:pPr>
              <w:widowControl/>
              <w:snapToGrid w:val="0"/>
              <w:spacing w:line="288" w:lineRule="auto"/>
              <w:rPr>
                <w:rFonts w:ascii="宋体" w:hAnsi="宋体"/>
                <w:color w:val="FF0000"/>
                <w:sz w:val="24"/>
              </w:rPr>
            </w:pPr>
            <w:r>
              <w:rPr>
                <w:rFonts w:hint="eastAsia" w:ascii="楷体" w:hAnsi="楷体" w:eastAsia="仿宋"/>
                <w:color w:val="000000"/>
                <w:sz w:val="24"/>
              </w:rPr>
              <w:t>（3）为享受政府采购支持中小企业发展政策，参与政府采购活动的大型企业可向中小微企业分包，中型企业可向小微企业分包。</w:t>
            </w:r>
          </w:p>
        </w:tc>
      </w:tr>
      <w:tr w14:paraId="7DC9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2848451">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2.2.2</w:t>
            </w:r>
          </w:p>
        </w:tc>
        <w:tc>
          <w:tcPr>
            <w:tcW w:w="1581" w:type="dxa"/>
            <w:vAlign w:val="center"/>
          </w:tcPr>
          <w:p w14:paraId="46F69501">
            <w:pPr>
              <w:widowControl/>
              <w:adjustRightInd w:val="0"/>
              <w:snapToGrid w:val="0"/>
              <w:spacing w:line="300" w:lineRule="auto"/>
              <w:jc w:val="center"/>
              <w:rPr>
                <w:rFonts w:ascii="Calibri" w:hAnsi="Calibri" w:eastAsia="仿宋"/>
                <w:color w:val="000000"/>
                <w:sz w:val="24"/>
              </w:rPr>
            </w:pPr>
            <w:r>
              <w:rPr>
                <w:rFonts w:hint="eastAsia" w:ascii="宋体" w:hAnsi="宋体" w:eastAsia="仿宋" w:cs="Calibri"/>
                <w:sz w:val="24"/>
              </w:rPr>
              <w:t>竞争性磋商文件澄清发出的形式</w:t>
            </w:r>
          </w:p>
        </w:tc>
        <w:tc>
          <w:tcPr>
            <w:tcW w:w="7229" w:type="dxa"/>
            <w:vAlign w:val="center"/>
          </w:tcPr>
          <w:p w14:paraId="7A1DB3D1">
            <w:pPr>
              <w:widowControl/>
              <w:adjustRightInd w:val="0"/>
              <w:snapToGrid w:val="0"/>
              <w:spacing w:line="300" w:lineRule="auto"/>
              <w:rPr>
                <w:rFonts w:ascii="宋体" w:hAnsi="宋体" w:eastAsia="仿宋" w:cs="Calibri"/>
                <w:sz w:val="24"/>
              </w:rPr>
            </w:pPr>
            <w:r>
              <w:rPr>
                <w:rFonts w:hint="eastAsia" w:ascii="宋体" w:hAnsi="宋体" w:eastAsia="仿宋"/>
                <w:sz w:val="24"/>
              </w:rPr>
              <w:t>发出形式：在优质采云采购平台发布，供应商自行查看、下载，无需确认。其他方式发布的，供应商应书面确认。</w:t>
            </w:r>
          </w:p>
        </w:tc>
      </w:tr>
      <w:tr w14:paraId="33C2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D0FC2DC">
            <w:pPr>
              <w:widowControl/>
              <w:adjustRightInd w:val="0"/>
              <w:snapToGrid w:val="0"/>
              <w:spacing w:line="288" w:lineRule="auto"/>
              <w:jc w:val="center"/>
              <w:rPr>
                <w:rFonts w:ascii="宋体" w:hAnsi="宋体" w:cs="Calibri"/>
                <w:sz w:val="24"/>
              </w:rPr>
            </w:pPr>
            <w:r>
              <w:rPr>
                <w:rFonts w:hint="eastAsia" w:ascii="宋体" w:hAnsi="宋体" w:eastAsia="仿宋" w:cs="Calibri"/>
                <w:sz w:val="24"/>
              </w:rPr>
              <w:t>3.1.1</w:t>
            </w:r>
          </w:p>
        </w:tc>
        <w:tc>
          <w:tcPr>
            <w:tcW w:w="1581" w:type="dxa"/>
            <w:vAlign w:val="center"/>
          </w:tcPr>
          <w:p w14:paraId="124E7D4C">
            <w:pPr>
              <w:widowControl/>
              <w:adjustRightInd w:val="0"/>
              <w:snapToGrid w:val="0"/>
              <w:spacing w:line="288" w:lineRule="auto"/>
              <w:jc w:val="center"/>
              <w:rPr>
                <w:rFonts w:ascii="宋体" w:hAnsi="宋体" w:cs="Calibri"/>
                <w:color w:val="000000"/>
                <w:sz w:val="24"/>
              </w:rPr>
            </w:pPr>
            <w:r>
              <w:rPr>
                <w:rFonts w:hint="eastAsia" w:ascii="宋体" w:hAnsi="宋体" w:eastAsia="仿宋" w:cs="Calibri"/>
                <w:color w:val="000000"/>
                <w:sz w:val="24"/>
              </w:rPr>
              <w:t>构成响应文件的其他资料</w:t>
            </w:r>
          </w:p>
        </w:tc>
        <w:tc>
          <w:tcPr>
            <w:tcW w:w="7229" w:type="dxa"/>
            <w:vAlign w:val="center"/>
          </w:tcPr>
          <w:p w14:paraId="0306ACCD">
            <w:pPr>
              <w:adjustRightInd w:val="0"/>
              <w:snapToGrid w:val="0"/>
              <w:spacing w:line="288" w:lineRule="auto"/>
              <w:rPr>
                <w:rFonts w:ascii="Calibri" w:hAnsi="Calibri" w:eastAsia="楷体"/>
                <w:color w:val="000000"/>
                <w:sz w:val="24"/>
              </w:rPr>
            </w:pPr>
            <w:r>
              <w:rPr>
                <w:rFonts w:hint="eastAsia" w:ascii="楷体" w:hAnsi="楷体" w:eastAsia="仿宋"/>
                <w:color w:val="000000"/>
                <w:sz w:val="24"/>
              </w:rPr>
              <w:t>/</w:t>
            </w:r>
          </w:p>
        </w:tc>
      </w:tr>
      <w:tr w14:paraId="4538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9" w:hRule="atLeast"/>
        </w:trPr>
        <w:tc>
          <w:tcPr>
            <w:tcW w:w="857" w:type="dxa"/>
            <w:vAlign w:val="center"/>
          </w:tcPr>
          <w:p w14:paraId="4409061C">
            <w:pPr>
              <w:widowControl/>
              <w:adjustRightInd w:val="0"/>
              <w:snapToGrid w:val="0"/>
              <w:spacing w:line="288" w:lineRule="auto"/>
              <w:jc w:val="center"/>
              <w:rPr>
                <w:rFonts w:ascii="宋体" w:hAnsi="宋体" w:cs="Calibri"/>
                <w:sz w:val="24"/>
              </w:rPr>
            </w:pPr>
            <w:r>
              <w:rPr>
                <w:rFonts w:hint="eastAsia" w:ascii="宋体" w:hAnsi="宋体" w:eastAsia="仿宋" w:cs="Calibri"/>
                <w:sz w:val="24"/>
              </w:rPr>
              <w:t>3.1.4</w:t>
            </w:r>
          </w:p>
        </w:tc>
        <w:tc>
          <w:tcPr>
            <w:tcW w:w="1581" w:type="dxa"/>
            <w:vAlign w:val="center"/>
          </w:tcPr>
          <w:p w14:paraId="08F74255">
            <w:pPr>
              <w:widowControl/>
              <w:adjustRightInd w:val="0"/>
              <w:snapToGrid w:val="0"/>
              <w:spacing w:line="288" w:lineRule="auto"/>
              <w:jc w:val="center"/>
              <w:rPr>
                <w:rFonts w:ascii="宋体" w:hAnsi="宋体" w:cs="Calibri"/>
                <w:sz w:val="24"/>
              </w:rPr>
            </w:pPr>
            <w:r>
              <w:rPr>
                <w:rFonts w:hint="eastAsia" w:ascii="宋体" w:hAnsi="宋体" w:eastAsia="仿宋" w:cs="Calibri"/>
                <w:sz w:val="24"/>
              </w:rPr>
              <w:t>样品</w:t>
            </w:r>
          </w:p>
        </w:tc>
        <w:tc>
          <w:tcPr>
            <w:tcW w:w="7229" w:type="dxa"/>
            <w:vAlign w:val="center"/>
          </w:tcPr>
          <w:p w14:paraId="021689BE">
            <w:pPr>
              <w:widowControl/>
              <w:adjustRightInd w:val="0"/>
              <w:snapToGrid w:val="0"/>
              <w:spacing w:line="288" w:lineRule="auto"/>
              <w:rPr>
                <w:rFonts w:ascii="宋体" w:hAnsi="宋体" w:eastAsia="仿宋"/>
                <w:b/>
                <w:bCs/>
                <w:sz w:val="24"/>
              </w:rPr>
            </w:pPr>
            <w:r>
              <w:rPr>
                <w:rFonts w:hint="eastAsia" w:ascii="宋体" w:hAnsi="宋体" w:eastAsia="仿宋"/>
                <w:b/>
                <w:bCs/>
                <w:sz w:val="24"/>
              </w:rPr>
              <w:t>是否要求供应商提交样品：</w:t>
            </w:r>
          </w:p>
          <w:p w14:paraId="3218BB80">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☑否</w:t>
            </w:r>
          </w:p>
          <w:p w14:paraId="48EA495B">
            <w:pPr>
              <w:widowControl/>
              <w:adjustRightInd w:val="0"/>
              <w:snapToGrid w:val="0"/>
              <w:spacing w:line="288" w:lineRule="auto"/>
              <w:rPr>
                <w:rFonts w:ascii="楷体" w:hAnsi="楷体" w:eastAsia="仿宋" w:cs="Calibri"/>
                <w:sz w:val="24"/>
              </w:rPr>
            </w:pPr>
            <w:r>
              <w:rPr>
                <w:rFonts w:hint="eastAsia" w:ascii="宋体" w:hAnsi="宋体" w:eastAsia="仿宋" w:cs="Calibri"/>
                <w:sz w:val="24"/>
              </w:rPr>
              <w:t>□是，提交样品的具体要求：</w:t>
            </w:r>
          </w:p>
          <w:p w14:paraId="3BA75DA7">
            <w:pPr>
              <w:adjustRightInd w:val="0"/>
              <w:spacing w:line="288" w:lineRule="auto"/>
              <w:rPr>
                <w:rFonts w:ascii="仿宋" w:hAnsi="仿宋" w:eastAsia="仿宋" w:cs="仿宋"/>
                <w:kern w:val="0"/>
                <w:sz w:val="24"/>
              </w:rPr>
            </w:pPr>
            <w:r>
              <w:rPr>
                <w:rFonts w:hint="eastAsia" w:ascii="仿宋" w:hAnsi="仿宋" w:eastAsia="仿宋" w:cs="仿宋"/>
                <w:kern w:val="0"/>
                <w:sz w:val="24"/>
                <w:lang w:bidi="ar"/>
              </w:rPr>
              <w:t>（1）</w:t>
            </w:r>
            <w:r>
              <w:rPr>
                <w:rFonts w:hint="eastAsia" w:ascii="仿宋" w:hAnsi="仿宋" w:eastAsia="仿宋" w:cs="仿宋"/>
                <w:snapToGrid w:val="0"/>
                <w:kern w:val="28"/>
                <w:sz w:val="24"/>
                <w:lang w:bidi="ar"/>
              </w:rPr>
              <w:t>样品制作的标准和要求：详见第三章“</w:t>
            </w:r>
            <w:r>
              <w:rPr>
                <w:rFonts w:hint="eastAsia" w:ascii="仿宋" w:hAnsi="仿宋" w:eastAsia="仿宋" w:cs="仿宋"/>
                <w:sz w:val="24"/>
                <w:lang w:bidi="ar"/>
              </w:rPr>
              <w:t>采购需求”</w:t>
            </w:r>
            <w:r>
              <w:rPr>
                <w:rFonts w:hint="eastAsia" w:ascii="仿宋" w:hAnsi="仿宋" w:eastAsia="仿宋" w:cs="仿宋"/>
                <w:kern w:val="0"/>
                <w:sz w:val="24"/>
                <w:lang w:bidi="ar"/>
              </w:rPr>
              <w:t>；</w:t>
            </w:r>
          </w:p>
          <w:p w14:paraId="4C83FAB6">
            <w:pPr>
              <w:adjustRightInd w:val="0"/>
              <w:spacing w:line="288" w:lineRule="auto"/>
              <w:rPr>
                <w:rFonts w:ascii="仿宋" w:hAnsi="仿宋" w:eastAsia="仿宋" w:cs="仿宋"/>
                <w:kern w:val="0"/>
                <w:sz w:val="24"/>
              </w:rPr>
            </w:pPr>
            <w:r>
              <w:rPr>
                <w:rFonts w:hint="eastAsia" w:ascii="仿宋" w:hAnsi="仿宋" w:eastAsia="仿宋" w:cs="仿宋"/>
                <w:kern w:val="0"/>
                <w:sz w:val="24"/>
                <w:lang w:bidi="ar"/>
              </w:rPr>
              <w:t>（2）样品的评审方法以及评审标准</w:t>
            </w:r>
            <w:r>
              <w:rPr>
                <w:rFonts w:hint="eastAsia" w:ascii="仿宋" w:hAnsi="仿宋" w:eastAsia="仿宋" w:cs="仿宋"/>
                <w:snapToGrid w:val="0"/>
                <w:kern w:val="28"/>
                <w:sz w:val="24"/>
                <w:lang w:bidi="ar"/>
              </w:rPr>
              <w:t>：详见第四章“磋商和评审办法</w:t>
            </w:r>
            <w:r>
              <w:rPr>
                <w:rFonts w:hint="eastAsia" w:ascii="仿宋" w:hAnsi="仿宋" w:eastAsia="仿宋" w:cs="仿宋"/>
                <w:sz w:val="24"/>
                <w:lang w:bidi="ar"/>
              </w:rPr>
              <w:t>”</w:t>
            </w:r>
            <w:r>
              <w:rPr>
                <w:rFonts w:hint="eastAsia" w:ascii="仿宋" w:hAnsi="仿宋" w:eastAsia="仿宋" w:cs="仿宋"/>
                <w:kern w:val="0"/>
                <w:sz w:val="24"/>
                <w:lang w:bidi="ar"/>
              </w:rPr>
              <w:t>；</w:t>
            </w:r>
          </w:p>
          <w:p w14:paraId="3810EB42">
            <w:pPr>
              <w:adjustRightInd w:val="0"/>
              <w:spacing w:line="288" w:lineRule="auto"/>
              <w:rPr>
                <w:rFonts w:ascii="仿宋" w:hAnsi="仿宋" w:eastAsia="仿宋" w:cs="仿宋"/>
                <w:kern w:val="0"/>
                <w:sz w:val="24"/>
              </w:rPr>
            </w:pPr>
            <w:r>
              <w:rPr>
                <w:rFonts w:hint="eastAsia" w:ascii="仿宋" w:hAnsi="仿宋" w:eastAsia="仿宋" w:cs="仿宋"/>
                <w:kern w:val="0"/>
                <w:sz w:val="24"/>
                <w:lang w:bidi="ar"/>
              </w:rPr>
              <w:t>（3）是否需要随样品提交检测报告：</w:t>
            </w:r>
            <w:r>
              <w:rPr>
                <w:rFonts w:hint="eastAsia" w:ascii="仿宋" w:hAnsi="仿宋" w:eastAsia="仿宋" w:cs="仿宋"/>
                <w:kern w:val="0"/>
                <w:sz w:val="24"/>
                <w:lang w:bidi="ar"/>
              </w:rPr>
              <w:sym w:font="Wingdings" w:char="00FE"/>
            </w:r>
            <w:r>
              <w:rPr>
                <w:rFonts w:hint="eastAsia" w:ascii="仿宋" w:hAnsi="仿宋" w:eastAsia="仿宋" w:cs="仿宋"/>
                <w:kern w:val="0"/>
                <w:sz w:val="24"/>
                <w:lang w:bidi="ar"/>
              </w:rPr>
              <w:t>否；☐是，</w:t>
            </w:r>
            <w:r>
              <w:rPr>
                <w:rFonts w:hint="eastAsia" w:ascii="楷体" w:hAnsi="楷体" w:eastAsia="仿宋"/>
                <w:sz w:val="24"/>
              </w:rPr>
              <w:t>检测机构的要求：/；检测内容：/</w:t>
            </w:r>
            <w:r>
              <w:rPr>
                <w:rFonts w:hint="eastAsia" w:ascii="仿宋" w:hAnsi="仿宋" w:eastAsia="仿宋" w:cs="仿宋"/>
                <w:kern w:val="0"/>
                <w:sz w:val="24"/>
                <w:lang w:bidi="ar"/>
              </w:rPr>
              <w:t>。</w:t>
            </w:r>
          </w:p>
          <w:p w14:paraId="0A246683">
            <w:pPr>
              <w:adjustRightInd w:val="0"/>
              <w:spacing w:line="288" w:lineRule="auto"/>
              <w:rPr>
                <w:rFonts w:ascii="仿宋" w:hAnsi="仿宋" w:eastAsia="仿宋" w:cs="仿宋"/>
                <w:sz w:val="24"/>
                <w:lang w:bidi="ar"/>
              </w:rPr>
            </w:pPr>
            <w:r>
              <w:rPr>
                <w:rFonts w:hint="eastAsia" w:ascii="仿宋" w:hAnsi="仿宋" w:eastAsia="仿宋" w:cs="仿宋"/>
                <w:sz w:val="24"/>
                <w:lang w:bidi="ar"/>
              </w:rPr>
              <w:t>（4）提供样品的时间：</w:t>
            </w:r>
            <w:r>
              <w:rPr>
                <w:rFonts w:hint="eastAsia" w:ascii="楷体" w:hAnsi="楷体" w:eastAsia="仿宋"/>
                <w:sz w:val="24"/>
              </w:rPr>
              <w:t>/</w:t>
            </w:r>
            <w:r>
              <w:rPr>
                <w:rFonts w:hint="eastAsia" w:ascii="仿宋" w:hAnsi="仿宋" w:eastAsia="仿宋" w:cs="仿宋"/>
                <w:kern w:val="0"/>
                <w:sz w:val="24"/>
                <w:lang w:bidi="ar"/>
              </w:rPr>
              <w:t>；地点：</w:t>
            </w:r>
            <w:r>
              <w:rPr>
                <w:rFonts w:hint="eastAsia" w:ascii="楷体" w:hAnsi="楷体" w:eastAsia="仿宋"/>
                <w:sz w:val="24"/>
              </w:rPr>
              <w:t>/</w:t>
            </w:r>
            <w:r>
              <w:rPr>
                <w:rFonts w:hint="eastAsia" w:ascii="仿宋" w:hAnsi="仿宋" w:eastAsia="仿宋" w:cs="仿宋"/>
                <w:kern w:val="0"/>
                <w:sz w:val="24"/>
                <w:lang w:bidi="ar"/>
              </w:rPr>
              <w:t>；联系人</w:t>
            </w:r>
            <w:r>
              <w:rPr>
                <w:rFonts w:hint="eastAsia" w:ascii="仿宋" w:hAnsi="仿宋" w:eastAsia="仿宋" w:cs="仿宋"/>
                <w:sz w:val="24"/>
                <w:lang w:bidi="ar"/>
              </w:rPr>
              <w:t>：</w:t>
            </w:r>
            <w:r>
              <w:rPr>
                <w:rFonts w:hint="eastAsia" w:ascii="楷体" w:hAnsi="楷体" w:eastAsia="仿宋"/>
                <w:sz w:val="24"/>
              </w:rPr>
              <w:t>/</w:t>
            </w:r>
            <w:r>
              <w:rPr>
                <w:rFonts w:hint="eastAsia" w:ascii="仿宋" w:hAnsi="仿宋" w:eastAsia="仿宋" w:cs="仿宋"/>
                <w:sz w:val="24"/>
                <w:lang w:bidi="ar"/>
              </w:rPr>
              <w:t>，</w:t>
            </w:r>
            <w:r>
              <w:rPr>
                <w:rFonts w:hint="eastAsia" w:ascii="仿宋" w:hAnsi="仿宋" w:eastAsia="仿宋" w:cs="仿宋"/>
                <w:kern w:val="28"/>
                <w:sz w:val="24"/>
                <w:lang w:bidi="ar"/>
              </w:rPr>
              <w:t>联系电话：</w:t>
            </w:r>
            <w:r>
              <w:rPr>
                <w:rFonts w:hint="eastAsia" w:ascii="楷体" w:hAnsi="楷体" w:eastAsia="仿宋"/>
                <w:sz w:val="24"/>
              </w:rPr>
              <w:t>/</w:t>
            </w:r>
            <w:r>
              <w:rPr>
                <w:rFonts w:hint="eastAsia" w:ascii="仿宋" w:hAnsi="仿宋" w:eastAsia="仿宋" w:cs="仿宋"/>
                <w:sz w:val="24"/>
                <w:lang w:bidi="ar"/>
              </w:rPr>
              <w:t>。</w:t>
            </w:r>
          </w:p>
          <w:p w14:paraId="553D69DE">
            <w:pPr>
              <w:adjustRightInd w:val="0"/>
              <w:spacing w:line="288" w:lineRule="auto"/>
              <w:rPr>
                <w:rFonts w:ascii="仿宋" w:hAnsi="仿宋" w:eastAsia="仿宋" w:cs="仿宋"/>
                <w:sz w:val="24"/>
              </w:rPr>
            </w:pPr>
            <w:r>
              <w:rPr>
                <w:rFonts w:hint="eastAsia" w:ascii="仿宋" w:hAnsi="仿宋" w:eastAsia="仿宋" w:cs="仿宋"/>
                <w:sz w:val="24"/>
                <w:lang w:bidi="ar"/>
              </w:rPr>
              <w:t>请供应商按上述时间规定提供样品。未按规定递交的，采购代理机构将不予接收。</w:t>
            </w:r>
          </w:p>
          <w:p w14:paraId="40AA0833">
            <w:pPr>
              <w:adjustRightInd w:val="0"/>
              <w:spacing w:line="288" w:lineRule="auto"/>
              <w:rPr>
                <w:rFonts w:ascii="仿宋" w:hAnsi="仿宋" w:eastAsia="仿宋" w:cs="仿宋"/>
                <w:sz w:val="24"/>
              </w:rPr>
            </w:pPr>
            <w:r>
              <w:rPr>
                <w:rFonts w:hint="eastAsia" w:ascii="仿宋" w:hAnsi="仿宋" w:eastAsia="仿宋" w:cs="仿宋"/>
                <w:sz w:val="24"/>
                <w:lang w:bidi="ar"/>
              </w:rPr>
              <w:t>（5）成交</w:t>
            </w:r>
            <w:r>
              <w:rPr>
                <w:rFonts w:hint="eastAsia" w:ascii="仿宋" w:hAnsi="仿宋" w:eastAsia="仿宋" w:cs="仿宋"/>
                <w:sz w:val="24"/>
              </w:rPr>
              <w:t>供应商样品的保管：</w:t>
            </w:r>
            <w:r>
              <w:rPr>
                <w:rFonts w:hint="eastAsia" w:ascii="楷体" w:hAnsi="楷体" w:eastAsia="仿宋"/>
                <w:sz w:val="24"/>
              </w:rPr>
              <w:t>采购代理机构自成交结果公告发布之日起3个工作日内，将供应商样品移交采购人。由采购人进行保管、封存，并作为履约验收的参考。</w:t>
            </w:r>
          </w:p>
          <w:p w14:paraId="31B7361B">
            <w:pPr>
              <w:adjustRightInd w:val="0"/>
              <w:spacing w:line="288" w:lineRule="auto"/>
              <w:rPr>
                <w:rFonts w:ascii="仿宋" w:hAnsi="仿宋" w:eastAsia="仿宋" w:cs="仿宋"/>
                <w:sz w:val="24"/>
                <w:lang w:bidi="ar"/>
              </w:rPr>
            </w:pPr>
            <w:r>
              <w:rPr>
                <w:rFonts w:hint="eastAsia" w:ascii="仿宋" w:hAnsi="仿宋" w:eastAsia="仿宋" w:cs="仿宋"/>
                <w:sz w:val="24"/>
              </w:rPr>
              <w:t>（6）未成交时样品的退还：</w:t>
            </w:r>
            <w:r>
              <w:rPr>
                <w:rFonts w:hint="eastAsia" w:ascii="楷体" w:hAnsi="楷体" w:eastAsia="仿宋"/>
                <w:sz w:val="24"/>
              </w:rPr>
              <w:t>自成交结果公告/终止公告发布之日起3个工作日内，供应商自行取回。逾期未取的，样品的损毁、灭失责任由供应商承担。</w:t>
            </w:r>
          </w:p>
        </w:tc>
      </w:tr>
      <w:tr w14:paraId="735D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1717A8B">
            <w:pPr>
              <w:widowControl/>
              <w:adjustRightInd w:val="0"/>
              <w:snapToGrid w:val="0"/>
              <w:spacing w:line="288" w:lineRule="auto"/>
              <w:jc w:val="center"/>
              <w:rPr>
                <w:rFonts w:ascii="宋体" w:hAnsi="宋体" w:cs="Calibri"/>
                <w:sz w:val="24"/>
              </w:rPr>
            </w:pPr>
            <w:r>
              <w:rPr>
                <w:rFonts w:hint="eastAsia" w:ascii="宋体" w:hAnsi="宋体" w:eastAsia="仿宋" w:cs="Calibri"/>
                <w:sz w:val="24"/>
              </w:rPr>
              <w:t>3.2.1</w:t>
            </w:r>
          </w:p>
        </w:tc>
        <w:tc>
          <w:tcPr>
            <w:tcW w:w="1581" w:type="dxa"/>
            <w:vAlign w:val="center"/>
          </w:tcPr>
          <w:p w14:paraId="33D20837">
            <w:pPr>
              <w:widowControl/>
              <w:adjustRightInd w:val="0"/>
              <w:snapToGrid w:val="0"/>
              <w:spacing w:line="288" w:lineRule="auto"/>
              <w:jc w:val="center"/>
              <w:rPr>
                <w:rFonts w:ascii="宋体" w:hAnsi="宋体" w:cs="Calibri"/>
                <w:sz w:val="24"/>
              </w:rPr>
            </w:pPr>
            <w:r>
              <w:rPr>
                <w:rFonts w:hint="eastAsia" w:ascii="Calibri" w:hAnsi="Calibri" w:eastAsia="仿宋" w:cs="方正小标宋简体"/>
                <w:sz w:val="24"/>
              </w:rPr>
              <w:t>响应</w:t>
            </w:r>
            <w:r>
              <w:rPr>
                <w:rFonts w:hint="eastAsia" w:ascii="宋体" w:hAnsi="宋体" w:eastAsia="仿宋" w:cs="Calibri"/>
                <w:sz w:val="24"/>
              </w:rPr>
              <w:t>报价包括的内容</w:t>
            </w:r>
          </w:p>
        </w:tc>
        <w:tc>
          <w:tcPr>
            <w:tcW w:w="7229" w:type="dxa"/>
            <w:vAlign w:val="center"/>
          </w:tcPr>
          <w:p w14:paraId="031B3D2E">
            <w:pPr>
              <w:widowControl/>
              <w:adjustRightInd w:val="0"/>
              <w:snapToGrid w:val="0"/>
              <w:spacing w:line="288" w:lineRule="auto"/>
              <w:rPr>
                <w:rFonts w:ascii="楷体" w:hAnsi="楷体" w:eastAsia="楷体"/>
                <w:bCs/>
                <w:sz w:val="24"/>
              </w:rPr>
            </w:pPr>
            <w:r>
              <w:rPr>
                <w:rFonts w:hint="eastAsia" w:ascii="Calibri" w:hAnsi="Calibri" w:eastAsia="仿宋" w:cs="方正小标宋简体"/>
                <w:sz w:val="24"/>
              </w:rPr>
              <w:t>响应</w:t>
            </w:r>
            <w:r>
              <w:rPr>
                <w:rFonts w:hint="eastAsia" w:ascii="楷体" w:hAnsi="楷体" w:eastAsia="仿宋" w:cs="Calibri"/>
                <w:sz w:val="24"/>
              </w:rPr>
              <w:t>报价</w:t>
            </w:r>
            <w:r>
              <w:rPr>
                <w:rFonts w:ascii="楷体" w:hAnsi="楷体" w:eastAsia="仿宋"/>
                <w:sz w:val="24"/>
              </w:rPr>
              <w:t>包括货物从设计、采购、制造、交货（包括运输至采购人指定地点卸车就位）至验收和售后服务的一切费用（如设计费、采购费、制造费、包装费、运输费、运输保险费、装卸费、其他技术服务及质保期服务费等）、管理费、利润和税金，以及</w:t>
            </w:r>
            <w:r>
              <w:rPr>
                <w:rFonts w:hint="eastAsia" w:ascii="楷体" w:hAnsi="楷体" w:eastAsia="仿宋"/>
                <w:sz w:val="24"/>
              </w:rPr>
              <w:t>采购</w:t>
            </w:r>
            <w:r>
              <w:rPr>
                <w:rFonts w:ascii="楷体" w:hAnsi="楷体" w:eastAsia="仿宋"/>
                <w:sz w:val="24"/>
              </w:rPr>
              <w:t>合同中明示或暗示的所有责任、义务和风险。</w:t>
            </w:r>
          </w:p>
        </w:tc>
      </w:tr>
      <w:tr w14:paraId="39C5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98FBEE5">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3.2.4</w:t>
            </w:r>
          </w:p>
        </w:tc>
        <w:tc>
          <w:tcPr>
            <w:tcW w:w="1581" w:type="dxa"/>
            <w:vAlign w:val="center"/>
          </w:tcPr>
          <w:p w14:paraId="244248E2">
            <w:pPr>
              <w:widowControl/>
              <w:adjustRightInd w:val="0"/>
              <w:snapToGrid w:val="0"/>
              <w:spacing w:line="288" w:lineRule="auto"/>
              <w:jc w:val="center"/>
              <w:rPr>
                <w:rFonts w:ascii="宋体" w:hAnsi="宋体" w:cs="Calibri"/>
                <w:sz w:val="24"/>
              </w:rPr>
            </w:pPr>
            <w:r>
              <w:rPr>
                <w:rFonts w:hint="eastAsia" w:ascii="Calibri" w:hAnsi="Calibri" w:eastAsia="仿宋" w:cs="方正小标宋简体"/>
                <w:sz w:val="24"/>
              </w:rPr>
              <w:t>响应</w:t>
            </w:r>
            <w:r>
              <w:rPr>
                <w:rFonts w:hint="eastAsia" w:ascii="宋体" w:hAnsi="宋体" w:eastAsia="仿宋" w:cs="Calibri"/>
                <w:sz w:val="24"/>
              </w:rPr>
              <w:t>报价的其他要求</w:t>
            </w:r>
          </w:p>
        </w:tc>
        <w:tc>
          <w:tcPr>
            <w:tcW w:w="7229" w:type="dxa"/>
            <w:vAlign w:val="center"/>
          </w:tcPr>
          <w:p w14:paraId="352D6A7A">
            <w:pPr>
              <w:pStyle w:val="174"/>
              <w:snapToGrid w:val="0"/>
              <w:spacing w:line="240" w:lineRule="auto"/>
              <w:rPr>
                <w:rFonts w:ascii="楷体" w:hAnsi="楷体" w:eastAsia="仿宋"/>
                <w:b w:val="0"/>
                <w:color w:val="auto"/>
                <w:sz w:val="24"/>
                <w:szCs w:val="24"/>
              </w:rPr>
            </w:pPr>
            <w:r>
              <w:rPr>
                <w:rFonts w:hint="eastAsia" w:ascii="楷体" w:hAnsi="楷体" w:eastAsia="仿宋"/>
                <w:b w:val="0"/>
                <w:color w:val="auto"/>
                <w:sz w:val="24"/>
                <w:szCs w:val="24"/>
              </w:rPr>
              <w:t>☑除竞争性磋商文件另有规定外，供应商所报的价格在合同执行过程中固定不变,不得以任何理由予以变更。</w:t>
            </w:r>
          </w:p>
          <w:p w14:paraId="3667261E">
            <w:pPr>
              <w:pStyle w:val="174"/>
              <w:tabs>
                <w:tab w:val="left" w:pos="2149"/>
              </w:tabs>
              <w:snapToGrid w:val="0"/>
              <w:spacing w:line="240" w:lineRule="auto"/>
              <w:rPr>
                <w:rFonts w:hAnsi="宋体"/>
                <w:bCs/>
                <w:color w:val="auto"/>
                <w:sz w:val="24"/>
                <w:szCs w:val="24"/>
              </w:rPr>
            </w:pPr>
            <w:r>
              <w:rPr>
                <w:rFonts w:hint="eastAsia" w:ascii="楷体" w:hAnsi="楷体" w:eastAsia="仿宋"/>
                <w:b w:val="0"/>
                <w:color w:val="auto"/>
                <w:sz w:val="24"/>
                <w:szCs w:val="24"/>
              </w:rPr>
              <w:t>□采购</w:t>
            </w:r>
            <w:r>
              <w:rPr>
                <w:rFonts w:ascii="楷体" w:hAnsi="楷体" w:eastAsia="仿宋"/>
                <w:b w:val="0"/>
                <w:color w:val="auto"/>
                <w:sz w:val="24"/>
                <w:szCs w:val="24"/>
              </w:rPr>
              <w:t>人在“</w:t>
            </w:r>
            <w:r>
              <w:rPr>
                <w:rFonts w:hint="eastAsia" w:ascii="楷体" w:hAnsi="楷体" w:eastAsia="仿宋"/>
                <w:b w:val="0"/>
                <w:color w:val="auto"/>
                <w:sz w:val="24"/>
                <w:szCs w:val="24"/>
              </w:rPr>
              <w:t>采购需求</w:t>
            </w:r>
            <w:r>
              <w:rPr>
                <w:rFonts w:ascii="楷体" w:hAnsi="楷体" w:eastAsia="仿宋"/>
                <w:b w:val="0"/>
                <w:color w:val="auto"/>
                <w:sz w:val="24"/>
                <w:szCs w:val="24"/>
              </w:rPr>
              <w:t>”中所提供的各种货物的数量是计划采购数量，仅作为</w:t>
            </w:r>
            <w:r>
              <w:rPr>
                <w:rFonts w:hint="eastAsia" w:ascii="楷体" w:hAnsi="楷体" w:eastAsia="仿宋"/>
                <w:b w:val="0"/>
                <w:color w:val="auto"/>
                <w:sz w:val="24"/>
                <w:szCs w:val="24"/>
              </w:rPr>
              <w:t>响应</w:t>
            </w:r>
            <w:r>
              <w:rPr>
                <w:rFonts w:ascii="楷体" w:hAnsi="楷体" w:eastAsia="仿宋"/>
                <w:b w:val="0"/>
                <w:color w:val="auto"/>
                <w:sz w:val="24"/>
                <w:szCs w:val="24"/>
              </w:rPr>
              <w:t>报价的依据，不作为最终结算与支付的依据。在合同实施期间，</w:t>
            </w:r>
            <w:r>
              <w:rPr>
                <w:rFonts w:hint="eastAsia" w:ascii="楷体" w:hAnsi="楷体" w:eastAsia="仿宋"/>
                <w:b w:val="0"/>
                <w:color w:val="auto"/>
                <w:sz w:val="24"/>
                <w:szCs w:val="24"/>
              </w:rPr>
              <w:t>采购人可以按照政府采购政策规定对</w:t>
            </w:r>
            <w:r>
              <w:rPr>
                <w:rFonts w:ascii="楷体" w:hAnsi="楷体" w:eastAsia="仿宋"/>
                <w:b w:val="0"/>
                <w:color w:val="auto"/>
                <w:sz w:val="24"/>
                <w:szCs w:val="24"/>
              </w:rPr>
              <w:t>货物数量适当增减。</w:t>
            </w:r>
            <w:r>
              <w:rPr>
                <w:rFonts w:hint="eastAsia" w:ascii="楷体" w:hAnsi="楷体" w:eastAsia="仿宋"/>
                <w:b w:val="0"/>
                <w:color w:val="auto"/>
                <w:sz w:val="24"/>
                <w:szCs w:val="24"/>
              </w:rPr>
              <w:t>供应商</w:t>
            </w:r>
            <w:r>
              <w:rPr>
                <w:rFonts w:ascii="楷体" w:hAnsi="楷体" w:eastAsia="仿宋"/>
                <w:b w:val="0"/>
                <w:color w:val="auto"/>
                <w:sz w:val="24"/>
                <w:szCs w:val="24"/>
              </w:rPr>
              <w:t>不得以货物的实际供货数量有变化为理由</w:t>
            </w:r>
            <w:r>
              <w:rPr>
                <w:rFonts w:hint="eastAsia" w:ascii="楷体" w:hAnsi="楷体" w:eastAsia="仿宋"/>
                <w:b w:val="0"/>
                <w:color w:val="auto"/>
                <w:sz w:val="24"/>
                <w:szCs w:val="24"/>
              </w:rPr>
              <w:t>要求</w:t>
            </w:r>
            <w:r>
              <w:rPr>
                <w:rFonts w:ascii="楷体" w:hAnsi="楷体" w:eastAsia="仿宋"/>
                <w:b w:val="0"/>
                <w:color w:val="auto"/>
                <w:sz w:val="24"/>
                <w:szCs w:val="24"/>
              </w:rPr>
              <w:t>对各种货物的单价进行变更。</w:t>
            </w:r>
          </w:p>
        </w:tc>
      </w:tr>
      <w:tr w14:paraId="2B40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4F84998">
            <w:pPr>
              <w:widowControl/>
              <w:adjustRightInd w:val="0"/>
              <w:snapToGrid w:val="0"/>
              <w:spacing w:line="288" w:lineRule="auto"/>
              <w:jc w:val="center"/>
              <w:rPr>
                <w:rFonts w:ascii="宋体" w:hAnsi="宋体" w:cs="Calibri"/>
                <w:sz w:val="24"/>
              </w:rPr>
            </w:pPr>
            <w:r>
              <w:rPr>
                <w:rFonts w:hint="eastAsia" w:ascii="宋体" w:hAnsi="宋体" w:eastAsia="仿宋" w:cs="Calibri"/>
                <w:sz w:val="24"/>
              </w:rPr>
              <w:t>3.3.1</w:t>
            </w:r>
          </w:p>
        </w:tc>
        <w:tc>
          <w:tcPr>
            <w:tcW w:w="1581" w:type="dxa"/>
            <w:vAlign w:val="center"/>
          </w:tcPr>
          <w:p w14:paraId="559C3149">
            <w:pPr>
              <w:widowControl/>
              <w:adjustRightInd w:val="0"/>
              <w:snapToGrid w:val="0"/>
              <w:spacing w:line="288" w:lineRule="auto"/>
              <w:jc w:val="center"/>
              <w:rPr>
                <w:rFonts w:ascii="宋体" w:hAnsi="宋体" w:cs="Calibri"/>
                <w:sz w:val="24"/>
              </w:rPr>
            </w:pPr>
            <w:r>
              <w:rPr>
                <w:rFonts w:hint="eastAsia" w:ascii="Calibri" w:hAnsi="Calibri" w:eastAsia="仿宋" w:cs="方正小标宋简体"/>
                <w:sz w:val="24"/>
              </w:rPr>
              <w:t>响应</w:t>
            </w:r>
            <w:r>
              <w:rPr>
                <w:rFonts w:hint="eastAsia" w:ascii="宋体" w:hAnsi="宋体" w:eastAsia="仿宋" w:cs="Calibri"/>
                <w:sz w:val="24"/>
              </w:rPr>
              <w:t>有效期</w:t>
            </w:r>
          </w:p>
        </w:tc>
        <w:tc>
          <w:tcPr>
            <w:tcW w:w="7229" w:type="dxa"/>
            <w:vAlign w:val="center"/>
          </w:tcPr>
          <w:p w14:paraId="303DECD2">
            <w:pPr>
              <w:widowControl/>
              <w:adjustRightInd w:val="0"/>
              <w:snapToGrid w:val="0"/>
              <w:spacing w:line="288" w:lineRule="auto"/>
              <w:rPr>
                <w:rFonts w:ascii="宋体" w:hAnsi="宋体" w:cs="Calibri"/>
                <w:sz w:val="24"/>
              </w:rPr>
            </w:pPr>
            <w:r>
              <w:rPr>
                <w:rFonts w:hint="eastAsia" w:ascii="宋体" w:hAnsi="宋体" w:eastAsia="仿宋" w:cs="Calibri"/>
                <w:sz w:val="24"/>
              </w:rPr>
              <w:t>90日历天</w:t>
            </w:r>
            <w:r>
              <w:rPr>
                <w:rFonts w:hint="eastAsia" w:ascii="宋体" w:hAnsi="宋体" w:eastAsia="仿宋"/>
                <w:sz w:val="24"/>
              </w:rPr>
              <w:t>（从提交首次响应文件截止之日算起）</w:t>
            </w:r>
          </w:p>
        </w:tc>
      </w:tr>
      <w:tr w14:paraId="7206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D0DE0ED">
            <w:pPr>
              <w:widowControl/>
              <w:adjustRightInd w:val="0"/>
              <w:snapToGrid w:val="0"/>
              <w:spacing w:line="288" w:lineRule="auto"/>
              <w:jc w:val="center"/>
              <w:rPr>
                <w:rFonts w:ascii="宋体" w:hAnsi="宋体" w:cs="Calibri"/>
                <w:sz w:val="24"/>
              </w:rPr>
            </w:pPr>
            <w:r>
              <w:rPr>
                <w:rFonts w:hint="eastAsia" w:ascii="宋体" w:hAnsi="宋体" w:eastAsia="仿宋" w:cs="Calibri"/>
                <w:sz w:val="24"/>
              </w:rPr>
              <w:t>3.4</w:t>
            </w:r>
          </w:p>
        </w:tc>
        <w:tc>
          <w:tcPr>
            <w:tcW w:w="1581" w:type="dxa"/>
            <w:vAlign w:val="center"/>
          </w:tcPr>
          <w:p w14:paraId="76F20712">
            <w:pPr>
              <w:widowControl/>
              <w:adjustRightInd w:val="0"/>
              <w:snapToGrid w:val="0"/>
              <w:spacing w:line="288" w:lineRule="auto"/>
              <w:jc w:val="center"/>
              <w:rPr>
                <w:rFonts w:ascii="宋体" w:hAnsi="宋体" w:cs="Calibri"/>
                <w:sz w:val="24"/>
              </w:rPr>
            </w:pPr>
            <w:r>
              <w:rPr>
                <w:rFonts w:hint="eastAsia" w:ascii="Calibri" w:hAnsi="Calibri" w:eastAsia="仿宋" w:cs="方正小标宋简体"/>
                <w:sz w:val="24"/>
              </w:rPr>
              <w:t>磋商保证金</w:t>
            </w:r>
          </w:p>
        </w:tc>
        <w:tc>
          <w:tcPr>
            <w:tcW w:w="7229" w:type="dxa"/>
            <w:vAlign w:val="center"/>
          </w:tcPr>
          <w:p w14:paraId="26E1BE54">
            <w:pPr>
              <w:widowControl/>
              <w:adjustRightInd w:val="0"/>
              <w:snapToGrid w:val="0"/>
              <w:spacing w:line="288" w:lineRule="auto"/>
              <w:rPr>
                <w:rFonts w:ascii="宋体" w:hAnsi="宋体" w:eastAsia="楷体_GB2312"/>
                <w:i/>
                <w:color w:val="0000FF"/>
                <w:sz w:val="24"/>
              </w:rPr>
            </w:pPr>
            <w:r>
              <w:rPr>
                <w:rFonts w:hint="eastAsia" w:ascii="Calibri" w:hAnsi="Calibri" w:eastAsia="仿宋"/>
                <w:sz w:val="24"/>
              </w:rPr>
              <w:t>不要求提交。</w:t>
            </w:r>
          </w:p>
        </w:tc>
      </w:tr>
      <w:tr w14:paraId="28BF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4855CAF">
            <w:pPr>
              <w:widowControl/>
              <w:adjustRightInd w:val="0"/>
              <w:snapToGrid w:val="0"/>
              <w:spacing w:line="288" w:lineRule="auto"/>
              <w:jc w:val="center"/>
              <w:rPr>
                <w:rFonts w:ascii="宋体" w:hAnsi="宋体" w:cs="Calibri"/>
                <w:sz w:val="24"/>
              </w:rPr>
            </w:pPr>
            <w:r>
              <w:rPr>
                <w:rFonts w:hint="eastAsia" w:ascii="宋体" w:hAnsi="宋体" w:eastAsia="仿宋" w:cs="Calibri"/>
                <w:sz w:val="24"/>
              </w:rPr>
              <w:t>3.6.4（1）</w:t>
            </w:r>
          </w:p>
        </w:tc>
        <w:tc>
          <w:tcPr>
            <w:tcW w:w="1581" w:type="dxa"/>
            <w:vAlign w:val="center"/>
          </w:tcPr>
          <w:p w14:paraId="6C921562">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响应文件制作</w:t>
            </w:r>
          </w:p>
        </w:tc>
        <w:tc>
          <w:tcPr>
            <w:tcW w:w="7229" w:type="dxa"/>
            <w:vAlign w:val="center"/>
          </w:tcPr>
          <w:p w14:paraId="1D9125C4">
            <w:pPr>
              <w:widowControl/>
              <w:topLinePunct/>
              <w:adjustRightInd w:val="0"/>
              <w:snapToGrid w:val="0"/>
              <w:spacing w:line="288" w:lineRule="auto"/>
              <w:rPr>
                <w:rFonts w:ascii="宋体" w:hAnsi="宋体" w:cs="Calibri"/>
                <w:sz w:val="24"/>
              </w:rPr>
            </w:pPr>
            <w:r>
              <w:rPr>
                <w:rFonts w:hint="eastAsia" w:ascii="楷体" w:hAnsi="楷体" w:eastAsia="仿宋" w:cs="Calibri"/>
                <w:sz w:val="24"/>
              </w:rPr>
              <w:t>见本章附件一《全流程电子招标采购具体要求》</w:t>
            </w:r>
          </w:p>
        </w:tc>
      </w:tr>
      <w:tr w14:paraId="72DF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61A1373">
            <w:pPr>
              <w:widowControl/>
              <w:adjustRightInd w:val="0"/>
              <w:snapToGrid w:val="0"/>
              <w:spacing w:line="288" w:lineRule="auto"/>
              <w:jc w:val="center"/>
              <w:rPr>
                <w:rFonts w:ascii="宋体" w:hAnsi="宋体" w:cs="Calibri"/>
                <w:sz w:val="24"/>
              </w:rPr>
            </w:pPr>
            <w:r>
              <w:rPr>
                <w:rFonts w:hint="eastAsia" w:ascii="宋体" w:hAnsi="宋体" w:eastAsia="仿宋" w:cs="Calibri"/>
                <w:sz w:val="24"/>
              </w:rPr>
              <w:t>3.6.4（3）</w:t>
            </w:r>
          </w:p>
        </w:tc>
        <w:tc>
          <w:tcPr>
            <w:tcW w:w="1581" w:type="dxa"/>
            <w:vAlign w:val="center"/>
          </w:tcPr>
          <w:p w14:paraId="52599B54">
            <w:pPr>
              <w:widowControl/>
              <w:adjustRightInd w:val="0"/>
              <w:snapToGrid w:val="0"/>
              <w:spacing w:line="288" w:lineRule="auto"/>
              <w:jc w:val="center"/>
              <w:rPr>
                <w:rFonts w:ascii="宋体" w:hAnsi="宋体" w:cs="Calibri"/>
                <w:sz w:val="24"/>
              </w:rPr>
            </w:pPr>
            <w:r>
              <w:rPr>
                <w:rFonts w:hint="eastAsia" w:ascii="宋体" w:hAnsi="宋体" w:eastAsia="仿宋" w:cs="Calibri"/>
                <w:sz w:val="24"/>
              </w:rPr>
              <w:t>响应文件所附证书证件要求</w:t>
            </w:r>
          </w:p>
        </w:tc>
        <w:tc>
          <w:tcPr>
            <w:tcW w:w="7229" w:type="dxa"/>
            <w:vAlign w:val="center"/>
          </w:tcPr>
          <w:p w14:paraId="1EA98FD9">
            <w:pPr>
              <w:widowControl/>
              <w:topLinePunct/>
              <w:adjustRightInd w:val="0"/>
              <w:snapToGrid w:val="0"/>
              <w:spacing w:line="288" w:lineRule="auto"/>
              <w:rPr>
                <w:rFonts w:ascii="楷体" w:hAnsi="楷体" w:eastAsia="仿宋"/>
                <w:bCs/>
                <w:sz w:val="24"/>
              </w:rPr>
            </w:pPr>
            <w:r>
              <w:rPr>
                <w:rFonts w:hint="eastAsia" w:ascii="楷体" w:hAnsi="楷体" w:eastAsia="仿宋" w:cs="Calibri"/>
                <w:sz w:val="24"/>
              </w:rPr>
              <w:t>电子响应文件所附证书证件均应为供应商证书证件的扫描件或电子证照。</w:t>
            </w:r>
          </w:p>
        </w:tc>
      </w:tr>
      <w:tr w14:paraId="2316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867DA51">
            <w:pPr>
              <w:widowControl/>
              <w:adjustRightInd w:val="0"/>
              <w:snapToGrid w:val="0"/>
              <w:spacing w:line="288" w:lineRule="auto"/>
              <w:jc w:val="center"/>
              <w:rPr>
                <w:rFonts w:ascii="宋体" w:hAnsi="宋体" w:cs="Calibri"/>
                <w:sz w:val="24"/>
              </w:rPr>
            </w:pPr>
            <w:r>
              <w:rPr>
                <w:rFonts w:hint="eastAsia" w:ascii="宋体" w:hAnsi="宋体" w:eastAsia="仿宋" w:cs="Calibri"/>
                <w:sz w:val="24"/>
              </w:rPr>
              <w:t>3.6.4（5）</w:t>
            </w:r>
          </w:p>
        </w:tc>
        <w:tc>
          <w:tcPr>
            <w:tcW w:w="1581" w:type="dxa"/>
            <w:vAlign w:val="center"/>
          </w:tcPr>
          <w:p w14:paraId="3ABE88CD">
            <w:pPr>
              <w:widowControl/>
              <w:adjustRightInd w:val="0"/>
              <w:snapToGrid w:val="0"/>
              <w:spacing w:line="288" w:lineRule="auto"/>
              <w:jc w:val="center"/>
              <w:rPr>
                <w:rFonts w:ascii="宋体" w:hAnsi="宋体" w:cs="Calibri"/>
                <w:sz w:val="24"/>
              </w:rPr>
            </w:pPr>
            <w:r>
              <w:rPr>
                <w:rFonts w:hint="eastAsia" w:ascii="宋体" w:hAnsi="宋体" w:eastAsia="仿宋" w:cs="Calibri"/>
                <w:sz w:val="24"/>
              </w:rPr>
              <w:t>响应文件份数及其他要求</w:t>
            </w:r>
          </w:p>
        </w:tc>
        <w:tc>
          <w:tcPr>
            <w:tcW w:w="7229" w:type="dxa"/>
            <w:vAlign w:val="center"/>
          </w:tcPr>
          <w:p w14:paraId="7C50B62A">
            <w:pPr>
              <w:widowControl/>
              <w:topLinePunct/>
              <w:adjustRightInd w:val="0"/>
              <w:snapToGrid w:val="0"/>
              <w:spacing w:line="288" w:lineRule="auto"/>
              <w:rPr>
                <w:rFonts w:ascii="Calibri" w:hAnsi="Calibri" w:eastAsia="仿宋" w:cs="方正小标宋简体"/>
                <w:szCs w:val="21"/>
              </w:rPr>
            </w:pPr>
            <w:r>
              <w:rPr>
                <w:rFonts w:hint="eastAsia" w:ascii="宋体" w:hAnsi="宋体"/>
                <w:b/>
                <w:sz w:val="24"/>
              </w:rPr>
              <w:t>各标包的响应文件须分开编制、分开装订、分开密封提交，否则造成响应报价提前公布，后果自负。</w:t>
            </w:r>
          </w:p>
          <w:p w14:paraId="79704CA1">
            <w:pPr>
              <w:widowControl/>
              <w:topLinePunct/>
              <w:adjustRightInd w:val="0"/>
              <w:snapToGrid w:val="0"/>
              <w:spacing w:line="288" w:lineRule="auto"/>
              <w:rPr>
                <w:rFonts w:ascii="宋体" w:hAnsi="宋体" w:eastAsia="仿宋" w:cs="Calibri"/>
                <w:sz w:val="24"/>
              </w:rPr>
            </w:pPr>
            <w:r>
              <w:rPr>
                <w:rFonts w:hint="eastAsia" w:ascii="宋体" w:hAnsi="宋体" w:eastAsia="仿宋" w:cs="Calibri"/>
                <w:sz w:val="24"/>
              </w:rPr>
              <w:t>供应商应提交的响应文件：</w:t>
            </w:r>
          </w:p>
          <w:p w14:paraId="079FA9B1">
            <w:pPr>
              <w:widowControl/>
              <w:topLinePunct/>
              <w:adjustRightInd w:val="0"/>
              <w:snapToGrid w:val="0"/>
              <w:spacing w:line="288" w:lineRule="auto"/>
              <w:rPr>
                <w:rFonts w:ascii="楷体" w:hAnsi="楷体" w:eastAsia="仿宋" w:cs="Calibri"/>
                <w:sz w:val="24"/>
              </w:rPr>
            </w:pPr>
            <w:r>
              <w:rPr>
                <w:rFonts w:hint="eastAsia" w:ascii="楷体" w:hAnsi="楷体" w:eastAsia="仿宋" w:cs="Calibri"/>
                <w:sz w:val="24"/>
              </w:rPr>
              <w:t>（1）加密的电子响应文件：使用优质采云采购平台电子标书制作工具制作生成的加密响应文件，应在提交首次响应文件截止时间前通过</w:t>
            </w:r>
            <w:r>
              <w:rPr>
                <w:rFonts w:hint="eastAsia" w:ascii="楷体" w:hAnsi="楷体" w:eastAsia="仿宋" w:cs="Microsoft JhengHei"/>
                <w:kern w:val="0"/>
                <w:sz w:val="24"/>
              </w:rPr>
              <w:t>“优质采招标采购平台(www.yzczb.com)”或“优质采云采购平台(www.youzhicai.com)”</w:t>
            </w:r>
            <w:r>
              <w:rPr>
                <w:rFonts w:hint="eastAsia" w:ascii="楷体" w:hAnsi="楷体" w:eastAsia="仿宋" w:cs="Calibri"/>
                <w:sz w:val="24"/>
              </w:rPr>
              <w:t>上传；</w:t>
            </w:r>
          </w:p>
          <w:p w14:paraId="3B825E38">
            <w:pPr>
              <w:widowControl/>
              <w:topLinePunct/>
              <w:adjustRightInd w:val="0"/>
              <w:snapToGrid w:val="0"/>
              <w:spacing w:line="288" w:lineRule="auto"/>
              <w:rPr>
                <w:rFonts w:ascii="楷体" w:hAnsi="楷体" w:eastAsia="仿宋" w:cs="Calibri"/>
                <w:sz w:val="24"/>
              </w:rPr>
            </w:pPr>
            <w:r>
              <w:rPr>
                <w:rFonts w:hint="eastAsia" w:ascii="楷体" w:hAnsi="楷体" w:eastAsia="仿宋" w:cs="Calibri"/>
                <w:sz w:val="24"/>
              </w:rPr>
              <w:t>（2）未加密的电子响应文件：生成加密响应文件时同时生成的版本，提供1份（光盘或U盘介质，格式为bzc格式），密封提交（因采购人归档需要，需提供非加密的电子响应文件）。</w:t>
            </w:r>
          </w:p>
          <w:p w14:paraId="0289D485">
            <w:pPr>
              <w:pStyle w:val="12"/>
              <w:ind w:firstLine="0" w:firstLineChars="0"/>
              <w:rPr>
                <w:rFonts w:ascii="Calibri" w:hAnsi="Calibri" w:eastAsia="仿宋"/>
              </w:rPr>
            </w:pPr>
            <w:r>
              <w:rPr>
                <w:rFonts w:hint="eastAsia" w:ascii="楷体" w:hAnsi="楷体" w:eastAsia="仿宋" w:cs="Calibri"/>
                <w:sz w:val="24"/>
              </w:rPr>
              <w:t>（3）纸质响应文件：加密响应文件的打印版，提供</w:t>
            </w:r>
            <w:r>
              <w:rPr>
                <w:rFonts w:hint="eastAsia" w:ascii="楷体" w:hAnsi="楷体" w:eastAsia="仿宋" w:cs="Calibri"/>
                <w:sz w:val="24"/>
                <w:u w:val="single"/>
              </w:rPr>
              <w:t xml:space="preserve"> 一 </w:t>
            </w:r>
            <w:r>
              <w:rPr>
                <w:rFonts w:hint="eastAsia" w:ascii="楷体" w:hAnsi="楷体" w:eastAsia="仿宋" w:cs="Calibri"/>
                <w:sz w:val="24"/>
              </w:rPr>
              <w:t>份，密封提交（因采购人归档需要，需提供纸质响应文件）。</w:t>
            </w:r>
          </w:p>
          <w:p w14:paraId="37FACB59">
            <w:pPr>
              <w:widowControl/>
              <w:topLinePunct/>
              <w:adjustRightInd w:val="0"/>
              <w:snapToGrid w:val="0"/>
              <w:spacing w:line="288" w:lineRule="auto"/>
              <w:rPr>
                <w:rFonts w:ascii="宋体" w:hAnsi="宋体" w:eastAsia="仿宋" w:cs="Calibri"/>
                <w:sz w:val="24"/>
              </w:rPr>
            </w:pPr>
            <w:r>
              <w:rPr>
                <w:rFonts w:hint="eastAsia" w:ascii="宋体" w:hAnsi="宋体" w:eastAsia="仿宋" w:cs="Calibri"/>
                <w:sz w:val="24"/>
              </w:rPr>
              <w:t>响应文件如不一致时，按以下顺序确定其响应文件效力：</w:t>
            </w:r>
          </w:p>
          <w:p w14:paraId="42E54DE1">
            <w:pPr>
              <w:widowControl/>
              <w:topLinePunct/>
              <w:adjustRightInd w:val="0"/>
              <w:snapToGrid w:val="0"/>
              <w:spacing w:line="288" w:lineRule="auto"/>
              <w:rPr>
                <w:rFonts w:ascii="楷体" w:hAnsi="楷体" w:eastAsia="仿宋" w:cs="Calibri"/>
                <w:sz w:val="24"/>
              </w:rPr>
            </w:pPr>
            <w:r>
              <w:rPr>
                <w:rFonts w:hint="eastAsia" w:ascii="楷体" w:hAnsi="楷体" w:eastAsia="仿宋" w:cs="Calibri"/>
                <w:sz w:val="24"/>
              </w:rPr>
              <w:t>（1）加密的电子响应文件；</w:t>
            </w:r>
          </w:p>
          <w:p w14:paraId="0BC11E78">
            <w:pPr>
              <w:widowControl/>
              <w:topLinePunct/>
              <w:adjustRightInd w:val="0"/>
              <w:snapToGrid w:val="0"/>
              <w:spacing w:line="288" w:lineRule="auto"/>
              <w:rPr>
                <w:rFonts w:ascii="楷体" w:hAnsi="楷体" w:eastAsia="仿宋" w:cs="Calibri"/>
                <w:sz w:val="24"/>
              </w:rPr>
            </w:pPr>
            <w:r>
              <w:rPr>
                <w:rFonts w:hint="eastAsia" w:ascii="楷体" w:hAnsi="楷体" w:eastAsia="仿宋" w:cs="Calibri"/>
                <w:sz w:val="24"/>
              </w:rPr>
              <w:t>（2）未加密的电子响应文件。</w:t>
            </w:r>
          </w:p>
          <w:p w14:paraId="749E1317">
            <w:pPr>
              <w:widowControl/>
              <w:topLinePunct/>
              <w:adjustRightInd w:val="0"/>
              <w:snapToGrid w:val="0"/>
              <w:spacing w:line="288" w:lineRule="auto"/>
              <w:rPr>
                <w:rFonts w:ascii="Calibri" w:hAnsi="Calibri"/>
              </w:rPr>
            </w:pPr>
            <w:r>
              <w:rPr>
                <w:rFonts w:hint="eastAsia" w:ascii="楷体" w:hAnsi="楷体" w:eastAsia="仿宋" w:cs="Calibri"/>
                <w:sz w:val="24"/>
              </w:rPr>
              <w:t>（3）纸质响应文件。</w:t>
            </w:r>
          </w:p>
        </w:tc>
      </w:tr>
      <w:tr w14:paraId="3733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20569708">
            <w:pPr>
              <w:widowControl/>
              <w:adjustRightInd w:val="0"/>
              <w:snapToGrid w:val="0"/>
              <w:spacing w:line="288" w:lineRule="auto"/>
              <w:jc w:val="center"/>
              <w:rPr>
                <w:rFonts w:ascii="宋体" w:hAnsi="宋体" w:cs="Calibri"/>
                <w:sz w:val="24"/>
              </w:rPr>
            </w:pPr>
            <w:r>
              <w:rPr>
                <w:rFonts w:hint="eastAsia" w:ascii="宋体" w:hAnsi="宋体" w:eastAsia="仿宋" w:cs="Calibri"/>
                <w:sz w:val="24"/>
              </w:rPr>
              <w:t>4.1.1</w:t>
            </w:r>
          </w:p>
        </w:tc>
        <w:tc>
          <w:tcPr>
            <w:tcW w:w="1581" w:type="dxa"/>
            <w:vAlign w:val="center"/>
          </w:tcPr>
          <w:p w14:paraId="3DE68FA7">
            <w:pPr>
              <w:widowControl/>
              <w:adjustRightInd w:val="0"/>
              <w:snapToGrid w:val="0"/>
              <w:spacing w:line="288" w:lineRule="auto"/>
              <w:jc w:val="center"/>
              <w:rPr>
                <w:rFonts w:ascii="宋体" w:hAnsi="宋体" w:cs="Calibri"/>
                <w:sz w:val="24"/>
              </w:rPr>
            </w:pPr>
            <w:r>
              <w:rPr>
                <w:rFonts w:hint="eastAsia" w:ascii="宋体" w:hAnsi="宋体" w:eastAsia="仿宋" w:cs="Calibri"/>
                <w:sz w:val="24"/>
              </w:rPr>
              <w:t>响应文件加密要求</w:t>
            </w:r>
          </w:p>
        </w:tc>
        <w:tc>
          <w:tcPr>
            <w:tcW w:w="7229" w:type="dxa"/>
            <w:vAlign w:val="center"/>
          </w:tcPr>
          <w:p w14:paraId="793FE507">
            <w:pPr>
              <w:widowControl/>
              <w:wordWrap w:val="0"/>
              <w:adjustRightInd w:val="0"/>
              <w:snapToGrid w:val="0"/>
              <w:spacing w:line="288" w:lineRule="auto"/>
              <w:rPr>
                <w:rFonts w:ascii="楷体" w:hAnsi="楷体" w:eastAsia="楷体" w:cs="Calibri"/>
                <w:sz w:val="24"/>
              </w:rPr>
            </w:pPr>
            <w:r>
              <w:rPr>
                <w:rFonts w:hint="eastAsia" w:ascii="楷体" w:hAnsi="楷体" w:eastAsia="仿宋" w:cs="Calibri"/>
                <w:sz w:val="24"/>
              </w:rPr>
              <w:t>见本章附件一《全流程电子招标采购具体要求》</w:t>
            </w:r>
          </w:p>
        </w:tc>
      </w:tr>
      <w:tr w14:paraId="1B82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905DE07">
            <w:pPr>
              <w:widowControl/>
              <w:adjustRightInd w:val="0"/>
              <w:snapToGrid w:val="0"/>
              <w:spacing w:line="288" w:lineRule="auto"/>
              <w:jc w:val="center"/>
              <w:rPr>
                <w:rFonts w:ascii="宋体" w:hAnsi="宋体" w:cs="Calibri"/>
                <w:sz w:val="24"/>
              </w:rPr>
            </w:pPr>
            <w:r>
              <w:rPr>
                <w:rFonts w:hint="eastAsia" w:ascii="宋体" w:hAnsi="宋体" w:eastAsia="仿宋" w:cs="Calibri"/>
                <w:sz w:val="24"/>
              </w:rPr>
              <w:t>4.2.2</w:t>
            </w:r>
          </w:p>
        </w:tc>
        <w:tc>
          <w:tcPr>
            <w:tcW w:w="1581" w:type="dxa"/>
            <w:vAlign w:val="center"/>
          </w:tcPr>
          <w:p w14:paraId="1FBD5732">
            <w:pPr>
              <w:widowControl/>
              <w:adjustRightInd w:val="0"/>
              <w:snapToGrid w:val="0"/>
              <w:spacing w:line="288" w:lineRule="auto"/>
              <w:jc w:val="center"/>
              <w:rPr>
                <w:rFonts w:ascii="宋体" w:hAnsi="宋体" w:cs="Calibri"/>
                <w:sz w:val="24"/>
              </w:rPr>
            </w:pPr>
            <w:r>
              <w:rPr>
                <w:rFonts w:hint="eastAsia" w:ascii="宋体" w:hAnsi="宋体" w:eastAsia="仿宋" w:cs="Calibri"/>
                <w:sz w:val="24"/>
              </w:rPr>
              <w:t>递交响应文件的电子交易平台</w:t>
            </w:r>
          </w:p>
        </w:tc>
        <w:tc>
          <w:tcPr>
            <w:tcW w:w="7229" w:type="dxa"/>
            <w:vAlign w:val="center"/>
          </w:tcPr>
          <w:p w14:paraId="06CDF098">
            <w:pPr>
              <w:widowControl/>
              <w:adjustRightInd w:val="0"/>
              <w:snapToGrid w:val="0"/>
              <w:spacing w:line="288" w:lineRule="auto"/>
              <w:rPr>
                <w:rFonts w:ascii="楷体" w:hAnsi="楷体" w:eastAsia="仿宋" w:cs="Microsoft JhengHei"/>
                <w:kern w:val="0"/>
                <w:sz w:val="24"/>
              </w:rPr>
            </w:pPr>
            <w:r>
              <w:rPr>
                <w:rFonts w:hint="eastAsia" w:ascii="楷体" w:hAnsi="楷体" w:eastAsia="仿宋" w:cs="Microsoft JhengHei"/>
                <w:kern w:val="0"/>
                <w:sz w:val="24"/>
              </w:rPr>
              <w:t>“优质采招标采购平台(www.yzczb.com)”或“优质采云采购平台(www.youzhicai.com)”</w:t>
            </w:r>
          </w:p>
          <w:p w14:paraId="60F4735A">
            <w:pPr>
              <w:widowControl/>
              <w:adjustRightInd w:val="0"/>
              <w:snapToGrid w:val="0"/>
              <w:spacing w:line="288" w:lineRule="auto"/>
              <w:rPr>
                <w:rFonts w:ascii="楷体" w:hAnsi="楷体" w:eastAsia="仿宋" w:cs="Calibri"/>
                <w:iCs/>
                <w:sz w:val="24"/>
              </w:rPr>
            </w:pPr>
            <w:r>
              <w:rPr>
                <w:rFonts w:hint="eastAsia" w:ascii="楷体" w:hAnsi="楷体" w:eastAsia="仿宋" w:cs="Microsoft JhengHei"/>
                <w:kern w:val="0"/>
                <w:sz w:val="24"/>
              </w:rPr>
              <w:t>提交非加密的响应文件和纸质响应文件地点：</w:t>
            </w:r>
            <w:r>
              <w:rPr>
                <w:rFonts w:hint="eastAsia" w:ascii="楷体" w:hAnsi="楷体" w:eastAsia="仿宋" w:cs="Calibri"/>
                <w:iCs/>
                <w:sz w:val="24"/>
              </w:rPr>
              <w:t>安徽省合肥市包河区紫云路888号安徽省招标集团股份有限公司A座</w:t>
            </w:r>
            <w:r>
              <w:rPr>
                <w:rFonts w:hint="eastAsia" w:ascii="楷体" w:hAnsi="楷体" w:eastAsia="仿宋" w:cs="Calibri"/>
                <w:iCs/>
                <w:sz w:val="24"/>
                <w:u w:val="single"/>
              </w:rPr>
              <w:t xml:space="preserve"> 12 </w:t>
            </w:r>
            <w:r>
              <w:rPr>
                <w:rFonts w:hint="eastAsia" w:ascii="楷体" w:hAnsi="楷体" w:eastAsia="仿宋" w:cs="Calibri"/>
                <w:iCs/>
                <w:sz w:val="24"/>
              </w:rPr>
              <w:t>楼</w:t>
            </w:r>
            <w:r>
              <w:rPr>
                <w:rFonts w:hint="eastAsia" w:ascii="楷体" w:hAnsi="楷体" w:eastAsia="仿宋" w:cs="Calibri"/>
                <w:iCs/>
                <w:sz w:val="24"/>
                <w:u w:val="single"/>
              </w:rPr>
              <w:t xml:space="preserve"> 1207 </w:t>
            </w:r>
            <w:r>
              <w:rPr>
                <w:rFonts w:hint="eastAsia" w:ascii="楷体" w:hAnsi="楷体" w:eastAsia="仿宋" w:cs="Calibri"/>
                <w:iCs/>
                <w:sz w:val="24"/>
              </w:rPr>
              <w:t>室 许工收，18298001230</w:t>
            </w:r>
          </w:p>
          <w:p w14:paraId="27065123">
            <w:pPr>
              <w:pStyle w:val="12"/>
              <w:ind w:firstLine="0" w:firstLineChars="0"/>
              <w:rPr>
                <w:rFonts w:ascii="楷体" w:hAnsi="楷体" w:eastAsia="仿宋" w:cs="Calibri"/>
                <w:iCs/>
                <w:sz w:val="24"/>
              </w:rPr>
            </w:pPr>
            <w:r>
              <w:rPr>
                <w:rFonts w:hint="eastAsia" w:ascii="楷体" w:hAnsi="楷体" w:eastAsia="仿宋" w:cs="Calibri"/>
                <w:iCs/>
                <w:sz w:val="24"/>
              </w:rPr>
              <w:t>提交首次响应文件截止时间前没有提交未加密的电子响应文件，视同放弃使用未加密的电子响应文件；提交首次响应文件截止时间前未提交纸质响应文件的，视同放弃使用纸质响应文件。</w:t>
            </w:r>
          </w:p>
          <w:p w14:paraId="1B6EEDF7">
            <w:pPr>
              <w:pStyle w:val="12"/>
              <w:ind w:firstLine="0" w:firstLineChars="0"/>
              <w:rPr>
                <w:rFonts w:ascii="宋体" w:hAnsi="宋体" w:cs="Calibri"/>
                <w:iCs/>
                <w:sz w:val="24"/>
              </w:rPr>
            </w:pPr>
            <w:r>
              <w:rPr>
                <w:rFonts w:hint="eastAsia" w:ascii="楷体" w:hAnsi="楷体" w:eastAsia="仿宋" w:cs="Calibri"/>
                <w:iCs/>
                <w:sz w:val="24"/>
              </w:rPr>
              <w:t>如未在竞争性磋商文件规定的提交首次响应文件截止时间前网上上传加密的电子响应文件，而只提交了未加密的电子响应文件或纸质响应文件的，其响应文件按无效处理。</w:t>
            </w:r>
          </w:p>
        </w:tc>
      </w:tr>
      <w:tr w14:paraId="5050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34404AD">
            <w:pPr>
              <w:widowControl/>
              <w:adjustRightInd w:val="0"/>
              <w:snapToGrid w:val="0"/>
              <w:spacing w:line="288" w:lineRule="auto"/>
              <w:jc w:val="center"/>
              <w:rPr>
                <w:rFonts w:ascii="宋体" w:hAnsi="宋体" w:cs="Calibri"/>
                <w:sz w:val="24"/>
              </w:rPr>
            </w:pPr>
            <w:r>
              <w:rPr>
                <w:rFonts w:hint="eastAsia" w:ascii="宋体" w:hAnsi="宋体" w:eastAsia="仿宋" w:cs="Calibri"/>
                <w:sz w:val="24"/>
              </w:rPr>
              <w:t>4.2.3</w:t>
            </w:r>
          </w:p>
        </w:tc>
        <w:tc>
          <w:tcPr>
            <w:tcW w:w="1581" w:type="dxa"/>
            <w:vAlign w:val="center"/>
          </w:tcPr>
          <w:p w14:paraId="59318E2B">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是否退还响应文件</w:t>
            </w:r>
          </w:p>
        </w:tc>
        <w:tc>
          <w:tcPr>
            <w:tcW w:w="7229" w:type="dxa"/>
            <w:vAlign w:val="center"/>
          </w:tcPr>
          <w:p w14:paraId="425C961F">
            <w:pPr>
              <w:widowControl/>
              <w:adjustRightInd w:val="0"/>
              <w:snapToGrid w:val="0"/>
              <w:spacing w:line="288" w:lineRule="auto"/>
              <w:rPr>
                <w:rFonts w:ascii="宋体" w:hAnsi="宋体" w:eastAsia="仿宋" w:cs="Calibri"/>
                <w:sz w:val="24"/>
              </w:rPr>
            </w:pPr>
            <w:r>
              <w:rPr>
                <w:rFonts w:hint="eastAsia" w:ascii="宋体" w:hAnsi="宋体" w:eastAsia="仿宋"/>
                <w:b/>
                <w:bCs/>
                <w:sz w:val="24"/>
              </w:rPr>
              <w:sym w:font="Wingdings" w:char="F0FE"/>
            </w:r>
            <w:r>
              <w:rPr>
                <w:rFonts w:hint="eastAsia" w:ascii="宋体" w:hAnsi="宋体" w:eastAsia="仿宋" w:cs="Calibri"/>
                <w:sz w:val="24"/>
              </w:rPr>
              <w:t>否，其中样品的退还规定见本章第3.1.4项</w:t>
            </w:r>
          </w:p>
          <w:p w14:paraId="1299D32C">
            <w:pPr>
              <w:widowControl/>
              <w:adjustRightInd w:val="0"/>
              <w:snapToGrid w:val="0"/>
              <w:spacing w:line="288" w:lineRule="auto"/>
              <w:rPr>
                <w:rFonts w:ascii="宋体" w:hAnsi="宋体" w:cs="Calibri"/>
                <w:sz w:val="24"/>
              </w:rPr>
            </w:pPr>
            <w:r>
              <w:rPr>
                <w:rFonts w:hint="eastAsia" w:ascii="宋体" w:hAnsi="宋体" w:eastAsia="仿宋" w:cs="Calibri"/>
                <w:sz w:val="24"/>
              </w:rPr>
              <w:t>□是，退还安排：</w:t>
            </w:r>
            <w:r>
              <w:rPr>
                <w:rFonts w:ascii="宋体" w:hAnsi="宋体" w:eastAsia="仿宋" w:cs="Calibri"/>
                <w:sz w:val="24"/>
                <w:u w:val="single"/>
              </w:rPr>
              <w:t xml:space="preserve">                         </w:t>
            </w:r>
          </w:p>
        </w:tc>
      </w:tr>
      <w:tr w14:paraId="60A5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5A9A37F">
            <w:pPr>
              <w:widowControl/>
              <w:adjustRightInd w:val="0"/>
              <w:snapToGrid w:val="0"/>
              <w:spacing w:line="288" w:lineRule="auto"/>
              <w:jc w:val="center"/>
              <w:rPr>
                <w:rFonts w:ascii="宋体" w:hAnsi="宋体" w:cs="Calibri"/>
                <w:sz w:val="24"/>
              </w:rPr>
            </w:pPr>
            <w:r>
              <w:rPr>
                <w:rFonts w:hint="eastAsia" w:ascii="宋体" w:hAnsi="宋体" w:eastAsia="仿宋" w:cs="Calibri"/>
                <w:sz w:val="24"/>
              </w:rPr>
              <w:t>5.2（3）</w:t>
            </w:r>
          </w:p>
        </w:tc>
        <w:tc>
          <w:tcPr>
            <w:tcW w:w="1581" w:type="dxa"/>
            <w:vAlign w:val="center"/>
          </w:tcPr>
          <w:p w14:paraId="55A8E14C">
            <w:pPr>
              <w:widowControl/>
              <w:adjustRightInd w:val="0"/>
              <w:snapToGrid w:val="0"/>
              <w:spacing w:line="288" w:lineRule="auto"/>
              <w:jc w:val="center"/>
              <w:rPr>
                <w:rFonts w:ascii="宋体" w:hAnsi="宋体" w:cs="Calibri"/>
                <w:sz w:val="24"/>
              </w:rPr>
            </w:pPr>
            <w:r>
              <w:rPr>
                <w:rFonts w:hint="eastAsia" w:ascii="Calibri" w:hAnsi="Calibri" w:eastAsia="仿宋" w:cs="方正小标宋简体"/>
                <w:sz w:val="24"/>
              </w:rPr>
              <w:t>开启</w:t>
            </w:r>
            <w:r>
              <w:rPr>
                <w:rFonts w:hint="eastAsia" w:ascii="宋体" w:hAnsi="宋体" w:eastAsia="仿宋" w:cs="Calibri"/>
                <w:sz w:val="24"/>
              </w:rPr>
              <w:t>程序</w:t>
            </w:r>
          </w:p>
        </w:tc>
        <w:tc>
          <w:tcPr>
            <w:tcW w:w="7229" w:type="dxa"/>
            <w:vAlign w:val="center"/>
          </w:tcPr>
          <w:p w14:paraId="52D54167">
            <w:pPr>
              <w:widowControl/>
              <w:adjustRightInd w:val="0"/>
              <w:snapToGrid w:val="0"/>
              <w:spacing w:line="288" w:lineRule="auto"/>
              <w:rPr>
                <w:rFonts w:ascii="楷体" w:hAnsi="楷体" w:eastAsia="仿宋" w:cs="Calibri"/>
                <w:sz w:val="24"/>
              </w:rPr>
            </w:pPr>
            <w:r>
              <w:rPr>
                <w:rFonts w:hint="eastAsia" w:ascii="宋体" w:hAnsi="宋体" w:eastAsia="仿宋" w:cs="Calibri"/>
                <w:sz w:val="24"/>
              </w:rPr>
              <w:t>解密时间要求：3</w:t>
            </w:r>
            <w:r>
              <w:rPr>
                <w:rFonts w:hint="eastAsia" w:ascii="楷体" w:hAnsi="楷体" w:eastAsia="仿宋" w:cs="Calibri"/>
                <w:sz w:val="24"/>
              </w:rPr>
              <w:t>0分钟以内，以电子交易平台时间为准</w:t>
            </w:r>
          </w:p>
          <w:p w14:paraId="2ECCCA5E">
            <w:pPr>
              <w:widowControl/>
              <w:adjustRightInd w:val="0"/>
              <w:snapToGrid w:val="0"/>
              <w:spacing w:line="288" w:lineRule="auto"/>
              <w:rPr>
                <w:rFonts w:ascii="宋体" w:hAnsi="宋体" w:cs="Calibri"/>
                <w:sz w:val="24"/>
              </w:rPr>
            </w:pPr>
            <w:r>
              <w:rPr>
                <w:rFonts w:hint="eastAsia" w:ascii="宋体" w:hAnsi="宋体" w:eastAsia="仿宋" w:cs="Calibri"/>
                <w:sz w:val="24"/>
              </w:rPr>
              <w:t>其他要求：</w:t>
            </w:r>
            <w:r>
              <w:rPr>
                <w:rFonts w:hint="eastAsia" w:ascii="楷体" w:hAnsi="楷体" w:eastAsia="仿宋" w:cs="Calibri"/>
                <w:sz w:val="24"/>
              </w:rPr>
              <w:t>响应文件解密可以采用网上远程方式，无需到开启现场进行解密。解密的CA锁必须与响应文件加密的CA锁一致，否则造成的后果由供应商自行承担</w:t>
            </w:r>
          </w:p>
        </w:tc>
      </w:tr>
      <w:tr w14:paraId="14E6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83DFFA6">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6.2.1</w:t>
            </w:r>
          </w:p>
        </w:tc>
        <w:tc>
          <w:tcPr>
            <w:tcW w:w="1581" w:type="dxa"/>
            <w:vAlign w:val="center"/>
          </w:tcPr>
          <w:p w14:paraId="49D95099">
            <w:pPr>
              <w:widowControl/>
              <w:topLinePunct/>
              <w:adjustRightInd w:val="0"/>
              <w:snapToGrid w:val="0"/>
              <w:jc w:val="center"/>
              <w:rPr>
                <w:rFonts w:ascii="Calibri" w:hAnsi="Calibri" w:cs="方正小标宋简体"/>
                <w:sz w:val="24"/>
              </w:rPr>
            </w:pPr>
            <w:r>
              <w:rPr>
                <w:rFonts w:hint="eastAsia" w:ascii="Calibri" w:hAnsi="Calibri" w:eastAsia="仿宋" w:cs="方正小标宋简体"/>
                <w:sz w:val="24"/>
              </w:rPr>
              <w:t>磋商顺序</w:t>
            </w:r>
          </w:p>
        </w:tc>
        <w:tc>
          <w:tcPr>
            <w:tcW w:w="7229" w:type="dxa"/>
            <w:vAlign w:val="center"/>
          </w:tcPr>
          <w:p w14:paraId="7633F6EC">
            <w:pPr>
              <w:widowControl/>
              <w:topLinePunct/>
              <w:adjustRightInd w:val="0"/>
              <w:snapToGrid w:val="0"/>
              <w:rPr>
                <w:rFonts w:ascii="仿宋" w:hAnsi="仿宋" w:eastAsia="仿宋" w:cs="仿宋"/>
                <w:sz w:val="24"/>
              </w:rPr>
            </w:pPr>
            <w:r>
              <w:rPr>
                <w:rFonts w:hint="eastAsia" w:ascii="仿宋" w:hAnsi="仿宋" w:eastAsia="仿宋" w:cs="仿宋"/>
                <w:sz w:val="24"/>
              </w:rPr>
              <w:t>☑随机顺序</w:t>
            </w:r>
          </w:p>
          <w:p w14:paraId="63B70E0A">
            <w:pPr>
              <w:widowControl/>
              <w:topLinePunct/>
              <w:adjustRightInd w:val="0"/>
              <w:snapToGrid w:val="0"/>
              <w:rPr>
                <w:rFonts w:ascii="仿宋" w:hAnsi="仿宋" w:eastAsia="仿宋" w:cs="仿宋"/>
                <w:sz w:val="24"/>
              </w:rPr>
            </w:pPr>
            <w:r>
              <w:rPr>
                <w:rFonts w:hint="eastAsia" w:ascii="仿宋" w:hAnsi="仿宋" w:eastAsia="仿宋" w:cs="仿宋"/>
                <w:sz w:val="24"/>
              </w:rPr>
              <w:t>□按通过电子交易平台递交响应文件的先后顺序</w:t>
            </w:r>
          </w:p>
        </w:tc>
      </w:tr>
      <w:tr w14:paraId="2D4A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623EE40">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6.2.3</w:t>
            </w:r>
          </w:p>
        </w:tc>
        <w:tc>
          <w:tcPr>
            <w:tcW w:w="1581" w:type="dxa"/>
            <w:vAlign w:val="center"/>
          </w:tcPr>
          <w:p w14:paraId="1B4F9889">
            <w:pPr>
              <w:widowControl/>
              <w:adjustRightInd w:val="0"/>
              <w:snapToGrid w:val="0"/>
              <w:spacing w:line="288" w:lineRule="auto"/>
              <w:rPr>
                <w:rFonts w:ascii="Calibri" w:hAnsi="Calibri" w:cs="方正小标宋简体"/>
                <w:sz w:val="24"/>
              </w:rPr>
            </w:pPr>
            <w:r>
              <w:rPr>
                <w:rFonts w:hint="eastAsia" w:ascii="Calibri" w:hAnsi="Calibri" w:eastAsia="仿宋" w:cs="方正小标宋简体"/>
                <w:sz w:val="24"/>
              </w:rPr>
              <w:t>竞争性磋商文件可能变动的内容</w:t>
            </w:r>
          </w:p>
        </w:tc>
        <w:tc>
          <w:tcPr>
            <w:tcW w:w="7229" w:type="dxa"/>
            <w:vAlign w:val="center"/>
          </w:tcPr>
          <w:p w14:paraId="709A9D08">
            <w:pPr>
              <w:widowControl/>
              <w:adjustRightInd w:val="0"/>
              <w:snapToGrid w:val="0"/>
              <w:spacing w:line="288" w:lineRule="auto"/>
              <w:rPr>
                <w:rFonts w:ascii="Calibri" w:hAnsi="Calibri" w:eastAsia="仿宋"/>
                <w:sz w:val="24"/>
              </w:rPr>
            </w:pPr>
            <w:r>
              <w:rPr>
                <w:rFonts w:hint="eastAsia" w:ascii="Calibri" w:hAnsi="Calibri" w:eastAsia="仿宋"/>
                <w:sz w:val="24"/>
              </w:rPr>
              <w:t>磋商小组可以根据竞争性磋商文件和磋商情况，实质性变动采购需求中的技术、服务要求以及合同草案条款，但不得变动竞争性磋商文件中的其他内容</w:t>
            </w:r>
          </w:p>
          <w:p w14:paraId="48E17A93">
            <w:pPr>
              <w:widowControl/>
              <w:adjustRightInd w:val="0"/>
              <w:snapToGrid w:val="0"/>
              <w:spacing w:line="288" w:lineRule="auto"/>
              <w:rPr>
                <w:rFonts w:ascii="Calibri" w:hAnsi="Calibri" w:eastAsia="仿宋"/>
                <w:sz w:val="24"/>
              </w:rPr>
            </w:pPr>
            <w:r>
              <w:rPr>
                <w:rFonts w:hint="eastAsia" w:ascii="Calibri" w:hAnsi="Calibri" w:eastAsia="仿宋" w:cs="方正小标宋简体"/>
                <w:sz w:val="24"/>
              </w:rPr>
              <w:t>□</w:t>
            </w:r>
            <w:r>
              <w:rPr>
                <w:rFonts w:hint="eastAsia" w:ascii="PMingLiU" w:hAnsi="PMingLiU" w:eastAsia="仿宋" w:cs="方正小标宋简体"/>
                <w:sz w:val="24"/>
              </w:rPr>
              <w:t>可能实质性变动的内容见第三章、第五章中标注“※”的条款</w:t>
            </w:r>
          </w:p>
          <w:p w14:paraId="0FBC9E89">
            <w:pPr>
              <w:widowControl/>
              <w:adjustRightInd w:val="0"/>
              <w:snapToGrid w:val="0"/>
              <w:spacing w:line="288" w:lineRule="auto"/>
              <w:rPr>
                <w:rFonts w:ascii="Calibri" w:hAnsi="Calibri" w:cs="方正小标宋简体"/>
                <w:sz w:val="24"/>
              </w:rPr>
            </w:pPr>
            <w:r>
              <w:rPr>
                <w:rFonts w:hint="eastAsia" w:ascii="Calibri" w:hAnsi="Calibri" w:eastAsia="仿宋" w:cs="方正小标宋简体"/>
                <w:sz w:val="24"/>
              </w:rPr>
              <w:t>☑</w:t>
            </w:r>
            <w:r>
              <w:rPr>
                <w:rFonts w:hint="eastAsia" w:ascii="PMingLiU" w:hAnsi="PMingLiU" w:eastAsia="仿宋" w:cs="方正小标宋简体"/>
                <w:sz w:val="24"/>
              </w:rPr>
              <w:t>不得变动的条款见第三章、第五章中标注“※”的条款</w:t>
            </w:r>
          </w:p>
        </w:tc>
      </w:tr>
      <w:tr w14:paraId="3E0B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84138F6">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6.3.1</w:t>
            </w:r>
          </w:p>
        </w:tc>
        <w:tc>
          <w:tcPr>
            <w:tcW w:w="1581" w:type="dxa"/>
            <w:vAlign w:val="center"/>
          </w:tcPr>
          <w:p w14:paraId="4530B579">
            <w:pPr>
              <w:widowControl/>
              <w:adjustRightInd w:val="0"/>
              <w:snapToGrid w:val="0"/>
              <w:jc w:val="center"/>
              <w:rPr>
                <w:rFonts w:ascii="Calibri" w:hAnsi="Calibri" w:cs="方正小标宋简体"/>
                <w:sz w:val="24"/>
              </w:rPr>
            </w:pPr>
            <w:r>
              <w:rPr>
                <w:rFonts w:hint="eastAsia" w:ascii="Calibri" w:hAnsi="Calibri" w:eastAsia="仿宋" w:cs="方正小标宋简体"/>
                <w:sz w:val="24"/>
              </w:rPr>
              <w:t>确定提交最后报价的供应商</w:t>
            </w:r>
          </w:p>
        </w:tc>
        <w:tc>
          <w:tcPr>
            <w:tcW w:w="7229" w:type="dxa"/>
            <w:vAlign w:val="center"/>
          </w:tcPr>
          <w:p w14:paraId="4FEB3089">
            <w:pPr>
              <w:widowControl/>
              <w:adjustRightInd w:val="0"/>
              <w:snapToGrid w:val="0"/>
              <w:rPr>
                <w:rFonts w:ascii="仿宋" w:hAnsi="仿宋" w:eastAsia="仿宋" w:cs="仿宋"/>
                <w:sz w:val="24"/>
              </w:rPr>
            </w:pPr>
            <w:r>
              <w:rPr>
                <w:rFonts w:hint="eastAsia" w:ascii="仿宋" w:hAnsi="仿宋" w:eastAsia="仿宋" w:cs="仿宋"/>
                <w:sz w:val="24"/>
              </w:rPr>
              <w:t>☑竞争性磋商文件能够详细列明采购标的的技术、服务要求的，磋商结束后，磋商小组将要求所有实质性响应的供应商在规定时间内提交最后报价，未在规定时长内进行最后报价的，视为供应商主动放弃，提交最后报价的供应商家数不得少于3家，否则应当终止本次采购。</w:t>
            </w:r>
          </w:p>
          <w:p w14:paraId="357B302B">
            <w:pPr>
              <w:widowControl/>
              <w:adjustRightInd w:val="0"/>
              <w:snapToGrid w:val="0"/>
              <w:rPr>
                <w:rFonts w:ascii="仿宋" w:hAnsi="仿宋" w:eastAsia="仿宋" w:cs="仿宋"/>
                <w:sz w:val="24"/>
              </w:rPr>
            </w:pPr>
            <w:r>
              <w:rPr>
                <w:rFonts w:hint="eastAsia" w:ascii="仿宋" w:hAnsi="仿宋" w:eastAsia="仿宋" w:cs="仿宋"/>
                <w:sz w:val="24"/>
              </w:rPr>
              <w:t>□竞争性磋商文件不能详细列明采购标的的技术、服务要求，需经磋商由供应商提供最终设计方案或解决方案的，磋商结束后，磋商小组应当按照少数服从多数的原则投票推荐不少于3家供应商的设计方案或者解决方案，并要求其在规定时间内提交最后报价，否则应当终止本次采购。政府购买服务项目（含政府和社会资本合作项目）、市场竞争不充分的科研项目、以及需要扶持的科技成果转化项目，可以推荐2家供应商的设计方案或者解决方案，并要求其在规定时间内提交最后报价</w:t>
            </w:r>
          </w:p>
        </w:tc>
      </w:tr>
      <w:tr w14:paraId="550E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686C86E">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6.3.3</w:t>
            </w:r>
          </w:p>
        </w:tc>
        <w:tc>
          <w:tcPr>
            <w:tcW w:w="1581" w:type="dxa"/>
            <w:vAlign w:val="center"/>
          </w:tcPr>
          <w:p w14:paraId="00DF81F9">
            <w:pPr>
              <w:widowControl/>
              <w:adjustRightInd w:val="0"/>
              <w:snapToGrid w:val="0"/>
              <w:jc w:val="center"/>
              <w:rPr>
                <w:rFonts w:ascii="Calibri" w:hAnsi="Calibri" w:cs="方正小标宋简体"/>
                <w:sz w:val="24"/>
              </w:rPr>
            </w:pPr>
            <w:r>
              <w:rPr>
                <w:rFonts w:hint="eastAsia" w:ascii="Calibri" w:hAnsi="Calibri" w:eastAsia="仿宋" w:cs="方正小标宋简体"/>
                <w:sz w:val="24"/>
              </w:rPr>
              <w:t>报价轮次</w:t>
            </w:r>
          </w:p>
        </w:tc>
        <w:tc>
          <w:tcPr>
            <w:tcW w:w="7229" w:type="dxa"/>
            <w:vAlign w:val="center"/>
          </w:tcPr>
          <w:p w14:paraId="3FE7EBE0">
            <w:pPr>
              <w:widowControl/>
              <w:adjustRightInd w:val="0"/>
              <w:snapToGrid w:val="0"/>
              <w:rPr>
                <w:rFonts w:ascii="仿宋" w:hAnsi="仿宋" w:eastAsia="仿宋" w:cs="仿宋"/>
                <w:sz w:val="24"/>
              </w:rPr>
            </w:pPr>
            <w:r>
              <w:rPr>
                <w:rFonts w:hint="eastAsia" w:ascii="仿宋" w:hAnsi="仿宋" w:eastAsia="仿宋" w:cs="仿宋"/>
                <w:sz w:val="24"/>
              </w:rPr>
              <w:t>☑报价轮次为两轮，响应文件中报价即为首轮报价，第二轮报价即为最后报价</w:t>
            </w:r>
          </w:p>
          <w:p w14:paraId="772BC2CE">
            <w:pPr>
              <w:widowControl/>
              <w:adjustRightInd w:val="0"/>
              <w:snapToGrid w:val="0"/>
              <w:rPr>
                <w:rFonts w:ascii="仿宋" w:hAnsi="仿宋" w:eastAsia="仿宋" w:cs="仿宋"/>
                <w:sz w:val="24"/>
              </w:rPr>
            </w:pPr>
            <w:r>
              <w:rPr>
                <w:rFonts w:hint="eastAsia" w:ascii="仿宋" w:hAnsi="仿宋" w:eastAsia="仿宋" w:cs="仿宋"/>
                <w:sz w:val="24"/>
              </w:rPr>
              <w:t>□报价轮次由磋商小组确定，供应商在响应文件中报价即为首轮报价。最后一轮报价前,磋商小组告知供应商报价轮次安排</w:t>
            </w:r>
          </w:p>
        </w:tc>
      </w:tr>
      <w:tr w14:paraId="3754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150B929">
            <w:pPr>
              <w:widowControl/>
              <w:adjustRightInd w:val="0"/>
              <w:snapToGrid w:val="0"/>
              <w:spacing w:line="288" w:lineRule="auto"/>
              <w:jc w:val="center"/>
              <w:rPr>
                <w:rFonts w:ascii="Calibri" w:hAnsi="Calibri" w:cs="方正小标宋简体"/>
                <w:sz w:val="24"/>
              </w:rPr>
            </w:pPr>
            <w:r>
              <w:rPr>
                <w:rFonts w:hint="eastAsia" w:ascii="宋体" w:hAnsi="宋体" w:eastAsia="仿宋" w:cs="Calibri"/>
                <w:sz w:val="24"/>
              </w:rPr>
              <w:t>6.5.3</w:t>
            </w:r>
          </w:p>
        </w:tc>
        <w:tc>
          <w:tcPr>
            <w:tcW w:w="1581" w:type="dxa"/>
            <w:vAlign w:val="center"/>
          </w:tcPr>
          <w:p w14:paraId="3D13405F">
            <w:pPr>
              <w:widowControl/>
              <w:adjustRightInd w:val="0"/>
              <w:snapToGrid w:val="0"/>
              <w:spacing w:line="288" w:lineRule="auto"/>
              <w:jc w:val="center"/>
              <w:rPr>
                <w:rFonts w:ascii="Calibri" w:hAnsi="Calibri" w:cs="方正小标宋简体"/>
                <w:sz w:val="24"/>
              </w:rPr>
            </w:pPr>
            <w:r>
              <w:rPr>
                <w:rFonts w:hint="eastAsia" w:ascii="Calibri" w:hAnsi="Calibri" w:eastAsia="仿宋" w:cs="方正小标宋简体"/>
                <w:sz w:val="24"/>
              </w:rPr>
              <w:t>磋商小组推荐成交候选供应商的人数</w:t>
            </w:r>
          </w:p>
        </w:tc>
        <w:tc>
          <w:tcPr>
            <w:tcW w:w="7229" w:type="dxa"/>
            <w:vAlign w:val="center"/>
          </w:tcPr>
          <w:p w14:paraId="47C8671B">
            <w:pPr>
              <w:widowControl/>
              <w:adjustRightInd w:val="0"/>
              <w:snapToGrid w:val="0"/>
              <w:spacing w:line="288" w:lineRule="auto"/>
              <w:rPr>
                <w:rFonts w:ascii="仿宋" w:hAnsi="仿宋" w:eastAsia="仿宋" w:cs="仿宋"/>
                <w:sz w:val="24"/>
                <w:u w:val="single"/>
              </w:rPr>
            </w:pPr>
            <w:r>
              <w:rPr>
                <w:rFonts w:hint="eastAsia" w:ascii="仿宋" w:hAnsi="仿宋" w:eastAsia="仿宋" w:cs="仿宋"/>
                <w:sz w:val="24"/>
              </w:rPr>
              <w:t>磋商小组推荐的成交候选供应商数量：</w:t>
            </w:r>
            <w:r>
              <w:rPr>
                <w:rFonts w:hint="eastAsia" w:ascii="仿宋" w:hAnsi="仿宋" w:eastAsia="仿宋" w:cs="仿宋"/>
                <w:sz w:val="24"/>
                <w:u w:val="single"/>
              </w:rPr>
              <w:t>3名</w:t>
            </w:r>
          </w:p>
        </w:tc>
      </w:tr>
      <w:tr w14:paraId="76E5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D6376E8">
            <w:pPr>
              <w:widowControl/>
              <w:adjustRightInd w:val="0"/>
              <w:snapToGrid w:val="0"/>
              <w:spacing w:line="288" w:lineRule="auto"/>
              <w:jc w:val="center"/>
              <w:rPr>
                <w:rFonts w:ascii="宋体" w:hAnsi="宋体" w:cs="Calibri"/>
                <w:sz w:val="24"/>
              </w:rPr>
            </w:pPr>
            <w:r>
              <w:rPr>
                <w:rFonts w:hint="eastAsia" w:ascii="宋体" w:hAnsi="宋体" w:eastAsia="仿宋" w:cs="Calibri"/>
                <w:sz w:val="24"/>
              </w:rPr>
              <w:t>7.1.1</w:t>
            </w:r>
          </w:p>
        </w:tc>
        <w:tc>
          <w:tcPr>
            <w:tcW w:w="1581" w:type="dxa"/>
            <w:vAlign w:val="center"/>
          </w:tcPr>
          <w:p w14:paraId="0F54FF67">
            <w:pPr>
              <w:widowControl/>
              <w:adjustRightInd w:val="0"/>
              <w:snapToGrid w:val="0"/>
              <w:spacing w:line="288" w:lineRule="auto"/>
              <w:jc w:val="center"/>
              <w:rPr>
                <w:rFonts w:ascii="宋体" w:hAnsi="宋体" w:cs="Calibri"/>
                <w:sz w:val="24"/>
              </w:rPr>
            </w:pPr>
            <w:r>
              <w:rPr>
                <w:rFonts w:hint="eastAsia" w:ascii="Calibri" w:hAnsi="Calibri" w:eastAsia="仿宋" w:cs="方正小标宋简体"/>
                <w:sz w:val="24"/>
              </w:rPr>
              <w:t>是否授权磋商小组确定成交供应商</w:t>
            </w:r>
          </w:p>
        </w:tc>
        <w:tc>
          <w:tcPr>
            <w:tcW w:w="7229" w:type="dxa"/>
            <w:vAlign w:val="center"/>
          </w:tcPr>
          <w:p w14:paraId="3F0A86B1">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☑否</w:t>
            </w:r>
          </w:p>
          <w:p w14:paraId="0DB517FF">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□是</w:t>
            </w:r>
          </w:p>
        </w:tc>
      </w:tr>
      <w:tr w14:paraId="1734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A2750ED">
            <w:pPr>
              <w:widowControl/>
              <w:adjustRightInd w:val="0"/>
              <w:snapToGrid w:val="0"/>
              <w:spacing w:line="288" w:lineRule="auto"/>
              <w:jc w:val="center"/>
              <w:rPr>
                <w:rFonts w:ascii="宋体" w:hAnsi="宋体" w:cs="Calibri"/>
                <w:sz w:val="24"/>
              </w:rPr>
            </w:pPr>
            <w:r>
              <w:rPr>
                <w:rFonts w:hint="eastAsia" w:ascii="宋体" w:hAnsi="宋体" w:eastAsia="仿宋" w:cs="Calibri"/>
                <w:sz w:val="24"/>
              </w:rPr>
              <w:t>7.1.2</w:t>
            </w:r>
          </w:p>
        </w:tc>
        <w:tc>
          <w:tcPr>
            <w:tcW w:w="1581" w:type="dxa"/>
            <w:vAlign w:val="center"/>
          </w:tcPr>
          <w:p w14:paraId="15D49323">
            <w:pPr>
              <w:widowControl/>
              <w:adjustRightInd w:val="0"/>
              <w:snapToGrid w:val="0"/>
              <w:spacing w:line="288" w:lineRule="auto"/>
              <w:jc w:val="center"/>
              <w:rPr>
                <w:rFonts w:ascii="宋体" w:hAnsi="宋体" w:cs="Calibri"/>
                <w:sz w:val="24"/>
              </w:rPr>
            </w:pPr>
            <w:r>
              <w:rPr>
                <w:rFonts w:hint="eastAsia" w:ascii="Calibri" w:hAnsi="Calibri" w:eastAsia="仿宋" w:cs="方正小标宋简体"/>
                <w:sz w:val="24"/>
              </w:rPr>
              <w:t>成交</w:t>
            </w:r>
            <w:r>
              <w:rPr>
                <w:rFonts w:hint="eastAsia" w:ascii="宋体" w:hAnsi="宋体" w:eastAsia="仿宋" w:cs="Calibri"/>
                <w:sz w:val="24"/>
              </w:rPr>
              <w:t>结果公告</w:t>
            </w:r>
          </w:p>
        </w:tc>
        <w:tc>
          <w:tcPr>
            <w:tcW w:w="7229" w:type="dxa"/>
            <w:vAlign w:val="center"/>
          </w:tcPr>
          <w:p w14:paraId="4D979DEE">
            <w:pPr>
              <w:widowControl/>
              <w:adjustRightInd w:val="0"/>
              <w:snapToGrid w:val="0"/>
              <w:spacing w:line="288" w:lineRule="auto"/>
              <w:rPr>
                <w:rFonts w:ascii="宋体" w:hAnsi="宋体" w:eastAsia="仿宋"/>
                <w:sz w:val="24"/>
              </w:rPr>
            </w:pPr>
            <w:r>
              <w:rPr>
                <w:rFonts w:hint="eastAsia" w:ascii="宋体" w:hAnsi="宋体" w:eastAsia="仿宋"/>
                <w:sz w:val="24"/>
              </w:rPr>
              <w:t>公告方式：在发布竞争性磋商公告的媒介上发布本项目</w:t>
            </w:r>
            <w:r>
              <w:rPr>
                <w:rFonts w:hint="eastAsia" w:ascii="Calibri" w:hAnsi="Calibri" w:eastAsia="仿宋" w:cs="方正小标宋简体"/>
                <w:sz w:val="24"/>
              </w:rPr>
              <w:t>成交</w:t>
            </w:r>
            <w:r>
              <w:rPr>
                <w:rFonts w:hint="eastAsia" w:ascii="宋体" w:hAnsi="宋体" w:eastAsia="仿宋"/>
                <w:sz w:val="24"/>
              </w:rPr>
              <w:t>结果公告</w:t>
            </w:r>
          </w:p>
          <w:p w14:paraId="04591526">
            <w:pPr>
              <w:widowControl/>
              <w:adjustRightInd w:val="0"/>
              <w:snapToGrid w:val="0"/>
              <w:spacing w:line="288" w:lineRule="auto"/>
              <w:rPr>
                <w:rFonts w:ascii="宋体" w:hAnsi="宋体"/>
                <w:sz w:val="24"/>
                <w:u w:val="single"/>
              </w:rPr>
            </w:pPr>
            <w:r>
              <w:rPr>
                <w:rFonts w:hint="eastAsia" w:ascii="宋体" w:hAnsi="宋体" w:eastAsia="仿宋"/>
                <w:sz w:val="24"/>
              </w:rPr>
              <w:t>公告内容：按照财政部《政府采购公告和公示信息格式规范（2020年版）》中的“中标（成交）结果公告”格式及内容编制</w:t>
            </w:r>
          </w:p>
        </w:tc>
      </w:tr>
      <w:tr w14:paraId="5F73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A0894AC">
            <w:pPr>
              <w:widowControl/>
              <w:adjustRightInd w:val="0"/>
              <w:snapToGrid w:val="0"/>
              <w:spacing w:line="288" w:lineRule="auto"/>
              <w:jc w:val="center"/>
              <w:rPr>
                <w:rFonts w:ascii="宋体" w:hAnsi="宋体" w:cs="Calibri"/>
                <w:sz w:val="24"/>
              </w:rPr>
            </w:pPr>
            <w:r>
              <w:rPr>
                <w:rFonts w:hint="eastAsia" w:ascii="宋体" w:hAnsi="宋体" w:eastAsia="仿宋" w:cs="Calibri"/>
                <w:sz w:val="24"/>
              </w:rPr>
              <w:t>7.2.2</w:t>
            </w:r>
          </w:p>
        </w:tc>
        <w:tc>
          <w:tcPr>
            <w:tcW w:w="1581" w:type="dxa"/>
            <w:vAlign w:val="center"/>
          </w:tcPr>
          <w:p w14:paraId="1E0F0201">
            <w:pPr>
              <w:widowControl/>
              <w:adjustRightInd w:val="0"/>
              <w:snapToGrid w:val="0"/>
              <w:spacing w:line="288" w:lineRule="auto"/>
              <w:jc w:val="center"/>
              <w:rPr>
                <w:rFonts w:ascii="宋体" w:hAnsi="宋体" w:cs="Calibri"/>
                <w:sz w:val="24"/>
              </w:rPr>
            </w:pPr>
            <w:r>
              <w:rPr>
                <w:rFonts w:hint="eastAsia" w:ascii="宋体" w:hAnsi="宋体" w:eastAsia="仿宋" w:cs="Calibri"/>
                <w:sz w:val="24"/>
              </w:rPr>
              <w:t>采购代理服务费</w:t>
            </w:r>
          </w:p>
        </w:tc>
        <w:tc>
          <w:tcPr>
            <w:tcW w:w="7229" w:type="dxa"/>
            <w:vAlign w:val="center"/>
          </w:tcPr>
          <w:p w14:paraId="0F991A86">
            <w:pPr>
              <w:widowControl/>
              <w:adjustRightInd w:val="0"/>
              <w:snapToGrid w:val="0"/>
              <w:spacing w:line="288" w:lineRule="auto"/>
              <w:rPr>
                <w:rFonts w:ascii="楷体" w:hAnsi="楷体" w:eastAsia="楷体" w:cs="Calibri"/>
                <w:i/>
                <w:sz w:val="24"/>
              </w:rPr>
            </w:pPr>
            <w:r>
              <w:rPr>
                <w:rFonts w:hint="eastAsia" w:ascii="楷体" w:hAnsi="楷体" w:eastAsia="仿宋" w:cs="Calibri"/>
                <w:sz w:val="24"/>
              </w:rPr>
              <w:t>参照国家发展改革委发改价格</w:t>
            </w:r>
            <w:r>
              <w:rPr>
                <w:rFonts w:hint="eastAsia" w:ascii="宋体" w:hAnsi="宋体" w:eastAsia="仿宋" w:cs="宋体"/>
                <w:sz w:val="24"/>
              </w:rPr>
              <w:t>〔</w:t>
            </w:r>
            <w:r>
              <w:rPr>
                <w:rFonts w:hint="eastAsia" w:ascii="楷体" w:hAnsi="楷体" w:eastAsia="仿宋" w:cs="Calibri"/>
                <w:sz w:val="24"/>
              </w:rPr>
              <w:t>2011</w:t>
            </w:r>
            <w:r>
              <w:rPr>
                <w:rFonts w:hint="eastAsia" w:ascii="宋体" w:hAnsi="宋体" w:eastAsia="仿宋" w:cs="宋体"/>
                <w:sz w:val="24"/>
              </w:rPr>
              <w:t>〕</w:t>
            </w:r>
            <w:r>
              <w:rPr>
                <w:rFonts w:hint="eastAsia" w:ascii="楷体" w:hAnsi="楷体" w:eastAsia="仿宋" w:cs="Calibri"/>
                <w:sz w:val="24"/>
              </w:rPr>
              <w:t>534号文件、发改办价格</w:t>
            </w:r>
            <w:r>
              <w:rPr>
                <w:rFonts w:hint="eastAsia" w:ascii="宋体" w:hAnsi="宋体" w:eastAsia="仿宋" w:cs="宋体"/>
                <w:sz w:val="24"/>
              </w:rPr>
              <w:t>〔</w:t>
            </w:r>
            <w:r>
              <w:rPr>
                <w:rFonts w:hint="eastAsia" w:ascii="楷体" w:hAnsi="楷体" w:eastAsia="仿宋" w:cs="Calibri"/>
                <w:sz w:val="24"/>
              </w:rPr>
              <w:t>2003</w:t>
            </w:r>
            <w:r>
              <w:rPr>
                <w:rFonts w:hint="eastAsia" w:ascii="宋体" w:hAnsi="宋体" w:eastAsia="仿宋" w:cs="宋体"/>
                <w:sz w:val="24"/>
              </w:rPr>
              <w:t>〕</w:t>
            </w:r>
            <w:r>
              <w:rPr>
                <w:rFonts w:hint="eastAsia" w:ascii="楷体" w:hAnsi="楷体" w:eastAsia="仿宋" w:cs="Calibri"/>
                <w:sz w:val="24"/>
              </w:rPr>
              <w:t>857号文件、计价格</w:t>
            </w:r>
            <w:r>
              <w:rPr>
                <w:rFonts w:hint="eastAsia" w:ascii="宋体" w:hAnsi="宋体" w:eastAsia="仿宋" w:cs="宋体"/>
                <w:sz w:val="24"/>
              </w:rPr>
              <w:t>〔</w:t>
            </w:r>
            <w:r>
              <w:rPr>
                <w:rFonts w:hint="eastAsia" w:ascii="楷体" w:hAnsi="楷体" w:eastAsia="仿宋" w:cs="Calibri"/>
                <w:sz w:val="24"/>
              </w:rPr>
              <w:t>2002</w:t>
            </w:r>
            <w:r>
              <w:rPr>
                <w:rFonts w:hint="eastAsia" w:ascii="宋体" w:hAnsi="宋体" w:eastAsia="仿宋" w:cs="宋体"/>
                <w:sz w:val="24"/>
              </w:rPr>
              <w:t>〕</w:t>
            </w:r>
            <w:r>
              <w:rPr>
                <w:rFonts w:hint="eastAsia" w:ascii="楷体" w:hAnsi="楷体" w:eastAsia="仿宋" w:cs="Calibri"/>
                <w:sz w:val="24"/>
              </w:rPr>
              <w:t>1980号文件规定收费标准计取，</w:t>
            </w:r>
            <w:r>
              <w:rPr>
                <w:rFonts w:hint="eastAsia" w:ascii="仿宋" w:hAnsi="仿宋" w:eastAsia="仿宋" w:cs="仿宋"/>
                <w:sz w:val="24"/>
              </w:rPr>
              <w:t>由成交供应商在领取成交通知书时，向采购代理机构支付</w:t>
            </w:r>
            <w:r>
              <w:rPr>
                <w:rFonts w:hint="eastAsia" w:ascii="楷体" w:hAnsi="楷体" w:eastAsia="仿宋" w:cs="Calibri"/>
                <w:sz w:val="24"/>
              </w:rPr>
              <w:t>。</w:t>
            </w:r>
          </w:p>
        </w:tc>
      </w:tr>
      <w:tr w14:paraId="3006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FC09ECE">
            <w:pPr>
              <w:widowControl/>
              <w:adjustRightInd w:val="0"/>
              <w:snapToGrid w:val="0"/>
              <w:spacing w:line="288" w:lineRule="auto"/>
              <w:jc w:val="center"/>
              <w:rPr>
                <w:rFonts w:ascii="宋体" w:hAnsi="宋体" w:cs="Calibri"/>
                <w:sz w:val="24"/>
              </w:rPr>
            </w:pPr>
            <w:r>
              <w:rPr>
                <w:rFonts w:hint="eastAsia" w:ascii="宋体" w:hAnsi="宋体" w:eastAsia="仿宋" w:cs="Calibri"/>
                <w:sz w:val="24"/>
              </w:rPr>
              <w:t>7.3.1</w:t>
            </w:r>
          </w:p>
        </w:tc>
        <w:tc>
          <w:tcPr>
            <w:tcW w:w="1581" w:type="dxa"/>
            <w:vAlign w:val="center"/>
          </w:tcPr>
          <w:p w14:paraId="69493BF3">
            <w:pPr>
              <w:widowControl/>
              <w:adjustRightInd w:val="0"/>
              <w:snapToGrid w:val="0"/>
              <w:spacing w:line="288" w:lineRule="auto"/>
              <w:jc w:val="center"/>
              <w:rPr>
                <w:rFonts w:ascii="宋体" w:hAnsi="宋体" w:cs="Calibri"/>
                <w:sz w:val="24"/>
              </w:rPr>
            </w:pPr>
            <w:r>
              <w:rPr>
                <w:rFonts w:hint="eastAsia" w:ascii="宋体" w:hAnsi="宋体" w:eastAsia="仿宋" w:cs="Calibri"/>
                <w:sz w:val="24"/>
              </w:rPr>
              <w:t>履约保证金</w:t>
            </w:r>
          </w:p>
        </w:tc>
        <w:tc>
          <w:tcPr>
            <w:tcW w:w="7229" w:type="dxa"/>
          </w:tcPr>
          <w:p w14:paraId="2BAAB700">
            <w:pPr>
              <w:kinsoku w:val="0"/>
              <w:overflowPunct w:val="0"/>
              <w:autoSpaceDE w:val="0"/>
              <w:autoSpaceDN w:val="0"/>
              <w:adjustRightInd w:val="0"/>
              <w:snapToGrid w:val="0"/>
              <w:spacing w:line="288" w:lineRule="auto"/>
              <w:rPr>
                <w:rFonts w:ascii="Calibri" w:hAnsi="Calibri" w:eastAsia="仿宋"/>
                <w:sz w:val="24"/>
              </w:rPr>
            </w:pPr>
            <w:r>
              <w:rPr>
                <w:rFonts w:hint="eastAsia" w:ascii="Calibri" w:hAnsi="Calibri" w:eastAsia="仿宋"/>
                <w:sz w:val="24"/>
              </w:rPr>
              <w:t>是否要求供应商提交履约保证金：</w:t>
            </w:r>
          </w:p>
          <w:p w14:paraId="5F6E50BE">
            <w:pPr>
              <w:kinsoku w:val="0"/>
              <w:overflowPunct w:val="0"/>
              <w:autoSpaceDE w:val="0"/>
              <w:autoSpaceDN w:val="0"/>
              <w:adjustRightInd w:val="0"/>
              <w:snapToGrid w:val="0"/>
              <w:spacing w:line="288" w:lineRule="auto"/>
              <w:rPr>
                <w:rFonts w:ascii="宋体" w:hAnsi="宋体" w:eastAsia="仿宋"/>
                <w:sz w:val="24"/>
              </w:rPr>
            </w:pPr>
            <w:r>
              <w:rPr>
                <w:rFonts w:hint="eastAsia" w:ascii="宋体" w:hAnsi="宋体" w:eastAsia="仿宋"/>
                <w:sz w:val="24"/>
              </w:rPr>
              <w:t>☑</w:t>
            </w:r>
            <w:r>
              <w:rPr>
                <w:rFonts w:hint="eastAsia" w:ascii="Calibri" w:hAnsi="Calibri" w:eastAsia="仿宋"/>
                <w:sz w:val="24"/>
              </w:rPr>
              <w:t>不要求。</w:t>
            </w:r>
          </w:p>
          <w:p w14:paraId="5B8E9401">
            <w:pPr>
              <w:widowControl/>
              <w:adjustRightInd w:val="0"/>
              <w:snapToGrid w:val="0"/>
              <w:spacing w:line="288" w:lineRule="auto"/>
              <w:rPr>
                <w:rFonts w:ascii="宋体" w:hAnsi="宋体" w:eastAsia="仿宋"/>
                <w:sz w:val="24"/>
              </w:rPr>
            </w:pPr>
            <w:r>
              <w:rPr>
                <w:rFonts w:hint="eastAsia" w:ascii="宋体" w:hAnsi="宋体" w:eastAsia="仿宋"/>
                <w:sz w:val="24"/>
              </w:rPr>
              <w:t>□</w:t>
            </w:r>
            <w:r>
              <w:rPr>
                <w:rFonts w:hint="eastAsia" w:ascii="Calibri" w:hAnsi="Calibri" w:eastAsia="仿宋"/>
                <w:sz w:val="24"/>
              </w:rPr>
              <w:t>要求，</w:t>
            </w:r>
            <w:r>
              <w:rPr>
                <w:rFonts w:ascii="宋体" w:hAnsi="宋体" w:eastAsia="仿宋"/>
                <w:sz w:val="24"/>
              </w:rPr>
              <w:t>履约保证金的形式：</w:t>
            </w:r>
            <w:r>
              <w:rPr>
                <w:rFonts w:hint="eastAsia" w:ascii="楷体" w:hAnsi="楷体" w:eastAsia="仿宋"/>
                <w:sz w:val="24"/>
              </w:rPr>
              <w:t>保函（格式：见竞争性磋商文件第五章附件）、转账/电汇、支票、汇票、本票、保险</w:t>
            </w:r>
          </w:p>
          <w:p w14:paraId="25D5C3EB">
            <w:pPr>
              <w:widowControl/>
              <w:adjustRightInd w:val="0"/>
              <w:snapToGrid w:val="0"/>
              <w:spacing w:line="288" w:lineRule="auto"/>
              <w:rPr>
                <w:rFonts w:ascii="宋体" w:hAnsi="宋体" w:eastAsia="仿宋"/>
                <w:sz w:val="24"/>
              </w:rPr>
            </w:pPr>
            <w:r>
              <w:rPr>
                <w:rFonts w:ascii="宋体" w:hAnsi="宋体" w:eastAsia="仿宋"/>
                <w:sz w:val="24"/>
              </w:rPr>
              <w:t>履约保证金的金额：</w:t>
            </w:r>
            <w:r>
              <w:rPr>
                <w:rFonts w:hint="eastAsia" w:ascii="楷体" w:hAnsi="楷体" w:eastAsia="仿宋"/>
                <w:sz w:val="24"/>
              </w:rPr>
              <w:t>合同金额的2.5%</w:t>
            </w:r>
          </w:p>
          <w:p w14:paraId="02DF7C86">
            <w:pPr>
              <w:pStyle w:val="24"/>
              <w:widowControl/>
              <w:adjustRightInd w:val="0"/>
              <w:snapToGrid w:val="0"/>
              <w:spacing w:line="288" w:lineRule="auto"/>
              <w:rPr>
                <w:rFonts w:ascii="楷体" w:hAnsi="楷体" w:eastAsia="仿宋"/>
                <w:sz w:val="24"/>
                <w:szCs w:val="24"/>
              </w:rPr>
            </w:pPr>
            <w:r>
              <w:rPr>
                <w:rFonts w:hint="eastAsia" w:hAnsi="宋体" w:eastAsia="仿宋"/>
                <w:sz w:val="24"/>
                <w:szCs w:val="24"/>
              </w:rPr>
              <w:t>履约保证金提交时间：采购</w:t>
            </w:r>
            <w:r>
              <w:rPr>
                <w:rFonts w:hint="eastAsia" w:ascii="楷体" w:hAnsi="楷体" w:eastAsia="仿宋"/>
                <w:sz w:val="24"/>
                <w:szCs w:val="24"/>
              </w:rPr>
              <w:t>合同签订前</w:t>
            </w:r>
          </w:p>
          <w:p w14:paraId="78C8B50F">
            <w:pPr>
              <w:pStyle w:val="24"/>
              <w:widowControl/>
              <w:adjustRightInd w:val="0"/>
              <w:snapToGrid w:val="0"/>
              <w:spacing w:line="288" w:lineRule="auto"/>
              <w:rPr>
                <w:rFonts w:ascii="楷体" w:hAnsi="楷体" w:eastAsia="仿宋"/>
                <w:sz w:val="24"/>
                <w:szCs w:val="24"/>
              </w:rPr>
            </w:pPr>
            <w:r>
              <w:rPr>
                <w:rFonts w:hint="eastAsia" w:hAnsi="宋体" w:eastAsia="仿宋"/>
                <w:sz w:val="24"/>
                <w:szCs w:val="24"/>
              </w:rPr>
              <w:t>履约保证金退还时间：</w:t>
            </w:r>
            <w:r>
              <w:rPr>
                <w:rFonts w:hint="eastAsia" w:ascii="楷体" w:hAnsi="楷体" w:eastAsia="仿宋"/>
                <w:sz w:val="24"/>
                <w:szCs w:val="24"/>
              </w:rPr>
              <w:t>验收合格后退还</w:t>
            </w:r>
          </w:p>
          <w:p w14:paraId="6597C5E0">
            <w:pPr>
              <w:pStyle w:val="24"/>
              <w:widowControl/>
              <w:adjustRightInd w:val="0"/>
              <w:snapToGrid w:val="0"/>
              <w:spacing w:line="288" w:lineRule="auto"/>
              <w:rPr>
                <w:rFonts w:hAnsi="宋体" w:eastAsia="仿宋"/>
                <w:sz w:val="24"/>
                <w:szCs w:val="24"/>
              </w:rPr>
            </w:pPr>
            <w:r>
              <w:rPr>
                <w:rFonts w:hint="eastAsia" w:hAnsi="宋体" w:eastAsia="仿宋"/>
                <w:sz w:val="24"/>
                <w:szCs w:val="24"/>
              </w:rPr>
              <w:t>未按规定提交履约保证金，视为成交供应商拒绝与采购人签订合同。采购人可按磋商小组推荐的成交候选人名单排序确定下一候选人为成交供应商，或者重新开展采购活动。</w:t>
            </w:r>
          </w:p>
          <w:p w14:paraId="7AFBA439">
            <w:pPr>
              <w:pStyle w:val="24"/>
              <w:widowControl/>
              <w:adjustRightInd w:val="0"/>
              <w:snapToGrid w:val="0"/>
              <w:spacing w:line="288" w:lineRule="auto"/>
              <w:rPr>
                <w:rFonts w:hAnsi="宋体" w:eastAsia="仿宋"/>
                <w:sz w:val="24"/>
                <w:szCs w:val="24"/>
              </w:rPr>
            </w:pPr>
          </w:p>
          <w:p w14:paraId="5DEDEB08">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保函要求：</w:t>
            </w:r>
          </w:p>
          <w:p w14:paraId="3EA0BBE6">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（1）成交供应商提供保函的受益人和收取单位须为采购人，担保期限不少于合同履约期限。</w:t>
            </w:r>
          </w:p>
          <w:p w14:paraId="1AA3CFE2">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（2）保函形式：☑银行保函☑担保机构担保</w:t>
            </w:r>
            <w:r>
              <w:rPr>
                <w:rFonts w:hint="eastAsia" w:ascii="MS Mincho" w:hAnsi="MS Mincho" w:cs="MS Mincho"/>
                <w:sz w:val="24"/>
              </w:rPr>
              <w:t>☑</w:t>
            </w:r>
            <w:r>
              <w:rPr>
                <w:rFonts w:hint="eastAsia" w:ascii="宋体" w:hAnsi="宋体" w:eastAsia="仿宋" w:cs="Calibri"/>
                <w:sz w:val="24"/>
              </w:rPr>
              <w:t>保证保险</w:t>
            </w:r>
            <w:r>
              <w:rPr>
                <w:rFonts w:hint="eastAsia" w:ascii="MS Mincho" w:hAnsi="MS Mincho" w:cs="MS Mincho"/>
                <w:sz w:val="24"/>
              </w:rPr>
              <w:t>☑</w:t>
            </w:r>
            <w:r>
              <w:rPr>
                <w:rFonts w:hint="eastAsia" w:ascii="宋体" w:hAnsi="宋体" w:eastAsia="仿宋" w:cs="Calibri"/>
                <w:sz w:val="24"/>
              </w:rPr>
              <w:t>电子保函</w:t>
            </w:r>
          </w:p>
          <w:p w14:paraId="00DA73F0">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（3）保函递交要求：</w:t>
            </w:r>
          </w:p>
          <w:p w14:paraId="7D513E8F">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①如采用银行保函，银行保函应为见索即付无条件独立保函，且应将原件交至采购人保管。</w:t>
            </w:r>
          </w:p>
          <w:p w14:paraId="288D3FC6">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②采用担保机构担保的，应为依法取得融资担保业务经营许可证的融资担保机构出具的不可撤销、不可转让的见索即付独立保函。</w:t>
            </w:r>
          </w:p>
          <w:p w14:paraId="49B7CB41">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③采用保证保险的，应为保险公司出具的不可撤销、不可转让的见索即付保证保险。</w:t>
            </w:r>
          </w:p>
          <w:p w14:paraId="053FE02E">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④采用电子保函的，可访问安徽省政府采购网“融资/保函”栏目进行申请。</w:t>
            </w:r>
          </w:p>
        </w:tc>
      </w:tr>
      <w:tr w14:paraId="79FC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7BE197A">
            <w:pPr>
              <w:widowControl/>
              <w:adjustRightInd w:val="0"/>
              <w:snapToGrid w:val="0"/>
              <w:spacing w:line="288" w:lineRule="auto"/>
              <w:jc w:val="center"/>
              <w:rPr>
                <w:rFonts w:ascii="宋体" w:hAnsi="宋体" w:cs="Calibri"/>
                <w:sz w:val="24"/>
              </w:rPr>
            </w:pPr>
            <w:r>
              <w:rPr>
                <w:rFonts w:hint="eastAsia" w:ascii="宋体" w:hAnsi="宋体" w:eastAsia="仿宋" w:cs="Calibri"/>
                <w:sz w:val="24"/>
              </w:rPr>
              <w:t>7.4.1</w:t>
            </w:r>
          </w:p>
        </w:tc>
        <w:tc>
          <w:tcPr>
            <w:tcW w:w="1581" w:type="dxa"/>
            <w:vAlign w:val="center"/>
          </w:tcPr>
          <w:p w14:paraId="623DF035">
            <w:pPr>
              <w:widowControl/>
              <w:adjustRightInd w:val="0"/>
              <w:snapToGrid w:val="0"/>
              <w:spacing w:line="288" w:lineRule="auto"/>
              <w:jc w:val="center"/>
              <w:rPr>
                <w:rFonts w:ascii="宋体" w:hAnsi="宋体" w:cs="Calibri"/>
                <w:sz w:val="24"/>
              </w:rPr>
            </w:pPr>
            <w:r>
              <w:rPr>
                <w:rFonts w:hint="eastAsia" w:ascii="宋体" w:hAnsi="宋体" w:eastAsia="仿宋" w:cs="Calibri"/>
                <w:sz w:val="24"/>
              </w:rPr>
              <w:t>合同签订时间</w:t>
            </w:r>
          </w:p>
        </w:tc>
        <w:tc>
          <w:tcPr>
            <w:tcW w:w="7229" w:type="dxa"/>
            <w:vAlign w:val="center"/>
          </w:tcPr>
          <w:p w14:paraId="42401D2D">
            <w:pPr>
              <w:pStyle w:val="24"/>
              <w:widowControl/>
              <w:adjustRightInd w:val="0"/>
              <w:snapToGrid w:val="0"/>
              <w:spacing w:line="288" w:lineRule="auto"/>
              <w:rPr>
                <w:rFonts w:hAnsi="宋体"/>
                <w:sz w:val="24"/>
                <w:szCs w:val="24"/>
              </w:rPr>
            </w:pPr>
            <w:r>
              <w:rPr>
                <w:rFonts w:hint="eastAsia" w:ascii="楷体" w:hAnsi="楷体" w:eastAsia="仿宋" w:cs="楷体"/>
                <w:sz w:val="24"/>
                <w:szCs w:val="24"/>
              </w:rPr>
              <w:t>成交结果公告发布（成交通知书发出）之日起7个工作日内</w:t>
            </w:r>
          </w:p>
        </w:tc>
      </w:tr>
      <w:tr w14:paraId="630E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809E2D0">
            <w:pPr>
              <w:widowControl/>
              <w:adjustRightInd w:val="0"/>
              <w:snapToGrid w:val="0"/>
              <w:spacing w:line="288" w:lineRule="auto"/>
              <w:jc w:val="center"/>
              <w:rPr>
                <w:rFonts w:ascii="宋体" w:hAnsi="宋体" w:cs="Calibri"/>
                <w:sz w:val="24"/>
              </w:rPr>
            </w:pPr>
            <w:r>
              <w:rPr>
                <w:rFonts w:hint="eastAsia" w:ascii="宋体" w:hAnsi="宋体" w:eastAsia="仿宋" w:cs="Calibri"/>
                <w:sz w:val="24"/>
              </w:rPr>
              <w:t>9.1.1</w:t>
            </w:r>
          </w:p>
        </w:tc>
        <w:tc>
          <w:tcPr>
            <w:tcW w:w="1581" w:type="dxa"/>
            <w:vAlign w:val="center"/>
          </w:tcPr>
          <w:p w14:paraId="368243BC">
            <w:pPr>
              <w:widowControl/>
              <w:adjustRightInd w:val="0"/>
              <w:snapToGrid w:val="0"/>
              <w:spacing w:line="288" w:lineRule="auto"/>
              <w:jc w:val="center"/>
              <w:rPr>
                <w:rFonts w:ascii="宋体" w:hAnsi="宋体" w:eastAsia="仿宋" w:cs="Calibri"/>
                <w:sz w:val="24"/>
              </w:rPr>
            </w:pPr>
            <w:r>
              <w:rPr>
                <w:rFonts w:hint="eastAsia" w:ascii="Calibri" w:hAnsi="Calibri" w:eastAsia="仿宋"/>
                <w:color w:val="000000"/>
                <w:sz w:val="24"/>
              </w:rPr>
              <w:t>供应商提出询问</w:t>
            </w:r>
            <w:r>
              <w:rPr>
                <w:rFonts w:hint="eastAsia" w:ascii="宋体" w:hAnsi="宋体" w:eastAsia="仿宋" w:cs="Calibri"/>
                <w:sz w:val="24"/>
              </w:rPr>
              <w:t>的时间</w:t>
            </w:r>
          </w:p>
        </w:tc>
        <w:tc>
          <w:tcPr>
            <w:tcW w:w="7229" w:type="dxa"/>
            <w:vAlign w:val="center"/>
          </w:tcPr>
          <w:p w14:paraId="35235664">
            <w:pPr>
              <w:widowControl/>
              <w:adjustRightInd w:val="0"/>
              <w:snapToGrid w:val="0"/>
              <w:spacing w:line="288" w:lineRule="auto"/>
              <w:ind w:left="480" w:hanging="480" w:hangingChars="200"/>
              <w:rPr>
                <w:rFonts w:ascii="宋体" w:hAnsi="宋体" w:eastAsia="仿宋" w:cs="Calibri"/>
                <w:color w:val="0000FF"/>
                <w:sz w:val="24"/>
              </w:rPr>
            </w:pPr>
            <w:r>
              <w:rPr>
                <w:rFonts w:hint="eastAsia" w:ascii="Calibri" w:hAnsi="Calibri" w:eastAsia="仿宋"/>
                <w:color w:val="000000"/>
                <w:sz w:val="24"/>
              </w:rPr>
              <w:t>提出</w:t>
            </w:r>
            <w:r>
              <w:rPr>
                <w:rFonts w:hint="eastAsia" w:ascii="宋体" w:hAnsi="宋体" w:eastAsia="仿宋" w:cs="Calibri"/>
                <w:sz w:val="24"/>
              </w:rPr>
              <w:t>时间：</w:t>
            </w:r>
            <w:r>
              <w:rPr>
                <w:rFonts w:ascii="楷体" w:hAnsi="楷体" w:eastAsia="仿宋"/>
                <w:sz w:val="24"/>
              </w:rPr>
              <w:t>在</w:t>
            </w:r>
            <w:r>
              <w:rPr>
                <w:rFonts w:hint="eastAsia" w:ascii="楷体" w:hAnsi="楷体" w:eastAsia="仿宋"/>
                <w:sz w:val="24"/>
              </w:rPr>
              <w:t>提交首次响应文件截止时间4日</w:t>
            </w:r>
            <w:r>
              <w:rPr>
                <w:rFonts w:ascii="楷体" w:hAnsi="楷体" w:eastAsia="仿宋"/>
                <w:sz w:val="24"/>
              </w:rPr>
              <w:t>前（以收到日期为准）</w:t>
            </w:r>
          </w:p>
          <w:p w14:paraId="2477B66F">
            <w:pPr>
              <w:widowControl/>
              <w:adjustRightInd w:val="0"/>
              <w:snapToGrid w:val="0"/>
              <w:spacing w:line="288" w:lineRule="auto"/>
              <w:rPr>
                <w:rFonts w:ascii="楷体" w:hAnsi="楷体" w:eastAsia="仿宋"/>
                <w:color w:val="0000FF"/>
                <w:sz w:val="24"/>
                <w:u w:val="single"/>
              </w:rPr>
            </w:pPr>
            <w:r>
              <w:rPr>
                <w:rFonts w:hint="eastAsia" w:ascii="宋体" w:hAnsi="宋体" w:eastAsia="仿宋"/>
                <w:sz w:val="24"/>
              </w:rPr>
              <w:t>询问函格式：见本章附件二</w:t>
            </w:r>
          </w:p>
        </w:tc>
      </w:tr>
      <w:tr w14:paraId="0BD5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FBB6A44">
            <w:pPr>
              <w:widowControl/>
              <w:adjustRightInd w:val="0"/>
              <w:snapToGrid w:val="0"/>
              <w:spacing w:line="288" w:lineRule="auto"/>
              <w:jc w:val="center"/>
              <w:rPr>
                <w:rFonts w:ascii="宋体" w:hAnsi="宋体" w:cs="Calibri"/>
                <w:sz w:val="24"/>
              </w:rPr>
            </w:pPr>
            <w:r>
              <w:rPr>
                <w:rFonts w:hint="eastAsia" w:ascii="宋体" w:hAnsi="宋体" w:eastAsia="仿宋" w:cs="Calibri"/>
                <w:sz w:val="24"/>
              </w:rPr>
              <w:t>9.2.1</w:t>
            </w:r>
          </w:p>
        </w:tc>
        <w:tc>
          <w:tcPr>
            <w:tcW w:w="1581" w:type="dxa"/>
            <w:vAlign w:val="center"/>
          </w:tcPr>
          <w:p w14:paraId="3252E299">
            <w:pPr>
              <w:widowControl/>
              <w:adjustRightInd w:val="0"/>
              <w:snapToGrid w:val="0"/>
              <w:spacing w:line="288" w:lineRule="auto"/>
              <w:jc w:val="center"/>
              <w:rPr>
                <w:rFonts w:ascii="宋体" w:hAnsi="宋体" w:cs="Calibri"/>
                <w:sz w:val="24"/>
              </w:rPr>
            </w:pPr>
            <w:r>
              <w:rPr>
                <w:rFonts w:hint="eastAsia" w:ascii="宋体" w:hAnsi="宋体" w:eastAsia="仿宋" w:cs="Calibri"/>
                <w:sz w:val="24"/>
              </w:rPr>
              <w:t>供应商提出质疑的时间</w:t>
            </w:r>
          </w:p>
        </w:tc>
        <w:tc>
          <w:tcPr>
            <w:tcW w:w="7229" w:type="dxa"/>
            <w:vAlign w:val="center"/>
          </w:tcPr>
          <w:p w14:paraId="606BB850">
            <w:pPr>
              <w:widowControl/>
              <w:adjustRightInd w:val="0"/>
              <w:snapToGrid w:val="0"/>
              <w:spacing w:line="288" w:lineRule="auto"/>
              <w:rPr>
                <w:rFonts w:ascii="宋体" w:hAnsi="宋体" w:eastAsia="仿宋" w:cs="Calibri"/>
                <w:color w:val="0000FF"/>
                <w:sz w:val="24"/>
                <w:u w:val="single"/>
              </w:rPr>
            </w:pPr>
            <w:r>
              <w:rPr>
                <w:rFonts w:hint="eastAsia" w:ascii="Calibri" w:hAnsi="Calibri" w:eastAsia="仿宋"/>
                <w:color w:val="000000"/>
                <w:sz w:val="24"/>
              </w:rPr>
              <w:t>提出</w:t>
            </w:r>
            <w:r>
              <w:rPr>
                <w:rFonts w:hint="eastAsia" w:ascii="宋体" w:hAnsi="宋体" w:eastAsia="仿宋" w:cs="Calibri"/>
                <w:sz w:val="24"/>
              </w:rPr>
              <w:t>时间：</w:t>
            </w:r>
            <w:r>
              <w:rPr>
                <w:rFonts w:hint="eastAsia" w:ascii="楷体" w:hAnsi="楷体" w:eastAsia="仿宋" w:cs="Calibri"/>
                <w:sz w:val="24"/>
              </w:rPr>
              <w:t>知道或者应知其权益受到损害之日起7个工作日内</w:t>
            </w:r>
          </w:p>
          <w:p w14:paraId="3EB21D4B">
            <w:pPr>
              <w:widowControl/>
              <w:adjustRightInd w:val="0"/>
              <w:snapToGrid w:val="0"/>
              <w:spacing w:line="288" w:lineRule="auto"/>
              <w:rPr>
                <w:rFonts w:ascii="宋体" w:hAnsi="宋体" w:eastAsia="仿宋"/>
                <w:sz w:val="24"/>
              </w:rPr>
            </w:pPr>
            <w:r>
              <w:rPr>
                <w:rFonts w:hint="eastAsia" w:ascii="宋体" w:hAnsi="宋体" w:eastAsia="仿宋"/>
                <w:sz w:val="24"/>
              </w:rPr>
              <w:t>质疑函格式：见本章附件二</w:t>
            </w:r>
          </w:p>
        </w:tc>
      </w:tr>
      <w:tr w14:paraId="15AD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761EB85">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9.2.2</w:t>
            </w:r>
          </w:p>
        </w:tc>
        <w:tc>
          <w:tcPr>
            <w:tcW w:w="1581" w:type="dxa"/>
            <w:vAlign w:val="center"/>
          </w:tcPr>
          <w:p w14:paraId="63B6C1BB">
            <w:pPr>
              <w:widowControl/>
              <w:adjustRightInd w:val="0"/>
              <w:snapToGrid w:val="0"/>
              <w:spacing w:line="288" w:lineRule="auto"/>
              <w:jc w:val="center"/>
              <w:rPr>
                <w:rFonts w:ascii="宋体" w:hAnsi="宋体" w:cs="Calibri"/>
                <w:sz w:val="24"/>
              </w:rPr>
            </w:pPr>
            <w:r>
              <w:rPr>
                <w:rFonts w:hint="eastAsia" w:ascii="宋体" w:hAnsi="宋体" w:eastAsia="仿宋"/>
                <w:sz w:val="24"/>
              </w:rPr>
              <w:t>接收质疑的联系方式</w:t>
            </w:r>
          </w:p>
        </w:tc>
        <w:tc>
          <w:tcPr>
            <w:tcW w:w="7229" w:type="dxa"/>
            <w:vAlign w:val="center"/>
          </w:tcPr>
          <w:p w14:paraId="0EACE02B">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采购代理机构：安徽省招标集团股份有限公司</w:t>
            </w:r>
          </w:p>
          <w:p w14:paraId="0BAE34C7">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地址：安徽省合肥市包河区紫云路888号安徽省招标集团总部基地407室。</w:t>
            </w:r>
          </w:p>
          <w:p w14:paraId="46FBC798">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接收部门：安徽省招标集团法务与质管中心</w:t>
            </w:r>
          </w:p>
          <w:p w14:paraId="61971313">
            <w:pPr>
              <w:widowControl/>
              <w:adjustRightInd w:val="0"/>
              <w:snapToGrid w:val="0"/>
              <w:spacing w:line="288" w:lineRule="auto"/>
              <w:rPr>
                <w:rFonts w:ascii="宋体" w:hAnsi="宋体" w:cs="Calibri"/>
                <w:sz w:val="24"/>
              </w:rPr>
            </w:pPr>
            <w:r>
              <w:rPr>
                <w:rFonts w:hint="eastAsia" w:ascii="宋体" w:hAnsi="宋体" w:eastAsia="仿宋" w:cs="Calibri"/>
                <w:sz w:val="24"/>
              </w:rPr>
              <w:t>联系电话：0551-62220155</w:t>
            </w:r>
          </w:p>
        </w:tc>
      </w:tr>
      <w:tr w14:paraId="7D36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72859C1">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11.1.1</w:t>
            </w:r>
          </w:p>
        </w:tc>
        <w:tc>
          <w:tcPr>
            <w:tcW w:w="1581" w:type="dxa"/>
            <w:vAlign w:val="center"/>
          </w:tcPr>
          <w:p w14:paraId="22959E58">
            <w:pPr>
              <w:widowControl/>
              <w:adjustRightInd w:val="0"/>
              <w:snapToGrid w:val="0"/>
              <w:spacing w:line="288" w:lineRule="auto"/>
              <w:jc w:val="center"/>
              <w:rPr>
                <w:rFonts w:ascii="宋体" w:hAnsi="宋体" w:cs="Calibri"/>
                <w:color w:val="000000"/>
                <w:sz w:val="24"/>
              </w:rPr>
            </w:pPr>
            <w:r>
              <w:rPr>
                <w:rFonts w:hint="eastAsia" w:ascii="宋体" w:hAnsi="宋体" w:eastAsia="仿宋"/>
                <w:color w:val="000000"/>
                <w:sz w:val="24"/>
              </w:rPr>
              <w:t>是否有强制采购的节能产品</w:t>
            </w:r>
          </w:p>
        </w:tc>
        <w:tc>
          <w:tcPr>
            <w:tcW w:w="7229" w:type="dxa"/>
          </w:tcPr>
          <w:p w14:paraId="1F84ADC3">
            <w:pPr>
              <w:widowControl/>
              <w:snapToGrid w:val="0"/>
              <w:spacing w:line="288" w:lineRule="auto"/>
              <w:jc w:val="left"/>
              <w:rPr>
                <w:rFonts w:ascii="宋体" w:hAnsi="宋体" w:eastAsia="仿宋"/>
                <w:sz w:val="24"/>
              </w:rPr>
            </w:pPr>
            <w:r>
              <w:rPr>
                <w:rFonts w:hint="eastAsia" w:ascii="宋体" w:hAnsi="宋体" w:eastAsia="仿宋"/>
                <w:sz w:val="24"/>
                <w:lang w:eastAsia="zh-CN"/>
              </w:rPr>
              <w:t>□</w:t>
            </w:r>
            <w:r>
              <w:rPr>
                <w:rFonts w:hint="eastAsia" w:ascii="宋体" w:hAnsi="宋体" w:eastAsia="仿宋"/>
                <w:sz w:val="24"/>
              </w:rPr>
              <w:t>没有</w:t>
            </w:r>
          </w:p>
          <w:p w14:paraId="04C91B0D">
            <w:pPr>
              <w:widowControl/>
              <w:snapToGrid w:val="0"/>
              <w:spacing w:line="288" w:lineRule="auto"/>
              <w:jc w:val="left"/>
              <w:rPr>
                <w:rFonts w:ascii="宋体" w:hAnsi="宋体" w:eastAsia="仿宋"/>
                <w:sz w:val="24"/>
                <w:u w:val="single"/>
              </w:rPr>
            </w:pPr>
            <w:r>
              <w:rPr>
                <w:rFonts w:hint="eastAsia" w:ascii="宋体" w:hAnsi="宋体" w:eastAsia="仿宋"/>
                <w:sz w:val="24"/>
                <w:lang w:eastAsia="zh-CN"/>
              </w:rPr>
              <w:t>☑</w:t>
            </w:r>
            <w:r>
              <w:rPr>
                <w:rFonts w:hint="eastAsia" w:ascii="宋体" w:hAnsi="宋体" w:eastAsia="仿宋"/>
                <w:sz w:val="24"/>
              </w:rPr>
              <w:t>有，供应商提供</w:t>
            </w:r>
            <w:r>
              <w:rPr>
                <w:rFonts w:hint="eastAsia" w:ascii="宋体" w:hAnsi="宋体" w:eastAsia="仿宋"/>
                <w:sz w:val="24"/>
                <w:lang w:val="en-US" w:eastAsia="zh-CN"/>
              </w:rPr>
              <w:t>计算机终端设备</w:t>
            </w:r>
            <w:r>
              <w:rPr>
                <w:rFonts w:hint="eastAsia" w:ascii="宋体" w:hAnsi="宋体" w:eastAsia="仿宋"/>
                <w:sz w:val="24"/>
              </w:rPr>
              <w:t>须获得国家确定的认证机构出具的，处于有效期之内的节能产品认证证书。</w:t>
            </w:r>
          </w:p>
          <w:p w14:paraId="1E637964">
            <w:pPr>
              <w:widowControl/>
              <w:snapToGrid w:val="0"/>
              <w:spacing w:line="288" w:lineRule="auto"/>
              <w:jc w:val="left"/>
              <w:rPr>
                <w:rFonts w:ascii="宋体" w:hAnsi="宋体"/>
                <w:color w:val="FF0000"/>
                <w:sz w:val="24"/>
              </w:rPr>
            </w:pPr>
            <w:r>
              <w:rPr>
                <w:rFonts w:ascii="宋体" w:hAnsi="宋体" w:eastAsia="仿宋"/>
                <w:sz w:val="24"/>
              </w:rPr>
              <w:t>根据</w:t>
            </w:r>
            <w:r>
              <w:rPr>
                <w:rFonts w:hint="eastAsia" w:ascii="宋体" w:hAnsi="宋体" w:eastAsia="仿宋"/>
                <w:sz w:val="24"/>
              </w:rPr>
              <w:t>《关于印发节能产品政府采购品目清单的通知》（财库〔2019〕19号）、</w:t>
            </w:r>
            <w:r>
              <w:rPr>
                <w:rFonts w:ascii="宋体" w:hAnsi="宋体" w:eastAsia="仿宋"/>
                <w:sz w:val="24"/>
              </w:rPr>
              <w:t>《</w:t>
            </w:r>
            <w:r>
              <w:rPr>
                <w:rFonts w:hint="eastAsia" w:ascii="宋体" w:hAnsi="宋体" w:eastAsia="仿宋"/>
                <w:sz w:val="24"/>
              </w:rPr>
              <w:t>关于发布参与实施政府采购节能产品、环境标志产品认证机构名录的公告</w:t>
            </w:r>
            <w:r>
              <w:rPr>
                <w:rFonts w:ascii="宋体" w:hAnsi="宋体" w:eastAsia="仿宋"/>
                <w:sz w:val="24"/>
              </w:rPr>
              <w:t>》</w:t>
            </w:r>
            <w:r>
              <w:rPr>
                <w:rFonts w:hint="eastAsia" w:ascii="宋体" w:hAnsi="宋体" w:eastAsia="仿宋"/>
                <w:sz w:val="24"/>
              </w:rPr>
              <w:t>（</w:t>
            </w:r>
            <w:r>
              <w:rPr>
                <w:rFonts w:ascii="宋体" w:hAnsi="宋体" w:eastAsia="仿宋"/>
                <w:sz w:val="24"/>
              </w:rPr>
              <w:t>市场监管总局2019年第16号</w:t>
            </w:r>
            <w:r>
              <w:rPr>
                <w:rFonts w:hint="eastAsia" w:ascii="宋体" w:hAnsi="宋体" w:eastAsia="仿宋"/>
                <w:sz w:val="24"/>
              </w:rPr>
              <w:t>）</w:t>
            </w:r>
            <w:r>
              <w:rPr>
                <w:rFonts w:ascii="宋体" w:hAnsi="宋体" w:eastAsia="仿宋"/>
                <w:sz w:val="24"/>
              </w:rPr>
              <w:t>，</w:t>
            </w:r>
            <w:r>
              <w:rPr>
                <w:rFonts w:hint="eastAsia" w:ascii="宋体" w:hAnsi="宋体" w:eastAsia="仿宋"/>
                <w:sz w:val="24"/>
              </w:rPr>
              <w:t>供应商</w:t>
            </w:r>
            <w:r>
              <w:rPr>
                <w:rFonts w:ascii="宋体" w:hAnsi="宋体" w:eastAsia="仿宋"/>
                <w:sz w:val="24"/>
              </w:rPr>
              <w:t>提供拟投产品在规定认证机构范围内的节字标志认证证书，方予以认定其所投产品为节能产品。</w:t>
            </w:r>
          </w:p>
        </w:tc>
      </w:tr>
      <w:tr w14:paraId="6C49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9808F10">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11.1.2</w:t>
            </w:r>
          </w:p>
        </w:tc>
        <w:tc>
          <w:tcPr>
            <w:tcW w:w="1581" w:type="dxa"/>
            <w:vAlign w:val="center"/>
          </w:tcPr>
          <w:p w14:paraId="1198D1B7">
            <w:pPr>
              <w:widowControl/>
              <w:adjustRightInd w:val="0"/>
              <w:snapToGrid w:val="0"/>
              <w:spacing w:line="288" w:lineRule="auto"/>
              <w:jc w:val="center"/>
              <w:rPr>
                <w:rFonts w:ascii="宋体" w:hAnsi="宋体"/>
                <w:color w:val="000000"/>
                <w:sz w:val="24"/>
              </w:rPr>
            </w:pPr>
            <w:r>
              <w:rPr>
                <w:rFonts w:hint="eastAsia" w:ascii="Calibri" w:hAnsi="Calibri" w:eastAsia="仿宋"/>
                <w:color w:val="000000"/>
                <w:sz w:val="24"/>
                <w:lang w:bidi="en-US"/>
              </w:rPr>
              <w:t>环境标志产品政府采购清单</w:t>
            </w:r>
          </w:p>
        </w:tc>
        <w:tc>
          <w:tcPr>
            <w:tcW w:w="7229" w:type="dxa"/>
          </w:tcPr>
          <w:p w14:paraId="09247612">
            <w:pPr>
              <w:widowControl/>
              <w:snapToGrid w:val="0"/>
              <w:spacing w:line="288" w:lineRule="auto"/>
              <w:jc w:val="left"/>
              <w:rPr>
                <w:rFonts w:ascii="宋体" w:hAnsi="宋体"/>
                <w:color w:val="000000"/>
                <w:sz w:val="24"/>
              </w:rPr>
            </w:pPr>
            <w:r>
              <w:rPr>
                <w:rFonts w:ascii="宋体" w:hAnsi="宋体" w:eastAsia="仿宋"/>
                <w:color w:val="000000"/>
                <w:sz w:val="24"/>
              </w:rPr>
              <w:t>根据</w:t>
            </w:r>
            <w:r>
              <w:rPr>
                <w:rFonts w:hint="eastAsia" w:ascii="宋体" w:hAnsi="宋体" w:eastAsia="仿宋"/>
                <w:color w:val="000000"/>
                <w:sz w:val="24"/>
              </w:rPr>
              <w:t>《关于印发环境标志产品政府采购品目清单的通知》（财库〔2019〕18号）、</w:t>
            </w:r>
            <w:r>
              <w:rPr>
                <w:rFonts w:ascii="宋体" w:hAnsi="宋体" w:eastAsia="仿宋"/>
                <w:color w:val="000000"/>
                <w:sz w:val="24"/>
              </w:rPr>
              <w:t>《</w:t>
            </w:r>
            <w:r>
              <w:rPr>
                <w:rFonts w:hint="eastAsia" w:ascii="宋体" w:hAnsi="宋体" w:eastAsia="仿宋"/>
                <w:color w:val="000000"/>
                <w:sz w:val="24"/>
              </w:rPr>
              <w:t>关于发布参与实施政府采购节能产品、环境标志产品认证机构名录的公告</w:t>
            </w:r>
            <w:r>
              <w:rPr>
                <w:rFonts w:ascii="宋体" w:hAnsi="宋体" w:eastAsia="仿宋"/>
                <w:color w:val="000000"/>
                <w:sz w:val="24"/>
              </w:rPr>
              <w:t>》</w:t>
            </w:r>
            <w:r>
              <w:rPr>
                <w:rFonts w:hint="eastAsia" w:ascii="宋体" w:hAnsi="宋体" w:eastAsia="仿宋"/>
                <w:color w:val="000000"/>
                <w:sz w:val="24"/>
              </w:rPr>
              <w:t>（市场监管总局</w:t>
            </w:r>
            <w:r>
              <w:rPr>
                <w:rFonts w:ascii="宋体" w:hAnsi="宋体" w:eastAsia="仿宋"/>
                <w:color w:val="000000"/>
                <w:sz w:val="24"/>
              </w:rPr>
              <w:t>2019年第16号</w:t>
            </w:r>
            <w:r>
              <w:rPr>
                <w:rFonts w:hint="eastAsia" w:ascii="宋体" w:hAnsi="宋体" w:eastAsia="仿宋"/>
                <w:color w:val="000000"/>
                <w:sz w:val="24"/>
              </w:rPr>
              <w:t>），在规定的认证机构范围内，供应商提供拟投产品环境标志认证证书的，方予以认定其所投产品为环境标志产品。</w:t>
            </w:r>
          </w:p>
        </w:tc>
      </w:tr>
      <w:tr w14:paraId="4532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0804CD00">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11.2.1</w:t>
            </w:r>
          </w:p>
        </w:tc>
        <w:tc>
          <w:tcPr>
            <w:tcW w:w="1581" w:type="dxa"/>
            <w:vAlign w:val="center"/>
          </w:tcPr>
          <w:p w14:paraId="5FFA093C">
            <w:pPr>
              <w:widowControl/>
              <w:adjustRightInd w:val="0"/>
              <w:snapToGrid w:val="0"/>
              <w:spacing w:line="288" w:lineRule="auto"/>
              <w:jc w:val="center"/>
              <w:rPr>
                <w:rFonts w:ascii="Calibri" w:hAnsi="Calibri" w:eastAsia="仿宋"/>
                <w:color w:val="000000"/>
                <w:sz w:val="24"/>
                <w:lang w:bidi="en-US"/>
              </w:rPr>
            </w:pPr>
            <w:r>
              <w:rPr>
                <w:rFonts w:hint="eastAsia" w:ascii="Calibri" w:hAnsi="Calibri" w:eastAsia="仿宋"/>
                <w:color w:val="000000"/>
                <w:sz w:val="24"/>
                <w:lang w:bidi="en-US"/>
              </w:rPr>
              <w:t>中小企业认定标准</w:t>
            </w:r>
          </w:p>
        </w:tc>
        <w:tc>
          <w:tcPr>
            <w:tcW w:w="7229" w:type="dxa"/>
          </w:tcPr>
          <w:p w14:paraId="137CA8BD">
            <w:pPr>
              <w:widowControl/>
              <w:snapToGrid w:val="0"/>
              <w:spacing w:line="288" w:lineRule="auto"/>
              <w:jc w:val="left"/>
              <w:rPr>
                <w:rFonts w:ascii="宋体" w:hAnsi="宋体" w:eastAsia="仿宋"/>
                <w:color w:val="000000"/>
                <w:sz w:val="24"/>
              </w:rPr>
            </w:pPr>
            <w:r>
              <w:rPr>
                <w:rFonts w:hint="eastAsia" w:ascii="宋体" w:hAnsi="宋体" w:eastAsia="仿宋"/>
                <w:sz w:val="24"/>
              </w:rPr>
              <w:t>根据工业和信息化部、国家统计局、国家发展和改革委员会、财政部《关于印发中小企业划型标准规定的通知》（工信部联企业〔2011〕300号），采购标的对应的中小企业划分标准所属行业见第三章“采购需求”。</w:t>
            </w:r>
          </w:p>
        </w:tc>
      </w:tr>
      <w:tr w14:paraId="1671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1ED9867">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11.2.3</w:t>
            </w:r>
          </w:p>
        </w:tc>
        <w:tc>
          <w:tcPr>
            <w:tcW w:w="1581" w:type="dxa"/>
            <w:vAlign w:val="center"/>
          </w:tcPr>
          <w:p w14:paraId="58943E5B">
            <w:pPr>
              <w:widowControl/>
              <w:adjustRightInd w:val="0"/>
              <w:snapToGrid w:val="0"/>
              <w:spacing w:line="288" w:lineRule="auto"/>
              <w:jc w:val="center"/>
              <w:rPr>
                <w:rFonts w:ascii="宋体" w:hAnsi="宋体" w:cs="Calibri"/>
                <w:sz w:val="24"/>
              </w:rPr>
            </w:pPr>
            <w:r>
              <w:rPr>
                <w:rFonts w:hint="eastAsia" w:ascii="宋体" w:hAnsi="宋体" w:eastAsia="仿宋" w:cs="Calibri"/>
                <w:sz w:val="24"/>
              </w:rPr>
              <w:t>价格扣除标准</w:t>
            </w:r>
          </w:p>
        </w:tc>
        <w:tc>
          <w:tcPr>
            <w:tcW w:w="7229" w:type="dxa"/>
            <w:vAlign w:val="center"/>
          </w:tcPr>
          <w:p w14:paraId="603F5395">
            <w:pPr>
              <w:widowControl/>
              <w:snapToGrid w:val="0"/>
              <w:spacing w:line="288" w:lineRule="auto"/>
              <w:jc w:val="left"/>
              <w:rPr>
                <w:rFonts w:ascii="宋体" w:hAnsi="宋体" w:eastAsia="仿宋"/>
                <w:sz w:val="24"/>
              </w:rPr>
            </w:pPr>
            <w:r>
              <w:rPr>
                <w:rFonts w:hint="eastAsia" w:ascii="宋体" w:hAnsi="宋体" w:eastAsia="仿宋"/>
                <w:sz w:val="24"/>
              </w:rPr>
              <w:t>未预留份额专门面向中小企业采购的采购项目，以及预留份额项目中的非预留部分采购包采购时，小微企业报价扣除比例：</w:t>
            </w:r>
          </w:p>
          <w:p w14:paraId="732FD8A8">
            <w:pPr>
              <w:widowControl/>
              <w:snapToGrid w:val="0"/>
              <w:spacing w:line="288" w:lineRule="auto"/>
              <w:jc w:val="left"/>
              <w:rPr>
                <w:rFonts w:ascii="楷体" w:hAnsi="楷体" w:eastAsia="仿宋" w:cs="Calibri"/>
                <w:sz w:val="24"/>
              </w:rPr>
            </w:pPr>
            <w:r>
              <w:rPr>
                <w:rFonts w:hint="eastAsia" w:ascii="楷体" w:hAnsi="楷体" w:eastAsia="仿宋" w:cs="Calibri"/>
                <w:sz w:val="24"/>
              </w:rPr>
              <w:t>（1）</w:t>
            </w:r>
            <w:r>
              <w:rPr>
                <w:rFonts w:hint="eastAsia" w:ascii="Calibri" w:hAnsi="Calibri" w:eastAsia="仿宋"/>
                <w:sz w:val="24"/>
                <w:lang w:bidi="en-US"/>
              </w:rPr>
              <w:t>小型和微型企业：</w:t>
            </w:r>
            <w:r>
              <w:rPr>
                <w:rFonts w:hint="eastAsia" w:ascii="楷体" w:hAnsi="楷体" w:eastAsia="仿宋" w:cs="Calibri"/>
                <w:sz w:val="24"/>
              </w:rPr>
              <w:t>/</w:t>
            </w:r>
          </w:p>
          <w:p w14:paraId="763F0508">
            <w:pPr>
              <w:widowControl/>
              <w:snapToGrid w:val="0"/>
              <w:spacing w:line="288" w:lineRule="auto"/>
              <w:jc w:val="left"/>
              <w:rPr>
                <w:rFonts w:ascii="宋体" w:hAnsi="宋体" w:eastAsia="仿宋"/>
                <w:sz w:val="24"/>
              </w:rPr>
            </w:pPr>
            <w:r>
              <w:rPr>
                <w:rFonts w:hint="eastAsia" w:ascii="Calibri" w:hAnsi="Calibri" w:eastAsia="仿宋"/>
                <w:sz w:val="24"/>
                <w:lang w:bidi="en-US"/>
              </w:rPr>
              <w:t>（2）</w:t>
            </w:r>
            <w:r>
              <w:rPr>
                <w:rFonts w:hint="eastAsia" w:ascii="宋体" w:hAnsi="宋体" w:eastAsia="仿宋"/>
                <w:sz w:val="24"/>
              </w:rPr>
              <w:t>对于联合协议或者分包意向协议约定小微企业的合同份额占到合同总金额30%时，对联合体或者大中型企业的报价的扣除比例：/</w:t>
            </w:r>
          </w:p>
          <w:p w14:paraId="1CEAF1D8">
            <w:pPr>
              <w:widowControl/>
              <w:snapToGrid w:val="0"/>
              <w:spacing w:line="288" w:lineRule="auto"/>
              <w:jc w:val="left"/>
              <w:rPr>
                <w:rFonts w:ascii="宋体" w:hAnsi="宋体" w:eastAsia="仿宋"/>
                <w:sz w:val="24"/>
              </w:rPr>
            </w:pPr>
            <w:r>
              <w:rPr>
                <w:rFonts w:hint="eastAsia" w:ascii="宋体" w:hAnsi="宋体" w:eastAsia="仿宋"/>
                <w:sz w:val="24"/>
              </w:rPr>
              <w:t>注：1.价格扣除举例说明：</w:t>
            </w:r>
            <w:r>
              <w:rPr>
                <w:rFonts w:ascii="宋体" w:hAnsi="宋体" w:eastAsia="仿宋"/>
                <w:sz w:val="24"/>
              </w:rPr>
              <w:t>某</w:t>
            </w:r>
            <w:r>
              <w:rPr>
                <w:rFonts w:hint="eastAsia" w:ascii="宋体" w:hAnsi="宋体" w:eastAsia="仿宋"/>
                <w:sz w:val="24"/>
              </w:rPr>
              <w:t>残疾人福利单位符合财库〔2017〕141号规定的政策支持单位，属于小微企业，其响应报价为</w:t>
            </w:r>
            <w:r>
              <w:rPr>
                <w:rFonts w:ascii="宋体" w:hAnsi="宋体" w:eastAsia="仿宋"/>
                <w:sz w:val="24"/>
              </w:rPr>
              <w:t>100万元，“扣除后的价格”为：100万元-100万元×</w:t>
            </w:r>
            <w:r>
              <w:rPr>
                <w:rFonts w:hint="eastAsia" w:ascii="宋体" w:hAnsi="宋体" w:eastAsia="仿宋"/>
                <w:sz w:val="24"/>
              </w:rPr>
              <w:t>扣除比例，用扣除后的价格参与评审。</w:t>
            </w:r>
          </w:p>
          <w:p w14:paraId="63CC3F2A">
            <w:pPr>
              <w:widowControl/>
              <w:snapToGrid w:val="0"/>
              <w:spacing w:line="288" w:lineRule="auto"/>
              <w:jc w:val="left"/>
              <w:rPr>
                <w:rFonts w:ascii="Calibri" w:hAnsi="Calibri"/>
                <w:sz w:val="24"/>
                <w:lang w:bidi="en-US"/>
              </w:rPr>
            </w:pPr>
            <w:r>
              <w:rPr>
                <w:rFonts w:hint="eastAsia" w:ascii="宋体" w:hAnsi="宋体" w:eastAsia="仿宋"/>
                <w:b/>
                <w:sz w:val="24"/>
              </w:rPr>
              <w:t>2.</w:t>
            </w:r>
            <w:r>
              <w:rPr>
                <w:rFonts w:hint="eastAsia" w:ascii="仿宋" w:hAnsi="仿宋" w:eastAsia="仿宋" w:cs="仿宋"/>
                <w:b/>
                <w:sz w:val="24"/>
              </w:rPr>
              <w:t>本项目将对成交供应商提供的《中小企业声明函》，随成交结果一并公布。如提供虚假材料，将取消成交资格并报相关部门按有关规定处理，并计入不良记录。</w:t>
            </w:r>
          </w:p>
        </w:tc>
      </w:tr>
      <w:tr w14:paraId="4BA8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30CA3A91">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11.3.2</w:t>
            </w:r>
          </w:p>
        </w:tc>
        <w:tc>
          <w:tcPr>
            <w:tcW w:w="1581" w:type="dxa"/>
            <w:vAlign w:val="center"/>
          </w:tcPr>
          <w:p w14:paraId="152283A9">
            <w:pPr>
              <w:widowControl/>
              <w:adjustRightInd w:val="0"/>
              <w:snapToGrid w:val="0"/>
              <w:spacing w:line="288" w:lineRule="auto"/>
              <w:jc w:val="center"/>
              <w:rPr>
                <w:rFonts w:ascii="宋体" w:hAnsi="宋体" w:cs="Calibri"/>
                <w:sz w:val="24"/>
              </w:rPr>
            </w:pPr>
            <w:r>
              <w:rPr>
                <w:rFonts w:hint="eastAsia" w:ascii="宋体" w:hAnsi="宋体" w:eastAsia="仿宋" w:cs="Calibri"/>
                <w:sz w:val="24"/>
              </w:rPr>
              <w:t>进口产品采购</w:t>
            </w:r>
          </w:p>
        </w:tc>
        <w:tc>
          <w:tcPr>
            <w:tcW w:w="7229" w:type="dxa"/>
            <w:vAlign w:val="center"/>
          </w:tcPr>
          <w:p w14:paraId="477AD5DE">
            <w:pPr>
              <w:widowControl/>
              <w:rPr>
                <w:rFonts w:ascii="楷体" w:hAnsi="楷体" w:eastAsia="仿宋" w:cs="Calibri"/>
                <w:sz w:val="24"/>
              </w:rPr>
            </w:pPr>
            <w:r>
              <w:rPr>
                <w:rFonts w:hint="eastAsia" w:ascii="楷体" w:hAnsi="楷体" w:eastAsia="仿宋" w:cs="Calibri"/>
                <w:sz w:val="24"/>
              </w:rPr>
              <w:t>☑</w:t>
            </w:r>
            <w:r>
              <w:rPr>
                <w:rFonts w:hint="eastAsia" w:ascii="楷体" w:hAnsi="楷体" w:eastAsia="仿宋"/>
                <w:bCs/>
                <w:sz w:val="24"/>
              </w:rPr>
              <w:t>本项目</w:t>
            </w:r>
            <w:r>
              <w:rPr>
                <w:rFonts w:hint="eastAsia" w:ascii="楷体" w:hAnsi="楷体" w:eastAsia="仿宋" w:cs="Calibri"/>
                <w:sz w:val="24"/>
              </w:rPr>
              <w:t>拒绝进口产品参加竞争性磋商</w:t>
            </w:r>
          </w:p>
          <w:p w14:paraId="6ABD13BC">
            <w:pPr>
              <w:widowControl/>
              <w:rPr>
                <w:rFonts w:ascii="宋体" w:hAnsi="宋体" w:cs="Calibri"/>
                <w:sz w:val="24"/>
              </w:rPr>
            </w:pPr>
            <w:r>
              <w:rPr>
                <w:rFonts w:hint="eastAsia" w:ascii="楷体" w:hAnsi="楷体" w:eastAsia="仿宋" w:cs="Calibri"/>
                <w:sz w:val="24"/>
              </w:rPr>
              <w:t>□本项目包含接受进口产品参加磋商的品目，具体要求</w:t>
            </w:r>
            <w:r>
              <w:rPr>
                <w:rFonts w:hint="eastAsia" w:ascii="宋体" w:hAnsi="宋体" w:eastAsia="仿宋" w:cs="Calibri"/>
                <w:sz w:val="24"/>
              </w:rPr>
              <w:t>详见第三章“采购需求”。</w:t>
            </w:r>
          </w:p>
        </w:tc>
      </w:tr>
      <w:tr w14:paraId="6EAD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5E6C9C0">
            <w:pPr>
              <w:widowControl/>
              <w:adjustRightInd w:val="0"/>
              <w:snapToGrid w:val="0"/>
              <w:spacing w:line="288" w:lineRule="auto"/>
              <w:jc w:val="center"/>
              <w:rPr>
                <w:rFonts w:ascii="宋体" w:hAnsi="宋体" w:eastAsia="仿宋" w:cs="Calibri"/>
                <w:b/>
                <w:sz w:val="24"/>
              </w:rPr>
            </w:pPr>
            <w:r>
              <w:rPr>
                <w:rFonts w:hint="eastAsia" w:ascii="宋体" w:hAnsi="宋体" w:eastAsia="仿宋" w:cs="Calibri"/>
                <w:bCs/>
                <w:sz w:val="24"/>
              </w:rPr>
              <w:t>11.3</w:t>
            </w:r>
          </w:p>
        </w:tc>
        <w:tc>
          <w:tcPr>
            <w:tcW w:w="1581" w:type="dxa"/>
            <w:vAlign w:val="center"/>
          </w:tcPr>
          <w:p w14:paraId="64AAE06E">
            <w:pPr>
              <w:widowControl/>
              <w:adjustRightInd w:val="0"/>
              <w:snapToGrid w:val="0"/>
              <w:spacing w:line="288" w:lineRule="auto"/>
              <w:jc w:val="center"/>
              <w:rPr>
                <w:rFonts w:ascii="宋体" w:hAnsi="宋体" w:cs="Calibri"/>
                <w:b/>
                <w:sz w:val="24"/>
              </w:rPr>
            </w:pPr>
            <w:r>
              <w:rPr>
                <w:rFonts w:hint="eastAsia" w:ascii="宋体" w:hAnsi="宋体" w:eastAsia="仿宋"/>
                <w:sz w:val="24"/>
                <w:lang w:bidi="en-US"/>
              </w:rPr>
              <w:t>其他政府采购政策</w:t>
            </w:r>
          </w:p>
        </w:tc>
        <w:tc>
          <w:tcPr>
            <w:tcW w:w="7229" w:type="dxa"/>
            <w:vAlign w:val="center"/>
          </w:tcPr>
          <w:p w14:paraId="7244BA8E">
            <w:pPr>
              <w:widowControl/>
              <w:adjustRightInd w:val="0"/>
              <w:snapToGrid w:val="0"/>
              <w:spacing w:line="288" w:lineRule="auto"/>
              <w:jc w:val="left"/>
              <w:rPr>
                <w:rFonts w:ascii="宋体" w:hAnsi="宋体" w:eastAsia="仿宋" w:cs="Calibri"/>
                <w:b/>
                <w:sz w:val="24"/>
              </w:rPr>
            </w:pPr>
            <w:r>
              <w:rPr>
                <w:rFonts w:hint="eastAsia" w:ascii="楷体" w:hAnsi="楷体" w:eastAsia="仿宋" w:cs="Calibri"/>
                <w:sz w:val="24"/>
              </w:rPr>
              <w:t>/</w:t>
            </w:r>
          </w:p>
        </w:tc>
      </w:tr>
      <w:tr w14:paraId="4420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4D40C88">
            <w:pPr>
              <w:widowControl/>
              <w:adjustRightInd w:val="0"/>
              <w:snapToGrid w:val="0"/>
              <w:spacing w:line="288" w:lineRule="auto"/>
              <w:jc w:val="center"/>
              <w:rPr>
                <w:rFonts w:ascii="宋体" w:hAnsi="宋体" w:cs="Calibri"/>
                <w:b/>
                <w:sz w:val="24"/>
              </w:rPr>
            </w:pPr>
            <w:r>
              <w:rPr>
                <w:rFonts w:hint="eastAsia" w:ascii="宋体" w:hAnsi="宋体" w:eastAsia="仿宋" w:cs="Calibri"/>
                <w:b/>
                <w:sz w:val="24"/>
              </w:rPr>
              <w:t>12</w:t>
            </w:r>
          </w:p>
        </w:tc>
        <w:tc>
          <w:tcPr>
            <w:tcW w:w="1581" w:type="dxa"/>
            <w:vAlign w:val="center"/>
          </w:tcPr>
          <w:p w14:paraId="341FF30F">
            <w:pPr>
              <w:widowControl/>
              <w:adjustRightInd w:val="0"/>
              <w:snapToGrid w:val="0"/>
              <w:spacing w:line="288" w:lineRule="auto"/>
              <w:jc w:val="center"/>
              <w:rPr>
                <w:rFonts w:ascii="宋体" w:hAnsi="宋体" w:cs="Calibri"/>
                <w:b/>
                <w:sz w:val="24"/>
              </w:rPr>
            </w:pPr>
          </w:p>
        </w:tc>
        <w:tc>
          <w:tcPr>
            <w:tcW w:w="7229" w:type="dxa"/>
            <w:vAlign w:val="center"/>
          </w:tcPr>
          <w:p w14:paraId="33E5A0D8">
            <w:pPr>
              <w:widowControl/>
              <w:adjustRightInd w:val="0"/>
              <w:snapToGrid w:val="0"/>
              <w:spacing w:line="288" w:lineRule="auto"/>
              <w:jc w:val="center"/>
              <w:rPr>
                <w:rFonts w:ascii="宋体" w:hAnsi="宋体"/>
                <w:b/>
                <w:sz w:val="24"/>
              </w:rPr>
            </w:pPr>
            <w:r>
              <w:rPr>
                <w:rFonts w:hint="eastAsia" w:ascii="宋体" w:hAnsi="宋体" w:eastAsia="仿宋" w:cs="Calibri"/>
                <w:b/>
                <w:sz w:val="24"/>
              </w:rPr>
              <w:t>需要补充的其他内容</w:t>
            </w:r>
          </w:p>
        </w:tc>
      </w:tr>
      <w:tr w14:paraId="62D6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7A98340">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12.1</w:t>
            </w:r>
          </w:p>
        </w:tc>
        <w:tc>
          <w:tcPr>
            <w:tcW w:w="1581" w:type="dxa"/>
            <w:vAlign w:val="center"/>
          </w:tcPr>
          <w:p w14:paraId="1B292ED0">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电子采购</w:t>
            </w:r>
          </w:p>
        </w:tc>
        <w:tc>
          <w:tcPr>
            <w:tcW w:w="7229" w:type="dxa"/>
          </w:tcPr>
          <w:p w14:paraId="20049ACB">
            <w:pPr>
              <w:widowControl/>
              <w:snapToGrid w:val="0"/>
              <w:spacing w:line="288" w:lineRule="auto"/>
              <w:jc w:val="left"/>
              <w:rPr>
                <w:rFonts w:ascii="宋体" w:hAnsi="宋体" w:cs="Calibri"/>
                <w:b/>
                <w:sz w:val="24"/>
              </w:rPr>
            </w:pPr>
            <w:r>
              <w:rPr>
                <w:rFonts w:hint="eastAsia" w:ascii="宋体" w:hAnsi="宋体" w:eastAsia="仿宋"/>
                <w:sz w:val="24"/>
              </w:rPr>
              <w:t>采用电子采购，</w:t>
            </w:r>
            <w:r>
              <w:rPr>
                <w:rFonts w:ascii="Calibri" w:hAnsi="Calibri" w:eastAsia="仿宋"/>
                <w:bCs/>
                <w:snapToGrid w:val="0"/>
                <w:kern w:val="0"/>
                <w:sz w:val="24"/>
              </w:rPr>
              <w:t>除</w:t>
            </w:r>
            <w:r>
              <w:rPr>
                <w:rFonts w:hint="eastAsia" w:ascii="Calibri" w:hAnsi="Calibri" w:eastAsia="仿宋"/>
                <w:bCs/>
                <w:snapToGrid w:val="0"/>
                <w:kern w:val="0"/>
                <w:sz w:val="24"/>
              </w:rPr>
              <w:t>竞争性磋商文件</w:t>
            </w:r>
            <w:r>
              <w:rPr>
                <w:rFonts w:ascii="Calibri" w:hAnsi="Calibri" w:eastAsia="仿宋"/>
                <w:bCs/>
                <w:snapToGrid w:val="0"/>
                <w:kern w:val="0"/>
                <w:sz w:val="24"/>
              </w:rPr>
              <w:t>另有规定外，电子</w:t>
            </w:r>
            <w:r>
              <w:rPr>
                <w:rFonts w:hint="eastAsia" w:ascii="Calibri" w:hAnsi="Calibri" w:eastAsia="仿宋"/>
                <w:bCs/>
                <w:snapToGrid w:val="0"/>
                <w:kern w:val="0"/>
                <w:sz w:val="24"/>
              </w:rPr>
              <w:t>采购</w:t>
            </w:r>
            <w:r>
              <w:rPr>
                <w:rFonts w:ascii="Calibri" w:hAnsi="Calibri" w:eastAsia="仿宋"/>
                <w:bCs/>
                <w:snapToGrid w:val="0"/>
                <w:kern w:val="0"/>
                <w:sz w:val="24"/>
              </w:rPr>
              <w:t>操作要求详见本章附件《</w:t>
            </w:r>
            <w:r>
              <w:rPr>
                <w:rFonts w:hint="eastAsia" w:ascii="Calibri" w:hAnsi="Calibri" w:eastAsia="仿宋"/>
                <w:bCs/>
                <w:snapToGrid w:val="0"/>
                <w:kern w:val="0"/>
                <w:sz w:val="24"/>
              </w:rPr>
              <w:t>全流程电子招标采购具体要求</w:t>
            </w:r>
            <w:r>
              <w:rPr>
                <w:rFonts w:ascii="Calibri" w:hAnsi="Calibri" w:eastAsia="仿宋"/>
                <w:bCs/>
                <w:snapToGrid w:val="0"/>
                <w:kern w:val="0"/>
                <w:sz w:val="24"/>
              </w:rPr>
              <w:t>》</w:t>
            </w:r>
            <w:r>
              <w:rPr>
                <w:rFonts w:hint="eastAsia" w:ascii="Calibri" w:hAnsi="Calibri" w:eastAsia="仿宋"/>
                <w:bCs/>
                <w:snapToGrid w:val="0"/>
                <w:kern w:val="0"/>
                <w:sz w:val="24"/>
              </w:rPr>
              <w:t>。</w:t>
            </w:r>
          </w:p>
        </w:tc>
      </w:tr>
      <w:tr w14:paraId="4795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6934536D">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12.2</w:t>
            </w:r>
          </w:p>
        </w:tc>
        <w:tc>
          <w:tcPr>
            <w:tcW w:w="1581" w:type="dxa"/>
            <w:vAlign w:val="center"/>
          </w:tcPr>
          <w:p w14:paraId="5205B97E">
            <w:pPr>
              <w:adjustRightInd w:val="0"/>
              <w:snapToGrid w:val="0"/>
              <w:spacing w:line="288" w:lineRule="auto"/>
              <w:jc w:val="center"/>
              <w:rPr>
                <w:rFonts w:ascii="宋体" w:hAnsi="宋体"/>
                <w:sz w:val="24"/>
              </w:rPr>
            </w:pPr>
            <w:r>
              <w:rPr>
                <w:rFonts w:hint="eastAsia" w:ascii="宋体" w:hAnsi="宋体" w:eastAsia="仿宋"/>
                <w:sz w:val="24"/>
              </w:rPr>
              <w:t>原则规定与定义</w:t>
            </w:r>
          </w:p>
        </w:tc>
        <w:tc>
          <w:tcPr>
            <w:tcW w:w="7229" w:type="dxa"/>
            <w:vAlign w:val="center"/>
          </w:tcPr>
          <w:p w14:paraId="6F1E7771">
            <w:pPr>
              <w:adjustRightInd w:val="0"/>
              <w:snapToGrid w:val="0"/>
              <w:spacing w:line="288" w:lineRule="auto"/>
              <w:jc w:val="left"/>
              <w:rPr>
                <w:rFonts w:ascii="宋体" w:hAnsi="宋体" w:eastAsia="仿宋"/>
                <w:sz w:val="24"/>
              </w:rPr>
            </w:pPr>
            <w:r>
              <w:rPr>
                <w:rFonts w:hint="eastAsia" w:ascii="宋体" w:hAnsi="宋体" w:eastAsia="仿宋"/>
                <w:sz w:val="24"/>
              </w:rPr>
              <w:t>（1）供应商</w:t>
            </w:r>
            <w:r>
              <w:rPr>
                <w:rFonts w:ascii="宋体" w:hAnsi="宋体" w:eastAsia="仿宋"/>
                <w:sz w:val="24"/>
              </w:rPr>
              <w:t>须知前附表是对</w:t>
            </w:r>
            <w:r>
              <w:rPr>
                <w:rFonts w:hint="eastAsia" w:ascii="宋体" w:hAnsi="宋体" w:eastAsia="仿宋"/>
                <w:sz w:val="24"/>
              </w:rPr>
              <w:t>供应商</w:t>
            </w:r>
            <w:r>
              <w:rPr>
                <w:rFonts w:ascii="宋体" w:hAnsi="宋体" w:eastAsia="仿宋"/>
                <w:sz w:val="24"/>
              </w:rPr>
              <w:t>须知正文部分对应条款的补充、细化，</w:t>
            </w:r>
            <w:r>
              <w:rPr>
                <w:rFonts w:hint="eastAsia" w:ascii="宋体" w:hAnsi="宋体" w:eastAsia="仿宋"/>
                <w:sz w:val="24"/>
              </w:rPr>
              <w:t>供应商</w:t>
            </w:r>
            <w:r>
              <w:rPr>
                <w:rFonts w:ascii="宋体" w:hAnsi="宋体" w:eastAsia="仿宋"/>
                <w:sz w:val="24"/>
              </w:rPr>
              <w:t>阅读时应与正文部分一并阅读，</w:t>
            </w:r>
            <w:r>
              <w:rPr>
                <w:rFonts w:hint="eastAsia" w:ascii="宋体" w:hAnsi="宋体" w:eastAsia="仿宋"/>
                <w:sz w:val="24"/>
              </w:rPr>
              <w:t>供应商</w:t>
            </w:r>
            <w:r>
              <w:rPr>
                <w:rFonts w:ascii="宋体" w:hAnsi="宋体" w:eastAsia="仿宋"/>
                <w:sz w:val="24"/>
              </w:rPr>
              <w:t>须知前附表与正文部分不一致处，应以</w:t>
            </w:r>
            <w:r>
              <w:rPr>
                <w:rFonts w:hint="eastAsia" w:ascii="宋体" w:hAnsi="宋体" w:eastAsia="仿宋"/>
                <w:sz w:val="24"/>
              </w:rPr>
              <w:t>供应商</w:t>
            </w:r>
            <w:r>
              <w:rPr>
                <w:rFonts w:ascii="宋体" w:hAnsi="宋体" w:eastAsia="仿宋"/>
                <w:sz w:val="24"/>
              </w:rPr>
              <w:t>须知前附表为准。</w:t>
            </w:r>
          </w:p>
          <w:p w14:paraId="2A7DA5D7">
            <w:pPr>
              <w:adjustRightInd w:val="0"/>
              <w:snapToGrid w:val="0"/>
              <w:spacing w:line="288" w:lineRule="auto"/>
              <w:jc w:val="left"/>
              <w:rPr>
                <w:rFonts w:ascii="宋体" w:hAnsi="宋体" w:eastAsia="仿宋"/>
                <w:sz w:val="24"/>
              </w:rPr>
            </w:pPr>
            <w:r>
              <w:rPr>
                <w:rFonts w:hint="eastAsia" w:ascii="宋体" w:hAnsi="宋体" w:eastAsia="仿宋"/>
                <w:sz w:val="24"/>
              </w:rPr>
              <w:t>（2）</w:t>
            </w:r>
            <w:r>
              <w:rPr>
                <w:rFonts w:ascii="宋体" w:hAnsi="宋体" w:eastAsia="仿宋"/>
                <w:sz w:val="24"/>
              </w:rPr>
              <w:t>“</w:t>
            </w:r>
            <w:r>
              <w:rPr>
                <w:rFonts w:ascii="宋体" w:hAnsi="宋体" w:eastAsia="仿宋"/>
                <w:sz w:val="24"/>
              </w:rPr>
              <w:sym w:font="Wingdings" w:char="F0FE"/>
            </w:r>
            <w:r>
              <w:rPr>
                <w:rFonts w:ascii="宋体" w:hAnsi="宋体" w:eastAsia="仿宋"/>
                <w:sz w:val="24"/>
              </w:rPr>
              <w:t>”符号表示本</w:t>
            </w:r>
            <w:r>
              <w:rPr>
                <w:rFonts w:hint="eastAsia" w:ascii="宋体" w:hAnsi="宋体" w:eastAsia="仿宋"/>
                <w:sz w:val="24"/>
              </w:rPr>
              <w:t>竞争性磋商文件</w:t>
            </w:r>
            <w:r>
              <w:rPr>
                <w:rFonts w:ascii="宋体" w:hAnsi="宋体" w:eastAsia="仿宋"/>
                <w:sz w:val="24"/>
              </w:rPr>
              <w:t>选定的内容；“</w:t>
            </w:r>
            <w:r>
              <w:rPr>
                <w:rFonts w:hint="eastAsia" w:ascii="宋体" w:hAnsi="宋体" w:eastAsia="仿宋"/>
                <w:sz w:val="24"/>
              </w:rPr>
              <w:t>□</w:t>
            </w:r>
            <w:r>
              <w:rPr>
                <w:rFonts w:ascii="宋体" w:hAnsi="宋体" w:eastAsia="仿宋"/>
                <w:sz w:val="24"/>
              </w:rPr>
              <w:t>”符号表示本</w:t>
            </w:r>
            <w:r>
              <w:rPr>
                <w:rFonts w:hint="eastAsia" w:ascii="宋体" w:hAnsi="宋体" w:eastAsia="仿宋"/>
                <w:sz w:val="24"/>
              </w:rPr>
              <w:t>竞争性磋商文件</w:t>
            </w:r>
            <w:r>
              <w:rPr>
                <w:rFonts w:ascii="宋体" w:hAnsi="宋体" w:eastAsia="仿宋"/>
                <w:sz w:val="24"/>
              </w:rPr>
              <w:t>未选定的内容；空格中的“/”表示没有具体内容。</w:t>
            </w:r>
            <w:r>
              <w:rPr>
                <w:rFonts w:hint="eastAsia" w:ascii="宋体" w:hAnsi="宋体" w:eastAsia="仿宋"/>
                <w:sz w:val="24"/>
              </w:rPr>
              <w:t>供应商</w:t>
            </w:r>
            <w:r>
              <w:rPr>
                <w:rFonts w:ascii="宋体" w:hAnsi="宋体" w:eastAsia="仿宋"/>
                <w:sz w:val="24"/>
              </w:rPr>
              <w:t>请按“</w:t>
            </w:r>
            <w:r>
              <w:rPr>
                <w:rFonts w:ascii="宋体" w:hAnsi="宋体" w:eastAsia="仿宋"/>
                <w:sz w:val="24"/>
              </w:rPr>
              <w:sym w:font="Wingdings" w:char="F0FE"/>
            </w:r>
            <w:r>
              <w:rPr>
                <w:rFonts w:ascii="宋体" w:hAnsi="宋体" w:eastAsia="仿宋"/>
                <w:sz w:val="24"/>
              </w:rPr>
              <w:t>符号”选定的内容和要求参加</w:t>
            </w:r>
            <w:r>
              <w:rPr>
                <w:rFonts w:hint="eastAsia" w:ascii="Calibri" w:hAnsi="Calibri" w:eastAsia="仿宋"/>
                <w:sz w:val="24"/>
              </w:rPr>
              <w:t>采购活动</w:t>
            </w:r>
            <w:r>
              <w:rPr>
                <w:rFonts w:ascii="宋体" w:hAnsi="宋体" w:eastAsia="仿宋"/>
                <w:sz w:val="24"/>
              </w:rPr>
              <w:t>。</w:t>
            </w:r>
          </w:p>
          <w:p w14:paraId="5F95A326">
            <w:pPr>
              <w:adjustRightInd w:val="0"/>
              <w:snapToGrid w:val="0"/>
              <w:spacing w:line="288" w:lineRule="auto"/>
              <w:jc w:val="left"/>
              <w:rPr>
                <w:rFonts w:ascii="宋体" w:hAnsi="宋体"/>
                <w:sz w:val="24"/>
              </w:rPr>
            </w:pPr>
            <w:r>
              <w:rPr>
                <w:rFonts w:hint="eastAsia" w:ascii="宋体" w:hAnsi="宋体" w:eastAsia="仿宋"/>
                <w:sz w:val="24"/>
              </w:rPr>
              <w:t>（3）与合同履行有关条款中注明的“甲方”、“买方”，在采购阶段按“采购人”理解；注明的“乙方”、“卖方”，按“供应商”理解。</w:t>
            </w:r>
          </w:p>
        </w:tc>
      </w:tr>
      <w:tr w14:paraId="0797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4482C70">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12.3</w:t>
            </w:r>
          </w:p>
        </w:tc>
        <w:tc>
          <w:tcPr>
            <w:tcW w:w="1581" w:type="dxa"/>
            <w:vAlign w:val="center"/>
          </w:tcPr>
          <w:p w14:paraId="32068D27">
            <w:pPr>
              <w:widowControl/>
              <w:adjustRightInd w:val="0"/>
              <w:snapToGrid w:val="0"/>
              <w:spacing w:line="288" w:lineRule="auto"/>
              <w:jc w:val="center"/>
              <w:rPr>
                <w:rFonts w:ascii="宋体" w:hAnsi="宋体" w:cs="Calibri"/>
                <w:sz w:val="24"/>
              </w:rPr>
            </w:pPr>
            <w:r>
              <w:rPr>
                <w:rFonts w:hint="eastAsia" w:ascii="宋体" w:hAnsi="宋体" w:eastAsia="仿宋" w:cs="Calibri"/>
                <w:sz w:val="24"/>
              </w:rPr>
              <w:t>知识产权</w:t>
            </w:r>
          </w:p>
        </w:tc>
        <w:tc>
          <w:tcPr>
            <w:tcW w:w="7229" w:type="dxa"/>
          </w:tcPr>
          <w:p w14:paraId="465637C8">
            <w:pPr>
              <w:adjustRightInd w:val="0"/>
              <w:snapToGrid w:val="0"/>
              <w:spacing w:line="288" w:lineRule="auto"/>
              <w:jc w:val="left"/>
              <w:rPr>
                <w:rFonts w:ascii="仿宋" w:hAnsi="仿宋" w:eastAsia="仿宋" w:cs="仿宋"/>
                <w:sz w:val="24"/>
              </w:rPr>
            </w:pPr>
            <w:r>
              <w:rPr>
                <w:rFonts w:hint="eastAsia" w:ascii="仿宋" w:hAnsi="仿宋" w:eastAsia="仿宋" w:cs="仿宋"/>
                <w:sz w:val="24"/>
              </w:rPr>
              <w:t>（1）构成本竞争性磋商文件各个组成部分的文件，未经采购人书面同意，供应商不得擅自复印和用于非本招标采购项目所需的其他目的。如因此导致采购人损失的，供应商须承担全部赔偿责任。</w:t>
            </w:r>
          </w:p>
          <w:p w14:paraId="1401355B">
            <w:pPr>
              <w:adjustRightInd w:val="0"/>
              <w:snapToGrid w:val="0"/>
              <w:spacing w:line="288" w:lineRule="auto"/>
              <w:jc w:val="left"/>
              <w:rPr>
                <w:rFonts w:ascii="宋体" w:hAnsi="宋体"/>
                <w:sz w:val="24"/>
              </w:rPr>
            </w:pPr>
            <w:r>
              <w:rPr>
                <w:rFonts w:hint="eastAsia" w:ascii="仿宋" w:hAnsi="仿宋" w:eastAsia="仿宋" w:cs="仿宋"/>
                <w:sz w:val="24"/>
              </w:rPr>
              <w:t>（2）采购人在中华人民共和国境内使用成交货物（服务）、资料、技术、服务或其任何一部分时，履行合同义务后，享有不受限制的无偿使用权，不会产生因第三方提出侵犯其专利权、商标权或其它知识产权而引起的法律或经济纠纷。如供应商不拥有相应的知识产权，则在响应报价中必须包括合法获取该知识产权的一切相关费用。如因此导致采购人损失的，供应商须承担全部赔偿责任。</w:t>
            </w:r>
          </w:p>
        </w:tc>
      </w:tr>
      <w:tr w14:paraId="0F67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76D9D4CC">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12.4</w:t>
            </w:r>
          </w:p>
        </w:tc>
        <w:tc>
          <w:tcPr>
            <w:tcW w:w="1581" w:type="dxa"/>
            <w:vAlign w:val="center"/>
          </w:tcPr>
          <w:p w14:paraId="68B7D3A0">
            <w:pPr>
              <w:widowControl/>
              <w:adjustRightInd w:val="0"/>
              <w:snapToGrid w:val="0"/>
              <w:spacing w:line="288" w:lineRule="auto"/>
              <w:jc w:val="center"/>
              <w:rPr>
                <w:rFonts w:ascii="宋体" w:hAnsi="宋体" w:cs="Calibri"/>
                <w:sz w:val="24"/>
              </w:rPr>
            </w:pPr>
            <w:r>
              <w:rPr>
                <w:rFonts w:hint="eastAsia" w:ascii="宋体" w:hAnsi="宋体" w:eastAsia="仿宋"/>
                <w:sz w:val="24"/>
              </w:rPr>
              <w:t>投标/响应专用章、业务专用章等效力规定</w:t>
            </w:r>
          </w:p>
        </w:tc>
        <w:tc>
          <w:tcPr>
            <w:tcW w:w="7229" w:type="dxa"/>
            <w:vAlign w:val="center"/>
          </w:tcPr>
          <w:p w14:paraId="24898505">
            <w:pPr>
              <w:widowControl/>
              <w:snapToGrid w:val="0"/>
              <w:spacing w:line="288" w:lineRule="auto"/>
              <w:jc w:val="left"/>
              <w:rPr>
                <w:rFonts w:ascii="宋体" w:hAnsi="宋体"/>
                <w:sz w:val="24"/>
              </w:rPr>
            </w:pPr>
            <w:r>
              <w:rPr>
                <w:rFonts w:hint="eastAsia" w:ascii="宋体" w:hAnsi="宋体" w:eastAsia="仿宋"/>
                <w:sz w:val="24"/>
              </w:rPr>
              <w:t>竞争性磋商文件中明确要求加盖公章的，供应商必须加盖供应商公章。在有授权文件(原件)表明投标/响应专用章、业务专用章等法律效力等同于供应商公章的情况下，可以加盖投标/响应专用章或业务专用章，否则将导致</w:t>
            </w:r>
            <w:r>
              <w:rPr>
                <w:rFonts w:hint="eastAsia" w:ascii="Calibri" w:hAnsi="Calibri" w:eastAsia="仿宋"/>
                <w:sz w:val="24"/>
              </w:rPr>
              <w:t>响应</w:t>
            </w:r>
            <w:r>
              <w:rPr>
                <w:rFonts w:hint="eastAsia" w:ascii="宋体" w:hAnsi="宋体" w:eastAsia="仿宋"/>
                <w:sz w:val="24"/>
              </w:rPr>
              <w:t>无效。</w:t>
            </w:r>
          </w:p>
        </w:tc>
      </w:tr>
      <w:tr w14:paraId="2027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4C01A309">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12.5</w:t>
            </w:r>
          </w:p>
        </w:tc>
        <w:tc>
          <w:tcPr>
            <w:tcW w:w="1581" w:type="dxa"/>
            <w:vAlign w:val="center"/>
          </w:tcPr>
          <w:p w14:paraId="5572D34D">
            <w:pPr>
              <w:widowControl/>
              <w:snapToGrid w:val="0"/>
              <w:spacing w:line="288" w:lineRule="auto"/>
              <w:jc w:val="center"/>
              <w:rPr>
                <w:rFonts w:ascii="宋体" w:hAnsi="宋体" w:cs="Calibri"/>
                <w:b/>
                <w:sz w:val="24"/>
              </w:rPr>
            </w:pPr>
            <w:r>
              <w:rPr>
                <w:rFonts w:hint="eastAsia" w:ascii="宋体" w:hAnsi="宋体" w:eastAsia="仿宋"/>
                <w:sz w:val="24"/>
              </w:rPr>
              <w:t>多包</w:t>
            </w:r>
            <w:r>
              <w:rPr>
                <w:rFonts w:hint="eastAsia" w:ascii="Calibri" w:hAnsi="Calibri" w:eastAsia="仿宋"/>
                <w:sz w:val="24"/>
              </w:rPr>
              <w:t>响应</w:t>
            </w:r>
            <w:r>
              <w:rPr>
                <w:rFonts w:hint="eastAsia" w:ascii="宋体" w:hAnsi="宋体" w:eastAsia="仿宋"/>
                <w:sz w:val="24"/>
              </w:rPr>
              <w:t>、多包成交的规定</w:t>
            </w:r>
          </w:p>
        </w:tc>
        <w:tc>
          <w:tcPr>
            <w:tcW w:w="7229" w:type="dxa"/>
            <w:vAlign w:val="center"/>
          </w:tcPr>
          <w:p w14:paraId="715DB77C">
            <w:pPr>
              <w:widowControl/>
              <w:snapToGrid w:val="0"/>
              <w:spacing w:line="288" w:lineRule="auto"/>
              <w:jc w:val="left"/>
              <w:rPr>
                <w:rFonts w:ascii="仿宋" w:hAnsi="仿宋" w:eastAsia="仿宋" w:cs="Calibri"/>
                <w:sz w:val="24"/>
              </w:rPr>
            </w:pPr>
            <w:r>
              <w:rPr>
                <w:rFonts w:hint="eastAsia" w:ascii="仿宋" w:hAnsi="仿宋" w:eastAsia="仿宋" w:cs="Calibri"/>
                <w:sz w:val="24"/>
              </w:rPr>
              <w:t>☑</w:t>
            </w:r>
            <w:r>
              <w:rPr>
                <w:rFonts w:hint="eastAsia" w:ascii="仿宋" w:hAnsi="仿宋" w:eastAsia="仿宋" w:cs="仿宋"/>
                <w:kern w:val="0"/>
                <w:sz w:val="24"/>
                <w:lang w:bidi="ar"/>
              </w:rPr>
              <w:t>本项目不适用</w:t>
            </w:r>
          </w:p>
          <w:p w14:paraId="5BA0D3EC">
            <w:pPr>
              <w:widowControl/>
              <w:snapToGrid w:val="0"/>
              <w:spacing w:line="288" w:lineRule="auto"/>
              <w:jc w:val="left"/>
              <w:rPr>
                <w:rFonts w:ascii="仿宋" w:hAnsi="仿宋" w:eastAsia="仿宋" w:cs="Calibri"/>
                <w:sz w:val="24"/>
              </w:rPr>
            </w:pPr>
            <w:r>
              <w:rPr>
                <w:rFonts w:hint="eastAsia" w:ascii="仿宋" w:hAnsi="仿宋" w:eastAsia="仿宋" w:cs="Calibri"/>
                <w:sz w:val="24"/>
              </w:rPr>
              <w:t>□供应商可对本项目一个或多个包进行</w:t>
            </w:r>
            <w:r>
              <w:rPr>
                <w:rFonts w:hint="eastAsia" w:ascii="Calibri" w:hAnsi="Calibri" w:eastAsia="仿宋"/>
                <w:sz w:val="24"/>
              </w:rPr>
              <w:t>响应</w:t>
            </w:r>
            <w:r>
              <w:rPr>
                <w:rFonts w:hint="eastAsia" w:ascii="仿宋" w:hAnsi="仿宋" w:eastAsia="仿宋" w:cs="Calibri"/>
                <w:sz w:val="24"/>
              </w:rPr>
              <w:t>，也可获得多个包的合同。</w:t>
            </w:r>
          </w:p>
          <w:p w14:paraId="0833E175">
            <w:pPr>
              <w:widowControl/>
              <w:snapToGrid w:val="0"/>
              <w:spacing w:line="288" w:lineRule="auto"/>
              <w:jc w:val="left"/>
              <w:rPr>
                <w:rFonts w:ascii="Calibri" w:hAnsi="Calibri"/>
              </w:rPr>
            </w:pPr>
            <w:r>
              <w:rPr>
                <w:rFonts w:hint="eastAsia" w:ascii="仿宋" w:hAnsi="仿宋" w:eastAsia="仿宋" w:cs="Calibri"/>
                <w:sz w:val="24"/>
              </w:rPr>
              <w:t>□</w:t>
            </w:r>
            <w:r>
              <w:rPr>
                <w:rFonts w:hint="eastAsia" w:ascii="仿宋" w:hAnsi="仿宋" w:eastAsia="仿宋"/>
                <w:sz w:val="24"/>
              </w:rPr>
              <w:t>本项目评审时按“第1包→第2包→第3包”的包号递增顺序评审。</w:t>
            </w:r>
            <w:r>
              <w:rPr>
                <w:rFonts w:hint="eastAsia" w:ascii="仿宋" w:hAnsi="仿宋" w:eastAsia="仿宋" w:cs="Calibri"/>
                <w:sz w:val="24"/>
              </w:rPr>
              <w:t>供应商可对本项目一个或多个包进行</w:t>
            </w:r>
            <w:r>
              <w:rPr>
                <w:rFonts w:hint="eastAsia" w:ascii="Calibri" w:hAnsi="Calibri" w:eastAsia="仿宋"/>
                <w:sz w:val="24"/>
              </w:rPr>
              <w:t>响应</w:t>
            </w:r>
            <w:r>
              <w:rPr>
                <w:rFonts w:hint="eastAsia" w:ascii="仿宋" w:hAnsi="仿宋" w:eastAsia="仿宋"/>
                <w:sz w:val="24"/>
              </w:rPr>
              <w:t>，但只能在单个采购包中取得成交资格，且在后续采购包的评审中均视为无效供应商。如某采购包因成交供应商放弃成交资格、质疑或投诉等原因导致评审结果变更的，不影响其他包评审结果，也不受多投单中规则影响。</w:t>
            </w:r>
          </w:p>
        </w:tc>
      </w:tr>
      <w:tr w14:paraId="35C4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1CFBBA4B">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12.6</w:t>
            </w:r>
          </w:p>
        </w:tc>
        <w:tc>
          <w:tcPr>
            <w:tcW w:w="1581" w:type="dxa"/>
            <w:vAlign w:val="center"/>
          </w:tcPr>
          <w:p w14:paraId="644E313A">
            <w:pPr>
              <w:widowControl/>
              <w:adjustRightInd w:val="0"/>
              <w:snapToGrid w:val="0"/>
              <w:spacing w:line="288" w:lineRule="auto"/>
              <w:jc w:val="center"/>
              <w:rPr>
                <w:rFonts w:ascii="仿宋" w:hAnsi="仿宋" w:eastAsia="仿宋" w:cs="仿宋"/>
                <w:sz w:val="24"/>
              </w:rPr>
            </w:pPr>
            <w:r>
              <w:rPr>
                <w:rFonts w:hint="eastAsia" w:ascii="仿宋" w:hAnsi="仿宋" w:eastAsia="仿宋" w:cs="仿宋"/>
                <w:sz w:val="24"/>
              </w:rPr>
              <w:t>相关提示</w:t>
            </w:r>
          </w:p>
        </w:tc>
        <w:tc>
          <w:tcPr>
            <w:tcW w:w="7229" w:type="dxa"/>
            <w:vAlign w:val="center"/>
          </w:tcPr>
          <w:p w14:paraId="6BD0BBE3">
            <w:pPr>
              <w:widowControl/>
              <w:snapToGrid w:val="0"/>
              <w:spacing w:line="288" w:lineRule="auto"/>
              <w:jc w:val="left"/>
              <w:rPr>
                <w:rFonts w:ascii="仿宋" w:hAnsi="仿宋" w:eastAsia="仿宋" w:cs="仿宋"/>
                <w:sz w:val="24"/>
              </w:rPr>
            </w:pPr>
            <w:r>
              <w:rPr>
                <w:rFonts w:hint="eastAsia" w:ascii="仿宋" w:hAnsi="仿宋" w:eastAsia="仿宋" w:cs="仿宋"/>
                <w:sz w:val="24"/>
              </w:rPr>
              <w:t>（1）竞争性磋商文件中所称时间均指北京时间，采用电子采购时，以交易平台时间为准。</w:t>
            </w:r>
          </w:p>
          <w:p w14:paraId="3AB1FF49">
            <w:pPr>
              <w:widowControl/>
              <w:snapToGrid w:val="0"/>
              <w:spacing w:line="288" w:lineRule="auto"/>
              <w:jc w:val="left"/>
              <w:rPr>
                <w:rFonts w:ascii="仿宋" w:hAnsi="仿宋" w:eastAsia="仿宋" w:cs="仿宋"/>
                <w:sz w:val="24"/>
              </w:rPr>
            </w:pPr>
            <w:r>
              <w:rPr>
                <w:rFonts w:hint="eastAsia" w:ascii="仿宋" w:hAnsi="仿宋" w:eastAsia="仿宋" w:cs="仿宋"/>
                <w:sz w:val="24"/>
              </w:rPr>
              <w:t>（2）供应商应注意规定的开启响应文件的地点和提交首次响应文件截止时间，为了使政府采购工作有条不紊进行，避免因网络等问题导致响应文件无法按时加密并提交的情况发生，建议供应商提前30分钟做好准备工作。</w:t>
            </w:r>
          </w:p>
          <w:p w14:paraId="1A2518E1">
            <w:pPr>
              <w:widowControl/>
              <w:snapToGrid w:val="0"/>
              <w:spacing w:line="288" w:lineRule="auto"/>
              <w:jc w:val="left"/>
              <w:rPr>
                <w:rFonts w:ascii="仿宋" w:hAnsi="仿宋" w:eastAsia="仿宋" w:cs="仿宋"/>
                <w:sz w:val="24"/>
              </w:rPr>
            </w:pPr>
            <w:r>
              <w:rPr>
                <w:rFonts w:hint="eastAsia" w:ascii="仿宋" w:hAnsi="仿宋" w:eastAsia="仿宋" w:cs="仿宋"/>
                <w:sz w:val="24"/>
              </w:rPr>
              <w:t>（3）本项目保证金账户采用虚拟账号，每个项目均不同，同一个项目不同标包也不同。参与磋商的标包应与磋商保证金相匹配。如项目采购失败再次采购时，保证金账号也会发生变化。请供应商仔细核对账户信息。</w:t>
            </w:r>
          </w:p>
        </w:tc>
      </w:tr>
      <w:tr w14:paraId="5A9C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4BE6030">
            <w:pPr>
              <w:widowControl/>
              <w:adjustRightInd w:val="0"/>
              <w:snapToGrid w:val="0"/>
              <w:spacing w:line="288" w:lineRule="auto"/>
              <w:jc w:val="center"/>
              <w:rPr>
                <w:rFonts w:ascii="宋体" w:hAnsi="宋体" w:cs="Calibri"/>
                <w:sz w:val="24"/>
              </w:rPr>
            </w:pPr>
            <w:r>
              <w:rPr>
                <w:rFonts w:hint="eastAsia" w:ascii="宋体" w:hAnsi="宋体" w:eastAsia="仿宋" w:cs="Calibri"/>
                <w:sz w:val="24"/>
              </w:rPr>
              <w:t>12.7</w:t>
            </w:r>
          </w:p>
        </w:tc>
        <w:tc>
          <w:tcPr>
            <w:tcW w:w="1581" w:type="dxa"/>
            <w:vAlign w:val="center"/>
          </w:tcPr>
          <w:p w14:paraId="63CEF758">
            <w:pPr>
              <w:widowControl/>
              <w:adjustRightInd w:val="0"/>
              <w:snapToGrid w:val="0"/>
              <w:spacing w:line="288" w:lineRule="auto"/>
              <w:jc w:val="center"/>
              <w:rPr>
                <w:rFonts w:ascii="宋体" w:hAnsi="宋体" w:cs="Calibri"/>
                <w:sz w:val="24"/>
              </w:rPr>
            </w:pPr>
            <w:r>
              <w:rPr>
                <w:rFonts w:hint="eastAsia" w:ascii="宋体" w:hAnsi="宋体" w:eastAsia="仿宋" w:cs="Calibri"/>
                <w:sz w:val="24"/>
              </w:rPr>
              <w:t>竞争性磋商文件的解释</w:t>
            </w:r>
          </w:p>
        </w:tc>
        <w:tc>
          <w:tcPr>
            <w:tcW w:w="7229" w:type="dxa"/>
          </w:tcPr>
          <w:p w14:paraId="52EF0521">
            <w:pPr>
              <w:widowControl/>
              <w:adjustRightInd w:val="0"/>
              <w:snapToGrid w:val="0"/>
              <w:spacing w:line="288" w:lineRule="auto"/>
              <w:rPr>
                <w:rFonts w:ascii="宋体" w:hAnsi="宋体"/>
                <w:sz w:val="24"/>
              </w:rPr>
            </w:pPr>
            <w:r>
              <w:rPr>
                <w:rFonts w:hint="eastAsia" w:ascii="Calibri" w:hAnsi="Calibri" w:eastAsia="仿宋"/>
                <w:sz w:val="24"/>
              </w:rPr>
              <w:t>构成本竞争性磋商文件的各个组成文件应互为解释，互为说明；如有不明确或不一致，除竞争性磋商文件中有特别规定外，仅适用于竞争性磋商阶段规定的，按竞争性磋商公告、供应商须知、磋商和评审办法、响应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Calibri" w:hAnsi="Calibri" w:eastAsia="仿宋"/>
                <w:bCs/>
                <w:sz w:val="24"/>
              </w:rPr>
              <w:t>由采购人和采购代理机构负责解释。</w:t>
            </w:r>
          </w:p>
        </w:tc>
      </w:tr>
      <w:tr w14:paraId="2D5E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vAlign w:val="center"/>
          </w:tcPr>
          <w:p w14:paraId="5F94D767">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12.8</w:t>
            </w:r>
          </w:p>
        </w:tc>
        <w:tc>
          <w:tcPr>
            <w:tcW w:w="1581" w:type="dxa"/>
            <w:vAlign w:val="center"/>
          </w:tcPr>
          <w:p w14:paraId="3D00A77D">
            <w:pPr>
              <w:widowControl/>
              <w:adjustRightInd w:val="0"/>
              <w:snapToGrid w:val="0"/>
              <w:spacing w:line="288" w:lineRule="auto"/>
              <w:jc w:val="center"/>
              <w:rPr>
                <w:rFonts w:ascii="宋体" w:hAnsi="宋体" w:eastAsia="仿宋" w:cs="Calibri"/>
                <w:sz w:val="24"/>
              </w:rPr>
            </w:pPr>
            <w:r>
              <w:rPr>
                <w:rFonts w:hint="eastAsia" w:ascii="宋体" w:hAnsi="宋体" w:eastAsia="仿宋" w:cs="Calibri"/>
                <w:sz w:val="24"/>
              </w:rPr>
              <w:t>“政采贷”融资指引</w:t>
            </w:r>
          </w:p>
        </w:tc>
        <w:tc>
          <w:tcPr>
            <w:tcW w:w="7229" w:type="dxa"/>
          </w:tcPr>
          <w:p w14:paraId="35B9AA69">
            <w:pPr>
              <w:widowControl/>
              <w:adjustRightInd w:val="0"/>
              <w:snapToGrid w:val="0"/>
              <w:spacing w:line="288" w:lineRule="auto"/>
              <w:rPr>
                <w:rFonts w:ascii="宋体" w:hAnsi="宋体" w:eastAsia="仿宋"/>
                <w:sz w:val="24"/>
              </w:rPr>
            </w:pPr>
            <w:r>
              <w:rPr>
                <w:rFonts w:hint="eastAsia" w:ascii="宋体" w:hAnsi="宋体" w:eastAsia="仿宋"/>
                <w:sz w:val="24"/>
              </w:rPr>
              <w:t>有融资需求的供应商在取得政府采购中标或成交通知书后，可访问安徽省政府采购网“融资/保函”栏目，查看和联系第三方平台或者金融机构，商洽融资事项，确定融资意向。</w:t>
            </w:r>
          </w:p>
          <w:p w14:paraId="07CD1542">
            <w:pPr>
              <w:widowControl/>
              <w:adjustRightInd w:val="0"/>
              <w:snapToGrid w:val="0"/>
              <w:spacing w:line="288" w:lineRule="auto"/>
              <w:rPr>
                <w:rFonts w:ascii="宋体" w:hAnsi="宋体" w:eastAsia="仿宋"/>
                <w:sz w:val="24"/>
              </w:rPr>
            </w:pPr>
            <w:r>
              <w:rPr>
                <w:rFonts w:hint="eastAsia" w:ascii="宋体" w:hAnsi="宋体" w:eastAsia="仿宋"/>
                <w:sz w:val="24"/>
              </w:rPr>
              <w:t>供应商签署政府采购中标（成交）合同后，登录“徽采云”金融服务模块，选择意向产品进行申请，并填写相关信息，“徽采云”金融服务模块将供应商融资申请信息推送第三方平台、意向金融机构。</w:t>
            </w:r>
          </w:p>
        </w:tc>
      </w:tr>
    </w:tbl>
    <w:p w14:paraId="293DA950">
      <w:pPr>
        <w:widowControl/>
        <w:spacing w:line="360" w:lineRule="auto"/>
        <w:rPr>
          <w:rFonts w:ascii="宋体" w:hAnsi="宋体" w:eastAsia="仿宋" w:cs="Calibri"/>
          <w:b/>
          <w:bCs/>
          <w:sz w:val="24"/>
        </w:rPr>
      </w:pPr>
    </w:p>
    <w:p w14:paraId="7FF8E8BA">
      <w:pPr>
        <w:widowControl/>
        <w:rPr>
          <w:rStyle w:val="103"/>
          <w:rFonts w:ascii="宋体" w:hAnsi="宋体" w:eastAsia="仿宋"/>
          <w:bCs w:val="0"/>
          <w:sz w:val="24"/>
          <w:szCs w:val="24"/>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bookmarkEnd w:id="33"/>
    <w:bookmarkEnd w:id="34"/>
    <w:bookmarkEnd w:id="35"/>
    <w:bookmarkEnd w:id="36"/>
    <w:p w14:paraId="6BCE7D31">
      <w:pPr>
        <w:pStyle w:val="3"/>
        <w:rPr>
          <w:rStyle w:val="103"/>
          <w:rFonts w:ascii="宋体" w:hAnsi="宋体" w:eastAsia="仿宋"/>
          <w:b/>
          <w:bCs/>
          <w:sz w:val="24"/>
          <w:szCs w:val="24"/>
        </w:rPr>
      </w:pPr>
      <w:bookmarkStart w:id="40" w:name="_Toc455587216"/>
      <w:bookmarkStart w:id="41" w:name="_Toc333599658"/>
      <w:bookmarkStart w:id="42" w:name="_Toc371415920"/>
      <w:bookmarkStart w:id="43" w:name="_Toc342294713"/>
      <w:bookmarkStart w:id="44" w:name="_Toc152045529"/>
      <w:bookmarkStart w:id="45" w:name="_Toc144974497"/>
      <w:bookmarkStart w:id="46" w:name="_Toc342297618"/>
      <w:bookmarkStart w:id="47" w:name="_Toc338944604"/>
      <w:bookmarkStart w:id="48" w:name="_Toc445554688"/>
      <w:bookmarkStart w:id="49" w:name="_Toc455587032"/>
      <w:bookmarkStart w:id="50" w:name="_Toc179632546"/>
      <w:bookmarkStart w:id="51" w:name="_Toc466024500"/>
      <w:bookmarkStart w:id="52" w:name="_Toc458504818"/>
      <w:bookmarkStart w:id="53" w:name="_Toc342296161"/>
      <w:bookmarkStart w:id="54" w:name="_Toc152042305"/>
      <w:bookmarkStart w:id="55" w:name="_Toc338943699"/>
      <w:bookmarkStart w:id="56" w:name="_Toc333600682"/>
      <w:r>
        <w:rPr>
          <w:rStyle w:val="103"/>
          <w:rFonts w:hint="eastAsia" w:ascii="宋体" w:hAnsi="宋体" w:eastAsia="仿宋"/>
          <w:b/>
          <w:bCs/>
          <w:sz w:val="24"/>
          <w:szCs w:val="24"/>
        </w:rPr>
        <w:t>1. 总则</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BC5FBA1">
      <w:pPr>
        <w:pStyle w:val="4"/>
        <w:adjustRightInd w:val="0"/>
        <w:ind w:firstLine="482" w:firstLineChars="200"/>
        <w:rPr>
          <w:rFonts w:eastAsia="仿宋"/>
          <w:sz w:val="24"/>
          <w:lang w:eastAsia="zh-CN"/>
        </w:rPr>
      </w:pPr>
      <w:bookmarkStart w:id="57" w:name="_Toc333587853"/>
      <w:bookmarkStart w:id="58" w:name="_Toc342297619"/>
      <w:bookmarkStart w:id="59" w:name="_Toc333600683"/>
      <w:bookmarkStart w:id="60" w:name="_Toc338943700"/>
      <w:bookmarkStart w:id="61" w:name="_Toc342294714"/>
      <w:bookmarkStart w:id="62" w:name="_Toc455587033"/>
      <w:bookmarkStart w:id="63" w:name="_Toc333599659"/>
      <w:bookmarkStart w:id="64" w:name="_Toc338944605"/>
      <w:bookmarkStart w:id="65" w:name="_Toc152042306"/>
      <w:bookmarkStart w:id="66" w:name="_Toc152045530"/>
      <w:bookmarkStart w:id="67" w:name="_Toc342296162"/>
      <w:bookmarkStart w:id="68" w:name="_Toc179632547"/>
      <w:bookmarkStart w:id="69" w:name="_Toc371415921"/>
      <w:bookmarkStart w:id="70" w:name="_Toc466024501"/>
      <w:bookmarkStart w:id="71" w:name="_Toc458504819"/>
      <w:bookmarkStart w:id="72" w:name="_Toc455587217"/>
      <w:bookmarkStart w:id="73" w:name="_Toc144974498"/>
      <w:bookmarkStart w:id="74" w:name="_Toc445554689"/>
      <w:r>
        <w:rPr>
          <w:rFonts w:eastAsia="仿宋"/>
          <w:sz w:val="24"/>
          <w:lang w:eastAsia="zh-CN"/>
        </w:rPr>
        <w:t>1</w:t>
      </w:r>
      <w:r>
        <w:rPr>
          <w:rFonts w:hint="eastAsia" w:eastAsia="仿宋"/>
          <w:sz w:val="24"/>
          <w:lang w:eastAsia="zh-CN"/>
        </w:rPr>
        <w:t>.1 项目概况</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6FD35C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1.1.1 根据《中华人民共和国政府采购法》《中华人民共和国政府采购法实施条例》</w:t>
      </w:r>
      <w:r>
        <w:rPr>
          <w:rFonts w:hint="eastAsia" w:ascii="Calibri" w:hAnsi="Calibri" w:eastAsia="仿宋"/>
          <w:sz w:val="24"/>
        </w:rPr>
        <w:t>《政府采购竞争性磋商采购方式管理暂行办法》</w:t>
      </w:r>
      <w:r>
        <w:rPr>
          <w:rFonts w:hint="eastAsia" w:ascii="宋体" w:hAnsi="宋体" w:eastAsia="仿宋"/>
          <w:sz w:val="24"/>
        </w:rPr>
        <w:t>等有关法律、法规和规章的规定，本项目已具备政府采购条件，现以</w:t>
      </w:r>
      <w:r>
        <w:rPr>
          <w:rFonts w:hint="eastAsia" w:ascii="Calibri" w:hAnsi="Calibri" w:eastAsia="仿宋"/>
          <w:sz w:val="24"/>
        </w:rPr>
        <w:t>竞争性磋商方式</w:t>
      </w:r>
      <w:r>
        <w:rPr>
          <w:rFonts w:hint="eastAsia" w:ascii="宋体" w:hAnsi="宋体" w:eastAsia="仿宋"/>
          <w:sz w:val="24"/>
        </w:rPr>
        <w:t>进行政府采购。</w:t>
      </w:r>
    </w:p>
    <w:p w14:paraId="5A6BB75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1.1.2 采购人：见供应商须知前附表。</w:t>
      </w:r>
    </w:p>
    <w:p w14:paraId="3935AE6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1.1.3 采购代理机构：见供应商须知前附表。</w:t>
      </w:r>
    </w:p>
    <w:p w14:paraId="33FCE72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1.1.4 采购项目名称：见供应商须知前附表。</w:t>
      </w:r>
    </w:p>
    <w:p w14:paraId="4CEC571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1.1.5 采购包划分：见供应商须知前附表。</w:t>
      </w:r>
    </w:p>
    <w:p w14:paraId="599C1AB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1.1.6 采购预算：见供应商须知前附表。</w:t>
      </w:r>
    </w:p>
    <w:p w14:paraId="700F8A5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1.1.7 专门面向中小企业采购：见供应商须知前附表。</w:t>
      </w:r>
    </w:p>
    <w:p w14:paraId="7DB18826">
      <w:pPr>
        <w:pStyle w:val="4"/>
        <w:adjustRightInd w:val="0"/>
        <w:ind w:firstLine="482" w:firstLineChars="200"/>
        <w:rPr>
          <w:rFonts w:eastAsia="仿宋"/>
          <w:sz w:val="24"/>
          <w:lang w:eastAsia="zh-CN"/>
        </w:rPr>
      </w:pPr>
      <w:r>
        <w:rPr>
          <w:rFonts w:hint="eastAsia" w:eastAsia="仿宋"/>
          <w:sz w:val="24"/>
          <w:lang w:eastAsia="zh-CN"/>
        </w:rPr>
        <w:t>1.2 资金落实情况与核心产品</w:t>
      </w:r>
    </w:p>
    <w:p w14:paraId="12F1E74B">
      <w:pPr>
        <w:widowControl/>
        <w:adjustRightInd w:val="0"/>
        <w:snapToGrid w:val="0"/>
        <w:spacing w:line="360" w:lineRule="auto"/>
        <w:ind w:firstLine="480" w:firstLineChars="200"/>
        <w:rPr>
          <w:rFonts w:ascii="宋体" w:hAnsi="宋体" w:eastAsia="仿宋" w:cs="宋体"/>
          <w:sz w:val="24"/>
        </w:rPr>
      </w:pPr>
      <w:r>
        <w:rPr>
          <w:rFonts w:hint="eastAsia" w:ascii="宋体" w:hAnsi="宋体" w:eastAsia="仿宋" w:cs="宋体"/>
          <w:sz w:val="24"/>
          <w:lang w:bidi="ar"/>
        </w:rPr>
        <w:t xml:space="preserve">1.2.1 </w:t>
      </w:r>
      <w:r>
        <w:rPr>
          <w:rFonts w:hint="eastAsia" w:ascii="宋体" w:hAnsi="宋体" w:eastAsia="仿宋" w:cs="仿宋"/>
          <w:sz w:val="24"/>
          <w:lang w:bidi="ar"/>
        </w:rPr>
        <w:t>资金来源及比例：见供应商须知前附表。</w:t>
      </w:r>
    </w:p>
    <w:p w14:paraId="2F38E37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cs="宋体"/>
          <w:sz w:val="24"/>
          <w:lang w:bidi="ar"/>
        </w:rPr>
        <w:t xml:space="preserve">1.2.2 </w:t>
      </w:r>
      <w:r>
        <w:rPr>
          <w:rFonts w:hint="eastAsia" w:ascii="宋体" w:hAnsi="宋体" w:eastAsia="仿宋" w:cs="仿宋"/>
          <w:sz w:val="24"/>
          <w:lang w:bidi="ar"/>
        </w:rPr>
        <w:t>资金落实情况：</w:t>
      </w:r>
      <w:r>
        <w:rPr>
          <w:rFonts w:hint="eastAsia" w:ascii="宋体" w:hAnsi="宋体" w:eastAsia="仿宋"/>
          <w:sz w:val="24"/>
        </w:rPr>
        <w:t>本项目的采购人已获得足以支付本次采购后所签订的合同项下的资金。</w:t>
      </w:r>
    </w:p>
    <w:p w14:paraId="0BDC48C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1.2.3 核心产品：提供的核心产品品牌及型号相同的不同供应商参加同一合同项下采购活动的，按一家供应商计算。</w:t>
      </w:r>
    </w:p>
    <w:p w14:paraId="216ED76E">
      <w:pPr>
        <w:pStyle w:val="4"/>
        <w:adjustRightInd w:val="0"/>
        <w:ind w:firstLine="482" w:firstLineChars="200"/>
        <w:rPr>
          <w:rFonts w:eastAsia="仿宋"/>
          <w:sz w:val="24"/>
          <w:lang w:eastAsia="zh-CN"/>
        </w:rPr>
      </w:pPr>
      <w:bookmarkStart w:id="75" w:name="_Toc333600687"/>
      <w:bookmarkStart w:id="76" w:name="_Toc466024503"/>
      <w:bookmarkStart w:id="77" w:name="_Toc333587857"/>
      <w:bookmarkStart w:id="78" w:name="_Toc144974502"/>
      <w:bookmarkStart w:id="79" w:name="_Toc338944609"/>
      <w:bookmarkStart w:id="80" w:name="_Toc152045534"/>
      <w:bookmarkStart w:id="81" w:name="_Toc455587219"/>
      <w:bookmarkStart w:id="82" w:name="_Toc342296166"/>
      <w:bookmarkStart w:id="83" w:name="_Toc455587035"/>
      <w:bookmarkStart w:id="84" w:name="_Toc152042310"/>
      <w:bookmarkStart w:id="85" w:name="_Toc179632551"/>
      <w:bookmarkStart w:id="86" w:name="_Toc445554692"/>
      <w:bookmarkStart w:id="87" w:name="_Toc338943704"/>
      <w:bookmarkStart w:id="88" w:name="_Toc342297623"/>
      <w:bookmarkStart w:id="89" w:name="_Toc333599663"/>
      <w:bookmarkStart w:id="90" w:name="_Toc458504821"/>
      <w:bookmarkStart w:id="91" w:name="_Toc371415924"/>
      <w:bookmarkStart w:id="92" w:name="_Toc342294718"/>
      <w:r>
        <w:rPr>
          <w:rFonts w:hint="eastAsia" w:eastAsia="仿宋"/>
          <w:sz w:val="24"/>
          <w:lang w:eastAsia="zh-CN"/>
        </w:rPr>
        <w:t>1.3 资格要求</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86AE85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1.3.1 供应商应具备承担本采购项目的资质条件、能力和信誉，具体资格要求见供应商须知前附表。</w:t>
      </w:r>
    </w:p>
    <w:p w14:paraId="16A5D8F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1.3.2 接受联合体响应的，除应符合本章第1.3</w:t>
      </w:r>
      <w:r>
        <w:rPr>
          <w:rFonts w:ascii="宋体" w:hAnsi="宋体" w:eastAsia="仿宋"/>
          <w:sz w:val="24"/>
        </w:rPr>
        <w:t>.1</w:t>
      </w:r>
      <w:r>
        <w:rPr>
          <w:rFonts w:hint="eastAsia" w:ascii="宋体" w:hAnsi="宋体" w:eastAsia="仿宋"/>
          <w:sz w:val="24"/>
        </w:rPr>
        <w:t>项和供应商须知前附表的要求外，还应遵守以下规定：</w:t>
      </w:r>
    </w:p>
    <w:p w14:paraId="1376C34D">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（1）</w:t>
      </w:r>
      <w:r>
        <w:rPr>
          <w:rFonts w:hint="eastAsia" w:ascii="Calibri" w:hAnsi="Calibri" w:eastAsia="仿宋"/>
          <w:sz w:val="24"/>
        </w:rPr>
        <w:t>联合体各方应按竞争性磋商文件提供的格式签订联合体协议书，明确联合体牵头人和各方权利义务，并承诺就成交项目向采购人承担连带责任；</w:t>
      </w:r>
    </w:p>
    <w:p w14:paraId="2CC0C163">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（2）</w:t>
      </w:r>
      <w:r>
        <w:rPr>
          <w:rFonts w:hint="eastAsia" w:ascii="Calibri" w:hAnsi="Calibri" w:eastAsia="仿宋"/>
          <w:sz w:val="24"/>
        </w:rPr>
        <w:t>由同一专业的单位组成的联合体，按照资质等级较低的单位确定资质等级；</w:t>
      </w:r>
    </w:p>
    <w:p w14:paraId="56AE97ED">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（3）</w:t>
      </w:r>
      <w:r>
        <w:rPr>
          <w:rFonts w:hint="eastAsia" w:ascii="Calibri" w:hAnsi="Calibri" w:eastAsia="仿宋"/>
          <w:sz w:val="24"/>
        </w:rPr>
        <w:t>以联合体形式参加采购活动的，联合体各方不得再单独参加或者与其他供应商另外组成联合体参加同一标包的政府采购活动；</w:t>
      </w:r>
    </w:p>
    <w:p w14:paraId="775323B5">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（4）</w:t>
      </w:r>
      <w:r>
        <w:rPr>
          <w:rFonts w:hint="eastAsia" w:ascii="Calibri" w:hAnsi="Calibri" w:eastAsia="仿宋"/>
          <w:sz w:val="24"/>
        </w:rPr>
        <w:t>联合体</w:t>
      </w:r>
      <w:r>
        <w:rPr>
          <w:rFonts w:hint="eastAsia" w:ascii="宋体" w:hAnsi="宋体" w:eastAsia="仿宋"/>
          <w:sz w:val="24"/>
        </w:rPr>
        <w:t>各方</w:t>
      </w:r>
      <w:r>
        <w:rPr>
          <w:rFonts w:hint="eastAsia" w:ascii="Calibri" w:hAnsi="Calibri" w:eastAsia="仿宋"/>
          <w:sz w:val="24"/>
        </w:rPr>
        <w:t>应分别按照本竞争性磋商文件的要求，填写响应文件中的相应表格，并由联合体牵头人负责对联合体各成员的资料进行统一汇总后一并提交给采购人；联合体牵头人所提交的响应文件应认为已代表了联合体各成员的真实情况；</w:t>
      </w:r>
    </w:p>
    <w:p w14:paraId="67FAF10A">
      <w:pPr>
        <w:widowControl/>
        <w:adjustRightInd w:val="0"/>
        <w:snapToGrid w:val="0"/>
        <w:spacing w:line="360" w:lineRule="auto"/>
        <w:ind w:firstLine="480" w:firstLineChars="200"/>
        <w:rPr>
          <w:rFonts w:ascii="Calibri" w:hAnsi="Calibri" w:eastAsia="仿宋"/>
          <w:sz w:val="24"/>
        </w:rPr>
      </w:pPr>
      <w:r>
        <w:rPr>
          <w:rFonts w:hint="eastAsia" w:ascii="宋体" w:hAnsi="宋体" w:eastAsia="仿宋"/>
          <w:sz w:val="24"/>
        </w:rPr>
        <w:t>（5）</w:t>
      </w:r>
      <w:r>
        <w:rPr>
          <w:rFonts w:hint="eastAsia" w:ascii="Calibri" w:hAnsi="Calibri" w:eastAsia="仿宋"/>
          <w:sz w:val="24"/>
        </w:rPr>
        <w:t>尽管委</w:t>
      </w:r>
      <w:r>
        <w:rPr>
          <w:rFonts w:ascii="Calibri" w:hAnsi="Calibri" w:eastAsia="仿宋"/>
          <w:sz w:val="24"/>
        </w:rPr>
        <w:t>任了联合体牵头人，但联合体各成员在</w:t>
      </w:r>
      <w:r>
        <w:rPr>
          <w:rFonts w:hint="eastAsia" w:ascii="Calibri" w:hAnsi="Calibri" w:eastAsia="仿宋"/>
          <w:sz w:val="24"/>
        </w:rPr>
        <w:t>参加采购活动</w:t>
      </w:r>
      <w:r>
        <w:rPr>
          <w:rFonts w:ascii="Calibri" w:hAnsi="Calibri" w:eastAsia="仿宋"/>
          <w:sz w:val="24"/>
        </w:rPr>
        <w:t>、签订合同与履行合同过程中，仍负有连带的和各自的法律责任。</w:t>
      </w:r>
    </w:p>
    <w:p w14:paraId="3291214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1.3.3 供应商</w:t>
      </w:r>
      <w:r>
        <w:rPr>
          <w:rFonts w:hAnsi="宋体" w:eastAsia="仿宋"/>
          <w:sz w:val="24"/>
        </w:rPr>
        <w:t>（包括联合体各成员）</w:t>
      </w:r>
      <w:r>
        <w:rPr>
          <w:rFonts w:hint="eastAsia" w:ascii="宋体" w:hAnsi="宋体" w:eastAsia="仿宋"/>
          <w:sz w:val="24"/>
        </w:rPr>
        <w:t>不得存在下列情形之一：</w:t>
      </w:r>
    </w:p>
    <w:p w14:paraId="49209741">
      <w:pPr>
        <w:widowControl/>
        <w:adjustRightInd w:val="0"/>
        <w:snapToGrid w:val="0"/>
        <w:spacing w:line="360" w:lineRule="auto"/>
        <w:ind w:firstLine="480" w:firstLineChars="200"/>
        <w:rPr>
          <w:rFonts w:ascii="宋体" w:hAnsi="宋体" w:eastAsia="仿宋"/>
          <w:sz w:val="24"/>
        </w:rPr>
      </w:pPr>
      <w:bookmarkStart w:id="93" w:name="_Toc342297624"/>
      <w:bookmarkStart w:id="94" w:name="_Toc179632552"/>
      <w:bookmarkStart w:id="95" w:name="_Toc333587858"/>
      <w:bookmarkStart w:id="96" w:name="_Toc333599664"/>
      <w:bookmarkStart w:id="97" w:name="_Toc152042311"/>
      <w:bookmarkStart w:id="98" w:name="_Toc333600688"/>
      <w:bookmarkStart w:id="99" w:name="_Toc338944610"/>
      <w:bookmarkStart w:id="100" w:name="_Toc152045535"/>
      <w:bookmarkStart w:id="101" w:name="_Toc144974503"/>
      <w:bookmarkStart w:id="102" w:name="_Toc338943705"/>
      <w:bookmarkStart w:id="103" w:name="_Toc342294719"/>
      <w:bookmarkStart w:id="104" w:name="_Toc342296167"/>
      <w:r>
        <w:rPr>
          <w:rFonts w:hint="eastAsia" w:ascii="宋体" w:hAnsi="宋体" w:eastAsia="仿宋"/>
          <w:sz w:val="24"/>
        </w:rPr>
        <w:t>（1）</w:t>
      </w:r>
      <w:r>
        <w:rPr>
          <w:rFonts w:ascii="宋体" w:hAnsi="宋体" w:eastAsia="仿宋"/>
          <w:sz w:val="24"/>
        </w:rPr>
        <w:t>为本采购项目的采购代理机构；</w:t>
      </w:r>
    </w:p>
    <w:p w14:paraId="7B301399">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w:t>
      </w:r>
      <w:r>
        <w:rPr>
          <w:rFonts w:ascii="宋体" w:hAnsi="宋体" w:eastAsia="仿宋"/>
          <w:sz w:val="24"/>
        </w:rPr>
        <w:t>为采购人</w:t>
      </w:r>
      <w:r>
        <w:rPr>
          <w:rFonts w:hint="eastAsia" w:ascii="宋体" w:hAnsi="宋体" w:eastAsia="仿宋"/>
          <w:sz w:val="24"/>
        </w:rPr>
        <w:t>不具有独立承担民事责任能力的</w:t>
      </w:r>
      <w:r>
        <w:rPr>
          <w:rFonts w:ascii="宋体" w:hAnsi="宋体" w:eastAsia="仿宋"/>
          <w:sz w:val="24"/>
        </w:rPr>
        <w:t>附属机构</w:t>
      </w:r>
      <w:r>
        <w:rPr>
          <w:rFonts w:hint="eastAsia" w:ascii="宋体" w:hAnsi="宋体" w:eastAsia="仿宋"/>
          <w:sz w:val="24"/>
        </w:rPr>
        <w:t>；</w:t>
      </w:r>
    </w:p>
    <w:p w14:paraId="63806A59">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w:t>
      </w:r>
      <w:r>
        <w:rPr>
          <w:rFonts w:ascii="宋体" w:hAnsi="宋体" w:eastAsia="仿宋"/>
          <w:sz w:val="24"/>
        </w:rPr>
        <w:t>与采购人存在利害关系且可能影响采购公正性；</w:t>
      </w:r>
    </w:p>
    <w:p w14:paraId="5650BC9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w:t>
      </w:r>
      <w:r>
        <w:rPr>
          <w:rFonts w:ascii="宋体" w:hAnsi="宋体" w:eastAsia="仿宋"/>
          <w:sz w:val="24"/>
        </w:rPr>
        <w:t>由本</w:t>
      </w:r>
      <w:r>
        <w:rPr>
          <w:rFonts w:hint="eastAsia" w:ascii="宋体" w:hAnsi="宋体" w:eastAsia="仿宋"/>
          <w:sz w:val="24"/>
        </w:rPr>
        <w:t>采购项目</w:t>
      </w:r>
      <w:r>
        <w:rPr>
          <w:rFonts w:ascii="宋体" w:hAnsi="宋体" w:eastAsia="仿宋"/>
          <w:sz w:val="24"/>
        </w:rPr>
        <w:t>采购代理机构代理</w:t>
      </w:r>
      <w:r>
        <w:rPr>
          <w:rFonts w:hint="eastAsia" w:ascii="Calibri" w:hAnsi="Calibri" w:eastAsia="仿宋"/>
          <w:sz w:val="24"/>
        </w:rPr>
        <w:t>参加政府采购活动</w:t>
      </w:r>
      <w:r>
        <w:rPr>
          <w:rFonts w:ascii="宋体" w:hAnsi="宋体" w:eastAsia="仿宋"/>
          <w:sz w:val="24"/>
        </w:rPr>
        <w:t>，或者接受过本</w:t>
      </w:r>
      <w:r>
        <w:rPr>
          <w:rFonts w:hint="eastAsia" w:ascii="宋体" w:hAnsi="宋体" w:eastAsia="仿宋"/>
          <w:sz w:val="24"/>
        </w:rPr>
        <w:t>采购项目</w:t>
      </w:r>
      <w:r>
        <w:rPr>
          <w:rFonts w:ascii="宋体" w:hAnsi="宋体" w:eastAsia="仿宋"/>
          <w:sz w:val="24"/>
        </w:rPr>
        <w:t>的采购代理机构为本</w:t>
      </w:r>
      <w:r>
        <w:rPr>
          <w:rFonts w:hint="eastAsia" w:ascii="宋体" w:hAnsi="宋体" w:eastAsia="仿宋"/>
          <w:sz w:val="24"/>
        </w:rPr>
        <w:t>采购项目</w:t>
      </w:r>
      <w:r>
        <w:rPr>
          <w:rFonts w:ascii="宋体" w:hAnsi="宋体" w:eastAsia="仿宋"/>
          <w:sz w:val="24"/>
        </w:rPr>
        <w:t>提供咨询</w:t>
      </w:r>
      <w:r>
        <w:rPr>
          <w:rFonts w:hint="eastAsia" w:ascii="宋体" w:hAnsi="宋体" w:eastAsia="仿宋"/>
          <w:sz w:val="24"/>
        </w:rPr>
        <w:t>；</w:t>
      </w:r>
    </w:p>
    <w:p w14:paraId="0C3BAEA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（5）</w:t>
      </w:r>
      <w:r>
        <w:rPr>
          <w:rFonts w:ascii="宋体" w:hAnsi="宋体" w:eastAsia="仿宋"/>
          <w:sz w:val="24"/>
        </w:rPr>
        <w:t>被责令停产停业、暂扣或者吊销许可证、暂扣或者吊销执照；</w:t>
      </w:r>
    </w:p>
    <w:p w14:paraId="636492B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w:t>
      </w:r>
      <w:r>
        <w:rPr>
          <w:rFonts w:ascii="宋体" w:hAnsi="宋体" w:eastAsia="仿宋"/>
          <w:sz w:val="24"/>
        </w:rPr>
        <w:t>进入清算程序，或被宣告破产，或其他丧失履约能力的情形；</w:t>
      </w:r>
    </w:p>
    <w:p w14:paraId="1912B73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（7）与本项目其他供应商的</w:t>
      </w:r>
      <w:r>
        <w:rPr>
          <w:rFonts w:ascii="宋体" w:hAnsi="宋体" w:eastAsia="仿宋"/>
          <w:sz w:val="24"/>
        </w:rPr>
        <w:t>单位负责人为同一人或者存在直接控股、管理关系的不同</w:t>
      </w:r>
      <w:r>
        <w:rPr>
          <w:rFonts w:hint="eastAsia" w:ascii="宋体" w:hAnsi="宋体" w:eastAsia="仿宋"/>
          <w:sz w:val="24"/>
        </w:rPr>
        <w:t>供应商；</w:t>
      </w:r>
    </w:p>
    <w:p w14:paraId="30A3776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（8）被依法禁止参加政府采购活动并在有效期内；</w:t>
      </w:r>
    </w:p>
    <w:p w14:paraId="7758086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（9）为采购项目提供整体设计、规范编制或者项目管理、监理、检测等服务的供应商，不得再参加该采购项目的其他采购活动，具体按财政部财办库〔2015〕295号文件规定；</w:t>
      </w:r>
    </w:p>
    <w:p w14:paraId="4DDF9DF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（10）截至提交首次响应文件截止时间，被人民法院列入失信被执行人名单的（以信用中国www.creditchina.gov.cn、中国执行信息公开网http://zxgk.court.gov.cn/查询为准）；</w:t>
      </w:r>
    </w:p>
    <w:p w14:paraId="5C582ED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（11）截至提交首次响应文件截止时间，被列入重大税收违法案件当事人（重大税收违法失信主体）名单的（以信用中国网站www.creditchina.gov.cn查询为准）；</w:t>
      </w:r>
    </w:p>
    <w:p w14:paraId="33EBDA69">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（12）截至提交首次响应文件截止时间，被列入政府采购严重违法失信名单的（以信用中国网站www.creditchina.gov.cn、中国政府采购网http://www.ccgp.gov.cn/查询为准）；</w:t>
      </w:r>
    </w:p>
    <w:p w14:paraId="0153089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13）截至提交首次响应文件截止时间，被市场监督管理部门（或工商行政管理部门）列入经营异常名录（未按照《企业信息公示暂行条例》（国务院令第654号）第八条规定的期限公示年度报告被列入经营异常名录的除外）或者严重违法失信企业名单的（以国家企业信用信息公示系统http://www.gsxt.gov.cn/查询为准）；</w:t>
      </w:r>
    </w:p>
    <w:p w14:paraId="091E0FE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（14）</w:t>
      </w:r>
      <w:r>
        <w:rPr>
          <w:rFonts w:ascii="宋体" w:hAnsi="宋体" w:eastAsia="仿宋"/>
          <w:sz w:val="24"/>
        </w:rPr>
        <w:t>法律法规</w:t>
      </w:r>
      <w:r>
        <w:rPr>
          <w:rFonts w:hint="eastAsia" w:ascii="宋体" w:hAnsi="宋体" w:eastAsia="仿宋"/>
          <w:sz w:val="24"/>
        </w:rPr>
        <w:t>规定的其他情形；</w:t>
      </w:r>
    </w:p>
    <w:p w14:paraId="44E8869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（15）供应商</w:t>
      </w:r>
      <w:r>
        <w:rPr>
          <w:rFonts w:ascii="宋体" w:hAnsi="宋体" w:eastAsia="仿宋"/>
          <w:sz w:val="24"/>
        </w:rPr>
        <w:t>须知前附表规定的其他情形。</w:t>
      </w:r>
    </w:p>
    <w:p w14:paraId="1CFEA609">
      <w:pPr>
        <w:pStyle w:val="4"/>
        <w:adjustRightInd w:val="0"/>
        <w:ind w:firstLine="482" w:firstLineChars="200"/>
        <w:rPr>
          <w:rFonts w:eastAsia="仿宋"/>
          <w:sz w:val="24"/>
          <w:lang w:eastAsia="zh-CN"/>
        </w:rPr>
      </w:pPr>
      <w:bookmarkStart w:id="105" w:name="_Toc466024504"/>
      <w:bookmarkStart w:id="106" w:name="_Toc445554693"/>
      <w:bookmarkStart w:id="107" w:name="_Toc455587220"/>
      <w:bookmarkStart w:id="108" w:name="_Toc371415925"/>
      <w:bookmarkStart w:id="109" w:name="_Toc455587036"/>
      <w:bookmarkStart w:id="110" w:name="_Toc458504822"/>
      <w:r>
        <w:rPr>
          <w:rFonts w:hint="eastAsia" w:eastAsia="仿宋"/>
          <w:sz w:val="24"/>
          <w:lang w:eastAsia="zh-CN"/>
        </w:rPr>
        <w:t>1.4 费用承担</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6E616A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供应商准备和参加采购活动发生的费用自理。</w:t>
      </w:r>
    </w:p>
    <w:p w14:paraId="1FDA554B">
      <w:pPr>
        <w:pStyle w:val="4"/>
        <w:adjustRightInd w:val="0"/>
        <w:ind w:firstLine="482" w:firstLineChars="200"/>
        <w:rPr>
          <w:rFonts w:eastAsia="仿宋"/>
          <w:sz w:val="24"/>
          <w:lang w:eastAsia="zh-CN"/>
        </w:rPr>
      </w:pPr>
      <w:bookmarkStart w:id="111" w:name="_Toc466024505"/>
      <w:bookmarkStart w:id="112" w:name="_Toc455587221"/>
      <w:bookmarkStart w:id="113" w:name="_Toc455587037"/>
      <w:bookmarkStart w:id="114" w:name="_Toc445554694"/>
      <w:bookmarkStart w:id="115" w:name="_Toc458504823"/>
      <w:bookmarkStart w:id="116" w:name="_Toc152045536"/>
      <w:bookmarkStart w:id="117" w:name="_Toc152042312"/>
      <w:bookmarkStart w:id="118" w:name="_Toc144974504"/>
      <w:bookmarkStart w:id="119" w:name="_Toc300834956"/>
      <w:bookmarkStart w:id="120" w:name="_Toc247513959"/>
      <w:bookmarkStart w:id="121" w:name="_Toc247527560"/>
      <w:r>
        <w:rPr>
          <w:rFonts w:hint="eastAsia" w:eastAsia="仿宋"/>
          <w:sz w:val="24"/>
          <w:lang w:eastAsia="zh-CN"/>
        </w:rPr>
        <w:t>1.5 保密</w:t>
      </w:r>
      <w:bookmarkEnd w:id="111"/>
      <w:bookmarkEnd w:id="112"/>
      <w:bookmarkEnd w:id="113"/>
      <w:bookmarkEnd w:id="114"/>
      <w:bookmarkEnd w:id="115"/>
    </w:p>
    <w:p w14:paraId="52B73E4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参与竞争性磋商的各方应当对竞争性磋商文件和响应文件中的商业和技术等秘密保密，否则应当承担相应的法律责任。</w:t>
      </w:r>
    </w:p>
    <w:p w14:paraId="55BDCCDC">
      <w:pPr>
        <w:pStyle w:val="4"/>
        <w:adjustRightInd w:val="0"/>
        <w:ind w:firstLine="482" w:firstLineChars="200"/>
        <w:rPr>
          <w:rFonts w:eastAsia="仿宋"/>
          <w:sz w:val="24"/>
          <w:lang w:eastAsia="zh-CN"/>
        </w:rPr>
      </w:pPr>
      <w:bookmarkStart w:id="122" w:name="_Toc466024506"/>
      <w:bookmarkStart w:id="123" w:name="_Toc458504824"/>
      <w:bookmarkStart w:id="124" w:name="_Toc455587038"/>
      <w:bookmarkStart w:id="125" w:name="_Toc445554695"/>
      <w:bookmarkStart w:id="126" w:name="_Toc455587222"/>
      <w:r>
        <w:rPr>
          <w:rFonts w:hint="eastAsia" w:eastAsia="仿宋"/>
          <w:sz w:val="24"/>
          <w:lang w:eastAsia="zh-CN"/>
        </w:rPr>
        <w:t>1.6 语言文字</w:t>
      </w:r>
      <w:bookmarkEnd w:id="116"/>
      <w:bookmarkEnd w:id="117"/>
      <w:bookmarkEnd w:id="118"/>
      <w:bookmarkEnd w:id="119"/>
      <w:bookmarkEnd w:id="120"/>
      <w:bookmarkEnd w:id="121"/>
      <w:bookmarkEnd w:id="122"/>
      <w:bookmarkEnd w:id="123"/>
      <w:bookmarkEnd w:id="124"/>
      <w:bookmarkEnd w:id="125"/>
      <w:bookmarkEnd w:id="126"/>
    </w:p>
    <w:p w14:paraId="0588A49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除专用术语外，与竞争性磋商有关的语言均应当使用中文。必要时专用术语应附有中文注释。</w:t>
      </w:r>
    </w:p>
    <w:p w14:paraId="48BCCD95">
      <w:pPr>
        <w:pStyle w:val="4"/>
        <w:adjustRightInd w:val="0"/>
        <w:ind w:firstLine="482" w:firstLineChars="200"/>
        <w:rPr>
          <w:rFonts w:eastAsia="仿宋"/>
          <w:sz w:val="24"/>
          <w:lang w:eastAsia="zh-CN"/>
        </w:rPr>
      </w:pPr>
      <w:bookmarkStart w:id="127" w:name="_Toc371415926"/>
      <w:bookmarkStart w:id="128" w:name="_Toc342296170"/>
      <w:bookmarkStart w:id="129" w:name="_Toc152042314"/>
      <w:bookmarkStart w:id="130" w:name="_Toc333599667"/>
      <w:bookmarkStart w:id="131" w:name="_Toc445554696"/>
      <w:bookmarkStart w:id="132" w:name="_Toc455587223"/>
      <w:bookmarkStart w:id="133" w:name="_Toc179632555"/>
      <w:bookmarkStart w:id="134" w:name="_Toc333587861"/>
      <w:bookmarkStart w:id="135" w:name="_Toc342297627"/>
      <w:bookmarkStart w:id="136" w:name="_Toc338943708"/>
      <w:bookmarkStart w:id="137" w:name="_Toc144974506"/>
      <w:bookmarkStart w:id="138" w:name="_Toc466024507"/>
      <w:bookmarkStart w:id="139" w:name="_Toc458504825"/>
      <w:bookmarkStart w:id="140" w:name="_Toc455587039"/>
      <w:bookmarkStart w:id="141" w:name="_Toc152045538"/>
      <w:bookmarkStart w:id="142" w:name="_Toc333600691"/>
      <w:bookmarkStart w:id="143" w:name="_Toc338944613"/>
      <w:bookmarkStart w:id="144" w:name="_Toc342294722"/>
      <w:r>
        <w:rPr>
          <w:rFonts w:hint="eastAsia" w:eastAsia="仿宋"/>
          <w:sz w:val="24"/>
          <w:lang w:eastAsia="zh-CN"/>
        </w:rPr>
        <w:t>1.7 计量单位</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386911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除竞争性磋商文件另有规定外，所有计量均采用中华人民共和国法定计量单位。</w:t>
      </w:r>
    </w:p>
    <w:p w14:paraId="7C283A8A">
      <w:pPr>
        <w:pStyle w:val="4"/>
        <w:adjustRightInd w:val="0"/>
        <w:ind w:firstLine="482" w:firstLineChars="200"/>
        <w:rPr>
          <w:rFonts w:eastAsia="仿宋"/>
          <w:sz w:val="24"/>
          <w:lang w:eastAsia="zh-CN"/>
        </w:rPr>
      </w:pPr>
      <w:bookmarkStart w:id="145" w:name="_Toc371415927"/>
      <w:bookmarkStart w:id="146" w:name="_Toc455587040"/>
      <w:bookmarkStart w:id="147" w:name="_Toc455587224"/>
      <w:bookmarkStart w:id="148" w:name="_Toc445554697"/>
      <w:bookmarkStart w:id="149" w:name="_Toc458504826"/>
      <w:bookmarkStart w:id="150" w:name="_Toc466024508"/>
      <w:bookmarkStart w:id="151" w:name="_Toc152042316"/>
      <w:bookmarkStart w:id="152" w:name="_Toc333599669"/>
      <w:bookmarkStart w:id="153" w:name="_Toc342296172"/>
      <w:bookmarkStart w:id="154" w:name="_Toc342294724"/>
      <w:bookmarkStart w:id="155" w:name="_Toc152045540"/>
      <w:bookmarkStart w:id="156" w:name="_Toc338943710"/>
      <w:bookmarkStart w:id="157" w:name="_Toc338944615"/>
      <w:bookmarkStart w:id="158" w:name="_Toc179632557"/>
      <w:bookmarkStart w:id="159" w:name="_Toc333587863"/>
      <w:bookmarkStart w:id="160" w:name="_Toc144974508"/>
      <w:bookmarkStart w:id="161" w:name="_Toc342297629"/>
      <w:bookmarkStart w:id="162" w:name="_Toc333600693"/>
      <w:r>
        <w:rPr>
          <w:rFonts w:hint="eastAsia" w:eastAsia="仿宋"/>
          <w:sz w:val="24"/>
          <w:lang w:eastAsia="zh-CN"/>
        </w:rPr>
        <w:t>1.</w:t>
      </w:r>
      <w:bookmarkEnd w:id="145"/>
      <w:bookmarkEnd w:id="146"/>
      <w:bookmarkEnd w:id="147"/>
      <w:bookmarkEnd w:id="148"/>
      <w:bookmarkEnd w:id="149"/>
      <w:r>
        <w:rPr>
          <w:rFonts w:hint="eastAsia" w:eastAsia="仿宋"/>
          <w:sz w:val="24"/>
          <w:lang w:eastAsia="zh-CN"/>
        </w:rPr>
        <w:t>8 现场考察</w:t>
      </w:r>
      <w:bookmarkEnd w:id="150"/>
    </w:p>
    <w:p w14:paraId="445B903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1.8</w:t>
      </w:r>
      <w:r>
        <w:rPr>
          <w:rFonts w:ascii="宋体" w:hAnsi="宋体" w:eastAsia="仿宋"/>
          <w:sz w:val="24"/>
        </w:rPr>
        <w:t>.1</w:t>
      </w:r>
      <w:r>
        <w:rPr>
          <w:rFonts w:hint="eastAsia" w:ascii="宋体" w:hAnsi="宋体" w:eastAsia="仿宋"/>
          <w:sz w:val="24"/>
        </w:rPr>
        <w:t xml:space="preserve"> 供应商须知前附表规定组织现场考察的，采购人按供应商须知前附表规定的时间、地点组织供应商现场考察。采购人不组织统一现场考察的，由供应商自行考察现场。</w:t>
      </w:r>
    </w:p>
    <w:p w14:paraId="76A44419">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1.8.</w:t>
      </w:r>
      <w:r>
        <w:rPr>
          <w:rFonts w:ascii="宋体" w:hAnsi="宋体" w:eastAsia="仿宋"/>
          <w:sz w:val="24"/>
        </w:rPr>
        <w:t>2</w:t>
      </w:r>
      <w:r>
        <w:rPr>
          <w:rFonts w:hint="eastAsia" w:ascii="宋体" w:hAnsi="宋体" w:eastAsia="仿宋"/>
          <w:sz w:val="24"/>
        </w:rPr>
        <w:t xml:space="preserve"> 供应商现场考察发生的费用自理。</w:t>
      </w:r>
    </w:p>
    <w:p w14:paraId="34DD592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1.8</w:t>
      </w:r>
      <w:r>
        <w:rPr>
          <w:rFonts w:ascii="宋体" w:hAnsi="宋体" w:eastAsia="仿宋"/>
          <w:sz w:val="24"/>
        </w:rPr>
        <w:t>.3</w:t>
      </w:r>
      <w:r>
        <w:rPr>
          <w:rFonts w:hint="eastAsia" w:ascii="宋体" w:hAnsi="宋体" w:eastAsia="仿宋"/>
          <w:sz w:val="24"/>
        </w:rPr>
        <w:t xml:space="preserve"> 除采购人的原因外，供应商自行负责在现场考察中所发生的人员伤亡和财产损失。</w:t>
      </w:r>
    </w:p>
    <w:p w14:paraId="60AC5EF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1.8</w:t>
      </w:r>
      <w:r>
        <w:rPr>
          <w:rFonts w:ascii="宋体" w:hAnsi="宋体" w:eastAsia="仿宋"/>
          <w:sz w:val="24"/>
        </w:rPr>
        <w:t>.4</w:t>
      </w:r>
      <w:r>
        <w:rPr>
          <w:rFonts w:hint="eastAsia" w:ascii="宋体" w:hAnsi="宋体" w:eastAsia="仿宋"/>
          <w:sz w:val="24"/>
        </w:rPr>
        <w:t xml:space="preserve"> 采购人在现场考察中介绍的现场情况和周边相关的环境情况，仅作为供应商在编制响应文件时参考，采购人不对供应商据此作出的判断和决策负责。</w:t>
      </w:r>
    </w:p>
    <w:p w14:paraId="12BBCBA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1.8.5 除非有特殊要求，竞争性磋商文件不单独提供供货使用地的自然环境、气候条件、公用设施等情况，供应商被视为熟悉上述与履行合同有关的一切情况。</w:t>
      </w:r>
    </w:p>
    <w:p w14:paraId="57E7B37D">
      <w:pPr>
        <w:pStyle w:val="4"/>
        <w:adjustRightInd w:val="0"/>
        <w:ind w:firstLine="482" w:firstLineChars="200"/>
        <w:rPr>
          <w:rFonts w:eastAsia="仿宋"/>
          <w:sz w:val="24"/>
          <w:lang w:eastAsia="zh-CN"/>
        </w:rPr>
      </w:pPr>
      <w:bookmarkStart w:id="163" w:name="_Toc455587225"/>
      <w:bookmarkStart w:id="164" w:name="_Toc455587041"/>
      <w:bookmarkStart w:id="165" w:name="_Toc458504827"/>
      <w:bookmarkStart w:id="166" w:name="_Toc445554698"/>
      <w:bookmarkStart w:id="167" w:name="_Toc466024509"/>
      <w:r>
        <w:rPr>
          <w:rFonts w:hint="eastAsia" w:eastAsia="仿宋"/>
          <w:sz w:val="24"/>
          <w:lang w:eastAsia="zh-CN"/>
        </w:rPr>
        <w:t>1.</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hint="eastAsia" w:eastAsia="仿宋"/>
          <w:sz w:val="24"/>
          <w:lang w:eastAsia="zh-CN"/>
        </w:rPr>
        <w:t>9 磋商前答疑会</w:t>
      </w:r>
      <w:bookmarkEnd w:id="167"/>
    </w:p>
    <w:p w14:paraId="2BF5AA2C">
      <w:pPr>
        <w:widowControl/>
        <w:adjustRightInd w:val="0"/>
        <w:snapToGrid w:val="0"/>
        <w:spacing w:line="360" w:lineRule="auto"/>
        <w:ind w:firstLine="480" w:firstLineChars="200"/>
        <w:rPr>
          <w:rFonts w:ascii="宋体" w:hAnsi="宋体" w:eastAsia="仿宋"/>
          <w:sz w:val="24"/>
        </w:rPr>
      </w:pPr>
      <w:r>
        <w:rPr>
          <w:rFonts w:hint="eastAsia" w:ascii="Calibri" w:hAnsi="Calibri" w:eastAsia="仿宋"/>
          <w:sz w:val="24"/>
        </w:rPr>
        <w:t>供应商须知前附表规定召开磋商前答疑会（以下简称答疑会）的，采购人按照供应商须知前附表规定的时间和地点召开答疑会，澄清供应商提出的问题。</w:t>
      </w:r>
    </w:p>
    <w:p w14:paraId="6E6F27EC">
      <w:pPr>
        <w:pStyle w:val="4"/>
        <w:adjustRightInd w:val="0"/>
        <w:ind w:firstLine="482" w:firstLineChars="200"/>
        <w:rPr>
          <w:rFonts w:eastAsia="仿宋"/>
          <w:sz w:val="24"/>
          <w:lang w:eastAsia="zh-CN"/>
        </w:rPr>
      </w:pPr>
      <w:r>
        <w:rPr>
          <w:rFonts w:hint="eastAsia" w:eastAsia="仿宋"/>
          <w:sz w:val="24"/>
          <w:lang w:eastAsia="zh-CN"/>
        </w:rPr>
        <w:t>1.10 分包</w:t>
      </w:r>
    </w:p>
    <w:p w14:paraId="56CEE32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1.10.1 供应商拟在成交后将成交项目的非主体、非关键性工作进行分包的，应符合供应商须知前附表规定的分包内容等限制性条件，分包承担主体应当具备相应资质条件且不得再次分包，除供应商须知前附表规定的非主体、非关键性工作外，其他工作不得分包。</w:t>
      </w:r>
    </w:p>
    <w:p w14:paraId="193DBDE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 xml:space="preserve">1.10.2 </w:t>
      </w:r>
      <w:r>
        <w:rPr>
          <w:rFonts w:hint="eastAsia" w:ascii="Calibri" w:hAnsi="Calibri" w:eastAsia="仿宋"/>
          <w:sz w:val="24"/>
        </w:rPr>
        <w:t>成交供应商不得向他人转让成交项目。成交供应商应当就分包项目向采购人负责，分包承担主体就分包项目承担连带责任。</w:t>
      </w:r>
    </w:p>
    <w:p w14:paraId="462B134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 xml:space="preserve">1.10.3 </w:t>
      </w:r>
      <w:r>
        <w:rPr>
          <w:rFonts w:hint="eastAsia" w:ascii="Calibri" w:hAnsi="Calibri" w:eastAsia="仿宋"/>
          <w:sz w:val="24"/>
        </w:rPr>
        <w:t>成交供应商享受政府采购扶持政策获得政府采购合同的，小微企业不得将合同分包给大中型企业，中型企业不得将合同分包给大型企业。</w:t>
      </w:r>
    </w:p>
    <w:p w14:paraId="6AA0994C">
      <w:pPr>
        <w:pStyle w:val="3"/>
        <w:rPr>
          <w:rStyle w:val="103"/>
          <w:rFonts w:ascii="宋体" w:hAnsi="宋体" w:eastAsia="仿宋"/>
          <w:b/>
          <w:bCs/>
          <w:sz w:val="24"/>
          <w:szCs w:val="24"/>
        </w:rPr>
      </w:pPr>
      <w:bookmarkStart w:id="168" w:name="_Toc445554700"/>
      <w:bookmarkStart w:id="169" w:name="_Toc455587227"/>
      <w:bookmarkStart w:id="170" w:name="_Toc152042318"/>
      <w:bookmarkStart w:id="171" w:name="_Toc333599672"/>
      <w:bookmarkStart w:id="172" w:name="_Toc342294727"/>
      <w:bookmarkStart w:id="173" w:name="_Toc152045542"/>
      <w:bookmarkStart w:id="174" w:name="_Toc342297632"/>
      <w:bookmarkStart w:id="175" w:name="_Toc338944618"/>
      <w:bookmarkStart w:id="176" w:name="_Toc458504828"/>
      <w:bookmarkStart w:id="177" w:name="_Toc179632560"/>
      <w:bookmarkStart w:id="178" w:name="_Toc144974510"/>
      <w:bookmarkStart w:id="179" w:name="_Toc333600696"/>
      <w:bookmarkStart w:id="180" w:name="_Toc466024510"/>
      <w:bookmarkStart w:id="181" w:name="_Toc342296175"/>
      <w:bookmarkStart w:id="182" w:name="_Toc371415929"/>
      <w:bookmarkStart w:id="183" w:name="_Toc455587043"/>
      <w:bookmarkStart w:id="184" w:name="_Toc338943713"/>
      <w:r>
        <w:rPr>
          <w:rStyle w:val="103"/>
          <w:rFonts w:hint="eastAsia" w:ascii="宋体" w:hAnsi="宋体" w:eastAsia="仿宋"/>
          <w:b/>
          <w:bCs/>
          <w:sz w:val="24"/>
          <w:szCs w:val="24"/>
        </w:rPr>
        <w:t xml:space="preserve">2. </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Style w:val="103"/>
          <w:rFonts w:hint="eastAsia" w:ascii="宋体" w:hAnsi="宋体" w:eastAsia="仿宋"/>
          <w:b/>
          <w:bCs/>
          <w:sz w:val="24"/>
          <w:szCs w:val="24"/>
        </w:rPr>
        <w:t>竞争性磋商文件</w:t>
      </w:r>
    </w:p>
    <w:p w14:paraId="2D9D7289">
      <w:pPr>
        <w:pStyle w:val="4"/>
        <w:adjustRightInd w:val="0"/>
        <w:ind w:firstLine="482" w:firstLineChars="200"/>
        <w:rPr>
          <w:rFonts w:eastAsia="仿宋"/>
          <w:sz w:val="24"/>
          <w:lang w:eastAsia="zh-CN"/>
        </w:rPr>
      </w:pPr>
      <w:bookmarkStart w:id="185" w:name="_Toc179632561"/>
      <w:bookmarkStart w:id="186" w:name="_Toc152042319"/>
      <w:bookmarkStart w:id="187" w:name="_Toc338944619"/>
      <w:bookmarkStart w:id="188" w:name="_Toc371415930"/>
      <w:bookmarkStart w:id="189" w:name="_Toc342297633"/>
      <w:bookmarkStart w:id="190" w:name="_Toc333599673"/>
      <w:bookmarkStart w:id="191" w:name="_Toc455587044"/>
      <w:bookmarkStart w:id="192" w:name="_Toc466024511"/>
      <w:bookmarkStart w:id="193" w:name="_Toc458504829"/>
      <w:bookmarkStart w:id="194" w:name="_Toc455587228"/>
      <w:bookmarkStart w:id="195" w:name="_Toc445554701"/>
      <w:bookmarkStart w:id="196" w:name="_Toc342294728"/>
      <w:bookmarkStart w:id="197" w:name="_Toc333587867"/>
      <w:bookmarkStart w:id="198" w:name="_Toc338943714"/>
      <w:bookmarkStart w:id="199" w:name="_Toc152045543"/>
      <w:bookmarkStart w:id="200" w:name="_Toc333600697"/>
      <w:bookmarkStart w:id="201" w:name="_Toc342296176"/>
      <w:bookmarkStart w:id="202" w:name="_Toc144974511"/>
      <w:r>
        <w:rPr>
          <w:rFonts w:hint="eastAsia" w:eastAsia="仿宋"/>
          <w:sz w:val="24"/>
          <w:lang w:eastAsia="zh-CN"/>
        </w:rPr>
        <w:t>2.1 竞争性磋商文件的组成</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486095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本竞争性磋商文件包括：</w:t>
      </w:r>
    </w:p>
    <w:p w14:paraId="726C02B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）竞争性磋商公告；</w:t>
      </w:r>
    </w:p>
    <w:p w14:paraId="25BF798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）供应商须知；</w:t>
      </w:r>
    </w:p>
    <w:p w14:paraId="7CFB640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3</w:t>
      </w:r>
      <w:r>
        <w:rPr>
          <w:rFonts w:hint="eastAsia" w:ascii="宋体" w:hAnsi="宋体" w:eastAsia="仿宋"/>
          <w:sz w:val="24"/>
        </w:rPr>
        <w:t>）采购需求；</w:t>
      </w:r>
    </w:p>
    <w:p w14:paraId="1DBAC3E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4</w:t>
      </w:r>
      <w:r>
        <w:rPr>
          <w:rFonts w:hint="eastAsia" w:ascii="宋体" w:hAnsi="宋体" w:eastAsia="仿宋"/>
          <w:sz w:val="24"/>
        </w:rPr>
        <w:t>）磋商和评审办法；</w:t>
      </w:r>
    </w:p>
    <w:p w14:paraId="5DFEF09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（5）合同条款及格式；</w:t>
      </w:r>
    </w:p>
    <w:p w14:paraId="101C4DD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（6）响应文件格式。</w:t>
      </w:r>
    </w:p>
    <w:p w14:paraId="55145569">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对竞争性磋商文件所作的澄清、修改、补充通知，构成竞争性磋商文件的组成部分。当竞争性磋商文件、竞争性磋商文件的澄清或修改等在同一内容的</w:t>
      </w:r>
      <w:r>
        <w:rPr>
          <w:rFonts w:hint="eastAsia" w:eastAsia="仿宋"/>
          <w:color w:val="000000"/>
          <w:sz w:val="24"/>
        </w:rPr>
        <w:t>表述</w:t>
      </w:r>
      <w:r>
        <w:rPr>
          <w:rFonts w:hint="eastAsia" w:ascii="宋体" w:hAnsi="宋体" w:eastAsia="仿宋"/>
          <w:sz w:val="24"/>
        </w:rPr>
        <w:t>上不一致时，以最后发出的书面文件为准。</w:t>
      </w:r>
    </w:p>
    <w:p w14:paraId="3BDF5BD7">
      <w:pPr>
        <w:pStyle w:val="4"/>
        <w:adjustRightInd w:val="0"/>
        <w:ind w:firstLine="482" w:firstLineChars="200"/>
        <w:rPr>
          <w:rFonts w:eastAsia="仿宋"/>
          <w:sz w:val="24"/>
          <w:lang w:eastAsia="zh-CN"/>
        </w:rPr>
      </w:pPr>
      <w:bookmarkStart w:id="203" w:name="_Toc455587229"/>
      <w:bookmarkStart w:id="204" w:name="_Toc458504830"/>
      <w:bookmarkStart w:id="205" w:name="_Toc152042320"/>
      <w:bookmarkStart w:id="206" w:name="_Toc455587045"/>
      <w:bookmarkStart w:id="207" w:name="_Toc247527569"/>
      <w:bookmarkStart w:id="208" w:name="_Toc371415931"/>
      <w:bookmarkStart w:id="209" w:name="_Toc152045544"/>
      <w:bookmarkStart w:id="210" w:name="_Toc445554702"/>
      <w:bookmarkStart w:id="211" w:name="_Toc300834965"/>
      <w:bookmarkStart w:id="212" w:name="_Toc466024512"/>
      <w:bookmarkStart w:id="213" w:name="_Toc144974512"/>
      <w:bookmarkStart w:id="214" w:name="_Toc247513968"/>
      <w:r>
        <w:rPr>
          <w:rFonts w:hint="eastAsia" w:eastAsia="仿宋"/>
          <w:sz w:val="24"/>
          <w:lang w:eastAsia="zh-CN"/>
        </w:rPr>
        <w:t>2.2 竞争性磋商文件的澄清</w:t>
      </w:r>
      <w:bookmarkEnd w:id="203"/>
      <w:bookmarkEnd w:id="204"/>
      <w:bookmarkEnd w:id="205"/>
      <w:bookmarkEnd w:id="206"/>
      <w:bookmarkEnd w:id="207"/>
      <w:bookmarkEnd w:id="208"/>
      <w:bookmarkEnd w:id="209"/>
      <w:bookmarkEnd w:id="210"/>
      <w:bookmarkEnd w:id="211"/>
      <w:bookmarkEnd w:id="212"/>
      <w:bookmarkEnd w:id="213"/>
      <w:bookmarkEnd w:id="214"/>
    </w:p>
    <w:p w14:paraId="462D0B6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w:t>
      </w:r>
      <w:r>
        <w:rPr>
          <w:rFonts w:ascii="宋体" w:hAnsi="宋体" w:eastAsia="仿宋"/>
          <w:sz w:val="24"/>
        </w:rPr>
        <w:t>1</w:t>
      </w:r>
      <w:r>
        <w:rPr>
          <w:rFonts w:hint="eastAsia" w:ascii="宋体" w:hAnsi="宋体" w:eastAsia="仿宋"/>
          <w:sz w:val="24"/>
        </w:rPr>
        <w:t xml:space="preserve"> </w:t>
      </w:r>
      <w:r>
        <w:rPr>
          <w:rFonts w:hint="eastAsia" w:eastAsia="仿宋"/>
          <w:color w:val="000000"/>
          <w:sz w:val="24"/>
        </w:rPr>
        <w:t>供应商</w:t>
      </w:r>
      <w:r>
        <w:rPr>
          <w:rFonts w:eastAsia="仿宋"/>
          <w:color w:val="000000"/>
          <w:sz w:val="24"/>
        </w:rPr>
        <w:t>应仔细阅读和检查</w:t>
      </w:r>
      <w:r>
        <w:rPr>
          <w:rFonts w:hint="eastAsia" w:eastAsia="仿宋"/>
          <w:color w:val="000000"/>
          <w:sz w:val="24"/>
        </w:rPr>
        <w:t>竞争性磋商文件</w:t>
      </w:r>
      <w:r>
        <w:rPr>
          <w:rFonts w:eastAsia="仿宋"/>
          <w:color w:val="000000"/>
          <w:sz w:val="24"/>
        </w:rPr>
        <w:t>的全部内容。如发现缺页或附件不全，应及时向</w:t>
      </w:r>
      <w:r>
        <w:rPr>
          <w:rFonts w:hint="eastAsia" w:eastAsia="仿宋"/>
          <w:color w:val="000000"/>
          <w:sz w:val="24"/>
        </w:rPr>
        <w:t>采购</w:t>
      </w:r>
      <w:r>
        <w:rPr>
          <w:rFonts w:eastAsia="仿宋"/>
          <w:color w:val="000000"/>
          <w:sz w:val="24"/>
        </w:rPr>
        <w:t>人提出，以便补齐。</w:t>
      </w:r>
      <w:r>
        <w:rPr>
          <w:rFonts w:hint="eastAsia" w:eastAsia="仿宋"/>
          <w:color w:val="000000"/>
          <w:sz w:val="24"/>
        </w:rPr>
        <w:t>供应商对竞争性磋商文件有疑问的，可依法按本章第9.1款提出询问</w:t>
      </w:r>
      <w:r>
        <w:rPr>
          <w:rFonts w:eastAsia="仿宋"/>
          <w:color w:val="000000"/>
          <w:sz w:val="24"/>
        </w:rPr>
        <w:t>。</w:t>
      </w:r>
    </w:p>
    <w:p w14:paraId="1D790EF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2.2.2 竞争性磋商文件的澄清按供应商须知前附表规定的形式发出，但不指明澄清问题的来源，该澄清的内容为竞争性磋商文件的组成部分。如果澄清发出的时间距本章第4.2.1项规定的提交首次响应文件截止之日不足5日的，并且澄清内容可能影响响应文件编制，将相应顺延提交首次响应文件截止时间。</w:t>
      </w:r>
    </w:p>
    <w:p w14:paraId="01E0E6E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w:t>
      </w:r>
      <w:r>
        <w:rPr>
          <w:rFonts w:ascii="宋体" w:hAnsi="宋体" w:eastAsia="仿宋"/>
          <w:sz w:val="24"/>
        </w:rPr>
        <w:t>.3</w:t>
      </w:r>
      <w:r>
        <w:rPr>
          <w:rFonts w:hint="eastAsia" w:ascii="宋体" w:hAnsi="宋体" w:eastAsia="仿宋"/>
          <w:sz w:val="24"/>
        </w:rPr>
        <w:t xml:space="preserve"> 供应商应主动上网查询对竞争性磋商文件的澄清，无需供应商书面确认。供应商未及时关注相关信息的，其责任自负。对竞争性磋商文件进行的澄清，通过其他方式发布的，供应商收到澄清后24小时内书面确认（以发出时间为准），逾期未确认的，视为供应商完整收到。</w:t>
      </w:r>
    </w:p>
    <w:p w14:paraId="58EDE2D5">
      <w:pPr>
        <w:pStyle w:val="4"/>
        <w:adjustRightInd w:val="0"/>
        <w:ind w:firstLine="482" w:firstLineChars="200"/>
        <w:rPr>
          <w:rFonts w:eastAsia="仿宋"/>
          <w:sz w:val="24"/>
          <w:lang w:eastAsia="zh-CN"/>
        </w:rPr>
      </w:pPr>
      <w:bookmarkStart w:id="215" w:name="_Toc144974513"/>
      <w:bookmarkStart w:id="216" w:name="_Toc466024513"/>
      <w:bookmarkStart w:id="217" w:name="_Toc458504831"/>
      <w:bookmarkStart w:id="218" w:name="_Toc152042321"/>
      <w:bookmarkStart w:id="219" w:name="_Toc455587230"/>
      <w:bookmarkStart w:id="220" w:name="_Toc455587046"/>
      <w:bookmarkStart w:id="221" w:name="_Toc371415932"/>
      <w:bookmarkStart w:id="222" w:name="_Toc247527570"/>
      <w:bookmarkStart w:id="223" w:name="_Toc247513969"/>
      <w:bookmarkStart w:id="224" w:name="_Toc300834966"/>
      <w:bookmarkStart w:id="225" w:name="_Toc445554703"/>
      <w:bookmarkStart w:id="226" w:name="_Toc152045545"/>
      <w:r>
        <w:rPr>
          <w:rFonts w:hint="eastAsia" w:eastAsia="仿宋"/>
          <w:sz w:val="24"/>
          <w:lang w:eastAsia="zh-CN"/>
        </w:rPr>
        <w:t>2.3 竞争性磋商文件的修改</w:t>
      </w:r>
      <w:bookmarkEnd w:id="215"/>
      <w:bookmarkEnd w:id="216"/>
      <w:bookmarkEnd w:id="217"/>
      <w:bookmarkEnd w:id="218"/>
      <w:bookmarkEnd w:id="219"/>
      <w:bookmarkEnd w:id="220"/>
      <w:bookmarkEnd w:id="221"/>
      <w:bookmarkEnd w:id="222"/>
      <w:bookmarkEnd w:id="223"/>
      <w:bookmarkEnd w:id="224"/>
      <w:bookmarkEnd w:id="225"/>
      <w:bookmarkEnd w:id="226"/>
    </w:p>
    <w:p w14:paraId="2ADAA70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2.3</w:t>
      </w:r>
      <w:r>
        <w:rPr>
          <w:rFonts w:ascii="宋体" w:hAnsi="宋体" w:eastAsia="仿宋"/>
          <w:sz w:val="24"/>
        </w:rPr>
        <w:t>.1</w:t>
      </w:r>
      <w:r>
        <w:rPr>
          <w:rFonts w:hint="eastAsia" w:ascii="宋体" w:hAnsi="宋体" w:eastAsia="仿宋"/>
          <w:sz w:val="24"/>
        </w:rPr>
        <w:t xml:space="preserve"> 对竞争性磋商文件的修改将在竞争性磋商公告发布的媒介以发布更正公告的方式公开。如果修改竞争性磋商文件的时间距本章第4.2.1项规定的提交首次响应文件截止之日不足5日的，且修改内容影响响应文件编制，将相应顺延提交首次响应文件截止时间。</w:t>
      </w:r>
    </w:p>
    <w:p w14:paraId="29CC3CD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2.3</w:t>
      </w:r>
      <w:r>
        <w:rPr>
          <w:rFonts w:ascii="宋体" w:hAnsi="宋体" w:eastAsia="仿宋"/>
          <w:sz w:val="24"/>
        </w:rPr>
        <w:t>.2</w:t>
      </w:r>
      <w:r>
        <w:rPr>
          <w:rFonts w:hint="eastAsia" w:ascii="宋体" w:hAnsi="宋体" w:eastAsia="仿宋"/>
          <w:sz w:val="24"/>
        </w:rPr>
        <w:t xml:space="preserve"> 更正公告的内容作为竞争性磋商文件的组成部分，对供应商起约束作用。供应商应主动上网查询，采购人及采购代理机构不承担供应商未及时关注相关信息引发的相关责任。</w:t>
      </w:r>
    </w:p>
    <w:p w14:paraId="20B8229D">
      <w:pPr>
        <w:pStyle w:val="4"/>
        <w:adjustRightInd w:val="0"/>
        <w:ind w:firstLine="482" w:firstLineChars="200"/>
        <w:rPr>
          <w:rFonts w:eastAsia="仿宋"/>
          <w:sz w:val="24"/>
          <w:lang w:eastAsia="zh-CN"/>
        </w:rPr>
      </w:pPr>
      <w:r>
        <w:rPr>
          <w:rFonts w:hint="eastAsia" w:eastAsia="仿宋"/>
          <w:sz w:val="24"/>
          <w:lang w:eastAsia="zh-CN"/>
        </w:rPr>
        <w:t>2.4 竞争性磋商文件的质疑</w:t>
      </w:r>
    </w:p>
    <w:p w14:paraId="17A8D55A">
      <w:pPr>
        <w:widowControl/>
        <w:adjustRightInd w:val="0"/>
        <w:snapToGrid w:val="0"/>
        <w:spacing w:line="360" w:lineRule="auto"/>
        <w:ind w:firstLine="480" w:firstLineChars="200"/>
        <w:rPr>
          <w:rFonts w:ascii="宋体" w:hAnsi="宋体" w:eastAsia="仿宋"/>
          <w:sz w:val="24"/>
        </w:rPr>
      </w:pPr>
      <w:bookmarkStart w:id="227" w:name="_Toc342297636"/>
      <w:bookmarkStart w:id="228" w:name="_Toc144974514"/>
      <w:bookmarkStart w:id="229" w:name="_Toc179632564"/>
      <w:bookmarkStart w:id="230" w:name="_Toc152042322"/>
      <w:bookmarkStart w:id="231" w:name="_Toc338943717"/>
      <w:bookmarkStart w:id="232" w:name="_Toc338944622"/>
      <w:bookmarkStart w:id="233" w:name="_Toc371415933"/>
      <w:bookmarkStart w:id="234" w:name="_Toc458504832"/>
      <w:bookmarkStart w:id="235" w:name="_Toc333599676"/>
      <w:bookmarkStart w:id="236" w:name="_Toc342294731"/>
      <w:bookmarkStart w:id="237" w:name="_Toc333600700"/>
      <w:bookmarkStart w:id="238" w:name="_Toc455587232"/>
      <w:bookmarkStart w:id="239" w:name="_Toc455587048"/>
      <w:bookmarkStart w:id="240" w:name="_Toc152045546"/>
      <w:bookmarkStart w:id="241" w:name="_Toc466024514"/>
      <w:bookmarkStart w:id="242" w:name="_Toc445554705"/>
      <w:bookmarkStart w:id="243" w:name="_Toc342296179"/>
      <w:r>
        <w:rPr>
          <w:rFonts w:hint="eastAsia" w:ascii="宋体" w:hAnsi="宋体" w:eastAsia="仿宋"/>
          <w:sz w:val="24"/>
        </w:rPr>
        <w:t>2.4.1 供应商对竞争性磋商文件的质疑须符合本章第9.2款规定。</w:t>
      </w:r>
    </w:p>
    <w:p w14:paraId="4308C8D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2.4.2 采购人对质疑的答复构成对竞争性磋商文件澄清或者修改的，采购人将按照本章第2.2款、第2.3款规定办理。</w:t>
      </w:r>
    </w:p>
    <w:p w14:paraId="775EB043">
      <w:pPr>
        <w:pStyle w:val="3"/>
        <w:rPr>
          <w:rStyle w:val="103"/>
          <w:rFonts w:ascii="宋体" w:hAnsi="宋体" w:eastAsia="仿宋"/>
          <w:b/>
          <w:bCs/>
          <w:sz w:val="24"/>
          <w:szCs w:val="24"/>
        </w:rPr>
      </w:pPr>
      <w:r>
        <w:rPr>
          <w:rStyle w:val="103"/>
          <w:rFonts w:hint="eastAsia" w:ascii="宋体" w:hAnsi="宋体" w:eastAsia="仿宋"/>
          <w:b/>
          <w:bCs/>
          <w:sz w:val="24"/>
          <w:szCs w:val="24"/>
        </w:rPr>
        <w:t xml:space="preserve">3. </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Pr>
          <w:rStyle w:val="103"/>
          <w:rFonts w:hint="eastAsia" w:ascii="宋体" w:hAnsi="宋体" w:eastAsia="仿宋"/>
          <w:b/>
          <w:bCs/>
          <w:sz w:val="24"/>
          <w:szCs w:val="24"/>
        </w:rPr>
        <w:t>响应文件</w:t>
      </w:r>
    </w:p>
    <w:p w14:paraId="0DC81269">
      <w:pPr>
        <w:pStyle w:val="4"/>
        <w:adjustRightInd w:val="0"/>
        <w:ind w:firstLine="482" w:firstLineChars="200"/>
        <w:rPr>
          <w:rFonts w:eastAsia="仿宋"/>
          <w:sz w:val="24"/>
          <w:lang w:eastAsia="zh-CN"/>
        </w:rPr>
      </w:pPr>
      <w:bookmarkStart w:id="244" w:name="_Toc342297637"/>
      <w:bookmarkStart w:id="245" w:name="_Toc455587233"/>
      <w:bookmarkStart w:id="246" w:name="_Toc338944623"/>
      <w:bookmarkStart w:id="247" w:name="_Toc371415934"/>
      <w:bookmarkStart w:id="248" w:name="_Toc455587049"/>
      <w:bookmarkStart w:id="249" w:name="_Toc152045547"/>
      <w:bookmarkStart w:id="250" w:name="_Toc458504833"/>
      <w:bookmarkStart w:id="251" w:name="_Toc342294732"/>
      <w:bookmarkStart w:id="252" w:name="_Toc342296180"/>
      <w:bookmarkStart w:id="253" w:name="_Toc445554706"/>
      <w:bookmarkStart w:id="254" w:name="_Toc333600701"/>
      <w:bookmarkStart w:id="255" w:name="_Toc333587871"/>
      <w:bookmarkStart w:id="256" w:name="_Toc466024515"/>
      <w:bookmarkStart w:id="257" w:name="_Toc333599677"/>
      <w:bookmarkStart w:id="258" w:name="_Toc152042323"/>
      <w:bookmarkStart w:id="259" w:name="_Toc144974515"/>
      <w:bookmarkStart w:id="260" w:name="_Toc179632565"/>
      <w:bookmarkStart w:id="261" w:name="_Toc338943718"/>
      <w:r>
        <w:rPr>
          <w:rFonts w:hint="eastAsia" w:eastAsia="仿宋"/>
          <w:sz w:val="24"/>
          <w:lang w:eastAsia="zh-CN"/>
        </w:rPr>
        <w:t>3.1 响应文件的组成</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53419EC">
      <w:pPr>
        <w:widowControl/>
        <w:adjustRightInd w:val="0"/>
        <w:snapToGrid w:val="0"/>
        <w:spacing w:line="360" w:lineRule="auto"/>
        <w:ind w:firstLine="480" w:firstLineChars="200"/>
        <w:rPr>
          <w:rFonts w:ascii="宋体" w:hAnsi="宋体" w:eastAsia="仿宋"/>
          <w:color w:val="000000"/>
          <w:sz w:val="24"/>
        </w:rPr>
      </w:pPr>
      <w:bookmarkStart w:id="262" w:name="_Toc333587872"/>
      <w:bookmarkStart w:id="263" w:name="_Toc179632566"/>
      <w:bookmarkStart w:id="264" w:name="_Toc338943719"/>
      <w:bookmarkStart w:id="265" w:name="_Toc342296181"/>
      <w:bookmarkStart w:id="266" w:name="_Toc333599678"/>
      <w:bookmarkStart w:id="267" w:name="_Toc338944624"/>
      <w:bookmarkStart w:id="268" w:name="_Toc342294733"/>
      <w:bookmarkStart w:id="269" w:name="_Toc152045548"/>
      <w:bookmarkStart w:id="270" w:name="_Toc144974516"/>
      <w:bookmarkStart w:id="271" w:name="_Toc342297638"/>
      <w:bookmarkStart w:id="272" w:name="_Toc333600702"/>
      <w:bookmarkStart w:id="273" w:name="_Toc152042324"/>
      <w:r>
        <w:rPr>
          <w:rFonts w:hint="eastAsia" w:ascii="宋体" w:hAnsi="宋体" w:eastAsia="仿宋"/>
          <w:color w:val="000000"/>
          <w:sz w:val="24"/>
        </w:rPr>
        <w:t>3.1</w:t>
      </w:r>
      <w:r>
        <w:rPr>
          <w:rFonts w:ascii="宋体" w:hAnsi="宋体" w:eastAsia="仿宋"/>
          <w:color w:val="000000"/>
          <w:sz w:val="24"/>
        </w:rPr>
        <w:t>.1</w:t>
      </w:r>
      <w:r>
        <w:rPr>
          <w:rFonts w:hint="eastAsia" w:ascii="宋体" w:hAnsi="宋体" w:eastAsia="仿宋"/>
          <w:color w:val="000000"/>
          <w:sz w:val="24"/>
        </w:rPr>
        <w:t xml:space="preserve"> 响应文件应包括下列内容：</w:t>
      </w:r>
    </w:p>
    <w:p w14:paraId="68A8730B">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（1）</w:t>
      </w:r>
      <w:r>
        <w:rPr>
          <w:rFonts w:hint="eastAsia" w:ascii="Calibri" w:hAnsi="Calibri" w:eastAsia="仿宋"/>
          <w:color w:val="000000"/>
          <w:sz w:val="24"/>
        </w:rPr>
        <w:t>响应</w:t>
      </w:r>
      <w:r>
        <w:rPr>
          <w:rFonts w:hint="eastAsia" w:ascii="宋体" w:hAnsi="宋体" w:eastAsia="仿宋"/>
          <w:color w:val="000000"/>
          <w:sz w:val="24"/>
        </w:rPr>
        <w:t>函；</w:t>
      </w:r>
    </w:p>
    <w:p w14:paraId="4DBD22AB">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（2）</w:t>
      </w:r>
      <w:r>
        <w:rPr>
          <w:rFonts w:hint="eastAsia" w:ascii="Calibri" w:hAnsi="Calibri" w:eastAsia="仿宋"/>
          <w:color w:val="000000"/>
          <w:sz w:val="24"/>
        </w:rPr>
        <w:t>响应报价</w:t>
      </w:r>
      <w:r>
        <w:rPr>
          <w:rFonts w:hint="eastAsia" w:ascii="宋体" w:hAnsi="宋体" w:eastAsia="仿宋"/>
          <w:color w:val="000000"/>
          <w:sz w:val="24"/>
        </w:rPr>
        <w:t>一览表；</w:t>
      </w:r>
    </w:p>
    <w:p w14:paraId="54F1F368">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（3）分项报价表；</w:t>
      </w:r>
    </w:p>
    <w:p w14:paraId="3DB01375">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（4）供应商综合情况简介；</w:t>
      </w:r>
    </w:p>
    <w:p w14:paraId="4414B7E2">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（5）中小企业声明函（货物）；</w:t>
      </w:r>
    </w:p>
    <w:p w14:paraId="58F99C12">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（6）法定代表人（单位负责人）身份证明或授权委托书；</w:t>
      </w:r>
    </w:p>
    <w:p w14:paraId="2BFAD817">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（7）联合体协议书（如有）；</w:t>
      </w:r>
    </w:p>
    <w:p w14:paraId="7F00DCEE">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（8）分包意向协议书（如有）；</w:t>
      </w:r>
    </w:p>
    <w:p w14:paraId="7899D902">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（9）资格审查材料；</w:t>
      </w:r>
    </w:p>
    <w:p w14:paraId="22BCC9CB">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（10）符合性审查与详细评审材料；</w:t>
      </w:r>
    </w:p>
    <w:p w14:paraId="3CBEDF14">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（11）主要标的承诺函；</w:t>
      </w:r>
    </w:p>
    <w:p w14:paraId="42096FF8">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（12）供应商认为应该提供的其他材料。</w:t>
      </w:r>
    </w:p>
    <w:p w14:paraId="72DF3035">
      <w:pPr>
        <w:widowControl/>
        <w:adjustRightInd w:val="0"/>
        <w:snapToGrid w:val="0"/>
        <w:spacing w:line="360" w:lineRule="auto"/>
        <w:ind w:firstLine="480" w:firstLineChars="200"/>
        <w:rPr>
          <w:rFonts w:eastAsia="仿宋"/>
          <w:color w:val="000000"/>
          <w:sz w:val="24"/>
        </w:rPr>
      </w:pPr>
      <w:r>
        <w:rPr>
          <w:rFonts w:eastAsia="仿宋"/>
          <w:color w:val="000000"/>
          <w:sz w:val="24"/>
        </w:rPr>
        <w:t>供应商在</w:t>
      </w:r>
      <w:r>
        <w:rPr>
          <w:rFonts w:hint="eastAsia" w:eastAsia="仿宋"/>
          <w:color w:val="000000"/>
          <w:sz w:val="24"/>
        </w:rPr>
        <w:t>磋商、评审</w:t>
      </w:r>
      <w:r>
        <w:rPr>
          <w:rFonts w:eastAsia="仿宋"/>
          <w:color w:val="000000"/>
          <w:sz w:val="24"/>
        </w:rPr>
        <w:t>过程中作出的符合法律法规和竞争性磋商文件规定的澄清确认，构成响应文件的组成部分。</w:t>
      </w:r>
    </w:p>
    <w:p w14:paraId="686FA0C2">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3.1.2 供应商须知前附表规定不接受联合体响应的，或供应商没有组成联合体的，响应文件不包括本章第3.1.1（7）目所指的联合体协议书。</w:t>
      </w:r>
    </w:p>
    <w:p w14:paraId="1F7DDCC2">
      <w:pPr>
        <w:adjustRightInd w:val="0"/>
        <w:spacing w:line="360" w:lineRule="auto"/>
        <w:ind w:firstLine="480" w:firstLineChars="200"/>
        <w:rPr>
          <w:rFonts w:ascii="宋体" w:hAnsi="宋体" w:eastAsia="仿宋"/>
          <w:sz w:val="24"/>
        </w:rPr>
      </w:pPr>
      <w:r>
        <w:rPr>
          <w:rFonts w:hint="eastAsia" w:ascii="宋体" w:hAnsi="宋体" w:eastAsia="仿宋"/>
          <w:color w:val="000000"/>
          <w:sz w:val="24"/>
        </w:rPr>
        <w:t>3.1.3 供应商须知前附表规定不接受分包的，或供</w:t>
      </w:r>
      <w:r>
        <w:rPr>
          <w:rFonts w:hint="eastAsia" w:ascii="宋体" w:hAnsi="宋体" w:eastAsia="仿宋"/>
          <w:sz w:val="24"/>
        </w:rPr>
        <w:t>应商没有分包的，响应文件不包括本章第3.1.1（8）目所指的分包意向协议书。</w:t>
      </w:r>
    </w:p>
    <w:p w14:paraId="41F05F71">
      <w:pPr>
        <w:adjustRightInd w:val="0"/>
        <w:spacing w:line="360" w:lineRule="auto"/>
        <w:ind w:firstLine="480" w:firstLineChars="200"/>
        <w:rPr>
          <w:rFonts w:ascii="宋体" w:hAnsi="宋体" w:eastAsia="仿宋"/>
          <w:sz w:val="24"/>
        </w:rPr>
      </w:pPr>
      <w:r>
        <w:rPr>
          <w:rFonts w:hint="eastAsia" w:ascii="宋体" w:hAnsi="宋体" w:eastAsia="仿宋"/>
          <w:sz w:val="24"/>
        </w:rPr>
        <w:t>3.1.4 供应商须知前附表规定要求递交货物样品的，供应商应按照供应商须知前附表的规定提供货物样品。</w:t>
      </w:r>
    </w:p>
    <w:p w14:paraId="3F3FBD6F">
      <w:pPr>
        <w:pStyle w:val="4"/>
        <w:adjustRightInd w:val="0"/>
        <w:ind w:firstLine="482" w:firstLineChars="200"/>
        <w:rPr>
          <w:rFonts w:eastAsia="仿宋"/>
          <w:sz w:val="24"/>
          <w:lang w:eastAsia="zh-CN"/>
        </w:rPr>
      </w:pPr>
      <w:bookmarkStart w:id="274" w:name="_Toc455587050"/>
      <w:bookmarkStart w:id="275" w:name="_Toc466024516"/>
      <w:bookmarkStart w:id="276" w:name="_Toc445554707"/>
      <w:bookmarkStart w:id="277" w:name="_Toc455587234"/>
      <w:bookmarkStart w:id="278" w:name="_Toc458504834"/>
      <w:r>
        <w:rPr>
          <w:rFonts w:hint="eastAsia" w:eastAsia="仿宋"/>
          <w:sz w:val="24"/>
          <w:lang w:eastAsia="zh-CN"/>
        </w:rPr>
        <w:t>3.2 响应报价</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Start w:id="279" w:name="_Toc370199958"/>
    </w:p>
    <w:p w14:paraId="66D4CC1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3.2</w:t>
      </w:r>
      <w:r>
        <w:rPr>
          <w:rFonts w:ascii="宋体" w:hAnsi="宋体" w:eastAsia="仿宋"/>
          <w:sz w:val="24"/>
        </w:rPr>
        <w:t>.1</w:t>
      </w:r>
      <w:r>
        <w:rPr>
          <w:rFonts w:hint="eastAsia" w:ascii="宋体" w:hAnsi="宋体" w:eastAsia="仿宋"/>
          <w:sz w:val="24"/>
        </w:rPr>
        <w:t xml:space="preserve"> 响应报价应当包括的内容见供应商须知前附表规定。供应商应当按竞争性磋商文件规定进行响应报价，并按给定格式填写响应报价表格。</w:t>
      </w:r>
      <w:bookmarkEnd w:id="279"/>
      <w:bookmarkStart w:id="280" w:name="_Toc370199959"/>
    </w:p>
    <w:p w14:paraId="52CA61B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3.2.2 供应商</w:t>
      </w:r>
      <w:r>
        <w:rPr>
          <w:rFonts w:ascii="宋体" w:hAnsi="宋体" w:eastAsia="仿宋"/>
          <w:sz w:val="24"/>
        </w:rPr>
        <w:t>应充分了解该项目的总体情况以及影响报价的其他要素。</w:t>
      </w:r>
    </w:p>
    <w:p w14:paraId="7FA5494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3.2.3 响应报价为各分项报价之和。如分项报价中存在缺漏项，则视为缺漏项价格已包含在其他分项报价之中。供应商在提交首次响应文件截止时间前修改响应报价一览表中的响应报价总额，应同时修改响应文件“分项报价表”中的相应报价。此修改须符合本章第4.3款的有关要求。</w:t>
      </w:r>
    </w:p>
    <w:p w14:paraId="6AA183B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3.2.4 响应报价的其他要求见供应商须知前附表。</w:t>
      </w:r>
    </w:p>
    <w:bookmarkEnd w:id="280"/>
    <w:p w14:paraId="471D1ACB">
      <w:pPr>
        <w:pStyle w:val="4"/>
        <w:adjustRightInd w:val="0"/>
        <w:ind w:firstLine="482" w:firstLineChars="200"/>
        <w:rPr>
          <w:rFonts w:eastAsia="仿宋"/>
          <w:sz w:val="24"/>
          <w:lang w:eastAsia="zh-CN"/>
        </w:rPr>
      </w:pPr>
      <w:bookmarkStart w:id="281" w:name="_Toc333600703"/>
      <w:bookmarkStart w:id="282" w:name="_Toc371415937"/>
      <w:bookmarkStart w:id="283" w:name="_Toc458504835"/>
      <w:bookmarkStart w:id="284" w:name="_Toc342297639"/>
      <w:bookmarkStart w:id="285" w:name="_Toc333587873"/>
      <w:bookmarkStart w:id="286" w:name="_Toc455587051"/>
      <w:bookmarkStart w:id="287" w:name="_Toc342294734"/>
      <w:bookmarkStart w:id="288" w:name="_Toc179632567"/>
      <w:bookmarkStart w:id="289" w:name="_Toc152045549"/>
      <w:bookmarkStart w:id="290" w:name="_Toc338943720"/>
      <w:bookmarkStart w:id="291" w:name="_Toc445554708"/>
      <w:bookmarkStart w:id="292" w:name="_Toc144974517"/>
      <w:bookmarkStart w:id="293" w:name="_Toc342296182"/>
      <w:bookmarkStart w:id="294" w:name="_Toc152042325"/>
      <w:bookmarkStart w:id="295" w:name="_Toc338944625"/>
      <w:bookmarkStart w:id="296" w:name="_Toc466024517"/>
      <w:bookmarkStart w:id="297" w:name="_Toc455587235"/>
      <w:bookmarkStart w:id="298" w:name="_Toc333599679"/>
      <w:r>
        <w:rPr>
          <w:rFonts w:hint="eastAsia" w:eastAsia="仿宋"/>
          <w:sz w:val="24"/>
          <w:lang w:eastAsia="zh-CN"/>
        </w:rPr>
        <w:t xml:space="preserve">3.3 </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eastAsia="仿宋"/>
          <w:sz w:val="24"/>
          <w:lang w:eastAsia="zh-CN"/>
        </w:rPr>
        <w:t>响应有效期</w:t>
      </w:r>
    </w:p>
    <w:p w14:paraId="2009F63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3.3</w:t>
      </w:r>
      <w:r>
        <w:rPr>
          <w:rFonts w:ascii="宋体" w:hAnsi="宋体" w:eastAsia="仿宋"/>
          <w:sz w:val="24"/>
        </w:rPr>
        <w:t>.1</w:t>
      </w:r>
      <w:r>
        <w:rPr>
          <w:rFonts w:hint="eastAsia" w:ascii="宋体" w:hAnsi="宋体" w:eastAsia="仿宋"/>
          <w:sz w:val="24"/>
        </w:rPr>
        <w:t xml:space="preserve"> 在供应商须知前附表规定中的响应有效期内，响应文件保持有效，供应商不得要求撤销或修改其响应文件，否则应承担竞争性磋商文件和法律法规规定的责任。</w:t>
      </w:r>
    </w:p>
    <w:p w14:paraId="2B8450B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3.3</w:t>
      </w:r>
      <w:r>
        <w:rPr>
          <w:rFonts w:ascii="宋体" w:hAnsi="宋体" w:eastAsia="仿宋"/>
          <w:sz w:val="24"/>
        </w:rPr>
        <w:t>.2</w:t>
      </w:r>
      <w:r>
        <w:rPr>
          <w:rFonts w:hint="eastAsia" w:ascii="宋体" w:hAnsi="宋体" w:eastAsia="仿宋"/>
          <w:sz w:val="24"/>
        </w:rPr>
        <w:t xml:space="preserve"> 出现特殊情况需要延长响应有效期的，采购人以书面形式通知所有供应商延长响应有效期。供应商同意延长的，应当相应延长其磋商保证金的有效期，但不得要求或被允许修改或撤销其响应文件；供应商拒绝延长的，其响应</w:t>
      </w:r>
      <w:r>
        <w:rPr>
          <w:rFonts w:hint="eastAsia" w:ascii="Calibri" w:hAnsi="Calibri" w:eastAsia="仿宋"/>
          <w:sz w:val="24"/>
        </w:rPr>
        <w:t>文件</w:t>
      </w:r>
      <w:r>
        <w:rPr>
          <w:rFonts w:hint="eastAsia" w:ascii="宋体" w:hAnsi="宋体" w:eastAsia="仿宋"/>
          <w:sz w:val="24"/>
        </w:rPr>
        <w:t>失效，但供应商有权收回其磋商保证金。</w:t>
      </w:r>
    </w:p>
    <w:p w14:paraId="511A610A">
      <w:pPr>
        <w:pStyle w:val="4"/>
        <w:adjustRightInd w:val="0"/>
        <w:ind w:firstLine="482" w:firstLineChars="200"/>
        <w:rPr>
          <w:rFonts w:eastAsia="仿宋"/>
          <w:sz w:val="24"/>
          <w:lang w:eastAsia="zh-CN"/>
        </w:rPr>
      </w:pPr>
      <w:bookmarkStart w:id="299" w:name="_Toc333599680"/>
      <w:bookmarkStart w:id="300" w:name="_Toc179632568"/>
      <w:bookmarkStart w:id="301" w:name="_Toc371415938"/>
      <w:bookmarkStart w:id="302" w:name="_Toc338944626"/>
      <w:bookmarkStart w:id="303" w:name="_Toc455587236"/>
      <w:bookmarkStart w:id="304" w:name="_Toc455587052"/>
      <w:bookmarkStart w:id="305" w:name="_Toc152045550"/>
      <w:bookmarkStart w:id="306" w:name="_Toc342294735"/>
      <w:bookmarkStart w:id="307" w:name="_Toc333600704"/>
      <w:bookmarkStart w:id="308" w:name="_Toc445554709"/>
      <w:bookmarkStart w:id="309" w:name="_Toc458504836"/>
      <w:bookmarkStart w:id="310" w:name="_Toc342296183"/>
      <w:bookmarkStart w:id="311" w:name="_Toc342297640"/>
      <w:bookmarkStart w:id="312" w:name="_Toc152042326"/>
      <w:bookmarkStart w:id="313" w:name="_Toc466024518"/>
      <w:bookmarkStart w:id="314" w:name="_Toc333587874"/>
      <w:bookmarkStart w:id="315" w:name="_Toc144974518"/>
      <w:bookmarkStart w:id="316" w:name="_Toc338943721"/>
      <w:r>
        <w:rPr>
          <w:rFonts w:hint="eastAsia" w:eastAsia="仿宋"/>
          <w:sz w:val="24"/>
          <w:lang w:eastAsia="zh-CN"/>
        </w:rPr>
        <w:t>3.4 磋商保证金</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187E3E9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对磋商保证金的要求见供应商须知前附表。</w:t>
      </w:r>
    </w:p>
    <w:p w14:paraId="2DD9C7D1">
      <w:pPr>
        <w:pStyle w:val="4"/>
        <w:adjustRightInd w:val="0"/>
        <w:ind w:firstLine="482" w:firstLineChars="200"/>
        <w:rPr>
          <w:rFonts w:eastAsia="仿宋"/>
          <w:sz w:val="24"/>
          <w:lang w:eastAsia="zh-CN"/>
        </w:rPr>
      </w:pPr>
      <w:bookmarkStart w:id="317" w:name="_Toc466024520"/>
      <w:bookmarkStart w:id="318" w:name="_Toc455587054"/>
      <w:bookmarkStart w:id="319" w:name="_Toc144974520"/>
      <w:bookmarkStart w:id="320" w:name="_Toc152045552"/>
      <w:bookmarkStart w:id="321" w:name="_Toc333600706"/>
      <w:bookmarkStart w:id="322" w:name="_Toc179632570"/>
      <w:bookmarkStart w:id="323" w:name="_Toc333599682"/>
      <w:bookmarkStart w:id="324" w:name="_Toc333587876"/>
      <w:bookmarkStart w:id="325" w:name="_Toc458504838"/>
      <w:bookmarkStart w:id="326" w:name="_Toc371415940"/>
      <w:bookmarkStart w:id="327" w:name="_Toc342294737"/>
      <w:bookmarkStart w:id="328" w:name="_Toc455587238"/>
      <w:bookmarkStart w:id="329" w:name="_Toc342296185"/>
      <w:bookmarkStart w:id="330" w:name="_Toc338943723"/>
      <w:bookmarkStart w:id="331" w:name="_Toc152042328"/>
      <w:bookmarkStart w:id="332" w:name="_Toc338944628"/>
      <w:bookmarkStart w:id="333" w:name="_Toc445554711"/>
      <w:bookmarkStart w:id="334" w:name="_Toc342297642"/>
      <w:r>
        <w:rPr>
          <w:rFonts w:hint="eastAsia" w:eastAsia="仿宋"/>
          <w:sz w:val="24"/>
          <w:lang w:eastAsia="zh-CN"/>
        </w:rPr>
        <w:t>3.5 资格审查资料</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4E70EA2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3.5.1 资格审查标准见第四章“磋商和评审办法”。</w:t>
      </w:r>
    </w:p>
    <w:p w14:paraId="5799186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3.5.2 “资格审查材料”应按规定格式填写，并提供符合要求的相关证明材料的扫描件或电子证照。</w:t>
      </w:r>
    </w:p>
    <w:p w14:paraId="353FE7A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3.5.3 供应商须知前附表规定接受联合体响应的，本章第3.5.1项至第3.5.2项规定的表格和资料包括联合体各方成员相关情况。</w:t>
      </w:r>
    </w:p>
    <w:p w14:paraId="3F041839">
      <w:pPr>
        <w:pStyle w:val="4"/>
        <w:adjustRightInd w:val="0"/>
        <w:ind w:firstLine="482" w:firstLineChars="200"/>
        <w:rPr>
          <w:rFonts w:eastAsia="仿宋"/>
          <w:sz w:val="24"/>
          <w:lang w:eastAsia="zh-CN"/>
        </w:rPr>
      </w:pPr>
      <w:bookmarkStart w:id="335" w:name="_Toc455587057"/>
      <w:bookmarkStart w:id="336" w:name="_Toc458504841"/>
      <w:bookmarkStart w:id="337" w:name="_Toc371415942"/>
      <w:bookmarkStart w:id="338" w:name="_Toc445554714"/>
      <w:bookmarkStart w:id="339" w:name="_Toc455587241"/>
      <w:bookmarkStart w:id="340" w:name="_Toc466024523"/>
      <w:r>
        <w:rPr>
          <w:rFonts w:hint="eastAsia" w:eastAsia="仿宋"/>
          <w:sz w:val="24"/>
          <w:lang w:eastAsia="zh-CN"/>
        </w:rPr>
        <w:t>3.6 响应文件的编制</w:t>
      </w:r>
      <w:bookmarkEnd w:id="335"/>
      <w:bookmarkEnd w:id="336"/>
      <w:bookmarkEnd w:id="337"/>
      <w:bookmarkEnd w:id="338"/>
      <w:bookmarkEnd w:id="339"/>
      <w:bookmarkEnd w:id="340"/>
    </w:p>
    <w:p w14:paraId="7FD91A0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3.6</w:t>
      </w:r>
      <w:r>
        <w:rPr>
          <w:rFonts w:ascii="宋体" w:hAnsi="宋体" w:eastAsia="仿宋"/>
          <w:sz w:val="24"/>
        </w:rPr>
        <w:t>.1</w:t>
      </w:r>
      <w:r>
        <w:rPr>
          <w:rFonts w:hint="eastAsia" w:ascii="宋体" w:hAnsi="宋体" w:eastAsia="仿宋"/>
          <w:sz w:val="24"/>
        </w:rPr>
        <w:t xml:space="preserve"> 响应文件应按</w:t>
      </w:r>
      <w:r>
        <w:rPr>
          <w:rFonts w:hint="eastAsia" w:eastAsia="仿宋"/>
          <w:color w:val="000000"/>
          <w:sz w:val="24"/>
        </w:rPr>
        <w:t>竞争性磋商文件</w:t>
      </w:r>
      <w:r>
        <w:rPr>
          <w:rFonts w:hint="eastAsia" w:ascii="宋体" w:hAnsi="宋体" w:eastAsia="仿宋"/>
          <w:sz w:val="24"/>
        </w:rPr>
        <w:t>规定格式进行编写，如有必要，可以增加附页、扩展表格，作为响应文件的组成部分。</w:t>
      </w:r>
    </w:p>
    <w:p w14:paraId="32F26CC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3.6</w:t>
      </w:r>
      <w:r>
        <w:rPr>
          <w:rFonts w:ascii="宋体" w:hAnsi="宋体" w:eastAsia="仿宋"/>
          <w:sz w:val="24"/>
        </w:rPr>
        <w:t>.2</w:t>
      </w:r>
      <w:r>
        <w:rPr>
          <w:rFonts w:hint="eastAsia" w:ascii="宋体" w:hAnsi="宋体" w:eastAsia="仿宋"/>
          <w:sz w:val="24"/>
        </w:rPr>
        <w:t xml:space="preserve"> </w:t>
      </w:r>
      <w:r>
        <w:rPr>
          <w:rFonts w:hint="eastAsia" w:ascii="Calibri" w:hAnsi="Calibri" w:eastAsia="仿宋"/>
          <w:sz w:val="24"/>
        </w:rPr>
        <w:t>响应文件应当对竞争性磋商文件有关不可磋商的实质性</w:t>
      </w:r>
      <w:r>
        <w:rPr>
          <w:rFonts w:hint="eastAsia" w:eastAsia="仿宋"/>
          <w:sz w:val="24"/>
        </w:rPr>
        <w:t>内容</w:t>
      </w:r>
      <w:r>
        <w:rPr>
          <w:rFonts w:hint="eastAsia" w:ascii="Calibri" w:hAnsi="Calibri" w:eastAsia="仿宋"/>
          <w:sz w:val="24"/>
        </w:rPr>
        <w:t>做出响应。响应文件在满足竞争性磋商文件实质性要求的基础上，可以提出比竞争性磋商文件要求更有利于采购人的承诺。</w:t>
      </w:r>
    </w:p>
    <w:p w14:paraId="078C01E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3.6.3 供应商必须对其提交的资料的真实性负责，并接受采购人对其中任何资料进一步审查的要求。</w:t>
      </w:r>
    </w:p>
    <w:p w14:paraId="5C1C9D06">
      <w:pPr>
        <w:widowControl/>
        <w:adjustRightInd w:val="0"/>
        <w:snapToGrid w:val="0"/>
        <w:spacing w:line="360" w:lineRule="auto"/>
        <w:ind w:firstLine="480" w:firstLineChars="200"/>
        <w:rPr>
          <w:rFonts w:ascii="宋体" w:hAnsi="宋体" w:eastAsia="仿宋"/>
          <w:color w:val="000000"/>
          <w:sz w:val="24"/>
        </w:rPr>
      </w:pPr>
      <w:r>
        <w:rPr>
          <w:rFonts w:ascii="宋体" w:hAnsi="宋体" w:eastAsia="仿宋"/>
          <w:color w:val="000000"/>
          <w:sz w:val="24"/>
        </w:rPr>
        <w:t>3.</w:t>
      </w:r>
      <w:r>
        <w:rPr>
          <w:rFonts w:hint="eastAsia" w:ascii="宋体" w:hAnsi="宋体" w:eastAsia="仿宋"/>
          <w:color w:val="000000"/>
          <w:sz w:val="24"/>
        </w:rPr>
        <w:t>6</w:t>
      </w:r>
      <w:r>
        <w:rPr>
          <w:rFonts w:ascii="宋体" w:hAnsi="宋体" w:eastAsia="仿宋"/>
          <w:color w:val="000000"/>
          <w:sz w:val="24"/>
        </w:rPr>
        <w:t>.</w:t>
      </w:r>
      <w:r>
        <w:rPr>
          <w:rFonts w:hint="eastAsia" w:ascii="宋体" w:hAnsi="宋体" w:eastAsia="仿宋"/>
          <w:color w:val="000000"/>
          <w:sz w:val="24"/>
        </w:rPr>
        <w:t>4 响应文件的制作应满足以下规定：</w:t>
      </w:r>
    </w:p>
    <w:p w14:paraId="62A1A368">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w:t>
      </w:r>
      <w:r>
        <w:rPr>
          <w:rFonts w:ascii="宋体" w:hAnsi="宋体" w:eastAsia="仿宋"/>
          <w:color w:val="000000"/>
          <w:sz w:val="24"/>
        </w:rPr>
        <w:t>1</w:t>
      </w:r>
      <w:r>
        <w:rPr>
          <w:rFonts w:hint="eastAsia" w:ascii="宋体" w:hAnsi="宋体" w:eastAsia="仿宋"/>
          <w:color w:val="000000"/>
          <w:sz w:val="24"/>
        </w:rPr>
        <w:t>）响应文件由供应商使用</w:t>
      </w:r>
      <w:r>
        <w:rPr>
          <w:rFonts w:ascii="宋体" w:hAnsi="宋体" w:eastAsia="仿宋"/>
          <w:color w:val="000000"/>
          <w:sz w:val="24"/>
        </w:rPr>
        <w:t>“</w:t>
      </w:r>
      <w:r>
        <w:rPr>
          <w:rFonts w:hint="eastAsia" w:ascii="宋体" w:hAnsi="宋体" w:eastAsia="仿宋"/>
          <w:color w:val="000000"/>
          <w:sz w:val="24"/>
        </w:rPr>
        <w:t>电子交易平台</w:t>
      </w:r>
      <w:r>
        <w:rPr>
          <w:rFonts w:ascii="宋体" w:hAnsi="宋体" w:eastAsia="仿宋"/>
          <w:color w:val="000000"/>
          <w:sz w:val="24"/>
        </w:rPr>
        <w:t>”</w:t>
      </w:r>
      <w:r>
        <w:rPr>
          <w:rFonts w:hint="eastAsia" w:ascii="宋体" w:hAnsi="宋体" w:eastAsia="仿宋"/>
          <w:color w:val="000000"/>
          <w:sz w:val="24"/>
        </w:rPr>
        <w:t>自带的</w:t>
      </w:r>
      <w:r>
        <w:rPr>
          <w:rFonts w:ascii="宋体" w:hAnsi="宋体" w:eastAsia="仿宋"/>
          <w:color w:val="000000"/>
          <w:sz w:val="24"/>
        </w:rPr>
        <w:t>“</w:t>
      </w:r>
      <w:r>
        <w:rPr>
          <w:rFonts w:hint="eastAsia" w:ascii="宋体" w:hAnsi="宋体" w:eastAsia="仿宋"/>
          <w:color w:val="000000"/>
          <w:sz w:val="24"/>
        </w:rPr>
        <w:t>投标（响应）文件制作工具</w:t>
      </w:r>
      <w:r>
        <w:rPr>
          <w:rFonts w:ascii="宋体" w:hAnsi="宋体" w:eastAsia="仿宋"/>
          <w:color w:val="000000"/>
          <w:sz w:val="24"/>
        </w:rPr>
        <w:t>”</w:t>
      </w:r>
      <w:r>
        <w:rPr>
          <w:rFonts w:hint="eastAsia" w:ascii="宋体" w:hAnsi="宋体" w:eastAsia="仿宋"/>
          <w:color w:val="000000"/>
          <w:sz w:val="24"/>
        </w:rPr>
        <w:t>制作生成，详见供应商须知前附表规定。</w:t>
      </w:r>
    </w:p>
    <w:p w14:paraId="5321F800">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w:t>
      </w:r>
      <w:r>
        <w:rPr>
          <w:rFonts w:ascii="宋体" w:hAnsi="宋体" w:eastAsia="仿宋"/>
          <w:color w:val="000000"/>
          <w:sz w:val="24"/>
        </w:rPr>
        <w:t>2</w:t>
      </w:r>
      <w:r>
        <w:rPr>
          <w:rFonts w:hint="eastAsia" w:ascii="宋体" w:hAnsi="宋体" w:eastAsia="仿宋"/>
          <w:color w:val="000000"/>
          <w:sz w:val="24"/>
        </w:rPr>
        <w:t>）供应商在编制响应文件时应建立分级目录，并按照标签提示导入相关内容。</w:t>
      </w:r>
    </w:p>
    <w:p w14:paraId="453E0037">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（3）除供应商须知前附表另有规定外，响应文件中证明资料的</w:t>
      </w:r>
      <w:r>
        <w:rPr>
          <w:rFonts w:ascii="宋体" w:hAnsi="宋体" w:eastAsia="仿宋"/>
          <w:color w:val="000000"/>
          <w:sz w:val="24"/>
        </w:rPr>
        <w:t>“</w:t>
      </w:r>
      <w:r>
        <w:rPr>
          <w:rFonts w:hint="eastAsia" w:ascii="宋体" w:hAnsi="宋体" w:eastAsia="仿宋"/>
          <w:color w:val="000000"/>
          <w:sz w:val="24"/>
        </w:rPr>
        <w:t>复印件</w:t>
      </w:r>
      <w:r>
        <w:rPr>
          <w:rFonts w:ascii="宋体" w:hAnsi="宋体" w:eastAsia="仿宋"/>
          <w:color w:val="000000"/>
          <w:sz w:val="24"/>
        </w:rPr>
        <w:t>”均为</w:t>
      </w:r>
      <w:r>
        <w:rPr>
          <w:rFonts w:hint="eastAsia" w:ascii="宋体" w:hAnsi="宋体" w:eastAsia="仿宋"/>
          <w:color w:val="000000"/>
          <w:sz w:val="24"/>
        </w:rPr>
        <w:t>扫描件</w:t>
      </w:r>
      <w:r>
        <w:rPr>
          <w:rFonts w:ascii="宋体" w:hAnsi="宋体" w:eastAsia="仿宋"/>
          <w:color w:val="000000"/>
          <w:sz w:val="24"/>
        </w:rPr>
        <w:t>。</w:t>
      </w:r>
    </w:p>
    <w:p w14:paraId="1ED4662B">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（4）</w:t>
      </w:r>
      <w:r>
        <w:rPr>
          <w:rFonts w:ascii="宋体" w:hAnsi="宋体" w:eastAsia="仿宋"/>
          <w:color w:val="000000"/>
          <w:sz w:val="24"/>
        </w:rPr>
        <w:t>“</w:t>
      </w:r>
      <w:r>
        <w:rPr>
          <w:rFonts w:hint="eastAsia" w:ascii="宋体" w:hAnsi="宋体" w:eastAsia="仿宋"/>
          <w:color w:val="000000"/>
          <w:sz w:val="24"/>
        </w:rPr>
        <w:t>响应文件格式</w:t>
      </w:r>
      <w:r>
        <w:rPr>
          <w:rFonts w:ascii="宋体" w:hAnsi="宋体" w:eastAsia="仿宋"/>
          <w:color w:val="000000"/>
          <w:sz w:val="24"/>
        </w:rPr>
        <w:t>”</w:t>
      </w:r>
      <w:r>
        <w:rPr>
          <w:rFonts w:hint="eastAsia" w:ascii="宋体" w:hAnsi="宋体" w:eastAsia="仿宋"/>
          <w:color w:val="000000"/>
          <w:sz w:val="24"/>
        </w:rPr>
        <w:t>中要求盖单位章和（或）签字的地方，供应商均应使用</w:t>
      </w:r>
      <w:r>
        <w:rPr>
          <w:rFonts w:ascii="宋体" w:hAnsi="宋体" w:eastAsia="仿宋"/>
          <w:color w:val="000000"/>
          <w:sz w:val="24"/>
        </w:rPr>
        <w:t>CA</w:t>
      </w:r>
      <w:r>
        <w:rPr>
          <w:rFonts w:hint="eastAsia" w:ascii="宋体" w:hAnsi="宋体" w:eastAsia="仿宋"/>
          <w:color w:val="000000"/>
          <w:sz w:val="24"/>
        </w:rPr>
        <w:t>数字证书加盖供应商的单位电子印章和（或）法定代表人的个人电子印章或电子签名章。联合体响应的，响应文件由联合体牵头人按上述规定加盖联合体牵头人单位电子印章和（或）法定代表人的个人电子印章或电子签名章。</w:t>
      </w:r>
    </w:p>
    <w:p w14:paraId="1596C52B">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（5）响应文件制作完成后，供应商应使用</w:t>
      </w:r>
      <w:r>
        <w:rPr>
          <w:rFonts w:ascii="宋体" w:hAnsi="宋体" w:eastAsia="仿宋"/>
          <w:color w:val="000000"/>
          <w:sz w:val="24"/>
        </w:rPr>
        <w:t>CA</w:t>
      </w:r>
      <w:r>
        <w:rPr>
          <w:rFonts w:hint="eastAsia" w:ascii="宋体" w:hAnsi="宋体" w:eastAsia="仿宋"/>
          <w:color w:val="000000"/>
          <w:sz w:val="24"/>
        </w:rPr>
        <w:t>数字证书对响应文件进行文件加密，形成加密的响应文件、非加密的响应文件，非加密的响应文件提交形式见供应商须知前附表规定。</w:t>
      </w:r>
    </w:p>
    <w:p w14:paraId="73639F07">
      <w:pPr>
        <w:widowControl/>
        <w:adjustRightInd w:val="0"/>
        <w:snapToGrid w:val="0"/>
        <w:spacing w:line="360" w:lineRule="auto"/>
        <w:ind w:firstLine="480" w:firstLineChars="200"/>
        <w:rPr>
          <w:rFonts w:ascii="宋体" w:hAnsi="宋体" w:eastAsia="仿宋"/>
          <w:color w:val="000000"/>
          <w:sz w:val="24"/>
        </w:rPr>
      </w:pPr>
      <w:r>
        <w:rPr>
          <w:rFonts w:hint="eastAsia" w:ascii="宋体" w:hAnsi="宋体" w:eastAsia="仿宋"/>
          <w:color w:val="000000"/>
          <w:sz w:val="24"/>
        </w:rPr>
        <w:t>（6）响应文件制作的具体方法详见</w:t>
      </w:r>
      <w:r>
        <w:rPr>
          <w:rFonts w:hint="eastAsia" w:ascii="Calibri" w:hAnsi="Calibri" w:eastAsia="仿宋"/>
          <w:color w:val="000000"/>
          <w:sz w:val="24"/>
        </w:rPr>
        <w:t>电子交易平台</w:t>
      </w:r>
      <w:r>
        <w:rPr>
          <w:rFonts w:hint="eastAsia" w:ascii="宋体" w:hAnsi="宋体" w:eastAsia="仿宋"/>
          <w:color w:val="000000"/>
          <w:sz w:val="24"/>
        </w:rPr>
        <w:t>的帮助文档。</w:t>
      </w:r>
    </w:p>
    <w:p w14:paraId="1C47E76E">
      <w:pPr>
        <w:widowControl/>
        <w:adjustRightInd w:val="0"/>
        <w:snapToGrid w:val="0"/>
        <w:spacing w:line="360" w:lineRule="auto"/>
        <w:ind w:firstLine="480" w:firstLineChars="200"/>
        <w:rPr>
          <w:rFonts w:ascii="宋体" w:hAnsi="宋体" w:eastAsia="仿宋"/>
          <w:color w:val="000000"/>
          <w:sz w:val="24"/>
        </w:rPr>
      </w:pPr>
      <w:r>
        <w:rPr>
          <w:rFonts w:ascii="宋体" w:hAnsi="宋体" w:eastAsia="仿宋"/>
          <w:color w:val="000000"/>
          <w:sz w:val="24"/>
        </w:rPr>
        <w:t>3.</w:t>
      </w:r>
      <w:r>
        <w:rPr>
          <w:rFonts w:hint="eastAsia" w:ascii="宋体" w:hAnsi="宋体" w:eastAsia="仿宋"/>
          <w:color w:val="000000"/>
          <w:sz w:val="24"/>
        </w:rPr>
        <w:t>6</w:t>
      </w:r>
      <w:r>
        <w:rPr>
          <w:rFonts w:ascii="宋体" w:hAnsi="宋体" w:eastAsia="仿宋"/>
          <w:color w:val="000000"/>
          <w:sz w:val="24"/>
        </w:rPr>
        <w:t>.</w:t>
      </w:r>
      <w:r>
        <w:rPr>
          <w:rFonts w:hint="eastAsia" w:ascii="宋体" w:hAnsi="宋体" w:eastAsia="仿宋"/>
          <w:color w:val="000000"/>
          <w:sz w:val="24"/>
        </w:rPr>
        <w:t>5</w:t>
      </w:r>
      <w:r>
        <w:rPr>
          <w:rFonts w:ascii="宋体" w:hAnsi="宋体" w:eastAsia="仿宋"/>
          <w:color w:val="000000"/>
          <w:sz w:val="24"/>
        </w:rPr>
        <w:t xml:space="preserve"> </w:t>
      </w:r>
      <w:r>
        <w:rPr>
          <w:rFonts w:hint="eastAsia" w:ascii="宋体" w:hAnsi="宋体" w:eastAsia="仿宋"/>
          <w:color w:val="000000"/>
          <w:sz w:val="24"/>
        </w:rPr>
        <w:t>因供应商自身原因而导致响应文件无法导入</w:t>
      </w:r>
      <w:r>
        <w:rPr>
          <w:rFonts w:ascii="宋体" w:hAnsi="宋体" w:eastAsia="仿宋"/>
          <w:color w:val="000000"/>
          <w:sz w:val="24"/>
        </w:rPr>
        <w:t>“</w:t>
      </w:r>
      <w:r>
        <w:rPr>
          <w:rFonts w:hint="eastAsia" w:ascii="宋体" w:hAnsi="宋体" w:eastAsia="仿宋"/>
          <w:color w:val="000000"/>
          <w:sz w:val="24"/>
        </w:rPr>
        <w:t>电子交易平台</w:t>
      </w:r>
      <w:r>
        <w:rPr>
          <w:rFonts w:ascii="宋体" w:hAnsi="宋体" w:eastAsia="仿宋"/>
          <w:color w:val="000000"/>
          <w:sz w:val="24"/>
        </w:rPr>
        <w:t>”</w:t>
      </w:r>
      <w:r>
        <w:rPr>
          <w:rFonts w:hint="eastAsia" w:ascii="宋体" w:hAnsi="宋体" w:eastAsia="仿宋"/>
          <w:color w:val="000000"/>
          <w:sz w:val="24"/>
        </w:rPr>
        <w:t>电子系统的，该响应</w:t>
      </w:r>
      <w:r>
        <w:rPr>
          <w:rFonts w:hint="eastAsia" w:ascii="Calibri" w:hAnsi="Calibri" w:eastAsia="仿宋"/>
          <w:color w:val="000000"/>
          <w:sz w:val="24"/>
        </w:rPr>
        <w:t>按无效处理</w:t>
      </w:r>
      <w:r>
        <w:rPr>
          <w:rFonts w:hint="eastAsia" w:ascii="宋体" w:hAnsi="宋体" w:eastAsia="仿宋"/>
          <w:color w:val="000000"/>
          <w:sz w:val="24"/>
        </w:rPr>
        <w:t>，供应商自行承担由此导致的全部责任。</w:t>
      </w:r>
    </w:p>
    <w:p w14:paraId="182DE7FE">
      <w:pPr>
        <w:pStyle w:val="3"/>
        <w:rPr>
          <w:rStyle w:val="103"/>
          <w:rFonts w:ascii="宋体" w:hAnsi="宋体" w:eastAsia="仿宋"/>
          <w:b/>
          <w:bCs/>
          <w:sz w:val="24"/>
          <w:szCs w:val="24"/>
        </w:rPr>
      </w:pPr>
      <w:bookmarkStart w:id="341" w:name="_Toc333600709"/>
      <w:bookmarkStart w:id="342" w:name="_Toc455587058"/>
      <w:bookmarkStart w:id="343" w:name="_Toc445554715"/>
      <w:bookmarkStart w:id="344" w:name="_Toc152045555"/>
      <w:bookmarkStart w:id="345" w:name="_Toc333599685"/>
      <w:bookmarkStart w:id="346" w:name="_Toc342297645"/>
      <w:bookmarkStart w:id="347" w:name="_Toc179632573"/>
      <w:bookmarkStart w:id="348" w:name="_Toc371415943"/>
      <w:bookmarkStart w:id="349" w:name="_Toc144974523"/>
      <w:bookmarkStart w:id="350" w:name="_Toc338944631"/>
      <w:bookmarkStart w:id="351" w:name="_Toc458504842"/>
      <w:bookmarkStart w:id="352" w:name="_Toc342294740"/>
      <w:bookmarkStart w:id="353" w:name="_Toc152042331"/>
      <w:bookmarkStart w:id="354" w:name="_Toc466024524"/>
      <w:bookmarkStart w:id="355" w:name="_Toc342296188"/>
      <w:bookmarkStart w:id="356" w:name="_Toc455587242"/>
      <w:bookmarkStart w:id="357" w:name="_Toc338943726"/>
      <w:r>
        <w:rPr>
          <w:rStyle w:val="103"/>
          <w:rFonts w:hint="eastAsia" w:ascii="宋体" w:hAnsi="宋体" w:eastAsia="仿宋"/>
          <w:b/>
          <w:bCs/>
          <w:sz w:val="24"/>
          <w:szCs w:val="24"/>
        </w:rPr>
        <w:t xml:space="preserve">4. </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Pr>
          <w:rStyle w:val="103"/>
          <w:rFonts w:hint="eastAsia" w:ascii="Calibri" w:hAnsi="Calibri" w:eastAsia="仿宋"/>
          <w:b/>
          <w:bCs/>
          <w:sz w:val="24"/>
          <w:szCs w:val="24"/>
        </w:rPr>
        <w:t>响应文件的提交</w:t>
      </w:r>
    </w:p>
    <w:p w14:paraId="169E5B07">
      <w:pPr>
        <w:pStyle w:val="4"/>
        <w:adjustRightInd w:val="0"/>
        <w:ind w:firstLine="482" w:firstLineChars="200"/>
        <w:rPr>
          <w:rFonts w:eastAsia="仿宋"/>
          <w:sz w:val="24"/>
          <w:lang w:eastAsia="zh-CN"/>
        </w:rPr>
      </w:pPr>
      <w:bookmarkStart w:id="358" w:name="_Toc445554716"/>
      <w:bookmarkStart w:id="359" w:name="_Toc179632574"/>
      <w:bookmarkStart w:id="360" w:name="_Toc333600710"/>
      <w:bookmarkStart w:id="361" w:name="_Toc333587880"/>
      <w:bookmarkStart w:id="362" w:name="_Toc152045556"/>
      <w:bookmarkStart w:id="363" w:name="_Toc342294741"/>
      <w:bookmarkStart w:id="364" w:name="_Toc333599686"/>
      <w:bookmarkStart w:id="365" w:name="_Toc455587059"/>
      <w:bookmarkStart w:id="366" w:name="_Toc152042332"/>
      <w:bookmarkStart w:id="367" w:name="_Toc455587243"/>
      <w:bookmarkStart w:id="368" w:name="_Toc466024525"/>
      <w:bookmarkStart w:id="369" w:name="_Toc342297646"/>
      <w:bookmarkStart w:id="370" w:name="_Toc144974524"/>
      <w:bookmarkStart w:id="371" w:name="_Toc371415944"/>
      <w:bookmarkStart w:id="372" w:name="_Toc342296189"/>
      <w:bookmarkStart w:id="373" w:name="_Toc458504843"/>
      <w:bookmarkStart w:id="374" w:name="_Toc338943727"/>
      <w:bookmarkStart w:id="375" w:name="_Toc338944632"/>
      <w:r>
        <w:rPr>
          <w:rFonts w:hint="eastAsia" w:eastAsia="仿宋"/>
          <w:sz w:val="24"/>
          <w:lang w:eastAsia="zh-CN"/>
        </w:rPr>
        <w:t>4.1 响应文件的加密</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7D49C7DC">
      <w:pPr>
        <w:widowControl/>
        <w:adjustRightInd w:val="0"/>
        <w:snapToGrid w:val="0"/>
        <w:spacing w:line="360" w:lineRule="auto"/>
        <w:ind w:firstLine="480" w:firstLineChars="200"/>
        <w:rPr>
          <w:rFonts w:ascii="宋体" w:hAnsi="宋体" w:eastAsia="仿宋"/>
          <w:color w:val="000000"/>
          <w:sz w:val="24"/>
        </w:rPr>
      </w:pPr>
      <w:r>
        <w:rPr>
          <w:rFonts w:ascii="宋体" w:hAnsi="宋体" w:eastAsia="仿宋"/>
          <w:color w:val="000000"/>
          <w:sz w:val="24"/>
        </w:rPr>
        <w:t>4.1.1</w:t>
      </w:r>
      <w:r>
        <w:rPr>
          <w:rFonts w:hint="eastAsia" w:ascii="宋体" w:hAnsi="宋体" w:eastAsia="仿宋"/>
          <w:color w:val="000000"/>
          <w:sz w:val="24"/>
        </w:rPr>
        <w:t xml:space="preserve"> 供应商</w:t>
      </w:r>
      <w:r>
        <w:rPr>
          <w:rFonts w:ascii="宋体" w:hAnsi="宋体" w:eastAsia="仿宋"/>
          <w:color w:val="000000"/>
          <w:sz w:val="24"/>
        </w:rPr>
        <w:t>应当按照</w:t>
      </w:r>
      <w:r>
        <w:rPr>
          <w:rFonts w:hint="eastAsia" w:ascii="宋体" w:hAnsi="宋体" w:eastAsia="仿宋"/>
          <w:color w:val="000000"/>
          <w:sz w:val="24"/>
        </w:rPr>
        <w:t>竞争性磋商文件</w:t>
      </w:r>
      <w:r>
        <w:rPr>
          <w:rFonts w:ascii="宋体" w:hAnsi="宋体" w:eastAsia="仿宋"/>
          <w:color w:val="000000"/>
          <w:sz w:val="24"/>
        </w:rPr>
        <w:t>和电子交易平台的要求加密</w:t>
      </w:r>
      <w:r>
        <w:rPr>
          <w:rFonts w:hint="eastAsia" w:ascii="宋体" w:hAnsi="宋体" w:eastAsia="仿宋"/>
          <w:color w:val="000000"/>
          <w:sz w:val="24"/>
        </w:rPr>
        <w:t>响应文件</w:t>
      </w:r>
      <w:r>
        <w:rPr>
          <w:rFonts w:ascii="宋体" w:hAnsi="宋体" w:eastAsia="仿宋"/>
          <w:color w:val="000000"/>
          <w:sz w:val="24"/>
        </w:rPr>
        <w:t>，具体要求见</w:t>
      </w:r>
      <w:r>
        <w:rPr>
          <w:rFonts w:hint="eastAsia" w:ascii="宋体" w:hAnsi="宋体" w:eastAsia="仿宋"/>
          <w:color w:val="000000"/>
          <w:sz w:val="24"/>
        </w:rPr>
        <w:t>供应商</w:t>
      </w:r>
      <w:r>
        <w:rPr>
          <w:rFonts w:ascii="宋体" w:hAnsi="宋体" w:eastAsia="仿宋"/>
          <w:color w:val="000000"/>
          <w:sz w:val="24"/>
        </w:rPr>
        <w:t>须知前附表。</w:t>
      </w:r>
    </w:p>
    <w:p w14:paraId="1FA22E1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4.1.2 未按照上述要求加密的响应文件，电子交易平台将予以拒收。</w:t>
      </w:r>
    </w:p>
    <w:p w14:paraId="14B295DB">
      <w:pPr>
        <w:pStyle w:val="4"/>
        <w:adjustRightInd w:val="0"/>
        <w:ind w:firstLine="482" w:firstLineChars="200"/>
        <w:rPr>
          <w:rFonts w:eastAsia="仿宋"/>
          <w:sz w:val="24"/>
          <w:lang w:eastAsia="zh-CN"/>
        </w:rPr>
      </w:pPr>
      <w:bookmarkStart w:id="376" w:name="_Toc458504844"/>
      <w:bookmarkStart w:id="377" w:name="_Toc371415945"/>
      <w:bookmarkStart w:id="378" w:name="_Toc466024526"/>
      <w:bookmarkStart w:id="379" w:name="_Toc455587244"/>
      <w:bookmarkStart w:id="380" w:name="_Toc445554717"/>
      <w:bookmarkStart w:id="381" w:name="_Toc455587060"/>
      <w:r>
        <w:rPr>
          <w:rFonts w:hint="eastAsia" w:eastAsia="仿宋"/>
          <w:sz w:val="24"/>
          <w:lang w:eastAsia="zh-CN"/>
        </w:rPr>
        <w:t>4.2 响应文件的</w:t>
      </w:r>
      <w:bookmarkEnd w:id="376"/>
      <w:bookmarkEnd w:id="377"/>
      <w:bookmarkEnd w:id="378"/>
      <w:bookmarkEnd w:id="379"/>
      <w:bookmarkEnd w:id="380"/>
      <w:bookmarkEnd w:id="381"/>
      <w:r>
        <w:rPr>
          <w:rFonts w:hint="eastAsia" w:eastAsia="仿宋"/>
          <w:sz w:val="24"/>
          <w:lang w:eastAsia="zh-CN"/>
        </w:rPr>
        <w:t>提交</w:t>
      </w:r>
    </w:p>
    <w:p w14:paraId="4849A5B2">
      <w:pPr>
        <w:widowControl/>
        <w:adjustRightInd w:val="0"/>
        <w:snapToGrid w:val="0"/>
        <w:spacing w:line="360" w:lineRule="auto"/>
        <w:ind w:firstLine="480" w:firstLineChars="200"/>
        <w:rPr>
          <w:rFonts w:eastAsia="仿宋"/>
          <w:color w:val="000000"/>
          <w:sz w:val="24"/>
        </w:rPr>
      </w:pPr>
      <w:r>
        <w:rPr>
          <w:rFonts w:hint="eastAsia" w:ascii="宋体" w:hAnsi="宋体" w:eastAsia="仿宋"/>
          <w:sz w:val="24"/>
        </w:rPr>
        <w:t xml:space="preserve">4.2.1 </w:t>
      </w:r>
      <w:r>
        <w:rPr>
          <w:rFonts w:eastAsia="仿宋"/>
          <w:color w:val="000000"/>
          <w:sz w:val="24"/>
        </w:rPr>
        <w:t>供应商应在</w:t>
      </w:r>
      <w:r>
        <w:rPr>
          <w:rFonts w:hint="eastAsia" w:eastAsia="仿宋"/>
          <w:color w:val="000000"/>
          <w:sz w:val="24"/>
        </w:rPr>
        <w:t>采购公告规定的</w:t>
      </w:r>
      <w:r>
        <w:rPr>
          <w:rFonts w:eastAsia="仿宋"/>
          <w:color w:val="000000"/>
          <w:sz w:val="24"/>
        </w:rPr>
        <w:t>提交首次响应文件截止时间前提交响应文件。</w:t>
      </w:r>
    </w:p>
    <w:p w14:paraId="0ABE9FD9">
      <w:pPr>
        <w:widowControl/>
        <w:adjustRightInd w:val="0"/>
        <w:snapToGrid w:val="0"/>
        <w:spacing w:line="360" w:lineRule="auto"/>
        <w:ind w:firstLine="480" w:firstLineChars="200"/>
        <w:rPr>
          <w:rFonts w:eastAsia="仿宋"/>
          <w:color w:val="000000"/>
          <w:sz w:val="24"/>
        </w:rPr>
      </w:pPr>
      <w:r>
        <w:rPr>
          <w:rFonts w:hint="eastAsia" w:ascii="宋体" w:hAnsi="宋体" w:eastAsia="仿宋"/>
          <w:sz w:val="24"/>
        </w:rPr>
        <w:t>4.2.2</w:t>
      </w:r>
      <w:r>
        <w:rPr>
          <w:rFonts w:hint="eastAsia" w:eastAsia="仿宋"/>
          <w:color w:val="000000"/>
          <w:sz w:val="24"/>
        </w:rPr>
        <w:t xml:space="preserve"> 供应商应当通过电子交易平台递交响应文件。供应商应充分考虑上传文件时的不可预见因素，</w:t>
      </w:r>
      <w:r>
        <w:rPr>
          <w:rFonts w:hint="eastAsia" w:eastAsia="仿宋"/>
          <w:sz w:val="24"/>
        </w:rPr>
        <w:t>未在提交首次响应文件截止时间前完成上传的</w:t>
      </w:r>
      <w:r>
        <w:rPr>
          <w:rFonts w:hint="eastAsia" w:eastAsia="仿宋"/>
          <w:color w:val="000000"/>
          <w:sz w:val="24"/>
        </w:rPr>
        <w:t>，视为逾期送达，采购人（</w:t>
      </w:r>
      <w:r>
        <w:rPr>
          <w:rFonts w:eastAsia="仿宋"/>
          <w:color w:val="000000"/>
          <w:sz w:val="24"/>
        </w:rPr>
        <w:t>“</w:t>
      </w:r>
      <w:r>
        <w:rPr>
          <w:rFonts w:hint="eastAsia" w:eastAsia="仿宋"/>
          <w:color w:val="000000"/>
          <w:sz w:val="24"/>
        </w:rPr>
        <w:t>电子交易平台</w:t>
      </w:r>
      <w:r>
        <w:rPr>
          <w:rFonts w:eastAsia="仿宋"/>
          <w:color w:val="000000"/>
          <w:sz w:val="24"/>
        </w:rPr>
        <w:t>”</w:t>
      </w:r>
      <w:r>
        <w:rPr>
          <w:rFonts w:hint="eastAsia" w:eastAsia="仿宋"/>
          <w:color w:val="000000"/>
          <w:sz w:val="24"/>
        </w:rPr>
        <w:t>）将拒绝接收。详见供应商须知前附表规定。</w:t>
      </w:r>
    </w:p>
    <w:p w14:paraId="5E92440D">
      <w:pPr>
        <w:widowControl/>
        <w:adjustRightInd w:val="0"/>
        <w:snapToGrid w:val="0"/>
        <w:spacing w:line="360" w:lineRule="auto"/>
        <w:ind w:firstLine="480" w:firstLineChars="200"/>
        <w:rPr>
          <w:rFonts w:eastAsia="仿宋"/>
          <w:color w:val="000000"/>
          <w:sz w:val="24"/>
        </w:rPr>
      </w:pPr>
      <w:r>
        <w:rPr>
          <w:rFonts w:hint="eastAsia" w:ascii="宋体" w:hAnsi="宋体" w:eastAsia="仿宋"/>
          <w:sz w:val="24"/>
        </w:rPr>
        <w:t>4.2.3</w:t>
      </w:r>
      <w:r>
        <w:rPr>
          <w:rFonts w:hint="eastAsia" w:eastAsia="仿宋"/>
          <w:color w:val="000000"/>
          <w:sz w:val="24"/>
        </w:rPr>
        <w:t xml:space="preserve"> 除供应商须知前附表另有规定外，供应商所递交的响应文件不予退还。</w:t>
      </w:r>
    </w:p>
    <w:p w14:paraId="50B4AAC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4.2.4 最后报价是供应商响应文件的有效组成部分，未进行以及未在规定时长内进行多轮报价或最后报价的，视为退出磋商。</w:t>
      </w:r>
    </w:p>
    <w:p w14:paraId="1C3209E4">
      <w:pPr>
        <w:pStyle w:val="4"/>
        <w:adjustRightInd w:val="0"/>
        <w:ind w:firstLine="482" w:firstLineChars="200"/>
        <w:rPr>
          <w:rFonts w:eastAsia="仿宋"/>
          <w:sz w:val="24"/>
          <w:lang w:eastAsia="zh-CN"/>
        </w:rPr>
      </w:pPr>
      <w:bookmarkStart w:id="382" w:name="_Toc455587061"/>
      <w:bookmarkStart w:id="383" w:name="_Toc458504845"/>
      <w:bookmarkStart w:id="384" w:name="_Toc455587245"/>
      <w:bookmarkStart w:id="385" w:name="_Toc333600712"/>
      <w:bookmarkStart w:id="386" w:name="_Toc342297648"/>
      <w:bookmarkStart w:id="387" w:name="_Toc338943729"/>
      <w:bookmarkStart w:id="388" w:name="_Toc152042334"/>
      <w:bookmarkStart w:id="389" w:name="_Toc333599688"/>
      <w:bookmarkStart w:id="390" w:name="_Toc179632576"/>
      <w:bookmarkStart w:id="391" w:name="_Toc342294743"/>
      <w:bookmarkStart w:id="392" w:name="_Toc371415946"/>
      <w:bookmarkStart w:id="393" w:name="_Toc445554718"/>
      <w:bookmarkStart w:id="394" w:name="_Toc466024527"/>
      <w:bookmarkStart w:id="395" w:name="_Toc342296191"/>
      <w:bookmarkStart w:id="396" w:name="_Toc338944634"/>
      <w:bookmarkStart w:id="397" w:name="_Toc152045558"/>
      <w:bookmarkStart w:id="398" w:name="_Toc144974526"/>
      <w:bookmarkStart w:id="399" w:name="_Toc333587882"/>
      <w:r>
        <w:rPr>
          <w:rFonts w:hint="eastAsia" w:eastAsia="仿宋"/>
          <w:sz w:val="24"/>
          <w:lang w:eastAsia="zh-CN"/>
        </w:rPr>
        <w:t>4.3 响应文件的修改与撤回</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1F99AD3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4.3</w:t>
      </w:r>
      <w:r>
        <w:rPr>
          <w:rFonts w:ascii="宋体" w:hAnsi="宋体" w:eastAsia="仿宋"/>
          <w:sz w:val="24"/>
        </w:rPr>
        <w:t>.1</w:t>
      </w:r>
      <w:r>
        <w:rPr>
          <w:rFonts w:hint="eastAsia" w:ascii="宋体" w:hAnsi="宋体" w:eastAsia="仿宋"/>
          <w:sz w:val="24"/>
        </w:rPr>
        <w:t xml:space="preserve"> 在规定的提交首次响应文件截止时间前，供应商可以补充、修改或撤回已</w:t>
      </w:r>
      <w:r>
        <w:rPr>
          <w:rFonts w:hint="eastAsia" w:ascii="Calibri" w:hAnsi="Calibri" w:eastAsia="仿宋"/>
          <w:sz w:val="24"/>
        </w:rPr>
        <w:t>提交</w:t>
      </w:r>
      <w:r>
        <w:rPr>
          <w:rFonts w:hint="eastAsia" w:ascii="宋体" w:hAnsi="宋体" w:eastAsia="仿宋"/>
          <w:sz w:val="24"/>
        </w:rPr>
        <w:t>的响应文件，但应以书面形式通知采购人。</w:t>
      </w:r>
    </w:p>
    <w:p w14:paraId="79F8FD0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4.3.2 供应商修改或撤回已递交响应文件的通知，应按照本章第3.6.4项的要求加盖电子印章。电子交易平台收到通知后，即时向供应商发出确认回执通知。</w:t>
      </w:r>
    </w:p>
    <w:p w14:paraId="0BC4BBD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4.3.3 供应商撤回响应文件的，</w:t>
      </w:r>
      <w:r>
        <w:rPr>
          <w:rFonts w:hint="eastAsia" w:eastAsia="仿宋"/>
          <w:color w:val="000000"/>
          <w:sz w:val="24"/>
        </w:rPr>
        <w:t>采购</w:t>
      </w:r>
      <w:r>
        <w:rPr>
          <w:rFonts w:hint="eastAsia" w:ascii="宋体" w:hAnsi="宋体" w:eastAsia="仿宋"/>
          <w:sz w:val="24"/>
        </w:rPr>
        <w:t>人自收到供应商书面撤回通知之日起5日内退还已收取的</w:t>
      </w:r>
      <w:r>
        <w:rPr>
          <w:rFonts w:hint="eastAsia" w:ascii="Calibri" w:hAnsi="Calibri" w:eastAsia="仿宋"/>
          <w:sz w:val="24"/>
        </w:rPr>
        <w:t>磋商</w:t>
      </w:r>
      <w:r>
        <w:rPr>
          <w:rFonts w:hint="eastAsia" w:ascii="宋体" w:hAnsi="宋体" w:eastAsia="仿宋"/>
          <w:sz w:val="24"/>
        </w:rPr>
        <w:t>保证金。</w:t>
      </w:r>
    </w:p>
    <w:p w14:paraId="44A087B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4.3.4 补充、修改的内容为响应文件的组成部分，只需提供一份。补充、修改的响应文件应按照本章第3条、第4条的规定进行编制、加密、标记和</w:t>
      </w:r>
      <w:r>
        <w:rPr>
          <w:rFonts w:hint="eastAsia" w:ascii="Calibri" w:hAnsi="Calibri" w:eastAsia="仿宋"/>
          <w:sz w:val="24"/>
        </w:rPr>
        <w:t>提交</w:t>
      </w:r>
      <w:r>
        <w:rPr>
          <w:rFonts w:hint="eastAsia" w:ascii="宋体" w:hAnsi="宋体" w:eastAsia="仿宋"/>
          <w:sz w:val="24"/>
        </w:rPr>
        <w:t>，并标明“补充”或“修改”字样。</w:t>
      </w:r>
    </w:p>
    <w:p w14:paraId="3BCD8CBF">
      <w:pPr>
        <w:pStyle w:val="3"/>
        <w:rPr>
          <w:rStyle w:val="103"/>
          <w:rFonts w:ascii="宋体" w:hAnsi="宋体" w:eastAsia="仿宋"/>
          <w:b/>
          <w:bCs/>
          <w:sz w:val="24"/>
          <w:szCs w:val="24"/>
        </w:rPr>
      </w:pPr>
      <w:bookmarkStart w:id="400" w:name="_Toc342296192"/>
      <w:bookmarkStart w:id="401" w:name="_Toc466024528"/>
      <w:bookmarkStart w:id="402" w:name="_Toc458504846"/>
      <w:bookmarkStart w:id="403" w:name="_Toc152045559"/>
      <w:bookmarkStart w:id="404" w:name="_Toc445554719"/>
      <w:bookmarkStart w:id="405" w:name="_Toc342297649"/>
      <w:bookmarkStart w:id="406" w:name="_Toc371415947"/>
      <w:bookmarkStart w:id="407" w:name="_Toc144974527"/>
      <w:bookmarkStart w:id="408" w:name="_Toc179632577"/>
      <w:bookmarkStart w:id="409" w:name="_Toc338944635"/>
      <w:bookmarkStart w:id="410" w:name="_Toc338943730"/>
      <w:bookmarkStart w:id="411" w:name="_Toc342294744"/>
      <w:bookmarkStart w:id="412" w:name="_Toc455587246"/>
      <w:bookmarkStart w:id="413" w:name="_Toc333600713"/>
      <w:bookmarkStart w:id="414" w:name="_Toc333599689"/>
      <w:bookmarkStart w:id="415" w:name="_Toc455587062"/>
      <w:bookmarkStart w:id="416" w:name="_Toc152042335"/>
      <w:r>
        <w:rPr>
          <w:rStyle w:val="103"/>
          <w:rFonts w:hint="eastAsia" w:ascii="宋体" w:hAnsi="宋体" w:eastAsia="仿宋"/>
          <w:b/>
          <w:bCs/>
          <w:sz w:val="24"/>
          <w:szCs w:val="24"/>
        </w:rPr>
        <w:t xml:space="preserve">5. </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Pr>
          <w:rStyle w:val="103"/>
          <w:rFonts w:hint="eastAsia" w:ascii="宋体" w:hAnsi="宋体" w:eastAsia="仿宋"/>
          <w:b/>
          <w:bCs/>
          <w:sz w:val="24"/>
          <w:szCs w:val="24"/>
        </w:rPr>
        <w:t>响应文件的开启</w:t>
      </w:r>
    </w:p>
    <w:p w14:paraId="5AD4A0BD">
      <w:pPr>
        <w:pStyle w:val="4"/>
        <w:adjustRightInd w:val="0"/>
        <w:ind w:firstLine="482" w:firstLineChars="200"/>
        <w:rPr>
          <w:rFonts w:eastAsia="仿宋"/>
          <w:sz w:val="24"/>
          <w:lang w:eastAsia="zh-CN"/>
        </w:rPr>
      </w:pPr>
      <w:bookmarkStart w:id="417" w:name="_Toc338944636"/>
      <w:bookmarkStart w:id="418" w:name="_Toc342294745"/>
      <w:bookmarkStart w:id="419" w:name="_Toc455587063"/>
      <w:bookmarkStart w:id="420" w:name="_Toc144974528"/>
      <w:bookmarkStart w:id="421" w:name="_Toc458504847"/>
      <w:bookmarkStart w:id="422" w:name="_Toc179632578"/>
      <w:bookmarkStart w:id="423" w:name="_Toc455587247"/>
      <w:bookmarkStart w:id="424" w:name="_Toc445554720"/>
      <w:bookmarkStart w:id="425" w:name="_Toc333587884"/>
      <w:bookmarkStart w:id="426" w:name="_Toc152045560"/>
      <w:bookmarkStart w:id="427" w:name="_Toc371415948"/>
      <w:bookmarkStart w:id="428" w:name="_Toc333599690"/>
      <w:bookmarkStart w:id="429" w:name="_Toc333600714"/>
      <w:bookmarkStart w:id="430" w:name="_Toc338943731"/>
      <w:bookmarkStart w:id="431" w:name="_Toc152042336"/>
      <w:bookmarkStart w:id="432" w:name="_Toc342297650"/>
      <w:bookmarkStart w:id="433" w:name="_Toc342296193"/>
      <w:bookmarkStart w:id="434" w:name="_Toc466024529"/>
      <w:r>
        <w:rPr>
          <w:rFonts w:hint="eastAsia" w:eastAsia="仿宋"/>
          <w:sz w:val="24"/>
          <w:lang w:eastAsia="zh-CN"/>
        </w:rPr>
        <w:t xml:space="preserve">5.1 </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Pr>
          <w:rFonts w:hint="eastAsia" w:eastAsia="仿宋"/>
          <w:sz w:val="24"/>
          <w:lang w:eastAsia="zh-CN"/>
        </w:rPr>
        <w:t>开启时间和地点</w:t>
      </w:r>
    </w:p>
    <w:p w14:paraId="3A3A6EAE">
      <w:pPr>
        <w:widowControl/>
        <w:adjustRightInd w:val="0"/>
        <w:snapToGrid w:val="0"/>
        <w:spacing w:line="360" w:lineRule="auto"/>
        <w:ind w:firstLine="480" w:firstLineChars="200"/>
        <w:rPr>
          <w:rFonts w:eastAsia="仿宋"/>
          <w:color w:val="000000"/>
          <w:sz w:val="24"/>
        </w:rPr>
      </w:pPr>
      <w:r>
        <w:rPr>
          <w:rFonts w:hint="eastAsia" w:eastAsia="仿宋"/>
          <w:color w:val="000000"/>
          <w:sz w:val="24"/>
        </w:rPr>
        <w:t>采购</w:t>
      </w:r>
      <w:r>
        <w:rPr>
          <w:rFonts w:eastAsia="仿宋"/>
          <w:color w:val="000000"/>
          <w:sz w:val="24"/>
        </w:rPr>
        <w:t>人在</w:t>
      </w:r>
      <w:r>
        <w:rPr>
          <w:rFonts w:hint="eastAsia" w:eastAsia="仿宋"/>
          <w:color w:val="000000"/>
          <w:sz w:val="24"/>
        </w:rPr>
        <w:t>采购公告规定的响应文件开启</w:t>
      </w:r>
      <w:r>
        <w:rPr>
          <w:rFonts w:eastAsia="仿宋"/>
          <w:color w:val="000000"/>
          <w:sz w:val="24"/>
        </w:rPr>
        <w:t>时间</w:t>
      </w:r>
      <w:r>
        <w:rPr>
          <w:rFonts w:hint="eastAsia" w:eastAsia="仿宋"/>
          <w:color w:val="000000"/>
          <w:sz w:val="24"/>
        </w:rPr>
        <w:t>和地点，</w:t>
      </w:r>
      <w:r>
        <w:rPr>
          <w:rFonts w:eastAsia="仿宋"/>
          <w:color w:val="000000"/>
          <w:sz w:val="24"/>
        </w:rPr>
        <w:t>通过电子交易平台</w:t>
      </w:r>
      <w:r>
        <w:rPr>
          <w:rFonts w:hint="eastAsia" w:eastAsia="仿宋"/>
          <w:color w:val="000000"/>
          <w:sz w:val="24"/>
        </w:rPr>
        <w:t>开启响应文件</w:t>
      </w:r>
      <w:r>
        <w:rPr>
          <w:rFonts w:eastAsia="仿宋"/>
          <w:color w:val="000000"/>
          <w:sz w:val="24"/>
        </w:rPr>
        <w:t>，所有供应商的法定代表人</w:t>
      </w:r>
      <w:r>
        <w:rPr>
          <w:rFonts w:hint="eastAsia" w:eastAsia="仿宋"/>
          <w:color w:val="000000"/>
          <w:sz w:val="24"/>
        </w:rPr>
        <w:t>（单位负责人）</w:t>
      </w:r>
      <w:r>
        <w:rPr>
          <w:rFonts w:eastAsia="仿宋"/>
          <w:color w:val="000000"/>
          <w:sz w:val="24"/>
        </w:rPr>
        <w:t>或其委托代理人应当准时参加。</w:t>
      </w:r>
    </w:p>
    <w:p w14:paraId="49124192">
      <w:pPr>
        <w:pStyle w:val="4"/>
        <w:adjustRightInd w:val="0"/>
        <w:ind w:firstLine="482" w:firstLineChars="200"/>
        <w:rPr>
          <w:rFonts w:eastAsia="仿宋"/>
          <w:sz w:val="24"/>
          <w:lang w:eastAsia="zh-CN"/>
        </w:rPr>
      </w:pPr>
      <w:r>
        <w:rPr>
          <w:rFonts w:hint="eastAsia" w:eastAsia="仿宋"/>
          <w:sz w:val="24"/>
          <w:lang w:eastAsia="zh-CN"/>
        </w:rPr>
        <w:t>5.2 开启程序</w:t>
      </w:r>
    </w:p>
    <w:p w14:paraId="3B53D4E5">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主持人按下列程序进行开启：</w:t>
      </w:r>
    </w:p>
    <w:p w14:paraId="2F255CA3">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（1）宣布工作纪律；</w:t>
      </w:r>
    </w:p>
    <w:p w14:paraId="78662B8C">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（2）宣布相关工作人员等有关人员姓名；</w:t>
      </w:r>
    </w:p>
    <w:p w14:paraId="1EA4F69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3</w:t>
      </w:r>
      <w:r>
        <w:rPr>
          <w:rFonts w:hint="eastAsia" w:ascii="宋体" w:hAnsi="宋体" w:eastAsia="仿宋"/>
          <w:sz w:val="24"/>
        </w:rPr>
        <w:t>）</w:t>
      </w:r>
      <w:r>
        <w:rPr>
          <w:rFonts w:hint="eastAsia" w:ascii="Calibri" w:hAnsi="Calibri" w:eastAsia="仿宋"/>
          <w:sz w:val="24"/>
        </w:rPr>
        <w:t>按供应商须知前附表规定解密各响应文件，宣布磋商、评审相关安排</w:t>
      </w:r>
      <w:r>
        <w:rPr>
          <w:rFonts w:hint="eastAsia" w:ascii="宋体" w:hAnsi="宋体" w:eastAsia="仿宋"/>
          <w:sz w:val="24"/>
        </w:rPr>
        <w:t>；</w:t>
      </w:r>
    </w:p>
    <w:p w14:paraId="55B6780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w:t>
      </w:r>
      <w:r>
        <w:rPr>
          <w:rFonts w:hint="eastAsia" w:ascii="Calibri" w:hAnsi="Calibri" w:eastAsia="仿宋"/>
          <w:sz w:val="24"/>
        </w:rPr>
        <w:t>开启程序结束。</w:t>
      </w:r>
    </w:p>
    <w:p w14:paraId="5DF14AEF">
      <w:pPr>
        <w:pStyle w:val="3"/>
        <w:rPr>
          <w:rStyle w:val="103"/>
          <w:rFonts w:ascii="Calibri" w:hAnsi="Calibri" w:eastAsia="仿宋"/>
          <w:b/>
          <w:bCs/>
          <w:sz w:val="24"/>
          <w:szCs w:val="24"/>
        </w:rPr>
      </w:pPr>
      <w:bookmarkStart w:id="435" w:name="_Toc455587066"/>
      <w:bookmarkStart w:id="436" w:name="_Toc333600716"/>
      <w:bookmarkStart w:id="437" w:name="_Toc179632580"/>
      <w:bookmarkStart w:id="438" w:name="_Toc342297652"/>
      <w:bookmarkStart w:id="439" w:name="_Toc338943733"/>
      <w:bookmarkStart w:id="440" w:name="_Toc333599692"/>
      <w:bookmarkStart w:id="441" w:name="_Toc152045562"/>
      <w:bookmarkStart w:id="442" w:name="_Toc144974530"/>
      <w:bookmarkStart w:id="443" w:name="_Toc466024531"/>
      <w:bookmarkStart w:id="444" w:name="_Toc445554723"/>
      <w:bookmarkStart w:id="445" w:name="_Toc338944638"/>
      <w:bookmarkStart w:id="446" w:name="_Toc342294747"/>
      <w:bookmarkStart w:id="447" w:name="_Toc152042338"/>
      <w:bookmarkStart w:id="448" w:name="_Toc371415950"/>
      <w:bookmarkStart w:id="449" w:name="_Toc342296195"/>
      <w:bookmarkStart w:id="450" w:name="_Toc458504849"/>
      <w:bookmarkStart w:id="451" w:name="_Toc455587250"/>
      <w:bookmarkStart w:id="452" w:name="_Toc455587068"/>
      <w:bookmarkStart w:id="453" w:name="_Toc333599694"/>
      <w:bookmarkStart w:id="454" w:name="_Toc152045564"/>
      <w:bookmarkStart w:id="455" w:name="_Toc458504851"/>
      <w:bookmarkStart w:id="456" w:name="_Toc179632582"/>
      <w:bookmarkStart w:id="457" w:name="_Toc338943735"/>
      <w:bookmarkStart w:id="458" w:name="_Toc152042340"/>
      <w:bookmarkStart w:id="459" w:name="_Toc455587252"/>
      <w:bookmarkStart w:id="460" w:name="_Toc144974532"/>
      <w:bookmarkStart w:id="461" w:name="_Toc333587888"/>
      <w:bookmarkStart w:id="462" w:name="_Toc338944640"/>
      <w:bookmarkStart w:id="463" w:name="_Toc371415952"/>
      <w:bookmarkStart w:id="464" w:name="_Toc445554725"/>
      <w:bookmarkStart w:id="465" w:name="_Toc466024533"/>
      <w:bookmarkStart w:id="466" w:name="_Toc342297654"/>
      <w:bookmarkStart w:id="467" w:name="_Toc342294749"/>
      <w:bookmarkStart w:id="468" w:name="_Toc333600718"/>
      <w:bookmarkStart w:id="469" w:name="_Toc342296197"/>
      <w:r>
        <w:rPr>
          <w:rStyle w:val="103"/>
          <w:rFonts w:hint="eastAsia" w:ascii="Calibri" w:hAnsi="Calibri" w:eastAsia="仿宋"/>
          <w:b/>
          <w:bCs/>
          <w:sz w:val="24"/>
          <w:szCs w:val="24"/>
        </w:rPr>
        <w:t xml:space="preserve">6. </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Pr>
          <w:rStyle w:val="103"/>
          <w:rFonts w:hint="eastAsia" w:ascii="Calibri" w:hAnsi="Calibri" w:eastAsia="仿宋"/>
          <w:b/>
          <w:bCs/>
          <w:sz w:val="24"/>
          <w:szCs w:val="24"/>
        </w:rPr>
        <w:t>磋商与评审</w:t>
      </w:r>
    </w:p>
    <w:p w14:paraId="32278028">
      <w:pPr>
        <w:pStyle w:val="4"/>
        <w:adjustRightInd w:val="0"/>
        <w:ind w:firstLine="482" w:firstLineChars="200"/>
        <w:rPr>
          <w:rFonts w:eastAsia="仿宋"/>
          <w:sz w:val="24"/>
          <w:lang w:eastAsia="zh-CN"/>
        </w:rPr>
      </w:pPr>
      <w:r>
        <w:rPr>
          <w:rFonts w:hint="eastAsia" w:eastAsia="仿宋"/>
          <w:sz w:val="24"/>
          <w:lang w:eastAsia="zh-CN"/>
        </w:rPr>
        <w:t>6.1 竞争性磋商小组</w:t>
      </w:r>
    </w:p>
    <w:p w14:paraId="3615EAA3">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6.1.1 磋商与评审由采购人依法组建的竞争性磋商小组（以下简称磋商小组）负责。磋商小组人数为3人以上单数，由采购人代表以及有关技术、经济等方面的专家组成。技术复杂、专业性强的采购项目，评审专家中应当包含1名法律专家。</w:t>
      </w:r>
    </w:p>
    <w:p w14:paraId="7813A3E9">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6.1.2 磋商小组成员有下列情形之一的，应当回避：</w:t>
      </w:r>
    </w:p>
    <w:p w14:paraId="1E15AD1D">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（1）参加采购活动前三年内，与供应商存在劳动关系，或者担任过供应商的董事、监事，或者是供应商的控股股东或实际控制人；</w:t>
      </w:r>
    </w:p>
    <w:p w14:paraId="1CF1B4B5">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（2）与供应商的法定代表人或者负责人有夫妻、直系血亲、三代以内旁系血亲或者近姻亲关系；</w:t>
      </w:r>
    </w:p>
    <w:p w14:paraId="7534C6B8">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（3）参与本项目进口产品论证的专家；</w:t>
      </w:r>
    </w:p>
    <w:p w14:paraId="1963A922">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（4）与供应商有其他可能影响政府采购活动公平、公正进行的关系。</w:t>
      </w:r>
    </w:p>
    <w:p w14:paraId="56E42581">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6.1.3 磋商与评审过程中，磋商小组成员有回避事由、擅离职守或者因健康等原因不能继续磋商与评审的，采购人有权更换。被更换的磋商小组成员作出的评审结论无效，由更换后的磋商小组成员重新进行磋商与评审。</w:t>
      </w:r>
    </w:p>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14:paraId="2F156CB1">
      <w:pPr>
        <w:pStyle w:val="4"/>
        <w:adjustRightInd w:val="0"/>
        <w:ind w:firstLine="482" w:firstLineChars="200"/>
        <w:rPr>
          <w:rFonts w:eastAsia="仿宋"/>
          <w:sz w:val="24"/>
          <w:lang w:eastAsia="zh-CN"/>
        </w:rPr>
      </w:pPr>
      <w:bookmarkStart w:id="470" w:name="_Toc458504853"/>
      <w:bookmarkStart w:id="471" w:name="_Toc455587254"/>
      <w:bookmarkStart w:id="472" w:name="_Toc342297656"/>
      <w:bookmarkStart w:id="473" w:name="_Toc445554727"/>
      <w:bookmarkStart w:id="474" w:name="_Toc342294751"/>
      <w:bookmarkStart w:id="475" w:name="_Toc152045566"/>
      <w:bookmarkStart w:id="476" w:name="_Toc152042342"/>
      <w:bookmarkStart w:id="477" w:name="_Toc144974534"/>
      <w:bookmarkStart w:id="478" w:name="_Toc333599696"/>
      <w:bookmarkStart w:id="479" w:name="_Toc466024535"/>
      <w:bookmarkStart w:id="480" w:name="_Toc333600720"/>
      <w:bookmarkStart w:id="481" w:name="_Toc338943737"/>
      <w:bookmarkStart w:id="482" w:name="_Toc342296199"/>
      <w:bookmarkStart w:id="483" w:name="_Toc338944642"/>
      <w:bookmarkStart w:id="484" w:name="_Toc455587070"/>
      <w:bookmarkStart w:id="485" w:name="_Toc179632584"/>
      <w:bookmarkStart w:id="486" w:name="_Toc371415954"/>
      <w:r>
        <w:rPr>
          <w:rFonts w:hint="eastAsia" w:eastAsia="仿宋"/>
          <w:sz w:val="24"/>
          <w:lang w:eastAsia="zh-CN"/>
        </w:rPr>
        <w:t>6.2 磋商</w:t>
      </w:r>
    </w:p>
    <w:p w14:paraId="0B790009">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6.2.1 磋商小组按供应商须知前附表规定的顺序分别与供应商进行磋商，给予所有参加磋商的供应商平等的磋商机会。</w:t>
      </w:r>
    </w:p>
    <w:p w14:paraId="20874E74">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6.2.2 符合资格条件的供应商不少于3家，否则应当终止本次采购。</w:t>
      </w:r>
    </w:p>
    <w:p w14:paraId="45CB6C76">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6.2.3 在磋商过程中，磋商小组可以根据竞争性磋商文件和磋商情况，实质性变动采购需求中的技术、服务要求以及合同草案条款，但不得变动竞争性磋商文件中的其他内容。实质性变动的内容，须经采购人代表确认。对磋商文件作出的实质性变动是磋商文件的有效组成部分，磋商小组将及时以书面形式同时通知所有参加磋商的供应商。可能实质性变动内容见供应商须知前附表。</w:t>
      </w:r>
    </w:p>
    <w:p w14:paraId="20F49C33">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6.2.4 供应商应当按照磋商文件的变动情况和磋商小组的要求重新提交响应文件或作出变动说明。</w:t>
      </w:r>
    </w:p>
    <w:p w14:paraId="23A904D5">
      <w:pPr>
        <w:pStyle w:val="4"/>
        <w:adjustRightInd w:val="0"/>
        <w:ind w:firstLine="482" w:firstLineChars="200"/>
        <w:rPr>
          <w:rFonts w:eastAsia="仿宋"/>
          <w:sz w:val="24"/>
          <w:lang w:eastAsia="zh-CN"/>
        </w:rPr>
      </w:pPr>
      <w:r>
        <w:rPr>
          <w:rFonts w:hint="eastAsia" w:eastAsia="仿宋"/>
          <w:sz w:val="24"/>
          <w:lang w:eastAsia="zh-CN"/>
        </w:rPr>
        <w:t>6.3 最后报价</w:t>
      </w:r>
    </w:p>
    <w:p w14:paraId="5AD960E7">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6.3.1 磋商结束后，磋商小组按照供应商须知前附表规定的方式确定提交最后报价的供应商。</w:t>
      </w:r>
    </w:p>
    <w:p w14:paraId="222421B4">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6.3.2 已提交响应文件的供应商，在提交最后报价之前，可以根据磋商情况退出磋商，采购人将退还其磋商保证金。</w:t>
      </w:r>
    </w:p>
    <w:p w14:paraId="573F35AE">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6.3.3 除供应商前附表另有规定外，报价轮次为两轮，磋商响应文件中报价即为首轮报价，第二轮报价即为磋商最后报价。</w:t>
      </w:r>
    </w:p>
    <w:p w14:paraId="32697AC6">
      <w:pPr>
        <w:pStyle w:val="4"/>
        <w:adjustRightInd w:val="0"/>
        <w:ind w:firstLine="482" w:firstLineChars="200"/>
        <w:rPr>
          <w:rFonts w:eastAsia="仿宋"/>
          <w:sz w:val="24"/>
          <w:lang w:eastAsia="zh-CN"/>
        </w:rPr>
      </w:pPr>
      <w:r>
        <w:rPr>
          <w:rFonts w:hint="eastAsia" w:eastAsia="仿宋"/>
          <w:sz w:val="24"/>
          <w:lang w:eastAsia="zh-CN"/>
        </w:rPr>
        <w:t>6.4 评审原则</w:t>
      </w:r>
    </w:p>
    <w:p w14:paraId="6F85B734">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磋商小组应该按照客观、公正、审慎的原则，根据竞争性磋商文件规定的评审程序、评审方法和评审标准进行独立评审。</w:t>
      </w:r>
    </w:p>
    <w:p w14:paraId="06D5F656">
      <w:pPr>
        <w:pStyle w:val="4"/>
        <w:adjustRightInd w:val="0"/>
        <w:ind w:firstLine="482" w:firstLineChars="200"/>
        <w:rPr>
          <w:rFonts w:eastAsia="仿宋"/>
          <w:sz w:val="24"/>
          <w:lang w:eastAsia="zh-CN"/>
        </w:rPr>
      </w:pPr>
      <w:r>
        <w:rPr>
          <w:rFonts w:hint="eastAsia" w:eastAsia="仿宋"/>
          <w:sz w:val="24"/>
          <w:lang w:eastAsia="zh-CN"/>
        </w:rPr>
        <w:t>6.5 评审办法</w:t>
      </w:r>
    </w:p>
    <w:p w14:paraId="22CE9D67">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6.5.1 磋商小组按照竞争性磋商文件规定的方法、评审因素、标准和程序对响应文件进行评审。竞争性磋商文件没有规定的方法、评审因素和标准，不作为评审依据。</w:t>
      </w:r>
    </w:p>
    <w:p w14:paraId="2736C8AC">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6.5.2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8C71458">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6.5.3 评审完成后，磋商小组应当向采购人提交书面评审报告和成交候选供应商名单。磋商小组推荐成交候选供应商的家数见供应商须知前附表。</w:t>
      </w:r>
    </w:p>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14:paraId="00CCB6FC">
      <w:pPr>
        <w:pStyle w:val="3"/>
        <w:rPr>
          <w:rStyle w:val="103"/>
          <w:rFonts w:ascii="Calibri" w:hAnsi="Calibri" w:eastAsia="仿宋"/>
          <w:b/>
          <w:bCs/>
          <w:sz w:val="24"/>
          <w:szCs w:val="24"/>
        </w:rPr>
      </w:pPr>
      <w:bookmarkStart w:id="487" w:name="_Toc152042343"/>
      <w:bookmarkStart w:id="488" w:name="_Toc179632585"/>
      <w:bookmarkStart w:id="489" w:name="_Toc333599697"/>
      <w:bookmarkStart w:id="490" w:name="_Toc144974535"/>
      <w:bookmarkStart w:id="491" w:name="_Toc342297657"/>
      <w:bookmarkStart w:id="492" w:name="_Toc342294752"/>
      <w:bookmarkStart w:id="493" w:name="_Toc338943738"/>
      <w:bookmarkStart w:id="494" w:name="_Toc333600721"/>
      <w:bookmarkStart w:id="495" w:name="_Toc342296200"/>
      <w:bookmarkStart w:id="496" w:name="_Toc338944643"/>
      <w:bookmarkStart w:id="497" w:name="_Toc152045567"/>
      <w:bookmarkStart w:id="498" w:name="_Toc333587891"/>
      <w:r>
        <w:rPr>
          <w:rStyle w:val="103"/>
          <w:rFonts w:hint="eastAsia" w:ascii="Calibri" w:hAnsi="Calibri" w:eastAsia="仿宋"/>
          <w:b/>
          <w:bCs/>
          <w:sz w:val="24"/>
          <w:szCs w:val="24"/>
        </w:rPr>
        <w:t>7. 合同授予</w:t>
      </w:r>
    </w:p>
    <w:p w14:paraId="049B6B3C">
      <w:pPr>
        <w:pStyle w:val="4"/>
        <w:adjustRightInd w:val="0"/>
        <w:ind w:firstLine="482" w:firstLineChars="200"/>
        <w:rPr>
          <w:rFonts w:eastAsia="仿宋"/>
          <w:sz w:val="24"/>
          <w:lang w:eastAsia="zh-CN"/>
        </w:rPr>
      </w:pPr>
      <w:bookmarkStart w:id="499" w:name="_Toc455587255"/>
      <w:bookmarkStart w:id="500" w:name="_Toc371415955"/>
      <w:bookmarkStart w:id="501" w:name="_Toc445554728"/>
      <w:bookmarkStart w:id="502" w:name="_Toc349730879"/>
      <w:bookmarkStart w:id="503" w:name="_Toc455587071"/>
      <w:bookmarkStart w:id="504" w:name="_Toc466024536"/>
      <w:bookmarkStart w:id="505" w:name="_Toc458504854"/>
      <w:bookmarkStart w:id="506" w:name="_Toc362252685"/>
      <w:r>
        <w:rPr>
          <w:rFonts w:hint="eastAsia" w:eastAsia="仿宋"/>
          <w:sz w:val="24"/>
          <w:lang w:eastAsia="zh-CN"/>
        </w:rPr>
        <w:t>7.1</w:t>
      </w:r>
      <w:bookmarkEnd w:id="499"/>
      <w:bookmarkEnd w:id="500"/>
      <w:bookmarkEnd w:id="501"/>
      <w:bookmarkEnd w:id="502"/>
      <w:bookmarkEnd w:id="503"/>
      <w:bookmarkEnd w:id="504"/>
      <w:bookmarkEnd w:id="505"/>
      <w:bookmarkEnd w:id="506"/>
      <w:r>
        <w:rPr>
          <w:rFonts w:hint="eastAsia" w:eastAsia="仿宋"/>
          <w:sz w:val="24"/>
          <w:lang w:eastAsia="zh-CN"/>
        </w:rPr>
        <w:t xml:space="preserve"> 确定成交供应商</w:t>
      </w:r>
    </w:p>
    <w:p w14:paraId="1353DD55">
      <w:pPr>
        <w:widowControl/>
        <w:adjustRightInd w:val="0"/>
        <w:snapToGrid w:val="0"/>
        <w:spacing w:line="360" w:lineRule="auto"/>
        <w:ind w:firstLine="480" w:firstLineChars="200"/>
        <w:rPr>
          <w:rFonts w:ascii="仿宋" w:hAnsi="仿宋" w:eastAsia="仿宋" w:cs="仿宋"/>
          <w:kern w:val="0"/>
          <w:sz w:val="24"/>
        </w:rPr>
      </w:pPr>
      <w:r>
        <w:rPr>
          <w:rFonts w:hint="eastAsia" w:ascii="仿宋" w:hAnsi="仿宋" w:eastAsia="仿宋" w:cs="仿宋"/>
          <w:sz w:val="24"/>
        </w:rPr>
        <w:t>7.1.1 按照供应商须知前附表规定，采购人或采购人</w:t>
      </w:r>
      <w:r>
        <w:rPr>
          <w:rFonts w:hint="eastAsia" w:ascii="宋体" w:hAnsi="宋体" w:eastAsia="仿宋"/>
          <w:sz w:val="24"/>
        </w:rPr>
        <w:t>授权磋商小组</w:t>
      </w:r>
      <w:r>
        <w:rPr>
          <w:rFonts w:hint="eastAsia" w:ascii="仿宋" w:hAnsi="仿宋" w:eastAsia="仿宋" w:cs="仿宋"/>
          <w:kern w:val="0"/>
          <w:sz w:val="24"/>
        </w:rPr>
        <w:t>在评审报告确定的成交候选供应商名单中按顺序确定成交供应商。</w:t>
      </w:r>
    </w:p>
    <w:p w14:paraId="38A972B7">
      <w:pPr>
        <w:widowControl/>
        <w:adjustRightInd w:val="0"/>
        <w:snapToGrid w:val="0"/>
        <w:spacing w:line="360" w:lineRule="auto"/>
        <w:ind w:firstLine="480" w:firstLineChars="200"/>
        <w:rPr>
          <w:rFonts w:ascii="Calibri" w:hAnsi="Calibri" w:eastAsia="仿宋"/>
          <w:sz w:val="24"/>
        </w:rPr>
      </w:pPr>
      <w:r>
        <w:rPr>
          <w:rFonts w:hint="eastAsia" w:ascii="宋体" w:hAnsi="宋体" w:cs="宋体"/>
          <w:sz w:val="24"/>
        </w:rPr>
        <w:t xml:space="preserve">7.1.2 </w:t>
      </w:r>
      <w:r>
        <w:rPr>
          <w:rFonts w:hint="eastAsia" w:ascii="Calibri" w:hAnsi="Calibri" w:eastAsia="仿宋"/>
          <w:sz w:val="24"/>
        </w:rPr>
        <w:t>采购人确定成交供应商后，按供应商须知前附表规定的方式与内容公告成交结果。</w:t>
      </w:r>
    </w:p>
    <w:p w14:paraId="42272F05">
      <w:pPr>
        <w:pStyle w:val="4"/>
        <w:adjustRightInd w:val="0"/>
        <w:ind w:firstLine="482" w:firstLineChars="200"/>
        <w:rPr>
          <w:rFonts w:eastAsia="仿宋"/>
          <w:sz w:val="24"/>
          <w:lang w:eastAsia="zh-CN"/>
        </w:rPr>
      </w:pPr>
      <w:r>
        <w:rPr>
          <w:rFonts w:hint="eastAsia" w:eastAsia="仿宋"/>
          <w:sz w:val="24"/>
          <w:lang w:eastAsia="zh-CN"/>
        </w:rPr>
        <w:t>7.2</w:t>
      </w:r>
      <w:bookmarkStart w:id="507" w:name="_Toc455587072"/>
      <w:bookmarkStart w:id="508" w:name="_Toc371415957"/>
      <w:bookmarkStart w:id="509" w:name="_Toc466024537"/>
      <w:bookmarkStart w:id="510" w:name="_Toc458504855"/>
      <w:bookmarkStart w:id="511" w:name="_Toc455587256"/>
      <w:bookmarkStart w:id="512" w:name="_Toc349730880"/>
      <w:bookmarkStart w:id="513" w:name="_Toc445554730"/>
      <w:bookmarkStart w:id="514" w:name="_Toc362252686"/>
      <w:r>
        <w:rPr>
          <w:rFonts w:hint="eastAsia" w:eastAsia="仿宋"/>
          <w:sz w:val="24"/>
          <w:lang w:eastAsia="zh-CN"/>
        </w:rPr>
        <w:t xml:space="preserve"> 成交通知</w:t>
      </w:r>
      <w:bookmarkEnd w:id="507"/>
      <w:bookmarkEnd w:id="508"/>
      <w:bookmarkEnd w:id="509"/>
      <w:bookmarkEnd w:id="510"/>
      <w:bookmarkEnd w:id="511"/>
      <w:bookmarkEnd w:id="512"/>
      <w:bookmarkEnd w:id="513"/>
      <w:bookmarkEnd w:id="514"/>
    </w:p>
    <w:p w14:paraId="279D58E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 xml:space="preserve">7.2.1 </w:t>
      </w:r>
      <w:r>
        <w:rPr>
          <w:rFonts w:hint="eastAsia" w:ascii="Calibri" w:hAnsi="Calibri" w:eastAsia="仿宋"/>
          <w:sz w:val="24"/>
        </w:rPr>
        <w:t>成交结果确定后，采购人以书面形式向成交供应商发出成交通知书。</w:t>
      </w:r>
    </w:p>
    <w:p w14:paraId="1AF9603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 xml:space="preserve">7.2.2 </w:t>
      </w:r>
      <w:r>
        <w:rPr>
          <w:rFonts w:hint="eastAsia" w:ascii="Calibri" w:hAnsi="Calibri" w:eastAsia="仿宋"/>
          <w:sz w:val="24"/>
        </w:rPr>
        <w:t>成交供应商须按供应商须知前附表规定向采购代理机构支付采购代理服务费，其计取标准见供应商须知前附表。</w:t>
      </w:r>
    </w:p>
    <w:p w14:paraId="7E01F993">
      <w:pPr>
        <w:pStyle w:val="4"/>
        <w:adjustRightInd w:val="0"/>
        <w:ind w:firstLine="482" w:firstLineChars="200"/>
        <w:rPr>
          <w:rFonts w:eastAsia="仿宋"/>
          <w:sz w:val="24"/>
          <w:lang w:eastAsia="zh-CN"/>
        </w:rPr>
      </w:pPr>
      <w:bookmarkStart w:id="515" w:name="_Toc458504856"/>
      <w:bookmarkStart w:id="516" w:name="_Toc445554731"/>
      <w:bookmarkStart w:id="517" w:name="_Toc362252687"/>
      <w:bookmarkStart w:id="518" w:name="_Toc349730881"/>
      <w:bookmarkStart w:id="519" w:name="_Toc455587073"/>
      <w:bookmarkStart w:id="520" w:name="_Toc455587257"/>
      <w:bookmarkStart w:id="521" w:name="_Toc371415958"/>
      <w:bookmarkStart w:id="522" w:name="_Toc466024538"/>
      <w:r>
        <w:rPr>
          <w:rFonts w:hint="eastAsia" w:eastAsia="仿宋"/>
          <w:sz w:val="24"/>
          <w:lang w:eastAsia="zh-CN"/>
        </w:rPr>
        <w:t>7.3 履约</w:t>
      </w:r>
      <w:bookmarkEnd w:id="515"/>
      <w:bookmarkEnd w:id="516"/>
      <w:bookmarkEnd w:id="517"/>
      <w:bookmarkEnd w:id="518"/>
      <w:bookmarkEnd w:id="519"/>
      <w:bookmarkEnd w:id="520"/>
      <w:bookmarkEnd w:id="521"/>
      <w:bookmarkEnd w:id="522"/>
      <w:r>
        <w:rPr>
          <w:rFonts w:hint="eastAsia" w:eastAsia="仿宋"/>
          <w:sz w:val="24"/>
          <w:lang w:eastAsia="zh-CN"/>
        </w:rPr>
        <w:t>保证金</w:t>
      </w:r>
    </w:p>
    <w:p w14:paraId="260CD87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7.3</w:t>
      </w:r>
      <w:r>
        <w:rPr>
          <w:rFonts w:ascii="宋体" w:hAnsi="宋体" w:eastAsia="仿宋"/>
          <w:sz w:val="24"/>
        </w:rPr>
        <w:t>.1</w:t>
      </w:r>
      <w:r>
        <w:rPr>
          <w:rFonts w:hint="eastAsia" w:ascii="宋体" w:hAnsi="宋体" w:eastAsia="仿宋"/>
          <w:sz w:val="24"/>
        </w:rPr>
        <w:t xml:space="preserve"> 在签订合同前，</w:t>
      </w:r>
      <w:r>
        <w:rPr>
          <w:rFonts w:hint="eastAsia" w:ascii="Calibri" w:hAnsi="Calibri" w:eastAsia="仿宋"/>
          <w:sz w:val="24"/>
        </w:rPr>
        <w:t>成交供应商</w:t>
      </w:r>
      <w:r>
        <w:rPr>
          <w:rFonts w:hint="eastAsia" w:ascii="宋体" w:hAnsi="宋体" w:eastAsia="仿宋"/>
          <w:sz w:val="24"/>
        </w:rPr>
        <w:t>应按供应商须知前附表规定的金额、形式向采购人提交履约保证金。</w:t>
      </w:r>
      <w:r>
        <w:rPr>
          <w:rFonts w:eastAsia="仿宋"/>
          <w:color w:val="000000"/>
          <w:sz w:val="24"/>
        </w:rPr>
        <w:t>除</w:t>
      </w:r>
      <w:r>
        <w:rPr>
          <w:rFonts w:hint="eastAsia" w:eastAsia="仿宋"/>
          <w:color w:val="000000"/>
          <w:sz w:val="24"/>
        </w:rPr>
        <w:t>供应商</w:t>
      </w:r>
      <w:r>
        <w:rPr>
          <w:rFonts w:eastAsia="仿宋"/>
          <w:color w:val="000000"/>
          <w:sz w:val="24"/>
        </w:rPr>
        <w:t>须知前附表另有规定外，履约保证金为</w:t>
      </w:r>
      <w:r>
        <w:rPr>
          <w:rFonts w:hint="eastAsia" w:eastAsia="仿宋"/>
          <w:color w:val="000000"/>
          <w:sz w:val="24"/>
        </w:rPr>
        <w:t>成交</w:t>
      </w:r>
      <w:r>
        <w:rPr>
          <w:rFonts w:eastAsia="仿宋"/>
          <w:color w:val="000000"/>
          <w:sz w:val="24"/>
        </w:rPr>
        <w:t>合同金额的</w:t>
      </w:r>
      <w:r>
        <w:rPr>
          <w:rFonts w:hint="eastAsia" w:eastAsia="仿宋"/>
          <w:color w:val="000000"/>
          <w:sz w:val="24"/>
        </w:rPr>
        <w:t>10</w:t>
      </w:r>
      <w:r>
        <w:rPr>
          <w:rFonts w:eastAsia="仿宋"/>
          <w:color w:val="000000"/>
          <w:sz w:val="24"/>
        </w:rPr>
        <w:t>%。联合体</w:t>
      </w:r>
      <w:r>
        <w:rPr>
          <w:rFonts w:hint="eastAsia" w:eastAsia="仿宋"/>
          <w:color w:val="000000"/>
          <w:sz w:val="24"/>
        </w:rPr>
        <w:t>成交</w:t>
      </w:r>
      <w:r>
        <w:rPr>
          <w:rFonts w:eastAsia="仿宋"/>
          <w:color w:val="000000"/>
          <w:sz w:val="24"/>
        </w:rPr>
        <w:t>的，其履约保证金以联合体各方或者联合体中牵头人的名义提交。</w:t>
      </w:r>
    </w:p>
    <w:p w14:paraId="3C2CCC1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7.3</w:t>
      </w:r>
      <w:r>
        <w:rPr>
          <w:rFonts w:ascii="宋体" w:hAnsi="宋体" w:eastAsia="仿宋"/>
          <w:sz w:val="24"/>
        </w:rPr>
        <w:t>.2</w:t>
      </w:r>
      <w:r>
        <w:rPr>
          <w:rFonts w:hint="eastAsia" w:ascii="宋体" w:hAnsi="宋体" w:eastAsia="仿宋"/>
          <w:sz w:val="24"/>
        </w:rPr>
        <w:t xml:space="preserve"> </w:t>
      </w:r>
      <w:r>
        <w:rPr>
          <w:rFonts w:hint="eastAsia" w:ascii="Calibri" w:hAnsi="Calibri" w:eastAsia="仿宋"/>
          <w:sz w:val="24"/>
        </w:rPr>
        <w:t>成交供应商</w:t>
      </w:r>
      <w:r>
        <w:rPr>
          <w:rFonts w:hint="eastAsia" w:ascii="宋体" w:hAnsi="宋体" w:eastAsia="仿宋"/>
          <w:sz w:val="24"/>
        </w:rPr>
        <w:t>不能按要求提交履约保证金的，视为成交供应商拒绝与采购人签订合同，其磋商保证金不予退还；给采购人造成的损失超过磋商保证金数额的，</w:t>
      </w:r>
      <w:r>
        <w:rPr>
          <w:rFonts w:hint="eastAsia" w:ascii="Calibri" w:hAnsi="Calibri" w:eastAsia="仿宋"/>
          <w:sz w:val="24"/>
        </w:rPr>
        <w:t>成交供应商</w:t>
      </w:r>
      <w:r>
        <w:rPr>
          <w:rFonts w:hint="eastAsia" w:ascii="宋体" w:hAnsi="宋体" w:eastAsia="仿宋"/>
          <w:sz w:val="24"/>
        </w:rPr>
        <w:t>还应当对超过部分予以赔偿。</w:t>
      </w:r>
    </w:p>
    <w:p w14:paraId="51CD7921">
      <w:pPr>
        <w:pStyle w:val="4"/>
        <w:adjustRightInd w:val="0"/>
        <w:ind w:firstLine="482" w:firstLineChars="200"/>
        <w:rPr>
          <w:rFonts w:eastAsia="仿宋"/>
          <w:sz w:val="24"/>
          <w:lang w:eastAsia="zh-CN"/>
        </w:rPr>
      </w:pPr>
      <w:bookmarkStart w:id="523" w:name="_Toc458504857"/>
      <w:bookmarkStart w:id="524" w:name="_Toc342296203"/>
      <w:bookmarkStart w:id="525" w:name="_Toc445554732"/>
      <w:bookmarkStart w:id="526" w:name="_Toc371415959"/>
      <w:bookmarkStart w:id="527" w:name="_Toc333600724"/>
      <w:bookmarkStart w:id="528" w:name="_Toc338944646"/>
      <w:bookmarkStart w:id="529" w:name="_Toc455587258"/>
      <w:bookmarkStart w:id="530" w:name="_Toc338943741"/>
      <w:bookmarkStart w:id="531" w:name="_Toc362252688"/>
      <w:bookmarkStart w:id="532" w:name="_Toc342294755"/>
      <w:bookmarkStart w:id="533" w:name="_Toc349730882"/>
      <w:bookmarkStart w:id="534" w:name="_Toc333599700"/>
      <w:bookmarkStart w:id="535" w:name="_Toc179632588"/>
      <w:bookmarkStart w:id="536" w:name="_Toc455587074"/>
      <w:bookmarkStart w:id="537" w:name="_Toc333587894"/>
      <w:bookmarkStart w:id="538" w:name="_Toc466024539"/>
      <w:r>
        <w:rPr>
          <w:rFonts w:hint="eastAsia" w:eastAsia="仿宋"/>
          <w:sz w:val="24"/>
          <w:lang w:eastAsia="zh-CN"/>
        </w:rPr>
        <w:t>7.4 签订合同</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0E5A4A8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7.4</w:t>
      </w:r>
      <w:r>
        <w:rPr>
          <w:rFonts w:ascii="宋体" w:hAnsi="宋体" w:eastAsia="仿宋"/>
          <w:sz w:val="24"/>
        </w:rPr>
        <w:t>.1</w:t>
      </w:r>
      <w:r>
        <w:rPr>
          <w:rFonts w:hint="eastAsia" w:ascii="宋体" w:hAnsi="宋体" w:eastAsia="仿宋"/>
          <w:sz w:val="24"/>
        </w:rPr>
        <w:t xml:space="preserve"> 除供应商须知前附表另有规定外，</w:t>
      </w:r>
      <w:r>
        <w:rPr>
          <w:rFonts w:eastAsia="仿宋"/>
          <w:color w:val="000000"/>
          <w:sz w:val="24"/>
        </w:rPr>
        <w:t>采购人和成交供应商应当在</w:t>
      </w:r>
      <w:r>
        <w:rPr>
          <w:rFonts w:hint="eastAsia" w:eastAsia="仿宋"/>
          <w:color w:val="000000"/>
          <w:sz w:val="24"/>
        </w:rPr>
        <w:t>成交</w:t>
      </w:r>
      <w:r>
        <w:rPr>
          <w:rFonts w:eastAsia="仿宋"/>
          <w:color w:val="000000"/>
          <w:sz w:val="24"/>
        </w:rPr>
        <w:t>通知书发出之日起</w:t>
      </w:r>
      <w:r>
        <w:rPr>
          <w:rFonts w:hint="eastAsia" w:eastAsia="仿宋"/>
          <w:color w:val="000000"/>
          <w:sz w:val="24"/>
        </w:rPr>
        <w:t>三十日内</w:t>
      </w:r>
      <w:r>
        <w:rPr>
          <w:rFonts w:eastAsia="仿宋"/>
          <w:color w:val="000000"/>
          <w:sz w:val="24"/>
        </w:rPr>
        <w:t>，根据</w:t>
      </w:r>
      <w:r>
        <w:rPr>
          <w:rFonts w:hint="eastAsia" w:eastAsia="仿宋"/>
          <w:color w:val="000000"/>
          <w:sz w:val="24"/>
        </w:rPr>
        <w:t>竞争性磋商文件</w:t>
      </w:r>
      <w:r>
        <w:rPr>
          <w:rFonts w:eastAsia="仿宋"/>
          <w:color w:val="000000"/>
          <w:sz w:val="24"/>
        </w:rPr>
        <w:t>和成交供应商的</w:t>
      </w:r>
      <w:r>
        <w:rPr>
          <w:rFonts w:hint="eastAsia" w:eastAsia="仿宋"/>
          <w:color w:val="000000"/>
          <w:sz w:val="24"/>
        </w:rPr>
        <w:t>响应文件</w:t>
      </w:r>
      <w:r>
        <w:rPr>
          <w:rFonts w:eastAsia="仿宋"/>
          <w:color w:val="000000"/>
          <w:sz w:val="24"/>
        </w:rPr>
        <w:t>订立书面合同</w:t>
      </w:r>
      <w:r>
        <w:rPr>
          <w:rFonts w:hint="eastAsia" w:eastAsia="仿宋"/>
          <w:color w:val="000000"/>
          <w:sz w:val="24"/>
        </w:rPr>
        <w:t>，所签订的合同不得对竞争性磋商文件确定的事项和</w:t>
      </w:r>
      <w:r>
        <w:rPr>
          <w:rFonts w:eastAsia="仿宋"/>
          <w:color w:val="000000"/>
          <w:sz w:val="24"/>
        </w:rPr>
        <w:t>成交供应商</w:t>
      </w:r>
      <w:r>
        <w:rPr>
          <w:rFonts w:hint="eastAsia" w:eastAsia="仿宋"/>
          <w:color w:val="000000"/>
          <w:sz w:val="24"/>
        </w:rPr>
        <w:t>响应文件作实质性修改。</w:t>
      </w:r>
      <w:r>
        <w:rPr>
          <w:rFonts w:eastAsia="仿宋"/>
          <w:color w:val="000000"/>
          <w:sz w:val="24"/>
        </w:rPr>
        <w:t>成交供应商</w:t>
      </w:r>
      <w:r>
        <w:rPr>
          <w:rFonts w:eastAsia="仿宋"/>
          <w:sz w:val="24"/>
        </w:rPr>
        <w:t>无正当理由</w:t>
      </w:r>
      <w:r>
        <w:rPr>
          <w:rFonts w:hint="eastAsia" w:eastAsia="仿宋"/>
          <w:sz w:val="24"/>
        </w:rPr>
        <w:t>拒签</w:t>
      </w:r>
      <w:r>
        <w:rPr>
          <w:rFonts w:eastAsia="仿宋"/>
          <w:sz w:val="24"/>
        </w:rPr>
        <w:t>合同，</w:t>
      </w:r>
      <w:r>
        <w:rPr>
          <w:rFonts w:hint="eastAsia" w:eastAsia="仿宋"/>
          <w:sz w:val="24"/>
        </w:rPr>
        <w:t>包括但不限于</w:t>
      </w:r>
      <w:r>
        <w:rPr>
          <w:rFonts w:eastAsia="仿宋"/>
          <w:sz w:val="24"/>
        </w:rPr>
        <w:t>在签订合同时向采购人提出</w:t>
      </w:r>
      <w:r>
        <w:rPr>
          <w:rFonts w:hint="eastAsia" w:eastAsia="仿宋"/>
          <w:sz w:val="24"/>
        </w:rPr>
        <w:t>非法的附加条件</w:t>
      </w:r>
      <w:r>
        <w:rPr>
          <w:rFonts w:eastAsia="仿宋"/>
          <w:color w:val="000000"/>
          <w:sz w:val="24"/>
        </w:rPr>
        <w:t>，其</w:t>
      </w:r>
      <w:r>
        <w:rPr>
          <w:rFonts w:hint="eastAsia" w:eastAsia="仿宋"/>
          <w:color w:val="000000"/>
          <w:sz w:val="24"/>
        </w:rPr>
        <w:t>磋商保证金</w:t>
      </w:r>
      <w:r>
        <w:rPr>
          <w:rFonts w:eastAsia="仿宋"/>
          <w:color w:val="000000"/>
          <w:sz w:val="24"/>
        </w:rPr>
        <w:t>不予退还；给采购人造成的损失超过</w:t>
      </w:r>
      <w:r>
        <w:rPr>
          <w:rFonts w:hint="eastAsia" w:eastAsia="仿宋"/>
          <w:color w:val="000000"/>
          <w:sz w:val="24"/>
        </w:rPr>
        <w:t>磋商保证金</w:t>
      </w:r>
      <w:r>
        <w:rPr>
          <w:rFonts w:eastAsia="仿宋"/>
          <w:color w:val="000000"/>
          <w:sz w:val="24"/>
        </w:rPr>
        <w:t>数额的，成交供应商还应当对超过部分予以赔偿。</w:t>
      </w:r>
    </w:p>
    <w:p w14:paraId="5C73E81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7.4</w:t>
      </w:r>
      <w:r>
        <w:rPr>
          <w:rFonts w:ascii="宋体" w:hAnsi="宋体" w:eastAsia="仿宋"/>
          <w:sz w:val="24"/>
        </w:rPr>
        <w:t>.2</w:t>
      </w:r>
      <w:r>
        <w:rPr>
          <w:rFonts w:hint="eastAsia" w:ascii="宋体" w:hAnsi="宋体" w:eastAsia="仿宋"/>
          <w:sz w:val="24"/>
        </w:rPr>
        <w:t xml:space="preserve"> </w:t>
      </w:r>
      <w:r>
        <w:rPr>
          <w:rFonts w:hint="eastAsia" w:ascii="Calibri" w:hAnsi="Calibri" w:eastAsia="仿宋"/>
          <w:sz w:val="24"/>
        </w:rPr>
        <w:t>因成交供应商原因未签订合同的，采购人可以按照评审报告推荐的成交候选供应商名单排序，确定下一候选人为成交供应商，也可以重新开展政府采购活动</w:t>
      </w:r>
      <w:r>
        <w:rPr>
          <w:rFonts w:hint="eastAsia" w:ascii="宋体" w:hAnsi="宋体" w:eastAsia="仿宋"/>
          <w:sz w:val="24"/>
        </w:rPr>
        <w:t>。</w:t>
      </w:r>
    </w:p>
    <w:p w14:paraId="16219C91">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7.</w:t>
      </w:r>
      <w:r>
        <w:rPr>
          <w:rFonts w:hint="eastAsia" w:ascii="宋体" w:hAnsi="宋体" w:eastAsia="仿宋"/>
          <w:sz w:val="24"/>
        </w:rPr>
        <w:t>4</w:t>
      </w:r>
      <w:r>
        <w:rPr>
          <w:rFonts w:ascii="宋体" w:hAnsi="宋体" w:eastAsia="仿宋"/>
          <w:sz w:val="24"/>
        </w:rPr>
        <w:t>.</w:t>
      </w:r>
      <w:r>
        <w:rPr>
          <w:rFonts w:hint="eastAsia" w:ascii="宋体" w:hAnsi="宋体" w:eastAsia="仿宋"/>
          <w:sz w:val="24"/>
        </w:rPr>
        <w:t xml:space="preserve">3 </w:t>
      </w:r>
      <w:r>
        <w:rPr>
          <w:rFonts w:ascii="Calibri" w:hAnsi="Calibri" w:eastAsia="仿宋"/>
          <w:sz w:val="24"/>
        </w:rPr>
        <w:t>联合体</w:t>
      </w:r>
      <w:r>
        <w:rPr>
          <w:rFonts w:hint="eastAsia" w:ascii="Calibri" w:hAnsi="Calibri" w:eastAsia="仿宋"/>
          <w:sz w:val="24"/>
        </w:rPr>
        <w:t>成交</w:t>
      </w:r>
      <w:r>
        <w:rPr>
          <w:rFonts w:ascii="Calibri" w:hAnsi="Calibri" w:eastAsia="仿宋"/>
          <w:sz w:val="24"/>
        </w:rPr>
        <w:t>的，联合体各方应当共同与采购人签订合同，就</w:t>
      </w:r>
      <w:r>
        <w:rPr>
          <w:rFonts w:hint="eastAsia" w:ascii="Calibri" w:hAnsi="Calibri" w:eastAsia="仿宋"/>
          <w:sz w:val="24"/>
        </w:rPr>
        <w:t>成交</w:t>
      </w:r>
      <w:r>
        <w:rPr>
          <w:rFonts w:ascii="Calibri" w:hAnsi="Calibri" w:eastAsia="仿宋"/>
          <w:sz w:val="24"/>
        </w:rPr>
        <w:t>项目向采购人承担连带责任。</w:t>
      </w:r>
    </w:p>
    <w:bookmarkEnd w:id="487"/>
    <w:bookmarkEnd w:id="488"/>
    <w:bookmarkEnd w:id="489"/>
    <w:bookmarkEnd w:id="490"/>
    <w:bookmarkEnd w:id="491"/>
    <w:bookmarkEnd w:id="492"/>
    <w:bookmarkEnd w:id="493"/>
    <w:bookmarkEnd w:id="494"/>
    <w:bookmarkEnd w:id="495"/>
    <w:bookmarkEnd w:id="496"/>
    <w:bookmarkEnd w:id="497"/>
    <w:bookmarkEnd w:id="498"/>
    <w:p w14:paraId="7371EC22">
      <w:pPr>
        <w:pStyle w:val="3"/>
        <w:rPr>
          <w:rStyle w:val="103"/>
          <w:rFonts w:ascii="Calibri" w:hAnsi="Calibri" w:eastAsia="仿宋"/>
          <w:b/>
          <w:bCs/>
          <w:sz w:val="24"/>
          <w:szCs w:val="24"/>
        </w:rPr>
      </w:pPr>
      <w:bookmarkStart w:id="539" w:name="_Toc455587075"/>
      <w:bookmarkStart w:id="540" w:name="_Toc455587259"/>
      <w:bookmarkStart w:id="541" w:name="_Toc458504860"/>
      <w:bookmarkStart w:id="542" w:name="_Toc466024542"/>
      <w:bookmarkStart w:id="543" w:name="_Toc342296207"/>
      <w:bookmarkStart w:id="544" w:name="_Toc152042350"/>
      <w:bookmarkStart w:id="545" w:name="_Toc152045574"/>
      <w:bookmarkStart w:id="546" w:name="_Toc333600728"/>
      <w:bookmarkStart w:id="547" w:name="_Toc338943745"/>
      <w:bookmarkStart w:id="548" w:name="_Toc333599704"/>
      <w:bookmarkStart w:id="549" w:name="_Toc144974542"/>
      <w:bookmarkStart w:id="550" w:name="_Toc338944650"/>
      <w:bookmarkStart w:id="551" w:name="_Toc342294759"/>
      <w:bookmarkStart w:id="552" w:name="_Toc342297664"/>
      <w:bookmarkStart w:id="553" w:name="_Toc179632592"/>
      <w:r>
        <w:rPr>
          <w:rStyle w:val="103"/>
          <w:rFonts w:hint="eastAsia" w:ascii="Calibri" w:hAnsi="Calibri" w:eastAsia="仿宋"/>
          <w:b/>
          <w:bCs/>
          <w:sz w:val="24"/>
          <w:szCs w:val="24"/>
        </w:rPr>
        <w:t xml:space="preserve">8. </w:t>
      </w:r>
      <w:bookmarkEnd w:id="539"/>
      <w:bookmarkEnd w:id="540"/>
      <w:bookmarkEnd w:id="541"/>
      <w:r>
        <w:rPr>
          <w:rStyle w:val="103"/>
          <w:rFonts w:hint="eastAsia" w:ascii="Calibri" w:hAnsi="Calibri" w:eastAsia="仿宋"/>
          <w:b/>
          <w:bCs/>
          <w:sz w:val="24"/>
          <w:szCs w:val="24"/>
        </w:rPr>
        <w:t>重新采购、变更采购方式与终止</w:t>
      </w:r>
      <w:bookmarkEnd w:id="542"/>
      <w:r>
        <w:rPr>
          <w:rStyle w:val="103"/>
          <w:rFonts w:hint="eastAsia" w:ascii="Calibri" w:hAnsi="Calibri" w:eastAsia="仿宋"/>
          <w:b/>
          <w:bCs/>
          <w:sz w:val="24"/>
          <w:szCs w:val="24"/>
        </w:rPr>
        <w:t>采购</w:t>
      </w:r>
    </w:p>
    <w:p w14:paraId="4184C4CE">
      <w:pPr>
        <w:pStyle w:val="4"/>
        <w:adjustRightInd w:val="0"/>
        <w:ind w:firstLine="482" w:firstLineChars="200"/>
        <w:rPr>
          <w:rFonts w:eastAsia="仿宋"/>
          <w:sz w:val="24"/>
          <w:lang w:eastAsia="zh-CN"/>
        </w:rPr>
      </w:pPr>
      <w:bookmarkStart w:id="554" w:name="_Toc455587260"/>
      <w:bookmarkStart w:id="555" w:name="_Toc458504861"/>
      <w:bookmarkStart w:id="556" w:name="_Toc455587076"/>
      <w:bookmarkStart w:id="557" w:name="_Toc466024543"/>
      <w:bookmarkStart w:id="558" w:name="_Toc338944648"/>
      <w:bookmarkStart w:id="559" w:name="_Toc338943743"/>
      <w:bookmarkStart w:id="560" w:name="_Toc333600726"/>
      <w:bookmarkStart w:id="561" w:name="_Toc144974540"/>
      <w:bookmarkStart w:id="562" w:name="_Toc179632590"/>
      <w:bookmarkStart w:id="563" w:name="_Toc371415961"/>
      <w:bookmarkStart w:id="564" w:name="_Toc342296205"/>
      <w:bookmarkStart w:id="565" w:name="_Toc342297662"/>
      <w:bookmarkStart w:id="566" w:name="_Toc333587896"/>
      <w:bookmarkStart w:id="567" w:name="_Toc445554734"/>
      <w:bookmarkStart w:id="568" w:name="_Toc342294757"/>
      <w:bookmarkStart w:id="569" w:name="_Toc152042348"/>
      <w:bookmarkStart w:id="570" w:name="_Toc333599702"/>
      <w:bookmarkStart w:id="571" w:name="_Toc152045572"/>
      <w:r>
        <w:rPr>
          <w:rFonts w:hint="eastAsia" w:eastAsia="仿宋"/>
          <w:sz w:val="24"/>
          <w:lang w:eastAsia="zh-CN"/>
        </w:rPr>
        <w:t xml:space="preserve">8.1 </w:t>
      </w:r>
      <w:bookmarkEnd w:id="554"/>
      <w:bookmarkEnd w:id="555"/>
      <w:bookmarkEnd w:id="556"/>
      <w:bookmarkEnd w:id="557"/>
      <w:r>
        <w:rPr>
          <w:rFonts w:hint="eastAsia" w:eastAsia="仿宋"/>
          <w:sz w:val="24"/>
          <w:lang w:eastAsia="zh-CN"/>
        </w:rPr>
        <w:t>重新采购</w:t>
      </w:r>
    </w:p>
    <w:p w14:paraId="72F1F501">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8.1.1 出现下列情形之一的，采购人将终止竞争性磋商，发布终止公告并说明原因，按原采购方式或变更采购方式重新采购：</w:t>
      </w:r>
    </w:p>
    <w:p w14:paraId="3C15FC20">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（1）因情况变化，不再符合规定的竞争性磋商采购方式适用情形的；</w:t>
      </w:r>
    </w:p>
    <w:p w14:paraId="4D239AAF">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（2）出现影响采购公正的违法、违规行为的；</w:t>
      </w:r>
    </w:p>
    <w:p w14:paraId="1E7689D1">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（3）除市场竞争不充分的科研项目，以及需要扶持的科技成果转化项目外，在采购过程中符合要求的供应商或者报价未超过采购预算的供应商不足3家的。</w:t>
      </w:r>
    </w:p>
    <w:p w14:paraId="214094A2">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8.1.2 除采购任务取消情形外，应当重新组织采购活动；需要采取其他方式采购的，需要批准的应当在采购活动开始前获得批准。</w:t>
      </w:r>
    </w:p>
    <w:p w14:paraId="7EB5C6E2">
      <w:pPr>
        <w:pStyle w:val="4"/>
        <w:adjustRightInd w:val="0"/>
        <w:ind w:firstLine="482" w:firstLineChars="200"/>
        <w:rPr>
          <w:rFonts w:eastAsia="仿宋"/>
          <w:sz w:val="24"/>
          <w:lang w:eastAsia="zh-CN"/>
        </w:rPr>
      </w:pPr>
      <w:r>
        <w:rPr>
          <w:rFonts w:hint="eastAsia" w:eastAsia="仿宋"/>
          <w:sz w:val="24"/>
          <w:lang w:eastAsia="zh-CN"/>
        </w:rPr>
        <w:t>8.2 终止采购</w:t>
      </w:r>
    </w:p>
    <w:p w14:paraId="08150871">
      <w:pPr>
        <w:widowControl/>
        <w:adjustRightInd w:val="0"/>
        <w:snapToGrid w:val="0"/>
        <w:spacing w:line="360" w:lineRule="auto"/>
        <w:ind w:firstLine="480" w:firstLineChars="200"/>
        <w:rPr>
          <w:rFonts w:ascii="Calibri" w:hAnsi="Calibri" w:eastAsia="仿宋"/>
          <w:sz w:val="24"/>
        </w:rPr>
      </w:pPr>
      <w:r>
        <w:rPr>
          <w:rFonts w:hint="eastAsia" w:ascii="Calibri" w:hAnsi="Calibri" w:eastAsia="仿宋"/>
          <w:sz w:val="24"/>
        </w:rPr>
        <w:t>在采购活动中因重大变故，采购任务取消的，采购人应当终止采购活动，通知所有参加采购活动的供应商。</w:t>
      </w:r>
    </w:p>
    <w:bookmarkEnd w:id="543"/>
    <w:bookmarkEnd w:id="544"/>
    <w:bookmarkEnd w:id="545"/>
    <w:bookmarkEnd w:id="546"/>
    <w:bookmarkEnd w:id="547"/>
    <w:bookmarkEnd w:id="548"/>
    <w:bookmarkEnd w:id="549"/>
    <w:bookmarkEnd w:id="550"/>
    <w:bookmarkEnd w:id="551"/>
    <w:bookmarkEnd w:id="552"/>
    <w:bookmarkEnd w:id="553"/>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14:paraId="01528BF1">
      <w:pPr>
        <w:pStyle w:val="3"/>
        <w:rPr>
          <w:rStyle w:val="103"/>
          <w:rFonts w:ascii="宋体" w:hAnsi="宋体" w:eastAsia="仿宋"/>
          <w:b/>
          <w:bCs/>
          <w:sz w:val="24"/>
          <w:szCs w:val="24"/>
        </w:rPr>
      </w:pPr>
      <w:bookmarkStart w:id="572" w:name="_Toc466024546"/>
      <w:bookmarkStart w:id="573" w:name="_Toc458504864"/>
      <w:bookmarkStart w:id="574" w:name="_Toc455587263"/>
      <w:bookmarkStart w:id="575" w:name="_Toc445554737"/>
      <w:bookmarkStart w:id="576" w:name="_Toc455587079"/>
      <w:r>
        <w:rPr>
          <w:rStyle w:val="103"/>
          <w:rFonts w:hint="eastAsia" w:ascii="宋体" w:hAnsi="宋体" w:eastAsia="仿宋"/>
          <w:b/>
          <w:bCs/>
          <w:sz w:val="24"/>
          <w:szCs w:val="24"/>
        </w:rPr>
        <w:t>9. 询问与质疑</w:t>
      </w:r>
    </w:p>
    <w:p w14:paraId="753DEFAA">
      <w:pPr>
        <w:pStyle w:val="4"/>
        <w:adjustRightInd w:val="0"/>
        <w:ind w:firstLine="482" w:firstLineChars="200"/>
        <w:rPr>
          <w:rFonts w:eastAsia="仿宋"/>
          <w:sz w:val="24"/>
          <w:lang w:eastAsia="zh-CN"/>
        </w:rPr>
      </w:pPr>
      <w:r>
        <w:rPr>
          <w:rFonts w:hint="eastAsia" w:eastAsia="仿宋"/>
          <w:sz w:val="24"/>
          <w:lang w:eastAsia="zh-CN"/>
        </w:rPr>
        <w:t>9.1 询问</w:t>
      </w:r>
    </w:p>
    <w:p w14:paraId="283820E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9.1.1 供应商对政府采购活动事项有疑问的，可依法按供应商须知前附表载明的时间提出询问。</w:t>
      </w:r>
    </w:p>
    <w:p w14:paraId="735330D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9.1.2 采购人或采购代理机构对供应商依法提出的询问，在3个工作日内作出答复，但答复的内容不得涉及商业秘密。</w:t>
      </w:r>
    </w:p>
    <w:p w14:paraId="04C3079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9.1.3 除非采购人认为确有必要答复，否则，采购人有权拒绝回复供应商在本章第9.1.1项规定的时间后的询问。</w:t>
      </w:r>
    </w:p>
    <w:p w14:paraId="4E08B4A7">
      <w:pPr>
        <w:pStyle w:val="4"/>
        <w:adjustRightInd w:val="0"/>
        <w:ind w:firstLine="482" w:firstLineChars="200"/>
        <w:rPr>
          <w:rFonts w:eastAsia="仿宋"/>
          <w:sz w:val="24"/>
          <w:lang w:eastAsia="zh-CN"/>
        </w:rPr>
      </w:pPr>
      <w:r>
        <w:rPr>
          <w:rFonts w:hint="eastAsia" w:eastAsia="仿宋"/>
          <w:sz w:val="24"/>
          <w:lang w:eastAsia="zh-CN"/>
        </w:rPr>
        <w:t>9.2 质疑</w:t>
      </w:r>
    </w:p>
    <w:p w14:paraId="6815589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9.2.1 供应商认为竞争性磋商文件、采购过程、成交结果使自己的权益受到损害的，可以在供应商须知前附表载明的时间向采购人、采购代理机构提出质疑，逾期提出的，采购人、采购代理机构可不予受理。对竞争性磋商文件提出质疑的，质疑期限为供应商获得竞争性磋商文件之日或者竞争性磋商公告期限届满之日起计算。对采购过程提出质疑的，质疑期限为各采购程序环节结束之日起计算。对采购结果提出质疑的，质疑期限自采购结果公告期限届满之日起计算。</w:t>
      </w:r>
    </w:p>
    <w:p w14:paraId="4D6F930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供应商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1A4D9F5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9.2.2 接收质疑的联系方式见供应商须知前附表，采购人、采购代理机构在收到质疑函后7个工作日内作出答复。</w:t>
      </w:r>
    </w:p>
    <w:p w14:paraId="7A06F80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9.2.3 供应商为自然人的，质疑函应当由本人签字；供应商为法人或者其他组织的，质疑函应当由法定代表人、主要负责人，或者其授权代表签字或者盖章，并加盖公章，附法定代表人（单位负责人）及其委托联系人的有效身份证复印件。</w:t>
      </w:r>
    </w:p>
    <w:p w14:paraId="4E030A7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9.2.4 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EE95CB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9.2.5 供应商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125EA53A">
      <w:pPr>
        <w:widowControl/>
        <w:adjustRightInd w:val="0"/>
        <w:snapToGrid w:val="0"/>
        <w:spacing w:line="360" w:lineRule="auto"/>
        <w:ind w:firstLine="480" w:firstLineChars="200"/>
        <w:rPr>
          <w:rFonts w:eastAsia="仿宋"/>
          <w:sz w:val="24"/>
        </w:rPr>
      </w:pPr>
      <w:r>
        <w:rPr>
          <w:rFonts w:hint="eastAsia" w:ascii="宋体" w:hAnsi="宋体" w:eastAsia="仿宋"/>
          <w:sz w:val="24"/>
        </w:rPr>
        <w:t xml:space="preserve">9.2.6 </w:t>
      </w:r>
      <w:r>
        <w:rPr>
          <w:rFonts w:eastAsia="仿宋"/>
          <w:sz w:val="24"/>
        </w:rPr>
        <w:t>提出质疑的</w:t>
      </w:r>
      <w:r>
        <w:rPr>
          <w:rFonts w:hint="eastAsia" w:eastAsia="仿宋"/>
          <w:sz w:val="24"/>
        </w:rPr>
        <w:t>供应商</w:t>
      </w:r>
      <w:r>
        <w:rPr>
          <w:rFonts w:eastAsia="仿宋"/>
          <w:sz w:val="24"/>
        </w:rPr>
        <w:t>应当是参与所质疑项目采购活动的</w:t>
      </w:r>
      <w:r>
        <w:rPr>
          <w:rFonts w:hint="eastAsia" w:eastAsia="仿宋"/>
          <w:sz w:val="24"/>
        </w:rPr>
        <w:t>供应商</w:t>
      </w:r>
      <w:r>
        <w:rPr>
          <w:rFonts w:eastAsia="仿宋"/>
          <w:sz w:val="24"/>
        </w:rPr>
        <w:t>。潜在</w:t>
      </w:r>
      <w:r>
        <w:rPr>
          <w:rFonts w:hint="eastAsia" w:eastAsia="仿宋"/>
          <w:sz w:val="24"/>
        </w:rPr>
        <w:t>供应商</w:t>
      </w:r>
      <w:r>
        <w:rPr>
          <w:rFonts w:eastAsia="仿宋"/>
          <w:sz w:val="24"/>
        </w:rPr>
        <w:t>已依法获取其可质疑的</w:t>
      </w:r>
      <w:r>
        <w:rPr>
          <w:rFonts w:hint="eastAsia" w:eastAsia="仿宋"/>
          <w:sz w:val="24"/>
        </w:rPr>
        <w:t>竞争性磋商文件</w:t>
      </w:r>
      <w:r>
        <w:rPr>
          <w:rFonts w:eastAsia="仿宋"/>
          <w:sz w:val="24"/>
        </w:rPr>
        <w:t>的，可以对</w:t>
      </w:r>
      <w:r>
        <w:rPr>
          <w:rFonts w:hint="eastAsia" w:eastAsia="仿宋"/>
          <w:sz w:val="24"/>
        </w:rPr>
        <w:t>竞争性磋商文件</w:t>
      </w:r>
      <w:r>
        <w:rPr>
          <w:rFonts w:eastAsia="仿宋"/>
          <w:sz w:val="24"/>
        </w:rPr>
        <w:t>提出</w:t>
      </w:r>
      <w:r>
        <w:rPr>
          <w:rFonts w:hint="eastAsia" w:eastAsia="仿宋"/>
          <w:sz w:val="24"/>
        </w:rPr>
        <w:t>质疑</w:t>
      </w:r>
      <w:r>
        <w:rPr>
          <w:rFonts w:eastAsia="仿宋"/>
          <w:sz w:val="24"/>
        </w:rPr>
        <w:t>。</w:t>
      </w:r>
    </w:p>
    <w:p w14:paraId="0BCB9AF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9.2.7 质疑材料存在以下情形的，采购人、采购代理机构不予受理。</w:t>
      </w:r>
    </w:p>
    <w:p w14:paraId="60B4362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（1）提起质疑的主体不是参与该政府采购项目活动的供应商；</w:t>
      </w:r>
    </w:p>
    <w:p w14:paraId="17258D7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（2）提起质疑的时间超过规定时限的；</w:t>
      </w:r>
    </w:p>
    <w:p w14:paraId="4C245A8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（3）质疑材料不完整的；</w:t>
      </w:r>
    </w:p>
    <w:p w14:paraId="19D7DCF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（4）质疑事项含有主观猜测等内容且未提供充分有效线索、难以查证的；</w:t>
      </w:r>
    </w:p>
    <w:p w14:paraId="6261005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（5）质疑</w:t>
      </w:r>
      <w:r>
        <w:rPr>
          <w:rFonts w:ascii="宋体" w:hAnsi="宋体" w:eastAsia="仿宋"/>
          <w:sz w:val="24"/>
        </w:rPr>
        <w:t>事项缺乏事实依据，</w:t>
      </w:r>
      <w:r>
        <w:rPr>
          <w:rFonts w:hint="eastAsia" w:ascii="宋体" w:hAnsi="宋体" w:eastAsia="仿宋"/>
          <w:sz w:val="24"/>
        </w:rPr>
        <w:t>质疑</w:t>
      </w:r>
      <w:r>
        <w:rPr>
          <w:rFonts w:ascii="宋体" w:hAnsi="宋体" w:eastAsia="仿宋"/>
          <w:sz w:val="24"/>
        </w:rPr>
        <w:t>事项不成立</w:t>
      </w:r>
      <w:r>
        <w:rPr>
          <w:rFonts w:hint="eastAsia" w:ascii="宋体" w:hAnsi="宋体" w:eastAsia="仿宋"/>
          <w:sz w:val="24"/>
        </w:rPr>
        <w:t>的；</w:t>
      </w:r>
    </w:p>
    <w:p w14:paraId="513FE4C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w:t>
      </w:r>
      <w:r>
        <w:rPr>
          <w:rFonts w:ascii="宋体" w:hAnsi="宋体" w:eastAsia="仿宋"/>
          <w:sz w:val="24"/>
        </w:rPr>
        <w:t>捏造事实或者提供虚假材料；</w:t>
      </w:r>
    </w:p>
    <w:p w14:paraId="53FE6DB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w:t>
      </w:r>
      <w:r>
        <w:rPr>
          <w:rFonts w:ascii="宋体" w:hAnsi="宋体" w:eastAsia="仿宋"/>
          <w:sz w:val="24"/>
        </w:rPr>
        <w:t>以非法手段取得证明材料。</w:t>
      </w:r>
      <w:r>
        <w:rPr>
          <w:rFonts w:hint="eastAsia" w:ascii="宋体" w:hAnsi="宋体" w:eastAsia="仿宋"/>
          <w:sz w:val="24"/>
        </w:rPr>
        <w:t>证明材料</w:t>
      </w:r>
      <w:r>
        <w:rPr>
          <w:rFonts w:ascii="宋体" w:hAnsi="宋体" w:eastAsia="仿宋"/>
          <w:sz w:val="24"/>
        </w:rPr>
        <w:t>来源的合法性存在明显疑问，</w:t>
      </w:r>
      <w:r>
        <w:rPr>
          <w:rFonts w:hint="eastAsia" w:ascii="宋体" w:hAnsi="宋体" w:eastAsia="仿宋"/>
          <w:sz w:val="24"/>
        </w:rPr>
        <w:t>质疑</w:t>
      </w:r>
      <w:r>
        <w:rPr>
          <w:rFonts w:ascii="宋体" w:hAnsi="宋体" w:eastAsia="仿宋"/>
          <w:sz w:val="24"/>
        </w:rPr>
        <w:t>人无法证明其取得方式合法的，视为以非法手段取得证明材料</w:t>
      </w:r>
      <w:r>
        <w:rPr>
          <w:rFonts w:hint="eastAsia" w:ascii="宋体" w:hAnsi="宋体" w:eastAsia="仿宋"/>
          <w:sz w:val="24"/>
        </w:rPr>
        <w:t>；</w:t>
      </w:r>
    </w:p>
    <w:p w14:paraId="211B64D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（8）对其他供应商的响应文件详细内容质疑，无法提供合法来源渠道的。</w:t>
      </w:r>
    </w:p>
    <w:p w14:paraId="142E4BA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9.2.8 质疑人在答复期满前撤回质疑的，应由法定代表人或授权代表人签字确认。质疑人不得以同一理由再次提出质疑。</w:t>
      </w:r>
    </w:p>
    <w:p w14:paraId="52C0464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9.2.9 因处理质疑发生的检验、检测、鉴定等费用，</w:t>
      </w:r>
      <w:r>
        <w:rPr>
          <w:rFonts w:ascii="宋体" w:hAnsi="宋体" w:eastAsia="仿宋"/>
          <w:sz w:val="24"/>
        </w:rPr>
        <w:t>由提出申请的</w:t>
      </w:r>
      <w:r>
        <w:rPr>
          <w:rFonts w:hint="eastAsia" w:ascii="宋体" w:hAnsi="宋体" w:eastAsia="仿宋"/>
          <w:sz w:val="24"/>
        </w:rPr>
        <w:t>供应商</w:t>
      </w:r>
      <w:r>
        <w:rPr>
          <w:rFonts w:ascii="宋体" w:hAnsi="宋体" w:eastAsia="仿宋"/>
          <w:sz w:val="24"/>
        </w:rPr>
        <w:t>先行垫付。</w:t>
      </w:r>
      <w:r>
        <w:rPr>
          <w:rFonts w:hint="eastAsia" w:ascii="宋体" w:hAnsi="宋体" w:eastAsia="仿宋"/>
          <w:sz w:val="24"/>
        </w:rPr>
        <w:t>质疑处理决定各方无异议</w:t>
      </w:r>
      <w:r>
        <w:rPr>
          <w:rFonts w:ascii="宋体" w:hAnsi="宋体" w:eastAsia="仿宋"/>
          <w:sz w:val="24"/>
        </w:rPr>
        <w:t>后，按照</w:t>
      </w:r>
      <w:r>
        <w:rPr>
          <w:rFonts w:hint="eastAsia" w:ascii="宋体" w:hAnsi="宋体" w:eastAsia="仿宋"/>
          <w:sz w:val="24"/>
        </w:rPr>
        <w:t>“</w:t>
      </w:r>
      <w:r>
        <w:rPr>
          <w:rFonts w:ascii="宋体" w:hAnsi="宋体" w:eastAsia="仿宋"/>
          <w:sz w:val="24"/>
        </w:rPr>
        <w:t>谁过错谁负担</w:t>
      </w:r>
      <w:r>
        <w:rPr>
          <w:rFonts w:hint="eastAsia" w:ascii="宋体" w:hAnsi="宋体" w:eastAsia="仿宋"/>
          <w:sz w:val="24"/>
        </w:rPr>
        <w:t>”</w:t>
      </w:r>
      <w:r>
        <w:rPr>
          <w:rFonts w:ascii="宋体" w:hAnsi="宋体" w:eastAsia="仿宋"/>
          <w:sz w:val="24"/>
        </w:rPr>
        <w:t>的原则由承担责任的一方负担；双方都有责任的，由双方合理分担。</w:t>
      </w:r>
    </w:p>
    <w:p w14:paraId="38E69F8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9.2.10 供应商不得以质疑为名进行虚假、恶意质疑，扰乱政府采购正常的工作秩序。供应商有下列情形之一的，属于虚假、恶意质疑，被质疑人应当驳回质疑，并向同级政府采购监督管理部门报告，将其列入不良行为记录名单，并依法予以处罚：</w:t>
      </w:r>
    </w:p>
    <w:p w14:paraId="6AE1A45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（1）一年内三次以上投诉均查无实据的；</w:t>
      </w:r>
    </w:p>
    <w:p w14:paraId="1DD1CA5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（2）捏造事实或者提供虚假质疑材料的；</w:t>
      </w:r>
    </w:p>
    <w:p w14:paraId="0B48E4A1">
      <w:pPr>
        <w:widowControl/>
        <w:adjustRightInd w:val="0"/>
        <w:snapToGrid w:val="0"/>
        <w:spacing w:line="360" w:lineRule="auto"/>
        <w:ind w:firstLine="480" w:firstLineChars="200"/>
        <w:rPr>
          <w:rFonts w:eastAsia="仿宋"/>
          <w:sz w:val="24"/>
        </w:rPr>
      </w:pPr>
      <w:r>
        <w:rPr>
          <w:rFonts w:hint="eastAsia" w:ascii="宋体" w:hAnsi="宋体" w:eastAsia="仿宋"/>
          <w:sz w:val="24"/>
        </w:rPr>
        <w:t>（3）</w:t>
      </w:r>
      <w:r>
        <w:rPr>
          <w:rFonts w:ascii="宋体" w:hAnsi="宋体" w:eastAsia="仿宋"/>
          <w:sz w:val="24"/>
        </w:rPr>
        <w:t>以非法手段取</w:t>
      </w:r>
      <w:r>
        <w:rPr>
          <w:rFonts w:eastAsia="仿宋"/>
          <w:sz w:val="24"/>
        </w:rPr>
        <w:t>得证明材料。</w:t>
      </w:r>
      <w:r>
        <w:rPr>
          <w:rFonts w:hint="eastAsia" w:eastAsia="仿宋"/>
          <w:sz w:val="24"/>
        </w:rPr>
        <w:t>证明材料</w:t>
      </w:r>
      <w:r>
        <w:rPr>
          <w:rFonts w:eastAsia="仿宋"/>
          <w:sz w:val="24"/>
        </w:rPr>
        <w:t>来源的合法性存在明显疑问，</w:t>
      </w:r>
      <w:r>
        <w:rPr>
          <w:rFonts w:hint="eastAsia" w:eastAsia="仿宋"/>
          <w:sz w:val="24"/>
        </w:rPr>
        <w:t>质疑</w:t>
      </w:r>
      <w:r>
        <w:rPr>
          <w:rFonts w:eastAsia="仿宋"/>
          <w:sz w:val="24"/>
        </w:rPr>
        <w:t>人无法证明其取得方式</w:t>
      </w:r>
      <w:r>
        <w:rPr>
          <w:rFonts w:ascii="宋体" w:hAnsi="宋体" w:eastAsia="仿宋"/>
          <w:sz w:val="24"/>
        </w:rPr>
        <w:t>合法的，视为以非法手段取得证明材料</w:t>
      </w:r>
      <w:r>
        <w:rPr>
          <w:rFonts w:hint="eastAsia" w:ascii="宋体" w:hAnsi="宋体" w:eastAsia="仿宋"/>
          <w:sz w:val="24"/>
        </w:rPr>
        <w:t>。</w:t>
      </w:r>
    </w:p>
    <w:p w14:paraId="2C1590A3">
      <w:pPr>
        <w:pStyle w:val="3"/>
        <w:rPr>
          <w:rStyle w:val="103"/>
          <w:rFonts w:ascii="宋体" w:hAnsi="宋体" w:eastAsia="仿宋"/>
          <w:b/>
          <w:bCs/>
          <w:sz w:val="24"/>
          <w:szCs w:val="24"/>
        </w:rPr>
      </w:pPr>
      <w:r>
        <w:rPr>
          <w:rStyle w:val="103"/>
          <w:rFonts w:hint="eastAsia" w:ascii="宋体" w:hAnsi="宋体" w:eastAsia="仿宋"/>
          <w:b/>
          <w:bCs/>
          <w:sz w:val="24"/>
          <w:szCs w:val="24"/>
        </w:rPr>
        <w:t>10. 纪律和监督</w:t>
      </w:r>
      <w:bookmarkEnd w:id="572"/>
      <w:bookmarkEnd w:id="573"/>
      <w:bookmarkEnd w:id="574"/>
      <w:bookmarkEnd w:id="575"/>
      <w:bookmarkEnd w:id="576"/>
    </w:p>
    <w:p w14:paraId="0AB0424D">
      <w:pPr>
        <w:pStyle w:val="4"/>
        <w:adjustRightInd w:val="0"/>
        <w:ind w:firstLine="482" w:firstLineChars="200"/>
        <w:rPr>
          <w:rFonts w:eastAsia="仿宋"/>
          <w:sz w:val="24"/>
          <w:lang w:eastAsia="zh-CN"/>
        </w:rPr>
      </w:pPr>
      <w:bookmarkStart w:id="577" w:name="_Toc338943746"/>
      <w:bookmarkStart w:id="578" w:name="_Toc455587264"/>
      <w:bookmarkStart w:id="579" w:name="_Toc152045575"/>
      <w:bookmarkStart w:id="580" w:name="_Toc342297665"/>
      <w:bookmarkStart w:id="581" w:name="_Toc333600729"/>
      <w:bookmarkStart w:id="582" w:name="_Toc152042351"/>
      <w:bookmarkStart w:id="583" w:name="_Toc455587080"/>
      <w:bookmarkStart w:id="584" w:name="_Toc144974543"/>
      <w:bookmarkStart w:id="585" w:name="_Toc458504865"/>
      <w:bookmarkStart w:id="586" w:name="_Toc445554738"/>
      <w:bookmarkStart w:id="587" w:name="_Toc179632593"/>
      <w:bookmarkStart w:id="588" w:name="_Toc333599705"/>
      <w:bookmarkStart w:id="589" w:name="_Toc342296208"/>
      <w:bookmarkStart w:id="590" w:name="_Toc342294760"/>
      <w:bookmarkStart w:id="591" w:name="_Toc338944651"/>
      <w:bookmarkStart w:id="592" w:name="_Toc333587899"/>
      <w:bookmarkStart w:id="593" w:name="_Toc466024547"/>
      <w:bookmarkStart w:id="594" w:name="_Toc371415965"/>
      <w:r>
        <w:rPr>
          <w:rFonts w:hint="eastAsia" w:eastAsia="仿宋"/>
          <w:sz w:val="24"/>
          <w:lang w:eastAsia="zh-CN"/>
        </w:rPr>
        <w:t>10.1 对采购人的纪律要求</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6C6EC10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采购人不得泄露政府采购活动中应当保密的情况和资料，不得与供应商串通损害国家利益、社会公共利益或者他人合法权益。</w:t>
      </w:r>
    </w:p>
    <w:p w14:paraId="3D1248B3">
      <w:pPr>
        <w:pStyle w:val="4"/>
        <w:adjustRightInd w:val="0"/>
        <w:ind w:firstLine="482" w:firstLineChars="200"/>
        <w:rPr>
          <w:rFonts w:eastAsia="仿宋"/>
          <w:sz w:val="24"/>
          <w:lang w:eastAsia="zh-CN"/>
        </w:rPr>
      </w:pPr>
      <w:bookmarkStart w:id="595" w:name="_Toc333600730"/>
      <w:bookmarkStart w:id="596" w:name="_Toc466024548"/>
      <w:bookmarkStart w:id="597" w:name="_Toc152045576"/>
      <w:bookmarkStart w:id="598" w:name="_Toc338943747"/>
      <w:bookmarkStart w:id="599" w:name="_Toc342297666"/>
      <w:bookmarkStart w:id="600" w:name="_Toc152042352"/>
      <w:bookmarkStart w:id="601" w:name="_Toc144974544"/>
      <w:bookmarkStart w:id="602" w:name="_Toc338944652"/>
      <w:bookmarkStart w:id="603" w:name="_Toc333599706"/>
      <w:bookmarkStart w:id="604" w:name="_Toc445554739"/>
      <w:bookmarkStart w:id="605" w:name="_Toc333587900"/>
      <w:bookmarkStart w:id="606" w:name="_Toc371415966"/>
      <w:bookmarkStart w:id="607" w:name="_Toc455587081"/>
      <w:bookmarkStart w:id="608" w:name="_Toc455587265"/>
      <w:bookmarkStart w:id="609" w:name="_Toc342294761"/>
      <w:bookmarkStart w:id="610" w:name="_Toc342296209"/>
      <w:bookmarkStart w:id="611" w:name="_Toc179632594"/>
      <w:bookmarkStart w:id="612" w:name="_Toc458504866"/>
      <w:r>
        <w:rPr>
          <w:rFonts w:hint="eastAsia" w:eastAsia="仿宋"/>
          <w:sz w:val="24"/>
          <w:lang w:eastAsia="zh-CN"/>
        </w:rPr>
        <w:t>10.2 对供应商的纪律要求</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21AC55E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供应商不得相互串通或者与采购人串通，不得向采购人或者磋商小组成员行贿谋取成交，不得以他人名义</w:t>
      </w:r>
      <w:r>
        <w:rPr>
          <w:rFonts w:hint="eastAsia" w:ascii="Calibri" w:hAnsi="Calibri" w:eastAsia="仿宋"/>
          <w:sz w:val="24"/>
        </w:rPr>
        <w:t>参加采购活动</w:t>
      </w:r>
      <w:r>
        <w:rPr>
          <w:rFonts w:hint="eastAsia" w:ascii="宋体" w:hAnsi="宋体" w:eastAsia="仿宋"/>
          <w:sz w:val="24"/>
        </w:rPr>
        <w:t>或者以其他方式弄虚作假骗取成交；供应商不得以任何方式干扰、影响评审工作。</w:t>
      </w:r>
    </w:p>
    <w:p w14:paraId="75B6ADC6">
      <w:pPr>
        <w:pStyle w:val="3"/>
        <w:rPr>
          <w:rStyle w:val="103"/>
          <w:rFonts w:ascii="宋体" w:hAnsi="宋体" w:eastAsia="仿宋"/>
          <w:b/>
          <w:bCs/>
          <w:sz w:val="24"/>
          <w:szCs w:val="24"/>
        </w:rPr>
      </w:pPr>
      <w:bookmarkStart w:id="613" w:name="_Toc338943751"/>
      <w:bookmarkStart w:id="614" w:name="_Toc342294765"/>
      <w:bookmarkStart w:id="615" w:name="_Toc152042357"/>
      <w:bookmarkStart w:id="616" w:name="_Toc144974547"/>
      <w:bookmarkStart w:id="617" w:name="_Toc342297670"/>
      <w:bookmarkStart w:id="618" w:name="_Toc466024552"/>
      <w:bookmarkStart w:id="619" w:name="_Toc333600734"/>
      <w:bookmarkStart w:id="620" w:name="_Toc455587269"/>
      <w:bookmarkStart w:id="621" w:name="_Toc342296213"/>
      <w:bookmarkStart w:id="622" w:name="_Toc179632598"/>
      <w:bookmarkStart w:id="623" w:name="_Toc455587085"/>
      <w:bookmarkStart w:id="624" w:name="_Toc371415963"/>
      <w:bookmarkStart w:id="625" w:name="_Toc333599710"/>
      <w:bookmarkStart w:id="626" w:name="_Toc152045580"/>
      <w:bookmarkStart w:id="627" w:name="_Toc445554743"/>
      <w:bookmarkStart w:id="628" w:name="_Toc338944656"/>
      <w:bookmarkStart w:id="629" w:name="_Toc458504870"/>
      <w:r>
        <w:rPr>
          <w:rStyle w:val="103"/>
          <w:rFonts w:hint="eastAsia" w:ascii="宋体" w:hAnsi="宋体" w:eastAsia="仿宋"/>
          <w:b/>
          <w:bCs/>
          <w:sz w:val="24"/>
          <w:szCs w:val="24"/>
        </w:rPr>
        <w:t>11. 政府采购政策</w:t>
      </w:r>
    </w:p>
    <w:p w14:paraId="6FC961B8">
      <w:pPr>
        <w:pStyle w:val="4"/>
        <w:adjustRightInd w:val="0"/>
        <w:ind w:firstLine="482" w:firstLineChars="200"/>
        <w:rPr>
          <w:rFonts w:eastAsia="仿宋"/>
          <w:sz w:val="24"/>
          <w:lang w:eastAsia="zh-CN"/>
        </w:rPr>
      </w:pPr>
      <w:r>
        <w:rPr>
          <w:rFonts w:hint="eastAsia" w:eastAsia="仿宋"/>
          <w:sz w:val="24"/>
          <w:lang w:eastAsia="zh-CN"/>
        </w:rPr>
        <w:t>11.1 节能与环保</w:t>
      </w:r>
    </w:p>
    <w:p w14:paraId="53189D58">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11.1.1 采购标的在《关于印发节能产品政府采购品目清单的通知》（财库〔2019〕19号）清单内的，应当实行强制采购或优先采购。供应商所投产品如不具备国家确定的认证机构出具的、处于有效期内的节字标志认证证书，其响应将被认定为无效（产品属于强制采购）或不具有优先采购的条件（产品属于优先采购）。本次采购实行政府强制采购的节能产品详见供应商须知前附表。</w:t>
      </w:r>
    </w:p>
    <w:p w14:paraId="52042D00">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11.1.2 采购标的在《关于印发环境标志产品政府采购品目清单的通知》（财库〔2019〕18号）清单内的，应当实行优先采购。供应商所投产品如不具备国家确定的认证机构出具的、处于有效期内的环境标志产品认证证书，其响应不具有优先采购的条件。</w:t>
      </w:r>
    </w:p>
    <w:p w14:paraId="5AEA08F0">
      <w:pPr>
        <w:pStyle w:val="4"/>
        <w:adjustRightInd w:val="0"/>
        <w:ind w:firstLine="482" w:firstLineChars="200"/>
        <w:rPr>
          <w:rFonts w:eastAsia="仿宋"/>
          <w:sz w:val="24"/>
          <w:lang w:eastAsia="zh-CN"/>
        </w:rPr>
      </w:pPr>
      <w:r>
        <w:rPr>
          <w:rFonts w:hint="eastAsia" w:eastAsia="仿宋"/>
          <w:sz w:val="24"/>
          <w:lang w:eastAsia="zh-CN"/>
        </w:rPr>
        <w:t>11.2 促进中小企业发展</w:t>
      </w:r>
    </w:p>
    <w:p w14:paraId="77C7677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11.2.1根据《政府采购促进中小企业发展管理办法》（财库〔2020〕46号）规定，供应商提供的货物、工程或者服务符合下列情形的，享受本条规定的中小企业扶持政策：</w:t>
      </w:r>
    </w:p>
    <w:p w14:paraId="681C5DC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（1）在货物采购项目中，货物由中小企业制造，即货物由中小企业生产且使用该中小企业商号或者注册商标；</w:t>
      </w:r>
    </w:p>
    <w:p w14:paraId="404D7FB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（2）在工程采购项目中，工程由中小企业承建，即工程施工单位为中小企业；</w:t>
      </w:r>
    </w:p>
    <w:p w14:paraId="6369312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（3）在服务采购项目中，服务由中小企业承接，即提供服务的人员为中小企业依照《中华人民共和国劳动合同法》订立劳动合同的从业人员。</w:t>
      </w:r>
    </w:p>
    <w:p w14:paraId="2C83BBF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在货物采购项目中，供应商提供的货物既有中小企业制造货物，也有大型企业制造货物的，不享受本条规定的中小企业扶持政策。</w:t>
      </w:r>
    </w:p>
    <w:p w14:paraId="0A58DA84">
      <w:pPr>
        <w:widowControl/>
        <w:adjustRightInd w:val="0"/>
        <w:snapToGrid w:val="0"/>
        <w:spacing w:line="360" w:lineRule="auto"/>
        <w:ind w:firstLine="480" w:firstLineChars="200"/>
        <w:rPr>
          <w:rFonts w:ascii="宋体" w:hAnsi="宋体" w:eastAsia="仿宋"/>
          <w:color w:val="333333"/>
          <w:sz w:val="24"/>
        </w:rPr>
      </w:pPr>
      <w:r>
        <w:rPr>
          <w:rFonts w:hint="eastAsia" w:ascii="宋体" w:hAnsi="宋体" w:eastAsia="仿宋"/>
          <w:sz w:val="24"/>
        </w:rPr>
        <w:t>以联合体形式参加政府采购活动（如接受联合体响应时），联合体各方均为中小企业的，联合体视同中小企业。其中，联合体各方均为小微企业的，联合体视同小微企业。</w:t>
      </w:r>
    </w:p>
    <w:p w14:paraId="600678EE">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中小企业应当在响应文件中提供竞争性磋商文件规定格式的《中小企业声明函》，并对其真实性负责。</w:t>
      </w:r>
    </w:p>
    <w:p w14:paraId="62232121">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中小企业划型标准见工信部联企业〔2011〕300号文件。</w:t>
      </w:r>
    </w:p>
    <w:p w14:paraId="7330FF0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11.2.2供应商须知前附表第1.1.7项规定本项目属于专门面向中小企业（含中型、小型、微型企业，下同）采购的，供应商应符合本章第11.2.1项规定外，还应符合本项目的资格要求。</w:t>
      </w:r>
    </w:p>
    <w:p w14:paraId="116A7D55">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11.2.3</w:t>
      </w:r>
      <w:r>
        <w:rPr>
          <w:rFonts w:hint="eastAsia" w:ascii="宋体" w:hAnsi="宋体" w:eastAsia="仿宋"/>
          <w:sz w:val="24"/>
        </w:rPr>
        <w:t>供应商须知前附表第1.1.7项规定</w:t>
      </w:r>
      <w:r>
        <w:rPr>
          <w:rFonts w:hint="eastAsia" w:ascii="宋体" w:hAnsi="宋体" w:eastAsia="仿宋"/>
          <w:sz w:val="24"/>
          <w:lang w:bidi="en-US"/>
        </w:rPr>
        <w:t>本项目属于未预留份额专门面向中小企业采购的采购项目，以及预留份额项目中的非预留部分采购时，对小微企业的响应报价按照供应商须知前附表规定的比例给予扣除；</w:t>
      </w:r>
      <w:r>
        <w:rPr>
          <w:rFonts w:hint="eastAsia" w:ascii="宋体" w:hAnsi="宋体" w:eastAsia="仿宋"/>
          <w:sz w:val="24"/>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供应商须知前附表规定的比例给予报价扣除。用扣除后的价格参加评审。组成联合体或者接受分包的小微企业与联合体内其他企业、分包企业之间存在直接控股、管理关系的，不享受价格扣除优惠政策。</w:t>
      </w:r>
    </w:p>
    <w:p w14:paraId="0178C6B6">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68DC1391">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11.2.5 按照《财政部 民政部 中国残疾人联合会关于促进残疾人就业政府采购政策的通知》（财库〔2017〕141号）的规定，在</w:t>
      </w:r>
      <w:r>
        <w:rPr>
          <w:rFonts w:hint="eastAsia" w:ascii="宋体" w:hAnsi="宋体" w:eastAsia="仿宋"/>
          <w:sz w:val="24"/>
        </w:rPr>
        <w:t>政府</w:t>
      </w:r>
      <w:r>
        <w:rPr>
          <w:rFonts w:hint="eastAsia" w:ascii="宋体" w:hAnsi="宋体" w:eastAsia="仿宋"/>
          <w:sz w:val="24"/>
          <w:lang w:bidi="en-US"/>
        </w:rPr>
        <w:t>采购活动中，符合条件的残疾人福利性单位视同小型、微型企业，享受评审价格扣除的政府采购政策。符合条件的残疾人福利性单位在参加政府采购活动时，应当提供竞争性磋商文件规定格式的《残疾人福利性单位声明函》，无需提供《中小企业声明函》。</w:t>
      </w:r>
    </w:p>
    <w:p w14:paraId="5C03F162">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11.2.6 监狱企业、残疾人福利性单位属于小微企业的，不重复享受中小企业价格评审优惠政策。</w:t>
      </w:r>
    </w:p>
    <w:p w14:paraId="58AB39F0">
      <w:pPr>
        <w:widowControl/>
        <w:adjustRightInd w:val="0"/>
        <w:snapToGrid w:val="0"/>
        <w:spacing w:line="360" w:lineRule="auto"/>
        <w:ind w:firstLine="482" w:firstLineChars="200"/>
        <w:outlineLvl w:val="2"/>
        <w:rPr>
          <w:rFonts w:ascii="宋体" w:hAnsi="宋体" w:eastAsia="仿宋"/>
          <w:b/>
          <w:bCs/>
          <w:kern w:val="0"/>
          <w:sz w:val="24"/>
          <w:lang w:bidi="en-US"/>
        </w:rPr>
      </w:pPr>
      <w:r>
        <w:rPr>
          <w:rFonts w:hint="eastAsia" w:ascii="宋体" w:hAnsi="宋体" w:eastAsia="仿宋"/>
          <w:b/>
          <w:bCs/>
          <w:kern w:val="0"/>
          <w:sz w:val="24"/>
          <w:lang w:bidi="en-US"/>
        </w:rPr>
        <w:t>11.3 采购本国货物、工程和服务</w:t>
      </w:r>
    </w:p>
    <w:p w14:paraId="6859E54B">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w:t>
      </w:r>
      <w:r>
        <w:rPr>
          <w:rFonts w:ascii="宋体" w:hAnsi="宋体" w:eastAsia="仿宋"/>
          <w:sz w:val="24"/>
          <w:lang w:bidi="en-US"/>
        </w:rPr>
        <w:t>.</w:t>
      </w:r>
      <w:r>
        <w:rPr>
          <w:rFonts w:hint="eastAsia" w:ascii="宋体" w:hAnsi="宋体" w:eastAsia="仿宋"/>
          <w:sz w:val="24"/>
          <w:lang w:bidi="en-US"/>
        </w:rPr>
        <w:t>3</w:t>
      </w:r>
      <w:r>
        <w:rPr>
          <w:rFonts w:ascii="宋体" w:hAnsi="宋体" w:eastAsia="仿宋"/>
          <w:sz w:val="24"/>
          <w:lang w:bidi="en-US"/>
        </w:rPr>
        <w:t>.1 政府采购应当采购本国货物、工程和服务。但有《中华人民共和国政府采购法》第十条规定情形的除外。</w:t>
      </w:r>
    </w:p>
    <w:p w14:paraId="2CEF7951">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w:t>
      </w:r>
      <w:r>
        <w:rPr>
          <w:rFonts w:ascii="宋体" w:hAnsi="宋体" w:eastAsia="仿宋"/>
          <w:sz w:val="24"/>
          <w:lang w:bidi="en-US"/>
        </w:rPr>
        <w:t>.</w:t>
      </w:r>
      <w:r>
        <w:rPr>
          <w:rFonts w:hint="eastAsia" w:ascii="宋体" w:hAnsi="宋体" w:eastAsia="仿宋"/>
          <w:sz w:val="24"/>
          <w:lang w:bidi="en-US"/>
        </w:rPr>
        <w:t>3</w:t>
      </w:r>
      <w:r>
        <w:rPr>
          <w:rFonts w:ascii="宋体" w:hAnsi="宋体" w:eastAsia="仿宋"/>
          <w:sz w:val="24"/>
          <w:lang w:bidi="en-US"/>
        </w:rPr>
        <w:t>.2 本项目进口产品采购情况见</w:t>
      </w:r>
      <w:r>
        <w:rPr>
          <w:rFonts w:hint="eastAsia" w:ascii="宋体" w:hAnsi="宋体" w:eastAsia="仿宋"/>
          <w:sz w:val="24"/>
          <w:lang w:bidi="en-US"/>
        </w:rPr>
        <w:t>供应商</w:t>
      </w:r>
      <w:r>
        <w:rPr>
          <w:rFonts w:ascii="宋体" w:hAnsi="宋体" w:eastAsia="仿宋"/>
          <w:sz w:val="24"/>
          <w:lang w:bidi="en-US"/>
        </w:rPr>
        <w:t>须知前附表。本项目如接受非本国货物、工程、服务参与</w:t>
      </w:r>
      <w:r>
        <w:rPr>
          <w:rFonts w:hint="eastAsia" w:ascii="宋体" w:hAnsi="宋体" w:eastAsia="仿宋"/>
          <w:sz w:val="24"/>
          <w:lang w:bidi="en-US"/>
        </w:rPr>
        <w:t>响应</w:t>
      </w:r>
      <w:r>
        <w:rPr>
          <w:rFonts w:ascii="宋体" w:hAnsi="宋体" w:eastAsia="仿宋"/>
          <w:sz w:val="24"/>
          <w:lang w:bidi="en-US"/>
        </w:rPr>
        <w:t>，则具体要求见第</w:t>
      </w:r>
      <w:r>
        <w:rPr>
          <w:rFonts w:hint="eastAsia" w:ascii="宋体" w:hAnsi="宋体" w:eastAsia="仿宋"/>
          <w:sz w:val="24"/>
          <w:lang w:bidi="en-US"/>
        </w:rPr>
        <w:t>三</w:t>
      </w:r>
      <w:r>
        <w:rPr>
          <w:rFonts w:ascii="宋体" w:hAnsi="宋体" w:eastAsia="仿宋"/>
          <w:sz w:val="24"/>
          <w:lang w:bidi="en-US"/>
        </w:rPr>
        <w:t>章</w:t>
      </w:r>
      <w:r>
        <w:rPr>
          <w:rFonts w:hint="eastAsia" w:ascii="宋体" w:hAnsi="宋体" w:eastAsia="仿宋"/>
          <w:sz w:val="24"/>
          <w:lang w:bidi="en-US"/>
        </w:rPr>
        <w:t>“</w:t>
      </w:r>
      <w:r>
        <w:rPr>
          <w:rFonts w:ascii="宋体" w:hAnsi="宋体" w:eastAsia="仿宋"/>
          <w:sz w:val="24"/>
          <w:lang w:bidi="en-US"/>
        </w:rPr>
        <w:t>采购需求</w:t>
      </w:r>
      <w:r>
        <w:rPr>
          <w:rFonts w:hint="eastAsia" w:ascii="宋体" w:hAnsi="宋体" w:eastAsia="仿宋"/>
          <w:sz w:val="24"/>
          <w:lang w:bidi="en-US"/>
        </w:rPr>
        <w:t>”</w:t>
      </w:r>
      <w:r>
        <w:rPr>
          <w:rFonts w:ascii="宋体" w:hAnsi="宋体" w:eastAsia="仿宋"/>
          <w:sz w:val="24"/>
          <w:lang w:bidi="en-US"/>
        </w:rPr>
        <w:t>。</w:t>
      </w:r>
    </w:p>
    <w:p w14:paraId="16970F59">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w:t>
      </w:r>
      <w:r>
        <w:rPr>
          <w:rFonts w:ascii="宋体" w:hAnsi="宋体" w:eastAsia="仿宋"/>
          <w:sz w:val="24"/>
          <w:lang w:bidi="en-US"/>
        </w:rPr>
        <w:t>.</w:t>
      </w:r>
      <w:r>
        <w:rPr>
          <w:rFonts w:hint="eastAsia" w:ascii="宋体" w:hAnsi="宋体" w:eastAsia="仿宋"/>
          <w:sz w:val="24"/>
          <w:lang w:bidi="en-US"/>
        </w:rPr>
        <w:t>3</w:t>
      </w:r>
      <w:r>
        <w:rPr>
          <w:rFonts w:ascii="宋体" w:hAnsi="宋体" w:eastAsia="仿宋"/>
          <w:sz w:val="24"/>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2A870C8">
      <w:pPr>
        <w:widowControl/>
        <w:adjustRightInd w:val="0"/>
        <w:snapToGrid w:val="0"/>
        <w:spacing w:line="360" w:lineRule="auto"/>
        <w:ind w:firstLine="482" w:firstLineChars="200"/>
        <w:outlineLvl w:val="2"/>
        <w:rPr>
          <w:rFonts w:ascii="宋体" w:hAnsi="宋体" w:eastAsia="仿宋"/>
          <w:b/>
          <w:bCs/>
          <w:kern w:val="0"/>
          <w:sz w:val="24"/>
          <w:lang w:bidi="en-US"/>
        </w:rPr>
      </w:pPr>
      <w:r>
        <w:rPr>
          <w:rFonts w:hint="eastAsia" w:ascii="宋体" w:hAnsi="宋体" w:eastAsia="仿宋"/>
          <w:b/>
          <w:bCs/>
          <w:kern w:val="0"/>
          <w:sz w:val="24"/>
          <w:lang w:bidi="en-US"/>
        </w:rPr>
        <w:t>11.4 需要执行的其他政府采购政策</w:t>
      </w:r>
    </w:p>
    <w:p w14:paraId="23CA5181">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需要执行的其他政府采购政策：见供应商须知前附表。</w:t>
      </w:r>
    </w:p>
    <w:p w14:paraId="4D64A402">
      <w:pPr>
        <w:pStyle w:val="3"/>
        <w:rPr>
          <w:rStyle w:val="103"/>
          <w:rFonts w:ascii="宋体" w:hAnsi="宋体" w:eastAsia="仿宋"/>
          <w:b/>
          <w:bCs/>
          <w:sz w:val="24"/>
          <w:szCs w:val="24"/>
        </w:rPr>
      </w:pPr>
      <w:r>
        <w:rPr>
          <w:rStyle w:val="103"/>
          <w:rFonts w:hint="eastAsia" w:ascii="宋体" w:hAnsi="宋体" w:eastAsia="仿宋"/>
          <w:b/>
          <w:bCs/>
          <w:sz w:val="24"/>
          <w:szCs w:val="24"/>
        </w:rPr>
        <w:t>12. 需要补充的其他内容</w:t>
      </w:r>
    </w:p>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14:paraId="3912CEFA">
      <w:pPr>
        <w:widowControl/>
        <w:adjustRightInd w:val="0"/>
        <w:snapToGrid w:val="0"/>
        <w:spacing w:line="360" w:lineRule="auto"/>
        <w:ind w:firstLine="480" w:firstLineChars="200"/>
        <w:rPr>
          <w:rFonts w:eastAsia="仿宋"/>
          <w:sz w:val="24"/>
          <w:lang w:bidi="en-US"/>
        </w:rPr>
      </w:pPr>
      <w:bookmarkStart w:id="630" w:name="_Toc445554745"/>
      <w:bookmarkStart w:id="631" w:name="_Toc458504872"/>
      <w:bookmarkStart w:id="632" w:name="_Toc466024554"/>
      <w:bookmarkStart w:id="633" w:name="_Toc455587271"/>
      <w:bookmarkStart w:id="634" w:name="_Toc455587087"/>
      <w:r>
        <w:rPr>
          <w:rFonts w:hint="eastAsia" w:eastAsia="仿宋"/>
          <w:sz w:val="24"/>
          <w:lang w:bidi="en-US"/>
        </w:rPr>
        <w:t>需要补充的其他内容</w:t>
      </w:r>
      <w:bookmarkEnd w:id="630"/>
      <w:bookmarkEnd w:id="631"/>
      <w:bookmarkEnd w:id="632"/>
      <w:bookmarkEnd w:id="633"/>
      <w:bookmarkEnd w:id="634"/>
      <w:r>
        <w:rPr>
          <w:rFonts w:hint="eastAsia" w:eastAsia="仿宋"/>
          <w:sz w:val="24"/>
          <w:lang w:bidi="en-US"/>
        </w:rPr>
        <w:t>：见供应商须知前附表。</w:t>
      </w:r>
    </w:p>
    <w:p w14:paraId="0AB39DFF">
      <w:pPr>
        <w:pStyle w:val="3"/>
        <w:jc w:val="center"/>
        <w:rPr>
          <w:rFonts w:eastAsia="黑体"/>
        </w:rPr>
      </w:pPr>
      <w:r>
        <w:rPr>
          <w:rFonts w:ascii="宋体" w:hAnsi="宋体" w:eastAsia="仿宋"/>
          <w:szCs w:val="21"/>
        </w:rPr>
        <w:br w:type="page"/>
      </w:r>
      <w:bookmarkStart w:id="635" w:name="_Toc24418"/>
      <w:bookmarkStart w:id="636" w:name="_Hlk44246314"/>
      <w:r>
        <w:rPr>
          <w:rFonts w:eastAsia="黑体"/>
        </w:rPr>
        <w:t>附件</w:t>
      </w:r>
      <w:r>
        <w:rPr>
          <w:rFonts w:hint="eastAsia" w:eastAsia="黑体"/>
        </w:rPr>
        <w:t>一</w:t>
      </w:r>
      <w:r>
        <w:rPr>
          <w:rFonts w:eastAsia="黑体"/>
        </w:rPr>
        <w:t>：</w:t>
      </w:r>
      <w:r>
        <w:rPr>
          <w:rFonts w:hint="eastAsia" w:eastAsia="黑体"/>
        </w:rPr>
        <w:t>全流程电子招标采购</w:t>
      </w:r>
      <w:r>
        <w:rPr>
          <w:rFonts w:eastAsia="黑体"/>
        </w:rPr>
        <w:t>具体要求</w:t>
      </w:r>
      <w:bookmarkEnd w:id="635"/>
    </w:p>
    <w:bookmarkEnd w:id="636"/>
    <w:p w14:paraId="2BE261A7">
      <w:pPr>
        <w:spacing w:line="400" w:lineRule="exact"/>
        <w:ind w:firstLine="420" w:firstLineChars="200"/>
        <w:rPr>
          <w:rFonts w:ascii="黑体" w:hAnsi="黑体" w:eastAsia="黑体"/>
        </w:rPr>
      </w:pPr>
      <w:r>
        <w:rPr>
          <w:rFonts w:hint="eastAsia" w:ascii="黑体" w:hAnsi="黑体" w:eastAsia="黑体"/>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rPr>
        <w:t>评标委员会</w:t>
      </w:r>
      <w:r>
        <w:rPr>
          <w:rFonts w:hint="eastAsia" w:ascii="黑体" w:hAnsi="黑体" w:eastAsia="黑体"/>
        </w:rPr>
        <w:t>”按“评审小组”理解，“投标无效”按“响应文件无效”理解。</w:t>
      </w:r>
    </w:p>
    <w:p w14:paraId="3E8B3FF5">
      <w:pPr>
        <w:spacing w:line="400" w:lineRule="exact"/>
        <w:ind w:firstLine="420" w:firstLineChars="200"/>
        <w:rPr>
          <w:rFonts w:ascii="黑体" w:hAnsi="黑体" w:eastAsia="黑体"/>
        </w:rPr>
      </w:pPr>
    </w:p>
    <w:p w14:paraId="4737BCD4">
      <w:pPr>
        <w:spacing w:line="400" w:lineRule="exact"/>
        <w:ind w:firstLine="420" w:firstLineChars="200"/>
        <w:rPr>
          <w:rFonts w:ascii="黑体" w:hAnsi="黑体" w:eastAsia="黑体"/>
        </w:rPr>
      </w:pPr>
      <w:r>
        <w:rPr>
          <w:rFonts w:hint="eastAsia" w:ascii="黑体" w:hAnsi="黑体" w:eastAsia="黑体"/>
        </w:rPr>
        <w:t>一</w:t>
      </w:r>
      <w:r>
        <w:rPr>
          <w:rFonts w:ascii="黑体" w:hAnsi="黑体" w:eastAsia="黑体"/>
        </w:rPr>
        <w:t>、</w:t>
      </w:r>
      <w:r>
        <w:rPr>
          <w:rFonts w:hint="eastAsia"/>
        </w:rPr>
        <w:t>CA</w:t>
      </w:r>
      <w:r>
        <w:rPr>
          <w:rFonts w:hint="eastAsia" w:ascii="黑体" w:hAnsi="黑体" w:eastAsia="黑体"/>
        </w:rPr>
        <w:t>证书办理和</w:t>
      </w:r>
      <w:r>
        <w:rPr>
          <w:rFonts w:ascii="黑体" w:hAnsi="黑体" w:eastAsia="黑体"/>
        </w:rPr>
        <w:t>注意事项</w:t>
      </w:r>
    </w:p>
    <w:p w14:paraId="51D0460C">
      <w:pPr>
        <w:spacing w:line="400" w:lineRule="exact"/>
        <w:ind w:firstLine="420" w:firstLineChars="200"/>
      </w:pPr>
      <w:r>
        <w:rPr>
          <w:rFonts w:ascii="宋体" w:hAnsi="宋体"/>
        </w:rPr>
        <w:t>1.</w:t>
      </w:r>
      <w:r>
        <w:rPr>
          <w:rFonts w:hint="eastAsia" w:ascii="宋体" w:hAnsi="宋体"/>
        </w:rPr>
        <w:t>本项目采用全流程电子招标采购方式，</w:t>
      </w:r>
      <w:r>
        <w:rPr>
          <w:rFonts w:hint="eastAsia"/>
        </w:rPr>
        <w:t>潜在投标人应及时办理CA证书，用于对投标文件进行电子签章及加、解密。</w:t>
      </w:r>
    </w:p>
    <w:p w14:paraId="67EE2B3F">
      <w:pPr>
        <w:spacing w:line="400" w:lineRule="exact"/>
        <w:ind w:firstLine="420" w:firstLineChars="200"/>
        <w:rPr>
          <w:bCs/>
        </w:rPr>
      </w:pPr>
      <w:r>
        <w:rPr>
          <w:rFonts w:ascii="宋体" w:hAnsi="宋体"/>
        </w:rPr>
        <w:t>2.</w:t>
      </w:r>
      <w:r>
        <w:rPr>
          <w:rFonts w:hint="eastAsia" w:ascii="宋体" w:hAnsi="宋体"/>
        </w:rPr>
        <w:t>CA</w:t>
      </w:r>
      <w:r>
        <w:rPr>
          <w:rFonts w:hint="eastAsia"/>
        </w:rPr>
        <w:t>证书</w:t>
      </w:r>
      <w:r>
        <w:rPr>
          <w:rFonts w:hint="eastAsia" w:ascii="宋体" w:hAnsi="宋体"/>
        </w:rPr>
        <w:t>办理详见</w:t>
      </w:r>
      <w:r>
        <w:rPr>
          <w:rFonts w:hint="eastAsia"/>
          <w:bCs/>
        </w:rPr>
        <w:t>《优质采平台CA数字证书办理说明》：</w:t>
      </w:r>
    </w:p>
    <w:p w14:paraId="4B99AADA">
      <w:pPr>
        <w:spacing w:line="400" w:lineRule="exact"/>
        <w:rPr>
          <w:b/>
          <w:bCs/>
        </w:rPr>
      </w:pPr>
      <w:r>
        <w:fldChar w:fldCharType="begin"/>
      </w:r>
      <w:r>
        <w:instrText xml:space="preserve"> HYPERLINK "http://www.youzhicai.com/ActivityTopic/AdviceDetail/8f80a7ec-911f-4c4d-a123-f8849880f045" </w:instrText>
      </w:r>
      <w:r>
        <w:fldChar w:fldCharType="separate"/>
      </w:r>
      <w:r>
        <w:rPr>
          <w:rStyle w:val="56"/>
          <w:bCs/>
          <w:color w:val="auto"/>
        </w:rPr>
        <w:t>http://www.youzhicai.com/ActivityTopic/AdviceDetail/8f80a7ec-911f-4c4d-a123-f</w:t>
      </w:r>
      <w:bookmarkStart w:id="637" w:name="_Hlt105085547"/>
      <w:bookmarkStart w:id="638" w:name="_Hlt105085548"/>
      <w:r>
        <w:rPr>
          <w:rStyle w:val="56"/>
          <w:bCs/>
          <w:color w:val="auto"/>
        </w:rPr>
        <w:t>8</w:t>
      </w:r>
      <w:bookmarkEnd w:id="637"/>
      <w:bookmarkEnd w:id="638"/>
      <w:r>
        <w:rPr>
          <w:rStyle w:val="56"/>
          <w:bCs/>
          <w:color w:val="auto"/>
        </w:rPr>
        <w:t>849880f045</w:t>
      </w:r>
      <w:r>
        <w:rPr>
          <w:rStyle w:val="56"/>
          <w:bCs/>
          <w:color w:val="auto"/>
        </w:rPr>
        <w:fldChar w:fldCharType="end"/>
      </w:r>
      <w:r>
        <w:rPr>
          <w:bCs/>
        </w:rPr>
        <w:t>。</w:t>
      </w:r>
    </w:p>
    <w:p w14:paraId="5BADBE7A">
      <w:pPr>
        <w:spacing w:line="400" w:lineRule="exact"/>
        <w:ind w:firstLine="420" w:firstLineChars="200"/>
      </w:pPr>
      <w:r>
        <w:rPr>
          <w:rFonts w:ascii="宋体" w:hAnsi="宋体"/>
        </w:rPr>
        <w:t>3.</w:t>
      </w:r>
      <w:r>
        <w:rPr>
          <w:rFonts w:hint="eastAsia" w:ascii="宋体" w:hAnsi="宋体"/>
        </w:rPr>
        <w:t>CA</w:t>
      </w:r>
      <w:r>
        <w:rPr>
          <w:rFonts w:hint="eastAsia"/>
        </w:rPr>
        <w:t>证书</w:t>
      </w:r>
      <w:r>
        <w:rPr>
          <w:rFonts w:hint="eastAsia" w:ascii="宋体" w:hAnsi="宋体"/>
        </w:rPr>
        <w:t>到期或即将到期，须在递交投标文件前办理续期。</w:t>
      </w:r>
    </w:p>
    <w:p w14:paraId="0E711C88">
      <w:pPr>
        <w:spacing w:line="400" w:lineRule="exact"/>
        <w:ind w:firstLine="420"/>
      </w:pPr>
      <w:r>
        <w:rPr>
          <w:rFonts w:hint="eastAsia" w:ascii="宋体" w:hAnsi="宋体"/>
        </w:rPr>
        <w:t>4</w:t>
      </w:r>
      <w:r>
        <w:rPr>
          <w:rFonts w:ascii="宋体" w:hAnsi="宋体"/>
        </w:rPr>
        <w:t>.</w:t>
      </w:r>
      <w:r>
        <w:rPr>
          <w:rFonts w:hint="eastAsia" w:ascii="宋体" w:hAnsi="宋体"/>
        </w:rPr>
        <w:t>CA锁</w:t>
      </w:r>
      <w:r>
        <w:rPr>
          <w:rFonts w:hint="eastAsia"/>
        </w:rPr>
        <w:t>遗失、损坏等无法使用，须在递交投标文件前补办CA锁。</w:t>
      </w:r>
    </w:p>
    <w:p w14:paraId="57C23FE6">
      <w:pPr>
        <w:spacing w:line="400" w:lineRule="exact"/>
        <w:ind w:firstLine="420"/>
      </w:pPr>
      <w:r>
        <w:rPr>
          <w:rFonts w:ascii="宋体" w:hAnsi="宋体"/>
        </w:rPr>
        <w:t>5.</w:t>
      </w:r>
      <w:r>
        <w:rPr>
          <w:rFonts w:hint="eastAsia" w:ascii="宋体" w:hAnsi="宋体"/>
        </w:rPr>
        <w:t>企业</w:t>
      </w:r>
      <w:r>
        <w:rPr>
          <w:rFonts w:hint="eastAsia"/>
        </w:rPr>
        <w:t>信息（包括但不限于企业名称和法定代表人信息）发生变更的，须在递交投标文件前变更CA证书。</w:t>
      </w:r>
    </w:p>
    <w:p w14:paraId="3E422BCB">
      <w:pPr>
        <w:spacing w:line="400" w:lineRule="exact"/>
        <w:rPr>
          <w:rFonts w:ascii="宋体" w:hAnsi="宋体"/>
        </w:rPr>
      </w:pPr>
      <w:r>
        <w:rPr>
          <w:rFonts w:ascii="宋体" w:hAnsi="宋体"/>
        </w:rPr>
        <w:tab/>
      </w:r>
      <w:r>
        <w:rPr>
          <w:rFonts w:ascii="宋体" w:hAnsi="宋体"/>
        </w:rPr>
        <w:t>6.</w:t>
      </w:r>
      <w:r>
        <w:rPr>
          <w:rFonts w:hint="eastAsia" w:ascii="宋体" w:hAnsi="宋体"/>
        </w:rPr>
        <w:t>投标人由于</w:t>
      </w:r>
      <w:r>
        <w:rPr>
          <w:rFonts w:hint="eastAsia"/>
        </w:rPr>
        <w:t>CA证书</w:t>
      </w:r>
      <w:r>
        <w:rPr>
          <w:rFonts w:hint="eastAsia" w:ascii="宋体" w:hAnsi="宋体"/>
        </w:rPr>
        <w:t>遗失、损坏、更换、续期、企业信息变更等情况导致投标文件无法解密的，由投标人自行承担责任；</w:t>
      </w:r>
    </w:p>
    <w:p w14:paraId="46E49579">
      <w:pPr>
        <w:spacing w:line="400" w:lineRule="exact"/>
        <w:ind w:firstLine="420" w:firstLineChars="200"/>
        <w:rPr>
          <w:rFonts w:ascii="宋体" w:hAnsi="宋体"/>
        </w:rPr>
      </w:pPr>
      <w:r>
        <w:rPr>
          <w:rFonts w:ascii="宋体" w:hAnsi="宋体"/>
        </w:rPr>
        <w:t>7.</w:t>
      </w:r>
      <w:r>
        <w:rPr>
          <w:rFonts w:hint="eastAsia" w:ascii="宋体" w:hAnsi="宋体"/>
        </w:rPr>
        <w:t>加密和解密投标文件</w:t>
      </w:r>
      <w:r>
        <w:rPr>
          <w:rFonts w:hint="eastAsia"/>
        </w:rPr>
        <w:t>必须使用同一个CA证书</w:t>
      </w:r>
      <w:r>
        <w:rPr>
          <w:rFonts w:hint="eastAsia" w:ascii="宋体" w:hAnsi="宋体"/>
        </w:rPr>
        <w:t>。</w:t>
      </w:r>
    </w:p>
    <w:p w14:paraId="4D40B8C7">
      <w:pPr>
        <w:spacing w:line="400" w:lineRule="exact"/>
        <w:ind w:firstLine="420" w:firstLineChars="200"/>
        <w:rPr>
          <w:rFonts w:ascii="黑体" w:hAnsi="黑体" w:eastAsia="黑体"/>
        </w:rPr>
      </w:pPr>
      <w:r>
        <w:rPr>
          <w:rFonts w:hint="eastAsia" w:ascii="黑体" w:hAnsi="黑体" w:eastAsia="黑体"/>
        </w:rPr>
        <w:t>二</w:t>
      </w:r>
      <w:r>
        <w:rPr>
          <w:rFonts w:ascii="黑体" w:hAnsi="黑体" w:eastAsia="黑体"/>
        </w:rPr>
        <w:t>、制作、签章、加密、上传电子投标文件</w:t>
      </w:r>
    </w:p>
    <w:p w14:paraId="04DBDAC1">
      <w:pPr>
        <w:spacing w:line="400" w:lineRule="exact"/>
        <w:ind w:firstLine="420" w:firstLineChars="200"/>
        <w:rPr>
          <w:rStyle w:val="56"/>
          <w:color w:val="auto"/>
        </w:rPr>
      </w:pPr>
      <w:r>
        <w:rPr>
          <w:rFonts w:ascii="宋体" w:hAnsi="宋体"/>
        </w:rPr>
        <w:t>8.</w:t>
      </w:r>
      <w:r>
        <w:rPr>
          <w:rFonts w:hint="eastAsia" w:ascii="宋体" w:hAnsi="宋体"/>
        </w:rPr>
        <w:t>本项目采用全流程电子化招标采购方式，潜在</w:t>
      </w:r>
      <w:r>
        <w:rPr>
          <w:rFonts w:hint="eastAsia"/>
        </w:rPr>
        <w:t>投标人需使用</w:t>
      </w:r>
      <w:r>
        <w:rPr>
          <w:rFonts w:hint="eastAsia" w:ascii="宋体" w:hAnsi="宋体"/>
        </w:rPr>
        <w:t>“</w:t>
      </w:r>
      <w:r>
        <w:rPr>
          <w:rFonts w:ascii="宋体" w:hAnsi="宋体"/>
        </w:rPr>
        <w:t>优质采投标工具</w:t>
      </w:r>
      <w:r>
        <w:rPr>
          <w:rFonts w:hint="eastAsia" w:ascii="宋体" w:hAnsi="宋体"/>
        </w:rPr>
        <w:t>客户端”（以下简称“投标工具”）制作</w:t>
      </w:r>
      <w:r>
        <w:t>电子投标文件</w:t>
      </w:r>
      <w:r>
        <w:rPr>
          <w:rFonts w:hint="eastAsia"/>
        </w:rPr>
        <w:t>，</w:t>
      </w:r>
      <w:r>
        <w:rPr>
          <w:rFonts w:hint="eastAsia" w:ascii="宋体" w:hAnsi="宋体"/>
        </w:rPr>
        <w:t>投标工具及操作说明下载地址：</w:t>
      </w:r>
      <w:r>
        <w:fldChar w:fldCharType="begin"/>
      </w:r>
      <w:r>
        <w:instrText xml:space="preserve"> HYPERLINK "https://toolcdn.youzhicai.com/tools/BidderTools.zip" </w:instrText>
      </w:r>
      <w:r>
        <w:fldChar w:fldCharType="separate"/>
      </w:r>
      <w:r>
        <w:rPr>
          <w:rStyle w:val="56"/>
          <w:rFonts w:hint="eastAsia"/>
          <w:color w:val="auto"/>
        </w:rPr>
        <w:t>https://toolcdn.youzhicai.com/tools/BidderTools.zip</w:t>
      </w:r>
      <w:r>
        <w:rPr>
          <w:rStyle w:val="56"/>
          <w:rFonts w:hint="eastAsia"/>
          <w:color w:val="auto"/>
        </w:rPr>
        <w:fldChar w:fldCharType="end"/>
      </w:r>
      <w:r>
        <w:rPr>
          <w:rStyle w:val="56"/>
          <w:rFonts w:hint="eastAsia"/>
          <w:color w:val="auto"/>
        </w:rPr>
        <w:t>。</w:t>
      </w:r>
    </w:p>
    <w:p w14:paraId="0156EDBD">
      <w:pPr>
        <w:spacing w:line="400" w:lineRule="exact"/>
        <w:ind w:firstLine="420" w:firstLineChars="200"/>
        <w:rPr>
          <w:rStyle w:val="56"/>
          <w:color w:val="auto"/>
        </w:rPr>
      </w:pPr>
      <w:r>
        <w:rPr>
          <w:rStyle w:val="56"/>
          <w:color w:val="auto"/>
        </w:rPr>
        <w:tab/>
      </w:r>
      <w:r>
        <w:rPr>
          <w:rStyle w:val="56"/>
          <w:color w:val="auto"/>
        </w:rPr>
        <w:t>8.1.投标工具建议在window7或windows10操作系统下使用；</w:t>
      </w:r>
    </w:p>
    <w:p w14:paraId="2F8F53C3">
      <w:pPr>
        <w:spacing w:line="400" w:lineRule="exact"/>
        <w:ind w:firstLine="420" w:firstLineChars="200"/>
        <w:rPr>
          <w:bCs/>
          <w:color w:val="0000FF"/>
          <w:sz w:val="18"/>
        </w:rPr>
      </w:pPr>
      <w:r>
        <w:rPr>
          <w:rStyle w:val="56"/>
          <w:color w:val="auto"/>
        </w:rPr>
        <w:tab/>
      </w:r>
      <w:r>
        <w:rPr>
          <w:rStyle w:val="56"/>
          <w:color w:val="auto"/>
        </w:rPr>
        <w:t>8.2.电子投标文件编制建议使用</w:t>
      </w:r>
      <w:r>
        <w:t>office2010版本。</w:t>
      </w:r>
    </w:p>
    <w:p w14:paraId="02913E7F">
      <w:pPr>
        <w:wordWrap w:val="0"/>
        <w:spacing w:line="400" w:lineRule="exact"/>
        <w:rPr>
          <w:bCs/>
          <w:color w:val="0000FF"/>
          <w:u w:val="single"/>
        </w:rPr>
      </w:pPr>
      <w:r>
        <w:rPr>
          <w:rFonts w:ascii="宋体" w:hAnsi="宋体"/>
        </w:rPr>
        <w:tab/>
      </w:r>
      <w:r>
        <w:rPr>
          <w:rFonts w:hint="eastAsia" w:ascii="宋体" w:hAnsi="宋体"/>
        </w:rPr>
        <w:t>9</w:t>
      </w:r>
      <w:r>
        <w:rPr>
          <w:rFonts w:ascii="宋体" w:hAnsi="宋体"/>
        </w:rPr>
        <w:t>.</w:t>
      </w:r>
      <w:r>
        <w:rPr>
          <w:rFonts w:hint="eastAsia"/>
        </w:rPr>
        <w:t>潜在投标人制作电子投标文件后，需在</w:t>
      </w:r>
      <w:r>
        <w:rPr>
          <w:rFonts w:hint="eastAsia" w:ascii="宋体" w:hAnsi="宋体"/>
        </w:rPr>
        <w:t>投标工具</w:t>
      </w:r>
      <w:r>
        <w:rPr>
          <w:rFonts w:hint="eastAsia"/>
        </w:rPr>
        <w:t>对</w:t>
      </w:r>
      <w:r>
        <w:t>电子</w:t>
      </w:r>
      <w:r>
        <w:rPr>
          <w:rFonts w:hint="eastAsia"/>
        </w:rPr>
        <w:t>投标文件进行电子签章（项目有特殊说明的除外），并使用CA</w:t>
      </w:r>
      <w:r>
        <w:rPr>
          <w:rFonts w:hint="eastAsia" w:ascii="宋体" w:hAnsi="宋体"/>
        </w:rPr>
        <w:t>证书进行</w:t>
      </w:r>
      <w:r>
        <w:rPr>
          <w:rFonts w:hint="eastAsia"/>
        </w:rPr>
        <w:t>加密。在</w:t>
      </w:r>
      <w:r>
        <w:rPr>
          <w:rFonts w:hint="eastAsia" w:ascii="宋体" w:hAnsi="宋体"/>
        </w:rPr>
        <w:t>投标工具使用</w:t>
      </w:r>
      <w:r>
        <w:rPr>
          <w:rFonts w:ascii="宋体" w:hAnsi="宋体"/>
        </w:rPr>
        <w:t>CA证书</w:t>
      </w:r>
      <w:r>
        <w:rPr>
          <w:rFonts w:hint="eastAsia"/>
        </w:rPr>
        <w:t>时需安装“优质采数字证书助手”</w:t>
      </w:r>
      <w:r>
        <w:rPr>
          <w:rFonts w:hint="eastAsia" w:ascii="宋体" w:hAnsi="宋体"/>
        </w:rPr>
        <w:t xml:space="preserve"> （即数字证书驱动）</w:t>
      </w:r>
      <w:r>
        <w:rPr>
          <w:rFonts w:hint="eastAsia"/>
        </w:rPr>
        <w:t>，下载地址：</w:t>
      </w:r>
      <w:r>
        <w:fldChar w:fldCharType="begin"/>
      </w:r>
      <w:r>
        <w:instrText xml:space="preserve"> HYPERLINK "https://toolcdn.youzhicai.com/ca.zip" </w:instrText>
      </w:r>
      <w:r>
        <w:fldChar w:fldCharType="separate"/>
      </w:r>
      <w:r>
        <w:rPr>
          <w:rStyle w:val="56"/>
          <w:rFonts w:hint="eastAsia"/>
          <w:color w:val="auto"/>
        </w:rPr>
        <w:t>https://toolcdn.youzhicai.com/ca.zip</w:t>
      </w:r>
      <w:r>
        <w:rPr>
          <w:rStyle w:val="56"/>
          <w:rFonts w:hint="eastAsia"/>
          <w:color w:val="auto"/>
        </w:rPr>
        <w:fldChar w:fldCharType="end"/>
      </w:r>
      <w:r>
        <w:rPr>
          <w:rStyle w:val="56"/>
          <w:rFonts w:hint="eastAsia"/>
          <w:color w:val="auto"/>
        </w:rPr>
        <w:t>。</w:t>
      </w:r>
    </w:p>
    <w:p w14:paraId="52781384">
      <w:pPr>
        <w:wordWrap w:val="0"/>
        <w:spacing w:line="400" w:lineRule="exact"/>
        <w:rPr>
          <w:rFonts w:ascii="宋体" w:hAnsi="宋体"/>
        </w:rPr>
      </w:pPr>
      <w:r>
        <w:tab/>
      </w:r>
      <w:r>
        <w:rPr>
          <w:rFonts w:ascii="宋体" w:hAnsi="宋体"/>
        </w:rPr>
        <w:t>10.</w:t>
      </w:r>
      <w:r>
        <w:rPr>
          <w:rFonts w:hint="eastAsia" w:ascii="宋体" w:hAnsi="宋体"/>
        </w:rPr>
        <w:t>潜在投标人完成制作、签章、加密投标文件后，需在</w:t>
      </w:r>
      <w:r>
        <w:rPr>
          <w:rFonts w:hint="eastAsia"/>
        </w:rPr>
        <w:t>招标文件规定的投标截止时间前在</w:t>
      </w:r>
      <w:r>
        <w:rPr>
          <w:rFonts w:hint="eastAsia" w:ascii="宋体" w:hAnsi="宋体"/>
        </w:rPr>
        <w:t>投标工具</w:t>
      </w:r>
      <w:r>
        <w:rPr>
          <w:rFonts w:hint="eastAsia"/>
        </w:rPr>
        <w:t>完成上传。</w:t>
      </w:r>
      <w:r>
        <w:rPr>
          <w:rFonts w:hint="eastAsia" w:ascii="宋体" w:hAnsi="宋体"/>
        </w:rPr>
        <w:t>投标截止时间以优质采云采购平台（</w:t>
      </w:r>
      <w:r>
        <w:rPr>
          <w:rFonts w:ascii="宋体" w:hAnsi="宋体"/>
        </w:rPr>
        <w:t>www.youzhicai.com</w:t>
      </w:r>
      <w:r>
        <w:rPr>
          <w:rFonts w:hint="eastAsia" w:ascii="宋体" w:hAnsi="宋体"/>
        </w:rPr>
        <w:t>）系统的时间为准，如未在投标截止时间前完成电子投标文件上传，系统将自动关闭上传通道。潜在投标人未完成电子投标文件上传的，视为没有递交投标文件。</w:t>
      </w:r>
    </w:p>
    <w:p w14:paraId="1D587E96">
      <w:pPr>
        <w:wordWrap w:val="0"/>
        <w:spacing w:line="400" w:lineRule="exact"/>
        <w:ind w:firstLine="420"/>
        <w:rPr>
          <w:rFonts w:ascii="宋体" w:hAnsi="宋体"/>
        </w:rPr>
      </w:pPr>
      <w:r>
        <w:rPr>
          <w:rFonts w:hint="eastAsia" w:ascii="宋体" w:hAnsi="宋体"/>
        </w:rPr>
        <w:t>1</w:t>
      </w:r>
      <w:r>
        <w:rPr>
          <w:rFonts w:ascii="宋体" w:hAnsi="宋体"/>
        </w:rPr>
        <w:t>1.</w:t>
      </w:r>
      <w:r>
        <w:rPr>
          <w:rFonts w:hint="eastAsia" w:ascii="宋体" w:hAnsi="宋体"/>
        </w:rPr>
        <w:t>潜在投标人在投标文件递交截止时间前，可以对其所递交的电子投标文件进行撤回，修改后重新上传。</w:t>
      </w:r>
    </w:p>
    <w:p w14:paraId="001B7106">
      <w:pPr>
        <w:spacing w:line="400" w:lineRule="exact"/>
        <w:ind w:firstLine="420" w:firstLineChars="200"/>
        <w:rPr>
          <w:rFonts w:ascii="宋体" w:hAnsi="宋体"/>
        </w:rPr>
      </w:pPr>
      <w:r>
        <w:rPr>
          <w:rFonts w:hint="eastAsia" w:ascii="宋体" w:hAnsi="宋体"/>
        </w:rPr>
        <w:t>1</w:t>
      </w:r>
      <w:r>
        <w:rPr>
          <w:rFonts w:ascii="宋体" w:hAnsi="宋体"/>
        </w:rPr>
        <w:t>2.</w:t>
      </w:r>
      <w:r>
        <w:rPr>
          <w:rFonts w:hint="eastAsia" w:ascii="宋体" w:hAnsi="宋体"/>
        </w:rPr>
        <w:t>潜在投标人在制作、签章、加密、上传电子投标文件过程中，若存在技术操作问题，请及时联系优质采云采购平台客服人员，客服电话：</w:t>
      </w:r>
      <w:r>
        <w:rPr>
          <w:rFonts w:ascii="宋体" w:hAnsi="宋体"/>
        </w:rPr>
        <w:t>400-0099-555</w:t>
      </w:r>
      <w:r>
        <w:rPr>
          <w:rFonts w:hint="eastAsia" w:ascii="宋体" w:hAnsi="宋体"/>
        </w:rPr>
        <w:t>，</w:t>
      </w:r>
      <w:r>
        <w:rPr>
          <w:rFonts w:ascii="宋体" w:hAnsi="宋体"/>
        </w:rPr>
        <w:t>0551-62220164</w:t>
      </w:r>
      <w:r>
        <w:rPr>
          <w:rFonts w:hint="eastAsia" w:ascii="宋体" w:hAnsi="宋体"/>
        </w:rPr>
        <w:t>。</w:t>
      </w:r>
    </w:p>
    <w:p w14:paraId="2BCBC68F">
      <w:pPr>
        <w:spacing w:line="400" w:lineRule="exact"/>
        <w:ind w:firstLine="420" w:firstLineChars="200"/>
        <w:rPr>
          <w:rFonts w:ascii="黑体" w:hAnsi="黑体" w:eastAsia="黑体"/>
        </w:rPr>
      </w:pPr>
      <w:r>
        <w:rPr>
          <w:rFonts w:hint="eastAsia" w:ascii="黑体" w:hAnsi="黑体" w:eastAsia="黑体"/>
        </w:rPr>
        <w:t>三</w:t>
      </w:r>
      <w:r>
        <w:rPr>
          <w:rFonts w:ascii="黑体" w:hAnsi="黑体" w:eastAsia="黑体"/>
        </w:rPr>
        <w:t>、</w:t>
      </w:r>
      <w:r>
        <w:rPr>
          <w:rFonts w:hint="eastAsia" w:ascii="黑体" w:hAnsi="黑体" w:eastAsia="黑体"/>
        </w:rPr>
        <w:t>开标</w:t>
      </w:r>
      <w:r>
        <w:rPr>
          <w:rFonts w:ascii="黑体" w:hAnsi="黑体" w:eastAsia="黑体"/>
        </w:rPr>
        <w:t>和解密</w:t>
      </w:r>
    </w:p>
    <w:p w14:paraId="1F85B6E6">
      <w:pPr>
        <w:spacing w:line="400" w:lineRule="exact"/>
        <w:ind w:firstLine="420" w:firstLineChars="200"/>
        <w:rPr>
          <w:rFonts w:ascii="宋体" w:hAnsi="宋体"/>
        </w:rPr>
      </w:pPr>
      <w:r>
        <w:rPr>
          <w:rFonts w:ascii="宋体" w:hAnsi="宋体"/>
        </w:rPr>
        <w:t>13.</w:t>
      </w:r>
      <w:r>
        <w:rPr>
          <w:rFonts w:hint="eastAsia" w:ascii="宋体" w:hAnsi="宋体"/>
        </w:rPr>
        <w:t>招标人或招标代理机构工作人员（以下简称工作人员）根据有关规定登录系统组织开标。投标文件递交截止时间后由投标人使用</w:t>
      </w:r>
      <w:r>
        <w:rPr>
          <w:rFonts w:hint="eastAsia"/>
        </w:rPr>
        <w:t>CA证书</w:t>
      </w:r>
      <w:r>
        <w:rPr>
          <w:rFonts w:hint="eastAsia" w:ascii="宋体" w:hAnsi="宋体"/>
        </w:rPr>
        <w:t>解密投标文件，工作人员导入已解密投标文件并公布开标结果。</w:t>
      </w:r>
    </w:p>
    <w:p w14:paraId="6EAB824A">
      <w:pPr>
        <w:spacing w:line="400" w:lineRule="exact"/>
        <w:ind w:firstLine="420" w:firstLineChars="200"/>
        <w:rPr>
          <w:rFonts w:ascii="宋体" w:hAnsi="宋体"/>
        </w:rPr>
      </w:pPr>
      <w:r>
        <w:rPr>
          <w:rFonts w:ascii="宋体" w:hAnsi="宋体"/>
        </w:rPr>
        <w:t>14.</w:t>
      </w:r>
      <w:r>
        <w:rPr>
          <w:rFonts w:hint="eastAsia" w:ascii="宋体" w:hAnsi="宋体"/>
        </w:rPr>
        <w:t>投标文件可远程解密，投标人无需到达开标现场。招标文件“投标人须知”中另有规定的，从其规定。</w:t>
      </w:r>
    </w:p>
    <w:p w14:paraId="662965DC">
      <w:pPr>
        <w:spacing w:line="400" w:lineRule="exact"/>
        <w:ind w:firstLine="420" w:firstLineChars="200"/>
        <w:rPr>
          <w:rFonts w:ascii="宋体" w:hAnsi="宋体"/>
        </w:rPr>
      </w:pPr>
      <w:r>
        <w:rPr>
          <w:rFonts w:ascii="宋体" w:hAnsi="宋体"/>
        </w:rPr>
        <w:t>15.</w:t>
      </w:r>
      <w:r>
        <w:rPr>
          <w:rFonts w:hint="eastAsia" w:ascii="宋体" w:hAnsi="宋体"/>
        </w:rPr>
        <w:t>潜在投标人须按照招标文件的要求在投标文件递交截止时间前登录投标工具并保持在线，关注开标互动大厅消息直到项目评审结束。</w:t>
      </w:r>
    </w:p>
    <w:p w14:paraId="1ED7884C">
      <w:pPr>
        <w:spacing w:line="400" w:lineRule="exact"/>
        <w:ind w:firstLine="420" w:firstLineChars="200"/>
        <w:rPr>
          <w:rFonts w:ascii="宋体" w:hAnsi="宋体"/>
        </w:rPr>
      </w:pPr>
      <w:r>
        <w:rPr>
          <w:rFonts w:ascii="宋体" w:hAnsi="宋体"/>
        </w:rPr>
        <w:t>16.</w:t>
      </w:r>
      <w:r>
        <w:rPr>
          <w:rFonts w:hint="eastAsia" w:ascii="宋体" w:hAnsi="宋体"/>
        </w:rPr>
        <w:t>投标文件解密时限为投标文件递交截止时间后</w:t>
      </w:r>
      <w:r>
        <w:rPr>
          <w:rFonts w:hint="eastAsia" w:ascii="宋体" w:hAnsi="宋体"/>
          <w:lang w:val="en-US" w:eastAsia="zh-CN"/>
        </w:rPr>
        <w:t>3</w:t>
      </w:r>
      <w:r>
        <w:rPr>
          <w:rFonts w:ascii="宋体" w:hAnsi="宋体"/>
        </w:rPr>
        <w:t>0</w:t>
      </w:r>
      <w:r>
        <w:rPr>
          <w:rFonts w:hint="eastAsia" w:ascii="宋体" w:hAnsi="宋体"/>
        </w:rPr>
        <w:t>分钟（招标文件</w:t>
      </w:r>
      <w:r>
        <w:rPr>
          <w:rFonts w:ascii="宋体" w:hAnsi="宋体"/>
        </w:rPr>
        <w:t>“</w:t>
      </w:r>
      <w:r>
        <w:rPr>
          <w:rFonts w:hint="eastAsia" w:ascii="宋体" w:hAnsi="宋体"/>
        </w:rPr>
        <w:t>投标人须知</w:t>
      </w:r>
      <w:r>
        <w:rPr>
          <w:rFonts w:ascii="宋体" w:hAnsi="宋体"/>
        </w:rPr>
        <w:t>”</w:t>
      </w:r>
      <w:r>
        <w:rPr>
          <w:rFonts w:hint="eastAsia" w:ascii="宋体" w:hAnsi="宋体"/>
        </w:rPr>
        <w:t>中另有规定的，从其规定）。潜在投标人须在投标文件解密时限内完成投标文件解密，未能成功解密的视为放弃投标。招标文件</w:t>
      </w:r>
      <w:r>
        <w:rPr>
          <w:rFonts w:ascii="宋体" w:hAnsi="宋体"/>
        </w:rPr>
        <w:t>“</w:t>
      </w:r>
      <w:r>
        <w:rPr>
          <w:rFonts w:hint="eastAsia" w:ascii="宋体" w:hAnsi="宋体"/>
        </w:rPr>
        <w:t>投标人须知</w:t>
      </w:r>
      <w:r>
        <w:rPr>
          <w:rFonts w:ascii="宋体" w:hAnsi="宋体"/>
        </w:rPr>
        <w:t>”</w:t>
      </w:r>
      <w:r>
        <w:rPr>
          <w:rFonts w:hint="eastAsia" w:ascii="宋体" w:hAnsi="宋体"/>
        </w:rPr>
        <w:t>中对投标文件解密设有线下补救方案的，执行该补救方案。</w:t>
      </w:r>
    </w:p>
    <w:p w14:paraId="4AA89FDB">
      <w:pPr>
        <w:spacing w:line="400" w:lineRule="exact"/>
        <w:ind w:firstLine="420" w:firstLineChars="200"/>
        <w:rPr>
          <w:rFonts w:ascii="黑体" w:hAnsi="黑体" w:eastAsia="黑体"/>
        </w:rPr>
      </w:pPr>
      <w:r>
        <w:rPr>
          <w:rFonts w:hint="eastAsia" w:ascii="黑体" w:hAnsi="黑体" w:eastAsia="黑体"/>
        </w:rPr>
        <w:t>四</w:t>
      </w:r>
      <w:r>
        <w:rPr>
          <w:rFonts w:ascii="黑体" w:hAnsi="黑体" w:eastAsia="黑体"/>
        </w:rPr>
        <w:t>、</w:t>
      </w:r>
      <w:r>
        <w:rPr>
          <w:rFonts w:hint="eastAsia" w:ascii="黑体" w:hAnsi="黑体" w:eastAsia="黑体"/>
        </w:rPr>
        <w:t>评标</w:t>
      </w:r>
      <w:r>
        <w:rPr>
          <w:rFonts w:ascii="黑体" w:hAnsi="黑体" w:eastAsia="黑体"/>
        </w:rPr>
        <w:t>和询标</w:t>
      </w:r>
    </w:p>
    <w:p w14:paraId="51E5E716">
      <w:pPr>
        <w:spacing w:line="400" w:lineRule="exact"/>
        <w:ind w:firstLine="420" w:firstLineChars="200"/>
        <w:rPr>
          <w:rFonts w:ascii="宋体" w:hAnsi="宋体"/>
        </w:rPr>
      </w:pPr>
      <w:r>
        <w:rPr>
          <w:rFonts w:ascii="宋体" w:hAnsi="宋体"/>
        </w:rPr>
        <w:t>17.</w:t>
      </w:r>
      <w:r>
        <w:rPr>
          <w:rFonts w:hint="eastAsia" w:ascii="宋体" w:hAnsi="宋体"/>
        </w:rPr>
        <w:t>评标委员会通过优质采电子评标工具将需要澄清、说明或补正的内容以询标函的形式发送给投标人，投标人</w:t>
      </w:r>
      <w:r>
        <w:rPr>
          <w:rFonts w:ascii="宋体" w:hAnsi="宋体"/>
        </w:rPr>
        <w:t>/</w:t>
      </w:r>
      <w:r>
        <w:rPr>
          <w:rFonts w:hint="eastAsia" w:ascii="宋体" w:hAnsi="宋体"/>
        </w:rPr>
        <w:t>供应商应登录投标工具并保持在线状态，以便及时接收评标委员会可能发出的询标函，并在询标函载明的时间内回复，若投标人未及时回复，视为放弃澄清。</w:t>
      </w:r>
    </w:p>
    <w:p w14:paraId="31A7D00B">
      <w:pPr>
        <w:spacing w:line="400" w:lineRule="exact"/>
        <w:ind w:firstLine="420" w:firstLineChars="200"/>
        <w:rPr>
          <w:rFonts w:ascii="黑体" w:hAnsi="黑体" w:eastAsia="黑体"/>
        </w:rPr>
      </w:pPr>
      <w:r>
        <w:rPr>
          <w:rFonts w:hint="eastAsia" w:ascii="黑体" w:hAnsi="黑体" w:eastAsia="黑体"/>
        </w:rPr>
        <w:t>五、异常情形</w:t>
      </w:r>
    </w:p>
    <w:p w14:paraId="6A800C4B">
      <w:pPr>
        <w:spacing w:line="400" w:lineRule="exact"/>
        <w:ind w:firstLine="420" w:firstLineChars="200"/>
        <w:rPr>
          <w:rFonts w:ascii="宋体" w:hAnsi="宋体"/>
        </w:rPr>
      </w:pPr>
      <w:r>
        <w:rPr>
          <w:rFonts w:hint="eastAsia" w:ascii="宋体" w:hAnsi="宋体"/>
        </w:rPr>
        <w:t>1</w:t>
      </w:r>
      <w:r>
        <w:rPr>
          <w:rFonts w:ascii="宋体" w:hAnsi="宋体"/>
        </w:rPr>
        <w:t>8</w:t>
      </w:r>
      <w:r>
        <w:rPr>
          <w:rFonts w:hint="eastAsia" w:ascii="宋体" w:hAnsi="宋体"/>
        </w:rPr>
        <w:t>.出现下列情形导致电子交易系统无法正常运行，影响招投标过程的公平、公正和信息安全，经第三方机构认定后，各方当事人免责：</w:t>
      </w:r>
    </w:p>
    <w:p w14:paraId="2F1E38D5">
      <w:pPr>
        <w:spacing w:line="400" w:lineRule="exact"/>
        <w:ind w:firstLine="420" w:firstLineChars="200"/>
        <w:rPr>
          <w:rFonts w:ascii="宋体" w:hAnsi="宋体"/>
        </w:rPr>
      </w:pPr>
      <w:r>
        <w:rPr>
          <w:rFonts w:hint="eastAsia" w:ascii="宋体" w:hAnsi="宋体"/>
        </w:rPr>
        <w:t>(1)网络、服务器、数据库发生故障造成无法访问或使用的；</w:t>
      </w:r>
    </w:p>
    <w:p w14:paraId="3BE5C3C5">
      <w:pPr>
        <w:spacing w:line="400" w:lineRule="exact"/>
        <w:ind w:firstLine="420" w:firstLineChars="200"/>
        <w:rPr>
          <w:rFonts w:ascii="宋体" w:hAnsi="宋体"/>
        </w:rPr>
      </w:pPr>
      <w:r>
        <w:rPr>
          <w:rFonts w:hint="eastAsia" w:ascii="宋体" w:hAnsi="宋体"/>
        </w:rPr>
        <w:t>(2)电力系统发生故障导致电子服务系统或电子交易系统无法运行；</w:t>
      </w:r>
    </w:p>
    <w:p w14:paraId="7800F178">
      <w:pPr>
        <w:spacing w:line="400" w:lineRule="exact"/>
        <w:ind w:firstLine="420" w:firstLineChars="200"/>
        <w:rPr>
          <w:rFonts w:ascii="宋体" w:hAnsi="宋体"/>
        </w:rPr>
      </w:pPr>
      <w:r>
        <w:rPr>
          <w:rFonts w:hint="eastAsia" w:ascii="宋体" w:hAnsi="宋体"/>
        </w:rPr>
        <w:t>(3)出现网络攻击、病毒入侵以及电子服务系统或电子交易系统安全漏洞导致无法正常提供服务的；</w:t>
      </w:r>
    </w:p>
    <w:p w14:paraId="05771FAB">
      <w:pPr>
        <w:spacing w:line="400" w:lineRule="exact"/>
        <w:ind w:firstLine="420" w:firstLineChars="200"/>
        <w:rPr>
          <w:rFonts w:ascii="宋体" w:hAnsi="宋体"/>
        </w:rPr>
      </w:pPr>
      <w:r>
        <w:rPr>
          <w:rFonts w:hint="eastAsia" w:ascii="宋体" w:hAnsi="宋体"/>
        </w:rPr>
        <w:t>(4)其他无法保证招投标过程公平、公正和信息安全的情形。</w:t>
      </w:r>
    </w:p>
    <w:p w14:paraId="27D1C6EA">
      <w:pPr>
        <w:spacing w:line="400" w:lineRule="exact"/>
        <w:ind w:firstLine="420" w:firstLineChars="200"/>
        <w:rPr>
          <w:rFonts w:ascii="黑体" w:hAnsi="黑体" w:eastAsia="黑体"/>
        </w:rPr>
      </w:pPr>
      <w:r>
        <w:rPr>
          <w:rFonts w:hint="eastAsia" w:ascii="黑体" w:hAnsi="黑体" w:eastAsia="黑体"/>
        </w:rPr>
        <w:t>六、异常情形处理</w:t>
      </w:r>
    </w:p>
    <w:p w14:paraId="7B1843BB">
      <w:pPr>
        <w:spacing w:line="400" w:lineRule="exact"/>
        <w:ind w:firstLine="420" w:firstLineChars="200"/>
      </w:pPr>
      <w:r>
        <w:rPr>
          <w:rFonts w:hint="eastAsia"/>
        </w:rPr>
        <w:t>1</w:t>
      </w:r>
      <w:r>
        <w:t>9</w:t>
      </w:r>
      <w:r>
        <w:rPr>
          <w:rFonts w:hint="eastAsia"/>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6B7F091F">
      <w:pPr>
        <w:spacing w:line="400" w:lineRule="exact"/>
        <w:ind w:firstLine="420" w:firstLineChars="200"/>
      </w:pPr>
      <w:r>
        <w:rPr>
          <w:rFonts w:hint="eastAsia"/>
        </w:rPr>
        <w:t>（1）项目中止，中止期限由招标人或招标代理机构根据项目具体情况确定。中止期限届满后中止情形尚未消除的，招标人或代理机构可以根据实际情况决定延长中止期限。决定延长中止期限的，应向投标人发出延长中止期限通知，并发布公布。</w:t>
      </w:r>
    </w:p>
    <w:p w14:paraId="7F5CDDE0">
      <w:pPr>
        <w:spacing w:line="400" w:lineRule="exact"/>
        <w:ind w:firstLine="420" w:firstLineChars="200"/>
      </w:pPr>
      <w:r>
        <w:rPr>
          <w:rFonts w:hint="eastAsia"/>
        </w:rPr>
        <w:t>（2）项目恢复，导致项目中止的情形消除后，招标人或代理机构应当尽快恢复招投标程序，向投标人发出恢复交易通知，并发布公布；已发出延长中止期限通知的，按通知执行。</w:t>
      </w:r>
    </w:p>
    <w:p w14:paraId="14EA9A0C">
      <w:pPr>
        <w:widowControl/>
        <w:adjustRightInd w:val="0"/>
        <w:snapToGrid w:val="0"/>
        <w:spacing w:line="360" w:lineRule="auto"/>
        <w:ind w:firstLine="420" w:firstLineChars="200"/>
        <w:rPr>
          <w:rFonts w:ascii="宋体" w:hAnsi="宋体" w:eastAsia="仿宋"/>
          <w:szCs w:val="21"/>
        </w:rPr>
      </w:pPr>
    </w:p>
    <w:p w14:paraId="5B11A9B9">
      <w:pPr>
        <w:spacing w:line="360" w:lineRule="auto"/>
        <w:jc w:val="center"/>
        <w:outlineLvl w:val="1"/>
        <w:rPr>
          <w:rFonts w:ascii="Cambria" w:hAnsi="Cambria" w:eastAsia="黑体"/>
          <w:b/>
          <w:bCs/>
          <w:sz w:val="32"/>
          <w:szCs w:val="32"/>
        </w:rPr>
      </w:pPr>
      <w:r>
        <w:rPr>
          <w:rFonts w:hint="eastAsia" w:ascii="宋体" w:hAnsi="宋体" w:eastAsia="仿宋"/>
          <w:szCs w:val="21"/>
        </w:rPr>
        <w:br w:type="page"/>
      </w:r>
      <w:r>
        <w:rPr>
          <w:rFonts w:ascii="Cambria" w:hAnsi="Cambria" w:eastAsia="黑体"/>
          <w:b/>
          <w:bCs/>
          <w:sz w:val="32"/>
          <w:szCs w:val="32"/>
        </w:rPr>
        <w:t>附件</w:t>
      </w:r>
      <w:r>
        <w:rPr>
          <w:rFonts w:hint="eastAsia" w:ascii="Cambria" w:hAnsi="Cambria" w:eastAsia="黑体"/>
          <w:b/>
          <w:bCs/>
          <w:sz w:val="32"/>
          <w:szCs w:val="32"/>
        </w:rPr>
        <w:t>二</w:t>
      </w:r>
      <w:r>
        <w:rPr>
          <w:rFonts w:ascii="Cambria" w:hAnsi="Cambria" w:eastAsia="黑体"/>
          <w:b/>
          <w:bCs/>
          <w:sz w:val="32"/>
          <w:szCs w:val="32"/>
        </w:rPr>
        <w:t>：</w:t>
      </w:r>
      <w:r>
        <w:rPr>
          <w:rFonts w:hint="eastAsia" w:ascii="Cambria" w:hAnsi="Cambria" w:eastAsia="黑体"/>
          <w:b/>
          <w:bCs/>
          <w:sz w:val="32"/>
          <w:szCs w:val="32"/>
        </w:rPr>
        <w:t>政府采购供应商询问函和质疑函范本</w:t>
      </w:r>
    </w:p>
    <w:p w14:paraId="4E57C9CE">
      <w:pPr>
        <w:spacing w:line="360" w:lineRule="auto"/>
        <w:jc w:val="center"/>
        <w:rPr>
          <w:rFonts w:ascii="仿宋" w:hAnsi="仿宋" w:eastAsia="仿宋" w:cs="仿宋"/>
          <w:b/>
          <w:bCs/>
          <w:sz w:val="32"/>
          <w:szCs w:val="44"/>
        </w:rPr>
      </w:pPr>
      <w:r>
        <w:rPr>
          <w:rFonts w:hint="eastAsia" w:ascii="仿宋" w:hAnsi="仿宋" w:eastAsia="仿宋" w:cs="仿宋"/>
          <w:b/>
          <w:bCs/>
          <w:sz w:val="32"/>
          <w:szCs w:val="44"/>
        </w:rPr>
        <w:t>询问函范本</w:t>
      </w:r>
    </w:p>
    <w:p w14:paraId="5E156806">
      <w:pPr>
        <w:adjustRightInd w:val="0"/>
        <w:snapToGrid w:val="0"/>
        <w:spacing w:line="360" w:lineRule="auto"/>
        <w:ind w:firstLine="480" w:firstLineChars="200"/>
        <w:jc w:val="center"/>
        <w:rPr>
          <w:rFonts w:ascii="仿宋" w:hAnsi="仿宋" w:eastAsia="仿宋" w:cs="仿宋"/>
          <w:b/>
          <w:bCs/>
          <w:sz w:val="32"/>
          <w:szCs w:val="44"/>
        </w:rPr>
      </w:pPr>
      <w:r>
        <w:rPr>
          <w:rFonts w:hint="eastAsia" w:ascii="宋体" w:hAnsi="宋体" w:cs="仿宋"/>
          <w:i/>
          <w:iCs/>
          <w:sz w:val="24"/>
        </w:rPr>
        <w:t>（如为对采购文件或采购程序的询问或疑问，请按询问函范本或电子交易系统中网上询问格式附件进行提交）</w:t>
      </w:r>
    </w:p>
    <w:p w14:paraId="6FB89F97">
      <w:pPr>
        <w:adjustRightInd w:val="0"/>
        <w:snapToGrid w:val="0"/>
        <w:spacing w:line="360" w:lineRule="auto"/>
        <w:rPr>
          <w:rFonts w:ascii="仿宋" w:hAnsi="仿宋" w:eastAsia="仿宋" w:cs="仿宋"/>
          <w:sz w:val="24"/>
        </w:rPr>
      </w:pPr>
      <w:r>
        <w:rPr>
          <w:rFonts w:hint="eastAsia" w:ascii="仿宋" w:hAnsi="仿宋" w:eastAsia="仿宋" w:cs="仿宋"/>
          <w:sz w:val="24"/>
        </w:rPr>
        <w:t>某采购单位、某代理机构：</w:t>
      </w:r>
    </w:p>
    <w:p w14:paraId="13112E68">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我单位拟参与某项目(某编号)的采购活动，现有以下内容(或条款)存在疑问(或无法理解)，特提出询问。</w:t>
      </w:r>
    </w:p>
    <w:p w14:paraId="5983E816">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一、(事项一)</w:t>
      </w:r>
    </w:p>
    <w:p w14:paraId="587D6C67">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1、(内容或条款)</w:t>
      </w:r>
    </w:p>
    <w:p w14:paraId="0CCDF6CB">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2、(说明疑问或无法理解原因)</w:t>
      </w:r>
    </w:p>
    <w:p w14:paraId="4B2CC4D1">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3、(建议)</w:t>
      </w:r>
    </w:p>
    <w:p w14:paraId="2731A55C">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二、(事项二)</w:t>
      </w:r>
    </w:p>
    <w:p w14:paraId="351F7E1F">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w:t>
      </w:r>
    </w:p>
    <w:p w14:paraId="38495F20">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随附相关证明材料如下： </w:t>
      </w:r>
    </w:p>
    <w:p w14:paraId="0B452EC5">
      <w:pPr>
        <w:spacing w:line="360" w:lineRule="auto"/>
        <w:ind w:firstLine="4228" w:firstLineChars="1762"/>
        <w:rPr>
          <w:rFonts w:ascii="仿宋" w:hAnsi="仿宋" w:eastAsia="仿宋" w:cs="仿宋"/>
          <w:sz w:val="24"/>
          <w:u w:val="single"/>
        </w:rPr>
      </w:pPr>
      <w:r>
        <w:rPr>
          <w:rFonts w:hint="eastAsia" w:ascii="仿宋" w:hAnsi="仿宋" w:eastAsia="仿宋" w:cs="仿宋"/>
          <w:sz w:val="24"/>
        </w:rPr>
        <w:t>联 系 人：</w:t>
      </w:r>
      <w:r>
        <w:rPr>
          <w:rFonts w:hint="eastAsia" w:ascii="仿宋" w:hAnsi="仿宋" w:eastAsia="仿宋" w:cs="仿宋"/>
          <w:sz w:val="24"/>
          <w:u w:val="single"/>
        </w:rPr>
        <w:t xml:space="preserve">              </w:t>
      </w:r>
    </w:p>
    <w:p w14:paraId="257E3416">
      <w:pPr>
        <w:spacing w:line="360" w:lineRule="auto"/>
        <w:ind w:firstLine="4228" w:firstLineChars="1762"/>
        <w:rPr>
          <w:rFonts w:ascii="仿宋" w:hAnsi="仿宋" w:eastAsia="仿宋" w:cs="仿宋"/>
          <w:sz w:val="24"/>
          <w:u w:val="single"/>
        </w:rPr>
      </w:pPr>
      <w:r>
        <w:rPr>
          <w:rFonts w:hint="eastAsia" w:ascii="仿宋" w:hAnsi="仿宋" w:eastAsia="仿宋" w:cs="仿宋"/>
          <w:sz w:val="24"/>
        </w:rPr>
        <w:t>联系电话：</w:t>
      </w:r>
      <w:r>
        <w:rPr>
          <w:rFonts w:hint="eastAsia" w:ascii="仿宋" w:hAnsi="仿宋" w:eastAsia="仿宋" w:cs="仿宋"/>
          <w:sz w:val="24"/>
          <w:u w:val="single"/>
        </w:rPr>
        <w:t xml:space="preserve">              </w:t>
      </w:r>
    </w:p>
    <w:p w14:paraId="3674A237">
      <w:pPr>
        <w:tabs>
          <w:tab w:val="left" w:pos="630"/>
        </w:tabs>
        <w:spacing w:line="360" w:lineRule="auto"/>
        <w:ind w:firstLine="4228" w:firstLineChars="1762"/>
        <w:rPr>
          <w:rFonts w:ascii="仿宋" w:hAnsi="仿宋" w:eastAsia="仿宋" w:cs="仿宋"/>
          <w:sz w:val="24"/>
          <w:u w:val="single"/>
        </w:rPr>
      </w:pPr>
      <w:r>
        <w:rPr>
          <w:rFonts w:hint="eastAsia" w:ascii="仿宋" w:hAnsi="仿宋" w:eastAsia="仿宋" w:cs="仿宋"/>
          <w:sz w:val="24"/>
        </w:rPr>
        <w:t>日    期：</w:t>
      </w:r>
      <w:r>
        <w:rPr>
          <w:rFonts w:hint="eastAsia" w:ascii="仿宋" w:hAnsi="仿宋" w:eastAsia="仿宋" w:cs="仿宋"/>
          <w:sz w:val="24"/>
          <w:u w:val="single"/>
        </w:rPr>
        <w:t xml:space="preserve">              </w:t>
      </w:r>
    </w:p>
    <w:p w14:paraId="41F4EF49">
      <w:pPr>
        <w:rPr>
          <w:rFonts w:ascii="宋体" w:hAnsi="宋体"/>
          <w:b/>
          <w:sz w:val="52"/>
        </w:rPr>
      </w:pPr>
      <w:r>
        <w:rPr>
          <w:rFonts w:hint="eastAsia" w:ascii="仿宋" w:hAnsi="仿宋" w:eastAsia="仿宋" w:cs="仿宋"/>
          <w:b/>
          <w:bCs/>
          <w:sz w:val="32"/>
          <w:szCs w:val="44"/>
        </w:rPr>
        <w:br w:type="page"/>
      </w:r>
    </w:p>
    <w:p w14:paraId="09461F81">
      <w:pPr>
        <w:jc w:val="center"/>
        <w:rPr>
          <w:rFonts w:ascii="仿宋" w:hAnsi="仿宋" w:eastAsia="仿宋" w:cs="仿宋"/>
          <w:b/>
          <w:bCs/>
          <w:sz w:val="32"/>
          <w:szCs w:val="44"/>
        </w:rPr>
      </w:pPr>
      <w:r>
        <w:rPr>
          <w:rFonts w:hint="eastAsia" w:ascii="仿宋" w:hAnsi="仿宋" w:eastAsia="仿宋" w:cs="仿宋"/>
          <w:b/>
          <w:bCs/>
          <w:sz w:val="32"/>
          <w:szCs w:val="44"/>
        </w:rPr>
        <w:t>质疑函范本</w:t>
      </w:r>
    </w:p>
    <w:p w14:paraId="72477335">
      <w:pPr>
        <w:adjustRightInd w:val="0"/>
        <w:snapToGrid w:val="0"/>
        <w:spacing w:before="240" w:beforeLines="100" w:line="360" w:lineRule="auto"/>
        <w:rPr>
          <w:rFonts w:ascii="仿宋" w:hAnsi="仿宋" w:eastAsia="仿宋" w:cs="仿宋"/>
          <w:b/>
          <w:bCs/>
          <w:sz w:val="24"/>
        </w:rPr>
      </w:pPr>
      <w:r>
        <w:rPr>
          <w:rFonts w:hint="eastAsia" w:ascii="仿宋" w:hAnsi="仿宋" w:eastAsia="仿宋" w:cs="仿宋"/>
          <w:b/>
          <w:bCs/>
          <w:sz w:val="24"/>
        </w:rPr>
        <w:t>一、质疑供应商基本信息</w:t>
      </w:r>
    </w:p>
    <w:p w14:paraId="26CEBF04">
      <w:pPr>
        <w:adjustRightInd w:val="0"/>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DBEA69A">
      <w:pPr>
        <w:adjustRightInd w:val="0"/>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BB493A5">
      <w:pPr>
        <w:adjustRightInd w:val="0"/>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7EDE247">
      <w:pPr>
        <w:adjustRightInd w:val="0"/>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F41718D">
      <w:pPr>
        <w:adjustRightInd w:val="0"/>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79BD0AA">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C570B68">
      <w:pPr>
        <w:adjustRightInd w:val="0"/>
        <w:snapToGrid w:val="0"/>
        <w:spacing w:line="360" w:lineRule="auto"/>
        <w:rPr>
          <w:rFonts w:ascii="仿宋" w:hAnsi="仿宋" w:eastAsia="仿宋" w:cs="仿宋"/>
          <w:b/>
          <w:bCs/>
          <w:sz w:val="24"/>
        </w:rPr>
      </w:pPr>
      <w:r>
        <w:rPr>
          <w:rFonts w:hint="eastAsia" w:ascii="仿宋" w:hAnsi="仿宋" w:eastAsia="仿宋" w:cs="仿宋"/>
          <w:b/>
          <w:bCs/>
          <w:sz w:val="24"/>
        </w:rPr>
        <w:t>二、质疑项目基本情况</w:t>
      </w:r>
    </w:p>
    <w:p w14:paraId="3C825B8C">
      <w:pPr>
        <w:adjustRightInd w:val="0"/>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235C9AB">
      <w:pPr>
        <w:adjustRightInd w:val="0"/>
        <w:snapToGrid w:val="0"/>
        <w:spacing w:line="360" w:lineRule="auto"/>
        <w:rPr>
          <w:rFonts w:ascii="仿宋" w:hAnsi="仿宋" w:eastAsia="仿宋" w:cs="仿宋"/>
          <w:sz w:val="24"/>
          <w:u w:val="dotted"/>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014A889">
      <w:pPr>
        <w:adjustRightInd w:val="0"/>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69C0F37">
      <w:pPr>
        <w:adjustRightInd w:val="0"/>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E1AB20E">
      <w:pPr>
        <w:adjustRightInd w:val="0"/>
        <w:snapToGrid w:val="0"/>
        <w:spacing w:line="360" w:lineRule="auto"/>
        <w:rPr>
          <w:rFonts w:ascii="仿宋" w:hAnsi="仿宋" w:eastAsia="仿宋" w:cs="仿宋"/>
          <w:b/>
          <w:bCs/>
          <w:sz w:val="24"/>
        </w:rPr>
      </w:pPr>
      <w:r>
        <w:rPr>
          <w:rFonts w:hint="eastAsia" w:ascii="仿宋" w:hAnsi="仿宋" w:eastAsia="仿宋" w:cs="仿宋"/>
          <w:b/>
          <w:bCs/>
          <w:sz w:val="24"/>
        </w:rPr>
        <w:t>三、质疑事项具体内容</w:t>
      </w:r>
    </w:p>
    <w:p w14:paraId="121AD74D">
      <w:pPr>
        <w:adjustRightInd w:val="0"/>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858A0AB">
      <w:pPr>
        <w:adjustRightInd w:val="0"/>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3B05693">
      <w:pPr>
        <w:adjustRightInd w:val="0"/>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35116FB0">
      <w:pPr>
        <w:adjustRightInd w:val="0"/>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0B82195">
      <w:pPr>
        <w:adjustRightInd w:val="0"/>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7AC65A9">
      <w:pPr>
        <w:adjustRightInd w:val="0"/>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5B080053">
      <w:pPr>
        <w:adjustRightInd w:val="0"/>
        <w:snapToGrid w:val="0"/>
        <w:spacing w:line="360" w:lineRule="auto"/>
        <w:rPr>
          <w:rFonts w:ascii="仿宋" w:hAnsi="仿宋" w:eastAsia="仿宋" w:cs="仿宋"/>
          <w:sz w:val="24"/>
        </w:rPr>
      </w:pPr>
      <w:r>
        <w:rPr>
          <w:rFonts w:hint="eastAsia" w:ascii="仿宋" w:hAnsi="仿宋" w:eastAsia="仿宋" w:cs="仿宋"/>
          <w:sz w:val="24"/>
        </w:rPr>
        <w:t>……</w:t>
      </w:r>
    </w:p>
    <w:p w14:paraId="08A35016">
      <w:pPr>
        <w:adjustRightInd w:val="0"/>
        <w:snapToGrid w:val="0"/>
        <w:spacing w:line="360" w:lineRule="auto"/>
        <w:rPr>
          <w:rFonts w:ascii="仿宋" w:hAnsi="仿宋" w:eastAsia="仿宋" w:cs="仿宋"/>
          <w:b/>
          <w:bCs/>
          <w:sz w:val="24"/>
        </w:rPr>
      </w:pPr>
      <w:r>
        <w:rPr>
          <w:rFonts w:hint="eastAsia" w:ascii="仿宋" w:hAnsi="仿宋" w:eastAsia="仿宋" w:cs="仿宋"/>
          <w:b/>
          <w:bCs/>
          <w:sz w:val="24"/>
        </w:rPr>
        <w:t>四、与质疑事项相关的质疑请求</w:t>
      </w:r>
    </w:p>
    <w:p w14:paraId="79DC6625">
      <w:pPr>
        <w:adjustRightInd w:val="0"/>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4DE3259">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746E128">
      <w:pPr>
        <w:spacing w:line="360" w:lineRule="auto"/>
        <w:rPr>
          <w:rFonts w:ascii="仿宋" w:hAnsi="仿宋" w:eastAsia="仿宋" w:cs="仿宋"/>
          <w:sz w:val="24"/>
        </w:rPr>
      </w:pPr>
      <w:r>
        <w:rPr>
          <w:rFonts w:hint="eastAsia" w:ascii="仿宋" w:hAnsi="仿宋" w:eastAsia="仿宋" w:cs="仿宋"/>
          <w:sz w:val="24"/>
        </w:rPr>
        <w:t xml:space="preserve">日期：    </w:t>
      </w:r>
    </w:p>
    <w:p w14:paraId="5C503072">
      <w:pPr>
        <w:widowControl/>
        <w:jc w:val="left"/>
        <w:rPr>
          <w:rFonts w:ascii="仿宋" w:hAnsi="仿宋" w:eastAsia="仿宋" w:cs="仿宋"/>
          <w:sz w:val="32"/>
          <w:szCs w:val="32"/>
        </w:rPr>
      </w:pPr>
      <w:r>
        <w:rPr>
          <w:rFonts w:ascii="仿宋" w:hAnsi="仿宋" w:eastAsia="仿宋" w:cs="仿宋"/>
          <w:sz w:val="32"/>
          <w:szCs w:val="32"/>
        </w:rPr>
        <w:br w:type="page"/>
      </w:r>
    </w:p>
    <w:p w14:paraId="51E7FF76">
      <w:pPr>
        <w:rPr>
          <w:rFonts w:ascii="仿宋" w:hAnsi="仿宋" w:eastAsia="仿宋" w:cs="仿宋"/>
          <w:b/>
          <w:sz w:val="28"/>
          <w:szCs w:val="32"/>
        </w:rPr>
      </w:pPr>
      <w:bookmarkStart w:id="639" w:name="_Toc11441"/>
      <w:r>
        <w:rPr>
          <w:rFonts w:hint="eastAsia" w:ascii="仿宋" w:hAnsi="仿宋" w:eastAsia="仿宋" w:cs="仿宋"/>
          <w:b/>
          <w:sz w:val="28"/>
          <w:szCs w:val="32"/>
        </w:rPr>
        <w:t>质疑函制作说明：</w:t>
      </w:r>
      <w:bookmarkEnd w:id="639"/>
    </w:p>
    <w:p w14:paraId="2F27AB9A">
      <w:pPr>
        <w:spacing w:line="360" w:lineRule="auto"/>
        <w:ind w:firstLine="435"/>
        <w:rPr>
          <w:rFonts w:ascii="仿宋" w:hAnsi="仿宋" w:eastAsia="仿宋" w:cs="仿宋"/>
          <w:sz w:val="24"/>
        </w:rPr>
      </w:pPr>
      <w:r>
        <w:rPr>
          <w:rFonts w:hint="eastAsia" w:ascii="仿宋" w:hAnsi="仿宋" w:eastAsia="仿宋" w:cs="仿宋"/>
          <w:sz w:val="24"/>
        </w:rPr>
        <w:t>1.供应商提出质疑时，应提交质疑函和必要的证明材料。</w:t>
      </w:r>
    </w:p>
    <w:p w14:paraId="095D13B6">
      <w:pPr>
        <w:spacing w:line="360" w:lineRule="auto"/>
        <w:ind w:firstLine="435"/>
        <w:rPr>
          <w:rFonts w:ascii="仿宋" w:hAnsi="仿宋" w:eastAsia="仿宋" w:cs="仿宋"/>
          <w:sz w:val="24"/>
        </w:rPr>
      </w:pPr>
      <w:r>
        <w:rPr>
          <w:rFonts w:hint="eastAsia" w:ascii="仿宋" w:hAnsi="仿宋" w:eastAsia="仿宋" w:cs="仿宋"/>
          <w:sz w:val="24"/>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18962203">
      <w:pPr>
        <w:spacing w:line="360" w:lineRule="auto"/>
        <w:ind w:firstLine="435"/>
        <w:rPr>
          <w:rFonts w:ascii="仿宋" w:hAnsi="仿宋" w:eastAsia="仿宋" w:cs="仿宋"/>
          <w:sz w:val="24"/>
        </w:rPr>
      </w:pPr>
      <w:r>
        <w:rPr>
          <w:rFonts w:hint="eastAsia" w:ascii="仿宋" w:hAnsi="仿宋" w:eastAsia="仿宋" w:cs="仿宋"/>
          <w:sz w:val="24"/>
        </w:rPr>
        <w:t>3.质疑供应商若对项目的某一采购包进行质疑，质疑函中应列明具体包号。</w:t>
      </w:r>
    </w:p>
    <w:p w14:paraId="6F621706">
      <w:pPr>
        <w:spacing w:line="360" w:lineRule="auto"/>
        <w:ind w:firstLine="435"/>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7CEE0CE2">
      <w:pPr>
        <w:spacing w:line="360" w:lineRule="auto"/>
        <w:ind w:firstLine="435"/>
        <w:rPr>
          <w:rFonts w:ascii="仿宋" w:hAnsi="仿宋" w:eastAsia="仿宋" w:cs="仿宋"/>
          <w:sz w:val="24"/>
        </w:rPr>
      </w:pPr>
      <w:r>
        <w:rPr>
          <w:rFonts w:hint="eastAsia" w:ascii="仿宋" w:hAnsi="仿宋" w:eastAsia="仿宋" w:cs="仿宋"/>
          <w:sz w:val="24"/>
        </w:rPr>
        <w:t>5.质疑函的质疑请求应与质疑事项相关。</w:t>
      </w:r>
    </w:p>
    <w:p w14:paraId="4FEA8A3A">
      <w:pPr>
        <w:spacing w:line="360" w:lineRule="auto"/>
        <w:ind w:firstLine="435"/>
        <w:rPr>
          <w:rFonts w:ascii="宋体" w:hAnsi="宋体" w:cs="宋体"/>
          <w:szCs w:val="28"/>
        </w:rPr>
      </w:pPr>
      <w:r>
        <w:rPr>
          <w:rFonts w:hint="eastAsia" w:ascii="仿宋" w:hAnsi="仿宋" w:eastAsia="仿宋" w:cs="仿宋"/>
          <w:sz w:val="24"/>
        </w:rPr>
        <w:t>6.质疑供应商为自然人的，质疑函应由本人签字；质疑供应商为法人或者其他组织的，质疑函应由法定代表人/主要负责人/其授权代表签字或者盖签字章，并加盖公章。</w:t>
      </w:r>
    </w:p>
    <w:p w14:paraId="4CDA2A7B">
      <w:pPr>
        <w:widowControl/>
        <w:adjustRightInd w:val="0"/>
        <w:snapToGrid w:val="0"/>
        <w:spacing w:line="360" w:lineRule="auto"/>
        <w:ind w:firstLine="420" w:firstLineChars="200"/>
        <w:rPr>
          <w:rFonts w:ascii="宋体" w:hAnsi="宋体" w:eastAsia="仿宋"/>
          <w:szCs w:val="21"/>
        </w:rPr>
      </w:pPr>
    </w:p>
    <w:p w14:paraId="48949842">
      <w:pPr>
        <w:widowControl/>
        <w:adjustRightInd w:val="0"/>
        <w:snapToGrid w:val="0"/>
        <w:spacing w:line="360" w:lineRule="auto"/>
        <w:ind w:firstLine="420" w:firstLineChars="200"/>
        <w:rPr>
          <w:rFonts w:ascii="宋体" w:hAnsi="宋体" w:eastAsia="仿宋"/>
          <w:szCs w:val="21"/>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6C17DCF">
      <w:pPr>
        <w:pStyle w:val="2"/>
        <w:widowControl/>
        <w:snapToGrid w:val="0"/>
        <w:spacing w:before="0" w:after="0" w:line="360" w:lineRule="auto"/>
        <w:jc w:val="center"/>
        <w:rPr>
          <w:rStyle w:val="103"/>
          <w:rFonts w:ascii="宋体" w:hAnsi="宋体" w:eastAsia="仿宋"/>
          <w:b/>
          <w:bCs/>
          <w:sz w:val="44"/>
          <w:szCs w:val="44"/>
        </w:rPr>
      </w:pPr>
      <w:bookmarkStart w:id="640" w:name="_Toc466024555"/>
      <w:bookmarkStart w:id="641" w:name="_Toc445554746"/>
      <w:bookmarkStart w:id="642" w:name="_Toc28978"/>
      <w:bookmarkStart w:id="643" w:name="_Toc342297701"/>
      <w:bookmarkStart w:id="644" w:name="_Toc152042375"/>
      <w:bookmarkStart w:id="645" w:name="_Toc144974565"/>
      <w:bookmarkStart w:id="646" w:name="_Toc342296244"/>
      <w:bookmarkStart w:id="647" w:name="_Toc342297699"/>
      <w:bookmarkStart w:id="648" w:name="_Toc241459648"/>
      <w:bookmarkStart w:id="649" w:name="_Toc152045598"/>
      <w:bookmarkStart w:id="650" w:name="_Toc179632616"/>
      <w:bookmarkStart w:id="651" w:name="_Toc342296242"/>
      <w:r>
        <w:rPr>
          <w:rFonts w:hint="eastAsia" w:ascii="宋体" w:hAnsi="宋体" w:eastAsia="仿宋"/>
        </w:rPr>
        <w:t>第三章  采购需求</w:t>
      </w:r>
      <w:bookmarkEnd w:id="640"/>
      <w:bookmarkEnd w:id="641"/>
      <w:bookmarkEnd w:id="642"/>
      <w:bookmarkStart w:id="652" w:name="_Toc455587089"/>
      <w:bookmarkStart w:id="653" w:name="_Toc466024556"/>
      <w:bookmarkStart w:id="654" w:name="_Toc455587273"/>
      <w:bookmarkStart w:id="655" w:name="_Toc445554747"/>
    </w:p>
    <w:p w14:paraId="62C03592">
      <w:pPr>
        <w:pStyle w:val="3"/>
        <w:rPr>
          <w:rStyle w:val="103"/>
          <w:rFonts w:ascii="宋体" w:hAnsi="宋体" w:eastAsia="仿宋"/>
          <w:b/>
          <w:bCs/>
          <w:sz w:val="24"/>
          <w:szCs w:val="24"/>
        </w:rPr>
      </w:pPr>
      <w:r>
        <w:rPr>
          <w:rStyle w:val="103"/>
          <w:rFonts w:hint="eastAsia" w:ascii="宋体" w:hAnsi="宋体" w:eastAsia="仿宋"/>
          <w:b/>
          <w:bCs/>
          <w:sz w:val="24"/>
          <w:szCs w:val="24"/>
        </w:rPr>
        <w:t xml:space="preserve">1. </w:t>
      </w:r>
      <w:bookmarkEnd w:id="652"/>
      <w:bookmarkEnd w:id="653"/>
      <w:bookmarkEnd w:id="654"/>
      <w:r>
        <w:rPr>
          <w:rStyle w:val="103"/>
          <w:rFonts w:hint="eastAsia" w:ascii="宋体" w:hAnsi="宋体" w:eastAsia="仿宋"/>
          <w:b/>
          <w:bCs/>
          <w:sz w:val="24"/>
          <w:szCs w:val="24"/>
        </w:rPr>
        <w:t>总体说明</w:t>
      </w:r>
    </w:p>
    <w:p w14:paraId="222F0871">
      <w:pPr>
        <w:widowControl/>
        <w:tabs>
          <w:tab w:val="left" w:pos="1406"/>
        </w:tabs>
        <w:snapToGrid w:val="0"/>
        <w:spacing w:line="360" w:lineRule="auto"/>
        <w:ind w:firstLine="480" w:firstLineChars="200"/>
        <w:rPr>
          <w:rFonts w:ascii="宋体" w:hAnsi="宋体" w:eastAsia="仿宋"/>
          <w:color w:val="FF0000"/>
          <w:sz w:val="24"/>
        </w:rPr>
      </w:pPr>
      <w:r>
        <w:rPr>
          <w:rFonts w:hint="eastAsia" w:ascii="宋体" w:hAnsi="宋体" w:eastAsia="仿宋"/>
          <w:sz w:val="24"/>
        </w:rPr>
        <w:t>1.1 本章所提出的技术要求是对本次采购货物</w:t>
      </w:r>
      <w:r>
        <w:rPr>
          <w:rFonts w:hint="eastAsia" w:ascii="Calibri" w:hAnsi="Calibri" w:eastAsia="仿宋"/>
          <w:sz w:val="24"/>
        </w:rPr>
        <w:t>及伴随服务</w:t>
      </w:r>
      <w:r>
        <w:rPr>
          <w:rFonts w:hint="eastAsia" w:ascii="宋体" w:hAnsi="宋体" w:eastAsia="仿宋"/>
          <w:sz w:val="24"/>
        </w:rPr>
        <w:t>的基本要求，并未涉及所有技术细节，也未充分引述有关标准、规范的全部条款。供应商应保证其提供的货物</w:t>
      </w:r>
      <w:r>
        <w:rPr>
          <w:rFonts w:hint="eastAsia" w:ascii="Calibri" w:hAnsi="Calibri" w:eastAsia="仿宋"/>
          <w:sz w:val="24"/>
        </w:rPr>
        <w:t>及伴随服务</w:t>
      </w:r>
      <w:r>
        <w:rPr>
          <w:rFonts w:hint="eastAsia" w:ascii="宋体" w:hAnsi="宋体" w:eastAsia="仿宋"/>
          <w:sz w:val="24"/>
        </w:rPr>
        <w:t>除了满足本技术要求外，还应符合中国国家、行业、地方或设备制造商所在国的有关强制性标准、规范。当上述标准、规范的有关规定之间存在差异时，应以要求高的为准。</w:t>
      </w:r>
    </w:p>
    <w:p w14:paraId="3BBA0E2C">
      <w:pPr>
        <w:widowControl/>
        <w:tabs>
          <w:tab w:val="left" w:pos="1406"/>
        </w:tabs>
        <w:snapToGrid w:val="0"/>
        <w:spacing w:line="360" w:lineRule="auto"/>
        <w:ind w:firstLine="480" w:firstLineChars="200"/>
        <w:rPr>
          <w:rFonts w:ascii="宋体" w:hAnsi="宋体" w:eastAsia="仿宋"/>
          <w:sz w:val="24"/>
        </w:rPr>
      </w:pPr>
      <w:r>
        <w:rPr>
          <w:rFonts w:hint="eastAsia" w:ascii="宋体" w:hAnsi="宋体" w:eastAsia="仿宋"/>
          <w:sz w:val="24"/>
        </w:rPr>
        <w:t>1.2 本章中提及的工艺、材料、设备的标准及品牌或型号（如有）仅起说明作用，并没有强制性。供应商在响应中可以用替代工艺、材料、设备的标准及品牌或型号，但这种替代须实质上满足、等同或优于本章技术要求，同时须提供相关证明材料，否则可能被磋商小组认定为负偏离。</w:t>
      </w:r>
    </w:p>
    <w:p w14:paraId="08A779FF">
      <w:pPr>
        <w:widowControl/>
        <w:tabs>
          <w:tab w:val="left" w:pos="1406"/>
        </w:tabs>
        <w:snapToGrid w:val="0"/>
        <w:spacing w:line="360" w:lineRule="auto"/>
        <w:ind w:firstLine="480" w:firstLineChars="200"/>
        <w:rPr>
          <w:rFonts w:ascii="宋体" w:hAnsi="宋体" w:eastAsia="仿宋"/>
          <w:sz w:val="24"/>
        </w:rPr>
      </w:pPr>
      <w:r>
        <w:rPr>
          <w:rFonts w:hint="eastAsia" w:ascii="宋体" w:hAnsi="宋体" w:eastAsia="仿宋"/>
          <w:sz w:val="24"/>
        </w:rPr>
        <w:t>1.3 除非有特别说明，本章中所列的具体参数或参数范围，均理解为采购人可接受的最低要求。</w:t>
      </w:r>
    </w:p>
    <w:p w14:paraId="12545CC0">
      <w:pPr>
        <w:widowControl/>
        <w:tabs>
          <w:tab w:val="left" w:pos="1406"/>
        </w:tabs>
        <w:snapToGrid w:val="0"/>
        <w:spacing w:line="360" w:lineRule="auto"/>
        <w:ind w:firstLine="480" w:firstLineChars="200"/>
        <w:rPr>
          <w:rFonts w:ascii="宋体" w:hAnsi="宋体" w:eastAsia="仿宋"/>
          <w:sz w:val="24"/>
        </w:rPr>
      </w:pPr>
      <w:r>
        <w:rPr>
          <w:rFonts w:hint="eastAsia" w:ascii="宋体" w:hAnsi="宋体" w:eastAsia="仿宋"/>
          <w:sz w:val="24"/>
        </w:rPr>
        <w:t>1.4 根据《关于规范政府采购进口产品有关工作的通知》及政府采购管理部门的相关规定，下列采购需求中标注进口产品的货物均已履行相关论证手续，经核准采购进口产品，但不限制满足竞争性磋商文件要求的国内产品参与竞争。未标注进口产品的货物均为拒绝采购进口产品。</w:t>
      </w:r>
      <w:r>
        <w:rPr>
          <w:rFonts w:hint="eastAsia" w:ascii="宋体" w:hAnsi="宋体" w:eastAsia="仿宋" w:cs="Calibri"/>
          <w:sz w:val="24"/>
        </w:rPr>
        <w:t>进口产品的认定按照财政部文件《关于政府采购进口产品管理有关问题的通知》（财办库〔2008〕248号）规定，整机设备内元器件不做限制。</w:t>
      </w:r>
    </w:p>
    <w:p w14:paraId="7FE7C4F4">
      <w:pPr>
        <w:widowControl/>
        <w:tabs>
          <w:tab w:val="left" w:pos="1406"/>
        </w:tabs>
        <w:snapToGrid w:val="0"/>
        <w:spacing w:line="360" w:lineRule="auto"/>
        <w:ind w:firstLine="480" w:firstLineChars="200"/>
        <w:rPr>
          <w:rFonts w:ascii="宋体" w:hAnsi="宋体" w:eastAsia="仿宋"/>
          <w:sz w:val="24"/>
        </w:rPr>
      </w:pPr>
      <w:r>
        <w:rPr>
          <w:rFonts w:hint="eastAsia" w:ascii="宋体" w:hAnsi="宋体" w:eastAsia="仿宋"/>
          <w:sz w:val="24"/>
        </w:rPr>
        <w:t>1.5 采购需求如包含属于《节能产品政府采购品目清单》中政府强制采购的节能产品，则供应商提供产品须具有市场监管总局公布的《参与实施政府采购节能产品认证机构目录》中的认证机构出具的、处于有效期内的节能（节水）产品认证证书。</w:t>
      </w:r>
    </w:p>
    <w:p w14:paraId="43F72946">
      <w:pPr>
        <w:widowControl/>
        <w:tabs>
          <w:tab w:val="left" w:pos="1406"/>
        </w:tabs>
        <w:snapToGrid w:val="0"/>
        <w:spacing w:line="360" w:lineRule="auto"/>
        <w:ind w:firstLine="480" w:firstLineChars="200"/>
        <w:rPr>
          <w:rFonts w:ascii="宋体" w:hAnsi="宋体" w:eastAsia="仿宋"/>
          <w:sz w:val="24"/>
        </w:rPr>
      </w:pPr>
      <w:r>
        <w:rPr>
          <w:rFonts w:hint="eastAsia" w:ascii="宋体" w:hAnsi="宋体" w:eastAsia="仿宋"/>
          <w:sz w:val="24"/>
        </w:rPr>
        <w:t>1.6 对于标注“※”条款（如有）的规定见第二章供应商须知前附表第6.2.3项；实质性变动的内容，须经采购人代表确认。</w:t>
      </w:r>
    </w:p>
    <w:p w14:paraId="20190443">
      <w:pPr>
        <w:pStyle w:val="3"/>
        <w:rPr>
          <w:rStyle w:val="103"/>
          <w:rFonts w:ascii="宋体" w:hAnsi="宋体" w:eastAsia="仿宋"/>
          <w:b/>
          <w:bCs/>
          <w:sz w:val="24"/>
          <w:szCs w:val="24"/>
        </w:rPr>
      </w:pPr>
      <w:bookmarkStart w:id="656" w:name="_Toc466024557"/>
      <w:bookmarkStart w:id="657" w:name="_Toc455587090"/>
      <w:bookmarkStart w:id="658" w:name="_Toc455587274"/>
      <w:r>
        <w:rPr>
          <w:rStyle w:val="103"/>
          <w:rFonts w:hint="eastAsia" w:ascii="宋体" w:hAnsi="宋体" w:eastAsia="仿宋"/>
          <w:b/>
          <w:bCs/>
          <w:sz w:val="24"/>
          <w:szCs w:val="24"/>
        </w:rPr>
        <w:t>2. 采购内容及范围</w:t>
      </w:r>
      <w:bookmarkEnd w:id="656"/>
      <w:bookmarkEnd w:id="657"/>
      <w:bookmarkEnd w:id="658"/>
    </w:p>
    <w:p w14:paraId="7C4DC744">
      <w:pPr>
        <w:widowControl/>
        <w:tabs>
          <w:tab w:val="left" w:pos="1406"/>
        </w:tabs>
        <w:snapToGrid w:val="0"/>
        <w:spacing w:line="360" w:lineRule="auto"/>
        <w:ind w:firstLine="412" w:firstLineChars="171"/>
        <w:rPr>
          <w:rFonts w:ascii="宋体" w:hAnsi="宋体"/>
          <w:b/>
          <w:sz w:val="24"/>
        </w:rPr>
      </w:pPr>
      <w:r>
        <w:rPr>
          <w:rFonts w:hint="eastAsia" w:ascii="宋体" w:hAnsi="宋体" w:eastAsia="仿宋"/>
          <w:b/>
          <w:sz w:val="24"/>
        </w:rPr>
        <w:t>2.1 采购内容</w:t>
      </w:r>
    </w:p>
    <w:tbl>
      <w:tblPr>
        <w:tblStyle w:val="47"/>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96"/>
        <w:gridCol w:w="3261"/>
        <w:gridCol w:w="805"/>
        <w:gridCol w:w="941"/>
        <w:gridCol w:w="1768"/>
        <w:gridCol w:w="1806"/>
      </w:tblGrid>
      <w:tr w14:paraId="794EE87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5A30EF">
            <w:pPr>
              <w:widowControl/>
              <w:autoSpaceDN w:val="0"/>
              <w:jc w:val="center"/>
              <w:rPr>
                <w:rFonts w:ascii="仿宋" w:hAnsi="仿宋" w:eastAsia="仿宋" w:cs="仿宋"/>
                <w:sz w:val="24"/>
              </w:rPr>
            </w:pPr>
            <w:r>
              <w:rPr>
                <w:rFonts w:hint="eastAsia" w:ascii="仿宋" w:hAnsi="仿宋" w:eastAsia="仿宋" w:cs="仿宋"/>
                <w:sz w:val="24"/>
              </w:rPr>
              <w:t>序号</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3CE99D">
            <w:pPr>
              <w:widowControl/>
              <w:autoSpaceDN w:val="0"/>
              <w:jc w:val="center"/>
              <w:rPr>
                <w:rFonts w:ascii="仿宋" w:hAnsi="仿宋" w:eastAsia="仿宋" w:cs="仿宋"/>
                <w:sz w:val="24"/>
              </w:rPr>
            </w:pPr>
            <w:r>
              <w:rPr>
                <w:rFonts w:hint="eastAsia" w:ascii="仿宋" w:hAnsi="仿宋" w:eastAsia="仿宋" w:cs="仿宋"/>
                <w:sz w:val="24"/>
              </w:rPr>
              <w:t>标的名称</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8E1128">
            <w:pPr>
              <w:widowControl/>
              <w:autoSpaceDN w:val="0"/>
              <w:jc w:val="center"/>
              <w:rPr>
                <w:rFonts w:ascii="仿宋" w:hAnsi="仿宋" w:eastAsia="仿宋" w:cs="仿宋"/>
                <w:sz w:val="24"/>
              </w:rPr>
            </w:pPr>
            <w:r>
              <w:rPr>
                <w:rFonts w:hint="eastAsia" w:ascii="仿宋" w:hAnsi="仿宋" w:eastAsia="仿宋" w:cs="仿宋"/>
                <w:sz w:val="24"/>
              </w:rPr>
              <w:t>单位</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3483CBC">
            <w:pPr>
              <w:widowControl/>
              <w:autoSpaceDN w:val="0"/>
              <w:jc w:val="center"/>
              <w:rPr>
                <w:rFonts w:ascii="仿宋" w:hAnsi="仿宋" w:eastAsia="仿宋" w:cs="仿宋"/>
                <w:sz w:val="24"/>
              </w:rPr>
            </w:pPr>
            <w:r>
              <w:rPr>
                <w:rFonts w:hint="eastAsia" w:ascii="仿宋" w:hAnsi="仿宋" w:eastAsia="仿宋" w:cs="仿宋"/>
                <w:sz w:val="24"/>
              </w:rPr>
              <w:t>数量</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400B358">
            <w:pPr>
              <w:widowControl/>
              <w:autoSpaceDN w:val="0"/>
              <w:jc w:val="center"/>
              <w:rPr>
                <w:rFonts w:ascii="仿宋" w:hAnsi="仿宋" w:eastAsia="仿宋" w:cs="仿宋"/>
                <w:sz w:val="24"/>
              </w:rPr>
            </w:pPr>
            <w:r>
              <w:rPr>
                <w:rFonts w:hint="eastAsia" w:ascii="仿宋" w:hAnsi="仿宋" w:eastAsia="仿宋" w:cs="仿宋"/>
                <w:sz w:val="24"/>
              </w:rPr>
              <w:t>所属行业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7F725E">
            <w:pPr>
              <w:widowControl/>
              <w:autoSpaceDN w:val="0"/>
              <w:jc w:val="center"/>
              <w:rPr>
                <w:rFonts w:ascii="仿宋" w:hAnsi="仿宋" w:eastAsia="仿宋" w:cs="仿宋"/>
                <w:sz w:val="24"/>
              </w:rPr>
            </w:pPr>
            <w:r>
              <w:rPr>
                <w:rFonts w:hint="eastAsia" w:ascii="仿宋" w:hAnsi="仿宋" w:eastAsia="仿宋" w:cs="仿宋"/>
                <w:sz w:val="24"/>
              </w:rPr>
              <w:t>是否接受进口</w:t>
            </w:r>
          </w:p>
        </w:tc>
      </w:tr>
      <w:tr w14:paraId="48CE84A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654"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5A96C0">
            <w:pPr>
              <w:widowControl/>
              <w:autoSpaceDN w:val="0"/>
              <w:jc w:val="center"/>
              <w:rPr>
                <w:rFonts w:ascii="仿宋" w:hAnsi="仿宋" w:eastAsia="仿宋" w:cs="仿宋"/>
                <w:sz w:val="24"/>
              </w:rPr>
            </w:pPr>
            <w:r>
              <w:rPr>
                <w:rFonts w:hint="eastAsia" w:ascii="仿宋" w:hAnsi="仿宋" w:eastAsia="仿宋" w:cs="仿宋"/>
                <w:sz w:val="24"/>
              </w:rPr>
              <w:t>1</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B40D47D">
            <w:pPr>
              <w:pStyle w:val="2"/>
              <w:widowControl/>
              <w:spacing w:before="480" w:after="0" w:line="560" w:lineRule="atLeast"/>
              <w:jc w:val="center"/>
              <w:rPr>
                <w:rFonts w:ascii="仿宋" w:hAnsi="仿宋" w:eastAsia="仿宋" w:cs="仿宋"/>
                <w:sz w:val="24"/>
                <w:szCs w:val="24"/>
              </w:rPr>
            </w:pPr>
            <w:r>
              <w:rPr>
                <w:rFonts w:hint="eastAsia" w:ascii="仿宋" w:hAnsi="仿宋" w:eastAsia="仿宋" w:cs="仿宋"/>
                <w:b w:val="0"/>
                <w:bCs w:val="0"/>
                <w:kern w:val="2"/>
                <w:sz w:val="24"/>
                <w:szCs w:val="24"/>
                <w:highlight w:val="none"/>
              </w:rPr>
              <w:t>微型地震探测仪台站</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B13364">
            <w:pPr>
              <w:widowControl/>
              <w:autoSpaceDN w:val="0"/>
              <w:jc w:val="center"/>
              <w:rPr>
                <w:rFonts w:ascii="仿宋" w:hAnsi="仿宋" w:eastAsia="仿宋" w:cs="仿宋"/>
                <w:sz w:val="24"/>
              </w:rPr>
            </w:pPr>
            <w:r>
              <w:rPr>
                <w:rFonts w:hint="eastAsia" w:ascii="仿宋" w:hAnsi="仿宋" w:eastAsia="仿宋" w:cs="仿宋"/>
                <w:sz w:val="24"/>
              </w:rPr>
              <w:t>套</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374FFD">
            <w:pPr>
              <w:widowControl/>
              <w:autoSpaceDN w:val="0"/>
              <w:jc w:val="center"/>
              <w:rPr>
                <w:rFonts w:ascii="仿宋" w:hAnsi="仿宋" w:eastAsia="仿宋" w:cs="仿宋"/>
                <w:sz w:val="24"/>
              </w:rPr>
            </w:pPr>
            <w:r>
              <w:rPr>
                <w:rFonts w:hint="eastAsia" w:ascii="仿宋" w:hAnsi="仿宋" w:eastAsia="仿宋" w:cs="仿宋"/>
                <w:sz w:val="24"/>
              </w:rPr>
              <w:t>6</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9A39E3">
            <w:pPr>
              <w:widowControl/>
              <w:autoSpaceDN w:val="0"/>
              <w:jc w:val="center"/>
              <w:rPr>
                <w:rFonts w:ascii="仿宋" w:hAnsi="仿宋" w:eastAsia="仿宋" w:cs="仿宋"/>
                <w:sz w:val="24"/>
              </w:rPr>
            </w:pPr>
            <w:r>
              <w:rPr>
                <w:rFonts w:hint="eastAsia" w:ascii="仿宋" w:hAnsi="仿宋" w:eastAsia="仿宋" w:cs="仿宋"/>
                <w:sz w:val="24"/>
              </w:rPr>
              <w:t>工业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1A08D36">
            <w:pPr>
              <w:widowControl/>
              <w:autoSpaceDN w:val="0"/>
              <w:jc w:val="center"/>
              <w:rPr>
                <w:rFonts w:ascii="仿宋" w:hAnsi="仿宋" w:eastAsia="仿宋" w:cs="仿宋"/>
                <w:sz w:val="24"/>
              </w:rPr>
            </w:pPr>
            <w:r>
              <w:rPr>
                <w:rFonts w:hint="eastAsia" w:ascii="仿宋" w:hAnsi="仿宋" w:eastAsia="仿宋" w:cs="仿宋"/>
                <w:sz w:val="24"/>
              </w:rPr>
              <w:t>否</w:t>
            </w:r>
          </w:p>
        </w:tc>
      </w:tr>
      <w:tr w14:paraId="4B10759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654"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1FBDE7">
            <w:pPr>
              <w:widowControl/>
              <w:autoSpaceDN w:val="0"/>
              <w:jc w:val="center"/>
              <w:rPr>
                <w:rFonts w:ascii="仿宋" w:hAnsi="仿宋" w:eastAsia="仿宋" w:cs="仿宋"/>
                <w:sz w:val="24"/>
              </w:rPr>
            </w:pPr>
            <w:r>
              <w:rPr>
                <w:rFonts w:hint="eastAsia" w:ascii="仿宋" w:hAnsi="仿宋" w:eastAsia="仿宋" w:cs="仿宋"/>
                <w:sz w:val="24"/>
              </w:rPr>
              <w:t>2</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9EE0524">
            <w:pPr>
              <w:pStyle w:val="2"/>
              <w:widowControl/>
              <w:spacing w:before="480" w:after="0" w:line="560" w:lineRule="atLeast"/>
              <w:jc w:val="center"/>
              <w:rPr>
                <w:rFonts w:ascii="仿宋" w:hAnsi="仿宋" w:eastAsia="仿宋" w:cs="仿宋"/>
                <w:sz w:val="24"/>
                <w:szCs w:val="24"/>
              </w:rPr>
            </w:pPr>
            <w:r>
              <w:rPr>
                <w:rFonts w:hint="eastAsia" w:ascii="仿宋" w:hAnsi="仿宋" w:eastAsia="仿宋" w:cs="仿宋"/>
                <w:b w:val="0"/>
                <w:bCs w:val="0"/>
                <w:kern w:val="2"/>
                <w:sz w:val="24"/>
                <w:szCs w:val="24"/>
              </w:rPr>
              <w:t>光学建模飞行平台</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8AA647">
            <w:pPr>
              <w:widowControl/>
              <w:autoSpaceDN w:val="0"/>
              <w:jc w:val="center"/>
              <w:rPr>
                <w:rFonts w:ascii="仿宋" w:hAnsi="仿宋" w:eastAsia="仿宋" w:cs="仿宋"/>
                <w:sz w:val="24"/>
              </w:rPr>
            </w:pPr>
            <w:r>
              <w:rPr>
                <w:rFonts w:hint="eastAsia" w:ascii="仿宋" w:hAnsi="仿宋" w:eastAsia="仿宋" w:cs="仿宋"/>
                <w:sz w:val="24"/>
              </w:rPr>
              <w:t>套</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88AB06">
            <w:pPr>
              <w:widowControl/>
              <w:autoSpaceDN w:val="0"/>
              <w:jc w:val="center"/>
              <w:rPr>
                <w:rFonts w:ascii="仿宋" w:hAnsi="仿宋" w:eastAsia="仿宋" w:cs="仿宋"/>
                <w:sz w:val="24"/>
              </w:rPr>
            </w:pPr>
            <w:r>
              <w:rPr>
                <w:rFonts w:hint="eastAsia" w:ascii="仿宋" w:hAnsi="仿宋" w:eastAsia="仿宋" w:cs="仿宋"/>
                <w:sz w:val="24"/>
              </w:rPr>
              <w:t>1</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47688F">
            <w:pPr>
              <w:widowControl/>
              <w:autoSpaceDN w:val="0"/>
              <w:jc w:val="center"/>
              <w:rPr>
                <w:rFonts w:ascii="仿宋" w:hAnsi="仿宋" w:eastAsia="仿宋" w:cs="仿宋"/>
                <w:sz w:val="24"/>
              </w:rPr>
            </w:pPr>
            <w:r>
              <w:rPr>
                <w:rFonts w:hint="eastAsia" w:ascii="仿宋" w:hAnsi="仿宋" w:eastAsia="仿宋" w:cs="仿宋"/>
                <w:sz w:val="24"/>
              </w:rPr>
              <w:t>工业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C3F48E">
            <w:pPr>
              <w:widowControl/>
              <w:autoSpaceDN w:val="0"/>
              <w:jc w:val="center"/>
              <w:rPr>
                <w:rFonts w:ascii="仿宋" w:hAnsi="仿宋" w:eastAsia="仿宋" w:cs="仿宋"/>
                <w:sz w:val="24"/>
              </w:rPr>
            </w:pPr>
            <w:r>
              <w:rPr>
                <w:rFonts w:hint="eastAsia" w:ascii="仿宋" w:hAnsi="仿宋" w:eastAsia="仿宋" w:cs="仿宋"/>
                <w:sz w:val="24"/>
              </w:rPr>
              <w:t>否</w:t>
            </w:r>
          </w:p>
        </w:tc>
      </w:tr>
      <w:tr w14:paraId="3E32C84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2226"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E736C0">
            <w:pPr>
              <w:widowControl/>
              <w:autoSpaceDN w:val="0"/>
              <w:jc w:val="center"/>
              <w:rPr>
                <w:rFonts w:ascii="仿宋" w:hAnsi="仿宋" w:eastAsia="仿宋" w:cs="仿宋"/>
                <w:sz w:val="24"/>
              </w:rPr>
            </w:pPr>
            <w:r>
              <w:rPr>
                <w:rFonts w:hint="eastAsia" w:ascii="仿宋" w:hAnsi="仿宋" w:eastAsia="仿宋" w:cs="仿宋"/>
                <w:sz w:val="24"/>
              </w:rPr>
              <w:t>3</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857BB0">
            <w:pPr>
              <w:pStyle w:val="2"/>
              <w:widowControl/>
              <w:spacing w:before="480" w:after="0" w:line="560" w:lineRule="atLeast"/>
              <w:jc w:val="center"/>
              <w:rPr>
                <w:rFonts w:ascii="仿宋" w:hAnsi="仿宋" w:eastAsia="仿宋" w:cs="仿宋"/>
                <w:sz w:val="24"/>
                <w:szCs w:val="24"/>
              </w:rPr>
            </w:pPr>
            <w:r>
              <w:rPr>
                <w:rFonts w:hint="eastAsia" w:ascii="仿宋" w:hAnsi="仿宋" w:eastAsia="仿宋" w:cs="仿宋"/>
                <w:b w:val="0"/>
                <w:bCs w:val="0"/>
                <w:kern w:val="2"/>
                <w:sz w:val="24"/>
                <w:szCs w:val="24"/>
              </w:rPr>
              <w:t>温度传感器校验装置</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5BB8A1">
            <w:pPr>
              <w:widowControl/>
              <w:autoSpaceDN w:val="0"/>
              <w:jc w:val="center"/>
              <w:rPr>
                <w:rFonts w:ascii="仿宋" w:hAnsi="仿宋" w:eastAsia="仿宋" w:cs="仿宋"/>
                <w:sz w:val="24"/>
              </w:rPr>
            </w:pPr>
            <w:r>
              <w:rPr>
                <w:rFonts w:hint="eastAsia" w:ascii="仿宋" w:hAnsi="仿宋" w:eastAsia="仿宋" w:cs="仿宋"/>
                <w:sz w:val="24"/>
              </w:rPr>
              <w:t>套</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A43300">
            <w:pPr>
              <w:widowControl/>
              <w:autoSpaceDN w:val="0"/>
              <w:jc w:val="center"/>
              <w:rPr>
                <w:rFonts w:ascii="仿宋" w:hAnsi="仿宋" w:eastAsia="仿宋" w:cs="仿宋"/>
                <w:sz w:val="24"/>
              </w:rPr>
            </w:pPr>
            <w:r>
              <w:rPr>
                <w:rFonts w:hint="eastAsia" w:ascii="仿宋" w:hAnsi="仿宋" w:eastAsia="仿宋" w:cs="仿宋"/>
                <w:sz w:val="24"/>
              </w:rPr>
              <w:t>1</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96E598">
            <w:pPr>
              <w:widowControl/>
              <w:autoSpaceDN w:val="0"/>
              <w:jc w:val="center"/>
              <w:rPr>
                <w:rFonts w:ascii="仿宋" w:hAnsi="仿宋" w:eastAsia="仿宋" w:cs="仿宋"/>
                <w:sz w:val="24"/>
              </w:rPr>
            </w:pPr>
            <w:r>
              <w:rPr>
                <w:rFonts w:hint="eastAsia" w:ascii="仿宋" w:hAnsi="仿宋" w:eastAsia="仿宋" w:cs="仿宋"/>
                <w:sz w:val="24"/>
              </w:rPr>
              <w:t>工业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7221D4">
            <w:pPr>
              <w:widowControl/>
              <w:autoSpaceDN w:val="0"/>
              <w:jc w:val="center"/>
              <w:rPr>
                <w:rFonts w:ascii="仿宋" w:hAnsi="仿宋" w:eastAsia="仿宋" w:cs="仿宋"/>
                <w:sz w:val="24"/>
              </w:rPr>
            </w:pPr>
            <w:r>
              <w:rPr>
                <w:rFonts w:hint="eastAsia" w:ascii="仿宋" w:hAnsi="仿宋" w:eastAsia="仿宋" w:cs="仿宋"/>
                <w:sz w:val="24"/>
              </w:rPr>
              <w:t>否</w:t>
            </w:r>
          </w:p>
        </w:tc>
      </w:tr>
      <w:tr w14:paraId="73BAEDA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654"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2CC646">
            <w:pPr>
              <w:widowControl/>
              <w:autoSpaceDN w:val="0"/>
              <w:jc w:val="center"/>
              <w:rPr>
                <w:rFonts w:ascii="仿宋" w:hAnsi="仿宋" w:eastAsia="仿宋" w:cs="仿宋"/>
                <w:sz w:val="24"/>
              </w:rPr>
            </w:pPr>
            <w:r>
              <w:rPr>
                <w:rFonts w:hint="eastAsia" w:ascii="仿宋" w:hAnsi="仿宋" w:eastAsia="仿宋" w:cs="仿宋"/>
                <w:sz w:val="24"/>
              </w:rPr>
              <w:t>4</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0ED6AB59">
            <w:pPr>
              <w:pStyle w:val="2"/>
              <w:widowControl/>
              <w:spacing w:before="480" w:after="0" w:line="560" w:lineRule="atLeast"/>
              <w:jc w:val="center"/>
              <w:rPr>
                <w:rFonts w:ascii="仿宋" w:hAnsi="仿宋" w:eastAsia="仿宋" w:cs="仿宋"/>
                <w:sz w:val="24"/>
                <w:szCs w:val="24"/>
              </w:rPr>
            </w:pPr>
            <w:r>
              <w:rPr>
                <w:rFonts w:hint="eastAsia" w:ascii="仿宋" w:hAnsi="仿宋" w:eastAsia="仿宋" w:cs="仿宋"/>
                <w:b w:val="0"/>
                <w:bCs w:val="0"/>
                <w:kern w:val="2"/>
                <w:sz w:val="24"/>
                <w:szCs w:val="24"/>
              </w:rPr>
              <w:t>风压传感器校验装置</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41CC49">
            <w:pPr>
              <w:widowControl/>
              <w:autoSpaceDN w:val="0"/>
              <w:jc w:val="center"/>
              <w:rPr>
                <w:rFonts w:ascii="仿宋" w:hAnsi="仿宋" w:eastAsia="仿宋" w:cs="仿宋"/>
                <w:sz w:val="24"/>
              </w:rPr>
            </w:pPr>
            <w:r>
              <w:rPr>
                <w:rFonts w:hint="eastAsia" w:ascii="仿宋" w:hAnsi="仿宋" w:eastAsia="仿宋" w:cs="仿宋"/>
                <w:sz w:val="24"/>
              </w:rPr>
              <w:t>套</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4DF5B0">
            <w:pPr>
              <w:widowControl/>
              <w:autoSpaceDN w:val="0"/>
              <w:jc w:val="center"/>
              <w:rPr>
                <w:rFonts w:ascii="仿宋" w:hAnsi="仿宋" w:eastAsia="仿宋" w:cs="仿宋"/>
                <w:sz w:val="24"/>
              </w:rPr>
            </w:pPr>
            <w:r>
              <w:rPr>
                <w:rFonts w:hint="eastAsia" w:ascii="仿宋" w:hAnsi="仿宋" w:eastAsia="仿宋" w:cs="仿宋"/>
                <w:sz w:val="24"/>
              </w:rPr>
              <w:t>1</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4E624E">
            <w:pPr>
              <w:widowControl/>
              <w:autoSpaceDN w:val="0"/>
              <w:jc w:val="center"/>
              <w:rPr>
                <w:rFonts w:ascii="仿宋" w:hAnsi="仿宋" w:eastAsia="仿宋" w:cs="仿宋"/>
                <w:sz w:val="24"/>
              </w:rPr>
            </w:pPr>
            <w:r>
              <w:rPr>
                <w:rFonts w:hint="eastAsia" w:ascii="仿宋" w:hAnsi="仿宋" w:eastAsia="仿宋" w:cs="仿宋"/>
                <w:sz w:val="24"/>
              </w:rPr>
              <w:t>工业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E05F8D">
            <w:pPr>
              <w:widowControl/>
              <w:autoSpaceDN w:val="0"/>
              <w:jc w:val="center"/>
              <w:rPr>
                <w:rFonts w:ascii="仿宋" w:hAnsi="仿宋" w:eastAsia="仿宋" w:cs="仿宋"/>
                <w:sz w:val="24"/>
              </w:rPr>
            </w:pPr>
            <w:r>
              <w:rPr>
                <w:rFonts w:hint="eastAsia" w:ascii="仿宋" w:hAnsi="仿宋" w:eastAsia="仿宋" w:cs="仿宋"/>
                <w:sz w:val="24"/>
              </w:rPr>
              <w:t>否</w:t>
            </w:r>
          </w:p>
        </w:tc>
      </w:tr>
      <w:tr w14:paraId="6BF67F7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654"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95326D">
            <w:pPr>
              <w:widowControl/>
              <w:autoSpaceDN w:val="0"/>
              <w:jc w:val="center"/>
              <w:rPr>
                <w:rFonts w:ascii="仿宋" w:hAnsi="仿宋" w:eastAsia="仿宋" w:cs="仿宋"/>
                <w:sz w:val="24"/>
              </w:rPr>
            </w:pPr>
            <w:r>
              <w:rPr>
                <w:rFonts w:hint="eastAsia" w:ascii="仿宋" w:hAnsi="仿宋" w:eastAsia="仿宋" w:cs="仿宋"/>
                <w:sz w:val="24"/>
              </w:rPr>
              <w:t>5</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8697CCC">
            <w:pPr>
              <w:pStyle w:val="2"/>
              <w:widowControl/>
              <w:spacing w:before="480" w:after="0" w:line="560" w:lineRule="atLeast"/>
              <w:jc w:val="center"/>
              <w:rPr>
                <w:rFonts w:ascii="仿宋" w:hAnsi="仿宋" w:eastAsia="仿宋" w:cs="仿宋"/>
                <w:sz w:val="24"/>
                <w:szCs w:val="24"/>
              </w:rPr>
            </w:pPr>
            <w:r>
              <w:rPr>
                <w:rFonts w:hint="eastAsia" w:ascii="仿宋" w:hAnsi="仿宋" w:eastAsia="仿宋" w:cs="仿宋"/>
                <w:b w:val="0"/>
                <w:bCs w:val="0"/>
                <w:kern w:val="2"/>
                <w:sz w:val="24"/>
                <w:szCs w:val="24"/>
              </w:rPr>
              <w:t>矿井巷道风速检测装置</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3987DD">
            <w:pPr>
              <w:widowControl/>
              <w:autoSpaceDN w:val="0"/>
              <w:jc w:val="center"/>
              <w:rPr>
                <w:rFonts w:ascii="仿宋" w:hAnsi="仿宋" w:eastAsia="仿宋" w:cs="仿宋"/>
                <w:sz w:val="24"/>
              </w:rPr>
            </w:pPr>
            <w:r>
              <w:rPr>
                <w:rFonts w:hint="eastAsia" w:ascii="仿宋" w:hAnsi="仿宋" w:eastAsia="仿宋" w:cs="仿宋"/>
                <w:sz w:val="24"/>
              </w:rPr>
              <w:t>套</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F61EE3">
            <w:pPr>
              <w:widowControl/>
              <w:autoSpaceDN w:val="0"/>
              <w:jc w:val="center"/>
              <w:rPr>
                <w:rFonts w:ascii="仿宋" w:hAnsi="仿宋" w:eastAsia="仿宋" w:cs="仿宋"/>
                <w:sz w:val="24"/>
              </w:rPr>
            </w:pPr>
            <w:r>
              <w:rPr>
                <w:rFonts w:hint="eastAsia" w:ascii="仿宋" w:hAnsi="仿宋" w:eastAsia="仿宋" w:cs="仿宋"/>
                <w:sz w:val="24"/>
              </w:rPr>
              <w:t>1</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429446">
            <w:pPr>
              <w:widowControl/>
              <w:autoSpaceDN w:val="0"/>
              <w:jc w:val="center"/>
              <w:rPr>
                <w:rFonts w:ascii="仿宋" w:hAnsi="仿宋" w:eastAsia="仿宋" w:cs="仿宋"/>
                <w:sz w:val="24"/>
              </w:rPr>
            </w:pPr>
            <w:r>
              <w:rPr>
                <w:rFonts w:hint="eastAsia" w:ascii="仿宋" w:hAnsi="仿宋" w:eastAsia="仿宋" w:cs="仿宋"/>
                <w:sz w:val="24"/>
              </w:rPr>
              <w:t>工业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A17F833">
            <w:pPr>
              <w:widowControl/>
              <w:autoSpaceDN w:val="0"/>
              <w:jc w:val="center"/>
              <w:rPr>
                <w:rFonts w:ascii="仿宋" w:hAnsi="仿宋" w:eastAsia="仿宋" w:cs="仿宋"/>
                <w:sz w:val="24"/>
              </w:rPr>
            </w:pPr>
            <w:r>
              <w:rPr>
                <w:rFonts w:hint="eastAsia" w:ascii="仿宋" w:hAnsi="仿宋" w:eastAsia="仿宋" w:cs="仿宋"/>
                <w:sz w:val="24"/>
              </w:rPr>
              <w:t>否</w:t>
            </w:r>
          </w:p>
        </w:tc>
      </w:tr>
      <w:tr w14:paraId="2D9C5BC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654"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2DB945">
            <w:pPr>
              <w:widowControl/>
              <w:autoSpaceDN w:val="0"/>
              <w:jc w:val="center"/>
              <w:rPr>
                <w:rFonts w:ascii="仿宋" w:hAnsi="仿宋" w:eastAsia="仿宋" w:cs="仿宋"/>
                <w:sz w:val="24"/>
              </w:rPr>
            </w:pPr>
            <w:r>
              <w:rPr>
                <w:rFonts w:hint="eastAsia" w:ascii="仿宋" w:hAnsi="仿宋" w:eastAsia="仿宋" w:cs="仿宋"/>
                <w:sz w:val="24"/>
              </w:rPr>
              <w:t>6</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94D08D1">
            <w:pPr>
              <w:pStyle w:val="2"/>
              <w:widowControl/>
              <w:spacing w:before="480" w:after="0" w:line="560" w:lineRule="atLeast"/>
              <w:jc w:val="center"/>
              <w:rPr>
                <w:rFonts w:ascii="仿宋" w:hAnsi="仿宋" w:eastAsia="仿宋" w:cs="仿宋"/>
                <w:sz w:val="24"/>
                <w:szCs w:val="24"/>
              </w:rPr>
            </w:pPr>
            <w:r>
              <w:rPr>
                <w:rFonts w:hint="eastAsia" w:ascii="仿宋" w:hAnsi="仿宋" w:eastAsia="仿宋" w:cs="仿宋"/>
                <w:b w:val="0"/>
                <w:bCs w:val="0"/>
                <w:kern w:val="2"/>
                <w:sz w:val="24"/>
                <w:szCs w:val="24"/>
              </w:rPr>
              <w:t>有毒有害气体检测报警装置</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691C87">
            <w:pPr>
              <w:widowControl/>
              <w:autoSpaceDN w:val="0"/>
              <w:jc w:val="center"/>
              <w:rPr>
                <w:rFonts w:ascii="仿宋" w:hAnsi="仿宋" w:eastAsia="仿宋" w:cs="仿宋"/>
                <w:sz w:val="24"/>
              </w:rPr>
            </w:pPr>
            <w:r>
              <w:rPr>
                <w:rFonts w:hint="eastAsia" w:ascii="仿宋" w:hAnsi="仿宋" w:eastAsia="仿宋" w:cs="仿宋"/>
                <w:sz w:val="24"/>
              </w:rPr>
              <w:t>套</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3058BF">
            <w:pPr>
              <w:widowControl/>
              <w:autoSpaceDN w:val="0"/>
              <w:jc w:val="center"/>
              <w:rPr>
                <w:rFonts w:ascii="仿宋" w:hAnsi="仿宋" w:eastAsia="仿宋" w:cs="仿宋"/>
                <w:sz w:val="24"/>
              </w:rPr>
            </w:pPr>
            <w:r>
              <w:rPr>
                <w:rFonts w:hint="eastAsia" w:ascii="仿宋" w:hAnsi="仿宋" w:eastAsia="仿宋" w:cs="仿宋"/>
                <w:sz w:val="24"/>
              </w:rPr>
              <w:t>2</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558F5E">
            <w:pPr>
              <w:widowControl/>
              <w:autoSpaceDN w:val="0"/>
              <w:jc w:val="center"/>
              <w:rPr>
                <w:rFonts w:ascii="仿宋" w:hAnsi="仿宋" w:eastAsia="仿宋" w:cs="仿宋"/>
                <w:sz w:val="24"/>
              </w:rPr>
            </w:pPr>
            <w:r>
              <w:rPr>
                <w:rFonts w:hint="eastAsia" w:ascii="仿宋" w:hAnsi="仿宋" w:eastAsia="仿宋" w:cs="仿宋"/>
                <w:sz w:val="24"/>
              </w:rPr>
              <w:t>工业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1B8BB0E">
            <w:pPr>
              <w:widowControl/>
              <w:autoSpaceDN w:val="0"/>
              <w:jc w:val="center"/>
              <w:rPr>
                <w:rFonts w:ascii="仿宋" w:hAnsi="仿宋" w:eastAsia="仿宋" w:cs="仿宋"/>
                <w:sz w:val="24"/>
              </w:rPr>
            </w:pPr>
            <w:r>
              <w:rPr>
                <w:rFonts w:hint="eastAsia" w:ascii="仿宋" w:hAnsi="仿宋" w:eastAsia="仿宋" w:cs="仿宋"/>
                <w:sz w:val="24"/>
              </w:rPr>
              <w:t>否</w:t>
            </w:r>
          </w:p>
        </w:tc>
      </w:tr>
      <w:tr w14:paraId="55B383C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674"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DFC188">
            <w:pPr>
              <w:widowControl/>
              <w:autoSpaceDN w:val="0"/>
              <w:jc w:val="center"/>
              <w:rPr>
                <w:rFonts w:ascii="仿宋" w:hAnsi="仿宋" w:eastAsia="仿宋" w:cs="仿宋"/>
                <w:sz w:val="24"/>
              </w:rPr>
            </w:pPr>
            <w:r>
              <w:rPr>
                <w:rFonts w:hint="eastAsia" w:ascii="仿宋" w:hAnsi="仿宋" w:eastAsia="仿宋" w:cs="仿宋"/>
                <w:sz w:val="24"/>
              </w:rPr>
              <w:t>7</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EDCB480">
            <w:pPr>
              <w:pStyle w:val="2"/>
              <w:widowControl/>
              <w:spacing w:before="480" w:after="0" w:line="560" w:lineRule="atLeast"/>
              <w:jc w:val="center"/>
              <w:rPr>
                <w:rFonts w:ascii="仿宋" w:hAnsi="仿宋" w:eastAsia="仿宋" w:cs="仿宋"/>
                <w:sz w:val="24"/>
                <w:szCs w:val="24"/>
              </w:rPr>
            </w:pPr>
            <w:r>
              <w:rPr>
                <w:rFonts w:hint="eastAsia" w:ascii="仿宋" w:hAnsi="仿宋" w:eastAsia="仿宋" w:cs="仿宋"/>
                <w:b w:val="0"/>
                <w:bCs w:val="0"/>
                <w:kern w:val="2"/>
                <w:sz w:val="24"/>
                <w:szCs w:val="24"/>
              </w:rPr>
              <w:t>煤岩试样自动加工及数据采集系统</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5B50661">
            <w:pPr>
              <w:widowControl/>
              <w:autoSpaceDN w:val="0"/>
              <w:jc w:val="center"/>
              <w:rPr>
                <w:rFonts w:ascii="仿宋" w:hAnsi="仿宋" w:eastAsia="仿宋" w:cs="仿宋"/>
                <w:sz w:val="24"/>
              </w:rPr>
            </w:pPr>
            <w:r>
              <w:rPr>
                <w:rFonts w:hint="eastAsia" w:ascii="仿宋" w:hAnsi="仿宋" w:eastAsia="仿宋" w:cs="仿宋"/>
                <w:sz w:val="24"/>
              </w:rPr>
              <w:t>套</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13D76F">
            <w:pPr>
              <w:widowControl/>
              <w:autoSpaceDN w:val="0"/>
              <w:jc w:val="center"/>
              <w:rPr>
                <w:rFonts w:ascii="仿宋" w:hAnsi="仿宋" w:eastAsia="仿宋" w:cs="仿宋"/>
                <w:sz w:val="24"/>
              </w:rPr>
            </w:pPr>
            <w:r>
              <w:rPr>
                <w:rFonts w:hint="eastAsia" w:ascii="仿宋" w:hAnsi="仿宋" w:eastAsia="仿宋" w:cs="仿宋"/>
                <w:sz w:val="24"/>
              </w:rPr>
              <w:t>1</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340F3F">
            <w:pPr>
              <w:widowControl/>
              <w:autoSpaceDN w:val="0"/>
              <w:jc w:val="center"/>
              <w:rPr>
                <w:rFonts w:ascii="仿宋" w:hAnsi="仿宋" w:eastAsia="仿宋" w:cs="仿宋"/>
                <w:sz w:val="24"/>
              </w:rPr>
            </w:pPr>
            <w:r>
              <w:rPr>
                <w:rFonts w:hint="eastAsia" w:ascii="仿宋" w:hAnsi="仿宋" w:eastAsia="仿宋" w:cs="仿宋"/>
                <w:sz w:val="24"/>
              </w:rPr>
              <w:t>工业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9E45D24">
            <w:pPr>
              <w:widowControl/>
              <w:autoSpaceDN w:val="0"/>
              <w:jc w:val="center"/>
              <w:rPr>
                <w:rFonts w:ascii="仿宋" w:hAnsi="仿宋" w:eastAsia="仿宋" w:cs="仿宋"/>
                <w:sz w:val="24"/>
              </w:rPr>
            </w:pPr>
            <w:r>
              <w:rPr>
                <w:rFonts w:hint="eastAsia" w:ascii="仿宋" w:hAnsi="仿宋" w:eastAsia="仿宋" w:cs="仿宋"/>
                <w:sz w:val="24"/>
              </w:rPr>
              <w:t>否</w:t>
            </w:r>
          </w:p>
        </w:tc>
      </w:tr>
      <w:tr w14:paraId="732EF98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674" w:hRule="atLeast"/>
          <w:jc w:val="center"/>
        </w:trPr>
        <w:tc>
          <w:tcPr>
            <w:tcW w:w="8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D1C168">
            <w:pPr>
              <w:widowControl/>
              <w:autoSpaceDN w:val="0"/>
              <w:jc w:val="center"/>
              <w:rPr>
                <w:rFonts w:ascii="仿宋" w:hAnsi="仿宋" w:eastAsia="仿宋" w:cs="仿宋"/>
                <w:sz w:val="24"/>
              </w:rPr>
            </w:pPr>
            <w:r>
              <w:rPr>
                <w:rFonts w:hint="eastAsia" w:ascii="仿宋" w:hAnsi="仿宋" w:eastAsia="仿宋" w:cs="仿宋"/>
                <w:sz w:val="24"/>
              </w:rPr>
              <w:t>8</w:t>
            </w:r>
          </w:p>
        </w:tc>
        <w:tc>
          <w:tcPr>
            <w:tcW w:w="32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76BA60E9">
            <w:pPr>
              <w:pStyle w:val="2"/>
              <w:widowControl/>
              <w:spacing w:before="480" w:after="0" w:line="560" w:lineRule="atLeast"/>
              <w:jc w:val="center"/>
              <w:rPr>
                <w:rFonts w:ascii="仿宋" w:hAnsi="仿宋" w:eastAsia="仿宋" w:cs="仿宋"/>
                <w:sz w:val="24"/>
                <w:szCs w:val="24"/>
              </w:rPr>
            </w:pPr>
            <w:r>
              <w:rPr>
                <w:rFonts w:hint="eastAsia" w:ascii="仿宋" w:hAnsi="仿宋" w:eastAsia="仿宋" w:cs="仿宋"/>
                <w:sz w:val="24"/>
              </w:rPr>
              <w:t>▲</w:t>
            </w:r>
            <w:r>
              <w:rPr>
                <w:rFonts w:hint="eastAsia" w:ascii="仿宋" w:hAnsi="仿宋" w:eastAsia="仿宋" w:cs="仿宋"/>
                <w:b w:val="0"/>
                <w:bCs w:val="0"/>
                <w:kern w:val="2"/>
                <w:sz w:val="24"/>
                <w:szCs w:val="24"/>
              </w:rPr>
              <w:t>热重分析仪</w:t>
            </w:r>
          </w:p>
        </w:tc>
        <w:tc>
          <w:tcPr>
            <w:tcW w:w="8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3FFD20">
            <w:pPr>
              <w:widowControl/>
              <w:autoSpaceDN w:val="0"/>
              <w:jc w:val="center"/>
              <w:rPr>
                <w:rFonts w:ascii="仿宋" w:hAnsi="仿宋" w:eastAsia="仿宋" w:cs="仿宋"/>
                <w:sz w:val="24"/>
              </w:rPr>
            </w:pPr>
            <w:r>
              <w:rPr>
                <w:rFonts w:hint="eastAsia" w:ascii="仿宋" w:hAnsi="仿宋" w:eastAsia="仿宋" w:cs="仿宋"/>
                <w:sz w:val="24"/>
              </w:rPr>
              <w:t>套</w:t>
            </w:r>
          </w:p>
        </w:tc>
        <w:tc>
          <w:tcPr>
            <w:tcW w:w="9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D2FB58">
            <w:pPr>
              <w:widowControl/>
              <w:autoSpaceDN w:val="0"/>
              <w:jc w:val="center"/>
              <w:rPr>
                <w:rFonts w:ascii="仿宋" w:hAnsi="仿宋" w:eastAsia="仿宋" w:cs="仿宋"/>
                <w:sz w:val="24"/>
              </w:rPr>
            </w:pPr>
            <w:r>
              <w:rPr>
                <w:rFonts w:hint="eastAsia" w:ascii="仿宋" w:hAnsi="仿宋" w:eastAsia="仿宋" w:cs="仿宋"/>
                <w:sz w:val="24"/>
              </w:rPr>
              <w:t>1</w:t>
            </w:r>
          </w:p>
        </w:tc>
        <w:tc>
          <w:tcPr>
            <w:tcW w:w="17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30D0FD">
            <w:pPr>
              <w:widowControl/>
              <w:autoSpaceDN w:val="0"/>
              <w:jc w:val="center"/>
              <w:rPr>
                <w:rFonts w:ascii="仿宋" w:hAnsi="仿宋" w:eastAsia="仿宋" w:cs="仿宋"/>
                <w:sz w:val="24"/>
              </w:rPr>
            </w:pPr>
            <w:r>
              <w:rPr>
                <w:rFonts w:hint="eastAsia" w:ascii="仿宋" w:hAnsi="仿宋" w:eastAsia="仿宋" w:cs="仿宋"/>
                <w:sz w:val="24"/>
              </w:rPr>
              <w:t>工业</w:t>
            </w:r>
          </w:p>
        </w:tc>
        <w:tc>
          <w:tcPr>
            <w:tcW w:w="18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C749E6">
            <w:pPr>
              <w:widowControl/>
              <w:autoSpaceDN w:val="0"/>
              <w:jc w:val="center"/>
              <w:rPr>
                <w:rFonts w:ascii="仿宋" w:hAnsi="仿宋" w:eastAsia="仿宋" w:cs="仿宋"/>
                <w:sz w:val="24"/>
              </w:rPr>
            </w:pPr>
            <w:r>
              <w:rPr>
                <w:rFonts w:hint="eastAsia" w:ascii="仿宋" w:hAnsi="仿宋" w:eastAsia="仿宋" w:cs="仿宋"/>
                <w:sz w:val="24"/>
              </w:rPr>
              <w:t>否</w:t>
            </w:r>
          </w:p>
        </w:tc>
      </w:tr>
    </w:tbl>
    <w:p w14:paraId="25BB1C92">
      <w:pPr>
        <w:widowControl/>
        <w:tabs>
          <w:tab w:val="left" w:pos="1406"/>
        </w:tabs>
        <w:snapToGrid w:val="0"/>
        <w:spacing w:line="360" w:lineRule="auto"/>
        <w:ind w:firstLine="412" w:firstLineChars="171"/>
        <w:rPr>
          <w:rFonts w:ascii="宋体" w:hAnsi="宋体" w:eastAsia="仿宋"/>
          <w:b/>
          <w:sz w:val="24"/>
        </w:rPr>
      </w:pPr>
      <w:r>
        <w:rPr>
          <w:rFonts w:hint="eastAsia" w:ascii="宋体" w:hAnsi="宋体" w:eastAsia="仿宋"/>
          <w:b/>
          <w:sz w:val="24"/>
        </w:rPr>
        <w:t>2.2 采购范围</w:t>
      </w:r>
    </w:p>
    <w:p w14:paraId="40FDBA71">
      <w:pPr>
        <w:pStyle w:val="24"/>
        <w:widowControl/>
        <w:adjustRightInd w:val="0"/>
        <w:snapToGrid w:val="0"/>
        <w:spacing w:line="360" w:lineRule="auto"/>
        <w:ind w:firstLine="480" w:firstLineChars="200"/>
        <w:rPr>
          <w:rFonts w:hAnsi="宋体" w:eastAsia="仿宋"/>
          <w:sz w:val="24"/>
          <w:szCs w:val="24"/>
        </w:rPr>
      </w:pPr>
      <w:r>
        <w:rPr>
          <w:rFonts w:hint="eastAsia" w:hAnsi="宋体" w:eastAsia="仿宋"/>
          <w:sz w:val="24"/>
          <w:szCs w:val="24"/>
        </w:rPr>
        <w:t>包括所有货物的供货、包装运输（包括卸车及就位至采购人指定的安装地点）、安装、调试、技术服务、培训、售后服务等所有内容。</w:t>
      </w:r>
    </w:p>
    <w:p w14:paraId="3EF132FA">
      <w:pPr>
        <w:widowControl/>
        <w:tabs>
          <w:tab w:val="left" w:pos="1406"/>
        </w:tabs>
        <w:snapToGrid w:val="0"/>
        <w:spacing w:line="360" w:lineRule="auto"/>
        <w:ind w:firstLine="480" w:firstLineChars="200"/>
        <w:rPr>
          <w:rFonts w:ascii="宋体" w:hAnsi="宋体" w:eastAsia="仿宋"/>
          <w:sz w:val="24"/>
        </w:rPr>
      </w:pPr>
    </w:p>
    <w:p w14:paraId="391A58CD">
      <w:pPr>
        <w:pStyle w:val="3"/>
        <w:rPr>
          <w:rFonts w:ascii="宋体" w:hAnsi="宋体" w:eastAsia="仿宋"/>
          <w:sz w:val="24"/>
        </w:rPr>
      </w:pPr>
      <w:r>
        <w:rPr>
          <w:rFonts w:hint="eastAsia" w:ascii="宋体" w:hAnsi="宋体" w:eastAsia="仿宋"/>
          <w:sz w:val="24"/>
        </w:rPr>
        <w:t>3</w:t>
      </w:r>
      <w:r>
        <w:rPr>
          <w:rFonts w:ascii="宋体" w:hAnsi="宋体" w:eastAsia="仿宋"/>
          <w:sz w:val="24"/>
        </w:rPr>
        <w:t>. 商务要求</w:t>
      </w:r>
    </w:p>
    <w:p w14:paraId="458F7179">
      <w:pPr>
        <w:rPr>
          <w:rFonts w:ascii="仿宋" w:hAnsi="仿宋" w:eastAsia="仿宋" w:cs="仿宋"/>
          <w:b/>
          <w:bCs/>
          <w:sz w:val="24"/>
          <w:szCs w:val="32"/>
        </w:rPr>
      </w:pPr>
      <w:r>
        <w:rPr>
          <w:rFonts w:hint="eastAsia" w:ascii="仿宋" w:hAnsi="仿宋" w:eastAsia="仿宋" w:cs="仿宋"/>
          <w:b/>
          <w:bCs/>
          <w:sz w:val="24"/>
          <w:szCs w:val="32"/>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3D17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tcPr>
          <w:p w14:paraId="2D6120EB">
            <w:pPr>
              <w:widowControl/>
              <w:jc w:val="left"/>
              <w:rPr>
                <w:rFonts w:ascii="宋体" w:hAnsi="宋体" w:eastAsia="仿宋"/>
                <w:sz w:val="24"/>
              </w:rPr>
            </w:pPr>
            <w:r>
              <w:rPr>
                <w:rFonts w:hint="eastAsia" w:ascii="宋体" w:hAnsi="宋体" w:eastAsia="仿宋"/>
                <w:sz w:val="24"/>
              </w:rPr>
              <w:t>交付的时间</w:t>
            </w:r>
          </w:p>
        </w:tc>
        <w:tc>
          <w:tcPr>
            <w:tcW w:w="7479" w:type="dxa"/>
          </w:tcPr>
          <w:p w14:paraId="17F9884C">
            <w:pPr>
              <w:widowControl/>
              <w:adjustRightInd w:val="0"/>
              <w:snapToGrid w:val="0"/>
              <w:spacing w:line="288" w:lineRule="auto"/>
              <w:rPr>
                <w:rFonts w:ascii="楷体" w:hAnsi="楷体" w:eastAsia="仿宋" w:cs="Calibri"/>
                <w:sz w:val="24"/>
              </w:rPr>
            </w:pPr>
            <w:r>
              <w:rPr>
                <w:rFonts w:hint="eastAsia" w:ascii="楷体" w:hAnsi="楷体" w:eastAsia="仿宋" w:cs="Calibri"/>
                <w:sz w:val="24"/>
              </w:rPr>
              <w:t>合同签订生效后30日历天内完成供货、安装和调试。</w:t>
            </w:r>
          </w:p>
          <w:p w14:paraId="2DB792A7">
            <w:pPr>
              <w:widowControl/>
              <w:adjustRightInd w:val="0"/>
              <w:snapToGrid w:val="0"/>
              <w:spacing w:line="288" w:lineRule="auto"/>
              <w:rPr>
                <w:rFonts w:ascii="楷体" w:hAnsi="楷体" w:eastAsia="仿宋" w:cs="Calibri"/>
                <w:sz w:val="24"/>
              </w:rPr>
            </w:pPr>
            <w:r>
              <w:rPr>
                <w:rFonts w:hint="eastAsia" w:ascii="宋体" w:hAnsi="宋体" w:eastAsia="仿宋" w:cs="Calibri"/>
                <w:sz w:val="24"/>
              </w:rPr>
              <w:t>是否接受负偏离：</w:t>
            </w:r>
            <w:r>
              <w:rPr>
                <w:rFonts w:hint="eastAsia" w:ascii="楷体" w:hAnsi="楷体" w:eastAsia="仿宋" w:cs="Calibri"/>
                <w:sz w:val="24"/>
              </w:rPr>
              <w:t>☑不接受</w:t>
            </w:r>
          </w:p>
          <w:p w14:paraId="43D7B5BE">
            <w:pPr>
              <w:pStyle w:val="89"/>
              <w:ind w:firstLine="480"/>
              <w:rPr>
                <w:rFonts w:ascii="楷体" w:hAnsi="楷体" w:eastAsia="仿宋" w:cs="Calibri"/>
                <w:sz w:val="24"/>
              </w:rPr>
            </w:pPr>
            <w:r>
              <w:rPr>
                <w:rFonts w:hint="eastAsia" w:ascii="楷体" w:hAnsi="楷体" w:eastAsia="仿宋" w:cs="Calibri"/>
                <w:sz w:val="24"/>
              </w:rPr>
              <w:t xml:space="preserve">            □接受：</w:t>
            </w:r>
          </w:p>
          <w:p w14:paraId="6BB9C530">
            <w:pPr>
              <w:pStyle w:val="89"/>
              <w:ind w:firstLine="2160" w:firstLineChars="900"/>
              <w:rPr>
                <w:rFonts w:ascii="宋体" w:hAnsi="宋体" w:eastAsia="仿宋"/>
                <w:sz w:val="24"/>
              </w:rPr>
            </w:pPr>
            <w:r>
              <w:rPr>
                <w:rFonts w:hint="eastAsia" w:ascii="楷体" w:hAnsi="楷体" w:eastAsia="仿宋" w:cs="Calibri"/>
                <w:sz w:val="24"/>
              </w:rPr>
              <w:t>允许偏离的幅度：</w:t>
            </w:r>
            <w:r>
              <w:rPr>
                <w:rFonts w:hint="eastAsia" w:ascii="宋体" w:hAnsi="宋体" w:eastAsia="仿宋" w:cs="Calibri"/>
                <w:sz w:val="24"/>
              </w:rPr>
              <w:t>/</w:t>
            </w:r>
          </w:p>
        </w:tc>
      </w:tr>
      <w:tr w14:paraId="7553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tcPr>
          <w:p w14:paraId="61739C89">
            <w:pPr>
              <w:widowControl/>
              <w:jc w:val="left"/>
              <w:rPr>
                <w:rFonts w:ascii="宋体" w:hAnsi="宋体" w:eastAsia="仿宋"/>
                <w:sz w:val="24"/>
              </w:rPr>
            </w:pPr>
            <w:r>
              <w:rPr>
                <w:rFonts w:hint="eastAsia" w:ascii="宋体" w:hAnsi="宋体" w:eastAsia="仿宋"/>
                <w:sz w:val="24"/>
              </w:rPr>
              <w:t>交付的地点</w:t>
            </w:r>
          </w:p>
        </w:tc>
        <w:tc>
          <w:tcPr>
            <w:tcW w:w="7479" w:type="dxa"/>
          </w:tcPr>
          <w:p w14:paraId="44291DAF">
            <w:pPr>
              <w:pStyle w:val="89"/>
              <w:ind w:firstLine="0" w:firstLineChars="0"/>
              <w:rPr>
                <w:rFonts w:ascii="宋体" w:hAnsi="宋体" w:eastAsia="仿宋"/>
                <w:sz w:val="24"/>
              </w:rPr>
            </w:pPr>
            <w:r>
              <w:rPr>
                <w:rFonts w:ascii="宋体" w:hAnsi="宋体" w:eastAsia="仿宋"/>
                <w:sz w:val="24"/>
              </w:rPr>
              <w:t>安徽省合肥市包河区宣城路81号采购人指定地点。</w:t>
            </w:r>
          </w:p>
        </w:tc>
      </w:tr>
      <w:tr w14:paraId="2A3B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tcPr>
          <w:p w14:paraId="239612E4">
            <w:pPr>
              <w:pStyle w:val="89"/>
              <w:ind w:firstLine="0" w:firstLineChars="0"/>
              <w:rPr>
                <w:rFonts w:ascii="宋体" w:hAnsi="宋体" w:eastAsia="仿宋"/>
                <w:sz w:val="24"/>
              </w:rPr>
            </w:pPr>
            <w:r>
              <w:rPr>
                <w:rFonts w:hint="eastAsia" w:ascii="宋体" w:hAnsi="宋体" w:eastAsia="仿宋"/>
                <w:sz w:val="24"/>
              </w:rPr>
              <w:t>付款方式</w:t>
            </w:r>
          </w:p>
        </w:tc>
        <w:tc>
          <w:tcPr>
            <w:tcW w:w="7479" w:type="dxa"/>
          </w:tcPr>
          <w:p w14:paraId="7CBE43AE">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预付款支付方式：本项目无预付款</w:t>
            </w:r>
          </w:p>
          <w:p w14:paraId="28A20583">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预付款保函要求：/</w:t>
            </w:r>
          </w:p>
          <w:p w14:paraId="2762C375">
            <w:pPr>
              <w:widowControl/>
              <w:adjustRightInd w:val="0"/>
              <w:snapToGrid w:val="0"/>
              <w:spacing w:line="288" w:lineRule="auto"/>
              <w:rPr>
                <w:rFonts w:ascii="Calibri" w:hAnsi="Calibri"/>
              </w:rPr>
            </w:pPr>
            <w:r>
              <w:rPr>
                <w:rFonts w:hint="eastAsia" w:ascii="宋体" w:hAnsi="宋体" w:eastAsia="仿宋" w:cs="Calibri"/>
                <w:sz w:val="24"/>
              </w:rPr>
              <w:t>付款方式：成交供应商按合同要求完成供货、安装、调试，并经验收小组验收合格</w:t>
            </w:r>
            <w:r>
              <w:rPr>
                <w:rFonts w:hint="eastAsia" w:ascii="仿宋" w:hAnsi="仿宋" w:eastAsia="仿宋" w:cs="仿宋"/>
                <w:iCs/>
                <w:sz w:val="24"/>
              </w:rPr>
              <w:t>符合支付条件后</w:t>
            </w:r>
            <w:r>
              <w:rPr>
                <w:rFonts w:hint="eastAsia" w:ascii="宋体" w:hAnsi="宋体" w:eastAsia="仿宋" w:cs="Calibri"/>
                <w:sz w:val="24"/>
              </w:rPr>
              <w:t>，采购人收到供应商开具的合规有效的发票后7个工作日内，</w:t>
            </w:r>
            <w:r>
              <w:rPr>
                <w:rFonts w:hint="eastAsia" w:ascii="仿宋" w:hAnsi="仿宋" w:eastAsia="仿宋" w:cs="仿宋"/>
                <w:iCs/>
                <w:sz w:val="24"/>
              </w:rPr>
              <w:t>将全部资金支付到合同约定的供应商账户。</w:t>
            </w:r>
          </w:p>
          <w:p w14:paraId="7CEED374">
            <w:pPr>
              <w:widowControl/>
              <w:adjustRightInd w:val="0"/>
              <w:snapToGrid w:val="0"/>
              <w:spacing w:line="288" w:lineRule="auto"/>
              <w:rPr>
                <w:rFonts w:ascii="楷体" w:hAnsi="楷体" w:eastAsia="仿宋" w:cs="Calibri"/>
                <w:sz w:val="24"/>
              </w:rPr>
            </w:pPr>
            <w:r>
              <w:rPr>
                <w:rFonts w:hint="eastAsia" w:ascii="宋体" w:hAnsi="宋体" w:eastAsia="仿宋" w:cs="Calibri"/>
                <w:sz w:val="24"/>
              </w:rPr>
              <w:t>是否接受负偏离：</w:t>
            </w:r>
            <w:r>
              <w:rPr>
                <w:rFonts w:hint="eastAsia" w:ascii="楷体" w:hAnsi="楷体" w:eastAsia="仿宋" w:cs="Calibri"/>
                <w:sz w:val="24"/>
              </w:rPr>
              <w:t>☑不接受</w:t>
            </w:r>
          </w:p>
          <w:p w14:paraId="232DA3EB">
            <w:pPr>
              <w:widowControl/>
              <w:adjustRightInd w:val="0"/>
              <w:snapToGrid w:val="0"/>
              <w:spacing w:line="288" w:lineRule="auto"/>
              <w:rPr>
                <w:rFonts w:ascii="楷体" w:hAnsi="楷体" w:eastAsia="仿宋" w:cs="Calibri"/>
                <w:sz w:val="24"/>
              </w:rPr>
            </w:pPr>
            <w:r>
              <w:rPr>
                <w:rFonts w:hint="eastAsia" w:ascii="楷体" w:hAnsi="楷体" w:eastAsia="仿宋" w:cs="Calibri"/>
                <w:sz w:val="24"/>
              </w:rPr>
              <w:t xml:space="preserve">                □接受：</w:t>
            </w:r>
          </w:p>
          <w:p w14:paraId="71246DD7">
            <w:pPr>
              <w:widowControl/>
              <w:adjustRightInd w:val="0"/>
              <w:snapToGrid w:val="0"/>
              <w:spacing w:line="288" w:lineRule="auto"/>
              <w:ind w:firstLine="1920" w:firstLineChars="800"/>
              <w:rPr>
                <w:rFonts w:ascii="宋体" w:hAnsi="宋体" w:eastAsia="仿宋"/>
                <w:sz w:val="24"/>
              </w:rPr>
            </w:pPr>
            <w:r>
              <w:rPr>
                <w:rFonts w:hint="eastAsia" w:ascii="楷体" w:hAnsi="楷体" w:eastAsia="仿宋" w:cs="Calibri"/>
                <w:sz w:val="24"/>
              </w:rPr>
              <w:t>允许偏离的幅度：</w:t>
            </w:r>
            <w:r>
              <w:rPr>
                <w:rFonts w:hint="eastAsia" w:ascii="仿宋" w:hAnsi="仿宋" w:eastAsia="仿宋" w:cs="仿宋"/>
                <w:iCs/>
                <w:color w:val="0000FF"/>
                <w:sz w:val="24"/>
              </w:rPr>
              <w:t>/</w:t>
            </w:r>
          </w:p>
        </w:tc>
      </w:tr>
      <w:tr w14:paraId="5B07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tcPr>
          <w:p w14:paraId="43827F56">
            <w:pPr>
              <w:pStyle w:val="89"/>
              <w:ind w:firstLine="0" w:firstLineChars="0"/>
              <w:rPr>
                <w:rFonts w:ascii="宋体" w:hAnsi="宋体" w:eastAsia="仿宋"/>
                <w:sz w:val="24"/>
              </w:rPr>
            </w:pPr>
            <w:r>
              <w:rPr>
                <w:rFonts w:hint="eastAsia" w:ascii="宋体" w:hAnsi="宋体" w:eastAsia="仿宋"/>
                <w:sz w:val="24"/>
              </w:rPr>
              <w:t>质量保证期</w:t>
            </w:r>
          </w:p>
        </w:tc>
        <w:tc>
          <w:tcPr>
            <w:tcW w:w="7479" w:type="dxa"/>
          </w:tcPr>
          <w:p w14:paraId="3759686E">
            <w:pPr>
              <w:widowControl/>
              <w:adjustRightInd w:val="0"/>
              <w:snapToGrid w:val="0"/>
              <w:spacing w:line="288" w:lineRule="auto"/>
              <w:rPr>
                <w:rFonts w:ascii="宋体" w:hAnsi="宋体" w:eastAsia="仿宋" w:cs="Calibri"/>
                <w:sz w:val="24"/>
              </w:rPr>
            </w:pPr>
            <w:r>
              <w:rPr>
                <w:rFonts w:hint="eastAsia" w:ascii="宋体" w:hAnsi="宋体" w:eastAsia="仿宋" w:cs="Calibri"/>
                <w:sz w:val="24"/>
              </w:rPr>
              <w:t>质量保证期：自验收合格之日起</w:t>
            </w:r>
            <w:r>
              <w:rPr>
                <w:rFonts w:hint="eastAsia" w:ascii="仿宋" w:hAnsi="仿宋" w:eastAsia="仿宋" w:cs="仿宋"/>
                <w:iCs/>
                <w:sz w:val="24"/>
              </w:rPr>
              <w:t>1年</w:t>
            </w:r>
            <w:r>
              <w:rPr>
                <w:rFonts w:hint="eastAsia" w:ascii="宋体" w:hAnsi="宋体" w:eastAsia="仿宋" w:cs="Calibri"/>
                <w:sz w:val="24"/>
              </w:rPr>
              <w:t>，更换后的零部件质保期从更换之日起计算。</w:t>
            </w:r>
          </w:p>
          <w:p w14:paraId="639F7550">
            <w:pPr>
              <w:widowControl/>
              <w:adjustRightInd w:val="0"/>
              <w:snapToGrid w:val="0"/>
              <w:spacing w:line="288" w:lineRule="auto"/>
              <w:rPr>
                <w:rFonts w:ascii="楷体" w:hAnsi="楷体" w:eastAsia="仿宋" w:cs="Calibri"/>
                <w:sz w:val="24"/>
              </w:rPr>
            </w:pPr>
            <w:r>
              <w:rPr>
                <w:rFonts w:hint="eastAsia" w:ascii="宋体" w:hAnsi="宋体" w:eastAsia="仿宋" w:cs="Calibri"/>
                <w:sz w:val="24"/>
              </w:rPr>
              <w:t>是否接受负偏离：</w:t>
            </w:r>
            <w:r>
              <w:rPr>
                <w:rFonts w:hint="eastAsia" w:ascii="楷体" w:hAnsi="楷体" w:eastAsia="仿宋" w:cs="Calibri"/>
                <w:sz w:val="24"/>
              </w:rPr>
              <w:t>☑不接受</w:t>
            </w:r>
          </w:p>
          <w:p w14:paraId="7E288B3F">
            <w:pPr>
              <w:pStyle w:val="89"/>
              <w:ind w:firstLine="480"/>
              <w:rPr>
                <w:rFonts w:ascii="楷体" w:hAnsi="楷体" w:eastAsia="仿宋" w:cs="Calibri"/>
                <w:sz w:val="24"/>
              </w:rPr>
            </w:pPr>
            <w:r>
              <w:rPr>
                <w:rFonts w:hint="eastAsia" w:ascii="楷体" w:hAnsi="楷体" w:eastAsia="仿宋" w:cs="Calibri"/>
                <w:sz w:val="24"/>
              </w:rPr>
              <w:t xml:space="preserve">            □接受：</w:t>
            </w:r>
          </w:p>
          <w:p w14:paraId="4698683F">
            <w:pPr>
              <w:pStyle w:val="89"/>
              <w:ind w:firstLine="1920" w:firstLineChars="800"/>
              <w:rPr>
                <w:rFonts w:ascii="宋体" w:hAnsi="宋体" w:eastAsia="仿宋"/>
                <w:sz w:val="24"/>
              </w:rPr>
            </w:pPr>
            <w:r>
              <w:rPr>
                <w:rFonts w:hint="eastAsia" w:ascii="楷体" w:hAnsi="楷体" w:eastAsia="仿宋" w:cs="Calibri"/>
                <w:sz w:val="24"/>
              </w:rPr>
              <w:t>允许偏离的幅度：</w:t>
            </w:r>
            <w:r>
              <w:rPr>
                <w:rFonts w:hint="eastAsia" w:ascii="仿宋" w:hAnsi="仿宋" w:eastAsia="仿宋" w:cs="仿宋"/>
                <w:iCs/>
                <w:color w:val="0000FF"/>
                <w:sz w:val="24"/>
              </w:rPr>
              <w:t>/</w:t>
            </w:r>
          </w:p>
        </w:tc>
      </w:tr>
    </w:tbl>
    <w:p w14:paraId="5C37ABDC">
      <w:pPr>
        <w:pStyle w:val="89"/>
        <w:ind w:firstLine="480"/>
        <w:rPr>
          <w:rFonts w:ascii="宋体" w:hAnsi="宋体" w:eastAsia="仿宋"/>
          <w:color w:val="FF0000"/>
          <w:sz w:val="24"/>
        </w:rPr>
      </w:pPr>
    </w:p>
    <w:bookmarkEnd w:id="655"/>
    <w:p w14:paraId="638B9CC3">
      <w:pPr>
        <w:pStyle w:val="24"/>
        <w:widowControl/>
        <w:snapToGrid w:val="0"/>
        <w:spacing w:line="360" w:lineRule="auto"/>
        <w:outlineLvl w:val="1"/>
        <w:rPr>
          <w:rStyle w:val="103"/>
          <w:rFonts w:ascii="宋体" w:hAnsi="宋体" w:eastAsia="仿宋"/>
          <w:sz w:val="24"/>
          <w:szCs w:val="24"/>
        </w:rPr>
      </w:pPr>
      <w:bookmarkStart w:id="659" w:name="_Toc455587091"/>
      <w:bookmarkStart w:id="660" w:name="_Toc455587275"/>
      <w:bookmarkStart w:id="661" w:name="_Toc466024558"/>
      <w:bookmarkStart w:id="662" w:name="_Toc445554749"/>
      <w:r>
        <w:rPr>
          <w:rStyle w:val="103"/>
          <w:rFonts w:hint="eastAsia" w:ascii="宋体" w:hAnsi="宋体" w:eastAsia="仿宋"/>
          <w:sz w:val="24"/>
          <w:szCs w:val="24"/>
        </w:rPr>
        <w:t>4. 技术要求</w:t>
      </w:r>
      <w:bookmarkEnd w:id="659"/>
      <w:bookmarkEnd w:id="660"/>
      <w:bookmarkEnd w:id="661"/>
      <w:bookmarkEnd w:id="662"/>
    </w:p>
    <w:p w14:paraId="0757A0C5">
      <w:pPr>
        <w:pStyle w:val="24"/>
        <w:widowControl/>
        <w:snapToGrid w:val="0"/>
        <w:spacing w:line="360" w:lineRule="auto"/>
        <w:ind w:firstLine="482" w:firstLineChars="200"/>
        <w:outlineLvl w:val="2"/>
        <w:rPr>
          <w:rFonts w:hAnsi="宋体" w:eastAsia="仿宋"/>
          <w:b/>
          <w:bCs/>
          <w:sz w:val="24"/>
          <w:szCs w:val="24"/>
        </w:rPr>
      </w:pPr>
      <w:r>
        <w:rPr>
          <w:rFonts w:hint="eastAsia" w:hAnsi="宋体" w:eastAsia="仿宋"/>
          <w:b/>
          <w:bCs/>
          <w:sz w:val="24"/>
          <w:szCs w:val="24"/>
        </w:rPr>
        <w:t>4.1标识符号</w:t>
      </w:r>
    </w:p>
    <w:tbl>
      <w:tblPr>
        <w:tblStyle w:val="47"/>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9"/>
        <w:gridCol w:w="1530"/>
        <w:gridCol w:w="6185"/>
      </w:tblGrid>
      <w:tr w14:paraId="2CA8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41" w:type="pct"/>
            <w:vAlign w:val="center"/>
          </w:tcPr>
          <w:p w14:paraId="681E2881">
            <w:pPr>
              <w:jc w:val="center"/>
              <w:rPr>
                <w:rFonts w:ascii="仿宋" w:hAnsi="仿宋" w:eastAsia="仿宋" w:cs="仿宋"/>
                <w:b/>
                <w:sz w:val="24"/>
              </w:rPr>
            </w:pPr>
            <w:r>
              <w:rPr>
                <w:rFonts w:hint="eastAsia" w:ascii="仿宋" w:hAnsi="仿宋" w:eastAsia="仿宋" w:cs="仿宋"/>
                <w:b/>
                <w:sz w:val="24"/>
              </w:rPr>
              <w:t>标识类型</w:t>
            </w:r>
          </w:p>
        </w:tc>
        <w:tc>
          <w:tcPr>
            <w:tcW w:w="785" w:type="pct"/>
            <w:vAlign w:val="center"/>
          </w:tcPr>
          <w:p w14:paraId="7138F002">
            <w:pPr>
              <w:jc w:val="center"/>
              <w:rPr>
                <w:rFonts w:ascii="仿宋" w:hAnsi="仿宋" w:eastAsia="仿宋" w:cs="仿宋"/>
                <w:b/>
                <w:sz w:val="24"/>
              </w:rPr>
            </w:pPr>
            <w:r>
              <w:rPr>
                <w:rFonts w:hint="eastAsia" w:ascii="仿宋" w:hAnsi="仿宋" w:eastAsia="仿宋" w:cs="仿宋"/>
                <w:b/>
                <w:sz w:val="24"/>
              </w:rPr>
              <w:t>标识符号</w:t>
            </w:r>
          </w:p>
        </w:tc>
        <w:tc>
          <w:tcPr>
            <w:tcW w:w="3173" w:type="pct"/>
            <w:vAlign w:val="center"/>
          </w:tcPr>
          <w:p w14:paraId="6CA7D7EF">
            <w:pPr>
              <w:jc w:val="center"/>
              <w:rPr>
                <w:rFonts w:ascii="仿宋" w:hAnsi="仿宋" w:eastAsia="仿宋" w:cs="仿宋"/>
                <w:b/>
                <w:sz w:val="24"/>
              </w:rPr>
            </w:pPr>
            <w:r>
              <w:rPr>
                <w:rFonts w:hint="eastAsia" w:ascii="仿宋" w:hAnsi="仿宋" w:eastAsia="仿宋" w:cs="仿宋"/>
                <w:b/>
                <w:sz w:val="24"/>
              </w:rPr>
              <w:t>标识符号含义</w:t>
            </w:r>
          </w:p>
        </w:tc>
      </w:tr>
      <w:tr w14:paraId="7E08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41" w:type="pct"/>
            <w:vAlign w:val="center"/>
          </w:tcPr>
          <w:p w14:paraId="30BCF76B">
            <w:pPr>
              <w:jc w:val="center"/>
              <w:rPr>
                <w:rFonts w:ascii="仿宋" w:hAnsi="仿宋" w:eastAsia="仿宋" w:cs="仿宋"/>
                <w:sz w:val="24"/>
              </w:rPr>
            </w:pPr>
            <w:r>
              <w:rPr>
                <w:rFonts w:hint="eastAsia" w:ascii="仿宋" w:hAnsi="仿宋" w:eastAsia="仿宋" w:cs="仿宋"/>
                <w:sz w:val="24"/>
              </w:rPr>
              <w:t>核心产品</w:t>
            </w:r>
          </w:p>
        </w:tc>
        <w:tc>
          <w:tcPr>
            <w:tcW w:w="785" w:type="pct"/>
            <w:vAlign w:val="center"/>
          </w:tcPr>
          <w:p w14:paraId="68F04B78">
            <w:pPr>
              <w:jc w:val="center"/>
              <w:rPr>
                <w:rFonts w:ascii="仿宋" w:hAnsi="仿宋" w:eastAsia="仿宋" w:cs="仿宋"/>
                <w:sz w:val="24"/>
              </w:rPr>
            </w:pPr>
            <w:r>
              <w:rPr>
                <w:rFonts w:hint="eastAsia" w:ascii="仿宋" w:hAnsi="仿宋" w:eastAsia="仿宋" w:cs="仿宋"/>
                <w:sz w:val="24"/>
              </w:rPr>
              <w:t>▲</w:t>
            </w:r>
          </w:p>
        </w:tc>
        <w:tc>
          <w:tcPr>
            <w:tcW w:w="3173" w:type="pct"/>
            <w:vAlign w:val="center"/>
          </w:tcPr>
          <w:p w14:paraId="6965C912">
            <w:pPr>
              <w:jc w:val="center"/>
              <w:rPr>
                <w:rFonts w:ascii="仿宋" w:hAnsi="仿宋" w:eastAsia="仿宋" w:cs="仿宋"/>
                <w:b/>
                <w:bCs/>
                <w:sz w:val="24"/>
              </w:rPr>
            </w:pPr>
            <w:r>
              <w:rPr>
                <w:rFonts w:hint="eastAsia" w:ascii="仿宋" w:hAnsi="仿宋" w:eastAsia="仿宋" w:cs="仿宋"/>
                <w:b/>
                <w:bCs/>
                <w:sz w:val="24"/>
              </w:rPr>
              <w:t>标的属于核心产品</w:t>
            </w:r>
          </w:p>
        </w:tc>
      </w:tr>
      <w:tr w14:paraId="08AF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41" w:type="pct"/>
            <w:vAlign w:val="center"/>
          </w:tcPr>
          <w:p w14:paraId="613281EA">
            <w:pPr>
              <w:jc w:val="center"/>
              <w:rPr>
                <w:rFonts w:ascii="仿宋" w:hAnsi="仿宋" w:eastAsia="仿宋" w:cs="仿宋"/>
                <w:sz w:val="24"/>
              </w:rPr>
            </w:pPr>
            <w:r>
              <w:rPr>
                <w:rFonts w:hint="eastAsia" w:ascii="仿宋" w:hAnsi="仿宋" w:eastAsia="仿宋" w:cs="仿宋"/>
                <w:sz w:val="24"/>
              </w:rPr>
              <w:t>实质性参数</w:t>
            </w:r>
          </w:p>
        </w:tc>
        <w:tc>
          <w:tcPr>
            <w:tcW w:w="785" w:type="pct"/>
            <w:vAlign w:val="center"/>
          </w:tcPr>
          <w:p w14:paraId="1C0B4175">
            <w:pPr>
              <w:jc w:val="center"/>
              <w:rPr>
                <w:rFonts w:ascii="仿宋" w:hAnsi="仿宋" w:eastAsia="仿宋" w:cs="仿宋"/>
                <w:sz w:val="24"/>
              </w:rPr>
            </w:pPr>
            <w:r>
              <w:rPr>
                <w:rFonts w:hint="eastAsia" w:ascii="仿宋" w:hAnsi="仿宋" w:eastAsia="仿宋" w:cs="仿宋"/>
                <w:sz w:val="24"/>
              </w:rPr>
              <w:t>★</w:t>
            </w:r>
          </w:p>
        </w:tc>
        <w:tc>
          <w:tcPr>
            <w:tcW w:w="3173" w:type="pct"/>
            <w:vAlign w:val="center"/>
          </w:tcPr>
          <w:p w14:paraId="5E225C98">
            <w:pPr>
              <w:jc w:val="center"/>
              <w:rPr>
                <w:rFonts w:ascii="仿宋" w:hAnsi="仿宋" w:eastAsia="仿宋" w:cs="仿宋"/>
                <w:sz w:val="24"/>
              </w:rPr>
            </w:pPr>
            <w:r>
              <w:rPr>
                <w:rFonts w:hint="eastAsia" w:ascii="仿宋" w:hAnsi="仿宋" w:eastAsia="仿宋" w:cs="仿宋"/>
                <w:b/>
                <w:bCs/>
                <w:sz w:val="24"/>
              </w:rPr>
              <w:t>负偏离或未响应视为实质性不响应采购文件要求</w:t>
            </w:r>
          </w:p>
        </w:tc>
      </w:tr>
      <w:tr w14:paraId="0DAB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041" w:type="pct"/>
            <w:vAlign w:val="center"/>
          </w:tcPr>
          <w:p w14:paraId="5EE4DAA7">
            <w:pPr>
              <w:jc w:val="center"/>
              <w:rPr>
                <w:rFonts w:ascii="仿宋" w:hAnsi="仿宋" w:eastAsia="仿宋" w:cs="仿宋"/>
                <w:sz w:val="24"/>
              </w:rPr>
            </w:pPr>
            <w:r>
              <w:rPr>
                <w:rFonts w:hint="eastAsia" w:ascii="仿宋" w:hAnsi="仿宋" w:eastAsia="仿宋" w:cs="仿宋"/>
                <w:sz w:val="24"/>
              </w:rPr>
              <w:t>重要参数</w:t>
            </w:r>
          </w:p>
        </w:tc>
        <w:tc>
          <w:tcPr>
            <w:tcW w:w="785" w:type="pct"/>
            <w:vAlign w:val="center"/>
          </w:tcPr>
          <w:p w14:paraId="5EEAA8E6">
            <w:pPr>
              <w:jc w:val="center"/>
              <w:rPr>
                <w:rFonts w:ascii="仿宋" w:hAnsi="仿宋" w:eastAsia="仿宋" w:cs="仿宋"/>
                <w:bCs/>
                <w:sz w:val="24"/>
              </w:rPr>
            </w:pPr>
            <w:r>
              <w:rPr>
                <w:rFonts w:hint="eastAsia" w:ascii="仿宋" w:hAnsi="仿宋" w:eastAsia="仿宋" w:cs="仿宋"/>
                <w:sz w:val="24"/>
              </w:rPr>
              <w:t>●</w:t>
            </w:r>
          </w:p>
        </w:tc>
        <w:tc>
          <w:tcPr>
            <w:tcW w:w="3173" w:type="pct"/>
            <w:vAlign w:val="center"/>
          </w:tcPr>
          <w:p w14:paraId="2432DAC7">
            <w:pPr>
              <w:jc w:val="center"/>
              <w:rPr>
                <w:rFonts w:ascii="仿宋" w:hAnsi="仿宋" w:eastAsia="仿宋" w:cs="仿宋"/>
                <w:bCs/>
                <w:sz w:val="24"/>
              </w:rPr>
            </w:pPr>
            <w:r>
              <w:rPr>
                <w:rFonts w:hint="eastAsia" w:ascii="仿宋" w:hAnsi="仿宋" w:eastAsia="仿宋" w:cs="仿宋"/>
                <w:sz w:val="24"/>
              </w:rPr>
              <w:t>评分项</w:t>
            </w:r>
          </w:p>
        </w:tc>
      </w:tr>
      <w:tr w14:paraId="6F38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41" w:type="pct"/>
            <w:vAlign w:val="center"/>
          </w:tcPr>
          <w:p w14:paraId="25594B28">
            <w:pPr>
              <w:jc w:val="center"/>
              <w:rPr>
                <w:rFonts w:ascii="仿宋" w:hAnsi="仿宋" w:eastAsia="仿宋" w:cs="仿宋"/>
                <w:sz w:val="24"/>
              </w:rPr>
            </w:pPr>
            <w:r>
              <w:rPr>
                <w:rFonts w:hint="eastAsia" w:ascii="仿宋" w:hAnsi="仿宋" w:eastAsia="仿宋" w:cs="仿宋"/>
                <w:sz w:val="24"/>
              </w:rPr>
              <w:t>一般参数</w:t>
            </w:r>
          </w:p>
        </w:tc>
        <w:tc>
          <w:tcPr>
            <w:tcW w:w="785" w:type="pct"/>
            <w:vAlign w:val="center"/>
          </w:tcPr>
          <w:p w14:paraId="5FA7AD6D">
            <w:pPr>
              <w:jc w:val="center"/>
              <w:rPr>
                <w:rFonts w:ascii="仿宋" w:hAnsi="仿宋" w:eastAsia="仿宋" w:cs="仿宋"/>
                <w:sz w:val="24"/>
              </w:rPr>
            </w:pPr>
            <w:r>
              <w:rPr>
                <w:rFonts w:hint="eastAsia" w:ascii="仿宋" w:hAnsi="仿宋" w:eastAsia="仿宋" w:cs="仿宋"/>
                <w:sz w:val="24"/>
              </w:rPr>
              <w:t>无标识</w:t>
            </w:r>
          </w:p>
        </w:tc>
        <w:tc>
          <w:tcPr>
            <w:tcW w:w="3173" w:type="pct"/>
            <w:vAlign w:val="center"/>
          </w:tcPr>
          <w:p w14:paraId="1BE463C3">
            <w:pPr>
              <w:jc w:val="center"/>
            </w:pPr>
            <w:r>
              <w:rPr>
                <w:rFonts w:hint="eastAsia" w:ascii="仿宋" w:hAnsi="仿宋" w:eastAsia="仿宋" w:cs="仿宋"/>
                <w:sz w:val="24"/>
              </w:rPr>
              <w:t>评分项</w:t>
            </w:r>
          </w:p>
        </w:tc>
      </w:tr>
      <w:tr w14:paraId="35E2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vAlign w:val="center"/>
          </w:tcPr>
          <w:p w14:paraId="4C01EAAC">
            <w:pPr>
              <w:jc w:val="left"/>
              <w:rPr>
                <w:rFonts w:ascii="仿宋" w:hAnsi="仿宋" w:cs="仿宋"/>
                <w:sz w:val="24"/>
              </w:rPr>
            </w:pPr>
            <w:r>
              <w:rPr>
                <w:rFonts w:hint="eastAsia" w:ascii="仿宋" w:hAnsi="仿宋" w:eastAsia="仿宋" w:cs="仿宋"/>
                <w:sz w:val="22"/>
                <w:szCs w:val="22"/>
              </w:rPr>
              <w:t>注：标识条款中如包含多条子项技术参数或要求，则需满足或优于该标识条款内所有子项技术参数或要求方能得分。</w:t>
            </w:r>
          </w:p>
        </w:tc>
      </w:tr>
    </w:tbl>
    <w:p w14:paraId="7CBDC78C">
      <w:pPr>
        <w:pStyle w:val="24"/>
        <w:widowControl/>
        <w:snapToGrid w:val="0"/>
        <w:spacing w:line="360" w:lineRule="auto"/>
        <w:ind w:firstLine="480" w:firstLineChars="200"/>
        <w:rPr>
          <w:rFonts w:hAnsi="宋体" w:eastAsia="仿宋"/>
          <w:color w:val="FF0000"/>
          <w:sz w:val="24"/>
          <w:szCs w:val="24"/>
        </w:rPr>
      </w:pPr>
    </w:p>
    <w:p w14:paraId="61C03A4C">
      <w:pPr>
        <w:pStyle w:val="24"/>
        <w:widowControl/>
        <w:snapToGrid w:val="0"/>
        <w:spacing w:line="360" w:lineRule="auto"/>
        <w:ind w:firstLine="482" w:firstLineChars="200"/>
        <w:outlineLvl w:val="2"/>
        <w:rPr>
          <w:rFonts w:hAnsi="宋体" w:eastAsia="仿宋"/>
          <w:b/>
          <w:bCs/>
          <w:sz w:val="24"/>
          <w:szCs w:val="24"/>
        </w:rPr>
      </w:pPr>
      <w:r>
        <w:rPr>
          <w:rFonts w:hint="eastAsia" w:hAnsi="宋体" w:eastAsia="仿宋"/>
          <w:b/>
          <w:bCs/>
          <w:sz w:val="24"/>
          <w:szCs w:val="24"/>
        </w:rPr>
        <w:t>4.2技术要求表</w:t>
      </w:r>
    </w:p>
    <w:tbl>
      <w:tblPr>
        <w:tblStyle w:val="47"/>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942"/>
        <w:gridCol w:w="2297"/>
        <w:gridCol w:w="5945"/>
      </w:tblGrid>
      <w:tr w14:paraId="2E26AA0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C5EB16">
            <w:pPr>
              <w:widowControl/>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683DD0">
            <w:pPr>
              <w:widowControl/>
              <w:autoSpaceDN w:val="0"/>
              <w:spacing w:line="360" w:lineRule="auto"/>
              <w:jc w:val="center"/>
              <w:rPr>
                <w:rFonts w:ascii="仿宋" w:hAnsi="仿宋" w:eastAsia="仿宋" w:cs="仿宋"/>
                <w:sz w:val="24"/>
              </w:rPr>
            </w:pPr>
            <w:r>
              <w:rPr>
                <w:rFonts w:hint="eastAsia" w:ascii="仿宋" w:hAnsi="仿宋" w:eastAsia="仿宋" w:cs="仿宋"/>
                <w:sz w:val="24"/>
              </w:rPr>
              <w:t>标的名称</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BDCDE77">
            <w:pPr>
              <w:widowControl/>
              <w:autoSpaceDN w:val="0"/>
              <w:spacing w:line="360" w:lineRule="auto"/>
              <w:jc w:val="center"/>
              <w:rPr>
                <w:rFonts w:ascii="仿宋" w:hAnsi="仿宋" w:eastAsia="仿宋" w:cs="仿宋"/>
                <w:sz w:val="24"/>
              </w:rPr>
            </w:pPr>
            <w:r>
              <w:rPr>
                <w:rFonts w:hint="eastAsia" w:ascii="仿宋" w:hAnsi="仿宋" w:eastAsia="仿宋" w:cs="仿宋"/>
                <w:sz w:val="24"/>
              </w:rPr>
              <w:t>技术性能参数</w:t>
            </w:r>
          </w:p>
        </w:tc>
      </w:tr>
      <w:tr w14:paraId="3119FA04">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6F8455">
            <w:pPr>
              <w:widowControl/>
              <w:autoSpaceDN w:val="0"/>
              <w:spacing w:line="360" w:lineRule="auto"/>
              <w:jc w:val="center"/>
              <w:rPr>
                <w:rFonts w:ascii="仿宋" w:hAnsi="仿宋" w:eastAsia="仿宋" w:cs="仿宋"/>
                <w:sz w:val="24"/>
              </w:rPr>
            </w:pPr>
            <w:r>
              <w:rPr>
                <w:rFonts w:hint="eastAsia" w:ascii="仿宋" w:hAnsi="仿宋" w:eastAsia="仿宋" w:cs="仿宋"/>
                <w:sz w:val="24"/>
              </w:rPr>
              <w:t>1</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757E38A">
            <w:pPr>
              <w:widowControl/>
              <w:autoSpaceDN w:val="0"/>
              <w:spacing w:line="360" w:lineRule="auto"/>
              <w:jc w:val="center"/>
              <w:rPr>
                <w:rFonts w:ascii="仿宋" w:hAnsi="仿宋" w:cs="仿宋"/>
                <w:sz w:val="24"/>
              </w:rPr>
            </w:pPr>
            <w:r>
              <w:rPr>
                <w:rFonts w:hint="eastAsia" w:ascii="Calibri" w:hAnsi="Calibri" w:eastAsia="仿宋" w:cs="方正书宋简体"/>
                <w:color w:val="auto"/>
                <w:sz w:val="24"/>
              </w:rPr>
              <w:t>微型地震探测仪台站</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B5B120">
            <w:pPr>
              <w:spacing w:line="360" w:lineRule="auto"/>
              <w:rPr>
                <w:rFonts w:ascii="Calibri" w:hAnsi="Calibri" w:eastAsia="仿宋"/>
                <w:b/>
                <w:sz w:val="24"/>
              </w:rPr>
            </w:pPr>
            <w:r>
              <w:rPr>
                <w:rFonts w:hint="eastAsia" w:ascii="Calibri" w:hAnsi="Calibri" w:eastAsia="仿宋"/>
                <w:b/>
                <w:sz w:val="24"/>
              </w:rPr>
              <w:t>整体技术要求：</w:t>
            </w:r>
          </w:p>
          <w:p w14:paraId="6EAF62ED">
            <w:pPr>
              <w:spacing w:line="360" w:lineRule="auto"/>
              <w:rPr>
                <w:rFonts w:ascii="Calibri" w:hAnsi="Calibri" w:eastAsia="仿宋"/>
                <w:sz w:val="24"/>
              </w:rPr>
            </w:pPr>
            <w:r>
              <w:rPr>
                <w:rFonts w:hint="eastAsia" w:ascii="Calibri" w:hAnsi="Calibri" w:eastAsia="仿宋"/>
                <w:sz w:val="24"/>
              </w:rPr>
              <w:t>（1）一体式三分量节点式地震仪，无需任何人工震源，能提取天然微动中面波信息，达到勘察目的；（2）采集站为独立台站、无线连接，操作方便；（3）操作软件支持Windows系统；（4）具有4G或wifi无线数据实时传输功能，支持采集站和云端数据同时存储；（5）支持基于北斗或GPS系统的定位和授时功能；（6）采集过程中能够实时显示勘探成果（频散能量、谱比实时等值线图），使数据采集质量和采集时长有标准可控，实现智能勘探。</w:t>
            </w:r>
          </w:p>
          <w:p w14:paraId="5C51CC42">
            <w:pPr>
              <w:pStyle w:val="139"/>
              <w:spacing w:line="360" w:lineRule="auto"/>
              <w:rPr>
                <w:rFonts w:ascii="Calibri" w:hAnsi="Calibri" w:eastAsia="仿宋" w:cs="方正书宋简体"/>
                <w:b/>
                <w:color w:val="auto"/>
                <w:kern w:val="2"/>
              </w:rPr>
            </w:pPr>
            <w:r>
              <w:rPr>
                <w:rFonts w:hint="eastAsia" w:ascii="Calibri" w:hAnsi="Calibri" w:eastAsia="仿宋" w:cs="方正书宋简体"/>
                <w:b/>
                <w:color w:val="auto"/>
                <w:kern w:val="2"/>
              </w:rPr>
              <w:t>检波器技术要求：</w:t>
            </w:r>
          </w:p>
          <w:p w14:paraId="0706BD55">
            <w:pPr>
              <w:pStyle w:val="139"/>
              <w:spacing w:line="360" w:lineRule="auto"/>
              <w:rPr>
                <w:rFonts w:ascii="Calibri" w:hAnsi="Calibri" w:eastAsia="仿宋" w:cs="方正书宋简体"/>
                <w:color w:val="auto"/>
                <w:kern w:val="2"/>
              </w:rPr>
            </w:pPr>
            <w:r>
              <w:rPr>
                <w:rFonts w:hint="eastAsia" w:ascii="Calibri" w:hAnsi="Calibri" w:eastAsia="仿宋" w:cs="方正书宋简体"/>
                <w:color w:val="auto"/>
                <w:kern w:val="2"/>
              </w:rPr>
              <w:t>（1）内置三分量加速度（数字）检波器，频带范围0.1-100Hz，灵敏度不低于400V/m/s；（2）倾角20度以内检波器自动调平，不影响采集数据；（3）检波器具有校准证书，投标时须提供证书扫描件。</w:t>
            </w:r>
          </w:p>
          <w:p w14:paraId="6EDAF248">
            <w:pPr>
              <w:spacing w:line="360" w:lineRule="auto"/>
              <w:rPr>
                <w:rFonts w:ascii="Calibri" w:hAnsi="Calibri" w:eastAsia="仿宋"/>
                <w:b/>
                <w:bCs/>
                <w:sz w:val="24"/>
              </w:rPr>
            </w:pPr>
            <w:r>
              <w:rPr>
                <w:rFonts w:hint="eastAsia" w:ascii="Calibri" w:hAnsi="Calibri" w:eastAsia="仿宋"/>
                <w:b/>
                <w:bCs/>
                <w:sz w:val="24"/>
              </w:rPr>
              <w:t>技术参数要求：</w:t>
            </w:r>
          </w:p>
          <w:p w14:paraId="12BDE18A">
            <w:pPr>
              <w:spacing w:line="360" w:lineRule="auto"/>
              <w:rPr>
                <w:rFonts w:ascii="Calibri" w:hAnsi="Calibri" w:eastAsia="仿宋"/>
                <w:sz w:val="24"/>
              </w:rPr>
            </w:pPr>
            <w:r>
              <w:rPr>
                <w:rFonts w:hint="eastAsia" w:ascii="Calibri" w:hAnsi="Calibri" w:eastAsia="仿宋"/>
                <w:sz w:val="24"/>
              </w:rPr>
              <w:t>（1）保证设备配套完整性，以便于正常开展工作；</w:t>
            </w:r>
          </w:p>
          <w:p w14:paraId="37D2FBC2">
            <w:pPr>
              <w:spacing w:line="360" w:lineRule="auto"/>
              <w:rPr>
                <w:rFonts w:ascii="Calibri" w:hAnsi="Calibri" w:eastAsia="仿宋"/>
                <w:sz w:val="24"/>
              </w:rPr>
            </w:pPr>
            <w:r>
              <w:rPr>
                <w:rFonts w:hint="eastAsia" w:ascii="Calibri" w:hAnsi="Calibri" w:eastAsia="仿宋"/>
                <w:sz w:val="24"/>
              </w:rPr>
              <w:t>（2）检波器通道：三分量</w:t>
            </w:r>
          </w:p>
          <w:p w14:paraId="3F0A87FE">
            <w:pPr>
              <w:spacing w:line="360" w:lineRule="auto"/>
              <w:rPr>
                <w:rFonts w:ascii="Calibri" w:hAnsi="Calibri" w:eastAsia="仿宋"/>
                <w:sz w:val="24"/>
              </w:rPr>
            </w:pPr>
            <w:r>
              <w:rPr>
                <w:rFonts w:hint="eastAsia" w:ascii="Calibri" w:hAnsi="Calibri" w:eastAsia="仿宋"/>
                <w:sz w:val="24"/>
              </w:rPr>
              <w:t>（3）操作系统：电脑操作系统</w:t>
            </w:r>
          </w:p>
          <w:p w14:paraId="0BE66B6E">
            <w:pPr>
              <w:spacing w:line="360" w:lineRule="auto"/>
              <w:rPr>
                <w:rFonts w:ascii="Calibri" w:hAnsi="Calibri" w:eastAsia="仿宋"/>
                <w:sz w:val="24"/>
              </w:rPr>
            </w:pPr>
            <w:r>
              <w:rPr>
                <w:rFonts w:hint="eastAsia" w:ascii="Calibri" w:hAnsi="Calibri" w:eastAsia="仿宋"/>
                <w:sz w:val="24"/>
              </w:rPr>
              <w:t>（4）数据传输：WIFI/4G</w:t>
            </w:r>
          </w:p>
          <w:p w14:paraId="6E9592DD">
            <w:pPr>
              <w:autoSpaceDE w:val="0"/>
              <w:autoSpaceDN w:val="0"/>
              <w:adjustRightInd w:val="0"/>
              <w:spacing w:line="360" w:lineRule="auto"/>
              <w:jc w:val="left"/>
              <w:rPr>
                <w:rFonts w:ascii="Calibri" w:hAnsi="Calibri" w:eastAsia="仿宋"/>
                <w:sz w:val="24"/>
              </w:rPr>
            </w:pPr>
            <w:r>
              <w:rPr>
                <w:rFonts w:hint="eastAsia" w:ascii="仿宋" w:hAnsi="仿宋" w:eastAsia="仿宋" w:cs="仿宋"/>
                <w:sz w:val="24"/>
              </w:rPr>
              <w:t>★</w:t>
            </w:r>
            <w:r>
              <w:rPr>
                <w:rFonts w:hint="eastAsia" w:ascii="Calibri" w:hAnsi="Calibri" w:eastAsia="仿宋"/>
                <w:sz w:val="24"/>
              </w:rPr>
              <w:t>（5）动态范围：不低于130dB</w:t>
            </w:r>
          </w:p>
          <w:p w14:paraId="00F7CE6E">
            <w:pPr>
              <w:autoSpaceDE w:val="0"/>
              <w:autoSpaceDN w:val="0"/>
              <w:adjustRightInd w:val="0"/>
              <w:spacing w:line="360" w:lineRule="auto"/>
              <w:jc w:val="left"/>
              <w:rPr>
                <w:rFonts w:ascii="Calibri" w:hAnsi="Calibri" w:eastAsia="仿宋"/>
                <w:sz w:val="24"/>
              </w:rPr>
            </w:pPr>
            <w:r>
              <w:rPr>
                <w:rFonts w:hint="eastAsia" w:ascii="Calibri" w:hAnsi="Calibri" w:eastAsia="仿宋"/>
                <w:sz w:val="24"/>
              </w:rPr>
              <w:t>（6）等效输入噪声：小于0.5 μv @2ms</w:t>
            </w:r>
          </w:p>
          <w:p w14:paraId="2BED8C21">
            <w:pPr>
              <w:autoSpaceDE w:val="0"/>
              <w:autoSpaceDN w:val="0"/>
              <w:adjustRightInd w:val="0"/>
              <w:spacing w:line="360" w:lineRule="auto"/>
              <w:jc w:val="left"/>
              <w:rPr>
                <w:rFonts w:ascii="Calibri" w:hAnsi="Calibri" w:eastAsia="仿宋"/>
                <w:sz w:val="24"/>
              </w:rPr>
            </w:pPr>
            <w:r>
              <w:rPr>
                <w:rFonts w:hint="eastAsia" w:ascii="Calibri" w:hAnsi="Calibri" w:eastAsia="仿宋"/>
                <w:sz w:val="24"/>
              </w:rPr>
              <w:t>（7）共模抑制：不低于100dB</w:t>
            </w:r>
          </w:p>
          <w:p w14:paraId="101262BA">
            <w:pPr>
              <w:spacing w:line="360" w:lineRule="auto"/>
              <w:rPr>
                <w:rFonts w:ascii="宋体" w:hAnsi="宋体" w:cs="Lucida Sans Unicode"/>
                <w:color w:val="000000"/>
                <w:kern w:val="0"/>
                <w:sz w:val="24"/>
              </w:rPr>
            </w:pPr>
            <w:r>
              <w:rPr>
                <w:rFonts w:hint="eastAsia" w:ascii="仿宋" w:hAnsi="仿宋" w:eastAsia="仿宋" w:cs="仿宋"/>
                <w:sz w:val="24"/>
              </w:rPr>
              <w:t>★</w:t>
            </w:r>
            <w:r>
              <w:rPr>
                <w:rFonts w:hint="eastAsia" w:ascii="Calibri" w:hAnsi="Calibri" w:eastAsia="仿宋"/>
                <w:sz w:val="24"/>
              </w:rPr>
              <w:t>（8）时钟同步偏差：GPS/北斗卫星同步。时钟同步误差小于1μs</w:t>
            </w:r>
          </w:p>
          <w:p w14:paraId="6FEB936A">
            <w:pPr>
              <w:autoSpaceDE w:val="0"/>
              <w:autoSpaceDN w:val="0"/>
              <w:adjustRightInd w:val="0"/>
              <w:spacing w:line="360" w:lineRule="auto"/>
              <w:jc w:val="left"/>
              <w:rPr>
                <w:rFonts w:ascii="Calibri" w:hAnsi="Calibri" w:eastAsia="仿宋"/>
                <w:sz w:val="24"/>
              </w:rPr>
            </w:pPr>
            <w:r>
              <w:rPr>
                <w:rFonts w:hint="eastAsia" w:ascii="Calibri" w:hAnsi="Calibri" w:eastAsia="仿宋"/>
                <w:sz w:val="24"/>
              </w:rPr>
              <w:t>（9）采样率：4000sps/2000sps/1000sps/500sps/200sps/100sps/50sps</w:t>
            </w:r>
          </w:p>
          <w:p w14:paraId="22645DC4">
            <w:pPr>
              <w:spacing w:line="360" w:lineRule="auto"/>
              <w:outlineLvl w:val="0"/>
              <w:rPr>
                <w:rFonts w:ascii="Calibri" w:hAnsi="Calibri" w:eastAsia="仿宋"/>
                <w:sz w:val="24"/>
              </w:rPr>
            </w:pPr>
            <w:r>
              <w:rPr>
                <w:rFonts w:hint="eastAsia" w:ascii="Calibri" w:hAnsi="Calibri" w:eastAsia="仿宋"/>
                <w:sz w:val="24"/>
              </w:rPr>
              <w:t>（10）存储：不小于32G</w:t>
            </w:r>
          </w:p>
          <w:p w14:paraId="341BD428">
            <w:pPr>
              <w:autoSpaceDE w:val="0"/>
              <w:autoSpaceDN w:val="0"/>
              <w:adjustRightInd w:val="0"/>
              <w:spacing w:line="360" w:lineRule="auto"/>
              <w:jc w:val="left"/>
              <w:rPr>
                <w:rFonts w:ascii="Calibri" w:hAnsi="Calibri" w:eastAsia="仿宋"/>
                <w:sz w:val="24"/>
              </w:rPr>
            </w:pPr>
            <w:r>
              <w:rPr>
                <w:rFonts w:hint="eastAsia" w:ascii="Calibri" w:hAnsi="Calibri" w:eastAsia="仿宋"/>
                <w:sz w:val="24"/>
              </w:rPr>
              <w:t>（11）防水防尘等级：不低于IP67</w:t>
            </w:r>
          </w:p>
        </w:tc>
      </w:tr>
      <w:tr w14:paraId="0736829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D60EE7">
            <w:pPr>
              <w:widowControl/>
              <w:autoSpaceDN w:val="0"/>
              <w:spacing w:line="360" w:lineRule="auto"/>
              <w:jc w:val="center"/>
              <w:rPr>
                <w:rFonts w:ascii="仿宋" w:hAnsi="仿宋" w:eastAsia="仿宋" w:cs="仿宋"/>
                <w:sz w:val="24"/>
              </w:rPr>
            </w:pPr>
            <w:r>
              <w:rPr>
                <w:rFonts w:hint="eastAsia" w:ascii="仿宋" w:hAnsi="仿宋" w:eastAsia="仿宋" w:cs="仿宋"/>
                <w:sz w:val="24"/>
              </w:rPr>
              <w:t>2</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A258908">
            <w:pPr>
              <w:spacing w:line="360" w:lineRule="auto"/>
              <w:ind w:left="390" w:hanging="390"/>
              <w:jc w:val="center"/>
              <w:rPr>
                <w:rFonts w:ascii="仿宋" w:hAnsi="仿宋" w:eastAsia="仿宋" w:cs="仿宋"/>
                <w:sz w:val="24"/>
              </w:rPr>
            </w:pPr>
            <w:r>
              <w:rPr>
                <w:rFonts w:hint="eastAsia" w:ascii="仿宋" w:hAnsi="仿宋" w:eastAsia="仿宋" w:cs="仿宋"/>
                <w:sz w:val="24"/>
              </w:rPr>
              <w:t>光学建模飞行平台</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239264">
            <w:pPr>
              <w:spacing w:line="360" w:lineRule="auto"/>
              <w:rPr>
                <w:rFonts w:ascii="仿宋" w:hAnsi="仿宋" w:eastAsia="仿宋"/>
                <w:sz w:val="24"/>
              </w:rPr>
            </w:pPr>
            <w:r>
              <w:rPr>
                <w:rFonts w:hint="eastAsia" w:ascii="仿宋" w:hAnsi="仿宋" w:eastAsia="仿宋"/>
                <w:sz w:val="24"/>
              </w:rPr>
              <w:t>整体要求：供应商需提供投标产品一年免费维修服务及100万额度三者险，另增加一块电池和一台基础支撑站。</w:t>
            </w:r>
          </w:p>
          <w:p w14:paraId="7931372F">
            <w:pPr>
              <w:spacing w:line="360" w:lineRule="auto"/>
              <w:rPr>
                <w:rFonts w:ascii="仿宋" w:hAnsi="仿宋" w:eastAsia="仿宋"/>
                <w:sz w:val="24"/>
              </w:rPr>
            </w:pPr>
            <w:r>
              <w:rPr>
                <w:rFonts w:hint="eastAsia" w:ascii="仿宋" w:hAnsi="仿宋" w:eastAsia="仿宋"/>
                <w:sz w:val="24"/>
              </w:rPr>
              <w:t>技术参数要求：</w:t>
            </w:r>
          </w:p>
          <w:p w14:paraId="543BC552">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裸机重量（含电池）＜10千克；</w:t>
            </w:r>
          </w:p>
          <w:p w14:paraId="4AE8A29B">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最大载重≥6 千克，最大起飞重量≥15 千克；</w:t>
            </w:r>
          </w:p>
          <w:p w14:paraId="4EA2658C">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最长飞行时间（带负责无风环境）≥59 分钟；</w:t>
            </w:r>
          </w:p>
          <w:p w14:paraId="3B5D1558">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需支持GPS + Galileo + BeiDou + GLONASS；</w:t>
            </w:r>
          </w:p>
          <w:p w14:paraId="2C967965">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飞行器需内置有RTK模块，具备RTK定位能力，支持通过遥控器连接到网络RTK服务或RTK移动站，获取高精度的位置信息，需支持单北斗定位模式，单北斗定位模下需支持执行航点航线、面状航线等各类航线任务；</w:t>
            </w:r>
          </w:p>
          <w:p w14:paraId="48C3D4AA">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需具备全向双目视觉系统（环视为彩色鱼眼），水平环扫激光雷达，上激光雷达及下三维红外测距传感器六向毫米波雷达；</w:t>
            </w:r>
          </w:p>
          <w:p w14:paraId="5CD8EF75">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支持机臂到位检测，能够检测机臂套筒是否拧紧到位，如未拧紧能够在遥控器端进行告警提示；</w:t>
            </w:r>
          </w:p>
          <w:p w14:paraId="55155C3E">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图传天线数量≥10，最大信号有效距离（无干扰、无遮挡）≥40 公里；</w:t>
            </w:r>
          </w:p>
          <w:p w14:paraId="6D08A93C">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机身展开尺寸＜1000mm * 800 mm* 500 mm（含脚架）折叠尺寸＜500 mm*500mm *500 mm（含脚架及云台）</w:t>
            </w:r>
          </w:p>
          <w:p w14:paraId="6FAC7C8D">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机身4G模块装载≥2个，最大挂载数量≥7；</w:t>
            </w:r>
          </w:p>
          <w:p w14:paraId="2571F9F3">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需支持遥控器的画面上实时显示建筑、地标等名称，并以显眼线条标记核心道路；</w:t>
            </w:r>
          </w:p>
          <w:p w14:paraId="45A66235">
            <w:pPr>
              <w:pStyle w:val="128"/>
              <w:numPr>
                <w:ilvl w:val="0"/>
                <w:numId w:val="1"/>
              </w:numPr>
              <w:ind w:firstLine="420"/>
              <w:rPr>
                <w:rFonts w:ascii="仿宋" w:hAnsi="仿宋" w:eastAsia="仿宋"/>
                <w:sz w:val="24"/>
              </w:rPr>
            </w:pPr>
            <w:r>
              <w:rPr>
                <w:rFonts w:hint="eastAsia" w:ascii="仿宋" w:hAnsi="仿宋" w:eastAsia="仿宋"/>
                <w:sz w:val="24"/>
              </w:rPr>
              <w:t>需支持前、后、左、右四个方向的彩色飞行辅助影像；</w:t>
            </w:r>
          </w:p>
          <w:p w14:paraId="11343DB7">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需支持在返航、绕障及飞向目标点的过程中，实时显示无人机的路线规划。降落时还需显示无人机近地投影，帮助操作人员确认目标降落位置；</w:t>
            </w:r>
          </w:p>
          <w:p w14:paraId="0D95D679">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支持任意水平方向的实时仿地飞行功能。在手动飞行和航线作业时，都能开启实时仿地，保持对地面的相对高度稳定；</w:t>
            </w:r>
          </w:p>
          <w:p w14:paraId="1008803B">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需支持仿线飞行功能，可实现输电、配电线路仿线飞行，并可利用机身自带的环扫激光雷达实时感知障碍物，在遇到交跨线路时自动绕行；</w:t>
            </w:r>
          </w:p>
          <w:p w14:paraId="353D9804">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处理器：i9-12900 （16核24线程, 主频2.4GHz,缓存30M）</w:t>
            </w:r>
            <w:r>
              <w:rPr>
                <w:rFonts w:hint="eastAsia" w:ascii="仿宋" w:hAnsi="仿宋" w:eastAsia="仿宋"/>
                <w:sz w:val="24"/>
                <w:lang w:eastAsia="zh-CN"/>
              </w:rPr>
              <w:t>，</w:t>
            </w:r>
            <w:r>
              <w:rPr>
                <w:rFonts w:hint="eastAsia" w:ascii="仿宋" w:hAnsi="仿宋" w:eastAsia="仿宋"/>
                <w:sz w:val="24"/>
                <w:lang w:val="en-US" w:eastAsia="zh-CN"/>
              </w:rPr>
              <w:t>满足</w:t>
            </w:r>
            <w:r>
              <w:rPr>
                <w:rFonts w:hint="eastAsia" w:ascii="仿宋" w:hAnsi="仿宋" w:eastAsia="仿宋"/>
                <w:sz w:val="24"/>
              </w:rPr>
              <w:t>同等及以上</w:t>
            </w:r>
            <w:r>
              <w:rPr>
                <w:rFonts w:hint="eastAsia" w:ascii="仿宋" w:hAnsi="仿宋" w:eastAsia="仿宋"/>
                <w:sz w:val="24"/>
                <w:lang w:val="en-US" w:eastAsia="zh-CN"/>
              </w:rPr>
              <w:t>要求</w:t>
            </w:r>
            <w:r>
              <w:rPr>
                <w:rFonts w:hint="eastAsia" w:ascii="仿宋" w:hAnsi="仿宋" w:eastAsia="仿宋"/>
                <w:sz w:val="24"/>
              </w:rPr>
              <w:t>；</w:t>
            </w:r>
          </w:p>
          <w:p w14:paraId="4445B8EF">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芯片组：600系及以上（非H\Z家用系列）</w:t>
            </w:r>
            <w:r>
              <w:rPr>
                <w:rFonts w:hint="eastAsia" w:ascii="仿宋" w:hAnsi="仿宋" w:eastAsia="仿宋"/>
                <w:sz w:val="24"/>
                <w:lang w:eastAsia="zh-CN"/>
              </w:rPr>
              <w:t>，</w:t>
            </w:r>
            <w:r>
              <w:rPr>
                <w:rFonts w:hint="eastAsia" w:ascii="仿宋" w:hAnsi="仿宋" w:eastAsia="仿宋"/>
                <w:sz w:val="24"/>
                <w:lang w:val="en-US" w:eastAsia="zh-CN"/>
              </w:rPr>
              <w:t>满足</w:t>
            </w:r>
            <w:r>
              <w:rPr>
                <w:rFonts w:hint="eastAsia" w:ascii="仿宋" w:hAnsi="仿宋" w:eastAsia="仿宋"/>
                <w:sz w:val="24"/>
              </w:rPr>
              <w:t>同等及以上</w:t>
            </w:r>
            <w:r>
              <w:rPr>
                <w:rFonts w:hint="eastAsia" w:ascii="仿宋" w:hAnsi="仿宋" w:eastAsia="仿宋"/>
                <w:sz w:val="24"/>
                <w:lang w:val="en-US" w:eastAsia="zh-CN"/>
              </w:rPr>
              <w:t>要求</w:t>
            </w:r>
            <w:r>
              <w:rPr>
                <w:rFonts w:hint="eastAsia" w:ascii="仿宋" w:hAnsi="仿宋" w:eastAsia="仿宋"/>
                <w:sz w:val="24"/>
              </w:rPr>
              <w:t>；</w:t>
            </w:r>
          </w:p>
          <w:p w14:paraId="7E166736">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内存：64G DDR4（32G*2）, 4个独立内存插槽</w:t>
            </w:r>
            <w:r>
              <w:rPr>
                <w:rFonts w:hint="eastAsia" w:ascii="仿宋" w:hAnsi="仿宋" w:eastAsia="仿宋"/>
                <w:sz w:val="24"/>
                <w:lang w:eastAsia="zh-CN"/>
              </w:rPr>
              <w:t>，</w:t>
            </w:r>
            <w:r>
              <w:rPr>
                <w:rFonts w:hint="eastAsia" w:ascii="仿宋" w:hAnsi="仿宋" w:eastAsia="仿宋"/>
                <w:sz w:val="24"/>
                <w:lang w:val="en-US" w:eastAsia="zh-CN"/>
              </w:rPr>
              <w:t>满足</w:t>
            </w:r>
            <w:r>
              <w:rPr>
                <w:rFonts w:hint="eastAsia" w:ascii="仿宋" w:hAnsi="仿宋" w:eastAsia="仿宋"/>
                <w:sz w:val="24"/>
              </w:rPr>
              <w:t>同等及以上</w:t>
            </w:r>
            <w:r>
              <w:rPr>
                <w:rFonts w:hint="eastAsia" w:ascii="仿宋" w:hAnsi="仿宋" w:eastAsia="仿宋"/>
                <w:sz w:val="24"/>
                <w:lang w:val="en-US" w:eastAsia="zh-CN"/>
              </w:rPr>
              <w:t>要求</w:t>
            </w:r>
            <w:r>
              <w:rPr>
                <w:rFonts w:hint="eastAsia" w:ascii="仿宋" w:hAnsi="仿宋" w:eastAsia="仿宋"/>
                <w:sz w:val="24"/>
              </w:rPr>
              <w:t>；</w:t>
            </w:r>
          </w:p>
          <w:p w14:paraId="287A8DDA">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硬盘：NVMe PCIe 512G SSD+2T 机械硬盘</w:t>
            </w:r>
            <w:r>
              <w:rPr>
                <w:rFonts w:hint="eastAsia" w:ascii="仿宋" w:hAnsi="仿宋" w:eastAsia="仿宋"/>
                <w:sz w:val="24"/>
                <w:lang w:eastAsia="zh-CN"/>
              </w:rPr>
              <w:t>，</w:t>
            </w:r>
            <w:r>
              <w:rPr>
                <w:rFonts w:hint="eastAsia" w:ascii="仿宋" w:hAnsi="仿宋" w:eastAsia="仿宋"/>
                <w:sz w:val="24"/>
                <w:lang w:val="en-US" w:eastAsia="zh-CN"/>
              </w:rPr>
              <w:t>满足</w:t>
            </w:r>
            <w:r>
              <w:rPr>
                <w:rFonts w:hint="eastAsia" w:ascii="仿宋" w:hAnsi="仿宋" w:eastAsia="仿宋"/>
                <w:sz w:val="24"/>
              </w:rPr>
              <w:t>同等及以上</w:t>
            </w:r>
            <w:r>
              <w:rPr>
                <w:rFonts w:hint="eastAsia" w:ascii="仿宋" w:hAnsi="仿宋" w:eastAsia="仿宋"/>
                <w:sz w:val="24"/>
                <w:lang w:val="en-US" w:eastAsia="zh-CN"/>
              </w:rPr>
              <w:t>要求</w:t>
            </w:r>
            <w:r>
              <w:rPr>
                <w:rFonts w:hint="eastAsia" w:ascii="仿宋" w:hAnsi="仿宋" w:eastAsia="仿宋"/>
                <w:sz w:val="24"/>
              </w:rPr>
              <w:t>；</w:t>
            </w:r>
          </w:p>
          <w:p w14:paraId="22153F94">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显卡： RTX4080S-16G</w:t>
            </w:r>
            <w:r>
              <w:rPr>
                <w:rFonts w:hint="eastAsia" w:ascii="仿宋" w:hAnsi="仿宋" w:eastAsia="仿宋"/>
                <w:sz w:val="24"/>
                <w:lang w:eastAsia="zh-CN"/>
              </w:rPr>
              <w:t>，</w:t>
            </w:r>
            <w:r>
              <w:rPr>
                <w:rFonts w:hint="eastAsia" w:ascii="仿宋" w:hAnsi="仿宋" w:eastAsia="仿宋"/>
                <w:sz w:val="24"/>
                <w:lang w:val="en-US" w:eastAsia="zh-CN"/>
              </w:rPr>
              <w:t>满足</w:t>
            </w:r>
            <w:r>
              <w:rPr>
                <w:rFonts w:hint="eastAsia" w:ascii="仿宋" w:hAnsi="仿宋" w:eastAsia="仿宋"/>
                <w:sz w:val="24"/>
              </w:rPr>
              <w:t>同等及以上</w:t>
            </w:r>
            <w:r>
              <w:rPr>
                <w:rFonts w:hint="eastAsia" w:ascii="仿宋" w:hAnsi="仿宋" w:eastAsia="仿宋"/>
                <w:sz w:val="24"/>
                <w:lang w:val="en-US" w:eastAsia="zh-CN"/>
              </w:rPr>
              <w:t>要求</w:t>
            </w:r>
            <w:r>
              <w:rPr>
                <w:rFonts w:hint="eastAsia" w:ascii="仿宋" w:hAnsi="仿宋" w:eastAsia="仿宋"/>
                <w:sz w:val="24"/>
              </w:rPr>
              <w:t>；</w:t>
            </w:r>
          </w:p>
          <w:p w14:paraId="39D53641">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声卡： 集成7.1声道声卡</w:t>
            </w:r>
            <w:r>
              <w:rPr>
                <w:rFonts w:hint="eastAsia" w:ascii="仿宋" w:hAnsi="仿宋" w:eastAsia="仿宋"/>
                <w:sz w:val="24"/>
                <w:lang w:eastAsia="zh-CN"/>
              </w:rPr>
              <w:t>，</w:t>
            </w:r>
            <w:r>
              <w:rPr>
                <w:rFonts w:hint="eastAsia" w:ascii="仿宋" w:hAnsi="仿宋" w:eastAsia="仿宋"/>
                <w:sz w:val="24"/>
                <w:lang w:val="en-US" w:eastAsia="zh-CN"/>
              </w:rPr>
              <w:t>满足</w:t>
            </w:r>
            <w:r>
              <w:rPr>
                <w:rFonts w:hint="eastAsia" w:ascii="仿宋" w:hAnsi="仿宋" w:eastAsia="仿宋"/>
                <w:sz w:val="24"/>
              </w:rPr>
              <w:t>同等及以上</w:t>
            </w:r>
            <w:r>
              <w:rPr>
                <w:rFonts w:hint="eastAsia" w:ascii="仿宋" w:hAnsi="仿宋" w:eastAsia="仿宋"/>
                <w:sz w:val="24"/>
                <w:lang w:val="en-US" w:eastAsia="zh-CN"/>
              </w:rPr>
              <w:t>要求</w:t>
            </w:r>
            <w:r>
              <w:rPr>
                <w:rFonts w:hint="eastAsia" w:ascii="仿宋" w:hAnsi="仿宋" w:eastAsia="仿宋"/>
                <w:sz w:val="24"/>
              </w:rPr>
              <w:t>；</w:t>
            </w:r>
          </w:p>
          <w:p w14:paraId="2A28FDC3">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网卡：板载千兆RJ45自适应网卡</w:t>
            </w:r>
            <w:r>
              <w:rPr>
                <w:rFonts w:hint="eastAsia" w:ascii="仿宋" w:hAnsi="仿宋" w:eastAsia="仿宋"/>
                <w:sz w:val="24"/>
                <w:lang w:eastAsia="zh-CN"/>
              </w:rPr>
              <w:t>，</w:t>
            </w:r>
            <w:r>
              <w:rPr>
                <w:rFonts w:hint="eastAsia" w:ascii="仿宋" w:hAnsi="仿宋" w:eastAsia="仿宋"/>
                <w:sz w:val="24"/>
                <w:lang w:val="en-US" w:eastAsia="zh-CN"/>
              </w:rPr>
              <w:t>满足</w:t>
            </w:r>
            <w:r>
              <w:rPr>
                <w:rFonts w:hint="eastAsia" w:ascii="仿宋" w:hAnsi="仿宋" w:eastAsia="仿宋"/>
                <w:sz w:val="24"/>
              </w:rPr>
              <w:t>同等及以上</w:t>
            </w:r>
            <w:r>
              <w:rPr>
                <w:rFonts w:hint="eastAsia" w:ascii="仿宋" w:hAnsi="仿宋" w:eastAsia="仿宋"/>
                <w:sz w:val="24"/>
                <w:lang w:val="en-US" w:eastAsia="zh-CN"/>
              </w:rPr>
              <w:t>要求</w:t>
            </w:r>
            <w:r>
              <w:rPr>
                <w:rFonts w:hint="eastAsia" w:ascii="仿宋" w:hAnsi="仿宋" w:eastAsia="仿宋"/>
                <w:sz w:val="24"/>
              </w:rPr>
              <w:t>；</w:t>
            </w:r>
          </w:p>
          <w:p w14:paraId="1D6F45B7">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I/O接口：3个 PCIe 接口、3个M.2接口、5个音频接口、8个USB接口；</w:t>
            </w:r>
          </w:p>
          <w:p w14:paraId="16570433">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视频输出接口：原生VGA+HDMI+DP*2 四显接口；</w:t>
            </w:r>
          </w:p>
          <w:p w14:paraId="5FB489DE">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显示器：27英寸IPS (1920 x 1080) 护眼显示器，刷新率120Hz,VGA+HDMI双接口；</w:t>
            </w:r>
            <w:r>
              <w:rPr>
                <w:rFonts w:hint="eastAsia" w:ascii="仿宋" w:hAnsi="仿宋" w:eastAsia="仿宋"/>
                <w:sz w:val="24"/>
                <w:lang w:val="en-US" w:eastAsia="zh-CN"/>
              </w:rPr>
              <w:t>满足</w:t>
            </w:r>
            <w:r>
              <w:rPr>
                <w:rFonts w:hint="eastAsia" w:ascii="仿宋" w:hAnsi="仿宋" w:eastAsia="仿宋"/>
                <w:sz w:val="24"/>
              </w:rPr>
              <w:t>同等及以上</w:t>
            </w:r>
            <w:r>
              <w:rPr>
                <w:rFonts w:hint="eastAsia" w:ascii="仿宋" w:hAnsi="仿宋" w:eastAsia="仿宋"/>
                <w:sz w:val="24"/>
                <w:lang w:val="en-US" w:eastAsia="zh-CN"/>
              </w:rPr>
              <w:t>要求。</w:t>
            </w:r>
          </w:p>
          <w:p w14:paraId="70DB239B">
            <w:pPr>
              <w:pStyle w:val="128"/>
              <w:numPr>
                <w:ilvl w:val="0"/>
                <w:numId w:val="1"/>
              </w:numPr>
              <w:spacing w:line="360" w:lineRule="auto"/>
              <w:ind w:firstLine="0" w:firstLineChars="0"/>
              <w:rPr>
                <w:rFonts w:ascii="仿宋" w:hAnsi="仿宋" w:eastAsia="仿宋"/>
                <w:sz w:val="24"/>
              </w:rPr>
            </w:pPr>
            <w:r>
              <w:rPr>
                <w:rFonts w:hint="eastAsia" w:ascii="仿宋" w:hAnsi="仿宋" w:eastAsia="仿宋"/>
                <w:sz w:val="24"/>
              </w:rPr>
              <w:t>电源：≥750W高性能电源；电压范围89V-265V之间可正常工作；</w:t>
            </w:r>
          </w:p>
          <w:p w14:paraId="58FBB2C9">
            <w:pPr>
              <w:pStyle w:val="128"/>
              <w:numPr>
                <w:ilvl w:val="0"/>
                <w:numId w:val="1"/>
              </w:numPr>
              <w:spacing w:line="360" w:lineRule="auto"/>
              <w:ind w:firstLine="0" w:firstLineChars="0"/>
              <w:rPr>
                <w:rFonts w:ascii="仿宋" w:hAnsi="仿宋" w:eastAsia="仿宋" w:cs="仿宋"/>
                <w:sz w:val="24"/>
              </w:rPr>
            </w:pPr>
            <w:r>
              <w:rPr>
                <w:rFonts w:hint="eastAsia" w:ascii="仿宋" w:hAnsi="仿宋" w:eastAsia="仿宋"/>
                <w:sz w:val="24"/>
              </w:rPr>
              <w:t>原厂预装正版操作系统软件专业版及上门保修服务。</w:t>
            </w:r>
          </w:p>
        </w:tc>
      </w:tr>
      <w:tr w14:paraId="63FA1C9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AD31F1">
            <w:pPr>
              <w:widowControl/>
              <w:autoSpaceDN w:val="0"/>
              <w:spacing w:line="360" w:lineRule="auto"/>
              <w:jc w:val="center"/>
              <w:rPr>
                <w:rFonts w:ascii="仿宋" w:hAnsi="仿宋" w:eastAsia="仿宋" w:cs="仿宋"/>
                <w:sz w:val="24"/>
              </w:rPr>
            </w:pPr>
            <w:r>
              <w:rPr>
                <w:rFonts w:hint="eastAsia" w:ascii="仿宋" w:hAnsi="仿宋" w:eastAsia="仿宋" w:cs="仿宋"/>
                <w:sz w:val="24"/>
              </w:rPr>
              <w:t>3</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360EB1">
            <w:pPr>
              <w:widowControl/>
              <w:autoSpaceDN w:val="0"/>
              <w:spacing w:line="360" w:lineRule="auto"/>
              <w:jc w:val="center"/>
              <w:rPr>
                <w:rFonts w:ascii="仿宋" w:hAnsi="仿宋" w:eastAsia="仿宋" w:cs="仿宋"/>
                <w:sz w:val="24"/>
              </w:rPr>
            </w:pPr>
            <w:r>
              <w:rPr>
                <w:rFonts w:hint="eastAsia" w:ascii="仿宋" w:hAnsi="仿宋" w:eastAsia="仿宋" w:cs="仿宋"/>
                <w:sz w:val="24"/>
              </w:rPr>
              <w:t>温度传感器校验装置</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180CD9F">
            <w:pPr>
              <w:spacing w:line="360" w:lineRule="auto"/>
              <w:rPr>
                <w:rFonts w:eastAsia="仿宋"/>
                <w:b/>
                <w:bCs/>
                <w:sz w:val="24"/>
              </w:rPr>
            </w:pPr>
            <w:r>
              <w:rPr>
                <w:rFonts w:hint="eastAsia" w:eastAsia="仿宋"/>
                <w:b/>
                <w:bCs/>
                <w:sz w:val="24"/>
              </w:rPr>
              <w:t>基本参数要求：</w:t>
            </w:r>
          </w:p>
          <w:p w14:paraId="68D69AFE">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外形尺寸(D*W*H)：1100*900*1700mm（约）</w:t>
            </w:r>
          </w:p>
          <w:p w14:paraId="57B774D8">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温度范围：-60℃-150℃</w:t>
            </w:r>
          </w:p>
          <w:p w14:paraId="544E9B3E">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温度分辨率：0.01℃</w:t>
            </w:r>
          </w:p>
          <w:p w14:paraId="449C41BA">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温度波动度：±0.5℃</w:t>
            </w:r>
          </w:p>
          <w:p w14:paraId="45B40512">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温度均匀度：≤±0.5℃</w:t>
            </w:r>
          </w:p>
          <w:p w14:paraId="59E405DB">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升温速率：约 1℃~3℃/min   (空载测试)</w:t>
            </w:r>
          </w:p>
          <w:p w14:paraId="06F56B73">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降温速率：约 0.7℃~1℃/min (空载测试)</w:t>
            </w:r>
          </w:p>
          <w:p w14:paraId="4FC64E80">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湿度范围：20-98%RH</w:t>
            </w:r>
          </w:p>
          <w:p w14:paraId="26577D9A">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湿度分辨率：0.01%RH</w:t>
            </w:r>
          </w:p>
          <w:p w14:paraId="2F735F43">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湿度偏差：±2.0%RH（湿度 ＞ 75%RH）</w:t>
            </w:r>
          </w:p>
          <w:p w14:paraId="45C2B450">
            <w:pPr>
              <w:spacing w:line="360" w:lineRule="auto"/>
              <w:rPr>
                <w:rFonts w:ascii="仿宋" w:hAnsi="仿宋" w:eastAsia="仿宋" w:cs="仿宋"/>
                <w:sz w:val="24"/>
                <w:lang w:val="en-GB"/>
              </w:rPr>
            </w:pPr>
            <w:r>
              <w:rPr>
                <w:rFonts w:hint="eastAsia" w:ascii="仿宋" w:hAnsi="仿宋" w:eastAsia="仿宋" w:cs="仿宋"/>
                <w:sz w:val="24"/>
                <w:lang w:val="en-GB"/>
              </w:rPr>
              <w:t>±3.0%RH（湿度 ≤ 75%RH）</w:t>
            </w:r>
          </w:p>
          <w:p w14:paraId="2BC9E2E3">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电源功率：380V/7.5</w:t>
            </w:r>
            <w:r>
              <w:rPr>
                <w:rFonts w:hint="eastAsia"/>
              </w:rPr>
              <w:t>kW</w:t>
            </w:r>
          </w:p>
          <w:p w14:paraId="7E1AB0DA">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设备重量：约 380</w:t>
            </w:r>
            <w:r>
              <w:rPr>
                <w:rFonts w:hint="eastAsia"/>
              </w:rPr>
              <w:t>Kg</w:t>
            </w:r>
          </w:p>
          <w:p w14:paraId="6538597A">
            <w:pPr>
              <w:numPr>
                <w:ilvl w:val="0"/>
                <w:numId w:val="2"/>
              </w:numPr>
              <w:spacing w:line="360" w:lineRule="auto"/>
              <w:ind w:left="390" w:hanging="390"/>
              <w:rPr>
                <w:rFonts w:ascii="仿宋" w:hAnsi="仿宋" w:eastAsia="仿宋" w:cs="仿宋"/>
                <w:sz w:val="24"/>
                <w:lang w:val="en-GB"/>
              </w:rPr>
            </w:pPr>
            <w:r>
              <w:rPr>
                <w:rFonts w:hint="eastAsia" w:ascii="仿宋" w:hAnsi="仿宋" w:eastAsia="仿宋" w:cs="仿宋"/>
                <w:sz w:val="24"/>
                <w:lang w:val="en-GB"/>
              </w:rPr>
              <w:t>设备噪音：≤75dB</w:t>
            </w:r>
          </w:p>
          <w:p w14:paraId="33E7C7C3">
            <w:pPr>
              <w:spacing w:line="360" w:lineRule="auto"/>
              <w:ind w:left="390" w:hanging="390"/>
              <w:rPr>
                <w:rFonts w:eastAsia="仿宋"/>
                <w:sz w:val="24"/>
              </w:rPr>
            </w:pPr>
            <w:r>
              <w:rPr>
                <w:rFonts w:hint="eastAsia" w:eastAsia="仿宋"/>
                <w:b/>
                <w:bCs/>
                <w:sz w:val="24"/>
              </w:rPr>
              <w:t>箱体结构：</w:t>
            </w:r>
            <w:r>
              <w:rPr>
                <w:rFonts w:hint="eastAsia" w:eastAsia="仿宋"/>
                <w:sz w:val="24"/>
              </w:rPr>
              <w:t>试验箱采用整体结构形式，箱体工作室采用整体焊接工艺，采用耐高低温有机硅胶材料密封，公司装配完成，整体发货。箱体上部为工作室，内有送风电机、无火花离心扇叶、限制温度带护套加热器、机械制冷及纯铜片耐腐蚀制冷蒸发器等。</w:t>
            </w:r>
          </w:p>
          <w:p w14:paraId="6E066941">
            <w:pPr>
              <w:numPr>
                <w:ilvl w:val="0"/>
                <w:numId w:val="3"/>
              </w:numPr>
              <w:spacing w:line="360" w:lineRule="auto"/>
              <w:rPr>
                <w:rFonts w:ascii="仿宋" w:hAnsi="仿宋" w:eastAsia="仿宋" w:cs="仿宋"/>
                <w:sz w:val="24"/>
              </w:rPr>
            </w:pPr>
            <w:r>
              <w:rPr>
                <w:rFonts w:hint="eastAsia" w:eastAsia="仿宋"/>
                <w:sz w:val="24"/>
              </w:rPr>
              <w:t>内胆材质：</w:t>
            </w:r>
            <w:r>
              <w:rPr>
                <w:rFonts w:hint="eastAsia" w:ascii="仿宋" w:hAnsi="仿宋" w:eastAsia="仿宋" w:cs="仿宋"/>
                <w:sz w:val="24"/>
              </w:rPr>
              <w:t>SUS304 1.2mm</w:t>
            </w:r>
          </w:p>
          <w:p w14:paraId="0CBB1551">
            <w:pPr>
              <w:numPr>
                <w:ilvl w:val="0"/>
                <w:numId w:val="3"/>
              </w:numPr>
              <w:spacing w:line="360" w:lineRule="auto"/>
              <w:rPr>
                <w:rFonts w:ascii="仿宋" w:hAnsi="仿宋" w:eastAsia="仿宋" w:cs="仿宋"/>
                <w:sz w:val="24"/>
              </w:rPr>
            </w:pPr>
            <w:r>
              <w:rPr>
                <w:rFonts w:hint="eastAsia" w:ascii="仿宋" w:hAnsi="仿宋" w:eastAsia="仿宋" w:cs="仿宋"/>
                <w:sz w:val="24"/>
              </w:rPr>
              <w:t>外壳材质：采用优质镀锌板表面经酸洗磷化处理后静电喷塑。</w:t>
            </w:r>
          </w:p>
          <w:p w14:paraId="343F70EB">
            <w:pPr>
              <w:numPr>
                <w:ilvl w:val="0"/>
                <w:numId w:val="3"/>
              </w:numPr>
              <w:spacing w:line="360" w:lineRule="auto"/>
              <w:rPr>
                <w:rFonts w:ascii="仿宋" w:hAnsi="仿宋" w:eastAsia="仿宋" w:cs="仿宋"/>
                <w:sz w:val="24"/>
              </w:rPr>
            </w:pPr>
            <w:r>
              <w:rPr>
                <w:rFonts w:hint="eastAsia" w:ascii="仿宋" w:hAnsi="仿宋" w:eastAsia="仿宋" w:cs="仿宋"/>
                <w:sz w:val="24"/>
              </w:rPr>
              <w:t>保温材料：采用聚氨酯发泡及超细玻璃纤维（厚度 100mm） ，环保安全， 无毒无异味。</w:t>
            </w:r>
          </w:p>
          <w:p w14:paraId="3A1F8EA4">
            <w:pPr>
              <w:numPr>
                <w:ilvl w:val="0"/>
                <w:numId w:val="3"/>
              </w:numPr>
              <w:spacing w:line="360" w:lineRule="auto"/>
              <w:rPr>
                <w:rFonts w:ascii="仿宋" w:hAnsi="仿宋" w:eastAsia="仿宋" w:cs="仿宋"/>
                <w:sz w:val="24"/>
              </w:rPr>
            </w:pPr>
            <w:r>
              <w:rPr>
                <w:rFonts w:hint="eastAsia" w:ascii="仿宋" w:hAnsi="仿宋" w:eastAsia="仿宋" w:cs="仿宋"/>
                <w:sz w:val="24"/>
              </w:rPr>
              <w:t>控制操作面板：位于箱体门一侧，符合人工学设计，操作快捷方便。</w:t>
            </w:r>
          </w:p>
          <w:p w14:paraId="044F63B0">
            <w:pPr>
              <w:numPr>
                <w:ilvl w:val="0"/>
                <w:numId w:val="3"/>
              </w:numPr>
              <w:spacing w:line="360" w:lineRule="auto"/>
              <w:rPr>
                <w:rFonts w:ascii="仿宋" w:hAnsi="仿宋" w:eastAsia="仿宋" w:cs="仿宋"/>
                <w:sz w:val="24"/>
              </w:rPr>
            </w:pPr>
            <w:r>
              <w:rPr>
                <w:rFonts w:hint="eastAsia" w:ascii="仿宋" w:hAnsi="仿宋" w:eastAsia="仿宋" w:cs="仿宋"/>
                <w:sz w:val="24"/>
              </w:rPr>
              <w:t>门体设计：采用单开门设计，并设有内外双层设计， 门与箱体之间采用双 层硅 橡胶密封条，耐高低温，抗老化，密封性能良好。为了防 止低温试验时 门框和门的边沿凝露或结霜，门框和门的边沿设 置有电热除霜装置。</w:t>
            </w:r>
          </w:p>
          <w:p w14:paraId="53262850">
            <w:pPr>
              <w:numPr>
                <w:ilvl w:val="0"/>
                <w:numId w:val="3"/>
              </w:numPr>
              <w:spacing w:line="360" w:lineRule="auto"/>
              <w:rPr>
                <w:rFonts w:ascii="仿宋" w:hAnsi="仿宋" w:eastAsia="仿宋" w:cs="仿宋"/>
                <w:sz w:val="24"/>
              </w:rPr>
            </w:pPr>
            <w:r>
              <w:rPr>
                <w:rFonts w:hint="eastAsia" w:ascii="仿宋" w:hAnsi="仿宋" w:eastAsia="仿宋" w:cs="仿宋"/>
                <w:sz w:val="24"/>
              </w:rPr>
              <w:t>加强结构件：为防止试验箱体发生变形，特在箱体内部采用 80#槽钢加强， 防止因箱门过重，发生箱门变形，影响密封性能等。</w:t>
            </w:r>
          </w:p>
          <w:p w14:paraId="5012858F">
            <w:pPr>
              <w:numPr>
                <w:ilvl w:val="0"/>
                <w:numId w:val="3"/>
              </w:numPr>
              <w:spacing w:line="360" w:lineRule="auto"/>
              <w:rPr>
                <w:rFonts w:ascii="仿宋" w:hAnsi="仿宋" w:eastAsia="仿宋" w:cs="仿宋"/>
                <w:sz w:val="24"/>
              </w:rPr>
            </w:pPr>
            <w:r>
              <w:rPr>
                <w:rFonts w:hint="eastAsia" w:ascii="仿宋" w:hAnsi="仿宋" w:eastAsia="仿宋" w:cs="仿宋"/>
                <w:sz w:val="24"/>
              </w:rPr>
              <w:t>隔物架：标准 2 块，每块承重≥25</w:t>
            </w:r>
            <w:r>
              <w:rPr>
                <w:rFonts w:hint="eastAsia"/>
              </w:rPr>
              <w:t>Kg</w:t>
            </w:r>
          </w:p>
          <w:p w14:paraId="1EEE8D1F">
            <w:pPr>
              <w:numPr>
                <w:ilvl w:val="0"/>
                <w:numId w:val="3"/>
              </w:numPr>
              <w:spacing w:line="360" w:lineRule="auto"/>
              <w:rPr>
                <w:rFonts w:ascii="仿宋" w:hAnsi="仿宋" w:eastAsia="仿宋" w:cs="仿宋"/>
                <w:sz w:val="24"/>
              </w:rPr>
            </w:pPr>
            <w:r>
              <w:rPr>
                <w:rFonts w:hint="eastAsia" w:ascii="仿宋" w:hAnsi="仿宋" w:eastAsia="仿宋" w:cs="仿宋"/>
                <w:sz w:val="24"/>
              </w:rPr>
              <w:t>测试孔：箱体左侧开设一个φ50mm</w:t>
            </w:r>
          </w:p>
          <w:p w14:paraId="0C30FA8E">
            <w:pPr>
              <w:numPr>
                <w:ilvl w:val="0"/>
                <w:numId w:val="3"/>
              </w:numPr>
              <w:spacing w:line="360" w:lineRule="auto"/>
              <w:rPr>
                <w:rFonts w:ascii="仿宋" w:hAnsi="仿宋" w:eastAsia="仿宋" w:cs="仿宋"/>
                <w:sz w:val="24"/>
              </w:rPr>
            </w:pPr>
            <w:r>
              <w:rPr>
                <w:rFonts w:hint="eastAsia" w:ascii="仿宋" w:hAnsi="仿宋" w:eastAsia="仿宋" w:cs="仿宋"/>
                <w:sz w:val="24"/>
              </w:rPr>
              <w:t>观察窗口：测试室大门上设有 1 个可视玻璃窗口：200×300mm（W*H）中空 电阻膜加热防霜观察窗。</w:t>
            </w:r>
          </w:p>
          <w:p w14:paraId="204FA96C">
            <w:pPr>
              <w:spacing w:line="360" w:lineRule="auto"/>
              <w:rPr>
                <w:rFonts w:eastAsia="仿宋"/>
                <w:b/>
                <w:bCs/>
                <w:sz w:val="24"/>
              </w:rPr>
            </w:pPr>
            <w:r>
              <w:rPr>
                <w:rFonts w:hint="eastAsia" w:eastAsia="仿宋"/>
                <w:b/>
                <w:bCs/>
                <w:sz w:val="24"/>
              </w:rPr>
              <w:t>空气调节系统：</w:t>
            </w:r>
          </w:p>
          <w:p w14:paraId="0E0F5763">
            <w:pPr>
              <w:numPr>
                <w:ilvl w:val="0"/>
                <w:numId w:val="4"/>
              </w:numPr>
              <w:spacing w:line="360" w:lineRule="auto"/>
              <w:rPr>
                <w:rFonts w:ascii="仿宋" w:hAnsi="仿宋" w:eastAsia="仿宋" w:cs="仿宋"/>
                <w:sz w:val="24"/>
              </w:rPr>
            </w:pPr>
            <w:r>
              <w:rPr>
                <w:rFonts w:hint="eastAsia" w:ascii="仿宋" w:hAnsi="仿宋" w:eastAsia="仿宋" w:cs="仿宋"/>
                <w:sz w:val="24"/>
              </w:rPr>
              <w:t>温度传感器：PT100 高精度传感器</w:t>
            </w:r>
          </w:p>
          <w:p w14:paraId="441A57A6">
            <w:pPr>
              <w:numPr>
                <w:ilvl w:val="0"/>
                <w:numId w:val="4"/>
              </w:numPr>
              <w:spacing w:line="360" w:lineRule="auto"/>
              <w:rPr>
                <w:rFonts w:ascii="仿宋" w:hAnsi="仿宋" w:eastAsia="仿宋" w:cs="仿宋"/>
                <w:sz w:val="24"/>
              </w:rPr>
            </w:pPr>
            <w:r>
              <w:rPr>
                <w:rFonts w:hint="eastAsia" w:ascii="仿宋" w:hAnsi="仿宋" w:eastAsia="仿宋" w:cs="仿宋"/>
                <w:sz w:val="24"/>
              </w:rPr>
              <w:t>调控方式：空气强制循环，静平衡调温</w:t>
            </w:r>
          </w:p>
          <w:p w14:paraId="33379DCB">
            <w:pPr>
              <w:numPr>
                <w:ilvl w:val="0"/>
                <w:numId w:val="4"/>
              </w:numPr>
              <w:spacing w:line="360" w:lineRule="auto"/>
              <w:rPr>
                <w:rFonts w:ascii="仿宋" w:hAnsi="仿宋" w:eastAsia="仿宋" w:cs="仿宋"/>
                <w:sz w:val="24"/>
              </w:rPr>
            </w:pPr>
            <w:r>
              <w:rPr>
                <w:rFonts w:hint="eastAsia" w:ascii="仿宋" w:hAnsi="仿宋" w:eastAsia="仿宋" w:cs="仿宋"/>
                <w:sz w:val="24"/>
              </w:rPr>
              <w:t>空气循环装置：根据试验箱容积的大小，风道特殊设计，采用2台离心式风机， 长轴外置电机驱动，确保送负强劲，温度均匀性达到要求。</w:t>
            </w:r>
          </w:p>
          <w:p w14:paraId="20F59B46">
            <w:pPr>
              <w:numPr>
                <w:ilvl w:val="0"/>
                <w:numId w:val="4"/>
              </w:numPr>
              <w:spacing w:line="360" w:lineRule="auto"/>
              <w:rPr>
                <w:rFonts w:ascii="仿宋" w:hAnsi="仿宋" w:eastAsia="仿宋" w:cs="仿宋"/>
                <w:sz w:val="24"/>
              </w:rPr>
            </w:pPr>
            <w:r>
              <w:rPr>
                <w:rFonts w:hint="eastAsia" w:ascii="仿宋" w:hAnsi="仿宋" w:eastAsia="仿宋" w:cs="仿宋"/>
                <w:sz w:val="24"/>
              </w:rPr>
              <w:t>加热方式：采用限制温度的护套型加热器，PID 调节， 执行元件：固态继电器，PID+SSR。</w:t>
            </w:r>
          </w:p>
          <w:p w14:paraId="1CFFD71C">
            <w:pPr>
              <w:spacing w:line="360" w:lineRule="auto"/>
              <w:rPr>
                <w:rFonts w:eastAsia="仿宋"/>
                <w:b/>
                <w:bCs/>
                <w:sz w:val="24"/>
              </w:rPr>
            </w:pPr>
            <w:r>
              <w:rPr>
                <w:rFonts w:hint="eastAsia" w:eastAsia="仿宋"/>
                <w:b/>
                <w:bCs/>
                <w:sz w:val="24"/>
              </w:rPr>
              <w:t>制冷系统：</w:t>
            </w:r>
          </w:p>
          <w:p w14:paraId="5F36C130">
            <w:pPr>
              <w:numPr>
                <w:ilvl w:val="0"/>
                <w:numId w:val="5"/>
              </w:numPr>
              <w:spacing w:line="360" w:lineRule="auto"/>
              <w:rPr>
                <w:rFonts w:ascii="仿宋" w:hAnsi="仿宋" w:eastAsia="仿宋" w:cs="仿宋"/>
                <w:sz w:val="24"/>
              </w:rPr>
            </w:pPr>
            <w:r>
              <w:rPr>
                <w:rFonts w:hint="eastAsia" w:ascii="仿宋" w:hAnsi="仿宋" w:eastAsia="仿宋" w:cs="仿宋"/>
                <w:sz w:val="24"/>
              </w:rPr>
              <w:t>制冷方式:机械制冷，低噪音压缩机 2 台组成 一组制冷系统。</w:t>
            </w:r>
          </w:p>
          <w:p w14:paraId="4E159C1E">
            <w:pPr>
              <w:numPr>
                <w:ilvl w:val="0"/>
                <w:numId w:val="5"/>
              </w:numPr>
              <w:spacing w:line="360" w:lineRule="auto"/>
              <w:rPr>
                <w:rFonts w:ascii="仿宋" w:hAnsi="仿宋" w:eastAsia="仿宋" w:cs="仿宋"/>
                <w:sz w:val="24"/>
              </w:rPr>
            </w:pPr>
            <w:r>
              <w:rPr>
                <w:rFonts w:ascii="仿宋" w:hAnsi="仿宋" w:eastAsia="仿宋" w:cs="仿宋"/>
                <w:sz w:val="24"/>
              </w:rPr>
              <w:t>低温主要配件</w:t>
            </w:r>
            <w:r>
              <w:rPr>
                <w:rFonts w:hint="eastAsia" w:ascii="仿宋" w:hAnsi="仿宋" w:eastAsia="仿宋" w:cs="仿宋"/>
                <w:sz w:val="24"/>
              </w:rPr>
              <w:t>：电磁阀、过滤器、膨胀阀、压缩机。</w:t>
            </w:r>
          </w:p>
          <w:p w14:paraId="01B8768D">
            <w:pPr>
              <w:numPr>
                <w:ilvl w:val="0"/>
                <w:numId w:val="5"/>
              </w:numPr>
              <w:spacing w:line="360" w:lineRule="auto"/>
              <w:rPr>
                <w:rFonts w:ascii="仿宋" w:hAnsi="仿宋" w:eastAsia="仿宋" w:cs="仿宋"/>
                <w:sz w:val="24"/>
              </w:rPr>
            </w:pPr>
            <w:r>
              <w:rPr>
                <w:rFonts w:ascii="仿宋" w:hAnsi="仿宋" w:eastAsia="仿宋" w:cs="仿宋"/>
                <w:sz w:val="24"/>
              </w:rPr>
              <w:t>蒸发器</w:t>
            </w:r>
            <w:r>
              <w:rPr>
                <w:rFonts w:hint="eastAsia" w:ascii="仿宋" w:hAnsi="仿宋" w:eastAsia="仿宋" w:cs="仿宋"/>
                <w:sz w:val="24"/>
              </w:rPr>
              <w:t>：翅片式风冷冷凝器</w:t>
            </w:r>
          </w:p>
          <w:p w14:paraId="4313FF75">
            <w:pPr>
              <w:numPr>
                <w:ilvl w:val="0"/>
                <w:numId w:val="5"/>
              </w:numPr>
              <w:spacing w:line="360" w:lineRule="auto"/>
              <w:rPr>
                <w:rFonts w:ascii="仿宋" w:hAnsi="仿宋" w:eastAsia="仿宋" w:cs="仿宋"/>
                <w:sz w:val="24"/>
              </w:rPr>
            </w:pPr>
            <w:r>
              <w:rPr>
                <w:rFonts w:ascii="仿宋" w:hAnsi="仿宋" w:eastAsia="仿宋" w:cs="仿宋"/>
                <w:sz w:val="24"/>
              </w:rPr>
              <w:t>充氮焊接工艺</w:t>
            </w:r>
            <w:r>
              <w:rPr>
                <w:rFonts w:hint="eastAsia" w:ascii="仿宋" w:hAnsi="仿宋" w:eastAsia="仿宋" w:cs="仿宋"/>
                <w:sz w:val="24"/>
              </w:rPr>
              <w:t>:低温联接管路采用优质无氧铜管，使用知名电动弯管机进行管路的制作、充氮焊接、48 小时高保压防泄漏工艺以确保焊接质量。</w:t>
            </w:r>
          </w:p>
          <w:p w14:paraId="69D020E6">
            <w:pPr>
              <w:numPr>
                <w:ilvl w:val="0"/>
                <w:numId w:val="5"/>
              </w:numPr>
              <w:spacing w:line="360" w:lineRule="auto"/>
              <w:rPr>
                <w:rFonts w:ascii="仿宋" w:hAnsi="仿宋" w:eastAsia="仿宋" w:cs="仿宋"/>
                <w:sz w:val="24"/>
              </w:rPr>
            </w:pPr>
            <w:r>
              <w:rPr>
                <w:rFonts w:ascii="仿宋" w:hAnsi="仿宋" w:eastAsia="仿宋" w:cs="仿宋"/>
                <w:sz w:val="24"/>
              </w:rPr>
              <w:t>降噪措施</w:t>
            </w:r>
            <w:r>
              <w:rPr>
                <w:rFonts w:hint="eastAsia" w:ascii="仿宋" w:hAnsi="仿宋" w:eastAsia="仿宋" w:cs="仿宋"/>
                <w:sz w:val="24"/>
              </w:rPr>
              <w:t>：低温管路配备减震工艺管，降低压缩机工作时带来的噪音。制 冷机组采用减震簧和胶垫进行减震和降噪。</w:t>
            </w:r>
          </w:p>
          <w:p w14:paraId="00F070C4">
            <w:pPr>
              <w:numPr>
                <w:ilvl w:val="0"/>
                <w:numId w:val="5"/>
              </w:numPr>
              <w:spacing w:line="360" w:lineRule="auto"/>
              <w:rPr>
                <w:rFonts w:ascii="仿宋" w:hAnsi="仿宋" w:eastAsia="仿宋" w:cs="仿宋"/>
                <w:sz w:val="24"/>
              </w:rPr>
            </w:pPr>
            <w:r>
              <w:rPr>
                <w:rFonts w:ascii="仿宋" w:hAnsi="仿宋" w:eastAsia="仿宋" w:cs="仿宋"/>
                <w:sz w:val="24"/>
              </w:rPr>
              <w:t>制冷能量调节技术</w:t>
            </w:r>
            <w:r>
              <w:rPr>
                <w:rFonts w:hint="eastAsia" w:ascii="仿宋" w:hAnsi="仿宋" w:eastAsia="仿宋" w:cs="仿宋"/>
                <w:sz w:val="24"/>
              </w:rPr>
              <w:t>：温度平衡方式：采取自动流量控制制冷能量调节技术，即中央控制器根据不同的温度点通过控制制冷量的大小，使设备运行始终处于相对低功耗状态。</w:t>
            </w:r>
          </w:p>
          <w:p w14:paraId="4C6CCABA">
            <w:pPr>
              <w:numPr>
                <w:ilvl w:val="0"/>
                <w:numId w:val="5"/>
              </w:numPr>
              <w:spacing w:line="360" w:lineRule="auto"/>
              <w:rPr>
                <w:rFonts w:ascii="仿宋" w:hAnsi="仿宋" w:eastAsia="仿宋" w:cs="仿宋"/>
                <w:sz w:val="24"/>
              </w:rPr>
            </w:pPr>
            <w:r>
              <w:rPr>
                <w:rFonts w:ascii="仿宋" w:hAnsi="仿宋" w:eastAsia="仿宋" w:cs="仿宋"/>
                <w:sz w:val="24"/>
              </w:rPr>
              <w:t>冷凝方式</w:t>
            </w:r>
            <w:r>
              <w:rPr>
                <w:rFonts w:hint="eastAsia" w:ascii="仿宋" w:hAnsi="仿宋" w:eastAsia="仿宋" w:cs="仿宋"/>
                <w:sz w:val="24"/>
              </w:rPr>
              <w:t>：风冷式</w:t>
            </w:r>
          </w:p>
          <w:p w14:paraId="082150C6">
            <w:pPr>
              <w:numPr>
                <w:ilvl w:val="0"/>
                <w:numId w:val="5"/>
              </w:numPr>
              <w:spacing w:line="360" w:lineRule="auto"/>
              <w:rPr>
                <w:rFonts w:ascii="仿宋" w:hAnsi="仿宋" w:eastAsia="仿宋" w:cs="仿宋"/>
                <w:sz w:val="24"/>
              </w:rPr>
            </w:pPr>
            <w:r>
              <w:rPr>
                <w:rFonts w:ascii="仿宋" w:hAnsi="仿宋" w:eastAsia="仿宋" w:cs="仿宋"/>
                <w:sz w:val="24"/>
              </w:rPr>
              <w:t>制冷剂</w:t>
            </w:r>
            <w:r>
              <w:rPr>
                <w:rFonts w:hint="eastAsia" w:ascii="仿宋" w:hAnsi="仿宋" w:eastAsia="仿宋" w:cs="仿宋"/>
                <w:sz w:val="24"/>
              </w:rPr>
              <w:t>：采用 R404a、R23 环保制冷剂。</w:t>
            </w:r>
          </w:p>
          <w:p w14:paraId="247B8417">
            <w:pPr>
              <w:spacing w:line="360" w:lineRule="auto"/>
              <w:rPr>
                <w:rFonts w:eastAsia="仿宋"/>
                <w:b/>
                <w:bCs/>
                <w:sz w:val="24"/>
              </w:rPr>
            </w:pPr>
            <w:r>
              <w:rPr>
                <w:rFonts w:hint="eastAsia" w:eastAsia="仿宋"/>
                <w:b/>
                <w:bCs/>
                <w:sz w:val="24"/>
              </w:rPr>
              <w:t>加湿系统：</w:t>
            </w:r>
          </w:p>
          <w:p w14:paraId="6DF266F1">
            <w:pPr>
              <w:numPr>
                <w:ilvl w:val="0"/>
                <w:numId w:val="6"/>
              </w:numPr>
              <w:spacing w:line="360" w:lineRule="auto"/>
              <w:ind w:left="390" w:hanging="390"/>
              <w:rPr>
                <w:rFonts w:ascii="仿宋" w:hAnsi="仿宋" w:eastAsia="仿宋" w:cs="仿宋"/>
                <w:sz w:val="24"/>
              </w:rPr>
            </w:pPr>
            <w:r>
              <w:rPr>
                <w:rFonts w:hint="eastAsia" w:ascii="仿宋" w:hAnsi="仿宋" w:eastAsia="仿宋" w:cs="仿宋"/>
                <w:sz w:val="24"/>
              </w:rPr>
              <w:t>湿度传感器：不锈钢加湿器</w:t>
            </w:r>
          </w:p>
          <w:p w14:paraId="21FADCD6">
            <w:pPr>
              <w:numPr>
                <w:ilvl w:val="0"/>
                <w:numId w:val="6"/>
              </w:numPr>
              <w:spacing w:line="360" w:lineRule="auto"/>
              <w:ind w:left="390" w:hanging="390"/>
              <w:rPr>
                <w:rFonts w:ascii="仿宋" w:hAnsi="仿宋" w:eastAsia="仿宋" w:cs="仿宋"/>
                <w:sz w:val="24"/>
              </w:rPr>
            </w:pPr>
            <w:r>
              <w:rPr>
                <w:rFonts w:hint="eastAsia" w:ascii="仿宋" w:hAnsi="仿宋" w:eastAsia="仿宋" w:cs="仿宋"/>
                <w:sz w:val="24"/>
              </w:rPr>
              <w:t>加湿方法：干湿球</w:t>
            </w:r>
          </w:p>
          <w:p w14:paraId="458559A0">
            <w:pPr>
              <w:numPr>
                <w:ilvl w:val="0"/>
                <w:numId w:val="6"/>
              </w:numPr>
              <w:spacing w:line="360" w:lineRule="auto"/>
              <w:ind w:left="390" w:hanging="390"/>
              <w:rPr>
                <w:rFonts w:ascii="仿宋" w:hAnsi="仿宋" w:eastAsia="仿宋" w:cs="仿宋"/>
                <w:sz w:val="24"/>
              </w:rPr>
            </w:pPr>
            <w:r>
              <w:rPr>
                <w:rFonts w:hint="eastAsia" w:ascii="仿宋" w:hAnsi="仿宋" w:eastAsia="仿宋" w:cs="仿宋"/>
                <w:sz w:val="24"/>
              </w:rPr>
              <w:t>加湿器材质：不锈钢铠装</w:t>
            </w:r>
          </w:p>
          <w:p w14:paraId="4DF138D7">
            <w:pPr>
              <w:numPr>
                <w:ilvl w:val="0"/>
                <w:numId w:val="6"/>
              </w:numPr>
              <w:spacing w:line="360" w:lineRule="auto"/>
              <w:ind w:left="390" w:hanging="390"/>
              <w:rPr>
                <w:rFonts w:ascii="仿宋" w:hAnsi="仿宋" w:eastAsia="仿宋" w:cs="仿宋"/>
                <w:sz w:val="24"/>
              </w:rPr>
            </w:pPr>
            <w:r>
              <w:rPr>
                <w:rFonts w:hint="eastAsia" w:ascii="仿宋" w:hAnsi="仿宋" w:eastAsia="仿宋" w:cs="仿宋"/>
                <w:sz w:val="24"/>
              </w:rPr>
              <w:t>加湿器控制方式：无触点等周期脉冲调宽，SSR（固态继电器）</w:t>
            </w:r>
          </w:p>
          <w:p w14:paraId="321AE7E5">
            <w:pPr>
              <w:numPr>
                <w:ilvl w:val="0"/>
                <w:numId w:val="6"/>
              </w:numPr>
              <w:spacing w:line="360" w:lineRule="auto"/>
              <w:ind w:left="390" w:hanging="390"/>
              <w:rPr>
                <w:rFonts w:ascii="仿宋" w:hAnsi="仿宋" w:eastAsia="仿宋" w:cs="仿宋"/>
                <w:sz w:val="24"/>
              </w:rPr>
            </w:pPr>
            <w:r>
              <w:rPr>
                <w:rFonts w:hint="eastAsia" w:ascii="仿宋" w:hAnsi="仿宋" w:eastAsia="仿宋" w:cs="仿宋"/>
                <w:sz w:val="24"/>
              </w:rPr>
              <w:t>加湿器装置：水位控制装置、加热器防干烧装置</w:t>
            </w:r>
          </w:p>
          <w:p w14:paraId="0E559598">
            <w:pPr>
              <w:numPr>
                <w:ilvl w:val="0"/>
                <w:numId w:val="6"/>
              </w:numPr>
              <w:spacing w:line="360" w:lineRule="auto"/>
              <w:ind w:left="390" w:hanging="390"/>
              <w:rPr>
                <w:rFonts w:ascii="仿宋" w:hAnsi="仿宋" w:eastAsia="仿宋" w:cs="仿宋"/>
                <w:sz w:val="24"/>
              </w:rPr>
            </w:pPr>
            <w:r>
              <w:rPr>
                <w:rFonts w:hint="eastAsia" w:ascii="仿宋" w:hAnsi="仿宋" w:eastAsia="仿宋" w:cs="仿宋"/>
                <w:sz w:val="24"/>
              </w:rPr>
              <w:t>水箱容量：15L</w:t>
            </w:r>
          </w:p>
          <w:p w14:paraId="23135FCC">
            <w:pPr>
              <w:numPr>
                <w:ilvl w:val="0"/>
                <w:numId w:val="6"/>
              </w:numPr>
              <w:spacing w:line="360" w:lineRule="auto"/>
              <w:ind w:left="390" w:hanging="390"/>
              <w:rPr>
                <w:rFonts w:ascii="仿宋" w:hAnsi="仿宋" w:eastAsia="仿宋" w:cs="仿宋"/>
                <w:sz w:val="24"/>
              </w:rPr>
            </w:pPr>
            <w:r>
              <w:rPr>
                <w:rFonts w:hint="eastAsia" w:ascii="仿宋" w:hAnsi="仿宋" w:eastAsia="仿宋" w:cs="仿宋"/>
                <w:sz w:val="24"/>
              </w:rPr>
              <w:t>补水方式：人工补水/自动补水</w:t>
            </w:r>
          </w:p>
          <w:p w14:paraId="3D9B7B56">
            <w:pPr>
              <w:spacing w:line="360" w:lineRule="auto"/>
              <w:rPr>
                <w:rFonts w:eastAsia="仿宋"/>
                <w:b/>
                <w:bCs/>
                <w:sz w:val="24"/>
              </w:rPr>
            </w:pPr>
            <w:r>
              <w:rPr>
                <w:rFonts w:hint="eastAsia" w:eastAsia="仿宋"/>
                <w:b/>
                <w:bCs/>
                <w:sz w:val="24"/>
              </w:rPr>
              <w:t>温控仪表：</w:t>
            </w:r>
          </w:p>
          <w:p w14:paraId="360CBAAE">
            <w:pPr>
              <w:numPr>
                <w:ilvl w:val="0"/>
                <w:numId w:val="7"/>
              </w:numPr>
              <w:spacing w:line="360" w:lineRule="auto"/>
              <w:rPr>
                <w:rFonts w:ascii="仿宋" w:hAnsi="仿宋" w:eastAsia="仿宋" w:cs="仿宋"/>
                <w:sz w:val="24"/>
              </w:rPr>
            </w:pPr>
            <w:r>
              <w:rPr>
                <w:rFonts w:hint="eastAsia" w:ascii="仿宋" w:hAnsi="仿宋" w:eastAsia="仿宋" w:cs="仿宋"/>
                <w:sz w:val="24"/>
              </w:rPr>
              <w:t>温湿度控制器：触摸屏+ PLC</w:t>
            </w:r>
          </w:p>
          <w:p w14:paraId="02CBA517">
            <w:pPr>
              <w:numPr>
                <w:ilvl w:val="0"/>
                <w:numId w:val="7"/>
              </w:numPr>
              <w:spacing w:line="360" w:lineRule="auto"/>
              <w:rPr>
                <w:rFonts w:ascii="仿宋" w:hAnsi="仿宋" w:eastAsia="仿宋" w:cs="仿宋"/>
                <w:sz w:val="24"/>
              </w:rPr>
            </w:pPr>
            <w:r>
              <w:rPr>
                <w:rFonts w:hint="eastAsia" w:ascii="仿宋" w:hAnsi="仿宋" w:eastAsia="仿宋" w:cs="仿宋"/>
                <w:sz w:val="24"/>
              </w:rPr>
              <w:t>主要执行电器：交流接触器、断路器、热继电器、小型继电器</w:t>
            </w:r>
          </w:p>
          <w:p w14:paraId="6B06701E">
            <w:pPr>
              <w:numPr>
                <w:ilvl w:val="0"/>
                <w:numId w:val="7"/>
              </w:numPr>
              <w:spacing w:line="360" w:lineRule="auto"/>
              <w:rPr>
                <w:rFonts w:ascii="仿宋" w:hAnsi="仿宋" w:eastAsia="仿宋" w:cs="仿宋"/>
                <w:sz w:val="24"/>
              </w:rPr>
            </w:pPr>
            <w:r>
              <w:rPr>
                <w:rFonts w:hint="eastAsia" w:ascii="仿宋" w:hAnsi="仿宋" w:eastAsia="仿宋" w:cs="仿宋"/>
                <w:sz w:val="24"/>
              </w:rPr>
              <w:t>人机对话界面：彩色触摸式人机界面和高性能可编程控制器，控制器具有密码保护功能，输入不同的密码具有不同的操作权限，避免人为触摸而停机。</w:t>
            </w:r>
          </w:p>
          <w:p w14:paraId="2CE3459D">
            <w:pPr>
              <w:numPr>
                <w:ilvl w:val="0"/>
                <w:numId w:val="7"/>
              </w:numPr>
              <w:spacing w:line="360" w:lineRule="auto"/>
              <w:rPr>
                <w:rFonts w:ascii="仿宋" w:hAnsi="仿宋" w:eastAsia="仿宋" w:cs="仿宋"/>
                <w:sz w:val="24"/>
              </w:rPr>
            </w:pPr>
            <w:r>
              <w:rPr>
                <w:rFonts w:hint="eastAsia" w:ascii="仿宋" w:hAnsi="仿宋" w:eastAsia="仿宋" w:cs="仿宋"/>
                <w:sz w:val="24"/>
              </w:rPr>
              <w:t>显示方式：LCD 彩色液晶显示，触摸控制。中文界面。</w:t>
            </w:r>
          </w:p>
          <w:p w14:paraId="54CF6EE9">
            <w:pPr>
              <w:numPr>
                <w:ilvl w:val="0"/>
                <w:numId w:val="7"/>
              </w:numPr>
              <w:spacing w:line="360" w:lineRule="auto"/>
              <w:rPr>
                <w:rFonts w:ascii="仿宋" w:hAnsi="仿宋" w:eastAsia="仿宋" w:cs="仿宋"/>
                <w:sz w:val="24"/>
              </w:rPr>
            </w:pPr>
            <w:r>
              <w:rPr>
                <w:rFonts w:hint="eastAsia" w:ascii="仿宋" w:hAnsi="仿宋" w:eastAsia="仿宋" w:cs="仿宋"/>
                <w:sz w:val="24"/>
              </w:rPr>
              <w:t>显示精度：温度 0.01℃ , 湿度 0.1%RH，时间 0.01min。</w:t>
            </w:r>
          </w:p>
          <w:p w14:paraId="2E6C582C">
            <w:pPr>
              <w:numPr>
                <w:ilvl w:val="0"/>
                <w:numId w:val="7"/>
              </w:numPr>
              <w:spacing w:line="360" w:lineRule="auto"/>
              <w:rPr>
                <w:rFonts w:ascii="仿宋" w:hAnsi="仿宋" w:eastAsia="仿宋" w:cs="仿宋"/>
                <w:sz w:val="24"/>
              </w:rPr>
            </w:pPr>
            <w:r>
              <w:rPr>
                <w:rFonts w:hint="eastAsia" w:ascii="仿宋" w:hAnsi="仿宋" w:eastAsia="仿宋" w:cs="仿宋"/>
                <w:sz w:val="24"/>
              </w:rPr>
              <w:t>程序容量：可设置 120 个程序组，共 1200 段，程序之间可以链接。</w:t>
            </w:r>
          </w:p>
          <w:p w14:paraId="023C6F77">
            <w:pPr>
              <w:numPr>
                <w:ilvl w:val="0"/>
                <w:numId w:val="7"/>
              </w:numPr>
              <w:spacing w:line="360" w:lineRule="auto"/>
              <w:rPr>
                <w:rFonts w:ascii="仿宋" w:hAnsi="仿宋" w:eastAsia="仿宋" w:cs="仿宋"/>
                <w:sz w:val="24"/>
              </w:rPr>
            </w:pPr>
            <w:r>
              <w:rPr>
                <w:rFonts w:hint="eastAsia" w:ascii="仿宋" w:hAnsi="仿宋" w:eastAsia="仿宋" w:cs="仿宋"/>
                <w:sz w:val="24"/>
              </w:rPr>
              <w:t>系统运行方式：程序运行方式 ， 定值运行方式 。 定值运行最长达999999h59min。</w:t>
            </w:r>
          </w:p>
          <w:p w14:paraId="25A577E9">
            <w:pPr>
              <w:numPr>
                <w:ilvl w:val="0"/>
                <w:numId w:val="7"/>
              </w:numPr>
              <w:spacing w:line="360" w:lineRule="auto"/>
              <w:rPr>
                <w:rFonts w:ascii="仿宋" w:hAnsi="仿宋" w:eastAsia="仿宋" w:cs="仿宋"/>
                <w:sz w:val="24"/>
              </w:rPr>
            </w:pPr>
            <w:r>
              <w:rPr>
                <w:rFonts w:hint="eastAsia" w:ascii="仿宋" w:hAnsi="仿宋" w:eastAsia="仿宋" w:cs="仿宋"/>
                <w:sz w:val="24"/>
              </w:rPr>
              <w:t>数据显示：设备具有年、月、日及时间显示，设备总的运行时间、程序段运行时间显示。</w:t>
            </w:r>
          </w:p>
          <w:p w14:paraId="57CD3ED3">
            <w:pPr>
              <w:numPr>
                <w:ilvl w:val="0"/>
                <w:numId w:val="7"/>
              </w:numPr>
              <w:spacing w:line="360" w:lineRule="auto"/>
              <w:rPr>
                <w:rFonts w:ascii="仿宋" w:hAnsi="仿宋" w:eastAsia="仿宋" w:cs="仿宋"/>
                <w:sz w:val="24"/>
              </w:rPr>
            </w:pPr>
            <w:r>
              <w:rPr>
                <w:rFonts w:hint="eastAsia" w:ascii="仿宋" w:hAnsi="仿宋" w:eastAsia="仿宋" w:cs="仿宋"/>
                <w:sz w:val="24"/>
              </w:rPr>
              <w:t>故障信息：显示故障状态、可能原因分析。</w:t>
            </w:r>
          </w:p>
          <w:p w14:paraId="33B60E87">
            <w:pPr>
              <w:numPr>
                <w:ilvl w:val="0"/>
                <w:numId w:val="7"/>
              </w:numPr>
              <w:spacing w:line="360" w:lineRule="auto"/>
              <w:rPr>
                <w:rFonts w:ascii="仿宋" w:hAnsi="仿宋" w:eastAsia="仿宋" w:cs="仿宋"/>
                <w:sz w:val="24"/>
              </w:rPr>
            </w:pPr>
            <w:r>
              <w:rPr>
                <w:rFonts w:hint="eastAsia" w:ascii="仿宋" w:hAnsi="仿宋" w:eastAsia="仿宋" w:cs="仿宋"/>
                <w:sz w:val="24"/>
              </w:rPr>
              <w:t>定期保养信息提示：定期弹出日常维护保养和定期维护保养项目表，提醒和指导操 作人员定期进行设备的保养。</w:t>
            </w:r>
          </w:p>
          <w:p w14:paraId="4558B0CD">
            <w:pPr>
              <w:numPr>
                <w:ilvl w:val="0"/>
                <w:numId w:val="7"/>
              </w:numPr>
              <w:spacing w:line="360" w:lineRule="auto"/>
              <w:rPr>
                <w:rFonts w:ascii="仿宋" w:hAnsi="仿宋" w:eastAsia="仿宋" w:cs="仿宋"/>
                <w:sz w:val="24"/>
              </w:rPr>
            </w:pPr>
            <w:r>
              <w:rPr>
                <w:rFonts w:hint="eastAsia" w:ascii="仿宋" w:hAnsi="仿宋" w:eastAsia="仿宋" w:cs="仿宋"/>
                <w:sz w:val="24"/>
              </w:rPr>
              <w:t>控制功能：上下限温度保护功能（声光报警装置） ，控制系统还具备自检测、自诊断功能，自动进行故障显示、报警；自动运行和停止的定时功能（可预设开机日期、时间） ；自诊断功能，具有多种断电恢复模式，试验完成后具有自动停机并声光提示。</w:t>
            </w:r>
          </w:p>
          <w:p w14:paraId="1F52DDF5">
            <w:pPr>
              <w:numPr>
                <w:ilvl w:val="0"/>
                <w:numId w:val="7"/>
              </w:numPr>
              <w:spacing w:line="360" w:lineRule="auto"/>
              <w:rPr>
                <w:rFonts w:ascii="仿宋" w:hAnsi="仿宋" w:eastAsia="仿宋" w:cs="仿宋"/>
                <w:sz w:val="24"/>
              </w:rPr>
            </w:pPr>
            <w:r>
              <w:rPr>
                <w:rFonts w:hint="eastAsia" w:ascii="仿宋" w:hAnsi="仿宋" w:eastAsia="仿宋" w:cs="仿宋"/>
                <w:sz w:val="24"/>
              </w:rPr>
              <w:t>数据接口（选配）：配标准 RS485/RS232或以太网口等常用数据接口。</w:t>
            </w:r>
          </w:p>
          <w:p w14:paraId="43A50801">
            <w:pPr>
              <w:numPr>
                <w:ilvl w:val="0"/>
                <w:numId w:val="7"/>
              </w:numPr>
              <w:spacing w:line="360" w:lineRule="auto"/>
              <w:rPr>
                <w:rFonts w:ascii="仿宋" w:hAnsi="仿宋" w:eastAsia="仿宋" w:cs="仿宋"/>
                <w:sz w:val="24"/>
              </w:rPr>
            </w:pPr>
            <w:r>
              <w:rPr>
                <w:rFonts w:hint="eastAsia" w:ascii="仿宋" w:hAnsi="仿宋" w:eastAsia="仿宋" w:cs="仿宋"/>
                <w:sz w:val="24"/>
              </w:rPr>
              <w:t>远程监控（选配）：专用通讯软件一套，可实现将中央控制仪表与计算机进行远程通讯管理。连机后可通过计算机对设备实现运行，温度、湿度等参数的连续监控。（最大可联机 200 台设备）</w:t>
            </w:r>
          </w:p>
          <w:p w14:paraId="455322B1">
            <w:pPr>
              <w:spacing w:line="360" w:lineRule="auto"/>
              <w:rPr>
                <w:rFonts w:eastAsia="仿宋"/>
                <w:b/>
                <w:bCs/>
                <w:sz w:val="24"/>
              </w:rPr>
            </w:pPr>
            <w:r>
              <w:rPr>
                <w:rFonts w:eastAsia="仿宋"/>
                <w:b/>
                <w:bCs/>
                <w:sz w:val="24"/>
              </w:rPr>
              <w:t>安全保护功能</w:t>
            </w:r>
            <w:r>
              <w:rPr>
                <w:rFonts w:hint="eastAsia" w:eastAsia="仿宋"/>
                <w:b/>
                <w:bCs/>
                <w:sz w:val="24"/>
              </w:rPr>
              <w:t>:</w:t>
            </w:r>
          </w:p>
          <w:p w14:paraId="5F9EC1DA">
            <w:pPr>
              <w:numPr>
                <w:ilvl w:val="0"/>
                <w:numId w:val="8"/>
              </w:numPr>
              <w:spacing w:line="360" w:lineRule="auto"/>
              <w:rPr>
                <w:rFonts w:ascii="仿宋" w:hAnsi="仿宋" w:eastAsia="仿宋" w:cs="仿宋"/>
                <w:sz w:val="24"/>
              </w:rPr>
            </w:pPr>
            <w:r>
              <w:rPr>
                <w:rFonts w:hint="eastAsia" w:ascii="仿宋" w:hAnsi="仿宋" w:eastAsia="仿宋" w:cs="仿宋"/>
                <w:sz w:val="24"/>
              </w:rPr>
              <w:t>接地保护：可靠的接地保护装置</w:t>
            </w:r>
          </w:p>
          <w:p w14:paraId="7C4F58EC">
            <w:pPr>
              <w:numPr>
                <w:ilvl w:val="0"/>
                <w:numId w:val="8"/>
              </w:numPr>
              <w:spacing w:line="360" w:lineRule="auto"/>
              <w:rPr>
                <w:rFonts w:ascii="仿宋" w:hAnsi="仿宋" w:eastAsia="仿宋" w:cs="仿宋"/>
                <w:sz w:val="24"/>
              </w:rPr>
            </w:pPr>
            <w:r>
              <w:rPr>
                <w:rFonts w:ascii="仿宋" w:hAnsi="仿宋" w:eastAsia="仿宋" w:cs="仿宋"/>
                <w:sz w:val="24"/>
              </w:rPr>
              <w:t>漏电保护</w:t>
            </w:r>
            <w:r>
              <w:rPr>
                <w:rFonts w:hint="eastAsia" w:ascii="仿宋" w:hAnsi="仿宋" w:eastAsia="仿宋" w:cs="仿宋"/>
                <w:sz w:val="24"/>
              </w:rPr>
              <w:t>：</w:t>
            </w:r>
            <w:r>
              <w:rPr>
                <w:rFonts w:ascii="仿宋" w:hAnsi="仿宋" w:eastAsia="仿宋" w:cs="仿宋"/>
                <w:sz w:val="24"/>
              </w:rPr>
              <w:t>漏电/断路保护</w:t>
            </w:r>
          </w:p>
          <w:p w14:paraId="17BA9CC6">
            <w:pPr>
              <w:numPr>
                <w:ilvl w:val="0"/>
                <w:numId w:val="8"/>
              </w:numPr>
              <w:spacing w:line="360" w:lineRule="auto"/>
              <w:rPr>
                <w:rFonts w:ascii="仿宋" w:hAnsi="仿宋" w:eastAsia="仿宋" w:cs="仿宋"/>
                <w:sz w:val="24"/>
              </w:rPr>
            </w:pPr>
            <w:r>
              <w:rPr>
                <w:rFonts w:ascii="仿宋" w:hAnsi="仿宋" w:eastAsia="仿宋" w:cs="仿宋"/>
                <w:sz w:val="24"/>
              </w:rPr>
              <w:t>短路保护</w:t>
            </w:r>
            <w:r>
              <w:rPr>
                <w:rFonts w:hint="eastAsia" w:ascii="仿宋" w:hAnsi="仿宋" w:eastAsia="仿宋" w:cs="仿宋"/>
                <w:sz w:val="24"/>
              </w:rPr>
              <w:t>：</w:t>
            </w:r>
            <w:r>
              <w:rPr>
                <w:rFonts w:ascii="仿宋" w:hAnsi="仿宋" w:eastAsia="仿宋" w:cs="仿宋"/>
                <w:sz w:val="24"/>
              </w:rPr>
              <w:t>加热器短路保护</w:t>
            </w:r>
          </w:p>
          <w:p w14:paraId="270EF4E1">
            <w:pPr>
              <w:numPr>
                <w:ilvl w:val="0"/>
                <w:numId w:val="8"/>
              </w:numPr>
              <w:spacing w:line="360" w:lineRule="auto"/>
              <w:rPr>
                <w:rFonts w:ascii="仿宋" w:hAnsi="仿宋" w:eastAsia="仿宋" w:cs="仿宋"/>
                <w:sz w:val="24"/>
              </w:rPr>
            </w:pPr>
            <w:r>
              <w:rPr>
                <w:rFonts w:ascii="仿宋" w:hAnsi="仿宋" w:eastAsia="仿宋" w:cs="仿宋"/>
                <w:sz w:val="24"/>
              </w:rPr>
              <w:t>鼓风机超载</w:t>
            </w:r>
            <w:r>
              <w:rPr>
                <w:rFonts w:hint="eastAsia" w:ascii="仿宋" w:hAnsi="仿宋" w:eastAsia="仿宋" w:cs="仿宋"/>
                <w:sz w:val="24"/>
              </w:rPr>
              <w:t>：</w:t>
            </w:r>
            <w:r>
              <w:rPr>
                <w:rFonts w:ascii="仿宋" w:hAnsi="仿宋" w:eastAsia="仿宋" w:cs="仿宋"/>
                <w:sz w:val="24"/>
              </w:rPr>
              <w:t>鼓风电机超载保护</w:t>
            </w:r>
          </w:p>
          <w:p w14:paraId="0283736C">
            <w:pPr>
              <w:numPr>
                <w:ilvl w:val="0"/>
                <w:numId w:val="8"/>
              </w:numPr>
              <w:spacing w:line="360" w:lineRule="auto"/>
              <w:rPr>
                <w:rFonts w:ascii="仿宋" w:hAnsi="仿宋" w:eastAsia="仿宋" w:cs="仿宋"/>
                <w:sz w:val="24"/>
              </w:rPr>
            </w:pPr>
            <w:r>
              <w:rPr>
                <w:rFonts w:ascii="仿宋" w:hAnsi="仿宋" w:eastAsia="仿宋" w:cs="仿宋"/>
                <w:sz w:val="24"/>
              </w:rPr>
              <w:t>超温保护</w:t>
            </w:r>
            <w:r>
              <w:rPr>
                <w:rFonts w:hint="eastAsia" w:ascii="仿宋" w:hAnsi="仿宋" w:eastAsia="仿宋" w:cs="仿宋"/>
                <w:sz w:val="24"/>
              </w:rPr>
              <w:t>：</w:t>
            </w:r>
            <w:r>
              <w:rPr>
                <w:rFonts w:ascii="仿宋" w:hAnsi="仿宋" w:eastAsia="仿宋" w:cs="仿宋"/>
                <w:sz w:val="24"/>
              </w:rPr>
              <w:t>工作室独立超温报警</w:t>
            </w:r>
          </w:p>
          <w:p w14:paraId="6603647F">
            <w:pPr>
              <w:numPr>
                <w:ilvl w:val="0"/>
                <w:numId w:val="8"/>
              </w:numPr>
              <w:spacing w:line="360" w:lineRule="auto"/>
              <w:rPr>
                <w:rFonts w:ascii="仿宋" w:hAnsi="仿宋" w:eastAsia="仿宋" w:cs="仿宋"/>
                <w:sz w:val="24"/>
              </w:rPr>
            </w:pPr>
            <w:r>
              <w:rPr>
                <w:rFonts w:ascii="仿宋" w:hAnsi="仿宋" w:eastAsia="仿宋" w:cs="仿宋"/>
                <w:sz w:val="24"/>
              </w:rPr>
              <w:t>制冷机超压保护</w:t>
            </w:r>
            <w:r>
              <w:rPr>
                <w:rFonts w:hint="eastAsia" w:ascii="仿宋" w:hAnsi="仿宋" w:eastAsia="仿宋" w:cs="仿宋"/>
                <w:sz w:val="24"/>
              </w:rPr>
              <w:t>：</w:t>
            </w:r>
            <w:r>
              <w:rPr>
                <w:rFonts w:ascii="仿宋" w:hAnsi="仿宋" w:eastAsia="仿宋" w:cs="仿宋"/>
                <w:sz w:val="24"/>
              </w:rPr>
              <w:t>制冷机超压保护</w:t>
            </w:r>
          </w:p>
          <w:p w14:paraId="2B233CD4">
            <w:pPr>
              <w:numPr>
                <w:ilvl w:val="0"/>
                <w:numId w:val="8"/>
              </w:numPr>
              <w:spacing w:line="360" w:lineRule="auto"/>
              <w:rPr>
                <w:rFonts w:ascii="仿宋" w:hAnsi="仿宋" w:eastAsia="仿宋" w:cs="仿宋"/>
                <w:sz w:val="24"/>
              </w:rPr>
            </w:pPr>
            <w:r>
              <w:rPr>
                <w:rFonts w:ascii="仿宋" w:hAnsi="仿宋" w:eastAsia="仿宋" w:cs="仿宋"/>
                <w:sz w:val="24"/>
              </w:rPr>
              <w:t>电源保护</w:t>
            </w:r>
            <w:r>
              <w:rPr>
                <w:rFonts w:hint="eastAsia" w:ascii="仿宋" w:hAnsi="仿宋" w:eastAsia="仿宋" w:cs="仿宋"/>
                <w:sz w:val="24"/>
              </w:rPr>
              <w:t>：</w:t>
            </w:r>
            <w:r>
              <w:rPr>
                <w:rFonts w:ascii="仿宋" w:hAnsi="仿宋" w:eastAsia="仿宋" w:cs="仿宋"/>
                <w:sz w:val="24"/>
              </w:rPr>
              <w:t>电源欠压、过压、缺相保护</w:t>
            </w:r>
          </w:p>
          <w:p w14:paraId="026C8CDD">
            <w:pPr>
              <w:spacing w:line="360" w:lineRule="auto"/>
              <w:rPr>
                <w:rFonts w:eastAsia="仿宋"/>
                <w:sz w:val="24"/>
              </w:rPr>
            </w:pPr>
            <w:r>
              <w:rPr>
                <w:rFonts w:eastAsia="仿宋"/>
                <w:b/>
                <w:bCs/>
                <w:sz w:val="24"/>
              </w:rPr>
              <w:t>随机出货资料</w:t>
            </w:r>
            <w:r>
              <w:rPr>
                <w:rFonts w:hint="eastAsia" w:eastAsia="仿宋"/>
                <w:b/>
                <w:bCs/>
                <w:sz w:val="24"/>
              </w:rPr>
              <w:t>：</w:t>
            </w:r>
            <w:r>
              <w:rPr>
                <w:rFonts w:hint="eastAsia" w:eastAsia="仿宋"/>
                <w:sz w:val="24"/>
              </w:rPr>
              <w:t>产品合格证</w:t>
            </w:r>
            <w:r>
              <w:rPr>
                <w:rFonts w:hint="eastAsia" w:eastAsia="仿宋"/>
                <w:sz w:val="24"/>
              </w:rPr>
              <w:tab/>
            </w:r>
            <w:r>
              <w:rPr>
                <w:rFonts w:hint="eastAsia" w:eastAsia="仿宋"/>
                <w:sz w:val="24"/>
              </w:rPr>
              <w:t>1张</w:t>
            </w:r>
          </w:p>
          <w:p w14:paraId="67CA6562">
            <w:pPr>
              <w:spacing w:line="360" w:lineRule="auto"/>
              <w:rPr>
                <w:rFonts w:eastAsia="仿宋"/>
                <w:sz w:val="24"/>
              </w:rPr>
            </w:pPr>
            <w:r>
              <w:rPr>
                <w:rFonts w:hint="eastAsia" w:eastAsia="仿宋"/>
                <w:sz w:val="24"/>
              </w:rPr>
              <w:t>产品使用说明书1 套</w:t>
            </w:r>
          </w:p>
          <w:p w14:paraId="4E6E95F7">
            <w:pPr>
              <w:spacing w:line="360" w:lineRule="auto"/>
              <w:rPr>
                <w:rFonts w:eastAsia="仿宋"/>
                <w:sz w:val="24"/>
              </w:rPr>
            </w:pPr>
            <w:r>
              <w:rPr>
                <w:rFonts w:hint="eastAsia" w:eastAsia="仿宋"/>
                <w:sz w:val="24"/>
              </w:rPr>
              <w:t>仪表使用说明书1 套</w:t>
            </w:r>
          </w:p>
          <w:p w14:paraId="530EE049">
            <w:pPr>
              <w:spacing w:line="360" w:lineRule="auto"/>
              <w:rPr>
                <w:rFonts w:eastAsia="仿宋"/>
                <w:sz w:val="24"/>
              </w:rPr>
            </w:pPr>
            <w:r>
              <w:rPr>
                <w:rFonts w:hint="eastAsia" w:eastAsia="仿宋"/>
                <w:sz w:val="24"/>
              </w:rPr>
              <w:t>质量保修卡</w:t>
            </w:r>
            <w:r>
              <w:rPr>
                <w:rFonts w:hint="eastAsia" w:eastAsia="仿宋"/>
                <w:sz w:val="24"/>
              </w:rPr>
              <w:tab/>
            </w:r>
            <w:r>
              <w:rPr>
                <w:rFonts w:hint="eastAsia" w:eastAsia="仿宋"/>
                <w:sz w:val="24"/>
              </w:rPr>
              <w:t>1份</w:t>
            </w:r>
          </w:p>
          <w:p w14:paraId="2D385AC3">
            <w:pPr>
              <w:spacing w:line="360" w:lineRule="auto"/>
              <w:rPr>
                <w:rFonts w:eastAsia="仿宋"/>
                <w:b/>
                <w:bCs/>
                <w:sz w:val="24"/>
              </w:rPr>
            </w:pPr>
            <w:r>
              <w:rPr>
                <w:rFonts w:eastAsia="仿宋"/>
                <w:b/>
                <w:bCs/>
                <w:sz w:val="24"/>
              </w:rPr>
              <w:t>设备使用条件要求</w:t>
            </w:r>
            <w:r>
              <w:rPr>
                <w:rFonts w:hint="eastAsia" w:eastAsia="仿宋"/>
                <w:b/>
                <w:bCs/>
                <w:sz w:val="24"/>
              </w:rPr>
              <w:t>：</w:t>
            </w:r>
          </w:p>
          <w:p w14:paraId="0F829508">
            <w:pPr>
              <w:numPr>
                <w:ilvl w:val="0"/>
                <w:numId w:val="9"/>
              </w:numPr>
              <w:spacing w:line="360" w:lineRule="auto"/>
              <w:rPr>
                <w:rFonts w:ascii="仿宋" w:hAnsi="仿宋" w:eastAsia="仿宋" w:cs="仿宋"/>
                <w:sz w:val="24"/>
              </w:rPr>
            </w:pPr>
            <w:r>
              <w:rPr>
                <w:rFonts w:hint="eastAsia" w:ascii="仿宋" w:hAnsi="仿宋" w:eastAsia="仿宋" w:cs="仿宋"/>
                <w:sz w:val="24"/>
              </w:rPr>
              <w:t>电压：AC 380V±10%、50 Hz</w:t>
            </w:r>
          </w:p>
          <w:p w14:paraId="11E5B883">
            <w:pPr>
              <w:numPr>
                <w:ilvl w:val="0"/>
                <w:numId w:val="9"/>
              </w:numPr>
              <w:spacing w:line="360" w:lineRule="auto"/>
              <w:rPr>
                <w:rFonts w:ascii="仿宋" w:hAnsi="仿宋" w:eastAsia="仿宋" w:cs="仿宋"/>
                <w:sz w:val="24"/>
              </w:rPr>
            </w:pPr>
            <w:r>
              <w:rPr>
                <w:rFonts w:ascii="仿宋" w:hAnsi="仿宋" w:eastAsia="仿宋" w:cs="仿宋"/>
                <w:sz w:val="24"/>
              </w:rPr>
              <w:t>环境温度</w:t>
            </w:r>
            <w:r>
              <w:rPr>
                <w:rFonts w:hint="eastAsia" w:ascii="仿宋" w:hAnsi="仿宋" w:eastAsia="仿宋" w:cs="仿宋"/>
                <w:sz w:val="24"/>
              </w:rPr>
              <w:t>：</w:t>
            </w:r>
            <w:r>
              <w:rPr>
                <w:rFonts w:ascii="仿宋" w:hAnsi="仿宋" w:eastAsia="仿宋" w:cs="仿宋"/>
                <w:sz w:val="24"/>
              </w:rPr>
              <w:t>-5～35℃</w:t>
            </w:r>
          </w:p>
          <w:p w14:paraId="3C31EB0E">
            <w:pPr>
              <w:numPr>
                <w:ilvl w:val="0"/>
                <w:numId w:val="9"/>
              </w:numPr>
              <w:spacing w:line="360" w:lineRule="auto"/>
              <w:rPr>
                <w:rFonts w:ascii="仿宋" w:hAnsi="仿宋" w:eastAsia="仿宋" w:cs="仿宋"/>
                <w:sz w:val="24"/>
              </w:rPr>
            </w:pPr>
            <w:r>
              <w:rPr>
                <w:rFonts w:ascii="仿宋" w:hAnsi="仿宋" w:eastAsia="仿宋" w:cs="仿宋"/>
                <w:sz w:val="24"/>
              </w:rPr>
              <w:t>环境湿度</w:t>
            </w:r>
            <w:r>
              <w:rPr>
                <w:rFonts w:hint="eastAsia" w:ascii="仿宋" w:hAnsi="仿宋" w:eastAsia="仿宋" w:cs="仿宋"/>
                <w:sz w:val="24"/>
              </w:rPr>
              <w:t>：</w:t>
            </w:r>
            <w:r>
              <w:rPr>
                <w:rFonts w:ascii="仿宋" w:hAnsi="仿宋" w:eastAsia="仿宋" w:cs="仿宋"/>
                <w:sz w:val="24"/>
              </w:rPr>
              <w:t>&lt;= 85%R.H</w:t>
            </w:r>
          </w:p>
          <w:p w14:paraId="765E4568">
            <w:pPr>
              <w:numPr>
                <w:ilvl w:val="0"/>
                <w:numId w:val="9"/>
              </w:numPr>
              <w:spacing w:line="360" w:lineRule="auto"/>
              <w:rPr>
                <w:rFonts w:ascii="仿宋" w:hAnsi="仿宋" w:eastAsia="仿宋" w:cs="仿宋"/>
                <w:sz w:val="24"/>
              </w:rPr>
            </w:pPr>
            <w:r>
              <w:rPr>
                <w:rFonts w:ascii="仿宋" w:hAnsi="仿宋" w:eastAsia="仿宋" w:cs="仿宋"/>
                <w:sz w:val="24"/>
              </w:rPr>
              <w:t>大气压</w:t>
            </w:r>
            <w:r>
              <w:rPr>
                <w:rFonts w:hint="eastAsia" w:ascii="仿宋" w:hAnsi="仿宋" w:eastAsia="仿宋" w:cs="仿宋"/>
                <w:sz w:val="24"/>
              </w:rPr>
              <w:t>：</w:t>
            </w:r>
            <w:r>
              <w:rPr>
                <w:rFonts w:ascii="仿宋" w:hAnsi="仿宋" w:eastAsia="仿宋" w:cs="仿宋"/>
                <w:sz w:val="24"/>
              </w:rPr>
              <w:t>86～106Kpa</w:t>
            </w:r>
          </w:p>
          <w:p w14:paraId="275118A2">
            <w:pPr>
              <w:numPr>
                <w:ilvl w:val="0"/>
                <w:numId w:val="9"/>
              </w:numPr>
              <w:spacing w:line="360" w:lineRule="auto"/>
              <w:rPr>
                <w:rFonts w:ascii="仿宋" w:hAnsi="仿宋" w:eastAsia="仿宋" w:cs="仿宋"/>
                <w:sz w:val="24"/>
              </w:rPr>
            </w:pPr>
            <w:r>
              <w:rPr>
                <w:rFonts w:ascii="仿宋" w:hAnsi="仿宋" w:eastAsia="仿宋" w:cs="仿宋"/>
                <w:sz w:val="24"/>
              </w:rPr>
              <w:t>场地要求</w:t>
            </w:r>
            <w:r>
              <w:rPr>
                <w:rFonts w:hint="eastAsia" w:ascii="仿宋" w:hAnsi="仿宋" w:eastAsia="仿宋" w:cs="仿宋"/>
                <w:sz w:val="24"/>
              </w:rPr>
              <w:t>：</w:t>
            </w:r>
            <w:r>
              <w:rPr>
                <w:rFonts w:ascii="仿宋" w:hAnsi="仿宋" w:eastAsia="仿宋" w:cs="仿宋"/>
                <w:sz w:val="24"/>
              </w:rPr>
              <w:t>设备应水平放置于通风良好的试验室内，周围应留有充足的空 间供操作及维护之用；试验箱附近最好能备有排水地漏。</w:t>
            </w:r>
          </w:p>
          <w:p w14:paraId="14B4681C">
            <w:pPr>
              <w:numPr>
                <w:ilvl w:val="0"/>
                <w:numId w:val="9"/>
              </w:numPr>
              <w:spacing w:line="360" w:lineRule="auto"/>
              <w:rPr>
                <w:rFonts w:ascii="仿宋" w:hAnsi="仿宋" w:eastAsia="仿宋" w:cs="仿宋"/>
                <w:sz w:val="24"/>
              </w:rPr>
            </w:pPr>
            <w:r>
              <w:rPr>
                <w:rFonts w:ascii="仿宋" w:hAnsi="仿宋" w:eastAsia="仿宋" w:cs="仿宋"/>
                <w:sz w:val="24"/>
              </w:rPr>
              <w:t>环境条件</w:t>
            </w:r>
            <w:r>
              <w:rPr>
                <w:rFonts w:hint="eastAsia" w:ascii="仿宋" w:hAnsi="仿宋" w:eastAsia="仿宋" w:cs="仿宋"/>
                <w:sz w:val="24"/>
              </w:rPr>
              <w:t>：</w:t>
            </w:r>
            <w:r>
              <w:rPr>
                <w:rFonts w:ascii="仿宋" w:hAnsi="仿宋" w:eastAsia="仿宋" w:cs="仿宋"/>
                <w:sz w:val="24"/>
              </w:rPr>
              <w:t>设备现场周围无强烈振动、无强电磁场干扰、无高浓度粉尘及腐蚀性物质、无阳光直接照射或其他热源直接辐射。</w:t>
            </w:r>
          </w:p>
        </w:tc>
      </w:tr>
      <w:tr w14:paraId="40AFBA9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C0BE77">
            <w:pPr>
              <w:widowControl/>
              <w:autoSpaceDN w:val="0"/>
              <w:spacing w:line="360" w:lineRule="auto"/>
              <w:jc w:val="center"/>
              <w:rPr>
                <w:rFonts w:ascii="仿宋" w:hAnsi="仿宋" w:eastAsia="仿宋" w:cs="仿宋"/>
                <w:sz w:val="24"/>
              </w:rPr>
            </w:pPr>
            <w:r>
              <w:rPr>
                <w:rFonts w:hint="eastAsia" w:ascii="仿宋" w:hAnsi="仿宋" w:eastAsia="仿宋" w:cs="仿宋"/>
                <w:sz w:val="24"/>
              </w:rPr>
              <w:t>4</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E57E17">
            <w:pPr>
              <w:widowControl/>
              <w:autoSpaceDN w:val="0"/>
              <w:spacing w:line="360" w:lineRule="auto"/>
              <w:jc w:val="center"/>
              <w:rPr>
                <w:rFonts w:ascii="仿宋" w:hAnsi="仿宋" w:eastAsia="仿宋" w:cs="仿宋"/>
                <w:sz w:val="24"/>
              </w:rPr>
            </w:pPr>
            <w:r>
              <w:rPr>
                <w:rFonts w:hint="eastAsia" w:ascii="仿宋" w:hAnsi="仿宋" w:eastAsia="仿宋" w:cs="仿宋"/>
                <w:sz w:val="24"/>
              </w:rPr>
              <w:t>风压传感器校验装置</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4D69E56">
            <w:pPr>
              <w:spacing w:line="360" w:lineRule="auto"/>
              <w:ind w:left="390" w:hanging="390"/>
              <w:rPr>
                <w:rFonts w:ascii="仿宋" w:hAnsi="仿宋" w:eastAsia="仿宋" w:cs="仿宋"/>
                <w:sz w:val="24"/>
              </w:rPr>
            </w:pPr>
            <w:r>
              <w:rPr>
                <w:rFonts w:hint="eastAsia" w:ascii="仿宋" w:hAnsi="仿宋" w:eastAsia="仿宋" w:cs="仿宋"/>
                <w:sz w:val="24"/>
              </w:rPr>
              <w:t>1.产品特点：操作简单，维护方便，升降压平稳，超大范围微调，最小可以控制的调节细度高。集正负造压于一体，无泄漏等特点，是校验压力（差压）变送器，压力传感器，压力表及其它压力仪器仪表的稳定的气压压力源。</w:t>
            </w:r>
          </w:p>
          <w:p w14:paraId="0B0BF465">
            <w:pPr>
              <w:spacing w:line="360" w:lineRule="auto"/>
              <w:ind w:left="390" w:hanging="390"/>
              <w:rPr>
                <w:rFonts w:ascii="仿宋" w:hAnsi="仿宋" w:eastAsia="仿宋" w:cs="仿宋"/>
                <w:sz w:val="24"/>
              </w:rPr>
            </w:pPr>
            <w:r>
              <w:rPr>
                <w:rFonts w:hint="eastAsia" w:ascii="仿宋" w:hAnsi="仿宋" w:eastAsia="仿宋" w:cs="仿宋"/>
                <w:sz w:val="24"/>
              </w:rPr>
              <w:t>2.技术指标：</w:t>
            </w:r>
          </w:p>
          <w:p w14:paraId="1F5544C6">
            <w:pPr>
              <w:spacing w:line="360" w:lineRule="auto"/>
              <w:ind w:left="390" w:hanging="390"/>
              <w:rPr>
                <w:rFonts w:ascii="仿宋" w:hAnsi="仿宋" w:eastAsia="仿宋" w:cs="仿宋"/>
                <w:sz w:val="24"/>
              </w:rPr>
            </w:pPr>
            <w:r>
              <w:rPr>
                <w:rFonts w:hint="eastAsia" w:ascii="仿宋" w:hAnsi="仿宋" w:eastAsia="仿宋" w:cs="仿宋"/>
                <w:sz w:val="24"/>
              </w:rPr>
              <w:t>（1）压力范围：(-10~10)kPa</w:t>
            </w:r>
          </w:p>
          <w:p w14:paraId="62157968">
            <w:pPr>
              <w:spacing w:line="360" w:lineRule="auto"/>
              <w:ind w:left="390" w:hanging="390"/>
              <w:rPr>
                <w:rFonts w:ascii="仿宋" w:hAnsi="仿宋" w:eastAsia="仿宋" w:cs="仿宋"/>
                <w:sz w:val="24"/>
              </w:rPr>
            </w:pPr>
            <w:r>
              <w:rPr>
                <w:rFonts w:hint="eastAsia" w:ascii="仿宋" w:hAnsi="仿宋" w:eastAsia="仿宋" w:cs="仿宋"/>
                <w:sz w:val="24"/>
              </w:rPr>
              <w:t>（2）准确度等级：0.05级</w:t>
            </w:r>
          </w:p>
          <w:p w14:paraId="5AF3F156">
            <w:pPr>
              <w:spacing w:line="360" w:lineRule="auto"/>
              <w:ind w:left="390" w:hanging="390"/>
              <w:rPr>
                <w:rFonts w:ascii="仿宋" w:hAnsi="仿宋" w:eastAsia="仿宋" w:cs="仿宋"/>
                <w:sz w:val="24"/>
              </w:rPr>
            </w:pPr>
            <w:r>
              <w:rPr>
                <w:rFonts w:hint="eastAsia" w:ascii="仿宋" w:hAnsi="仿宋" w:eastAsia="仿宋" w:cs="仿宋"/>
                <w:sz w:val="24"/>
              </w:rPr>
              <w:t>（3）介质：空气</w:t>
            </w:r>
          </w:p>
          <w:p w14:paraId="43FAECDA">
            <w:pPr>
              <w:spacing w:line="360" w:lineRule="auto"/>
              <w:ind w:left="390" w:hanging="390"/>
              <w:rPr>
                <w:rFonts w:ascii="仿宋" w:hAnsi="仿宋" w:eastAsia="仿宋" w:cs="仿宋"/>
                <w:sz w:val="24"/>
              </w:rPr>
            </w:pPr>
            <w:r>
              <w:rPr>
                <w:rFonts w:hint="eastAsia" w:ascii="仿宋" w:hAnsi="仿宋" w:eastAsia="仿宋" w:cs="仿宋"/>
                <w:sz w:val="24"/>
              </w:rPr>
              <w:t>（4）最小可控调节度： 1Pa</w:t>
            </w:r>
          </w:p>
          <w:p w14:paraId="5F2FDBC6">
            <w:pPr>
              <w:spacing w:line="360" w:lineRule="auto"/>
              <w:ind w:left="390" w:hanging="390"/>
              <w:rPr>
                <w:rFonts w:ascii="仿宋" w:hAnsi="仿宋" w:eastAsia="仿宋" w:cs="仿宋"/>
                <w:sz w:val="24"/>
              </w:rPr>
            </w:pPr>
            <w:r>
              <w:rPr>
                <w:rFonts w:hint="eastAsia" w:ascii="仿宋" w:hAnsi="仿宋" w:eastAsia="仿宋" w:cs="仿宋"/>
                <w:sz w:val="24"/>
              </w:rPr>
              <w:t>（5）稳定度：0.02%FS</w:t>
            </w:r>
          </w:p>
          <w:p w14:paraId="5143BADE">
            <w:pPr>
              <w:spacing w:line="360" w:lineRule="auto"/>
              <w:ind w:left="390" w:hanging="390"/>
              <w:rPr>
                <w:rFonts w:ascii="仿宋" w:hAnsi="仿宋" w:eastAsia="仿宋" w:cs="仿宋"/>
                <w:sz w:val="24"/>
              </w:rPr>
            </w:pPr>
            <w:r>
              <w:rPr>
                <w:rFonts w:hint="eastAsia" w:ascii="仿宋" w:hAnsi="仿宋" w:eastAsia="仿宋" w:cs="仿宋"/>
                <w:sz w:val="24"/>
              </w:rPr>
              <w:t>3.电测功能及指标：</w:t>
            </w:r>
          </w:p>
          <w:tbl>
            <w:tblPr>
              <w:tblStyle w:val="47"/>
              <w:tblpPr w:leftFromText="180" w:rightFromText="180" w:vertAnchor="text" w:horzAnchor="page" w:tblpXSpec="center" w:tblpY="99"/>
              <w:tblOverlap w:val="never"/>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412"/>
              <w:gridCol w:w="825"/>
              <w:gridCol w:w="5025"/>
            </w:tblGrid>
            <w:tr w14:paraId="266D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68" w:type="dxa"/>
                  <w:vAlign w:val="center"/>
                </w:tcPr>
                <w:p w14:paraId="74C797C0">
                  <w:pPr>
                    <w:spacing w:line="360" w:lineRule="auto"/>
                    <w:jc w:val="center"/>
                    <w:rPr>
                      <w:rFonts w:ascii="仿宋" w:hAnsi="仿宋" w:eastAsia="仿宋" w:cs="仿宋"/>
                      <w:b/>
                      <w:szCs w:val="21"/>
                    </w:rPr>
                  </w:pPr>
                  <w:r>
                    <w:rPr>
                      <w:rFonts w:hint="eastAsia" w:ascii="仿宋" w:hAnsi="仿宋" w:eastAsia="仿宋" w:cs="仿宋"/>
                      <w:b/>
                      <w:szCs w:val="21"/>
                    </w:rPr>
                    <w:t>项目</w:t>
                  </w:r>
                </w:p>
              </w:tc>
              <w:tc>
                <w:tcPr>
                  <w:tcW w:w="1412" w:type="dxa"/>
                  <w:vAlign w:val="center"/>
                </w:tcPr>
                <w:p w14:paraId="38ACC0EA">
                  <w:pPr>
                    <w:spacing w:line="360" w:lineRule="auto"/>
                    <w:jc w:val="center"/>
                    <w:rPr>
                      <w:rFonts w:ascii="仿宋" w:hAnsi="仿宋" w:eastAsia="仿宋" w:cs="仿宋"/>
                      <w:b/>
                      <w:szCs w:val="21"/>
                    </w:rPr>
                  </w:pPr>
                  <w:r>
                    <w:rPr>
                      <w:rFonts w:hint="eastAsia" w:ascii="仿宋" w:hAnsi="仿宋" w:eastAsia="仿宋" w:cs="仿宋"/>
                      <w:b/>
                      <w:szCs w:val="21"/>
                    </w:rPr>
                    <w:t>范围</w:t>
                  </w:r>
                </w:p>
              </w:tc>
              <w:tc>
                <w:tcPr>
                  <w:tcW w:w="825" w:type="dxa"/>
                  <w:vAlign w:val="center"/>
                </w:tcPr>
                <w:p w14:paraId="0FC30C65">
                  <w:pPr>
                    <w:spacing w:line="360" w:lineRule="auto"/>
                    <w:jc w:val="center"/>
                    <w:rPr>
                      <w:rFonts w:ascii="仿宋" w:hAnsi="仿宋" w:eastAsia="仿宋" w:cs="仿宋"/>
                      <w:b/>
                      <w:szCs w:val="21"/>
                    </w:rPr>
                  </w:pPr>
                  <w:r>
                    <w:rPr>
                      <w:rFonts w:hint="eastAsia" w:ascii="仿宋" w:hAnsi="仿宋" w:eastAsia="仿宋" w:cs="仿宋"/>
                      <w:b/>
                      <w:szCs w:val="21"/>
                    </w:rPr>
                    <w:t>分辨率</w:t>
                  </w:r>
                </w:p>
              </w:tc>
              <w:tc>
                <w:tcPr>
                  <w:tcW w:w="5025" w:type="dxa"/>
                  <w:vAlign w:val="center"/>
                </w:tcPr>
                <w:p w14:paraId="0BB662AA">
                  <w:pPr>
                    <w:spacing w:line="360" w:lineRule="auto"/>
                    <w:ind w:firstLine="843" w:firstLineChars="400"/>
                    <w:rPr>
                      <w:rFonts w:ascii="仿宋" w:hAnsi="仿宋" w:eastAsia="仿宋" w:cs="仿宋"/>
                      <w:b/>
                      <w:szCs w:val="21"/>
                    </w:rPr>
                  </w:pPr>
                  <w:r>
                    <w:rPr>
                      <w:rFonts w:hint="eastAsia" w:ascii="仿宋" w:hAnsi="仿宋" w:eastAsia="仿宋" w:cs="仿宋"/>
                      <w:b/>
                      <w:szCs w:val="21"/>
                    </w:rPr>
                    <w:t>指标</w:t>
                  </w:r>
                </w:p>
              </w:tc>
            </w:tr>
            <w:tr w14:paraId="02F4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68" w:type="dxa"/>
                  <w:vAlign w:val="center"/>
                </w:tcPr>
                <w:p w14:paraId="62049A65">
                  <w:pPr>
                    <w:spacing w:line="360" w:lineRule="auto"/>
                    <w:jc w:val="center"/>
                    <w:rPr>
                      <w:rFonts w:ascii="仿宋" w:hAnsi="仿宋" w:eastAsia="仿宋" w:cs="仿宋"/>
                      <w:bCs/>
                      <w:szCs w:val="21"/>
                    </w:rPr>
                  </w:pPr>
                  <w:r>
                    <w:rPr>
                      <w:rFonts w:hint="eastAsia" w:ascii="仿宋" w:hAnsi="仿宋" w:eastAsia="仿宋" w:cs="仿宋"/>
                      <w:bCs/>
                      <w:szCs w:val="21"/>
                    </w:rPr>
                    <w:t>电压测量</w:t>
                  </w:r>
                </w:p>
              </w:tc>
              <w:tc>
                <w:tcPr>
                  <w:tcW w:w="1412" w:type="dxa"/>
                  <w:vAlign w:val="center"/>
                </w:tcPr>
                <w:p w14:paraId="32B26DE5">
                  <w:pPr>
                    <w:spacing w:line="360" w:lineRule="auto"/>
                    <w:jc w:val="center"/>
                    <w:rPr>
                      <w:rFonts w:ascii="仿宋" w:hAnsi="仿宋" w:eastAsia="仿宋" w:cs="仿宋"/>
                      <w:bCs/>
                      <w:szCs w:val="21"/>
                    </w:rPr>
                  </w:pPr>
                  <w:r>
                    <w:rPr>
                      <w:rFonts w:hint="eastAsia" w:ascii="仿宋" w:hAnsi="仿宋" w:eastAsia="仿宋" w:cs="仿宋"/>
                      <w:bCs/>
                      <w:szCs w:val="21"/>
                    </w:rPr>
                    <w:t>（-50</w:t>
                  </w:r>
                  <w:r>
                    <w:rPr>
                      <w:rFonts w:hint="eastAsia" w:ascii="仿宋" w:hAnsi="仿宋" w:eastAsia="仿宋" w:cs="仿宋"/>
                      <w:szCs w:val="21"/>
                    </w:rPr>
                    <w:t>~</w:t>
                  </w:r>
                  <w:r>
                    <w:rPr>
                      <w:rFonts w:hint="eastAsia" w:ascii="仿宋" w:hAnsi="仿宋" w:eastAsia="仿宋" w:cs="仿宋"/>
                      <w:bCs/>
                      <w:szCs w:val="21"/>
                    </w:rPr>
                    <w:t>50）V</w:t>
                  </w:r>
                </w:p>
              </w:tc>
              <w:tc>
                <w:tcPr>
                  <w:tcW w:w="825" w:type="dxa"/>
                  <w:vAlign w:val="center"/>
                </w:tcPr>
                <w:p w14:paraId="2653595C">
                  <w:pPr>
                    <w:spacing w:line="360" w:lineRule="auto"/>
                    <w:jc w:val="center"/>
                    <w:rPr>
                      <w:rFonts w:ascii="仿宋" w:hAnsi="仿宋" w:eastAsia="仿宋" w:cs="仿宋"/>
                      <w:bCs/>
                      <w:szCs w:val="21"/>
                    </w:rPr>
                  </w:pPr>
                  <w:r>
                    <w:rPr>
                      <w:rFonts w:hint="eastAsia" w:ascii="仿宋" w:hAnsi="仿宋" w:eastAsia="仿宋" w:cs="仿宋"/>
                      <w:bCs/>
                      <w:szCs w:val="21"/>
                    </w:rPr>
                    <w:t>0.1mV</w:t>
                  </w:r>
                </w:p>
              </w:tc>
              <w:tc>
                <w:tcPr>
                  <w:tcW w:w="5025" w:type="dxa"/>
                  <w:vAlign w:val="center"/>
                </w:tcPr>
                <w:p w14:paraId="1F873A30">
                  <w:pPr>
                    <w:spacing w:line="360" w:lineRule="auto"/>
                    <w:rPr>
                      <w:rFonts w:ascii="仿宋" w:hAnsi="仿宋" w:eastAsia="仿宋" w:cs="仿宋"/>
                      <w:bCs/>
                      <w:szCs w:val="21"/>
                    </w:rPr>
                  </w:pPr>
                  <w:r>
                    <w:rPr>
                      <w:rFonts w:hint="eastAsia" w:ascii="仿宋" w:hAnsi="仿宋" w:eastAsia="仿宋" w:cs="仿宋"/>
                      <w:bCs/>
                      <w:szCs w:val="21"/>
                    </w:rPr>
                    <w:t>±(0.01%R.D+0.005%F•S)</w:t>
                  </w:r>
                </w:p>
              </w:tc>
            </w:tr>
            <w:tr w14:paraId="3E8F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068" w:type="dxa"/>
                  <w:vAlign w:val="center"/>
                </w:tcPr>
                <w:p w14:paraId="6D818B17">
                  <w:pPr>
                    <w:spacing w:line="360" w:lineRule="auto"/>
                    <w:jc w:val="center"/>
                    <w:rPr>
                      <w:rFonts w:ascii="仿宋" w:hAnsi="仿宋" w:eastAsia="仿宋" w:cs="仿宋"/>
                      <w:bCs/>
                      <w:szCs w:val="21"/>
                    </w:rPr>
                  </w:pPr>
                  <w:r>
                    <w:rPr>
                      <w:rFonts w:hint="eastAsia" w:ascii="仿宋" w:hAnsi="仿宋" w:eastAsia="仿宋" w:cs="仿宋"/>
                      <w:bCs/>
                      <w:szCs w:val="21"/>
                    </w:rPr>
                    <w:t>电流测量</w:t>
                  </w:r>
                </w:p>
              </w:tc>
              <w:tc>
                <w:tcPr>
                  <w:tcW w:w="1412" w:type="dxa"/>
                  <w:vAlign w:val="center"/>
                </w:tcPr>
                <w:p w14:paraId="0E4D669B">
                  <w:pPr>
                    <w:spacing w:line="360" w:lineRule="auto"/>
                    <w:jc w:val="center"/>
                    <w:rPr>
                      <w:rFonts w:ascii="仿宋" w:hAnsi="仿宋" w:eastAsia="仿宋" w:cs="仿宋"/>
                      <w:bCs/>
                      <w:szCs w:val="21"/>
                    </w:rPr>
                  </w:pPr>
                  <w:r>
                    <w:rPr>
                      <w:rFonts w:hint="eastAsia" w:ascii="仿宋" w:hAnsi="仿宋" w:eastAsia="仿宋" w:cs="仿宋"/>
                      <w:bCs/>
                      <w:szCs w:val="21"/>
                    </w:rPr>
                    <w:t>（-25</w:t>
                  </w:r>
                  <w:r>
                    <w:rPr>
                      <w:rFonts w:hint="eastAsia" w:ascii="仿宋" w:hAnsi="仿宋" w:eastAsia="仿宋" w:cs="仿宋"/>
                      <w:szCs w:val="21"/>
                    </w:rPr>
                    <w:t>~</w:t>
                  </w:r>
                  <w:r>
                    <w:rPr>
                      <w:rFonts w:hint="eastAsia" w:ascii="仿宋" w:hAnsi="仿宋" w:eastAsia="仿宋" w:cs="仿宋"/>
                      <w:bCs/>
                      <w:szCs w:val="21"/>
                    </w:rPr>
                    <w:t>25）mA</w:t>
                  </w:r>
                </w:p>
              </w:tc>
              <w:tc>
                <w:tcPr>
                  <w:tcW w:w="825" w:type="dxa"/>
                  <w:vAlign w:val="center"/>
                </w:tcPr>
                <w:p w14:paraId="722B84FC">
                  <w:pPr>
                    <w:spacing w:line="360" w:lineRule="auto"/>
                    <w:jc w:val="center"/>
                    <w:rPr>
                      <w:rFonts w:ascii="仿宋" w:hAnsi="仿宋" w:eastAsia="仿宋" w:cs="仿宋"/>
                      <w:bCs/>
                      <w:szCs w:val="21"/>
                    </w:rPr>
                  </w:pPr>
                  <w:r>
                    <w:rPr>
                      <w:rFonts w:hint="eastAsia" w:ascii="仿宋" w:hAnsi="仿宋" w:eastAsia="仿宋" w:cs="仿宋"/>
                      <w:bCs/>
                      <w:szCs w:val="21"/>
                    </w:rPr>
                    <w:t>0.1uA</w:t>
                  </w:r>
                </w:p>
              </w:tc>
              <w:tc>
                <w:tcPr>
                  <w:tcW w:w="5025" w:type="dxa"/>
                  <w:vAlign w:val="center"/>
                </w:tcPr>
                <w:p w14:paraId="491D3794">
                  <w:pPr>
                    <w:spacing w:line="360" w:lineRule="auto"/>
                    <w:rPr>
                      <w:rFonts w:ascii="仿宋" w:hAnsi="仿宋" w:eastAsia="仿宋" w:cs="仿宋"/>
                      <w:bCs/>
                      <w:szCs w:val="21"/>
                    </w:rPr>
                  </w:pPr>
                  <w:r>
                    <w:rPr>
                      <w:rFonts w:hint="eastAsia" w:ascii="仿宋" w:hAnsi="仿宋" w:eastAsia="仿宋" w:cs="仿宋"/>
                      <w:bCs/>
                      <w:szCs w:val="21"/>
                    </w:rPr>
                    <w:t>±(0.01%R.D+0.005%F•S)</w:t>
                  </w:r>
                </w:p>
              </w:tc>
            </w:tr>
            <w:tr w14:paraId="2AF3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068" w:type="dxa"/>
                  <w:vAlign w:val="center"/>
                </w:tcPr>
                <w:p w14:paraId="03BF0C71">
                  <w:pPr>
                    <w:spacing w:line="360" w:lineRule="auto"/>
                    <w:jc w:val="center"/>
                    <w:rPr>
                      <w:rFonts w:ascii="仿宋" w:hAnsi="仿宋" w:eastAsia="仿宋" w:cs="仿宋"/>
                      <w:bCs/>
                      <w:szCs w:val="21"/>
                    </w:rPr>
                  </w:pPr>
                  <w:r>
                    <w:rPr>
                      <w:rFonts w:hint="eastAsia" w:ascii="仿宋" w:hAnsi="仿宋" w:eastAsia="仿宋" w:cs="仿宋"/>
                      <w:bCs/>
                      <w:szCs w:val="21"/>
                    </w:rPr>
                    <w:t>24V输出</w:t>
                  </w:r>
                </w:p>
              </w:tc>
              <w:tc>
                <w:tcPr>
                  <w:tcW w:w="7262" w:type="dxa"/>
                  <w:gridSpan w:val="3"/>
                  <w:vAlign w:val="center"/>
                </w:tcPr>
                <w:p w14:paraId="0EB78679">
                  <w:pPr>
                    <w:spacing w:line="360" w:lineRule="auto"/>
                    <w:rPr>
                      <w:rFonts w:ascii="仿宋" w:hAnsi="仿宋" w:eastAsia="仿宋" w:cs="仿宋"/>
                      <w:bCs/>
                      <w:szCs w:val="21"/>
                    </w:rPr>
                  </w:pPr>
                  <w:r>
                    <w:rPr>
                      <w:rFonts w:hint="eastAsia" w:ascii="仿宋" w:hAnsi="仿宋" w:eastAsia="仿宋" w:cs="仿宋"/>
                      <w:bCs/>
                      <w:szCs w:val="21"/>
                    </w:rPr>
                    <w:t>(24±0.5)V, 最大带载能力 50mA</w:t>
                  </w:r>
                </w:p>
              </w:tc>
            </w:tr>
          </w:tbl>
          <w:p w14:paraId="3D818A6D">
            <w:pPr>
              <w:spacing w:line="360" w:lineRule="auto"/>
              <w:ind w:left="390" w:hanging="390"/>
              <w:rPr>
                <w:rFonts w:ascii="仿宋" w:hAnsi="仿宋" w:eastAsia="仿宋" w:cs="仿宋"/>
                <w:sz w:val="24"/>
              </w:rPr>
            </w:pPr>
          </w:p>
          <w:p w14:paraId="28736502">
            <w:pPr>
              <w:numPr>
                <w:ilvl w:val="0"/>
                <w:numId w:val="10"/>
              </w:numPr>
              <w:spacing w:line="360" w:lineRule="auto"/>
              <w:ind w:left="390" w:hanging="390"/>
              <w:rPr>
                <w:rFonts w:ascii="仿宋" w:hAnsi="仿宋" w:eastAsia="仿宋" w:cs="仿宋"/>
                <w:sz w:val="24"/>
              </w:rPr>
            </w:pPr>
            <w:r>
              <w:rPr>
                <w:rFonts w:hint="eastAsia" w:ascii="仿宋" w:hAnsi="仿宋" w:eastAsia="仿宋" w:cs="仿宋"/>
                <w:sz w:val="24"/>
              </w:rPr>
              <w:t>供电配置：</w:t>
            </w:r>
          </w:p>
          <w:p w14:paraId="56D99606">
            <w:pPr>
              <w:numPr>
                <w:ilvl w:val="0"/>
                <w:numId w:val="11"/>
              </w:numPr>
              <w:spacing w:line="360" w:lineRule="auto"/>
              <w:rPr>
                <w:rFonts w:ascii="仿宋" w:hAnsi="仿宋" w:eastAsia="仿宋" w:cs="仿宋"/>
                <w:sz w:val="24"/>
              </w:rPr>
            </w:pPr>
            <w:r>
              <w:rPr>
                <w:rFonts w:hint="eastAsia" w:ascii="仿宋" w:hAnsi="仿宋" w:eastAsia="仿宋" w:cs="仿宋"/>
                <w:sz w:val="24"/>
              </w:rPr>
              <w:t>供电方式：内部3.8V锂电池供电或5V电源适配器供电；</w:t>
            </w:r>
          </w:p>
          <w:p w14:paraId="6B989AFB">
            <w:pPr>
              <w:numPr>
                <w:ilvl w:val="0"/>
                <w:numId w:val="11"/>
              </w:numPr>
              <w:spacing w:line="360" w:lineRule="auto"/>
              <w:rPr>
                <w:rFonts w:ascii="仿宋" w:hAnsi="仿宋" w:eastAsia="仿宋" w:cs="仿宋"/>
                <w:sz w:val="24"/>
              </w:rPr>
            </w:pPr>
            <w:r>
              <w:rPr>
                <w:rFonts w:hint="eastAsia" w:ascii="仿宋" w:hAnsi="仿宋" w:eastAsia="仿宋" w:cs="仿宋"/>
                <w:sz w:val="24"/>
              </w:rPr>
              <w:t>电池工作时间：约 100 小时，24V 带载时相应缩短；</w:t>
            </w:r>
          </w:p>
          <w:p w14:paraId="1E73DD15">
            <w:pPr>
              <w:numPr>
                <w:ilvl w:val="0"/>
                <w:numId w:val="11"/>
              </w:numPr>
              <w:spacing w:line="360" w:lineRule="auto"/>
              <w:rPr>
                <w:rFonts w:ascii="仿宋" w:hAnsi="仿宋" w:eastAsia="仿宋" w:cs="仿宋"/>
                <w:sz w:val="24"/>
              </w:rPr>
            </w:pPr>
            <w:r>
              <w:rPr>
                <w:rFonts w:hint="eastAsia" w:ascii="仿宋" w:hAnsi="仿宋" w:eastAsia="仿宋" w:cs="仿宋"/>
                <w:sz w:val="24"/>
              </w:rPr>
              <w:t>电源适配器：AC220V 转 DC5V/1A电源适配器，USB-T型插头，仪表有充电指示红灯充电绿灯充满，除了电源适配器仪表还可以使用充电宝进行充电解决户外使用时电池电量不够的问题。</w:t>
            </w:r>
          </w:p>
          <w:p w14:paraId="5930B1C3">
            <w:pPr>
              <w:numPr>
                <w:ilvl w:val="0"/>
                <w:numId w:val="11"/>
              </w:numPr>
              <w:spacing w:line="360" w:lineRule="auto"/>
              <w:rPr>
                <w:rFonts w:ascii="仿宋" w:hAnsi="仿宋" w:eastAsia="仿宋" w:cs="仿宋"/>
                <w:sz w:val="24"/>
              </w:rPr>
            </w:pPr>
            <w:r>
              <w:rPr>
                <w:rFonts w:hint="eastAsia" w:ascii="仿宋" w:hAnsi="仿宋" w:eastAsia="仿宋" w:cs="仿宋"/>
                <w:sz w:val="24"/>
              </w:rPr>
              <w:t>配套相关标准表要求：</w:t>
            </w:r>
          </w:p>
          <w:p w14:paraId="6524DC52">
            <w:pPr>
              <w:numPr>
                <w:ilvl w:val="0"/>
                <w:numId w:val="12"/>
              </w:numPr>
              <w:spacing w:line="360" w:lineRule="auto"/>
              <w:ind w:left="390" w:hanging="390"/>
              <w:rPr>
                <w:rFonts w:ascii="仿宋" w:hAnsi="仿宋" w:eastAsia="仿宋" w:cs="仿宋"/>
                <w:sz w:val="24"/>
              </w:rPr>
            </w:pPr>
            <w:r>
              <w:rPr>
                <w:rFonts w:hint="eastAsia" w:ascii="仿宋" w:hAnsi="仿宋" w:eastAsia="仿宋" w:cs="仿宋"/>
                <w:sz w:val="24"/>
              </w:rPr>
              <w:t>智能手机式操作体验。</w:t>
            </w:r>
          </w:p>
          <w:p w14:paraId="7BE7357D">
            <w:pPr>
              <w:numPr>
                <w:ilvl w:val="0"/>
                <w:numId w:val="12"/>
              </w:numPr>
              <w:spacing w:line="360" w:lineRule="auto"/>
              <w:ind w:left="390" w:hanging="390"/>
              <w:rPr>
                <w:rFonts w:ascii="仿宋" w:hAnsi="仿宋" w:eastAsia="仿宋" w:cs="仿宋"/>
                <w:sz w:val="24"/>
              </w:rPr>
            </w:pPr>
            <w:r>
              <w:rPr>
                <w:rFonts w:hint="eastAsia" w:ascii="仿宋" w:hAnsi="仿宋" w:eastAsia="仿宋" w:cs="仿宋"/>
                <w:sz w:val="24"/>
              </w:rPr>
              <w:t>集成双模式HART通信功能。</w:t>
            </w:r>
          </w:p>
        </w:tc>
      </w:tr>
      <w:tr w14:paraId="38195D4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5AAF71B">
            <w:pPr>
              <w:widowControl/>
              <w:autoSpaceDN w:val="0"/>
              <w:spacing w:line="360" w:lineRule="auto"/>
              <w:jc w:val="center"/>
              <w:rPr>
                <w:rFonts w:ascii="仿宋" w:hAnsi="仿宋" w:eastAsia="仿宋" w:cs="仿宋"/>
                <w:sz w:val="24"/>
              </w:rPr>
            </w:pPr>
            <w:r>
              <w:rPr>
                <w:rFonts w:hint="eastAsia" w:ascii="仿宋" w:hAnsi="仿宋" w:eastAsia="仿宋" w:cs="仿宋"/>
                <w:sz w:val="24"/>
              </w:rPr>
              <w:t>5</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7FA87F">
            <w:pPr>
              <w:widowControl/>
              <w:autoSpaceDN w:val="0"/>
              <w:spacing w:line="360" w:lineRule="auto"/>
              <w:jc w:val="center"/>
              <w:rPr>
                <w:rFonts w:ascii="仿宋" w:hAnsi="仿宋" w:eastAsia="仿宋" w:cs="仿宋"/>
                <w:sz w:val="24"/>
              </w:rPr>
            </w:pPr>
            <w:r>
              <w:rPr>
                <w:rFonts w:hint="eastAsia" w:ascii="仿宋" w:hAnsi="仿宋" w:eastAsia="仿宋" w:cs="仿宋"/>
                <w:sz w:val="24"/>
              </w:rPr>
              <w:t>矿井巷道风速检测装置</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ECFABB">
            <w:pPr>
              <w:widowControl/>
              <w:autoSpaceDN w:val="0"/>
              <w:spacing w:line="360" w:lineRule="auto"/>
              <w:jc w:val="left"/>
              <w:rPr>
                <w:rFonts w:ascii="仿宋" w:hAnsi="仿宋" w:eastAsia="仿宋" w:cs="仿宋"/>
                <w:sz w:val="24"/>
              </w:rPr>
            </w:pPr>
            <w:r>
              <w:rPr>
                <w:rFonts w:hint="eastAsia" w:ascii="仿宋" w:hAnsi="仿宋" w:eastAsia="仿宋" w:cs="仿宋"/>
                <w:sz w:val="24"/>
              </w:rPr>
              <w:t>1.功能要求</w:t>
            </w:r>
          </w:p>
          <w:p w14:paraId="253ECC55">
            <w:pPr>
              <w:widowControl/>
              <w:autoSpaceDN w:val="0"/>
              <w:spacing w:line="360" w:lineRule="auto"/>
              <w:jc w:val="left"/>
              <w:rPr>
                <w:rFonts w:ascii="仿宋" w:hAnsi="仿宋" w:eastAsia="仿宋" w:cs="仿宋"/>
                <w:sz w:val="24"/>
              </w:rPr>
            </w:pPr>
            <w:bookmarkStart w:id="663" w:name="_Toc27925"/>
            <w:bookmarkStart w:id="664" w:name="_Toc28654"/>
            <w:r>
              <w:rPr>
                <w:rFonts w:hint="eastAsia" w:ascii="仿宋" w:hAnsi="仿宋" w:eastAsia="仿宋" w:cs="仿宋"/>
                <w:sz w:val="24"/>
              </w:rPr>
              <w:t>（1）风速实时测量</w:t>
            </w:r>
          </w:p>
          <w:p w14:paraId="1F6C388F">
            <w:pPr>
              <w:widowControl/>
              <w:autoSpaceDN w:val="0"/>
              <w:spacing w:line="360" w:lineRule="auto"/>
              <w:jc w:val="left"/>
              <w:rPr>
                <w:rFonts w:ascii="仿宋" w:hAnsi="仿宋" w:eastAsia="仿宋" w:cs="仿宋"/>
                <w:sz w:val="24"/>
              </w:rPr>
            </w:pPr>
            <w:r>
              <w:rPr>
                <w:rFonts w:hint="eastAsia" w:ascii="仿宋" w:hAnsi="仿宋" w:eastAsia="仿宋" w:cs="仿宋"/>
                <w:sz w:val="24"/>
              </w:rPr>
              <w:t>通过内置的传感器，实时捕捉空气流动速度。</w:t>
            </w:r>
          </w:p>
          <w:p w14:paraId="6F51D4EC">
            <w:pPr>
              <w:widowControl/>
              <w:autoSpaceDN w:val="0"/>
              <w:spacing w:line="360" w:lineRule="auto"/>
              <w:jc w:val="left"/>
              <w:rPr>
                <w:rFonts w:ascii="仿宋" w:hAnsi="仿宋" w:eastAsia="仿宋" w:cs="仿宋"/>
                <w:sz w:val="24"/>
              </w:rPr>
            </w:pPr>
            <w:r>
              <w:rPr>
                <w:rFonts w:hint="eastAsia" w:ascii="仿宋" w:hAnsi="仿宋" w:eastAsia="仿宋" w:cs="仿宋"/>
                <w:sz w:val="24"/>
              </w:rPr>
              <w:t>（2）数据实时显示</w:t>
            </w:r>
          </w:p>
          <w:p w14:paraId="5C1CF413">
            <w:pPr>
              <w:widowControl/>
              <w:autoSpaceDN w:val="0"/>
              <w:spacing w:line="360" w:lineRule="auto"/>
              <w:jc w:val="left"/>
              <w:rPr>
                <w:rFonts w:ascii="仿宋" w:hAnsi="仿宋" w:eastAsia="仿宋" w:cs="仿宋"/>
                <w:sz w:val="24"/>
              </w:rPr>
            </w:pPr>
            <w:r>
              <w:rPr>
                <w:rFonts w:hint="eastAsia" w:ascii="仿宋" w:hAnsi="仿宋" w:eastAsia="仿宋" w:cs="仿宋"/>
                <w:sz w:val="24"/>
              </w:rPr>
              <w:t>仪器配备显示屏（LCD 或 OLED），实时显示当前风速值（单位可切换为 m/s、km/h、ft/s、knots 等），部分型号还能显示最大值、最小值、平均值等统计数据。</w:t>
            </w:r>
          </w:p>
          <w:p w14:paraId="676C8F7E">
            <w:pPr>
              <w:widowControl/>
              <w:autoSpaceDN w:val="0"/>
              <w:spacing w:line="360" w:lineRule="auto"/>
              <w:jc w:val="left"/>
              <w:rPr>
                <w:rFonts w:ascii="仿宋" w:hAnsi="仿宋" w:eastAsia="仿宋" w:cs="仿宋"/>
                <w:sz w:val="24"/>
              </w:rPr>
            </w:pPr>
            <w:r>
              <w:rPr>
                <w:rFonts w:hint="eastAsia" w:ascii="仿宋" w:hAnsi="仿宋" w:eastAsia="仿宋" w:cs="仿宋"/>
                <w:sz w:val="24"/>
              </w:rPr>
              <w:t>（3）数据存储与记录</w:t>
            </w:r>
          </w:p>
          <w:p w14:paraId="1C25F9B1">
            <w:pPr>
              <w:widowControl/>
              <w:autoSpaceDN w:val="0"/>
              <w:spacing w:line="360" w:lineRule="auto"/>
              <w:jc w:val="left"/>
              <w:rPr>
                <w:rFonts w:ascii="仿宋" w:hAnsi="仿宋" w:eastAsia="仿宋" w:cs="仿宋"/>
                <w:sz w:val="24"/>
              </w:rPr>
            </w:pPr>
            <w:r>
              <w:rPr>
                <w:rFonts w:hint="eastAsia" w:ascii="仿宋" w:hAnsi="仿宋" w:eastAsia="仿宋" w:cs="仿宋"/>
                <w:sz w:val="24"/>
              </w:rPr>
              <w:t>中高端风速仪内置存储器，可按设定间隔（如 1 秒、1 分钟）自动记录测量数据，存储容量从数千组到数万组不等，支持通过 USB 接口导出至电脑，便于后续分析。</w:t>
            </w:r>
          </w:p>
          <w:p w14:paraId="45B779CE">
            <w:pPr>
              <w:widowControl/>
              <w:autoSpaceDN w:val="0"/>
              <w:spacing w:line="360" w:lineRule="auto"/>
              <w:jc w:val="left"/>
              <w:rPr>
                <w:rFonts w:ascii="仿宋" w:hAnsi="仿宋" w:eastAsia="仿宋" w:cs="仿宋"/>
                <w:sz w:val="24"/>
              </w:rPr>
            </w:pPr>
            <w:r>
              <w:rPr>
                <w:rFonts w:hint="eastAsia" w:ascii="仿宋" w:hAnsi="仿宋" w:eastAsia="仿宋" w:cs="仿宋"/>
                <w:sz w:val="24"/>
              </w:rPr>
              <w:t>（4）数据传输</w:t>
            </w:r>
          </w:p>
          <w:p w14:paraId="7A4ED5FE">
            <w:pPr>
              <w:widowControl/>
              <w:autoSpaceDN w:val="0"/>
              <w:spacing w:line="360" w:lineRule="auto"/>
              <w:jc w:val="left"/>
              <w:rPr>
                <w:rFonts w:ascii="仿宋" w:hAnsi="仿宋" w:eastAsia="仿宋" w:cs="仿宋"/>
                <w:sz w:val="24"/>
              </w:rPr>
            </w:pPr>
            <w:r>
              <w:rPr>
                <w:rFonts w:hint="eastAsia" w:ascii="仿宋" w:hAnsi="仿宋" w:eastAsia="仿宋" w:cs="仿宋"/>
                <w:sz w:val="24"/>
              </w:rPr>
              <w:t>具备无线传输功能（如蓝牙、Wi-Fi、LoRa），可将实时数据发送至手机 APP、电脑或云端平台，实现远程监控。</w:t>
            </w:r>
          </w:p>
          <w:p w14:paraId="6EB47CB7">
            <w:pPr>
              <w:widowControl/>
              <w:autoSpaceDN w:val="0"/>
              <w:spacing w:line="360" w:lineRule="auto"/>
              <w:jc w:val="left"/>
              <w:rPr>
                <w:rFonts w:ascii="仿宋" w:hAnsi="仿宋" w:eastAsia="仿宋" w:cs="仿宋"/>
                <w:sz w:val="24"/>
              </w:rPr>
            </w:pPr>
            <w:r>
              <w:rPr>
                <w:rFonts w:hint="eastAsia" w:ascii="仿宋" w:hAnsi="仿宋" w:eastAsia="仿宋" w:cs="仿宋"/>
                <w:sz w:val="24"/>
              </w:rPr>
              <w:t>2.</w:t>
            </w:r>
            <w:bookmarkEnd w:id="663"/>
            <w:r>
              <w:rPr>
                <w:rFonts w:hint="eastAsia" w:ascii="仿宋" w:hAnsi="仿宋" w:eastAsia="仿宋" w:cs="仿宋"/>
                <w:sz w:val="24"/>
              </w:rPr>
              <w:t>技术要求</w:t>
            </w:r>
          </w:p>
          <w:bookmarkEnd w:id="664"/>
          <w:p w14:paraId="240848DB">
            <w:pPr>
              <w:widowControl/>
              <w:autoSpaceDN w:val="0"/>
              <w:spacing w:line="360" w:lineRule="auto"/>
              <w:jc w:val="left"/>
              <w:rPr>
                <w:rFonts w:ascii="仿宋" w:hAnsi="仿宋" w:eastAsia="仿宋" w:cs="仿宋"/>
                <w:sz w:val="24"/>
              </w:rPr>
            </w:pPr>
            <w:r>
              <w:rPr>
                <w:rFonts w:hint="eastAsia" w:ascii="仿宋" w:hAnsi="仿宋" w:eastAsia="仿宋" w:cs="仿宋"/>
                <w:sz w:val="24"/>
              </w:rPr>
              <w:t>（1）传感器：热敏传感器</w:t>
            </w:r>
          </w:p>
          <w:p w14:paraId="02BF0B82">
            <w:pPr>
              <w:widowControl/>
              <w:autoSpaceDN w:val="0"/>
              <w:spacing w:line="360" w:lineRule="auto"/>
              <w:jc w:val="left"/>
              <w:rPr>
                <w:rFonts w:ascii="仿宋" w:hAnsi="仿宋" w:eastAsia="仿宋" w:cs="仿宋"/>
                <w:sz w:val="24"/>
              </w:rPr>
            </w:pPr>
            <w:r>
              <w:rPr>
                <w:rFonts w:hint="eastAsia" w:ascii="仿宋" w:hAnsi="仿宋" w:eastAsia="仿宋" w:cs="仿宋"/>
                <w:sz w:val="24"/>
              </w:rPr>
              <w:t>（2）风速量程：0.01 ~ 30 m/s</w:t>
            </w:r>
          </w:p>
          <w:p w14:paraId="56BCC134">
            <w:pPr>
              <w:widowControl/>
              <w:autoSpaceDN w:val="0"/>
              <w:spacing w:line="360" w:lineRule="auto"/>
              <w:jc w:val="left"/>
              <w:rPr>
                <w:rFonts w:ascii="仿宋" w:hAnsi="仿宋" w:eastAsia="仿宋" w:cs="仿宋"/>
                <w:sz w:val="24"/>
              </w:rPr>
            </w:pPr>
            <w:r>
              <w:rPr>
                <w:rFonts w:hint="eastAsia" w:ascii="仿宋" w:hAnsi="仿宋" w:eastAsia="仿宋" w:cs="仿宋"/>
                <w:sz w:val="24"/>
              </w:rPr>
              <w:t xml:space="preserve">（3）测量精度：±(0.03 m/s + 4.0 %测量值)  </w:t>
            </w:r>
          </w:p>
          <w:p w14:paraId="6275FD4A">
            <w:pPr>
              <w:widowControl/>
              <w:autoSpaceDN w:val="0"/>
              <w:spacing w:line="360" w:lineRule="auto"/>
              <w:jc w:val="left"/>
              <w:rPr>
                <w:rFonts w:ascii="仿宋" w:hAnsi="仿宋" w:eastAsia="仿宋" w:cs="仿宋"/>
                <w:sz w:val="24"/>
              </w:rPr>
            </w:pPr>
            <w:r>
              <w:rPr>
                <w:rFonts w:hint="eastAsia" w:ascii="仿宋" w:hAnsi="仿宋" w:eastAsia="仿宋" w:cs="仿宋"/>
                <w:sz w:val="24"/>
              </w:rPr>
              <w:t xml:space="preserve">±(0.5 m/s + 5.0 %测量值) </w:t>
            </w:r>
          </w:p>
          <w:p w14:paraId="3A3006AD">
            <w:pPr>
              <w:widowControl/>
              <w:autoSpaceDN w:val="0"/>
              <w:spacing w:line="360" w:lineRule="auto"/>
              <w:jc w:val="left"/>
              <w:rPr>
                <w:rFonts w:ascii="仿宋" w:hAnsi="仿宋" w:eastAsia="仿宋" w:cs="仿宋"/>
                <w:sz w:val="24"/>
              </w:rPr>
            </w:pPr>
            <w:r>
              <w:rPr>
                <w:rFonts w:hint="eastAsia" w:ascii="仿宋" w:hAnsi="仿宋" w:eastAsia="仿宋" w:cs="仿宋"/>
                <w:sz w:val="24"/>
              </w:rPr>
              <w:t>（4）分辨率：0.01 m/s</w:t>
            </w:r>
          </w:p>
          <w:p w14:paraId="491C1F98">
            <w:pPr>
              <w:widowControl/>
              <w:autoSpaceDN w:val="0"/>
              <w:spacing w:line="360" w:lineRule="auto"/>
              <w:jc w:val="left"/>
              <w:rPr>
                <w:rFonts w:ascii="仿宋" w:hAnsi="仿宋" w:eastAsia="仿宋" w:cs="仿宋"/>
                <w:sz w:val="24"/>
              </w:rPr>
            </w:pPr>
            <w:r>
              <w:rPr>
                <w:rFonts w:hint="eastAsia" w:ascii="仿宋" w:hAnsi="仿宋" w:eastAsia="仿宋" w:cs="仿宋"/>
                <w:sz w:val="24"/>
              </w:rPr>
              <w:t>（5）NTC温度量程：-20 ~ +70 ℃</w:t>
            </w:r>
          </w:p>
          <w:p w14:paraId="4402F1F8">
            <w:pPr>
              <w:widowControl/>
              <w:autoSpaceDN w:val="0"/>
              <w:spacing w:line="360" w:lineRule="auto"/>
              <w:jc w:val="left"/>
              <w:rPr>
                <w:rFonts w:ascii="仿宋" w:hAnsi="仿宋" w:eastAsia="仿宋" w:cs="仿宋"/>
                <w:sz w:val="24"/>
              </w:rPr>
            </w:pPr>
            <w:r>
              <w:rPr>
                <w:rFonts w:hint="eastAsia" w:ascii="仿宋" w:hAnsi="仿宋" w:eastAsia="仿宋" w:cs="仿宋"/>
                <w:sz w:val="24"/>
              </w:rPr>
              <w:t>（6）测量精度：±0.5 ℃</w:t>
            </w:r>
          </w:p>
          <w:p w14:paraId="30FD6A78">
            <w:pPr>
              <w:widowControl/>
              <w:autoSpaceDN w:val="0"/>
              <w:spacing w:line="360" w:lineRule="auto"/>
              <w:jc w:val="left"/>
              <w:rPr>
                <w:rFonts w:ascii="仿宋" w:hAnsi="仿宋" w:eastAsia="仿宋" w:cs="仿宋"/>
                <w:sz w:val="24"/>
              </w:rPr>
            </w:pPr>
            <w:r>
              <w:rPr>
                <w:rFonts w:hint="eastAsia" w:ascii="仿宋" w:hAnsi="仿宋" w:eastAsia="仿宋" w:cs="仿宋"/>
                <w:sz w:val="24"/>
              </w:rPr>
              <w:t>（7）分辨率：0.1 ℃</w:t>
            </w:r>
          </w:p>
          <w:p w14:paraId="76930AFE">
            <w:pPr>
              <w:widowControl/>
              <w:autoSpaceDN w:val="0"/>
              <w:spacing w:line="360" w:lineRule="auto"/>
              <w:jc w:val="left"/>
              <w:rPr>
                <w:rFonts w:ascii="仿宋" w:hAnsi="仿宋" w:eastAsia="仿宋" w:cs="仿宋"/>
                <w:sz w:val="24"/>
              </w:rPr>
            </w:pPr>
            <w:r>
              <w:rPr>
                <w:rFonts w:hint="eastAsia" w:ascii="仿宋" w:hAnsi="仿宋" w:eastAsia="仿宋" w:cs="仿宋"/>
                <w:sz w:val="24"/>
              </w:rPr>
              <w:t>（8）测量单位：风速:m/s、fpm 风量:m³/h、cfm、l/s 温度:℃、°F</w:t>
            </w:r>
          </w:p>
          <w:p w14:paraId="5F5DB97D">
            <w:pPr>
              <w:widowControl/>
              <w:autoSpaceDN w:val="0"/>
              <w:spacing w:line="360" w:lineRule="auto"/>
              <w:jc w:val="left"/>
              <w:rPr>
                <w:rFonts w:ascii="仿宋" w:hAnsi="仿宋" w:eastAsia="仿宋" w:cs="仿宋"/>
                <w:sz w:val="24"/>
              </w:rPr>
            </w:pPr>
            <w:r>
              <w:rPr>
                <w:rFonts w:hint="eastAsia" w:ascii="仿宋" w:hAnsi="仿宋" w:eastAsia="仿宋" w:cs="仿宋"/>
                <w:sz w:val="24"/>
              </w:rPr>
              <w:t>（9）℃ /°F单位转换</w:t>
            </w:r>
            <w:r>
              <w:rPr>
                <w:rFonts w:hint="eastAsia" w:ascii="仿宋" w:hAnsi="仿宋" w:eastAsia="仿宋" w:cs="仿宋"/>
                <w:sz w:val="24"/>
              </w:rPr>
              <w:tab/>
            </w:r>
            <w:r>
              <w:rPr>
                <w:rFonts w:hint="eastAsia" w:ascii="仿宋" w:hAnsi="仿宋" w:eastAsia="仿宋" w:cs="仿宋"/>
                <w:sz w:val="24"/>
              </w:rPr>
              <w:t>☑</w:t>
            </w:r>
          </w:p>
          <w:p w14:paraId="5CEAE56D">
            <w:pPr>
              <w:widowControl/>
              <w:autoSpaceDN w:val="0"/>
              <w:spacing w:line="360" w:lineRule="auto"/>
              <w:jc w:val="left"/>
              <w:rPr>
                <w:rFonts w:ascii="仿宋" w:hAnsi="仿宋" w:eastAsia="仿宋" w:cs="仿宋"/>
                <w:sz w:val="24"/>
              </w:rPr>
            </w:pPr>
            <w:r>
              <w:rPr>
                <w:rFonts w:hint="eastAsia" w:ascii="仿宋" w:hAnsi="仿宋" w:eastAsia="仿宋" w:cs="仿宋"/>
                <w:sz w:val="24"/>
              </w:rPr>
              <w:t>（10）数据锁定功能</w:t>
            </w:r>
            <w:r>
              <w:rPr>
                <w:rFonts w:hint="eastAsia" w:ascii="仿宋" w:hAnsi="仿宋" w:eastAsia="仿宋" w:cs="仿宋"/>
                <w:sz w:val="24"/>
              </w:rPr>
              <w:tab/>
            </w:r>
            <w:r>
              <w:rPr>
                <w:rFonts w:hint="eastAsia" w:ascii="仿宋" w:hAnsi="仿宋" w:eastAsia="仿宋" w:cs="仿宋"/>
                <w:sz w:val="24"/>
              </w:rPr>
              <w:t>☑</w:t>
            </w:r>
          </w:p>
          <w:p w14:paraId="00FC479F">
            <w:pPr>
              <w:widowControl/>
              <w:autoSpaceDN w:val="0"/>
              <w:spacing w:line="360" w:lineRule="auto"/>
              <w:jc w:val="left"/>
              <w:rPr>
                <w:rFonts w:ascii="仿宋" w:hAnsi="仿宋" w:eastAsia="仿宋" w:cs="仿宋"/>
                <w:sz w:val="24"/>
              </w:rPr>
            </w:pPr>
            <w:r>
              <w:rPr>
                <w:rFonts w:hint="eastAsia" w:ascii="仿宋" w:hAnsi="仿宋" w:eastAsia="仿宋" w:cs="仿宋"/>
                <w:sz w:val="24"/>
              </w:rPr>
              <w:t>（11）最大值/最小值</w:t>
            </w:r>
            <w:r>
              <w:rPr>
                <w:rFonts w:hint="eastAsia" w:ascii="仿宋" w:hAnsi="仿宋" w:eastAsia="仿宋" w:cs="仿宋"/>
                <w:sz w:val="24"/>
              </w:rPr>
              <w:tab/>
            </w:r>
            <w:r>
              <w:rPr>
                <w:rFonts w:hint="eastAsia" w:ascii="仿宋" w:hAnsi="仿宋" w:eastAsia="仿宋" w:cs="仿宋"/>
                <w:sz w:val="24"/>
              </w:rPr>
              <w:t>☑</w:t>
            </w:r>
          </w:p>
          <w:p w14:paraId="70C95FFF">
            <w:pPr>
              <w:widowControl/>
              <w:autoSpaceDN w:val="0"/>
              <w:spacing w:line="360" w:lineRule="auto"/>
              <w:jc w:val="left"/>
              <w:rPr>
                <w:rFonts w:ascii="仿宋" w:hAnsi="仿宋" w:eastAsia="仿宋" w:cs="仿宋"/>
                <w:sz w:val="24"/>
              </w:rPr>
            </w:pPr>
            <w:r>
              <w:rPr>
                <w:rFonts w:hint="eastAsia" w:ascii="仿宋" w:hAnsi="仿宋" w:eastAsia="仿宋" w:cs="仿宋"/>
                <w:sz w:val="24"/>
              </w:rPr>
              <w:t>（12）多点平均值计算</w:t>
            </w:r>
            <w:r>
              <w:rPr>
                <w:rFonts w:hint="eastAsia" w:ascii="仿宋" w:hAnsi="仿宋" w:eastAsia="仿宋" w:cs="仿宋"/>
                <w:sz w:val="24"/>
              </w:rPr>
              <w:tab/>
            </w:r>
            <w:r>
              <w:rPr>
                <w:rFonts w:hint="eastAsia" w:ascii="仿宋" w:hAnsi="仿宋" w:eastAsia="仿宋" w:cs="仿宋"/>
                <w:sz w:val="24"/>
              </w:rPr>
              <w:t>☑</w:t>
            </w:r>
          </w:p>
          <w:p w14:paraId="1A009785">
            <w:pPr>
              <w:widowControl/>
              <w:autoSpaceDN w:val="0"/>
              <w:spacing w:line="360" w:lineRule="auto"/>
              <w:jc w:val="left"/>
              <w:rPr>
                <w:rFonts w:ascii="仿宋" w:hAnsi="仿宋" w:eastAsia="仿宋" w:cs="仿宋"/>
                <w:sz w:val="24"/>
              </w:rPr>
            </w:pPr>
            <w:r>
              <w:rPr>
                <w:rFonts w:hint="eastAsia" w:ascii="仿宋" w:hAnsi="仿宋" w:eastAsia="仿宋" w:cs="仿宋"/>
                <w:sz w:val="24"/>
              </w:rPr>
              <w:t>（13）连续平均值计算</w:t>
            </w:r>
            <w:r>
              <w:rPr>
                <w:rFonts w:hint="eastAsia" w:ascii="仿宋" w:hAnsi="仿宋" w:eastAsia="仿宋" w:cs="仿宋"/>
                <w:sz w:val="24"/>
              </w:rPr>
              <w:tab/>
            </w:r>
            <w:r>
              <w:rPr>
                <w:rFonts w:hint="eastAsia" w:ascii="仿宋" w:hAnsi="仿宋" w:eastAsia="仿宋" w:cs="仿宋"/>
                <w:sz w:val="24"/>
              </w:rPr>
              <w:t>☑</w:t>
            </w:r>
          </w:p>
          <w:p w14:paraId="7851D4A3">
            <w:pPr>
              <w:widowControl/>
              <w:autoSpaceDN w:val="0"/>
              <w:spacing w:line="360" w:lineRule="auto"/>
              <w:jc w:val="left"/>
              <w:rPr>
                <w:rFonts w:ascii="仿宋" w:hAnsi="仿宋" w:eastAsia="仿宋" w:cs="仿宋"/>
                <w:sz w:val="24"/>
              </w:rPr>
            </w:pPr>
            <w:r>
              <w:rPr>
                <w:rFonts w:hint="eastAsia" w:ascii="仿宋" w:hAnsi="仿宋" w:eastAsia="仿宋" w:cs="仿宋"/>
                <w:sz w:val="24"/>
              </w:rPr>
              <w:t>（14）自动关机功能</w:t>
            </w:r>
            <w:r>
              <w:rPr>
                <w:rFonts w:hint="eastAsia" w:ascii="仿宋" w:hAnsi="仿宋" w:eastAsia="仿宋" w:cs="仿宋"/>
                <w:sz w:val="24"/>
              </w:rPr>
              <w:tab/>
            </w:r>
            <w:r>
              <w:rPr>
                <w:rFonts w:hint="eastAsia" w:ascii="仿宋" w:hAnsi="仿宋" w:eastAsia="仿宋" w:cs="仿宋"/>
                <w:sz w:val="24"/>
              </w:rPr>
              <w:t>☑</w:t>
            </w:r>
          </w:p>
          <w:p w14:paraId="0859E7B7">
            <w:pPr>
              <w:widowControl/>
              <w:autoSpaceDN w:val="0"/>
              <w:spacing w:line="360" w:lineRule="auto"/>
              <w:jc w:val="left"/>
              <w:rPr>
                <w:rFonts w:ascii="仿宋" w:hAnsi="仿宋" w:eastAsia="仿宋" w:cs="仿宋"/>
                <w:sz w:val="24"/>
              </w:rPr>
            </w:pPr>
            <w:r>
              <w:rPr>
                <w:rFonts w:hint="eastAsia" w:ascii="仿宋" w:hAnsi="仿宋" w:eastAsia="仿宋" w:cs="仿宋"/>
                <w:sz w:val="24"/>
              </w:rPr>
              <w:t>（15）阻尼减缓功能</w:t>
            </w:r>
            <w:r>
              <w:rPr>
                <w:rFonts w:hint="eastAsia" w:ascii="仿宋" w:hAnsi="仿宋" w:eastAsia="仿宋" w:cs="仿宋"/>
                <w:sz w:val="24"/>
              </w:rPr>
              <w:tab/>
            </w:r>
            <w:r>
              <w:rPr>
                <w:rFonts w:hint="eastAsia" w:ascii="仿宋" w:hAnsi="仿宋" w:eastAsia="仿宋" w:cs="仿宋"/>
                <w:sz w:val="24"/>
              </w:rPr>
              <w:t>☑</w:t>
            </w:r>
          </w:p>
          <w:p w14:paraId="30E4D107">
            <w:pPr>
              <w:widowControl/>
              <w:autoSpaceDN w:val="0"/>
              <w:spacing w:line="360" w:lineRule="auto"/>
              <w:jc w:val="left"/>
              <w:rPr>
                <w:rFonts w:ascii="仿宋" w:hAnsi="仿宋" w:eastAsia="仿宋" w:cs="仿宋"/>
                <w:sz w:val="24"/>
              </w:rPr>
            </w:pPr>
            <w:r>
              <w:rPr>
                <w:rFonts w:hint="eastAsia" w:ascii="仿宋" w:hAnsi="仿宋" w:eastAsia="仿宋" w:cs="仿宋"/>
                <w:sz w:val="24"/>
              </w:rPr>
              <w:t>（16）蓝牙连接功能</w:t>
            </w:r>
            <w:r>
              <w:rPr>
                <w:rFonts w:hint="eastAsia" w:ascii="仿宋" w:hAnsi="仿宋" w:eastAsia="仿宋" w:cs="仿宋"/>
                <w:sz w:val="24"/>
              </w:rPr>
              <w:tab/>
            </w:r>
            <w:r>
              <w:rPr>
                <w:rFonts w:hint="eastAsia" w:ascii="仿宋" w:hAnsi="仿宋" w:eastAsia="仿宋" w:cs="仿宋"/>
                <w:sz w:val="24"/>
              </w:rPr>
              <w:t>☑</w:t>
            </w:r>
          </w:p>
          <w:p w14:paraId="797E48E9">
            <w:pPr>
              <w:widowControl/>
              <w:autoSpaceDN w:val="0"/>
              <w:spacing w:line="360" w:lineRule="auto"/>
              <w:jc w:val="left"/>
              <w:rPr>
                <w:rFonts w:ascii="仿宋" w:hAnsi="仿宋" w:eastAsia="仿宋" w:cs="仿宋"/>
                <w:sz w:val="24"/>
              </w:rPr>
            </w:pPr>
            <w:r>
              <w:rPr>
                <w:rFonts w:hint="eastAsia" w:ascii="仿宋" w:hAnsi="仿宋" w:eastAsia="仿宋" w:cs="仿宋"/>
                <w:sz w:val="24"/>
              </w:rPr>
              <w:t>（17）蓝牙打印数据</w:t>
            </w:r>
            <w:r>
              <w:rPr>
                <w:rFonts w:hint="eastAsia" w:ascii="仿宋" w:hAnsi="仿宋" w:eastAsia="仿宋" w:cs="仿宋"/>
                <w:sz w:val="24"/>
              </w:rPr>
              <w:tab/>
            </w:r>
            <w:r>
              <w:rPr>
                <w:rFonts w:hint="eastAsia" w:ascii="仿宋" w:hAnsi="仿宋" w:eastAsia="仿宋" w:cs="仿宋"/>
                <w:sz w:val="24"/>
              </w:rPr>
              <w:t>☑</w:t>
            </w:r>
          </w:p>
          <w:p w14:paraId="2CC28953">
            <w:pPr>
              <w:widowControl/>
              <w:autoSpaceDN w:val="0"/>
              <w:spacing w:line="360" w:lineRule="auto"/>
              <w:jc w:val="left"/>
              <w:rPr>
                <w:rFonts w:ascii="仿宋" w:hAnsi="仿宋" w:eastAsia="仿宋" w:cs="仿宋"/>
                <w:sz w:val="24"/>
              </w:rPr>
            </w:pPr>
            <w:r>
              <w:rPr>
                <w:rFonts w:hint="eastAsia" w:ascii="仿宋" w:hAnsi="仿宋" w:eastAsia="仿宋" w:cs="仿宋"/>
                <w:sz w:val="24"/>
              </w:rPr>
              <w:t>（18）APP应用程序：蓝牙无线连接</w:t>
            </w:r>
          </w:p>
          <w:p w14:paraId="6EA2EA8A">
            <w:pPr>
              <w:widowControl/>
              <w:autoSpaceDN w:val="0"/>
              <w:spacing w:line="360" w:lineRule="auto"/>
              <w:jc w:val="left"/>
              <w:rPr>
                <w:rFonts w:ascii="仿宋" w:hAnsi="仿宋" w:eastAsia="仿宋" w:cs="仿宋"/>
                <w:sz w:val="24"/>
              </w:rPr>
            </w:pPr>
            <w:r>
              <w:rPr>
                <w:rFonts w:hint="eastAsia" w:ascii="仿宋" w:hAnsi="仿宋" w:eastAsia="仿宋" w:cs="仿宋"/>
                <w:sz w:val="24"/>
              </w:rPr>
              <w:t>（19）防护等级：IP20</w:t>
            </w:r>
          </w:p>
          <w:p w14:paraId="7836CB94">
            <w:pPr>
              <w:widowControl/>
              <w:autoSpaceDN w:val="0"/>
              <w:spacing w:line="360" w:lineRule="auto"/>
              <w:jc w:val="left"/>
              <w:rPr>
                <w:rFonts w:ascii="仿宋" w:hAnsi="仿宋" w:eastAsia="仿宋" w:cs="仿宋"/>
                <w:sz w:val="24"/>
              </w:rPr>
            </w:pPr>
            <w:r>
              <w:rPr>
                <w:rFonts w:hint="eastAsia" w:ascii="仿宋" w:hAnsi="仿宋" w:eastAsia="仿宋" w:cs="仿宋"/>
                <w:sz w:val="24"/>
              </w:rPr>
              <w:t>（20）工作温度：-20 ~ 50℃（仪器）；-20 ~ 70℃（探头）</w:t>
            </w:r>
          </w:p>
          <w:p w14:paraId="1EFA9F82">
            <w:pPr>
              <w:widowControl/>
              <w:autoSpaceDN w:val="0"/>
              <w:spacing w:line="360" w:lineRule="auto"/>
              <w:jc w:val="left"/>
              <w:rPr>
                <w:rFonts w:ascii="仿宋" w:hAnsi="仿宋" w:eastAsia="仿宋" w:cs="仿宋"/>
                <w:sz w:val="24"/>
              </w:rPr>
            </w:pPr>
            <w:r>
              <w:rPr>
                <w:rFonts w:hint="eastAsia" w:ascii="仿宋" w:hAnsi="仿宋" w:eastAsia="仿宋" w:cs="仿宋"/>
                <w:sz w:val="24"/>
              </w:rPr>
              <w:t>（21）工作湿度：0~80%RH</w:t>
            </w:r>
          </w:p>
          <w:p w14:paraId="616FD834">
            <w:pPr>
              <w:widowControl/>
              <w:autoSpaceDN w:val="0"/>
              <w:spacing w:line="360" w:lineRule="auto"/>
              <w:jc w:val="left"/>
              <w:rPr>
                <w:rFonts w:ascii="仿宋" w:hAnsi="仿宋" w:eastAsia="仿宋" w:cs="仿宋"/>
                <w:sz w:val="24"/>
              </w:rPr>
            </w:pPr>
            <w:r>
              <w:rPr>
                <w:rFonts w:hint="eastAsia" w:ascii="仿宋" w:hAnsi="仿宋" w:eastAsia="仿宋" w:cs="仿宋"/>
                <w:sz w:val="24"/>
              </w:rPr>
              <w:t>（22）电池类型：3节1.5 V AA电池</w:t>
            </w:r>
          </w:p>
          <w:p w14:paraId="45E3DD8E">
            <w:pPr>
              <w:widowControl/>
              <w:autoSpaceDN w:val="0"/>
              <w:spacing w:line="360" w:lineRule="auto"/>
              <w:jc w:val="left"/>
              <w:rPr>
                <w:rFonts w:ascii="仿宋" w:hAnsi="仿宋" w:eastAsia="仿宋" w:cs="仿宋"/>
                <w:sz w:val="24"/>
              </w:rPr>
            </w:pPr>
            <w:r>
              <w:rPr>
                <w:rFonts w:hint="eastAsia" w:ascii="仿宋" w:hAnsi="仿宋" w:eastAsia="仿宋" w:cs="仿宋"/>
                <w:sz w:val="24"/>
              </w:rPr>
              <w:t>（23）仪器尺寸：135 x 60 x 28 mm</w:t>
            </w:r>
          </w:p>
          <w:p w14:paraId="3DF8B5C2">
            <w:pPr>
              <w:widowControl/>
              <w:autoSpaceDN w:val="0"/>
              <w:spacing w:line="360" w:lineRule="auto"/>
              <w:jc w:val="left"/>
              <w:rPr>
                <w:rFonts w:ascii="仿宋" w:hAnsi="仿宋" w:eastAsia="仿宋" w:cs="仿宋"/>
                <w:sz w:val="24"/>
              </w:rPr>
            </w:pPr>
            <w:r>
              <w:rPr>
                <w:rFonts w:hint="eastAsia" w:ascii="仿宋" w:hAnsi="仿宋" w:eastAsia="仿宋" w:cs="仿宋"/>
                <w:sz w:val="24"/>
              </w:rPr>
              <w:t>（24）探头：手柄长180mm，手柄直径12mm，探头直径7.5mm</w:t>
            </w:r>
          </w:p>
          <w:p w14:paraId="5B3769BC">
            <w:pPr>
              <w:widowControl/>
              <w:autoSpaceDN w:val="0"/>
              <w:spacing w:line="360" w:lineRule="auto"/>
              <w:jc w:val="left"/>
              <w:rPr>
                <w:rFonts w:ascii="仿宋" w:hAnsi="仿宋" w:eastAsia="仿宋" w:cs="仿宋"/>
                <w:sz w:val="24"/>
              </w:rPr>
            </w:pPr>
            <w:r>
              <w:rPr>
                <w:rFonts w:hint="eastAsia" w:ascii="仿宋" w:hAnsi="仿宋" w:eastAsia="仿宋" w:cs="仿宋"/>
                <w:sz w:val="24"/>
              </w:rPr>
              <w:t>（25）电缆长：1.5m</w:t>
            </w:r>
          </w:p>
          <w:p w14:paraId="7678EB47">
            <w:pPr>
              <w:widowControl/>
              <w:autoSpaceDN w:val="0"/>
              <w:spacing w:line="360" w:lineRule="auto"/>
              <w:jc w:val="left"/>
              <w:rPr>
                <w:rFonts w:ascii="仿宋" w:hAnsi="仿宋" w:eastAsia="仿宋" w:cs="仿宋"/>
                <w:sz w:val="24"/>
              </w:rPr>
            </w:pPr>
            <w:r>
              <w:rPr>
                <w:rFonts w:hint="eastAsia" w:ascii="仿宋" w:hAnsi="仿宋" w:eastAsia="仿宋" w:cs="仿宋"/>
                <w:sz w:val="24"/>
              </w:rPr>
              <w:t>（26）重量</w:t>
            </w:r>
            <w:r>
              <w:rPr>
                <w:rFonts w:hint="eastAsia" w:ascii="仿宋" w:hAnsi="仿宋" w:eastAsia="仿宋" w:cs="仿宋"/>
                <w:sz w:val="24"/>
              </w:rPr>
              <w:tab/>
            </w:r>
            <w:r>
              <w:rPr>
                <w:rFonts w:hint="eastAsia" w:ascii="仿宋" w:hAnsi="仿宋" w:eastAsia="仿宋" w:cs="仿宋"/>
                <w:sz w:val="24"/>
              </w:rPr>
              <w:t>：268g</w:t>
            </w:r>
          </w:p>
        </w:tc>
      </w:tr>
      <w:tr w14:paraId="50294BC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EA9EC49">
            <w:pPr>
              <w:widowControl/>
              <w:autoSpaceDN w:val="0"/>
              <w:spacing w:line="360" w:lineRule="auto"/>
              <w:jc w:val="center"/>
              <w:rPr>
                <w:rFonts w:ascii="仿宋" w:hAnsi="仿宋" w:eastAsia="仿宋" w:cs="仿宋"/>
                <w:sz w:val="24"/>
              </w:rPr>
            </w:pPr>
            <w:r>
              <w:rPr>
                <w:rFonts w:hint="eastAsia" w:ascii="仿宋" w:hAnsi="仿宋" w:eastAsia="仿宋" w:cs="仿宋"/>
                <w:sz w:val="24"/>
              </w:rPr>
              <w:t>6</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8FC7B3">
            <w:pPr>
              <w:pStyle w:val="2"/>
              <w:widowControl/>
              <w:spacing w:before="480" w:after="0" w:line="360" w:lineRule="auto"/>
              <w:jc w:val="center"/>
              <w:rPr>
                <w:rFonts w:ascii="仿宋" w:hAnsi="仿宋" w:eastAsia="仿宋" w:cs="仿宋"/>
                <w:sz w:val="24"/>
                <w:szCs w:val="24"/>
              </w:rPr>
            </w:pPr>
            <w:r>
              <w:rPr>
                <w:rFonts w:hint="eastAsia" w:ascii="仿宋" w:hAnsi="仿宋" w:eastAsia="仿宋" w:cs="仿宋"/>
                <w:b w:val="0"/>
                <w:bCs w:val="0"/>
                <w:kern w:val="2"/>
                <w:sz w:val="24"/>
                <w:szCs w:val="24"/>
              </w:rPr>
              <w:t>有毒有害气体检测报警装置</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8FCB52">
            <w:pPr>
              <w:widowControl/>
              <w:autoSpaceDN w:val="0"/>
              <w:spacing w:line="360" w:lineRule="auto"/>
              <w:jc w:val="left"/>
              <w:rPr>
                <w:rFonts w:ascii="仿宋" w:hAnsi="仿宋" w:eastAsia="仿宋" w:cs="仿宋"/>
                <w:sz w:val="24"/>
              </w:rPr>
            </w:pPr>
            <w:r>
              <w:rPr>
                <w:rFonts w:hint="eastAsia" w:ascii="仿宋" w:hAnsi="仿宋" w:eastAsia="仿宋" w:cs="仿宋"/>
                <w:sz w:val="24"/>
              </w:rPr>
              <w:t>检测仪敏感元件采用优质气体传感器，具有极好的灵敏度和出色的重复性；仪器采用嵌入式微机控制，操作简单，功能齐全，可靠性高，具有多种自适应能力。产品使用彩色图文液晶显示，直观清晰。</w:t>
            </w:r>
          </w:p>
          <w:p w14:paraId="281F66D8">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产品特点：</w:t>
            </w:r>
          </w:p>
          <w:p w14:paraId="57BB80BB">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 xml:space="preserve">1、 采用2.4寸高清全彩视角IPS工业屏 </w:t>
            </w:r>
          </w:p>
          <w:p w14:paraId="45ACE4CA">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2、实施显示气体的检测数据，单通道曲线显示</w:t>
            </w:r>
          </w:p>
          <w:p w14:paraId="19FEB9BE">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3、支持4G 、WiFi 通讯 ，</w:t>
            </w:r>
          </w:p>
          <w:p w14:paraId="5B653D3B">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 xml:space="preserve">4、壳体采用高度IP包胶工艺 </w:t>
            </w:r>
          </w:p>
          <w:p w14:paraId="7A8EE3B7">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 xml:space="preserve">5、高性能进口传感器 </w:t>
            </w:r>
          </w:p>
          <w:p w14:paraId="05BE3A91">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6、具有检测数据存储功能及报警数据存储功能</w:t>
            </w:r>
          </w:p>
          <w:p w14:paraId="2F82F98D">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 xml:space="preserve">7、本安电路设计、抗静电及电磁干扰 </w:t>
            </w:r>
          </w:p>
          <w:p w14:paraId="5BE1DB46">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8、可一键切换检测模式</w:t>
            </w:r>
          </w:p>
          <w:p w14:paraId="56B92C4D">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9、可自由调整设置时间及警报功能</w:t>
            </w:r>
          </w:p>
          <w:p w14:paraId="41371798">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10、可关闭或者打开任意通道</w:t>
            </w:r>
          </w:p>
          <w:p w14:paraId="6A72FCC7">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11、多级校准，零点自动跟踪；出厂设置可恢复，浓度校准误操作自动识别并阻止</w:t>
            </w:r>
          </w:p>
          <w:p w14:paraId="24CCCD54">
            <w:pPr>
              <w:widowControl/>
              <w:autoSpaceDN w:val="0"/>
              <w:spacing w:line="360" w:lineRule="auto"/>
              <w:jc w:val="left"/>
              <w:rPr>
                <w:rFonts w:ascii="仿宋" w:hAnsi="仿宋" w:eastAsia="仿宋" w:cs="仿宋"/>
                <w:sz w:val="24"/>
                <w:lang w:val="en-GB"/>
              </w:rPr>
            </w:pPr>
            <w:r>
              <w:rPr>
                <w:rFonts w:hint="eastAsia" w:ascii="仿宋" w:hAnsi="仿宋" w:eastAsia="仿宋" w:cs="仿宋"/>
                <w:sz w:val="24"/>
                <w:lang w:val="en-GB"/>
              </w:rPr>
              <w:t>12、可中英文切换、单位自由切换</w:t>
            </w:r>
          </w:p>
          <w:p w14:paraId="47B77BD2">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技术参数</w:t>
            </w:r>
          </w:p>
          <w:p w14:paraId="03075AAB">
            <w:pPr>
              <w:widowControl/>
              <w:autoSpaceDN w:val="0"/>
              <w:spacing w:line="360" w:lineRule="auto"/>
              <w:jc w:val="left"/>
              <w:rPr>
                <w:rFonts w:ascii="仿宋" w:hAnsi="仿宋" w:eastAsia="仿宋" w:cs="仿宋"/>
                <w:sz w:val="24"/>
              </w:rPr>
            </w:pPr>
            <w:r>
              <w:rPr>
                <w:rFonts w:hint="eastAsia" w:ascii="仿宋" w:hAnsi="仿宋" w:eastAsia="仿宋" w:cs="仿宋"/>
                <w:sz w:val="24"/>
              </w:rPr>
              <w:t>1、设备可检测氧气、二氧化碳、氮氧化物、二氧化硫、硫化氢、氨气、一氧化碳气体浓度，实时显示现场数据，超限有声光报警。</w:t>
            </w:r>
          </w:p>
          <w:p w14:paraId="1A113801">
            <w:pPr>
              <w:widowControl/>
              <w:autoSpaceDN w:val="0"/>
              <w:spacing w:line="360" w:lineRule="auto"/>
              <w:jc w:val="left"/>
              <w:rPr>
                <w:rFonts w:ascii="仿宋" w:hAnsi="仿宋" w:eastAsia="仿宋" w:cs="仿宋"/>
                <w:sz w:val="24"/>
              </w:rPr>
            </w:pPr>
            <w:r>
              <w:rPr>
                <w:rFonts w:hint="eastAsia" w:ascii="仿宋" w:hAnsi="仿宋" w:eastAsia="仿宋" w:cs="仿宋"/>
                <w:sz w:val="24"/>
              </w:rPr>
              <w:t>2、显示：2.4寸彩色液晶显示</w:t>
            </w:r>
          </w:p>
          <w:p w14:paraId="4B1C6709">
            <w:pPr>
              <w:widowControl/>
              <w:autoSpaceDN w:val="0"/>
              <w:spacing w:line="360" w:lineRule="auto"/>
              <w:jc w:val="left"/>
              <w:rPr>
                <w:rFonts w:ascii="仿宋" w:hAnsi="仿宋" w:eastAsia="仿宋" w:cs="仿宋"/>
                <w:sz w:val="24"/>
              </w:rPr>
            </w:pPr>
            <w:r>
              <w:rPr>
                <w:rFonts w:hint="eastAsia" w:ascii="仿宋" w:hAnsi="仿宋" w:eastAsia="仿宋" w:cs="仿宋"/>
                <w:sz w:val="24"/>
              </w:rPr>
              <w:t>3、接口：磁吸</w:t>
            </w:r>
          </w:p>
          <w:p w14:paraId="6FC47376">
            <w:pPr>
              <w:widowControl/>
              <w:autoSpaceDN w:val="0"/>
              <w:spacing w:line="360" w:lineRule="auto"/>
              <w:jc w:val="left"/>
              <w:rPr>
                <w:rFonts w:ascii="仿宋" w:hAnsi="仿宋" w:eastAsia="仿宋" w:cs="仿宋"/>
                <w:sz w:val="24"/>
              </w:rPr>
            </w:pPr>
            <w:r>
              <w:rPr>
                <w:rFonts w:hint="eastAsia" w:ascii="仿宋" w:hAnsi="仿宋" w:eastAsia="仿宋" w:cs="仿宋"/>
                <w:sz w:val="24"/>
              </w:rPr>
              <w:t>4、电池：3.7V 3000mA</w:t>
            </w:r>
          </w:p>
          <w:p w14:paraId="35B9DA21">
            <w:pPr>
              <w:widowControl/>
              <w:autoSpaceDN w:val="0"/>
              <w:spacing w:line="360" w:lineRule="auto"/>
              <w:jc w:val="left"/>
              <w:rPr>
                <w:rFonts w:ascii="仿宋" w:hAnsi="仿宋" w:eastAsia="仿宋" w:cs="仿宋"/>
                <w:sz w:val="24"/>
              </w:rPr>
            </w:pPr>
            <w:r>
              <w:rPr>
                <w:rFonts w:hint="eastAsia" w:ascii="仿宋" w:hAnsi="仿宋" w:eastAsia="仿宋" w:cs="仿宋"/>
                <w:sz w:val="24"/>
              </w:rPr>
              <w:t>5、工作时间：≥8小时（4G通讯时）</w:t>
            </w:r>
          </w:p>
          <w:p w14:paraId="26020966">
            <w:pPr>
              <w:widowControl/>
              <w:autoSpaceDN w:val="0"/>
              <w:spacing w:line="360" w:lineRule="auto"/>
              <w:jc w:val="left"/>
              <w:rPr>
                <w:rFonts w:ascii="仿宋" w:hAnsi="仿宋" w:eastAsia="仿宋" w:cs="仿宋"/>
                <w:sz w:val="24"/>
              </w:rPr>
            </w:pPr>
            <w:r>
              <w:rPr>
                <w:rFonts w:hint="eastAsia" w:ascii="仿宋" w:hAnsi="仿宋" w:eastAsia="仿宋" w:cs="仿宋"/>
                <w:sz w:val="24"/>
              </w:rPr>
              <w:t>6、供电方式：锂离子可充电池</w:t>
            </w:r>
          </w:p>
          <w:p w14:paraId="5247D119">
            <w:pPr>
              <w:widowControl/>
              <w:autoSpaceDN w:val="0"/>
              <w:spacing w:line="360" w:lineRule="auto"/>
              <w:jc w:val="left"/>
              <w:rPr>
                <w:rFonts w:ascii="仿宋" w:hAnsi="仿宋" w:eastAsia="仿宋" w:cs="仿宋"/>
                <w:sz w:val="24"/>
              </w:rPr>
            </w:pPr>
            <w:r>
              <w:rPr>
                <w:rFonts w:hint="eastAsia" w:ascii="仿宋" w:hAnsi="仿宋" w:eastAsia="仿宋" w:cs="仿宋"/>
                <w:sz w:val="24"/>
              </w:rPr>
              <w:t>7、报警：多种报警模式设置:低报报警、高报报警、区间报警、TWA、STEL、OL报警</w:t>
            </w:r>
          </w:p>
          <w:p w14:paraId="37FE96AC">
            <w:pPr>
              <w:widowControl/>
              <w:autoSpaceDN w:val="0"/>
              <w:spacing w:line="360" w:lineRule="auto"/>
              <w:jc w:val="left"/>
              <w:rPr>
                <w:rFonts w:ascii="仿宋" w:hAnsi="仿宋" w:eastAsia="仿宋" w:cs="仿宋"/>
                <w:sz w:val="24"/>
              </w:rPr>
            </w:pPr>
            <w:r>
              <w:rPr>
                <w:rFonts w:hint="eastAsia" w:ascii="仿宋" w:hAnsi="仿宋" w:eastAsia="仿宋" w:cs="仿宋"/>
                <w:sz w:val="24"/>
              </w:rPr>
              <w:t>8、报警记录：30000条历史记录和报警记录可查询，可导出电脑</w:t>
            </w:r>
          </w:p>
          <w:p w14:paraId="0BB96579">
            <w:pPr>
              <w:widowControl/>
              <w:autoSpaceDN w:val="0"/>
              <w:spacing w:line="360" w:lineRule="auto"/>
              <w:jc w:val="left"/>
              <w:rPr>
                <w:rFonts w:ascii="仿宋" w:hAnsi="仿宋" w:eastAsia="仿宋" w:cs="仿宋"/>
                <w:sz w:val="24"/>
              </w:rPr>
            </w:pPr>
            <w:r>
              <w:rPr>
                <w:rFonts w:hint="eastAsia" w:ascii="仿宋" w:hAnsi="仿宋" w:eastAsia="仿宋" w:cs="仿宋"/>
                <w:sz w:val="24"/>
              </w:rPr>
              <w:t>9、其它附件：鳄鱼夹扣</w:t>
            </w:r>
          </w:p>
        </w:tc>
      </w:tr>
      <w:tr w14:paraId="69F55F3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894DCE">
            <w:pPr>
              <w:widowControl/>
              <w:autoSpaceDN w:val="0"/>
              <w:spacing w:line="360" w:lineRule="auto"/>
              <w:jc w:val="center"/>
              <w:rPr>
                <w:rFonts w:ascii="仿宋" w:hAnsi="仿宋" w:eastAsia="仿宋" w:cs="仿宋"/>
                <w:sz w:val="24"/>
              </w:rPr>
            </w:pPr>
            <w:r>
              <w:rPr>
                <w:rFonts w:hint="eastAsia" w:ascii="仿宋" w:hAnsi="仿宋" w:eastAsia="仿宋" w:cs="仿宋"/>
                <w:sz w:val="24"/>
              </w:rPr>
              <w:t>7</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68A0DB">
            <w:pPr>
              <w:pStyle w:val="2"/>
              <w:widowControl/>
              <w:spacing w:before="480" w:after="0" w:line="360" w:lineRule="auto"/>
              <w:jc w:val="center"/>
              <w:rPr>
                <w:rFonts w:ascii="仿宋" w:hAnsi="仿宋" w:eastAsia="仿宋" w:cs="仿宋"/>
                <w:sz w:val="24"/>
                <w:szCs w:val="24"/>
              </w:rPr>
            </w:pPr>
            <w:r>
              <w:rPr>
                <w:rFonts w:hint="eastAsia" w:ascii="仿宋" w:hAnsi="仿宋" w:eastAsia="仿宋" w:cs="仿宋"/>
                <w:b w:val="0"/>
                <w:bCs w:val="0"/>
                <w:kern w:val="2"/>
                <w:sz w:val="24"/>
                <w:szCs w:val="24"/>
              </w:rPr>
              <w:t>煤岩试样自动加工及数据采集系统</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71CD59">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1、煤岩试样多角度剪切劈裂装置</w:t>
            </w:r>
          </w:p>
          <w:p w14:paraId="00E62EB9">
            <w:pPr>
              <w:widowControl/>
              <w:autoSpaceDN w:val="0"/>
              <w:spacing w:line="360" w:lineRule="auto"/>
              <w:jc w:val="left"/>
              <w:rPr>
                <w:rFonts w:ascii="仿宋" w:hAnsi="仿宋" w:eastAsia="仿宋" w:cs="仿宋"/>
                <w:sz w:val="24"/>
              </w:rPr>
            </w:pPr>
            <w:r>
              <w:rPr>
                <w:rFonts w:hint="eastAsia" w:ascii="仿宋" w:hAnsi="仿宋" w:eastAsia="仿宋" w:cs="仿宋"/>
                <w:sz w:val="24"/>
              </w:rPr>
              <w:t>1.1 本装置配套采购人原有设备使用，并具有刻度的上下剪切回转台模块；</w:t>
            </w:r>
          </w:p>
          <w:p w14:paraId="3A584BA6">
            <w:pPr>
              <w:widowControl/>
              <w:autoSpaceDN w:val="0"/>
              <w:spacing w:line="360" w:lineRule="auto"/>
              <w:jc w:val="left"/>
              <w:rPr>
                <w:rFonts w:ascii="仿宋" w:hAnsi="仿宋" w:eastAsia="仿宋" w:cs="仿宋"/>
                <w:sz w:val="24"/>
              </w:rPr>
            </w:pPr>
            <w:r>
              <w:rPr>
                <w:rFonts w:hint="eastAsia" w:ascii="仿宋" w:hAnsi="仿宋" w:eastAsia="仿宋" w:cs="仿宋"/>
                <w:sz w:val="24"/>
              </w:rPr>
              <w:t>1.2 具备0～75°操作空间，剪切角度不小于30-70 °；</w:t>
            </w:r>
          </w:p>
          <w:p w14:paraId="172AC1B6">
            <w:pPr>
              <w:widowControl/>
              <w:autoSpaceDN w:val="0"/>
              <w:spacing w:line="360" w:lineRule="auto"/>
              <w:jc w:val="left"/>
              <w:rPr>
                <w:rFonts w:ascii="仿宋" w:hAnsi="仿宋" w:eastAsia="仿宋" w:cs="仿宋"/>
                <w:sz w:val="24"/>
              </w:rPr>
            </w:pPr>
            <w:r>
              <w:rPr>
                <w:rFonts w:hint="eastAsia" w:ascii="仿宋" w:hAnsi="仿宋" w:eastAsia="仿宋" w:cs="仿宋"/>
                <w:sz w:val="24"/>
              </w:rPr>
              <w:t xml:space="preserve">1.3 上下剪切回转台装有滚排剪切过程中减少摩擦力； </w:t>
            </w:r>
          </w:p>
          <w:p w14:paraId="4B236209">
            <w:pPr>
              <w:widowControl/>
              <w:autoSpaceDN w:val="0"/>
              <w:spacing w:line="360" w:lineRule="auto"/>
              <w:jc w:val="left"/>
              <w:rPr>
                <w:rFonts w:ascii="仿宋" w:hAnsi="仿宋" w:eastAsia="仿宋" w:cs="仿宋"/>
                <w:sz w:val="24"/>
              </w:rPr>
            </w:pPr>
            <w:r>
              <w:rPr>
                <w:rFonts w:hint="eastAsia" w:ascii="仿宋" w:hAnsi="仿宋" w:eastAsia="仿宋" w:cs="仿宋"/>
                <w:sz w:val="24"/>
              </w:rPr>
              <w:t xml:space="preserve">1.4 上剪切回转台连接轴与压力机连接，下滚排底座有定位轴与压力机台面压板连接；                                                                                                                                </w:t>
            </w:r>
          </w:p>
          <w:p w14:paraId="65134FE8">
            <w:pPr>
              <w:widowControl/>
              <w:autoSpaceDN w:val="0"/>
              <w:spacing w:line="360" w:lineRule="auto"/>
              <w:jc w:val="left"/>
              <w:rPr>
                <w:rFonts w:ascii="仿宋" w:hAnsi="仿宋" w:eastAsia="仿宋" w:cs="仿宋"/>
                <w:sz w:val="24"/>
              </w:rPr>
            </w:pPr>
            <w:r>
              <w:rPr>
                <w:rFonts w:hint="eastAsia" w:ascii="仿宋" w:hAnsi="仿宋" w:eastAsia="仿宋" w:cs="仿宋"/>
                <w:sz w:val="24"/>
              </w:rPr>
              <w:t>1.5 试样尺寸（mm）：70x70x70；50x50x50；</w:t>
            </w:r>
            <w:r>
              <w:rPr>
                <w:rFonts w:hint="eastAsia" w:ascii="宋体" w:hAnsi="宋体" w:cs="宋体"/>
                <w:sz w:val="24"/>
              </w:rPr>
              <w:t>Φ</w:t>
            </w:r>
            <w:r>
              <w:rPr>
                <w:rFonts w:hint="eastAsia" w:ascii="仿宋" w:hAnsi="仿宋" w:eastAsia="仿宋" w:cs="仿宋"/>
                <w:sz w:val="24"/>
              </w:rPr>
              <w:t>50x50</w:t>
            </w:r>
          </w:p>
          <w:p w14:paraId="11423C5B">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2. 巴西劈裂试验装置</w:t>
            </w:r>
          </w:p>
          <w:p w14:paraId="70EEA1BC">
            <w:pPr>
              <w:widowControl/>
              <w:autoSpaceDN w:val="0"/>
              <w:spacing w:line="360" w:lineRule="auto"/>
              <w:jc w:val="left"/>
              <w:rPr>
                <w:rFonts w:ascii="仿宋" w:hAnsi="仿宋" w:eastAsia="仿宋" w:cs="仿宋"/>
                <w:sz w:val="24"/>
              </w:rPr>
            </w:pPr>
            <w:r>
              <w:rPr>
                <w:rFonts w:hint="eastAsia" w:ascii="仿宋" w:hAnsi="仿宋" w:eastAsia="仿宋" w:cs="仿宋"/>
                <w:sz w:val="24"/>
              </w:rPr>
              <w:t>2.1 本装置配套采购人原有设备使用；</w:t>
            </w:r>
          </w:p>
          <w:p w14:paraId="04B34417">
            <w:pPr>
              <w:widowControl/>
              <w:autoSpaceDN w:val="0"/>
              <w:spacing w:line="360" w:lineRule="auto"/>
              <w:jc w:val="left"/>
              <w:rPr>
                <w:rFonts w:ascii="仿宋" w:hAnsi="仿宋" w:eastAsia="仿宋" w:cs="仿宋"/>
                <w:sz w:val="24"/>
              </w:rPr>
            </w:pPr>
            <w:r>
              <w:rPr>
                <w:rFonts w:hint="eastAsia" w:ascii="仿宋" w:hAnsi="仿宋" w:eastAsia="仿宋" w:cs="仿宋"/>
                <w:sz w:val="24"/>
              </w:rPr>
              <w:t>2.2 能够开展</w:t>
            </w:r>
            <w:r>
              <w:rPr>
                <w:rFonts w:hint="eastAsia" w:ascii="宋体" w:hAnsi="宋体" w:cs="宋体"/>
                <w:sz w:val="24"/>
              </w:rPr>
              <w:t>Φ</w:t>
            </w:r>
            <w:r>
              <w:rPr>
                <w:rFonts w:hint="eastAsia" w:ascii="仿宋" w:hAnsi="仿宋" w:eastAsia="仿宋" w:cs="仿宋"/>
                <w:sz w:val="24"/>
              </w:rPr>
              <w:t>50mm的煤岩或混凝土巴西劈裂试验。</w:t>
            </w:r>
            <w:r>
              <w:rPr>
                <w:rFonts w:hint="eastAsia" w:ascii="仿宋" w:hAnsi="仿宋" w:eastAsia="仿宋" w:cs="仿宋"/>
                <w:sz w:val="24"/>
              </w:rPr>
              <w:br w:type="textWrapping"/>
            </w:r>
            <w:r>
              <w:rPr>
                <w:rFonts w:hint="eastAsia" w:ascii="仿宋" w:hAnsi="仿宋" w:eastAsia="仿宋" w:cs="仿宋"/>
                <w:b/>
                <w:bCs/>
                <w:sz w:val="24"/>
              </w:rPr>
              <w:t>3. 煤岩试样自动加工模块</w:t>
            </w:r>
          </w:p>
          <w:p w14:paraId="29680E1B">
            <w:pPr>
              <w:widowControl/>
              <w:autoSpaceDN w:val="0"/>
              <w:spacing w:line="360" w:lineRule="auto"/>
              <w:jc w:val="left"/>
              <w:rPr>
                <w:rFonts w:ascii="仿宋" w:hAnsi="仿宋" w:eastAsia="仿宋" w:cs="仿宋"/>
                <w:sz w:val="24"/>
              </w:rPr>
            </w:pPr>
            <w:r>
              <w:rPr>
                <w:rFonts w:hint="eastAsia" w:ascii="仿宋" w:hAnsi="仿宋" w:eastAsia="仿宋" w:cs="仿宋"/>
                <w:sz w:val="24"/>
              </w:rPr>
              <w:t>3.1 适用于石墨、石英、玉石、精密机械、煤岩等工业部门加工高精度、高硬度、高韧性的各种复杂图形的样板及复杂形状的零件。</w:t>
            </w:r>
          </w:p>
          <w:p w14:paraId="55340188">
            <w:pPr>
              <w:widowControl/>
              <w:autoSpaceDN w:val="0"/>
              <w:spacing w:line="360" w:lineRule="auto"/>
              <w:jc w:val="left"/>
              <w:rPr>
                <w:rFonts w:ascii="仿宋" w:hAnsi="仿宋" w:eastAsia="仿宋" w:cs="仿宋"/>
                <w:sz w:val="24"/>
              </w:rPr>
            </w:pPr>
            <w:r>
              <w:rPr>
                <w:rFonts w:hint="eastAsia" w:ascii="仿宋" w:hAnsi="仿宋" w:eastAsia="仿宋" w:cs="仿宋"/>
                <w:sz w:val="24"/>
              </w:rPr>
              <w:t>3.2 操作台(长×宽) mm：约650×360</w:t>
            </w:r>
          </w:p>
          <w:p w14:paraId="62C87345">
            <w:pPr>
              <w:widowControl/>
              <w:autoSpaceDN w:val="0"/>
              <w:spacing w:line="360" w:lineRule="auto"/>
              <w:jc w:val="left"/>
              <w:rPr>
                <w:rFonts w:ascii="仿宋" w:hAnsi="仿宋" w:eastAsia="仿宋" w:cs="仿宋"/>
                <w:sz w:val="24"/>
              </w:rPr>
            </w:pPr>
            <w:r>
              <w:rPr>
                <w:rFonts w:hint="eastAsia" w:ascii="仿宋" w:hAnsi="仿宋" w:eastAsia="仿宋" w:cs="仿宋"/>
                <w:sz w:val="24"/>
              </w:rPr>
              <w:t>3.3 最大行程 mm:约450×350</w:t>
            </w:r>
          </w:p>
          <w:p w14:paraId="4F8DCEBD">
            <w:pPr>
              <w:widowControl/>
              <w:autoSpaceDN w:val="0"/>
              <w:spacing w:line="360" w:lineRule="auto"/>
              <w:jc w:val="left"/>
              <w:rPr>
                <w:rFonts w:ascii="仿宋" w:hAnsi="仿宋" w:eastAsia="仿宋" w:cs="仿宋"/>
                <w:sz w:val="24"/>
              </w:rPr>
            </w:pPr>
            <w:r>
              <w:rPr>
                <w:rFonts w:hint="eastAsia" w:ascii="仿宋" w:hAnsi="仿宋" w:eastAsia="仿宋" w:cs="仿宋"/>
                <w:sz w:val="24"/>
              </w:rPr>
              <w:t>3.4 样品台承重能力</w:t>
            </w:r>
            <w:r>
              <w:rPr>
                <w:rFonts w:hint="eastAsia"/>
              </w:rPr>
              <w:t>kG</w:t>
            </w:r>
            <w:r>
              <w:rPr>
                <w:rFonts w:hint="eastAsia" w:ascii="仿宋" w:hAnsi="仿宋" w:eastAsia="仿宋" w:cs="仿宋"/>
                <w:sz w:val="24"/>
              </w:rPr>
              <w:t>:不低于450</w:t>
            </w:r>
          </w:p>
          <w:p w14:paraId="3314ACB6">
            <w:pPr>
              <w:widowControl/>
              <w:autoSpaceDN w:val="0"/>
              <w:spacing w:line="360" w:lineRule="auto"/>
              <w:jc w:val="left"/>
              <w:rPr>
                <w:rFonts w:ascii="仿宋" w:hAnsi="仿宋" w:eastAsia="仿宋" w:cs="仿宋"/>
                <w:sz w:val="24"/>
              </w:rPr>
            </w:pPr>
            <w:r>
              <w:rPr>
                <w:rFonts w:hint="eastAsia" w:ascii="仿宋" w:hAnsi="仿宋" w:eastAsia="仿宋" w:cs="仿宋"/>
                <w:sz w:val="24"/>
              </w:rPr>
              <w:t>3.5 试样空间(可调)mm:不小于450</w:t>
            </w:r>
          </w:p>
          <w:p w14:paraId="28D35B3C">
            <w:pPr>
              <w:widowControl/>
              <w:autoSpaceDN w:val="0"/>
              <w:spacing w:line="360" w:lineRule="auto"/>
              <w:jc w:val="left"/>
              <w:rPr>
                <w:rFonts w:ascii="仿宋" w:hAnsi="仿宋" w:eastAsia="仿宋" w:cs="仿宋"/>
                <w:sz w:val="24"/>
              </w:rPr>
            </w:pPr>
            <w:r>
              <w:rPr>
                <w:rFonts w:hint="eastAsia" w:ascii="仿宋" w:hAnsi="仿宋" w:eastAsia="仿宋" w:cs="仿宋"/>
                <w:sz w:val="24"/>
              </w:rPr>
              <w:t>★3.6 速度范围：8～10米/秒（可调），投标文件中提供第三方检测机构出具带CMA 标识的检测报告扫描件</w:t>
            </w:r>
          </w:p>
          <w:p w14:paraId="60D7C2E4">
            <w:pPr>
              <w:widowControl/>
              <w:autoSpaceDN w:val="0"/>
              <w:spacing w:line="360" w:lineRule="auto"/>
              <w:jc w:val="left"/>
              <w:rPr>
                <w:rFonts w:ascii="仿宋" w:hAnsi="仿宋" w:eastAsia="仿宋" w:cs="仿宋"/>
                <w:sz w:val="24"/>
              </w:rPr>
            </w:pPr>
            <w:r>
              <w:rPr>
                <w:rFonts w:hint="eastAsia" w:ascii="仿宋" w:hAnsi="仿宋" w:eastAsia="仿宋" w:cs="仿宋"/>
                <w:sz w:val="24"/>
              </w:rPr>
              <w:t>3.7 生产效率 mm2／min：≥80</w:t>
            </w:r>
          </w:p>
          <w:p w14:paraId="47271E9F">
            <w:pPr>
              <w:widowControl/>
              <w:autoSpaceDN w:val="0"/>
              <w:spacing w:line="360" w:lineRule="auto"/>
              <w:jc w:val="left"/>
              <w:rPr>
                <w:rFonts w:ascii="仿宋" w:hAnsi="仿宋" w:eastAsia="仿宋" w:cs="仿宋"/>
                <w:sz w:val="24"/>
              </w:rPr>
            </w:pPr>
            <w:r>
              <w:rPr>
                <w:rFonts w:hint="eastAsia" w:ascii="仿宋" w:hAnsi="仿宋" w:eastAsia="仿宋" w:cs="仿宋"/>
                <w:sz w:val="24"/>
              </w:rPr>
              <w:t>★3.8 粗糙度/µm：Ra≤2.5，投标文件中提供第三方检测机构出具带CMA标识的检测报告扫描件</w:t>
            </w:r>
          </w:p>
          <w:p w14:paraId="4AF11234">
            <w:pPr>
              <w:widowControl/>
              <w:autoSpaceDN w:val="0"/>
              <w:spacing w:line="360" w:lineRule="auto"/>
              <w:jc w:val="left"/>
              <w:rPr>
                <w:rFonts w:ascii="仿宋" w:hAnsi="仿宋" w:eastAsia="仿宋" w:cs="仿宋"/>
                <w:sz w:val="24"/>
              </w:rPr>
            </w:pPr>
            <w:r>
              <w:rPr>
                <w:rFonts w:hint="eastAsia" w:ascii="仿宋" w:hAnsi="仿宋" w:eastAsia="仿宋" w:cs="仿宋"/>
                <w:sz w:val="24"/>
              </w:rPr>
              <w:t>3.9 刀具规格mm：ф0.25～1.5</w:t>
            </w:r>
          </w:p>
          <w:p w14:paraId="64997D58">
            <w:pPr>
              <w:widowControl/>
              <w:autoSpaceDN w:val="0"/>
              <w:spacing w:line="360" w:lineRule="auto"/>
              <w:jc w:val="left"/>
              <w:rPr>
                <w:rFonts w:ascii="仿宋" w:hAnsi="仿宋" w:eastAsia="仿宋" w:cs="仿宋"/>
                <w:sz w:val="24"/>
              </w:rPr>
            </w:pPr>
            <w:r>
              <w:rPr>
                <w:rFonts w:hint="eastAsia" w:ascii="仿宋" w:hAnsi="仿宋" w:eastAsia="仿宋" w:cs="仿宋"/>
                <w:sz w:val="24"/>
              </w:rPr>
              <w:t>3.10 本装置电气电路采用可控伺服电机控制，具有低噪运行特点。</w:t>
            </w:r>
          </w:p>
          <w:p w14:paraId="31118014">
            <w:pPr>
              <w:widowControl/>
              <w:autoSpaceDN w:val="0"/>
              <w:spacing w:line="360" w:lineRule="auto"/>
              <w:jc w:val="left"/>
              <w:rPr>
                <w:rFonts w:ascii="仿宋" w:hAnsi="仿宋" w:eastAsia="仿宋" w:cs="仿宋"/>
                <w:sz w:val="24"/>
              </w:rPr>
            </w:pPr>
            <w:r>
              <w:rPr>
                <w:rFonts w:hint="eastAsia" w:ascii="仿宋" w:hAnsi="仿宋" w:eastAsia="仿宋" w:cs="仿宋"/>
                <w:sz w:val="24"/>
              </w:rPr>
              <w:t>3.11 具备加工刀具断裂保护、过行程保护、紧急制动等功能。</w:t>
            </w:r>
          </w:p>
          <w:p w14:paraId="3D869F5C">
            <w:pPr>
              <w:pStyle w:val="46"/>
              <w:ind w:left="0" w:leftChars="0" w:firstLine="0" w:firstLineChars="0"/>
            </w:pPr>
            <w:r>
              <w:rPr>
                <w:rFonts w:hint="eastAsia" w:ascii="仿宋" w:hAnsi="仿宋" w:eastAsia="仿宋" w:cs="仿宋"/>
                <w:sz w:val="24"/>
              </w:rPr>
              <w:t>3.12 配置实验桌1个，岩石试样放置架1个。</w:t>
            </w:r>
          </w:p>
          <w:p w14:paraId="1BE11720">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4. 数据采集系统</w:t>
            </w:r>
          </w:p>
          <w:p w14:paraId="15E5DF6A">
            <w:pPr>
              <w:widowControl/>
              <w:autoSpaceDN w:val="0"/>
              <w:spacing w:line="360" w:lineRule="auto"/>
              <w:jc w:val="left"/>
              <w:rPr>
                <w:rFonts w:ascii="仿宋" w:hAnsi="仿宋" w:eastAsia="仿宋" w:cs="仿宋"/>
                <w:sz w:val="24"/>
              </w:rPr>
            </w:pPr>
            <w:r>
              <w:rPr>
                <w:rFonts w:hint="eastAsia" w:ascii="仿宋" w:hAnsi="仿宋" w:eastAsia="仿宋" w:cs="仿宋"/>
                <w:sz w:val="24"/>
              </w:rPr>
              <w:t>4.1 CPU：i5-11400及以上，内存：16GB，DDR5 5600；HD：1TB，SSD，双盘位；显卡：RTX 5060 ；</w:t>
            </w:r>
          </w:p>
          <w:p w14:paraId="5E2214CC">
            <w:pPr>
              <w:widowControl/>
              <w:autoSpaceDN w:val="0"/>
              <w:spacing w:line="360" w:lineRule="auto"/>
              <w:jc w:val="left"/>
              <w:rPr>
                <w:rFonts w:ascii="仿宋" w:hAnsi="仿宋" w:eastAsia="仿宋" w:cs="仿宋"/>
                <w:sz w:val="24"/>
              </w:rPr>
            </w:pPr>
            <w:r>
              <w:rPr>
                <w:rFonts w:hint="eastAsia" w:ascii="仿宋" w:hAnsi="仿宋" w:eastAsia="仿宋" w:cs="仿宋"/>
                <w:sz w:val="24"/>
              </w:rPr>
              <w:t>4.2 不低于15.6英寸LCD显示器，数据采集系统需与煤岩试样自动加工模块兼容使用。</w:t>
            </w:r>
          </w:p>
          <w:p w14:paraId="7270CF72">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免费质保、技术服务要求</w:t>
            </w:r>
          </w:p>
          <w:p w14:paraId="7400BC2B">
            <w:pPr>
              <w:widowControl/>
              <w:autoSpaceDN w:val="0"/>
              <w:spacing w:line="360" w:lineRule="auto"/>
              <w:jc w:val="left"/>
              <w:rPr>
                <w:rFonts w:ascii="仿宋" w:hAnsi="仿宋" w:eastAsia="仿宋" w:cs="仿宋"/>
                <w:sz w:val="24"/>
              </w:rPr>
            </w:pPr>
            <w:r>
              <w:rPr>
                <w:rFonts w:hint="eastAsia" w:ascii="仿宋" w:hAnsi="仿宋" w:eastAsia="仿宋" w:cs="仿宋"/>
                <w:sz w:val="24"/>
              </w:rPr>
              <w:t>1.安装、培训：投标人负责新旧设备的拆除及安装工作，应按照采购人确定的时间在采购人现场免费安装培训。</w:t>
            </w:r>
          </w:p>
          <w:p w14:paraId="66F1D6CD">
            <w:pPr>
              <w:widowControl/>
              <w:autoSpaceDN w:val="0"/>
              <w:spacing w:line="360" w:lineRule="auto"/>
              <w:jc w:val="left"/>
              <w:rPr>
                <w:rFonts w:ascii="仿宋" w:hAnsi="仿宋" w:eastAsia="仿宋" w:cs="仿宋"/>
                <w:sz w:val="24"/>
              </w:rPr>
            </w:pPr>
            <w:r>
              <w:rPr>
                <w:rFonts w:hint="eastAsia" w:ascii="仿宋" w:hAnsi="仿宋" w:eastAsia="仿宋" w:cs="仿宋"/>
                <w:sz w:val="24"/>
              </w:rPr>
              <w:t>2.为保证采购人的长期利益，对出售产品提供长期的售后服务，提供免费技术咨询，包括应用及维护技术。</w:t>
            </w:r>
          </w:p>
          <w:p w14:paraId="53F0F1A4">
            <w:pPr>
              <w:widowControl/>
              <w:autoSpaceDN w:val="0"/>
              <w:spacing w:line="360" w:lineRule="auto"/>
              <w:jc w:val="left"/>
              <w:rPr>
                <w:rFonts w:ascii="仿宋" w:hAnsi="仿宋" w:eastAsia="仿宋" w:cs="仿宋"/>
                <w:b/>
                <w:bCs/>
                <w:sz w:val="24"/>
              </w:rPr>
            </w:pPr>
            <w:r>
              <w:rPr>
                <w:rFonts w:hint="eastAsia" w:ascii="仿宋" w:hAnsi="仿宋" w:eastAsia="仿宋" w:cs="仿宋"/>
                <w:sz w:val="24"/>
              </w:rPr>
              <w:t>3.免费质保期限：设备验收合格后起不低于12个月。</w:t>
            </w:r>
          </w:p>
        </w:tc>
      </w:tr>
      <w:tr w14:paraId="55DCEA8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9AEEE0">
            <w:pPr>
              <w:widowControl/>
              <w:autoSpaceDN w:val="0"/>
              <w:spacing w:line="360" w:lineRule="auto"/>
              <w:jc w:val="center"/>
              <w:rPr>
                <w:rFonts w:ascii="仿宋" w:hAnsi="仿宋" w:eastAsia="仿宋" w:cs="仿宋"/>
                <w:sz w:val="24"/>
              </w:rPr>
            </w:pPr>
            <w:r>
              <w:rPr>
                <w:rFonts w:hint="eastAsia" w:ascii="仿宋" w:hAnsi="仿宋" w:eastAsia="仿宋" w:cs="仿宋"/>
                <w:sz w:val="24"/>
              </w:rPr>
              <w:t>8</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006C65">
            <w:pPr>
              <w:pStyle w:val="2"/>
              <w:widowControl/>
              <w:spacing w:before="480" w:after="0" w:line="360" w:lineRule="auto"/>
              <w:jc w:val="center"/>
              <w:rPr>
                <w:rFonts w:ascii="仿宋" w:hAnsi="仿宋" w:eastAsia="仿宋" w:cs="仿宋"/>
                <w:b w:val="0"/>
                <w:bCs w:val="0"/>
                <w:kern w:val="2"/>
                <w:sz w:val="24"/>
                <w:szCs w:val="24"/>
              </w:rPr>
            </w:pPr>
            <w:r>
              <w:rPr>
                <w:rFonts w:hint="eastAsia" w:ascii="仿宋" w:hAnsi="仿宋" w:eastAsia="仿宋" w:cs="仿宋"/>
                <w:sz w:val="24"/>
              </w:rPr>
              <w:t>▲</w:t>
            </w:r>
            <w:r>
              <w:rPr>
                <w:rFonts w:hint="eastAsia" w:ascii="仿宋" w:hAnsi="仿宋" w:eastAsia="仿宋" w:cs="仿宋"/>
                <w:b w:val="0"/>
                <w:bCs w:val="0"/>
                <w:kern w:val="2"/>
                <w:sz w:val="24"/>
                <w:szCs w:val="24"/>
              </w:rPr>
              <w:t>热重分析仪</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0CD2CA">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仪器用途</w:t>
            </w:r>
          </w:p>
          <w:p w14:paraId="26C8B49C">
            <w:pPr>
              <w:widowControl/>
              <w:autoSpaceDN w:val="0"/>
              <w:spacing w:line="360" w:lineRule="auto"/>
              <w:jc w:val="left"/>
              <w:rPr>
                <w:rFonts w:ascii="仿宋" w:hAnsi="仿宋" w:eastAsia="仿宋" w:cs="仿宋"/>
                <w:sz w:val="24"/>
              </w:rPr>
            </w:pPr>
            <w:r>
              <w:rPr>
                <w:rFonts w:hint="eastAsia" w:ascii="仿宋" w:hAnsi="仿宋" w:eastAsia="仿宋" w:cs="仿宋"/>
                <w:sz w:val="24"/>
              </w:rPr>
              <w:t>研究样品的化学反应所引起的质量（TG）和热量（DSC）的同步变化，用于精确准确测定各种材料的熔融与结晶过程、相转变温度和反应热、玻璃化转变温度、氧化稳定性、氧化与还原过程，反应动力学、裂解动力学、吸附与解吸、成分的含量分析、分解、化合、脱水、添加剂等。可同时进行热重和量热分析。</w:t>
            </w:r>
          </w:p>
          <w:p w14:paraId="1F19B9FA">
            <w:pPr>
              <w:widowControl/>
              <w:autoSpaceDN w:val="0"/>
              <w:spacing w:line="360" w:lineRule="auto"/>
              <w:jc w:val="left"/>
              <w:rPr>
                <w:rFonts w:ascii="仿宋" w:hAnsi="仿宋" w:eastAsia="仿宋" w:cs="仿宋"/>
                <w:sz w:val="24"/>
              </w:rPr>
            </w:pPr>
            <w:r>
              <w:rPr>
                <w:rFonts w:hint="eastAsia" w:ascii="仿宋" w:hAnsi="仿宋" w:eastAsia="仿宋" w:cs="仿宋"/>
                <w:sz w:val="24"/>
              </w:rPr>
              <w:t>主要应用领域：金属及金属冶金、聚合物、塑料、先进材料、药物化合物、无机材料等等。</w:t>
            </w:r>
          </w:p>
          <w:p w14:paraId="57AE681C">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技术性能指标：</w:t>
            </w:r>
          </w:p>
          <w:p w14:paraId="479D4709">
            <w:pPr>
              <w:widowControl/>
              <w:autoSpaceDN w:val="0"/>
              <w:spacing w:line="360" w:lineRule="auto"/>
              <w:jc w:val="left"/>
              <w:rPr>
                <w:rFonts w:ascii="仿宋" w:hAnsi="仿宋" w:eastAsia="仿宋" w:cs="仿宋"/>
                <w:sz w:val="24"/>
              </w:rPr>
            </w:pPr>
            <w:r>
              <w:rPr>
                <w:rFonts w:hint="eastAsia" w:ascii="仿宋" w:hAnsi="仿宋" w:eastAsia="仿宋" w:cs="仿宋"/>
                <w:sz w:val="24"/>
              </w:rPr>
              <w:t>1.系统结构：</w:t>
            </w:r>
          </w:p>
          <w:p w14:paraId="5003BDFD">
            <w:pPr>
              <w:widowControl/>
              <w:autoSpaceDN w:val="0"/>
              <w:spacing w:line="360" w:lineRule="auto"/>
              <w:jc w:val="left"/>
              <w:rPr>
                <w:rFonts w:ascii="仿宋" w:hAnsi="仿宋" w:eastAsia="仿宋" w:cs="仿宋"/>
                <w:sz w:val="24"/>
              </w:rPr>
            </w:pPr>
            <w:r>
              <w:rPr>
                <w:rFonts w:hint="eastAsia" w:ascii="仿宋" w:hAnsi="仿宋" w:eastAsia="仿宋" w:cs="仿宋"/>
                <w:sz w:val="24"/>
              </w:rPr>
              <w:t>1.1.顶部装样，垂直式天平系统；</w:t>
            </w:r>
          </w:p>
          <w:p w14:paraId="783EE4E2">
            <w:pPr>
              <w:widowControl/>
              <w:autoSpaceDN w:val="0"/>
              <w:spacing w:line="360" w:lineRule="auto"/>
              <w:jc w:val="left"/>
              <w:rPr>
                <w:rFonts w:ascii="仿宋" w:hAnsi="仿宋" w:eastAsia="仿宋" w:cs="仿宋"/>
                <w:sz w:val="24"/>
              </w:rPr>
            </w:pPr>
            <w:r>
              <w:rPr>
                <w:rFonts w:hint="eastAsia" w:ascii="仿宋" w:hAnsi="仿宋" w:eastAsia="仿宋" w:cs="仿宋"/>
                <w:sz w:val="24"/>
              </w:rPr>
              <w:t>1.2.优化气流状况，污染小，易于操作；</w:t>
            </w:r>
          </w:p>
          <w:p w14:paraId="44A463A9">
            <w:pPr>
              <w:widowControl/>
              <w:autoSpaceDN w:val="0"/>
              <w:spacing w:line="360" w:lineRule="auto"/>
              <w:jc w:val="left"/>
              <w:rPr>
                <w:rFonts w:ascii="仿宋" w:hAnsi="仿宋" w:eastAsia="仿宋" w:cs="仿宋"/>
                <w:sz w:val="24"/>
              </w:rPr>
            </w:pPr>
            <w:r>
              <w:rPr>
                <w:rFonts w:hint="eastAsia" w:ascii="仿宋" w:hAnsi="仿宋" w:eastAsia="仿宋" w:cs="仿宋"/>
                <w:sz w:val="24"/>
              </w:rPr>
              <w:t>1.3.炉体采用水冷炉衬方式，可提供精确控温模式；</w:t>
            </w:r>
          </w:p>
          <w:p w14:paraId="108712EB">
            <w:pPr>
              <w:widowControl/>
              <w:autoSpaceDN w:val="0"/>
              <w:spacing w:line="360" w:lineRule="auto"/>
              <w:jc w:val="left"/>
              <w:rPr>
                <w:rFonts w:ascii="仿宋" w:hAnsi="仿宋" w:eastAsia="仿宋" w:cs="仿宋"/>
                <w:sz w:val="24"/>
              </w:rPr>
            </w:pPr>
            <w:r>
              <w:rPr>
                <w:rFonts w:hint="eastAsia" w:ascii="仿宋" w:hAnsi="仿宋" w:eastAsia="仿宋" w:cs="仿宋"/>
                <w:sz w:val="24"/>
              </w:rPr>
              <w:t>1.4.可在多种动、静态气氛下进行测量；</w:t>
            </w:r>
          </w:p>
          <w:p w14:paraId="27CA1742">
            <w:pPr>
              <w:widowControl/>
              <w:autoSpaceDN w:val="0"/>
              <w:spacing w:line="360" w:lineRule="auto"/>
              <w:jc w:val="left"/>
              <w:rPr>
                <w:rFonts w:ascii="仿宋" w:hAnsi="仿宋" w:eastAsia="仿宋" w:cs="仿宋"/>
                <w:sz w:val="24"/>
              </w:rPr>
            </w:pPr>
            <w:r>
              <w:rPr>
                <w:rFonts w:hint="eastAsia" w:ascii="仿宋" w:hAnsi="仿宋" w:eastAsia="仿宋" w:cs="仿宋"/>
                <w:sz w:val="24"/>
              </w:rPr>
              <w:t>1.5.可配置多种不同类型的坩埚，适应不同的样品特性。</w:t>
            </w:r>
          </w:p>
          <w:p w14:paraId="24081C3F">
            <w:pPr>
              <w:widowControl/>
              <w:autoSpaceDN w:val="0"/>
              <w:spacing w:line="360" w:lineRule="auto"/>
              <w:jc w:val="left"/>
              <w:rPr>
                <w:rFonts w:ascii="仿宋" w:hAnsi="仿宋" w:eastAsia="仿宋" w:cs="仿宋"/>
                <w:sz w:val="24"/>
              </w:rPr>
            </w:pPr>
            <w:r>
              <w:rPr>
                <w:rFonts w:hint="eastAsia" w:ascii="仿宋" w:hAnsi="仿宋" w:eastAsia="仿宋" w:cs="仿宋"/>
                <w:sz w:val="24"/>
              </w:rPr>
              <w:t xml:space="preserve">2.测温范围：室温~1100℃ </w:t>
            </w:r>
          </w:p>
          <w:p w14:paraId="56EBEC6D">
            <w:pPr>
              <w:widowControl/>
              <w:autoSpaceDN w:val="0"/>
              <w:spacing w:line="360" w:lineRule="auto"/>
              <w:jc w:val="left"/>
              <w:rPr>
                <w:rFonts w:ascii="仿宋" w:hAnsi="仿宋" w:eastAsia="仿宋" w:cs="仿宋"/>
                <w:sz w:val="24"/>
              </w:rPr>
            </w:pPr>
            <w:r>
              <w:rPr>
                <w:rFonts w:hint="eastAsia" w:ascii="仿宋" w:hAnsi="仿宋" w:eastAsia="仿宋" w:cs="仿宋"/>
                <w:sz w:val="24"/>
              </w:rPr>
              <w:t>3.温度准确度：±0.1℃</w:t>
            </w:r>
          </w:p>
          <w:p w14:paraId="35CBD48B">
            <w:pPr>
              <w:widowControl/>
              <w:autoSpaceDN w:val="0"/>
              <w:spacing w:line="360" w:lineRule="auto"/>
              <w:jc w:val="left"/>
              <w:rPr>
                <w:rFonts w:ascii="仿宋" w:hAnsi="仿宋" w:eastAsia="仿宋" w:cs="仿宋"/>
                <w:sz w:val="24"/>
              </w:rPr>
            </w:pPr>
            <w:r>
              <w:rPr>
                <w:rFonts w:hint="eastAsia" w:ascii="仿宋" w:hAnsi="仿宋" w:eastAsia="仿宋" w:cs="仿宋"/>
                <w:sz w:val="24"/>
              </w:rPr>
              <w:t>4.全程控扫描速率：0.01~50℃/min</w:t>
            </w:r>
          </w:p>
          <w:p w14:paraId="0ADC3A18">
            <w:pPr>
              <w:widowControl/>
              <w:autoSpaceDN w:val="0"/>
              <w:spacing w:line="360" w:lineRule="auto"/>
              <w:jc w:val="left"/>
              <w:rPr>
                <w:rFonts w:ascii="仿宋" w:hAnsi="仿宋" w:eastAsia="仿宋" w:cs="仿宋"/>
                <w:sz w:val="24"/>
              </w:rPr>
            </w:pPr>
            <w:r>
              <w:rPr>
                <w:rFonts w:hint="eastAsia" w:ascii="仿宋" w:hAnsi="仿宋" w:eastAsia="仿宋" w:cs="仿宋"/>
                <w:sz w:val="24"/>
              </w:rPr>
              <w:t>★5.炉体冷却方式：水冷无尘方式循环冷却设计（投标时须提供实物图或官网截图证明）</w:t>
            </w:r>
          </w:p>
          <w:p w14:paraId="76FADFD5">
            <w:pPr>
              <w:widowControl/>
              <w:autoSpaceDN w:val="0"/>
              <w:spacing w:line="360" w:lineRule="auto"/>
              <w:jc w:val="left"/>
              <w:rPr>
                <w:rFonts w:ascii="仿宋" w:hAnsi="仿宋" w:eastAsia="仿宋" w:cs="仿宋"/>
                <w:sz w:val="24"/>
              </w:rPr>
            </w:pPr>
            <w:r>
              <w:rPr>
                <w:rFonts w:hint="eastAsia" w:ascii="仿宋" w:hAnsi="仿宋" w:eastAsia="仿宋" w:cs="仿宋"/>
                <w:sz w:val="24"/>
              </w:rPr>
              <w:t>6.炉体设计: 炉体垂直设计（投标时须提供设计示意图）</w:t>
            </w:r>
          </w:p>
          <w:p w14:paraId="65454A12">
            <w:pPr>
              <w:widowControl/>
              <w:autoSpaceDN w:val="0"/>
              <w:spacing w:line="360" w:lineRule="auto"/>
              <w:jc w:val="left"/>
              <w:rPr>
                <w:rFonts w:ascii="仿宋" w:hAnsi="仿宋" w:eastAsia="仿宋" w:cs="仿宋"/>
                <w:sz w:val="24"/>
              </w:rPr>
            </w:pPr>
            <w:r>
              <w:rPr>
                <w:rFonts w:hint="eastAsia" w:ascii="仿宋" w:hAnsi="仿宋" w:eastAsia="仿宋" w:cs="仿宋"/>
                <w:sz w:val="24"/>
              </w:rPr>
              <w:t>★7.天平类型：高性能恒温光电天平，具备一键锁定技术（投标时须提供实物图或官网截图证明）</w:t>
            </w:r>
          </w:p>
          <w:p w14:paraId="3A7851E9">
            <w:pPr>
              <w:widowControl/>
              <w:autoSpaceDN w:val="0"/>
              <w:spacing w:line="360" w:lineRule="auto"/>
              <w:jc w:val="left"/>
              <w:rPr>
                <w:rFonts w:ascii="仿宋" w:hAnsi="仿宋" w:eastAsia="仿宋" w:cs="仿宋"/>
                <w:sz w:val="24"/>
              </w:rPr>
            </w:pPr>
            <w:r>
              <w:rPr>
                <w:rFonts w:hint="eastAsia" w:ascii="仿宋" w:hAnsi="仿宋" w:eastAsia="仿宋" w:cs="仿宋"/>
                <w:sz w:val="24"/>
              </w:rPr>
              <w:t>★8.称量范围：+/- 200 mg 或 +/- 1000 mg；双量程自动切换（投标时须提供产品彩页或官网截图证明）</w:t>
            </w:r>
          </w:p>
          <w:p w14:paraId="11AB8763">
            <w:pPr>
              <w:widowControl/>
              <w:autoSpaceDN w:val="0"/>
              <w:spacing w:line="360" w:lineRule="auto"/>
              <w:jc w:val="left"/>
              <w:rPr>
                <w:rFonts w:ascii="仿宋" w:hAnsi="仿宋" w:eastAsia="仿宋" w:cs="仿宋"/>
                <w:sz w:val="24"/>
              </w:rPr>
            </w:pPr>
            <w:r>
              <w:rPr>
                <w:rFonts w:hint="eastAsia" w:ascii="仿宋" w:hAnsi="仿宋" w:eastAsia="仿宋" w:cs="仿宋"/>
                <w:sz w:val="24"/>
              </w:rPr>
              <w:t>★9.热重分辨率：≤0.05μg（投标时须提供产品彩页或官网截图证明）</w:t>
            </w:r>
          </w:p>
          <w:p w14:paraId="643B465F">
            <w:pPr>
              <w:widowControl/>
              <w:autoSpaceDN w:val="0"/>
              <w:spacing w:line="360" w:lineRule="auto"/>
              <w:jc w:val="left"/>
              <w:rPr>
                <w:rFonts w:ascii="仿宋" w:hAnsi="仿宋" w:eastAsia="仿宋" w:cs="仿宋"/>
                <w:sz w:val="24"/>
              </w:rPr>
            </w:pPr>
            <w:r>
              <w:rPr>
                <w:rFonts w:hint="eastAsia" w:ascii="仿宋" w:hAnsi="仿宋" w:eastAsia="仿宋" w:cs="仿宋"/>
                <w:sz w:val="24"/>
              </w:rPr>
              <w:t>10.DSC传感器灵敏度：≤1μW</w:t>
            </w:r>
          </w:p>
          <w:p w14:paraId="066F2A27">
            <w:pPr>
              <w:widowControl/>
              <w:autoSpaceDN w:val="0"/>
              <w:spacing w:line="360" w:lineRule="auto"/>
              <w:jc w:val="left"/>
              <w:rPr>
                <w:rFonts w:ascii="仿宋" w:hAnsi="仿宋" w:eastAsia="仿宋" w:cs="仿宋"/>
                <w:sz w:val="24"/>
              </w:rPr>
            </w:pPr>
            <w:r>
              <w:rPr>
                <w:rFonts w:hint="eastAsia" w:ascii="仿宋" w:hAnsi="仿宋" w:eastAsia="仿宋" w:cs="仿宋"/>
                <w:sz w:val="24"/>
              </w:rPr>
              <w:t>11.DSC热焓测量精度：±1%（标准金属）</w:t>
            </w:r>
          </w:p>
          <w:p w14:paraId="0A039D9B">
            <w:pPr>
              <w:widowControl/>
              <w:autoSpaceDN w:val="0"/>
              <w:spacing w:line="360" w:lineRule="auto"/>
              <w:jc w:val="left"/>
              <w:rPr>
                <w:rFonts w:ascii="仿宋" w:hAnsi="仿宋" w:eastAsia="仿宋" w:cs="仿宋"/>
                <w:sz w:val="24"/>
              </w:rPr>
            </w:pPr>
            <w:r>
              <w:rPr>
                <w:rFonts w:hint="eastAsia" w:ascii="仿宋" w:hAnsi="仿宋" w:eastAsia="仿宋" w:cs="仿宋"/>
                <w:sz w:val="24"/>
              </w:rPr>
              <w:t>★12.传感器：具有导向设计的TG-DSC同步传感器，无需焊接，支持自由热插拔，即插即用（投标时须提供设计示意图）</w:t>
            </w:r>
          </w:p>
          <w:p w14:paraId="07EA7211">
            <w:pPr>
              <w:widowControl/>
              <w:autoSpaceDN w:val="0"/>
              <w:spacing w:line="360" w:lineRule="auto"/>
              <w:jc w:val="left"/>
              <w:rPr>
                <w:rFonts w:ascii="仿宋" w:hAnsi="仿宋" w:eastAsia="仿宋" w:cs="仿宋"/>
                <w:sz w:val="24"/>
              </w:rPr>
            </w:pPr>
            <w:r>
              <w:rPr>
                <w:rFonts w:hint="eastAsia" w:ascii="仿宋" w:hAnsi="仿宋" w:eastAsia="仿宋" w:cs="仿宋"/>
                <w:sz w:val="24"/>
              </w:rPr>
              <w:t>13、仪器自检保护设置：具有温度报警，升降报警，水温报警，自动停止升温功能，有效保证仪器的可靠安全使用</w:t>
            </w:r>
          </w:p>
          <w:p w14:paraId="47682609">
            <w:pPr>
              <w:widowControl/>
              <w:autoSpaceDN w:val="0"/>
              <w:spacing w:line="360" w:lineRule="auto"/>
              <w:jc w:val="left"/>
              <w:rPr>
                <w:rFonts w:ascii="仿宋" w:hAnsi="仿宋" w:eastAsia="仿宋" w:cs="仿宋"/>
                <w:sz w:val="24"/>
              </w:rPr>
            </w:pPr>
            <w:r>
              <w:rPr>
                <w:rFonts w:hint="eastAsia" w:ascii="仿宋" w:hAnsi="仿宋" w:eastAsia="仿宋" w:cs="仿宋"/>
                <w:sz w:val="24"/>
              </w:rPr>
              <w:t>14.软件功能：</w:t>
            </w:r>
          </w:p>
          <w:p w14:paraId="0C6F67D9">
            <w:pPr>
              <w:widowControl/>
              <w:autoSpaceDN w:val="0"/>
              <w:spacing w:line="360" w:lineRule="auto"/>
              <w:jc w:val="left"/>
              <w:rPr>
                <w:rFonts w:ascii="仿宋" w:hAnsi="仿宋" w:eastAsia="仿宋" w:cs="仿宋"/>
                <w:sz w:val="24"/>
              </w:rPr>
            </w:pPr>
            <w:r>
              <w:rPr>
                <w:rFonts w:hint="eastAsia" w:ascii="仿宋" w:hAnsi="仿宋" w:eastAsia="仿宋" w:cs="仿宋"/>
                <w:sz w:val="24"/>
              </w:rPr>
              <w:t>14.1.含三种不同国家语言可选的热分析软件包，应适用于Windows系统版本。软件包括仪器主机控制、实验流程设置、数据采集、数据处理、实时图形绘制功能。</w:t>
            </w:r>
          </w:p>
          <w:p w14:paraId="2A8A2BD8">
            <w:pPr>
              <w:widowControl/>
              <w:autoSpaceDN w:val="0"/>
              <w:spacing w:line="360" w:lineRule="auto"/>
              <w:jc w:val="left"/>
              <w:rPr>
                <w:rFonts w:ascii="仿宋" w:hAnsi="仿宋" w:eastAsia="仿宋" w:cs="仿宋"/>
                <w:sz w:val="24"/>
              </w:rPr>
            </w:pPr>
            <w:r>
              <w:rPr>
                <w:rFonts w:hint="eastAsia" w:ascii="仿宋" w:hAnsi="仿宋" w:eastAsia="仿宋" w:cs="仿宋"/>
                <w:sz w:val="24"/>
              </w:rPr>
              <w:t>14.2.数据处理部分对于热流曲线应具备5种以上国际标准基线判断处理功能及峰分离/去卷积功能；</w:t>
            </w:r>
          </w:p>
          <w:p w14:paraId="590041CE">
            <w:pPr>
              <w:widowControl/>
              <w:autoSpaceDN w:val="0"/>
              <w:spacing w:line="360" w:lineRule="auto"/>
              <w:jc w:val="left"/>
              <w:rPr>
                <w:rFonts w:ascii="仿宋" w:hAnsi="仿宋" w:eastAsia="仿宋" w:cs="仿宋"/>
                <w:sz w:val="24"/>
              </w:rPr>
            </w:pPr>
            <w:r>
              <w:rPr>
                <w:rFonts w:hint="eastAsia" w:ascii="仿宋" w:hAnsi="仿宋" w:eastAsia="仿宋" w:cs="仿宋"/>
                <w:sz w:val="24"/>
              </w:rPr>
              <w:t>14.3.工作站软件可自由导入ASCII码格式的任何外部TG、DSC数据或量热仪数据并进行反应速率、反应进程等相关分析；</w:t>
            </w:r>
          </w:p>
          <w:p w14:paraId="31855D5F">
            <w:pPr>
              <w:widowControl/>
              <w:autoSpaceDN w:val="0"/>
              <w:spacing w:line="360" w:lineRule="auto"/>
              <w:jc w:val="left"/>
              <w:rPr>
                <w:rFonts w:ascii="仿宋" w:hAnsi="仿宋" w:eastAsia="仿宋" w:cs="仿宋"/>
                <w:sz w:val="24"/>
              </w:rPr>
            </w:pPr>
            <w:r>
              <w:rPr>
                <w:rFonts w:hint="eastAsia" w:ascii="仿宋" w:hAnsi="仿宋" w:eastAsia="仿宋" w:cs="仿宋"/>
                <w:sz w:val="24"/>
              </w:rPr>
              <w:t>14.4.具有图谱累积分析及重叠对比功能、图形分析抓拍功能；工作曲线及实验反应峰面积属性自定义调整功能，实验数据可自由转换txt、excel、jpeg等格式。</w:t>
            </w:r>
          </w:p>
          <w:p w14:paraId="14909CEC">
            <w:pPr>
              <w:widowControl/>
              <w:autoSpaceDN w:val="0"/>
              <w:spacing w:line="360" w:lineRule="auto"/>
              <w:jc w:val="left"/>
              <w:rPr>
                <w:rFonts w:ascii="仿宋" w:hAnsi="仿宋" w:eastAsia="仿宋" w:cs="仿宋"/>
                <w:sz w:val="24"/>
              </w:rPr>
            </w:pPr>
            <w:r>
              <w:rPr>
                <w:rFonts w:hint="eastAsia" w:ascii="仿宋" w:hAnsi="仿宋" w:eastAsia="仿宋" w:cs="仿宋"/>
                <w:sz w:val="24"/>
              </w:rPr>
              <w:t>★15.数据处理单元 CPU：i5-11400及以上；≥8G DDR4 2666MHz内存，最大支持16G及以上；≥256G固态硬盘；≥8个USB接口，前置4个USB 3.2 Gen1，后置4个USB 2.0；产品通过有关人体辐射的电磁场测量方法，低频电磁辐射值小于或等于0.62%；通过高低温、湿热试验，达到工作温度：-25℃~60℃（120小时）；工作条件下相对湿度：20%-93%（48小时）；通过碳合规排放体系认证即ISO14064温室气体排放体系认证（投标时须提供第三方检测机构出具带CMA或CNAS 标识的检测报告扫描件）。</w:t>
            </w:r>
          </w:p>
          <w:p w14:paraId="13BF2A3D">
            <w:pPr>
              <w:widowControl/>
              <w:autoSpaceDN w:val="0"/>
              <w:spacing w:line="360" w:lineRule="auto"/>
              <w:jc w:val="left"/>
              <w:rPr>
                <w:rFonts w:ascii="仿宋" w:hAnsi="仿宋" w:eastAsia="仿宋" w:cs="仿宋"/>
                <w:sz w:val="24"/>
              </w:rPr>
            </w:pPr>
            <w:r>
              <w:rPr>
                <w:rFonts w:hint="eastAsia" w:ascii="仿宋" w:hAnsi="仿宋" w:eastAsia="仿宋" w:cs="仿宋"/>
                <w:sz w:val="24"/>
              </w:rPr>
              <w:t>★16.强大的热效应处理功能，支持中英文等操作界面切换，本模块包括单个和多个质量变化、剩余质量、DTG、扣除空白、DSC积分等，所投设备的多模式方案可行性需由国内学者发表的SCI文章证明（投标时须提供SCI文章和SCI期刊的影响因子的截图证明材料不低于5份）。</w:t>
            </w:r>
          </w:p>
          <w:p w14:paraId="7D40CA42">
            <w:pPr>
              <w:widowControl/>
              <w:autoSpaceDN w:val="0"/>
              <w:spacing w:line="360" w:lineRule="auto"/>
              <w:jc w:val="left"/>
              <w:rPr>
                <w:rFonts w:ascii="仿宋" w:hAnsi="仿宋" w:eastAsia="仿宋" w:cs="仿宋"/>
                <w:sz w:val="24"/>
              </w:rPr>
            </w:pPr>
            <w:r>
              <w:rPr>
                <w:rFonts w:hint="eastAsia" w:ascii="仿宋" w:hAnsi="仿宋" w:eastAsia="仿宋" w:cs="仿宋"/>
                <w:sz w:val="24"/>
              </w:rPr>
              <w:t>★17.投标人需承诺在合同签订前提供投标型号一致的样机在采购人现场演示验证所有性能，并与采购人原有实验室智能管理系统兼容，具备煤质化验数据的自动采集、涵盖数据查询和统计等功能，与标准化实验室管理体系能实现无缝对接,该系统严格遵循国家关于煤炭实验室的要求及其它相关法律法规要求，达到自动化运行、确保信息安全、资料安全和运行安全；如未在规定时间内提供演示或存在虚假行为，取消其成交资格，上报政府采购监管部门进行处罚（投标时须提供承诺函，格式自拟）。</w:t>
            </w:r>
          </w:p>
          <w:p w14:paraId="36532D33">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免费质保、服务要求：</w:t>
            </w:r>
          </w:p>
          <w:p w14:paraId="31C4487D">
            <w:pPr>
              <w:widowControl/>
              <w:autoSpaceDN w:val="0"/>
              <w:spacing w:line="360" w:lineRule="auto"/>
              <w:jc w:val="left"/>
              <w:rPr>
                <w:rFonts w:ascii="仿宋" w:hAnsi="仿宋" w:eastAsia="仿宋" w:cs="仿宋"/>
                <w:sz w:val="24"/>
              </w:rPr>
            </w:pPr>
            <w:r>
              <w:rPr>
                <w:rFonts w:hint="eastAsia" w:ascii="仿宋" w:hAnsi="仿宋" w:eastAsia="仿宋" w:cs="仿宋"/>
                <w:sz w:val="24"/>
              </w:rPr>
              <w:t>1.安装、培训：供货单位负责新旧设备的拆除及安装工作，应按照采购人确定的时间在采购人现场进行安装培训。</w:t>
            </w:r>
          </w:p>
          <w:p w14:paraId="2497D9A6">
            <w:pPr>
              <w:widowControl/>
              <w:autoSpaceDN w:val="0"/>
              <w:spacing w:line="360" w:lineRule="auto"/>
              <w:jc w:val="left"/>
              <w:rPr>
                <w:rFonts w:ascii="仿宋" w:hAnsi="仿宋" w:eastAsia="仿宋" w:cs="仿宋"/>
                <w:sz w:val="24"/>
              </w:rPr>
            </w:pPr>
            <w:r>
              <w:rPr>
                <w:rFonts w:hint="eastAsia" w:ascii="仿宋" w:hAnsi="仿宋" w:eastAsia="仿宋" w:cs="仿宋"/>
                <w:sz w:val="24"/>
              </w:rPr>
              <w:t>2.为保证采购人的长期利益，对出售产品提供长期的售后服务，提供技术咨询，包括应用及维护技术。</w:t>
            </w:r>
          </w:p>
          <w:p w14:paraId="52C2B0EA">
            <w:pPr>
              <w:pStyle w:val="46"/>
              <w:ind w:left="0" w:leftChars="0" w:firstLine="0" w:firstLineChars="0"/>
              <w:rPr>
                <w:rFonts w:ascii="仿宋" w:hAnsi="仿宋" w:eastAsia="仿宋" w:cs="仿宋"/>
                <w:b/>
                <w:bCs/>
                <w:sz w:val="24"/>
              </w:rPr>
            </w:pPr>
            <w:r>
              <w:rPr>
                <w:rFonts w:hint="eastAsia" w:ascii="仿宋" w:hAnsi="仿宋" w:eastAsia="仿宋" w:cs="仿宋"/>
                <w:sz w:val="24"/>
              </w:rPr>
              <w:t>3.免费质保期限：设备验收合格后起计算，不低于12个月。</w:t>
            </w:r>
          </w:p>
          <w:p w14:paraId="4DB1431C">
            <w:pPr>
              <w:widowControl/>
              <w:autoSpaceDN w:val="0"/>
              <w:spacing w:line="360" w:lineRule="auto"/>
              <w:jc w:val="left"/>
              <w:rPr>
                <w:rFonts w:ascii="仿宋" w:hAnsi="仿宋" w:eastAsia="仿宋" w:cs="仿宋"/>
                <w:b/>
                <w:bCs/>
                <w:sz w:val="24"/>
              </w:rPr>
            </w:pPr>
            <w:r>
              <w:rPr>
                <w:rFonts w:hint="eastAsia" w:ascii="仿宋" w:hAnsi="仿宋" w:eastAsia="仿宋" w:cs="仿宋"/>
                <w:b/>
                <w:bCs/>
                <w:sz w:val="24"/>
              </w:rPr>
              <w:t xml:space="preserve">配置清单如下： </w:t>
            </w:r>
          </w:p>
          <w:p w14:paraId="2A4A44AB">
            <w:pPr>
              <w:widowControl/>
              <w:autoSpaceDN w:val="0"/>
              <w:spacing w:line="360" w:lineRule="auto"/>
              <w:jc w:val="left"/>
              <w:rPr>
                <w:rFonts w:ascii="仿宋" w:hAnsi="仿宋" w:eastAsia="仿宋" w:cs="仿宋"/>
                <w:sz w:val="24"/>
              </w:rPr>
            </w:pPr>
            <w:r>
              <w:rPr>
                <w:rFonts w:hint="eastAsia" w:ascii="仿宋" w:hAnsi="仿宋" w:eastAsia="仿宋" w:cs="仿宋"/>
                <w:sz w:val="24"/>
              </w:rPr>
              <w:t>1.主机一台</w:t>
            </w:r>
          </w:p>
          <w:p w14:paraId="7D10312B">
            <w:pPr>
              <w:widowControl/>
              <w:autoSpaceDN w:val="0"/>
              <w:spacing w:line="360" w:lineRule="auto"/>
              <w:jc w:val="left"/>
              <w:rPr>
                <w:rFonts w:ascii="仿宋" w:hAnsi="仿宋" w:eastAsia="仿宋" w:cs="仿宋"/>
                <w:sz w:val="24"/>
              </w:rPr>
            </w:pPr>
            <w:r>
              <w:rPr>
                <w:rFonts w:hint="eastAsia" w:ascii="仿宋" w:hAnsi="仿宋" w:eastAsia="仿宋" w:cs="仿宋"/>
                <w:sz w:val="24"/>
              </w:rPr>
              <w:t xml:space="preserve">2.氧化铝坩埚 50 套 </w:t>
            </w:r>
          </w:p>
          <w:p w14:paraId="4F8C3D84">
            <w:pPr>
              <w:widowControl/>
              <w:autoSpaceDN w:val="0"/>
              <w:spacing w:line="360" w:lineRule="auto"/>
              <w:jc w:val="left"/>
              <w:rPr>
                <w:rFonts w:ascii="仿宋" w:hAnsi="仿宋" w:eastAsia="仿宋" w:cs="仿宋"/>
                <w:sz w:val="24"/>
              </w:rPr>
            </w:pPr>
            <w:r>
              <w:rPr>
                <w:rFonts w:hint="eastAsia" w:ascii="仿宋" w:hAnsi="仿宋" w:eastAsia="仿宋" w:cs="仿宋"/>
                <w:sz w:val="24"/>
              </w:rPr>
              <w:t xml:space="preserve">3.热分析软件包 1 套 </w:t>
            </w:r>
          </w:p>
          <w:p w14:paraId="74D42EB1">
            <w:pPr>
              <w:widowControl/>
              <w:autoSpaceDN w:val="0"/>
              <w:spacing w:line="360" w:lineRule="auto"/>
              <w:jc w:val="left"/>
              <w:rPr>
                <w:rFonts w:ascii="仿宋" w:hAnsi="仿宋" w:eastAsia="仿宋" w:cs="仿宋"/>
                <w:sz w:val="24"/>
              </w:rPr>
            </w:pPr>
            <w:r>
              <w:rPr>
                <w:rFonts w:hint="eastAsia" w:ascii="仿宋" w:hAnsi="仿宋" w:eastAsia="仿宋" w:cs="仿宋"/>
                <w:sz w:val="24"/>
              </w:rPr>
              <w:t xml:space="preserve">4.数据处理单元 1 套 </w:t>
            </w:r>
          </w:p>
          <w:p w14:paraId="7E9AD9B2">
            <w:pPr>
              <w:widowControl/>
              <w:autoSpaceDN w:val="0"/>
              <w:spacing w:line="360" w:lineRule="auto"/>
              <w:jc w:val="left"/>
              <w:rPr>
                <w:rFonts w:ascii="仿宋" w:hAnsi="仿宋" w:eastAsia="仿宋" w:cs="仿宋"/>
                <w:sz w:val="24"/>
              </w:rPr>
            </w:pPr>
            <w:r>
              <w:rPr>
                <w:rFonts w:hint="eastAsia" w:ascii="仿宋" w:hAnsi="仿宋" w:eastAsia="仿宋" w:cs="仿宋"/>
                <w:sz w:val="24"/>
              </w:rPr>
              <w:t>5.高性能恒温水浴 1 套</w:t>
            </w:r>
          </w:p>
          <w:p w14:paraId="201BA615">
            <w:pPr>
              <w:widowControl/>
              <w:autoSpaceDN w:val="0"/>
              <w:spacing w:line="360" w:lineRule="auto"/>
              <w:jc w:val="left"/>
              <w:rPr>
                <w:rFonts w:ascii="Calibri" w:hAnsi="Calibri"/>
              </w:rPr>
            </w:pPr>
            <w:r>
              <w:rPr>
                <w:rFonts w:hint="eastAsia" w:ascii="仿宋" w:hAnsi="仿宋" w:eastAsia="仿宋" w:cs="仿宋"/>
                <w:sz w:val="24"/>
              </w:rPr>
              <w:t>6.气路系统1套</w:t>
            </w:r>
          </w:p>
        </w:tc>
      </w:tr>
    </w:tbl>
    <w:p w14:paraId="2952C3D3">
      <w:pPr>
        <w:adjustRightInd w:val="0"/>
        <w:snapToGrid w:val="0"/>
        <w:spacing w:before="120" w:after="120" w:line="440" w:lineRule="exact"/>
        <w:rPr>
          <w:rFonts w:eastAsia="仿宋"/>
          <w:sz w:val="24"/>
        </w:rPr>
      </w:pPr>
    </w:p>
    <w:p w14:paraId="1306C6B0">
      <w:pPr>
        <w:pStyle w:val="24"/>
        <w:widowControl/>
        <w:snapToGrid w:val="0"/>
        <w:spacing w:line="360" w:lineRule="auto"/>
        <w:ind w:firstLine="482" w:firstLineChars="200"/>
        <w:outlineLvl w:val="2"/>
        <w:rPr>
          <w:rFonts w:hAnsi="宋体" w:eastAsia="仿宋"/>
          <w:b/>
          <w:bCs/>
          <w:sz w:val="24"/>
          <w:szCs w:val="24"/>
        </w:rPr>
      </w:pPr>
      <w:bookmarkStart w:id="665" w:name="_Toc515539873"/>
      <w:bookmarkStart w:id="666" w:name="_Toc493432671"/>
      <w:bookmarkStart w:id="667" w:name="_Toc493440808"/>
      <w:bookmarkStart w:id="668" w:name="_Toc493440976"/>
      <w:bookmarkStart w:id="669" w:name="_Toc512544435"/>
      <w:bookmarkStart w:id="670" w:name="_Toc526265692"/>
      <w:bookmarkStart w:id="671" w:name="_Toc512611690"/>
      <w:bookmarkStart w:id="672" w:name="_Toc517011815"/>
      <w:bookmarkStart w:id="673" w:name="_Toc525819968"/>
      <w:r>
        <w:rPr>
          <w:rFonts w:hint="eastAsia" w:hAnsi="宋体" w:eastAsia="仿宋"/>
          <w:b/>
          <w:bCs/>
          <w:sz w:val="24"/>
          <w:szCs w:val="24"/>
        </w:rPr>
        <w:t>4.</w:t>
      </w:r>
      <w:bookmarkEnd w:id="665"/>
      <w:bookmarkEnd w:id="666"/>
      <w:bookmarkEnd w:id="667"/>
      <w:bookmarkEnd w:id="668"/>
      <w:bookmarkEnd w:id="669"/>
      <w:bookmarkEnd w:id="670"/>
      <w:bookmarkEnd w:id="671"/>
      <w:bookmarkEnd w:id="672"/>
      <w:bookmarkEnd w:id="673"/>
      <w:bookmarkStart w:id="674" w:name="_Toc517011816"/>
      <w:bookmarkStart w:id="675" w:name="_Toc493440809"/>
      <w:bookmarkStart w:id="676" w:name="_Toc526265693"/>
      <w:bookmarkStart w:id="677" w:name="_Toc512611691"/>
      <w:bookmarkStart w:id="678" w:name="_Toc512544436"/>
      <w:bookmarkStart w:id="679" w:name="_Toc493440977"/>
      <w:bookmarkStart w:id="680" w:name="_Toc493432672"/>
      <w:bookmarkStart w:id="681" w:name="_Toc525819969"/>
      <w:bookmarkStart w:id="682" w:name="_Toc515539874"/>
      <w:r>
        <w:rPr>
          <w:rFonts w:hint="eastAsia" w:hAnsi="宋体" w:eastAsia="仿宋"/>
          <w:b/>
          <w:bCs/>
          <w:sz w:val="24"/>
          <w:szCs w:val="24"/>
        </w:rPr>
        <w:t>3 质量保证期服务要求</w:t>
      </w:r>
      <w:bookmarkEnd w:id="674"/>
      <w:bookmarkEnd w:id="675"/>
      <w:bookmarkEnd w:id="676"/>
      <w:bookmarkEnd w:id="677"/>
      <w:bookmarkEnd w:id="678"/>
      <w:bookmarkEnd w:id="679"/>
      <w:bookmarkEnd w:id="680"/>
      <w:bookmarkEnd w:id="681"/>
      <w:bookmarkEnd w:id="682"/>
    </w:p>
    <w:p w14:paraId="2D5966AD">
      <w:pPr>
        <w:adjustRightInd w:val="0"/>
        <w:snapToGrid w:val="0"/>
        <w:spacing w:before="120" w:after="120" w:line="440" w:lineRule="exact"/>
        <w:ind w:firstLine="480" w:firstLineChars="200"/>
        <w:rPr>
          <w:rFonts w:eastAsia="仿宋"/>
          <w:color w:val="000000"/>
          <w:sz w:val="24"/>
        </w:rPr>
      </w:pPr>
      <w:r>
        <w:rPr>
          <w:rFonts w:hint="eastAsia" w:eastAsia="仿宋"/>
          <w:color w:val="000000"/>
          <w:sz w:val="24"/>
        </w:rPr>
        <w:t>自验收合格之日起1年，更换后的零部件质保期从更换之日起计算。</w:t>
      </w:r>
    </w:p>
    <w:p w14:paraId="0AFA7330">
      <w:pPr>
        <w:pStyle w:val="3"/>
        <w:numPr>
          <w:ilvl w:val="0"/>
          <w:numId w:val="13"/>
        </w:numPr>
        <w:rPr>
          <w:rStyle w:val="103"/>
          <w:rFonts w:ascii="宋体" w:hAnsi="宋体" w:eastAsia="仿宋"/>
          <w:b/>
          <w:bCs/>
          <w:sz w:val="24"/>
          <w:szCs w:val="24"/>
        </w:rPr>
      </w:pPr>
      <w:bookmarkStart w:id="683" w:name="_Toc526265694"/>
      <w:bookmarkStart w:id="684" w:name="_Toc512611692"/>
      <w:bookmarkStart w:id="685" w:name="_Toc515539875"/>
      <w:bookmarkStart w:id="686" w:name="_Toc525819970"/>
      <w:bookmarkStart w:id="687" w:name="_Toc512544437"/>
      <w:bookmarkStart w:id="688" w:name="_Toc493440811"/>
      <w:bookmarkStart w:id="689" w:name="_Toc517011817"/>
      <w:bookmarkStart w:id="690" w:name="_Toc493432674"/>
      <w:bookmarkStart w:id="691" w:name="_Toc493440979"/>
      <w:r>
        <w:rPr>
          <w:rStyle w:val="103"/>
          <w:rFonts w:hint="eastAsia" w:ascii="宋体" w:hAnsi="宋体" w:eastAsia="仿宋"/>
          <w:b/>
          <w:bCs/>
          <w:sz w:val="24"/>
          <w:szCs w:val="24"/>
        </w:rPr>
        <w:t>其他</w:t>
      </w:r>
      <w:bookmarkEnd w:id="683"/>
      <w:bookmarkEnd w:id="684"/>
      <w:bookmarkEnd w:id="685"/>
      <w:bookmarkEnd w:id="686"/>
      <w:bookmarkEnd w:id="687"/>
      <w:bookmarkEnd w:id="688"/>
      <w:bookmarkEnd w:id="689"/>
      <w:bookmarkEnd w:id="690"/>
      <w:bookmarkEnd w:id="691"/>
    </w:p>
    <w:p w14:paraId="6E8BE832">
      <w:pPr>
        <w:adjustRightInd w:val="0"/>
        <w:snapToGrid w:val="0"/>
        <w:spacing w:before="120" w:after="120" w:line="440" w:lineRule="exact"/>
        <w:ind w:firstLine="480" w:firstLineChars="200"/>
        <w:rPr>
          <w:rFonts w:eastAsia="仿宋"/>
          <w:color w:val="000000"/>
          <w:sz w:val="24"/>
        </w:rPr>
      </w:pPr>
      <w:r>
        <w:rPr>
          <w:rFonts w:hint="eastAsia" w:eastAsia="仿宋"/>
          <w:color w:val="000000"/>
          <w:sz w:val="24"/>
        </w:rPr>
        <w:t>无</w:t>
      </w:r>
    </w:p>
    <w:p w14:paraId="232ED3D1"/>
    <w:p w14:paraId="434B1580">
      <w:pPr>
        <w:widowControl/>
        <w:rPr>
          <w:rFonts w:eastAsia="仿宋"/>
        </w:rPr>
      </w:pPr>
    </w:p>
    <w:p w14:paraId="40D23AD8">
      <w:pPr>
        <w:widowControl/>
        <w:rPr>
          <w:rFonts w:eastAsia="仿宋"/>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321D1BF">
      <w:pPr>
        <w:pStyle w:val="2"/>
        <w:widowControl/>
        <w:spacing w:before="0" w:after="0" w:line="240" w:lineRule="auto"/>
        <w:jc w:val="center"/>
        <w:rPr>
          <w:rFonts w:ascii="宋体" w:hAnsi="宋体" w:eastAsia="仿宋"/>
        </w:rPr>
      </w:pPr>
      <w:bookmarkStart w:id="692" w:name="_Toc25995"/>
      <w:bookmarkStart w:id="693" w:name="_Toc445554765"/>
      <w:bookmarkStart w:id="694" w:name="_Toc466024564"/>
      <w:r>
        <w:rPr>
          <w:rFonts w:hint="eastAsia" w:ascii="宋体" w:hAnsi="宋体" w:eastAsia="仿宋"/>
        </w:rPr>
        <w:t xml:space="preserve">第四章  </w:t>
      </w:r>
      <w:r>
        <w:rPr>
          <w:rFonts w:hint="eastAsia" w:ascii="Calibri" w:hAnsi="Calibri" w:eastAsia="仿宋"/>
        </w:rPr>
        <w:t>磋商和评审办法</w:t>
      </w:r>
      <w:bookmarkEnd w:id="692"/>
    </w:p>
    <w:bookmarkEnd w:id="643"/>
    <w:bookmarkEnd w:id="644"/>
    <w:bookmarkEnd w:id="645"/>
    <w:bookmarkEnd w:id="646"/>
    <w:bookmarkEnd w:id="647"/>
    <w:bookmarkEnd w:id="648"/>
    <w:bookmarkEnd w:id="649"/>
    <w:bookmarkEnd w:id="650"/>
    <w:bookmarkEnd w:id="651"/>
    <w:bookmarkEnd w:id="693"/>
    <w:bookmarkEnd w:id="694"/>
    <w:p w14:paraId="24D42805">
      <w:pPr>
        <w:spacing w:line="360" w:lineRule="auto"/>
        <w:jc w:val="center"/>
        <w:rPr>
          <w:rFonts w:eastAsia="仿宋"/>
          <w:b/>
          <w:sz w:val="28"/>
        </w:rPr>
      </w:pPr>
    </w:p>
    <w:p w14:paraId="75B225A1">
      <w:pPr>
        <w:spacing w:line="360" w:lineRule="auto"/>
        <w:jc w:val="center"/>
        <w:outlineLvl w:val="1"/>
        <w:rPr>
          <w:rFonts w:eastAsia="仿宋"/>
          <w:b/>
          <w:sz w:val="28"/>
        </w:rPr>
      </w:pPr>
      <w:r>
        <w:rPr>
          <w:rFonts w:hint="eastAsia" w:eastAsia="仿宋"/>
          <w:b/>
          <w:sz w:val="28"/>
        </w:rPr>
        <w:t>评审办法前附表</w:t>
      </w:r>
    </w:p>
    <w:p w14:paraId="293B34B2">
      <w:pPr>
        <w:widowControl/>
        <w:adjustRightInd w:val="0"/>
        <w:snapToGrid w:val="0"/>
        <w:spacing w:line="360" w:lineRule="auto"/>
        <w:ind w:firstLine="482" w:firstLineChars="200"/>
        <w:rPr>
          <w:rFonts w:ascii="宋体" w:hAnsi="宋体" w:eastAsia="仿宋"/>
          <w:b/>
          <w:bCs/>
          <w:sz w:val="24"/>
        </w:rPr>
      </w:pPr>
      <w:r>
        <w:rPr>
          <w:rFonts w:hint="eastAsia" w:ascii="宋体" w:hAnsi="宋体" w:eastAsia="仿宋"/>
          <w:b/>
          <w:bCs/>
          <w:sz w:val="24"/>
        </w:rPr>
        <w:t>本《评审办法前附表》是对本章《磋商和评审办法》的具体补充和修改，如有不一致，以本《评审办法前附表》为准。</w:t>
      </w:r>
    </w:p>
    <w:p w14:paraId="1B029D45">
      <w:pPr>
        <w:widowControl/>
        <w:adjustRightInd w:val="0"/>
        <w:snapToGrid w:val="0"/>
        <w:spacing w:before="240" w:beforeLines="100" w:after="120" w:afterLines="50" w:line="360" w:lineRule="auto"/>
        <w:ind w:firstLine="482" w:firstLineChars="200"/>
        <w:rPr>
          <w:rFonts w:ascii="宋体" w:hAnsi="宋体" w:eastAsia="仿宋"/>
          <w:b/>
          <w:bCs/>
          <w:sz w:val="24"/>
        </w:rPr>
      </w:pPr>
      <w:r>
        <w:rPr>
          <w:rFonts w:hint="eastAsia" w:ascii="Calibri" w:hAnsi="Calibri" w:eastAsia="仿宋"/>
          <w:b/>
          <w:sz w:val="24"/>
        </w:rPr>
        <w:t>1. 资格审查标准</w:t>
      </w:r>
    </w:p>
    <w:tbl>
      <w:tblPr>
        <w:tblStyle w:val="47"/>
        <w:tblW w:w="54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2141"/>
        <w:gridCol w:w="4801"/>
        <w:gridCol w:w="2499"/>
      </w:tblGrid>
      <w:tr w14:paraId="17C7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10" w:type="pct"/>
            <w:tcBorders>
              <w:bottom w:val="single" w:color="auto" w:sz="4" w:space="0"/>
            </w:tcBorders>
            <w:vAlign w:val="center"/>
          </w:tcPr>
          <w:p w14:paraId="6D3971E6">
            <w:pPr>
              <w:adjustRightInd w:val="0"/>
              <w:snapToGrid w:val="0"/>
              <w:ind w:right="-10"/>
              <w:jc w:val="center"/>
              <w:rPr>
                <w:rFonts w:ascii="宋体" w:hAnsi="宋体"/>
                <w:sz w:val="24"/>
              </w:rPr>
            </w:pPr>
            <w:r>
              <w:rPr>
                <w:rFonts w:hint="eastAsia" w:ascii="宋体" w:hAnsi="宋体"/>
                <w:sz w:val="24"/>
              </w:rPr>
              <w:t>条款号</w:t>
            </w:r>
          </w:p>
        </w:tc>
        <w:tc>
          <w:tcPr>
            <w:tcW w:w="995" w:type="pct"/>
            <w:tcBorders>
              <w:bottom w:val="single" w:color="auto" w:sz="4" w:space="0"/>
            </w:tcBorders>
            <w:vAlign w:val="center"/>
          </w:tcPr>
          <w:p w14:paraId="0F01FA4C">
            <w:pPr>
              <w:pStyle w:val="178"/>
              <w:pBdr>
                <w:bottom w:val="none" w:color="auto" w:sz="0" w:space="0"/>
              </w:pBdr>
              <w:tabs>
                <w:tab w:val="clear" w:pos="4153"/>
                <w:tab w:val="clear" w:pos="8306"/>
              </w:tabs>
              <w:snapToGrid w:val="0"/>
              <w:spacing w:line="240" w:lineRule="auto"/>
              <w:ind w:right="-10"/>
              <w:textAlignment w:val="auto"/>
              <w:rPr>
                <w:rFonts w:ascii="宋体" w:hAnsi="宋体"/>
                <w:kern w:val="2"/>
                <w:szCs w:val="24"/>
              </w:rPr>
            </w:pPr>
            <w:r>
              <w:rPr>
                <w:rFonts w:hint="eastAsia" w:ascii="宋体" w:hAnsi="宋体"/>
                <w:kern w:val="2"/>
                <w:szCs w:val="24"/>
              </w:rPr>
              <w:t>审查因素</w:t>
            </w:r>
          </w:p>
        </w:tc>
        <w:tc>
          <w:tcPr>
            <w:tcW w:w="2231" w:type="pct"/>
            <w:tcBorders>
              <w:bottom w:val="single" w:color="auto" w:sz="4" w:space="0"/>
            </w:tcBorders>
            <w:vAlign w:val="center"/>
          </w:tcPr>
          <w:p w14:paraId="51DC681A">
            <w:pPr>
              <w:adjustRightInd w:val="0"/>
              <w:snapToGrid w:val="0"/>
              <w:ind w:right="-10"/>
              <w:jc w:val="center"/>
              <w:rPr>
                <w:rFonts w:ascii="宋体" w:hAnsi="宋体"/>
                <w:sz w:val="24"/>
              </w:rPr>
            </w:pPr>
            <w:r>
              <w:rPr>
                <w:rFonts w:hint="eastAsia" w:ascii="宋体" w:hAnsi="宋体"/>
                <w:sz w:val="24"/>
              </w:rPr>
              <w:t>审查标准</w:t>
            </w:r>
          </w:p>
        </w:tc>
        <w:tc>
          <w:tcPr>
            <w:tcW w:w="1162" w:type="pct"/>
            <w:tcBorders>
              <w:bottom w:val="single" w:color="auto" w:sz="4" w:space="0"/>
            </w:tcBorders>
            <w:vAlign w:val="center"/>
          </w:tcPr>
          <w:p w14:paraId="7FDC7BE1">
            <w:pPr>
              <w:adjustRightInd w:val="0"/>
              <w:snapToGrid w:val="0"/>
              <w:ind w:right="-10"/>
              <w:jc w:val="center"/>
              <w:rPr>
                <w:rFonts w:ascii="宋体" w:hAnsi="宋体"/>
                <w:sz w:val="24"/>
              </w:rPr>
            </w:pPr>
            <w:r>
              <w:rPr>
                <w:rFonts w:hint="eastAsia" w:ascii="宋体" w:hAnsi="宋体"/>
                <w:sz w:val="24"/>
              </w:rPr>
              <w:t>格式及材料要求</w:t>
            </w:r>
          </w:p>
        </w:tc>
      </w:tr>
      <w:tr w14:paraId="3991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10" w:type="pct"/>
            <w:vMerge w:val="restart"/>
            <w:vAlign w:val="center"/>
          </w:tcPr>
          <w:p w14:paraId="4675881A">
            <w:pPr>
              <w:adjustRightInd w:val="0"/>
              <w:snapToGrid w:val="0"/>
              <w:ind w:right="-10"/>
              <w:jc w:val="center"/>
              <w:rPr>
                <w:rFonts w:ascii="宋体" w:hAnsi="宋体"/>
                <w:sz w:val="24"/>
              </w:rPr>
            </w:pPr>
            <w:r>
              <w:rPr>
                <w:rFonts w:hint="eastAsia" w:ascii="宋体" w:hAnsi="宋体"/>
                <w:sz w:val="24"/>
              </w:rPr>
              <w:t>3.1.1</w:t>
            </w:r>
          </w:p>
        </w:tc>
        <w:tc>
          <w:tcPr>
            <w:tcW w:w="995" w:type="pct"/>
            <w:tcBorders>
              <w:bottom w:val="single" w:color="auto" w:sz="4" w:space="0"/>
            </w:tcBorders>
            <w:vAlign w:val="center"/>
          </w:tcPr>
          <w:p w14:paraId="733FC14A">
            <w:pPr>
              <w:spacing w:after="50"/>
              <w:ind w:right="-10"/>
              <w:jc w:val="center"/>
              <w:rPr>
                <w:rFonts w:ascii="宋体" w:hAnsi="宋体" w:eastAsia="仿宋"/>
                <w:sz w:val="24"/>
              </w:rPr>
            </w:pPr>
            <w:r>
              <w:rPr>
                <w:rFonts w:hint="eastAsia" w:ascii="宋体" w:hAnsi="宋体" w:eastAsia="仿宋"/>
                <w:sz w:val="24"/>
              </w:rPr>
              <w:t>营业执照等证明材料</w:t>
            </w:r>
          </w:p>
        </w:tc>
        <w:tc>
          <w:tcPr>
            <w:tcW w:w="2231" w:type="pct"/>
            <w:tcBorders>
              <w:bottom w:val="single" w:color="auto" w:sz="4" w:space="0"/>
            </w:tcBorders>
            <w:vAlign w:val="center"/>
          </w:tcPr>
          <w:p w14:paraId="0F6724EA">
            <w:pPr>
              <w:spacing w:after="50"/>
              <w:ind w:right="-10"/>
              <w:jc w:val="left"/>
              <w:rPr>
                <w:rFonts w:ascii="仿宋" w:hAnsi="仿宋" w:eastAsia="仿宋" w:cs="仿宋"/>
                <w:sz w:val="24"/>
                <w:szCs w:val="28"/>
              </w:rPr>
            </w:pPr>
            <w:r>
              <w:rPr>
                <w:rFonts w:hint="eastAsia" w:ascii="仿宋" w:hAnsi="仿宋" w:eastAsia="仿宋" w:cs="仿宋"/>
                <w:sz w:val="24"/>
                <w:szCs w:val="28"/>
              </w:rPr>
              <w:t>供应商为企业（包括公司、合伙企业、个人独资企业）的，提供有效的营业执照；</w:t>
            </w:r>
          </w:p>
          <w:p w14:paraId="404751C4">
            <w:pPr>
              <w:spacing w:after="50"/>
              <w:ind w:right="-10"/>
              <w:jc w:val="left"/>
              <w:rPr>
                <w:rFonts w:ascii="仿宋" w:hAnsi="仿宋" w:eastAsia="仿宋" w:cs="仿宋"/>
                <w:sz w:val="24"/>
                <w:szCs w:val="28"/>
              </w:rPr>
            </w:pPr>
            <w:r>
              <w:rPr>
                <w:rFonts w:hint="eastAsia" w:ascii="仿宋" w:hAnsi="仿宋" w:eastAsia="仿宋" w:cs="仿宋"/>
                <w:sz w:val="24"/>
                <w:szCs w:val="28"/>
              </w:rPr>
              <w:t>供应商为事业单位的，提供有效的事业单位法人证书；</w:t>
            </w:r>
          </w:p>
          <w:p w14:paraId="37138FE2">
            <w:pPr>
              <w:spacing w:after="50"/>
              <w:ind w:right="-10"/>
              <w:jc w:val="left"/>
              <w:rPr>
                <w:rFonts w:ascii="仿宋" w:hAnsi="仿宋" w:eastAsia="仿宋" w:cs="仿宋"/>
                <w:sz w:val="24"/>
                <w:szCs w:val="28"/>
              </w:rPr>
            </w:pPr>
            <w:r>
              <w:rPr>
                <w:rFonts w:hint="eastAsia" w:ascii="仿宋" w:hAnsi="仿宋" w:eastAsia="仿宋" w:cs="仿宋"/>
                <w:sz w:val="24"/>
                <w:szCs w:val="28"/>
              </w:rPr>
              <w:t>供应商为社会团体的，提供有效的社会团体法人登记证书；</w:t>
            </w:r>
          </w:p>
          <w:p w14:paraId="26ABA981">
            <w:pPr>
              <w:spacing w:after="50"/>
              <w:ind w:right="-10"/>
              <w:jc w:val="left"/>
              <w:rPr>
                <w:rFonts w:ascii="仿宋" w:hAnsi="仿宋" w:eastAsia="仿宋" w:cs="仿宋"/>
                <w:sz w:val="24"/>
                <w:szCs w:val="28"/>
              </w:rPr>
            </w:pPr>
            <w:r>
              <w:rPr>
                <w:rFonts w:hint="eastAsia" w:ascii="仿宋" w:hAnsi="仿宋" w:eastAsia="仿宋" w:cs="仿宋"/>
                <w:sz w:val="24"/>
                <w:szCs w:val="28"/>
              </w:rPr>
              <w:t>供应商为个体工商户的，提供有效的营业执照；</w:t>
            </w:r>
          </w:p>
          <w:p w14:paraId="3A4C7200">
            <w:pPr>
              <w:spacing w:after="50"/>
              <w:ind w:right="-10"/>
              <w:jc w:val="left"/>
              <w:rPr>
                <w:rFonts w:ascii="仿宋" w:hAnsi="仿宋" w:eastAsia="仿宋" w:cs="仿宋"/>
                <w:sz w:val="24"/>
                <w:szCs w:val="28"/>
              </w:rPr>
            </w:pPr>
            <w:r>
              <w:rPr>
                <w:rFonts w:hint="eastAsia" w:ascii="仿宋" w:hAnsi="仿宋" w:eastAsia="仿宋" w:cs="仿宋"/>
                <w:sz w:val="24"/>
                <w:szCs w:val="28"/>
              </w:rPr>
              <w:t>供应商为不具法人资格的专业服务机构的，提供有效的执业许可证等证明材料；</w:t>
            </w:r>
          </w:p>
          <w:p w14:paraId="5B6077C3">
            <w:pPr>
              <w:spacing w:after="50"/>
              <w:ind w:right="-10"/>
              <w:jc w:val="left"/>
              <w:rPr>
                <w:rFonts w:ascii="仿宋" w:hAnsi="仿宋" w:eastAsia="仿宋" w:cs="仿宋"/>
                <w:sz w:val="24"/>
                <w:szCs w:val="28"/>
              </w:rPr>
            </w:pPr>
            <w:r>
              <w:rPr>
                <w:rFonts w:hint="eastAsia" w:ascii="仿宋" w:hAnsi="仿宋" w:eastAsia="仿宋" w:cs="仿宋"/>
                <w:sz w:val="24"/>
                <w:szCs w:val="28"/>
              </w:rPr>
              <w:t>供应商为自然人的，提供有效的自然人身份证明；</w:t>
            </w:r>
          </w:p>
          <w:p w14:paraId="2156F044">
            <w:pPr>
              <w:spacing w:after="50"/>
              <w:ind w:right="-10"/>
              <w:jc w:val="left"/>
              <w:rPr>
                <w:rFonts w:ascii="仿宋" w:hAnsi="仿宋" w:eastAsia="仿宋" w:cs="仿宋"/>
                <w:sz w:val="24"/>
                <w:szCs w:val="28"/>
              </w:rPr>
            </w:pPr>
            <w:r>
              <w:rPr>
                <w:rFonts w:hint="eastAsia" w:ascii="仿宋" w:hAnsi="仿宋" w:eastAsia="仿宋" w:cs="仿宋"/>
                <w:sz w:val="24"/>
                <w:szCs w:val="28"/>
              </w:rPr>
              <w:t>其他供应商应按照有关法律、法规和规章规定，提供有效的相应证明材料。</w:t>
            </w:r>
          </w:p>
          <w:p w14:paraId="4C9862CF">
            <w:pPr>
              <w:pStyle w:val="4"/>
              <w:spacing w:line="240" w:lineRule="auto"/>
              <w:rPr>
                <w:lang w:eastAsia="zh-CN"/>
              </w:rPr>
            </w:pPr>
            <w:r>
              <w:rPr>
                <w:rFonts w:hint="eastAsia" w:ascii="仿宋" w:hAnsi="仿宋" w:eastAsia="仿宋" w:cs="仿宋"/>
                <w:b w:val="0"/>
                <w:bCs w:val="0"/>
                <w:kern w:val="2"/>
                <w:sz w:val="24"/>
                <w:szCs w:val="28"/>
                <w:lang w:eastAsia="zh-CN" w:bidi="ar-SA"/>
              </w:rPr>
              <w:t>供应商为分支机构的，还应提供授权书或证明授权其独立开展业务的证明材料。</w:t>
            </w:r>
          </w:p>
        </w:tc>
        <w:tc>
          <w:tcPr>
            <w:tcW w:w="1162" w:type="pct"/>
            <w:vAlign w:val="center"/>
          </w:tcPr>
          <w:p w14:paraId="401881DE">
            <w:pPr>
              <w:spacing w:after="50"/>
              <w:ind w:right="-10"/>
              <w:jc w:val="left"/>
              <w:rPr>
                <w:rFonts w:ascii="宋体" w:hAnsi="宋体"/>
                <w:sz w:val="24"/>
              </w:rPr>
            </w:pPr>
            <w:r>
              <w:rPr>
                <w:rFonts w:hint="eastAsia" w:ascii="仿宋" w:hAnsi="仿宋" w:eastAsia="仿宋" w:cs="仿宋"/>
                <w:sz w:val="24"/>
              </w:rPr>
              <w:t>提供扫描件或电子证照，详见第六章响应文件格式九（一）</w:t>
            </w:r>
          </w:p>
        </w:tc>
      </w:tr>
      <w:tr w14:paraId="6E9C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Merge w:val="continue"/>
            <w:vAlign w:val="center"/>
          </w:tcPr>
          <w:p w14:paraId="675819A2">
            <w:pPr>
              <w:adjustRightInd w:val="0"/>
              <w:snapToGrid w:val="0"/>
              <w:ind w:right="-10"/>
              <w:jc w:val="center"/>
              <w:rPr>
                <w:rFonts w:ascii="宋体" w:hAnsi="宋体"/>
                <w:sz w:val="24"/>
              </w:rPr>
            </w:pPr>
          </w:p>
        </w:tc>
        <w:tc>
          <w:tcPr>
            <w:tcW w:w="995" w:type="pct"/>
            <w:tcBorders>
              <w:bottom w:val="single" w:color="auto" w:sz="4" w:space="0"/>
            </w:tcBorders>
            <w:vAlign w:val="center"/>
          </w:tcPr>
          <w:p w14:paraId="11752C02">
            <w:pPr>
              <w:spacing w:after="50"/>
              <w:ind w:right="-10"/>
              <w:jc w:val="center"/>
              <w:rPr>
                <w:rFonts w:ascii="宋体" w:hAnsi="宋体"/>
                <w:sz w:val="24"/>
                <w:szCs w:val="28"/>
              </w:rPr>
            </w:pPr>
            <w:r>
              <w:rPr>
                <w:rFonts w:hint="eastAsia" w:ascii="宋体" w:hAnsi="宋体" w:eastAsia="仿宋"/>
                <w:sz w:val="24"/>
              </w:rPr>
              <w:t>信用状况</w:t>
            </w:r>
          </w:p>
        </w:tc>
        <w:tc>
          <w:tcPr>
            <w:tcW w:w="2231" w:type="pct"/>
            <w:tcBorders>
              <w:bottom w:val="single" w:color="auto" w:sz="4" w:space="0"/>
            </w:tcBorders>
            <w:vAlign w:val="center"/>
          </w:tcPr>
          <w:p w14:paraId="48C886B9">
            <w:pPr>
              <w:spacing w:after="50"/>
              <w:ind w:right="-10"/>
              <w:jc w:val="left"/>
              <w:rPr>
                <w:rFonts w:ascii="宋体" w:hAnsi="宋体" w:eastAsia="仿宋"/>
                <w:sz w:val="24"/>
              </w:rPr>
            </w:pPr>
            <w:r>
              <w:rPr>
                <w:rFonts w:hint="eastAsia" w:ascii="宋体" w:hAnsi="宋体" w:eastAsia="仿宋"/>
                <w:kern w:val="0"/>
                <w:sz w:val="24"/>
              </w:rPr>
              <w:t>符合第二章“供应商须知”正文第1.3.3项要求，</w:t>
            </w:r>
            <w:r>
              <w:rPr>
                <w:rFonts w:hint="eastAsia" w:ascii="宋体" w:hAnsi="宋体" w:eastAsia="仿宋"/>
                <w:sz w:val="24"/>
              </w:rPr>
              <w:t>信用状况只依据下述查询平台（网址）发布的信息：</w:t>
            </w:r>
          </w:p>
          <w:p w14:paraId="17F56A0A">
            <w:pPr>
              <w:pStyle w:val="152"/>
              <w:overflowPunct w:val="0"/>
              <w:autoSpaceDE w:val="0"/>
              <w:autoSpaceDN w:val="0"/>
              <w:adjustRightInd w:val="0"/>
              <w:rPr>
                <w:rFonts w:ascii="Calibri" w:hAnsi="Calibri" w:eastAsia="仿宋"/>
                <w:sz w:val="24"/>
                <w:szCs w:val="24"/>
              </w:rPr>
            </w:pPr>
            <w:r>
              <w:rPr>
                <w:rFonts w:hint="eastAsia" w:ascii="宋体" w:hAnsi="宋体" w:eastAsia="仿宋"/>
                <w:sz w:val="24"/>
                <w:szCs w:val="24"/>
              </w:rPr>
              <w:t>（</w:t>
            </w:r>
            <w:r>
              <w:rPr>
                <w:rFonts w:ascii="Calibri" w:hAnsi="Calibri" w:eastAsia="仿宋"/>
                <w:sz w:val="24"/>
                <w:szCs w:val="24"/>
              </w:rPr>
              <w:t>1</w:t>
            </w:r>
            <w:r>
              <w:rPr>
                <w:rFonts w:hint="eastAsia" w:ascii="宋体" w:hAnsi="宋体" w:eastAsia="仿宋"/>
                <w:sz w:val="24"/>
                <w:szCs w:val="24"/>
              </w:rPr>
              <w:t>）信用中国</w:t>
            </w:r>
            <w:r>
              <w:rPr>
                <w:rFonts w:ascii="Calibri" w:hAnsi="Calibri" w:eastAsia="仿宋"/>
                <w:sz w:val="24"/>
                <w:szCs w:val="24"/>
              </w:rPr>
              <w:t>网站</w:t>
            </w:r>
          </w:p>
          <w:p w14:paraId="71DE3E70">
            <w:pPr>
              <w:pStyle w:val="152"/>
              <w:overflowPunct w:val="0"/>
              <w:autoSpaceDE w:val="0"/>
              <w:autoSpaceDN w:val="0"/>
              <w:adjustRightInd w:val="0"/>
              <w:rPr>
                <w:rFonts w:ascii="Calibri" w:hAnsi="Calibri" w:eastAsia="仿宋"/>
                <w:sz w:val="24"/>
                <w:szCs w:val="24"/>
              </w:rPr>
            </w:pPr>
            <w:r>
              <w:rPr>
                <w:rFonts w:ascii="Calibri" w:hAnsi="Calibri" w:eastAsia="仿宋"/>
                <w:sz w:val="24"/>
                <w:szCs w:val="24"/>
              </w:rPr>
              <w:t>（www.creditchina.gov.cn）；</w:t>
            </w:r>
          </w:p>
          <w:p w14:paraId="05BC739C">
            <w:pPr>
              <w:pStyle w:val="152"/>
              <w:overflowPunct w:val="0"/>
              <w:autoSpaceDE w:val="0"/>
              <w:autoSpaceDN w:val="0"/>
              <w:adjustRightInd w:val="0"/>
              <w:rPr>
                <w:rFonts w:ascii="Calibri" w:hAnsi="Calibri" w:eastAsia="仿宋"/>
                <w:sz w:val="24"/>
                <w:szCs w:val="24"/>
              </w:rPr>
            </w:pPr>
            <w:r>
              <w:rPr>
                <w:rFonts w:ascii="Calibri" w:hAnsi="Calibri" w:eastAsia="仿宋"/>
                <w:sz w:val="24"/>
                <w:szCs w:val="24"/>
              </w:rPr>
              <w:t>（2）中国执行信息公开网</w:t>
            </w:r>
          </w:p>
          <w:p w14:paraId="3270A103">
            <w:pPr>
              <w:pStyle w:val="152"/>
              <w:overflowPunct w:val="0"/>
              <w:autoSpaceDE w:val="0"/>
              <w:autoSpaceDN w:val="0"/>
              <w:adjustRightInd w:val="0"/>
              <w:rPr>
                <w:rFonts w:ascii="Calibri" w:hAnsi="Calibri" w:eastAsia="仿宋"/>
                <w:sz w:val="24"/>
                <w:szCs w:val="24"/>
              </w:rPr>
            </w:pPr>
            <w:r>
              <w:rPr>
                <w:rFonts w:ascii="Calibri" w:hAnsi="Calibri" w:eastAsia="仿宋"/>
                <w:sz w:val="24"/>
                <w:szCs w:val="24"/>
              </w:rPr>
              <w:t>（http://zxgk.court.gov.cn/）</w:t>
            </w:r>
            <w:r>
              <w:rPr>
                <w:rFonts w:hint="eastAsia" w:ascii="Calibri" w:hAnsi="Calibri" w:eastAsia="仿宋"/>
                <w:sz w:val="24"/>
                <w:szCs w:val="24"/>
              </w:rPr>
              <w:t>；</w:t>
            </w:r>
          </w:p>
          <w:p w14:paraId="126C16B8">
            <w:pPr>
              <w:pStyle w:val="152"/>
              <w:overflowPunct w:val="0"/>
              <w:autoSpaceDE w:val="0"/>
              <w:autoSpaceDN w:val="0"/>
              <w:adjustRightInd w:val="0"/>
              <w:rPr>
                <w:rFonts w:ascii="Calibri" w:hAnsi="Calibri" w:eastAsia="仿宋"/>
                <w:sz w:val="24"/>
                <w:szCs w:val="24"/>
              </w:rPr>
            </w:pPr>
            <w:r>
              <w:rPr>
                <w:rFonts w:hint="eastAsia" w:ascii="Calibri" w:hAnsi="Calibri" w:eastAsia="仿宋"/>
                <w:sz w:val="24"/>
                <w:szCs w:val="24"/>
              </w:rPr>
              <w:t>（3）</w:t>
            </w:r>
            <w:r>
              <w:rPr>
                <w:rFonts w:ascii="Calibri" w:hAnsi="Calibri" w:eastAsia="仿宋"/>
                <w:sz w:val="24"/>
                <w:szCs w:val="24"/>
              </w:rPr>
              <w:t>中国政府采购网</w:t>
            </w:r>
          </w:p>
          <w:p w14:paraId="1743E957">
            <w:pPr>
              <w:pStyle w:val="152"/>
              <w:overflowPunct w:val="0"/>
              <w:autoSpaceDE w:val="0"/>
              <w:autoSpaceDN w:val="0"/>
              <w:adjustRightInd w:val="0"/>
              <w:rPr>
                <w:rFonts w:ascii="Calibri" w:hAnsi="Calibri" w:eastAsia="仿宋"/>
                <w:sz w:val="24"/>
                <w:szCs w:val="24"/>
              </w:rPr>
            </w:pPr>
            <w:r>
              <w:rPr>
                <w:rFonts w:ascii="Calibri" w:hAnsi="Calibri" w:eastAsia="仿宋"/>
                <w:sz w:val="24"/>
                <w:szCs w:val="24"/>
              </w:rPr>
              <w:t>（http://www.ccgp.gov.cn/）</w:t>
            </w:r>
            <w:r>
              <w:rPr>
                <w:rFonts w:hint="eastAsia" w:ascii="Calibri" w:hAnsi="Calibri" w:eastAsia="仿宋"/>
                <w:sz w:val="24"/>
                <w:szCs w:val="24"/>
              </w:rPr>
              <w:t>；</w:t>
            </w:r>
          </w:p>
          <w:p w14:paraId="1E94604A">
            <w:pPr>
              <w:pStyle w:val="152"/>
              <w:overflowPunct w:val="0"/>
              <w:autoSpaceDE w:val="0"/>
              <w:autoSpaceDN w:val="0"/>
              <w:adjustRightInd w:val="0"/>
              <w:rPr>
                <w:rFonts w:ascii="Calibri" w:hAnsi="Calibri" w:eastAsia="仿宋"/>
                <w:sz w:val="24"/>
                <w:szCs w:val="24"/>
              </w:rPr>
            </w:pPr>
            <w:r>
              <w:rPr>
                <w:rFonts w:ascii="Calibri" w:hAnsi="Calibri" w:eastAsia="仿宋"/>
                <w:sz w:val="24"/>
                <w:szCs w:val="24"/>
              </w:rPr>
              <w:t>（4）国家企业信用信息公示系统</w:t>
            </w:r>
          </w:p>
          <w:p w14:paraId="5CEC297A">
            <w:pPr>
              <w:pStyle w:val="4"/>
              <w:spacing w:line="240" w:lineRule="auto"/>
            </w:pPr>
            <w:r>
              <w:rPr>
                <w:rFonts w:ascii="Times New Roman" w:hAnsi="Times New Roman" w:eastAsia="仿宋"/>
                <w:b w:val="0"/>
                <w:bCs w:val="0"/>
                <w:sz w:val="24"/>
                <w:lang w:eastAsia="zh-CN" w:bidi="ar-SA"/>
              </w:rPr>
              <w:t>（http://www.gsxt.gov.cn/）</w:t>
            </w:r>
            <w:r>
              <w:rPr>
                <w:rFonts w:hint="eastAsia" w:ascii="Times New Roman" w:hAnsi="Times New Roman" w:eastAsia="仿宋"/>
                <w:b w:val="0"/>
                <w:bCs w:val="0"/>
                <w:sz w:val="24"/>
                <w:lang w:eastAsia="zh-CN" w:bidi="ar-SA"/>
              </w:rPr>
              <w:t>。</w:t>
            </w:r>
          </w:p>
        </w:tc>
        <w:tc>
          <w:tcPr>
            <w:tcW w:w="1162" w:type="pct"/>
            <w:tcBorders>
              <w:bottom w:val="single" w:color="auto" w:sz="4" w:space="0"/>
            </w:tcBorders>
            <w:vAlign w:val="center"/>
          </w:tcPr>
          <w:p w14:paraId="6F44BA7F">
            <w:pPr>
              <w:widowControl/>
              <w:adjustRightInd w:val="0"/>
              <w:snapToGrid w:val="0"/>
              <w:spacing w:line="360" w:lineRule="auto"/>
              <w:rPr>
                <w:rFonts w:ascii="宋体" w:hAnsi="宋体" w:eastAsia="仿宋" w:cs="宋体"/>
                <w:sz w:val="24"/>
              </w:rPr>
            </w:pPr>
            <w:r>
              <w:rPr>
                <w:rFonts w:hint="eastAsia" w:ascii="宋体" w:hAnsi="宋体" w:eastAsia="仿宋" w:cs="宋体"/>
                <w:sz w:val="24"/>
              </w:rPr>
              <w:t>采购人或采购代理机构查询，并留存查询记录</w:t>
            </w:r>
          </w:p>
          <w:p w14:paraId="642481E8">
            <w:pPr>
              <w:adjustRightInd w:val="0"/>
              <w:snapToGrid w:val="0"/>
              <w:ind w:right="-10"/>
              <w:jc w:val="left"/>
              <w:rPr>
                <w:rFonts w:ascii="宋体" w:hAnsi="宋体"/>
                <w:sz w:val="24"/>
              </w:rPr>
            </w:pPr>
          </w:p>
        </w:tc>
      </w:tr>
      <w:tr w14:paraId="1F1A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Merge w:val="continue"/>
            <w:vAlign w:val="center"/>
          </w:tcPr>
          <w:p w14:paraId="19828049">
            <w:pPr>
              <w:adjustRightInd w:val="0"/>
              <w:snapToGrid w:val="0"/>
              <w:ind w:right="-10"/>
              <w:jc w:val="center"/>
              <w:rPr>
                <w:rFonts w:ascii="宋体" w:hAnsi="宋体"/>
                <w:sz w:val="24"/>
              </w:rPr>
            </w:pPr>
          </w:p>
        </w:tc>
        <w:tc>
          <w:tcPr>
            <w:tcW w:w="995" w:type="pct"/>
            <w:tcBorders>
              <w:bottom w:val="single" w:color="auto" w:sz="4" w:space="0"/>
            </w:tcBorders>
            <w:vAlign w:val="center"/>
          </w:tcPr>
          <w:p w14:paraId="700DDF8D">
            <w:pPr>
              <w:spacing w:after="50"/>
              <w:ind w:right="-10"/>
              <w:jc w:val="center"/>
              <w:rPr>
                <w:rFonts w:ascii="宋体" w:hAnsi="宋体"/>
                <w:sz w:val="24"/>
                <w:szCs w:val="18"/>
              </w:rPr>
            </w:pPr>
            <w:r>
              <w:rPr>
                <w:rFonts w:hint="eastAsia" w:ascii="宋体" w:hAnsi="宋体" w:eastAsia="仿宋"/>
                <w:sz w:val="24"/>
              </w:rPr>
              <w:t>政府采购供应商资格承诺函</w:t>
            </w:r>
          </w:p>
        </w:tc>
        <w:tc>
          <w:tcPr>
            <w:tcW w:w="2231" w:type="pct"/>
            <w:tcBorders>
              <w:bottom w:val="single" w:color="auto" w:sz="4" w:space="0"/>
            </w:tcBorders>
            <w:vAlign w:val="center"/>
          </w:tcPr>
          <w:p w14:paraId="54523759">
            <w:pPr>
              <w:spacing w:after="50"/>
              <w:ind w:right="-10"/>
              <w:jc w:val="center"/>
              <w:rPr>
                <w:rFonts w:ascii="宋体" w:hAnsi="宋体" w:eastAsia="仿宋"/>
                <w:sz w:val="24"/>
                <w:szCs w:val="28"/>
              </w:rPr>
            </w:pPr>
            <w:r>
              <w:rPr>
                <w:rFonts w:hint="eastAsia" w:ascii="宋体" w:hAnsi="宋体" w:eastAsia="仿宋"/>
                <w:sz w:val="24"/>
              </w:rPr>
              <w:t>格式、填写要求符合竞争性磋商文件规定并加盖供应商电子签章。</w:t>
            </w:r>
          </w:p>
        </w:tc>
        <w:tc>
          <w:tcPr>
            <w:tcW w:w="2500" w:type="dxa"/>
            <w:tcBorders>
              <w:bottom w:val="single" w:color="auto" w:sz="4" w:space="0"/>
            </w:tcBorders>
            <w:vAlign w:val="center"/>
          </w:tcPr>
          <w:p w14:paraId="604CD695">
            <w:pPr>
              <w:adjustRightInd w:val="0"/>
              <w:snapToGrid w:val="0"/>
              <w:ind w:right="-10"/>
              <w:jc w:val="left"/>
              <w:rPr>
                <w:rFonts w:ascii="宋体" w:hAnsi="宋体"/>
                <w:sz w:val="24"/>
              </w:rPr>
            </w:pPr>
            <w:r>
              <w:rPr>
                <w:rFonts w:hint="eastAsia" w:ascii="宋体" w:hAnsi="宋体" w:eastAsia="仿宋"/>
                <w:sz w:val="24"/>
              </w:rPr>
              <w:t>详见第六章响应文件格式九（二）</w:t>
            </w:r>
          </w:p>
        </w:tc>
      </w:tr>
      <w:tr w14:paraId="2F67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Merge w:val="continue"/>
            <w:vAlign w:val="center"/>
          </w:tcPr>
          <w:p w14:paraId="545AA08B">
            <w:pPr>
              <w:adjustRightInd w:val="0"/>
              <w:snapToGrid w:val="0"/>
              <w:ind w:right="-10"/>
              <w:jc w:val="center"/>
              <w:rPr>
                <w:rFonts w:ascii="宋体" w:hAnsi="宋体"/>
                <w:sz w:val="24"/>
              </w:rPr>
            </w:pPr>
          </w:p>
        </w:tc>
        <w:tc>
          <w:tcPr>
            <w:tcW w:w="995" w:type="pct"/>
            <w:tcBorders>
              <w:bottom w:val="single" w:color="auto" w:sz="4" w:space="0"/>
            </w:tcBorders>
            <w:vAlign w:val="center"/>
          </w:tcPr>
          <w:p w14:paraId="6D0229D0">
            <w:pPr>
              <w:spacing w:after="50"/>
              <w:ind w:right="-10"/>
              <w:jc w:val="center"/>
              <w:rPr>
                <w:rFonts w:ascii="宋体" w:hAnsi="宋体" w:eastAsia="仿宋"/>
                <w:sz w:val="24"/>
              </w:rPr>
            </w:pPr>
            <w:r>
              <w:rPr>
                <w:rFonts w:hint="eastAsia" w:ascii="宋体" w:hAnsi="宋体" w:eastAsia="仿宋"/>
                <w:sz w:val="24"/>
              </w:rPr>
              <w:t>中小企业声明函</w:t>
            </w:r>
          </w:p>
        </w:tc>
        <w:tc>
          <w:tcPr>
            <w:tcW w:w="2231" w:type="pct"/>
            <w:tcBorders>
              <w:bottom w:val="single" w:color="auto" w:sz="4" w:space="0"/>
            </w:tcBorders>
            <w:vAlign w:val="center"/>
          </w:tcPr>
          <w:p w14:paraId="6B6A8500">
            <w:pPr>
              <w:spacing w:after="50"/>
              <w:ind w:right="-10"/>
              <w:jc w:val="center"/>
              <w:rPr>
                <w:rFonts w:ascii="宋体" w:hAnsi="宋体" w:eastAsia="仿宋"/>
                <w:sz w:val="24"/>
              </w:rPr>
            </w:pPr>
            <w:r>
              <w:rPr>
                <w:rFonts w:hint="eastAsia" w:ascii="宋体" w:hAnsi="宋体" w:eastAsia="仿宋"/>
                <w:sz w:val="24"/>
              </w:rPr>
              <w:t>符合竞争性磋商公告中落实政府采购政策需满足的资格要求。</w:t>
            </w:r>
          </w:p>
        </w:tc>
        <w:tc>
          <w:tcPr>
            <w:tcW w:w="2500" w:type="dxa"/>
            <w:tcBorders>
              <w:bottom w:val="single" w:color="auto" w:sz="4" w:space="0"/>
            </w:tcBorders>
            <w:vAlign w:val="center"/>
          </w:tcPr>
          <w:p w14:paraId="07C71026">
            <w:pPr>
              <w:spacing w:after="50"/>
              <w:ind w:right="-10"/>
              <w:jc w:val="left"/>
              <w:rPr>
                <w:rFonts w:ascii="宋体" w:hAnsi="宋体" w:eastAsia="仿宋"/>
                <w:sz w:val="24"/>
              </w:rPr>
            </w:pPr>
            <w:r>
              <w:rPr>
                <w:rFonts w:hint="eastAsia" w:ascii="宋体" w:hAnsi="宋体" w:eastAsia="仿宋"/>
                <w:sz w:val="24"/>
              </w:rPr>
              <w:t>详见第六章响应文件格式五</w:t>
            </w:r>
          </w:p>
        </w:tc>
      </w:tr>
      <w:tr w14:paraId="06FA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Merge w:val="continue"/>
            <w:vAlign w:val="center"/>
          </w:tcPr>
          <w:p w14:paraId="4448EEC8">
            <w:pPr>
              <w:adjustRightInd w:val="0"/>
              <w:snapToGrid w:val="0"/>
              <w:ind w:right="-10"/>
              <w:jc w:val="center"/>
              <w:rPr>
                <w:rFonts w:ascii="宋体" w:hAnsi="宋体"/>
                <w:sz w:val="24"/>
              </w:rPr>
            </w:pPr>
          </w:p>
        </w:tc>
        <w:tc>
          <w:tcPr>
            <w:tcW w:w="995" w:type="pct"/>
            <w:vMerge w:val="restart"/>
            <w:tcBorders>
              <w:bottom w:val="single" w:color="auto" w:sz="4" w:space="0"/>
            </w:tcBorders>
            <w:vAlign w:val="center"/>
          </w:tcPr>
          <w:p w14:paraId="4C45810A">
            <w:pPr>
              <w:spacing w:after="50"/>
              <w:ind w:right="-10"/>
              <w:jc w:val="center"/>
              <w:rPr>
                <w:rFonts w:ascii="宋体" w:hAnsi="宋体" w:eastAsia="仿宋"/>
                <w:sz w:val="24"/>
              </w:rPr>
            </w:pPr>
            <w:r>
              <w:rPr>
                <w:rFonts w:hint="eastAsia" w:ascii="宋体" w:hAnsi="宋体" w:eastAsia="仿宋"/>
                <w:sz w:val="24"/>
              </w:rPr>
              <w:t>中小企业承揽份额（本项目不适用）</w:t>
            </w:r>
          </w:p>
        </w:tc>
        <w:tc>
          <w:tcPr>
            <w:tcW w:w="2231" w:type="pct"/>
            <w:tcBorders>
              <w:bottom w:val="single" w:color="auto" w:sz="4" w:space="0"/>
            </w:tcBorders>
            <w:vAlign w:val="center"/>
          </w:tcPr>
          <w:p w14:paraId="779B567E">
            <w:pPr>
              <w:jc w:val="left"/>
              <w:rPr>
                <w:rFonts w:ascii="宋体" w:hAnsi="宋体" w:eastAsia="仿宋"/>
                <w:sz w:val="24"/>
              </w:rPr>
            </w:pPr>
            <w:r>
              <w:rPr>
                <w:rFonts w:hint="eastAsia" w:ascii="宋体" w:hAnsi="宋体" w:eastAsia="仿宋"/>
                <w:sz w:val="24"/>
              </w:rPr>
              <w:t>如本项目（包）允许通过组成联合体预留部分采购份额面向中小企业采购、且供应商因落实政府采购政策拟组成联合体的，必须提供。</w:t>
            </w:r>
          </w:p>
          <w:p w14:paraId="0DF01D84">
            <w:pPr>
              <w:jc w:val="left"/>
              <w:rPr>
                <w:rFonts w:ascii="宋体" w:hAnsi="宋体" w:eastAsia="仿宋"/>
                <w:sz w:val="24"/>
              </w:rPr>
            </w:pPr>
            <w:r>
              <w:rPr>
                <w:rFonts w:hint="eastAsia" w:ascii="宋体" w:hAnsi="宋体" w:eastAsia="仿宋"/>
                <w:sz w:val="24"/>
              </w:rPr>
              <w:t>中小企业承揽份额须满足采购文件要求。</w:t>
            </w:r>
          </w:p>
        </w:tc>
        <w:tc>
          <w:tcPr>
            <w:tcW w:w="2500" w:type="dxa"/>
            <w:tcBorders>
              <w:bottom w:val="single" w:color="auto" w:sz="4" w:space="0"/>
            </w:tcBorders>
            <w:vAlign w:val="center"/>
          </w:tcPr>
          <w:p w14:paraId="204F775F">
            <w:pPr>
              <w:spacing w:after="50"/>
              <w:ind w:right="-10"/>
              <w:jc w:val="left"/>
              <w:rPr>
                <w:rFonts w:ascii="宋体" w:hAnsi="宋体" w:eastAsia="仿宋"/>
                <w:sz w:val="24"/>
              </w:rPr>
            </w:pPr>
            <w:r>
              <w:rPr>
                <w:rFonts w:hint="eastAsia" w:ascii="宋体" w:hAnsi="宋体" w:eastAsia="仿宋"/>
                <w:sz w:val="24"/>
              </w:rPr>
              <w:t>详见第六章响应文件格式七</w:t>
            </w:r>
          </w:p>
        </w:tc>
      </w:tr>
      <w:tr w14:paraId="310E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vMerge w:val="continue"/>
            <w:vAlign w:val="center"/>
          </w:tcPr>
          <w:p w14:paraId="1AB805E7">
            <w:pPr>
              <w:adjustRightInd w:val="0"/>
              <w:snapToGrid w:val="0"/>
              <w:ind w:right="-10"/>
              <w:jc w:val="center"/>
              <w:rPr>
                <w:rFonts w:ascii="宋体" w:hAnsi="宋体"/>
                <w:sz w:val="24"/>
              </w:rPr>
            </w:pPr>
          </w:p>
        </w:tc>
        <w:tc>
          <w:tcPr>
            <w:tcW w:w="995" w:type="pct"/>
            <w:vMerge w:val="continue"/>
            <w:tcBorders>
              <w:bottom w:val="single" w:color="auto" w:sz="4" w:space="0"/>
            </w:tcBorders>
            <w:vAlign w:val="center"/>
          </w:tcPr>
          <w:p w14:paraId="7E673808">
            <w:pPr>
              <w:spacing w:after="50"/>
              <w:ind w:right="-10"/>
              <w:jc w:val="center"/>
              <w:rPr>
                <w:rFonts w:ascii="宋体" w:hAnsi="宋体" w:eastAsia="仿宋"/>
                <w:sz w:val="24"/>
              </w:rPr>
            </w:pPr>
          </w:p>
        </w:tc>
        <w:tc>
          <w:tcPr>
            <w:tcW w:w="2231" w:type="pct"/>
            <w:tcBorders>
              <w:bottom w:val="single" w:color="auto" w:sz="4" w:space="0"/>
            </w:tcBorders>
            <w:vAlign w:val="center"/>
          </w:tcPr>
          <w:p w14:paraId="79C74F88">
            <w:pPr>
              <w:jc w:val="center"/>
              <w:rPr>
                <w:rFonts w:ascii="宋体" w:hAnsi="宋体" w:eastAsia="仿宋"/>
                <w:sz w:val="24"/>
              </w:rPr>
            </w:pPr>
            <w:r>
              <w:rPr>
                <w:rFonts w:hint="eastAsia" w:ascii="宋体" w:hAnsi="宋体" w:eastAsia="仿宋"/>
                <w:sz w:val="24"/>
              </w:rPr>
              <w:t>如本项目（包）允许通过分包措施预留部分采购份额面向中小企业采购、且供应商因落实政府采购政策拟进行分包的，必须提供。</w:t>
            </w:r>
          </w:p>
          <w:p w14:paraId="6F9C4A86">
            <w:pPr>
              <w:jc w:val="left"/>
              <w:rPr>
                <w:rFonts w:ascii="宋体" w:hAnsi="宋体" w:eastAsia="仿宋"/>
                <w:sz w:val="24"/>
              </w:rPr>
            </w:pPr>
            <w:r>
              <w:rPr>
                <w:rFonts w:hint="eastAsia" w:ascii="宋体" w:hAnsi="宋体" w:eastAsia="仿宋"/>
                <w:sz w:val="24"/>
              </w:rPr>
              <w:t>中小企业承揽份额须满足采购文件要求。</w:t>
            </w:r>
          </w:p>
        </w:tc>
        <w:tc>
          <w:tcPr>
            <w:tcW w:w="2500" w:type="dxa"/>
            <w:tcBorders>
              <w:bottom w:val="single" w:color="auto" w:sz="4" w:space="0"/>
            </w:tcBorders>
            <w:vAlign w:val="center"/>
          </w:tcPr>
          <w:p w14:paraId="374C99E7">
            <w:pPr>
              <w:spacing w:after="50"/>
              <w:ind w:right="-10"/>
              <w:jc w:val="left"/>
              <w:rPr>
                <w:rFonts w:ascii="宋体" w:hAnsi="宋体" w:eastAsia="仿宋"/>
                <w:sz w:val="24"/>
              </w:rPr>
            </w:pPr>
            <w:r>
              <w:rPr>
                <w:rFonts w:hint="eastAsia" w:ascii="宋体" w:hAnsi="宋体" w:eastAsia="仿宋"/>
                <w:sz w:val="24"/>
              </w:rPr>
              <w:t>详见第六章响应文件格式八</w:t>
            </w:r>
          </w:p>
        </w:tc>
      </w:tr>
      <w:tr w14:paraId="3490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10" w:type="pct"/>
            <w:vMerge w:val="continue"/>
            <w:vAlign w:val="center"/>
          </w:tcPr>
          <w:p w14:paraId="03B28FA4">
            <w:pPr>
              <w:adjustRightInd w:val="0"/>
              <w:snapToGrid w:val="0"/>
              <w:ind w:right="-10"/>
              <w:jc w:val="center"/>
              <w:rPr>
                <w:rFonts w:ascii="宋体" w:hAnsi="宋体"/>
                <w:sz w:val="24"/>
              </w:rPr>
            </w:pPr>
          </w:p>
        </w:tc>
        <w:tc>
          <w:tcPr>
            <w:tcW w:w="995" w:type="pct"/>
            <w:vAlign w:val="center"/>
          </w:tcPr>
          <w:p w14:paraId="76880599">
            <w:pPr>
              <w:spacing w:after="50"/>
              <w:ind w:right="-10"/>
              <w:jc w:val="center"/>
              <w:rPr>
                <w:rFonts w:ascii="宋体" w:hAnsi="宋体" w:eastAsia="仿宋"/>
                <w:sz w:val="24"/>
              </w:rPr>
            </w:pPr>
            <w:r>
              <w:rPr>
                <w:rFonts w:hint="eastAsia" w:ascii="宋体" w:hAnsi="宋体" w:eastAsia="仿宋"/>
                <w:sz w:val="24"/>
              </w:rPr>
              <w:t>资质要求</w:t>
            </w:r>
          </w:p>
          <w:p w14:paraId="15942FCB">
            <w:pPr>
              <w:spacing w:after="50"/>
              <w:ind w:right="-10"/>
              <w:jc w:val="center"/>
              <w:rPr>
                <w:rFonts w:ascii="宋体" w:hAnsi="宋体" w:eastAsia="仿宋"/>
                <w:sz w:val="24"/>
              </w:rPr>
            </w:pPr>
            <w:r>
              <w:rPr>
                <w:rFonts w:hint="eastAsia" w:ascii="宋体" w:hAnsi="宋体" w:eastAsia="仿宋"/>
                <w:sz w:val="24"/>
              </w:rPr>
              <w:t>（本项目不适用）</w:t>
            </w:r>
          </w:p>
        </w:tc>
        <w:tc>
          <w:tcPr>
            <w:tcW w:w="2231" w:type="pct"/>
            <w:vAlign w:val="center"/>
          </w:tcPr>
          <w:p w14:paraId="6E3B3BD1">
            <w:pPr>
              <w:spacing w:after="50"/>
              <w:ind w:right="-10"/>
              <w:jc w:val="center"/>
              <w:rPr>
                <w:rFonts w:ascii="宋体" w:hAnsi="宋体" w:eastAsia="仿宋"/>
                <w:sz w:val="24"/>
              </w:rPr>
            </w:pPr>
            <w:r>
              <w:rPr>
                <w:rFonts w:hint="eastAsia" w:ascii="宋体" w:hAnsi="宋体" w:eastAsia="仿宋"/>
                <w:sz w:val="24"/>
              </w:rPr>
              <w:t>符合竞争性磋商公告中资格要求。</w:t>
            </w:r>
          </w:p>
        </w:tc>
        <w:tc>
          <w:tcPr>
            <w:tcW w:w="2500" w:type="dxa"/>
            <w:vAlign w:val="center"/>
          </w:tcPr>
          <w:p w14:paraId="31EDC468">
            <w:pPr>
              <w:spacing w:after="50"/>
              <w:ind w:right="-10"/>
              <w:jc w:val="left"/>
              <w:rPr>
                <w:rFonts w:ascii="宋体" w:hAnsi="宋体" w:eastAsia="仿宋"/>
                <w:sz w:val="24"/>
              </w:rPr>
            </w:pPr>
            <w:r>
              <w:rPr>
                <w:rFonts w:hint="eastAsia" w:ascii="宋体" w:hAnsi="宋体" w:eastAsia="仿宋"/>
                <w:sz w:val="24"/>
              </w:rPr>
              <w:t>提供符合供应商资格中要求的资质证书扫描件或电子证照</w:t>
            </w:r>
          </w:p>
        </w:tc>
      </w:tr>
      <w:tr w14:paraId="5447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10" w:type="pct"/>
            <w:vMerge w:val="continue"/>
            <w:vAlign w:val="center"/>
          </w:tcPr>
          <w:p w14:paraId="53874B43">
            <w:pPr>
              <w:adjustRightInd w:val="0"/>
              <w:snapToGrid w:val="0"/>
              <w:ind w:right="-10"/>
              <w:jc w:val="center"/>
              <w:rPr>
                <w:rFonts w:ascii="宋体" w:hAnsi="宋体"/>
                <w:sz w:val="24"/>
              </w:rPr>
            </w:pPr>
          </w:p>
        </w:tc>
        <w:tc>
          <w:tcPr>
            <w:tcW w:w="995" w:type="pct"/>
            <w:vAlign w:val="center"/>
          </w:tcPr>
          <w:p w14:paraId="4E36E17B">
            <w:pPr>
              <w:pStyle w:val="152"/>
              <w:adjustRightInd w:val="0"/>
              <w:jc w:val="center"/>
              <w:rPr>
                <w:rFonts w:ascii="宋体" w:hAnsi="宋体" w:eastAsia="仿宋"/>
                <w:sz w:val="24"/>
                <w:szCs w:val="24"/>
              </w:rPr>
            </w:pPr>
            <w:r>
              <w:rPr>
                <w:rFonts w:hint="eastAsia" w:ascii="宋体" w:hAnsi="宋体" w:eastAsia="仿宋"/>
                <w:sz w:val="24"/>
                <w:szCs w:val="24"/>
              </w:rPr>
              <w:t>业绩要求</w:t>
            </w:r>
          </w:p>
          <w:p w14:paraId="74EB01DD">
            <w:pPr>
              <w:pStyle w:val="152"/>
              <w:adjustRightInd w:val="0"/>
              <w:jc w:val="center"/>
              <w:rPr>
                <w:rFonts w:ascii="宋体" w:hAnsi="宋体" w:eastAsia="仿宋"/>
                <w:sz w:val="24"/>
                <w:szCs w:val="24"/>
              </w:rPr>
            </w:pPr>
            <w:r>
              <w:rPr>
                <w:rFonts w:hint="eastAsia" w:ascii="宋体" w:hAnsi="宋体" w:eastAsia="仿宋"/>
                <w:sz w:val="24"/>
                <w:szCs w:val="24"/>
              </w:rPr>
              <w:t>（本项目不适用）</w:t>
            </w:r>
          </w:p>
        </w:tc>
        <w:tc>
          <w:tcPr>
            <w:tcW w:w="2231" w:type="pct"/>
            <w:vAlign w:val="center"/>
          </w:tcPr>
          <w:p w14:paraId="0C0EC742">
            <w:pPr>
              <w:pStyle w:val="152"/>
              <w:adjustRightInd w:val="0"/>
              <w:jc w:val="center"/>
              <w:rPr>
                <w:rFonts w:ascii="宋体" w:hAnsi="宋体" w:eastAsia="仿宋"/>
                <w:sz w:val="24"/>
                <w:szCs w:val="28"/>
              </w:rPr>
            </w:pPr>
            <w:r>
              <w:rPr>
                <w:rFonts w:hint="eastAsia" w:ascii="宋体" w:hAnsi="宋体" w:eastAsia="仿宋"/>
                <w:sz w:val="24"/>
                <w:szCs w:val="24"/>
              </w:rPr>
              <w:t>符合竞争性磋商公告中资格要求。</w:t>
            </w:r>
          </w:p>
        </w:tc>
        <w:tc>
          <w:tcPr>
            <w:tcW w:w="2500" w:type="dxa"/>
            <w:vAlign w:val="center"/>
          </w:tcPr>
          <w:p w14:paraId="2AA7627F">
            <w:pPr>
              <w:widowControl/>
              <w:adjustRightInd w:val="0"/>
              <w:jc w:val="left"/>
              <w:rPr>
                <w:rFonts w:ascii="宋体" w:hAnsi="宋体" w:eastAsia="仿宋"/>
                <w:kern w:val="0"/>
                <w:sz w:val="24"/>
              </w:rPr>
            </w:pPr>
            <w:r>
              <w:rPr>
                <w:rFonts w:hint="eastAsia" w:ascii="宋体" w:hAnsi="宋体" w:eastAsia="仿宋"/>
                <w:kern w:val="0"/>
                <w:sz w:val="24"/>
              </w:rPr>
              <w:t>提供合同扫描件</w:t>
            </w:r>
          </w:p>
          <w:p w14:paraId="4CDE78D8">
            <w:pPr>
              <w:widowControl/>
              <w:adjustRightInd w:val="0"/>
              <w:jc w:val="left"/>
              <w:rPr>
                <w:rFonts w:ascii="宋体" w:hAnsi="宋体"/>
                <w:sz w:val="24"/>
              </w:rPr>
            </w:pPr>
            <w:r>
              <w:rPr>
                <w:rFonts w:hint="eastAsia" w:ascii="宋体" w:hAnsi="宋体" w:eastAsia="仿宋"/>
                <w:sz w:val="24"/>
              </w:rPr>
              <w:t>详见第六章响应文件格式九（三）</w:t>
            </w:r>
          </w:p>
        </w:tc>
      </w:tr>
    </w:tbl>
    <w:p w14:paraId="5E0433A0">
      <w:pPr>
        <w:pStyle w:val="153"/>
        <w:adjustRightInd w:val="0"/>
        <w:snapToGrid w:val="0"/>
        <w:spacing w:before="0" w:line="360" w:lineRule="auto"/>
        <w:ind w:firstLine="482" w:firstLineChars="200"/>
        <w:rPr>
          <w:rFonts w:ascii="宋体" w:hAnsi="宋体" w:eastAsia="仿宋"/>
          <w:b/>
          <w:sz w:val="24"/>
          <w:szCs w:val="24"/>
        </w:rPr>
      </w:pPr>
    </w:p>
    <w:p w14:paraId="4F0E6893">
      <w:pPr>
        <w:pStyle w:val="153"/>
        <w:adjustRightInd w:val="0"/>
        <w:snapToGrid w:val="0"/>
        <w:spacing w:before="0" w:line="360" w:lineRule="auto"/>
        <w:ind w:firstLine="482" w:firstLineChars="200"/>
        <w:jc w:val="center"/>
        <w:rPr>
          <w:rFonts w:ascii="宋体" w:hAnsi="宋体" w:eastAsia="仿宋"/>
          <w:b/>
          <w:sz w:val="24"/>
          <w:szCs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2F3117F">
      <w:pPr>
        <w:pStyle w:val="153"/>
        <w:adjustRightInd w:val="0"/>
        <w:snapToGrid w:val="0"/>
        <w:spacing w:before="0" w:line="360" w:lineRule="auto"/>
        <w:ind w:firstLine="482" w:firstLineChars="200"/>
        <w:rPr>
          <w:rFonts w:ascii="楷体_GB2312" w:hAnsi="宋体" w:eastAsia="仿宋"/>
          <w:b/>
          <w:i/>
          <w:color w:val="0000FF"/>
          <w:sz w:val="24"/>
          <w:szCs w:val="24"/>
        </w:rPr>
      </w:pPr>
      <w:bookmarkStart w:id="695" w:name="_Toc417623587"/>
      <w:bookmarkStart w:id="696" w:name="_Toc324404867"/>
      <w:r>
        <w:rPr>
          <w:rFonts w:hint="eastAsia" w:ascii="Calibri" w:hAnsi="Calibri" w:eastAsia="仿宋"/>
          <w:b/>
          <w:kern w:val="2"/>
          <w:sz w:val="24"/>
          <w:szCs w:val="24"/>
        </w:rPr>
        <w:t xml:space="preserve">2. </w:t>
      </w:r>
      <w:r>
        <w:rPr>
          <w:rFonts w:hint="eastAsia" w:ascii="宋体" w:hAnsi="宋体" w:eastAsia="仿宋"/>
          <w:b/>
          <w:bCs/>
          <w:sz w:val="24"/>
        </w:rPr>
        <w:t>符合性审查标准</w:t>
      </w:r>
    </w:p>
    <w:tbl>
      <w:tblPr>
        <w:tblStyle w:val="47"/>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5EFD3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Align w:val="center"/>
          </w:tcPr>
          <w:p w14:paraId="36C99AFB">
            <w:pPr>
              <w:widowControl/>
              <w:jc w:val="center"/>
              <w:rPr>
                <w:rFonts w:ascii="宋体" w:hAnsi="宋体"/>
                <w:b/>
                <w:kern w:val="0"/>
                <w:sz w:val="24"/>
              </w:rPr>
            </w:pPr>
            <w:r>
              <w:rPr>
                <w:rFonts w:hint="eastAsia" w:ascii="宋体" w:hAnsi="宋体" w:eastAsia="仿宋"/>
                <w:b/>
                <w:kern w:val="0"/>
                <w:sz w:val="24"/>
              </w:rPr>
              <w:t>条款号</w:t>
            </w:r>
          </w:p>
        </w:tc>
        <w:tc>
          <w:tcPr>
            <w:tcW w:w="1843" w:type="dxa"/>
            <w:vAlign w:val="center"/>
          </w:tcPr>
          <w:p w14:paraId="0F7B8044">
            <w:pPr>
              <w:widowControl/>
              <w:jc w:val="center"/>
              <w:rPr>
                <w:rFonts w:ascii="宋体" w:hAnsi="宋体"/>
                <w:b/>
                <w:kern w:val="0"/>
                <w:sz w:val="24"/>
              </w:rPr>
            </w:pPr>
            <w:r>
              <w:rPr>
                <w:rFonts w:hint="eastAsia" w:ascii="宋体" w:hAnsi="宋体" w:eastAsia="仿宋"/>
                <w:b/>
                <w:kern w:val="0"/>
                <w:sz w:val="24"/>
              </w:rPr>
              <w:t>审查因素</w:t>
            </w:r>
          </w:p>
        </w:tc>
        <w:tc>
          <w:tcPr>
            <w:tcW w:w="6533" w:type="dxa"/>
            <w:vAlign w:val="center"/>
          </w:tcPr>
          <w:p w14:paraId="056AE900">
            <w:pPr>
              <w:widowControl/>
              <w:jc w:val="center"/>
              <w:rPr>
                <w:rFonts w:ascii="宋体" w:hAnsi="宋体"/>
                <w:b/>
                <w:kern w:val="0"/>
                <w:sz w:val="24"/>
              </w:rPr>
            </w:pPr>
            <w:r>
              <w:rPr>
                <w:rFonts w:hint="eastAsia" w:ascii="宋体" w:hAnsi="宋体" w:eastAsia="仿宋"/>
                <w:b/>
                <w:kern w:val="0"/>
                <w:sz w:val="24"/>
              </w:rPr>
              <w:t>审查标准</w:t>
            </w:r>
          </w:p>
        </w:tc>
      </w:tr>
      <w:tr w14:paraId="6C5D3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vAlign w:val="center"/>
          </w:tcPr>
          <w:p w14:paraId="211BD631">
            <w:pPr>
              <w:widowControl/>
              <w:jc w:val="center"/>
              <w:rPr>
                <w:rFonts w:ascii="宋体" w:hAnsi="宋体" w:eastAsia="仿宋"/>
                <w:kern w:val="0"/>
                <w:sz w:val="24"/>
              </w:rPr>
            </w:pPr>
            <w:r>
              <w:rPr>
                <w:rFonts w:hint="eastAsia" w:ascii="宋体" w:hAnsi="宋体" w:eastAsia="仿宋"/>
                <w:kern w:val="0"/>
                <w:sz w:val="24"/>
              </w:rPr>
              <w:t>3.2.1</w:t>
            </w:r>
          </w:p>
        </w:tc>
        <w:tc>
          <w:tcPr>
            <w:tcW w:w="1843" w:type="dxa"/>
            <w:vAlign w:val="center"/>
          </w:tcPr>
          <w:p w14:paraId="7C5A7F0A">
            <w:pPr>
              <w:widowControl/>
              <w:jc w:val="left"/>
              <w:rPr>
                <w:rFonts w:ascii="宋体" w:hAnsi="宋体"/>
                <w:kern w:val="0"/>
                <w:sz w:val="24"/>
              </w:rPr>
            </w:pPr>
            <w:r>
              <w:rPr>
                <w:rFonts w:hint="eastAsia" w:ascii="宋体" w:hAnsi="宋体" w:eastAsia="仿宋"/>
                <w:kern w:val="0"/>
                <w:sz w:val="24"/>
              </w:rPr>
              <w:t>供应商名称</w:t>
            </w:r>
          </w:p>
        </w:tc>
        <w:tc>
          <w:tcPr>
            <w:tcW w:w="6533" w:type="dxa"/>
            <w:vAlign w:val="center"/>
          </w:tcPr>
          <w:p w14:paraId="2CBAB4D4">
            <w:pPr>
              <w:widowControl/>
              <w:jc w:val="left"/>
              <w:rPr>
                <w:rFonts w:ascii="宋体" w:hAnsi="宋体"/>
                <w:kern w:val="0"/>
                <w:sz w:val="24"/>
              </w:rPr>
            </w:pPr>
            <w:r>
              <w:rPr>
                <w:rFonts w:hint="eastAsia" w:ascii="宋体" w:hAnsi="宋体" w:eastAsia="仿宋"/>
                <w:kern w:val="0"/>
                <w:sz w:val="24"/>
              </w:rPr>
              <w:t>与营业执照（或事业单位法人证书等证明材料）一致</w:t>
            </w:r>
          </w:p>
        </w:tc>
      </w:tr>
      <w:tr w14:paraId="08473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4EEED52D">
            <w:pPr>
              <w:widowControl/>
              <w:jc w:val="center"/>
              <w:rPr>
                <w:rFonts w:ascii="宋体" w:hAnsi="宋体"/>
                <w:kern w:val="0"/>
                <w:sz w:val="24"/>
              </w:rPr>
            </w:pPr>
          </w:p>
        </w:tc>
        <w:tc>
          <w:tcPr>
            <w:tcW w:w="1843" w:type="dxa"/>
            <w:vAlign w:val="center"/>
          </w:tcPr>
          <w:p w14:paraId="0863B482">
            <w:pPr>
              <w:widowControl/>
              <w:jc w:val="left"/>
              <w:rPr>
                <w:rFonts w:ascii="宋体" w:hAnsi="宋体"/>
                <w:kern w:val="0"/>
                <w:sz w:val="24"/>
              </w:rPr>
            </w:pPr>
            <w:r>
              <w:rPr>
                <w:rFonts w:hint="eastAsia" w:ascii="Calibri" w:hAnsi="Calibri" w:eastAsia="仿宋"/>
                <w:kern w:val="0"/>
                <w:sz w:val="24"/>
              </w:rPr>
              <w:t>响应</w:t>
            </w:r>
            <w:r>
              <w:rPr>
                <w:rFonts w:hint="eastAsia" w:ascii="宋体" w:hAnsi="宋体" w:eastAsia="仿宋"/>
                <w:kern w:val="0"/>
                <w:sz w:val="24"/>
              </w:rPr>
              <w:t>文件签署</w:t>
            </w:r>
          </w:p>
        </w:tc>
        <w:tc>
          <w:tcPr>
            <w:tcW w:w="6533" w:type="dxa"/>
            <w:vAlign w:val="center"/>
          </w:tcPr>
          <w:p w14:paraId="525D1595">
            <w:pPr>
              <w:widowControl/>
              <w:jc w:val="left"/>
              <w:rPr>
                <w:rFonts w:ascii="宋体" w:hAnsi="宋体"/>
                <w:kern w:val="0"/>
                <w:sz w:val="24"/>
              </w:rPr>
            </w:pPr>
            <w:r>
              <w:rPr>
                <w:rFonts w:hint="eastAsia" w:ascii="Calibri" w:hAnsi="Calibri" w:eastAsia="仿宋"/>
                <w:kern w:val="0"/>
                <w:sz w:val="24"/>
              </w:rPr>
              <w:t>响应</w:t>
            </w:r>
            <w:r>
              <w:rPr>
                <w:rFonts w:hint="eastAsia" w:ascii="宋体" w:hAnsi="宋体" w:eastAsia="仿宋"/>
                <w:kern w:val="0"/>
                <w:sz w:val="24"/>
              </w:rPr>
              <w:t>文件签字盖章符合</w:t>
            </w:r>
            <w:r>
              <w:rPr>
                <w:rFonts w:hint="eastAsia" w:ascii="Calibri" w:hAnsi="Calibri" w:eastAsia="仿宋"/>
                <w:kern w:val="0"/>
                <w:sz w:val="24"/>
              </w:rPr>
              <w:t>竞争性磋商</w:t>
            </w:r>
            <w:r>
              <w:rPr>
                <w:rFonts w:hint="eastAsia" w:ascii="宋体" w:hAnsi="宋体" w:eastAsia="仿宋"/>
                <w:kern w:val="0"/>
                <w:sz w:val="24"/>
              </w:rPr>
              <w:t>文件规定</w:t>
            </w:r>
          </w:p>
        </w:tc>
      </w:tr>
      <w:tr w14:paraId="02802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10E86A2C">
            <w:pPr>
              <w:widowControl/>
              <w:jc w:val="center"/>
              <w:rPr>
                <w:rFonts w:ascii="宋体" w:hAnsi="宋体"/>
                <w:kern w:val="0"/>
                <w:sz w:val="24"/>
              </w:rPr>
            </w:pPr>
          </w:p>
        </w:tc>
        <w:tc>
          <w:tcPr>
            <w:tcW w:w="1843" w:type="dxa"/>
            <w:vAlign w:val="center"/>
          </w:tcPr>
          <w:p w14:paraId="3F604A22">
            <w:pPr>
              <w:spacing w:line="240" w:lineRule="exact"/>
              <w:rPr>
                <w:rFonts w:ascii="宋体" w:hAnsi="宋体"/>
                <w:sz w:val="24"/>
              </w:rPr>
            </w:pPr>
            <w:r>
              <w:rPr>
                <w:rFonts w:hint="eastAsia" w:ascii="宋体" w:hAnsi="宋体" w:eastAsia="仿宋"/>
                <w:sz w:val="24"/>
              </w:rPr>
              <w:t>法定代表人（单位负责人）身份证明及授权委托书</w:t>
            </w:r>
          </w:p>
        </w:tc>
        <w:tc>
          <w:tcPr>
            <w:tcW w:w="6533" w:type="dxa"/>
            <w:vAlign w:val="center"/>
          </w:tcPr>
          <w:p w14:paraId="490B46AF">
            <w:pPr>
              <w:spacing w:line="240" w:lineRule="exact"/>
              <w:rPr>
                <w:rFonts w:ascii="宋体" w:hAnsi="宋体"/>
                <w:sz w:val="24"/>
              </w:rPr>
            </w:pPr>
            <w:r>
              <w:rPr>
                <w:rFonts w:hint="eastAsia" w:ascii="宋体" w:hAnsi="宋体" w:eastAsia="仿宋"/>
                <w:sz w:val="24"/>
              </w:rPr>
              <w:t>法定代表人（单位负责人）身份证明及授权委托书符合采购文件规定的格式，按规定格式签字盖章</w:t>
            </w:r>
          </w:p>
        </w:tc>
      </w:tr>
      <w:tr w14:paraId="56F59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45480C36">
            <w:pPr>
              <w:widowControl/>
              <w:jc w:val="center"/>
              <w:rPr>
                <w:rFonts w:ascii="宋体" w:hAnsi="宋体"/>
                <w:kern w:val="0"/>
                <w:sz w:val="24"/>
              </w:rPr>
            </w:pPr>
          </w:p>
        </w:tc>
        <w:tc>
          <w:tcPr>
            <w:tcW w:w="1843" w:type="dxa"/>
            <w:vAlign w:val="center"/>
          </w:tcPr>
          <w:p w14:paraId="7B7D0EC3">
            <w:pPr>
              <w:widowControl/>
              <w:jc w:val="left"/>
              <w:rPr>
                <w:rFonts w:ascii="宋体" w:hAnsi="宋体"/>
                <w:kern w:val="0"/>
                <w:sz w:val="24"/>
              </w:rPr>
            </w:pPr>
            <w:r>
              <w:rPr>
                <w:rFonts w:hint="eastAsia" w:ascii="Calibri" w:hAnsi="Calibri" w:eastAsia="仿宋"/>
                <w:kern w:val="0"/>
                <w:sz w:val="24"/>
              </w:rPr>
              <w:t>响应</w:t>
            </w:r>
            <w:r>
              <w:rPr>
                <w:rFonts w:hint="eastAsia" w:ascii="宋体" w:hAnsi="宋体" w:eastAsia="仿宋"/>
                <w:kern w:val="0"/>
                <w:sz w:val="24"/>
              </w:rPr>
              <w:t>文件格式</w:t>
            </w:r>
          </w:p>
        </w:tc>
        <w:tc>
          <w:tcPr>
            <w:tcW w:w="6533" w:type="dxa"/>
            <w:vAlign w:val="center"/>
          </w:tcPr>
          <w:p w14:paraId="76DE6D73">
            <w:pPr>
              <w:widowControl/>
              <w:jc w:val="left"/>
              <w:rPr>
                <w:rFonts w:ascii="宋体" w:hAnsi="宋体"/>
                <w:kern w:val="0"/>
                <w:sz w:val="24"/>
              </w:rPr>
            </w:pPr>
            <w:r>
              <w:rPr>
                <w:rFonts w:hint="eastAsia" w:ascii="宋体" w:hAnsi="宋体" w:eastAsia="仿宋"/>
                <w:kern w:val="0"/>
                <w:sz w:val="24"/>
              </w:rPr>
              <w:t>符合</w:t>
            </w:r>
            <w:r>
              <w:rPr>
                <w:rFonts w:hint="eastAsia" w:ascii="Calibri" w:hAnsi="Calibri" w:eastAsia="仿宋"/>
                <w:kern w:val="0"/>
                <w:sz w:val="24"/>
              </w:rPr>
              <w:t>竞争性磋商</w:t>
            </w:r>
            <w:r>
              <w:rPr>
                <w:rFonts w:hint="eastAsia" w:ascii="宋体" w:hAnsi="宋体" w:eastAsia="仿宋"/>
                <w:kern w:val="0"/>
                <w:sz w:val="24"/>
              </w:rPr>
              <w:t>文件给定格式要求，实质性内容齐全，关键内容、字迹清晰可辨</w:t>
            </w:r>
          </w:p>
        </w:tc>
      </w:tr>
      <w:tr w14:paraId="61273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7D73DC0F">
            <w:pPr>
              <w:widowControl/>
              <w:jc w:val="center"/>
              <w:rPr>
                <w:rFonts w:ascii="宋体" w:hAnsi="宋体"/>
                <w:kern w:val="0"/>
                <w:sz w:val="24"/>
              </w:rPr>
            </w:pPr>
          </w:p>
        </w:tc>
        <w:tc>
          <w:tcPr>
            <w:tcW w:w="1843" w:type="dxa"/>
            <w:vAlign w:val="center"/>
          </w:tcPr>
          <w:p w14:paraId="69185DD7">
            <w:pPr>
              <w:widowControl/>
              <w:jc w:val="left"/>
              <w:rPr>
                <w:rFonts w:ascii="宋体" w:hAnsi="宋体" w:eastAsia="仿宋"/>
                <w:kern w:val="0"/>
                <w:sz w:val="24"/>
              </w:rPr>
            </w:pPr>
            <w:r>
              <w:rPr>
                <w:rFonts w:hint="eastAsia" w:ascii="宋体" w:hAnsi="宋体" w:eastAsia="仿宋"/>
                <w:kern w:val="0"/>
                <w:sz w:val="24"/>
              </w:rPr>
              <w:t>联合体</w:t>
            </w:r>
            <w:r>
              <w:rPr>
                <w:rFonts w:hint="eastAsia" w:ascii="Calibri" w:hAnsi="Calibri" w:eastAsia="仿宋"/>
                <w:kern w:val="0"/>
                <w:sz w:val="24"/>
              </w:rPr>
              <w:t>响应</w:t>
            </w:r>
          </w:p>
          <w:p w14:paraId="07346173">
            <w:pPr>
              <w:widowControl/>
              <w:jc w:val="left"/>
              <w:rPr>
                <w:rFonts w:ascii="宋体" w:hAnsi="宋体"/>
                <w:kern w:val="0"/>
                <w:sz w:val="24"/>
              </w:rPr>
            </w:pPr>
            <w:r>
              <w:rPr>
                <w:rFonts w:hint="eastAsia" w:ascii="宋体" w:hAnsi="宋体" w:eastAsia="仿宋"/>
                <w:kern w:val="0"/>
                <w:sz w:val="24"/>
              </w:rPr>
              <w:t>（本项目不适用）</w:t>
            </w:r>
          </w:p>
        </w:tc>
        <w:tc>
          <w:tcPr>
            <w:tcW w:w="6533" w:type="dxa"/>
            <w:vAlign w:val="center"/>
          </w:tcPr>
          <w:p w14:paraId="5FC0D4DA">
            <w:pPr>
              <w:widowControl/>
              <w:jc w:val="left"/>
              <w:rPr>
                <w:rFonts w:ascii="宋体" w:hAnsi="宋体"/>
                <w:kern w:val="0"/>
                <w:sz w:val="24"/>
              </w:rPr>
            </w:pPr>
            <w:r>
              <w:rPr>
                <w:rFonts w:hint="eastAsia" w:ascii="宋体" w:hAnsi="宋体" w:eastAsia="仿宋"/>
                <w:kern w:val="0"/>
                <w:sz w:val="24"/>
              </w:rPr>
              <w:t>提供联合体协议书，并明确联合体牵头人</w:t>
            </w:r>
          </w:p>
        </w:tc>
      </w:tr>
      <w:tr w14:paraId="4C343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37E44B80">
            <w:pPr>
              <w:widowControl/>
              <w:jc w:val="center"/>
              <w:rPr>
                <w:rFonts w:ascii="宋体" w:hAnsi="宋体"/>
                <w:kern w:val="0"/>
                <w:sz w:val="24"/>
              </w:rPr>
            </w:pPr>
          </w:p>
        </w:tc>
        <w:tc>
          <w:tcPr>
            <w:tcW w:w="1843" w:type="dxa"/>
            <w:vAlign w:val="center"/>
          </w:tcPr>
          <w:p w14:paraId="7C3BF5A0">
            <w:pPr>
              <w:widowControl/>
              <w:rPr>
                <w:rFonts w:ascii="宋体" w:hAnsi="宋体"/>
                <w:kern w:val="0"/>
                <w:sz w:val="24"/>
              </w:rPr>
            </w:pPr>
            <w:r>
              <w:rPr>
                <w:rFonts w:hint="eastAsia" w:ascii="Calibri" w:hAnsi="Calibri" w:eastAsia="仿宋"/>
                <w:kern w:val="0"/>
                <w:sz w:val="24"/>
              </w:rPr>
              <w:t>响应</w:t>
            </w:r>
            <w:r>
              <w:rPr>
                <w:rFonts w:hint="eastAsia" w:ascii="宋体" w:hAnsi="宋体" w:eastAsia="仿宋"/>
                <w:kern w:val="0"/>
                <w:sz w:val="24"/>
              </w:rPr>
              <w:t>范围</w:t>
            </w:r>
          </w:p>
        </w:tc>
        <w:tc>
          <w:tcPr>
            <w:tcW w:w="6533" w:type="dxa"/>
            <w:vAlign w:val="center"/>
          </w:tcPr>
          <w:p w14:paraId="20ED1922">
            <w:pPr>
              <w:widowControl/>
              <w:jc w:val="left"/>
              <w:rPr>
                <w:rFonts w:ascii="宋体" w:hAnsi="宋体"/>
                <w:kern w:val="0"/>
                <w:sz w:val="24"/>
              </w:rPr>
            </w:pPr>
            <w:r>
              <w:rPr>
                <w:rFonts w:hint="eastAsia" w:ascii="宋体" w:hAnsi="宋体" w:eastAsia="仿宋"/>
                <w:kern w:val="0"/>
                <w:sz w:val="24"/>
              </w:rPr>
              <w:t>除可能实质性变动的条款外，符合</w:t>
            </w:r>
            <w:r>
              <w:rPr>
                <w:rFonts w:hint="eastAsia" w:ascii="Calibri" w:hAnsi="Calibri" w:eastAsia="仿宋"/>
                <w:kern w:val="0"/>
                <w:sz w:val="24"/>
              </w:rPr>
              <w:t>竞争性磋商</w:t>
            </w:r>
            <w:r>
              <w:rPr>
                <w:rFonts w:hint="eastAsia" w:ascii="宋体" w:hAnsi="宋体" w:eastAsia="仿宋"/>
                <w:kern w:val="0"/>
                <w:sz w:val="24"/>
              </w:rPr>
              <w:t>文件要求</w:t>
            </w:r>
          </w:p>
        </w:tc>
      </w:tr>
      <w:tr w14:paraId="626F9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520D4511">
            <w:pPr>
              <w:widowControl/>
              <w:jc w:val="center"/>
              <w:rPr>
                <w:rFonts w:ascii="宋体" w:hAnsi="宋体"/>
                <w:kern w:val="0"/>
                <w:sz w:val="24"/>
              </w:rPr>
            </w:pPr>
          </w:p>
        </w:tc>
        <w:tc>
          <w:tcPr>
            <w:tcW w:w="1843" w:type="dxa"/>
            <w:vAlign w:val="center"/>
          </w:tcPr>
          <w:p w14:paraId="080A615F">
            <w:pPr>
              <w:widowControl/>
              <w:rPr>
                <w:rFonts w:ascii="宋体" w:hAnsi="宋体"/>
                <w:kern w:val="0"/>
                <w:sz w:val="24"/>
              </w:rPr>
            </w:pPr>
            <w:r>
              <w:rPr>
                <w:rFonts w:hint="eastAsia" w:ascii="Calibri" w:hAnsi="Calibri" w:eastAsia="仿宋"/>
                <w:kern w:val="0"/>
                <w:sz w:val="24"/>
              </w:rPr>
              <w:t>响应</w:t>
            </w:r>
            <w:r>
              <w:rPr>
                <w:rFonts w:hint="eastAsia" w:ascii="宋体" w:hAnsi="宋体" w:eastAsia="仿宋"/>
                <w:kern w:val="0"/>
                <w:sz w:val="24"/>
              </w:rPr>
              <w:t>报价</w:t>
            </w:r>
          </w:p>
        </w:tc>
        <w:tc>
          <w:tcPr>
            <w:tcW w:w="6533" w:type="dxa"/>
          </w:tcPr>
          <w:p w14:paraId="303735C6">
            <w:pPr>
              <w:widowControl/>
              <w:jc w:val="left"/>
              <w:rPr>
                <w:rFonts w:ascii="宋体" w:hAnsi="宋体"/>
                <w:kern w:val="0"/>
                <w:sz w:val="24"/>
              </w:rPr>
            </w:pPr>
            <w:r>
              <w:rPr>
                <w:rFonts w:hint="eastAsia" w:ascii="Calibri" w:hAnsi="Calibri" w:eastAsia="仿宋"/>
                <w:kern w:val="0"/>
                <w:sz w:val="24"/>
              </w:rPr>
              <w:t>响应</w:t>
            </w:r>
            <w:r>
              <w:rPr>
                <w:rFonts w:hint="eastAsia" w:ascii="宋体" w:hAnsi="宋体" w:eastAsia="仿宋" w:cs="仿宋_GB2312"/>
                <w:sz w:val="24"/>
                <w:lang w:val="zh-CN"/>
              </w:rPr>
              <w:t>报价不得超过</w:t>
            </w:r>
            <w:r>
              <w:rPr>
                <w:rFonts w:hint="eastAsia" w:ascii="宋体" w:hAnsi="宋体" w:eastAsia="仿宋" w:cs="仿宋_GB2312"/>
                <w:sz w:val="24"/>
              </w:rPr>
              <w:t>预算金额或</w:t>
            </w:r>
            <w:r>
              <w:rPr>
                <w:rFonts w:hint="eastAsia" w:ascii="宋体" w:hAnsi="宋体" w:eastAsia="仿宋" w:cs="仿宋_GB2312"/>
                <w:sz w:val="24"/>
                <w:lang w:val="zh-CN"/>
              </w:rPr>
              <w:t>最高限价，</w:t>
            </w:r>
            <w:r>
              <w:rPr>
                <w:rFonts w:hint="eastAsia" w:ascii="宋体" w:hAnsi="宋体" w:eastAsia="仿宋"/>
                <w:sz w:val="24"/>
              </w:rPr>
              <w:t>只能有一个有效报价，不得提交选择性报价，</w:t>
            </w:r>
            <w:r>
              <w:rPr>
                <w:rFonts w:hint="eastAsia" w:ascii="宋体" w:hAnsi="宋体" w:eastAsia="仿宋"/>
                <w:sz w:val="24"/>
                <w:lang w:bidi="ar"/>
              </w:rPr>
              <w:t>符合第二章供应商须知第3.2款要求</w:t>
            </w:r>
          </w:p>
        </w:tc>
      </w:tr>
      <w:tr w14:paraId="15C2B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02F3FFF1">
            <w:pPr>
              <w:widowControl/>
              <w:jc w:val="center"/>
              <w:rPr>
                <w:rFonts w:ascii="宋体" w:hAnsi="宋体"/>
                <w:kern w:val="0"/>
                <w:sz w:val="24"/>
              </w:rPr>
            </w:pPr>
          </w:p>
        </w:tc>
        <w:tc>
          <w:tcPr>
            <w:tcW w:w="1843" w:type="dxa"/>
            <w:vAlign w:val="center"/>
          </w:tcPr>
          <w:p w14:paraId="63E1E699">
            <w:pPr>
              <w:pStyle w:val="152"/>
              <w:rPr>
                <w:rFonts w:ascii="宋体" w:hAnsi="宋体" w:eastAsia="仿宋"/>
                <w:sz w:val="24"/>
                <w:szCs w:val="24"/>
              </w:rPr>
            </w:pPr>
            <w:r>
              <w:rPr>
                <w:rFonts w:hint="eastAsia" w:ascii="宋体" w:hAnsi="宋体" w:eastAsia="仿宋"/>
                <w:sz w:val="24"/>
                <w:szCs w:val="24"/>
              </w:rPr>
              <w:t>商务要求</w:t>
            </w:r>
          </w:p>
        </w:tc>
        <w:tc>
          <w:tcPr>
            <w:tcW w:w="6533" w:type="dxa"/>
            <w:vAlign w:val="center"/>
          </w:tcPr>
          <w:p w14:paraId="5517BBA0">
            <w:pPr>
              <w:pStyle w:val="152"/>
              <w:rPr>
                <w:rFonts w:ascii="宋体" w:hAnsi="宋体" w:eastAsia="仿宋"/>
                <w:sz w:val="24"/>
                <w:szCs w:val="24"/>
              </w:rPr>
            </w:pPr>
            <w:r>
              <w:rPr>
                <w:rFonts w:hint="eastAsia" w:ascii="宋体" w:hAnsi="宋体" w:eastAsia="仿宋"/>
                <w:sz w:val="24"/>
              </w:rPr>
              <w:t>符合实质性要求，偏离范围和项数符合</w:t>
            </w:r>
            <w:r>
              <w:rPr>
                <w:rFonts w:hint="eastAsia" w:ascii="Calibri" w:hAnsi="Calibri" w:eastAsia="仿宋"/>
                <w:sz w:val="24"/>
              </w:rPr>
              <w:t>竞争性磋商</w:t>
            </w:r>
            <w:r>
              <w:rPr>
                <w:rFonts w:hint="eastAsia" w:ascii="宋体" w:hAnsi="宋体" w:eastAsia="仿宋"/>
                <w:sz w:val="24"/>
              </w:rPr>
              <w:t>文件规定</w:t>
            </w:r>
          </w:p>
        </w:tc>
      </w:tr>
      <w:tr w14:paraId="4AF0C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70DE2F18">
            <w:pPr>
              <w:widowControl/>
              <w:jc w:val="center"/>
              <w:rPr>
                <w:rFonts w:ascii="宋体" w:hAnsi="宋体"/>
                <w:kern w:val="0"/>
                <w:sz w:val="24"/>
              </w:rPr>
            </w:pPr>
          </w:p>
        </w:tc>
        <w:tc>
          <w:tcPr>
            <w:tcW w:w="1843" w:type="dxa"/>
            <w:vAlign w:val="center"/>
          </w:tcPr>
          <w:p w14:paraId="219EC7D3">
            <w:pPr>
              <w:widowControl/>
              <w:rPr>
                <w:rFonts w:ascii="宋体" w:hAnsi="宋体" w:eastAsia="仿宋"/>
                <w:kern w:val="0"/>
                <w:sz w:val="24"/>
              </w:rPr>
            </w:pPr>
            <w:r>
              <w:rPr>
                <w:rFonts w:hint="eastAsia" w:ascii="宋体" w:hAnsi="宋体" w:eastAsia="仿宋"/>
                <w:kern w:val="0"/>
                <w:sz w:val="24"/>
              </w:rPr>
              <w:t>技术要求</w:t>
            </w:r>
          </w:p>
        </w:tc>
        <w:tc>
          <w:tcPr>
            <w:tcW w:w="6533" w:type="dxa"/>
            <w:vAlign w:val="center"/>
          </w:tcPr>
          <w:p w14:paraId="799BEA26">
            <w:pPr>
              <w:widowControl/>
              <w:jc w:val="left"/>
              <w:rPr>
                <w:rFonts w:ascii="宋体" w:hAnsi="宋体"/>
                <w:kern w:val="0"/>
                <w:sz w:val="24"/>
              </w:rPr>
            </w:pPr>
            <w:r>
              <w:rPr>
                <w:rFonts w:hint="eastAsia" w:ascii="宋体" w:hAnsi="宋体" w:eastAsia="仿宋"/>
                <w:kern w:val="0"/>
                <w:sz w:val="24"/>
              </w:rPr>
              <w:t>符合实质性要求，偏离范围和项数符合</w:t>
            </w:r>
            <w:r>
              <w:rPr>
                <w:rFonts w:hint="eastAsia" w:ascii="Calibri" w:hAnsi="Calibri" w:eastAsia="仿宋"/>
                <w:kern w:val="0"/>
                <w:sz w:val="24"/>
              </w:rPr>
              <w:t>竞争性磋商</w:t>
            </w:r>
            <w:r>
              <w:rPr>
                <w:rFonts w:hint="eastAsia" w:ascii="宋体" w:hAnsi="宋体" w:eastAsia="仿宋"/>
                <w:kern w:val="0"/>
                <w:sz w:val="24"/>
              </w:rPr>
              <w:t>文件规定</w:t>
            </w:r>
          </w:p>
        </w:tc>
      </w:tr>
      <w:tr w14:paraId="60CD0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3341A6B4">
            <w:pPr>
              <w:widowControl/>
              <w:jc w:val="center"/>
              <w:rPr>
                <w:rFonts w:ascii="宋体" w:hAnsi="宋体"/>
                <w:kern w:val="0"/>
                <w:sz w:val="24"/>
              </w:rPr>
            </w:pPr>
          </w:p>
        </w:tc>
        <w:tc>
          <w:tcPr>
            <w:tcW w:w="1843" w:type="dxa"/>
            <w:vAlign w:val="center"/>
          </w:tcPr>
          <w:p w14:paraId="0E04C87D">
            <w:pPr>
              <w:widowControl/>
              <w:rPr>
                <w:rFonts w:ascii="宋体" w:hAnsi="宋体"/>
                <w:kern w:val="0"/>
                <w:sz w:val="24"/>
              </w:rPr>
            </w:pPr>
            <w:r>
              <w:rPr>
                <w:rFonts w:hint="eastAsia" w:ascii="Calibri" w:hAnsi="Calibri" w:eastAsia="仿宋"/>
                <w:kern w:val="0"/>
                <w:sz w:val="24"/>
              </w:rPr>
              <w:t>响应</w:t>
            </w:r>
            <w:r>
              <w:rPr>
                <w:rFonts w:hint="eastAsia" w:ascii="宋体" w:hAnsi="宋体" w:eastAsia="仿宋"/>
                <w:kern w:val="0"/>
                <w:sz w:val="24"/>
              </w:rPr>
              <w:t>有效期</w:t>
            </w:r>
          </w:p>
        </w:tc>
        <w:tc>
          <w:tcPr>
            <w:tcW w:w="6533" w:type="dxa"/>
            <w:vAlign w:val="center"/>
          </w:tcPr>
          <w:p w14:paraId="6AA31B95">
            <w:pPr>
              <w:widowControl/>
              <w:jc w:val="left"/>
              <w:rPr>
                <w:rFonts w:ascii="宋体" w:hAnsi="宋体"/>
                <w:kern w:val="0"/>
                <w:sz w:val="24"/>
              </w:rPr>
            </w:pPr>
            <w:r>
              <w:rPr>
                <w:rFonts w:hint="eastAsia" w:ascii="宋体" w:hAnsi="宋体" w:eastAsia="仿宋"/>
                <w:kern w:val="0"/>
                <w:sz w:val="24"/>
              </w:rPr>
              <w:t>符合</w:t>
            </w:r>
            <w:r>
              <w:rPr>
                <w:rFonts w:hint="eastAsia" w:ascii="Calibri" w:hAnsi="Calibri" w:eastAsia="仿宋"/>
                <w:kern w:val="0"/>
                <w:sz w:val="24"/>
              </w:rPr>
              <w:t>竞争性磋商</w:t>
            </w:r>
            <w:r>
              <w:rPr>
                <w:rFonts w:hint="eastAsia" w:ascii="宋体" w:hAnsi="宋体" w:eastAsia="仿宋"/>
                <w:kern w:val="0"/>
                <w:sz w:val="24"/>
              </w:rPr>
              <w:t>文件要求</w:t>
            </w:r>
          </w:p>
        </w:tc>
      </w:tr>
      <w:tr w14:paraId="25813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7DC6E6D6">
            <w:pPr>
              <w:widowControl/>
              <w:jc w:val="center"/>
              <w:rPr>
                <w:rFonts w:ascii="宋体" w:hAnsi="宋体"/>
                <w:kern w:val="0"/>
                <w:sz w:val="24"/>
              </w:rPr>
            </w:pPr>
          </w:p>
        </w:tc>
        <w:tc>
          <w:tcPr>
            <w:tcW w:w="1843" w:type="dxa"/>
            <w:vAlign w:val="center"/>
          </w:tcPr>
          <w:p w14:paraId="0512D079">
            <w:pPr>
              <w:pStyle w:val="152"/>
              <w:adjustRightInd w:val="0"/>
              <w:rPr>
                <w:rFonts w:ascii="宋体" w:hAnsi="宋体"/>
                <w:sz w:val="24"/>
                <w:szCs w:val="24"/>
              </w:rPr>
            </w:pPr>
            <w:r>
              <w:rPr>
                <w:rFonts w:hint="eastAsia" w:ascii="宋体" w:hAnsi="宋体" w:eastAsia="仿宋"/>
                <w:sz w:val="24"/>
                <w:szCs w:val="24"/>
              </w:rPr>
              <w:t>进口产品</w:t>
            </w:r>
          </w:p>
        </w:tc>
        <w:tc>
          <w:tcPr>
            <w:tcW w:w="6533" w:type="dxa"/>
            <w:vAlign w:val="center"/>
          </w:tcPr>
          <w:p w14:paraId="4B4318BA">
            <w:pPr>
              <w:pStyle w:val="152"/>
              <w:adjustRightInd w:val="0"/>
              <w:rPr>
                <w:rFonts w:ascii="宋体" w:hAnsi="宋体"/>
                <w:sz w:val="24"/>
                <w:szCs w:val="24"/>
              </w:rPr>
            </w:pPr>
            <w:r>
              <w:rPr>
                <w:rFonts w:hint="eastAsia" w:ascii="宋体" w:hAnsi="宋体" w:eastAsia="仿宋"/>
                <w:sz w:val="24"/>
                <w:szCs w:val="24"/>
              </w:rPr>
              <w:t>不接受进口产品</w:t>
            </w:r>
            <w:r>
              <w:rPr>
                <w:rFonts w:hint="eastAsia" w:ascii="Calibri" w:hAnsi="Calibri" w:eastAsia="仿宋"/>
                <w:sz w:val="24"/>
              </w:rPr>
              <w:t>响应</w:t>
            </w:r>
            <w:r>
              <w:rPr>
                <w:rFonts w:hint="eastAsia" w:ascii="宋体" w:hAnsi="宋体" w:eastAsia="仿宋"/>
                <w:sz w:val="24"/>
                <w:szCs w:val="24"/>
              </w:rPr>
              <w:t>的，</w:t>
            </w:r>
            <w:r>
              <w:rPr>
                <w:rFonts w:hint="eastAsia" w:ascii="Calibri" w:hAnsi="Calibri" w:eastAsia="仿宋"/>
                <w:sz w:val="24"/>
              </w:rPr>
              <w:t>响应</w:t>
            </w:r>
            <w:r>
              <w:rPr>
                <w:rFonts w:hint="eastAsia" w:ascii="宋体" w:hAnsi="宋体" w:eastAsia="仿宋"/>
                <w:sz w:val="24"/>
                <w:szCs w:val="24"/>
              </w:rPr>
              <w:t>产品不得为进口产品（执行</w:t>
            </w:r>
            <w:r>
              <w:rPr>
                <w:rFonts w:ascii="宋体" w:hAnsi="宋体" w:eastAsia="仿宋"/>
                <w:sz w:val="24"/>
                <w:szCs w:val="24"/>
              </w:rPr>
              <w:t>财办库</w:t>
            </w:r>
            <w:r>
              <w:rPr>
                <w:rFonts w:hint="eastAsia" w:ascii="宋体" w:hAnsi="宋体" w:eastAsia="仿宋"/>
                <w:sz w:val="24"/>
                <w:szCs w:val="24"/>
              </w:rPr>
              <w:t>〔2008〕</w:t>
            </w:r>
            <w:r>
              <w:rPr>
                <w:rFonts w:ascii="宋体" w:hAnsi="宋体" w:eastAsia="仿宋"/>
                <w:sz w:val="24"/>
                <w:szCs w:val="24"/>
              </w:rPr>
              <w:t>248号</w:t>
            </w:r>
            <w:r>
              <w:rPr>
                <w:rFonts w:hint="eastAsia" w:ascii="宋体" w:hAnsi="宋体" w:eastAsia="仿宋"/>
                <w:sz w:val="24"/>
                <w:szCs w:val="24"/>
              </w:rPr>
              <w:t>文件规定）</w:t>
            </w:r>
          </w:p>
        </w:tc>
      </w:tr>
      <w:tr w14:paraId="1E865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13F7A3BD">
            <w:pPr>
              <w:widowControl/>
              <w:jc w:val="center"/>
              <w:rPr>
                <w:rFonts w:ascii="宋体" w:hAnsi="宋体"/>
                <w:kern w:val="0"/>
                <w:sz w:val="24"/>
              </w:rPr>
            </w:pPr>
          </w:p>
        </w:tc>
        <w:tc>
          <w:tcPr>
            <w:tcW w:w="1843" w:type="dxa"/>
            <w:vAlign w:val="center"/>
          </w:tcPr>
          <w:p w14:paraId="113F1B33">
            <w:pPr>
              <w:pStyle w:val="152"/>
              <w:adjustRightInd w:val="0"/>
              <w:rPr>
                <w:rFonts w:ascii="宋体" w:hAnsi="宋体" w:eastAsia="仿宋"/>
                <w:color w:val="FF0000"/>
                <w:sz w:val="24"/>
                <w:szCs w:val="24"/>
              </w:rPr>
            </w:pPr>
            <w:r>
              <w:rPr>
                <w:rFonts w:hint="eastAsia" w:ascii="宋体" w:hAnsi="宋体" w:eastAsia="仿宋"/>
                <w:sz w:val="24"/>
                <w:szCs w:val="24"/>
              </w:rPr>
              <w:t>强制采购节能产品</w:t>
            </w:r>
          </w:p>
        </w:tc>
        <w:tc>
          <w:tcPr>
            <w:tcW w:w="6533" w:type="dxa"/>
            <w:vAlign w:val="center"/>
          </w:tcPr>
          <w:p w14:paraId="0E52B211">
            <w:pPr>
              <w:pStyle w:val="152"/>
              <w:adjustRightInd w:val="0"/>
              <w:rPr>
                <w:rFonts w:ascii="宋体" w:hAnsi="宋体" w:eastAsia="仿宋"/>
                <w:sz w:val="24"/>
                <w:szCs w:val="24"/>
              </w:rPr>
            </w:pPr>
            <w:r>
              <w:rPr>
                <w:rFonts w:hint="eastAsia" w:ascii="宋体" w:hAnsi="宋体" w:eastAsia="仿宋"/>
                <w:sz w:val="24"/>
                <w:szCs w:val="24"/>
              </w:rPr>
              <w:t>采购标的若属于《节能产品政府采购品目清单》范围中政府强制采购产品，则供应商提供产品须获得国家确定的认证机构出具的、处于有效期之内的节能产品认证证书</w:t>
            </w:r>
          </w:p>
        </w:tc>
      </w:tr>
      <w:tr w14:paraId="0306A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10E80E09">
            <w:pPr>
              <w:widowControl/>
              <w:jc w:val="center"/>
              <w:rPr>
                <w:rFonts w:ascii="宋体" w:hAnsi="宋体"/>
                <w:kern w:val="0"/>
                <w:sz w:val="24"/>
              </w:rPr>
            </w:pPr>
          </w:p>
        </w:tc>
        <w:tc>
          <w:tcPr>
            <w:tcW w:w="1843" w:type="dxa"/>
            <w:vAlign w:val="center"/>
          </w:tcPr>
          <w:p w14:paraId="440D4B63">
            <w:pPr>
              <w:pStyle w:val="152"/>
              <w:adjustRightInd w:val="0"/>
              <w:rPr>
                <w:rFonts w:ascii="宋体" w:hAnsi="宋体" w:eastAsia="仿宋"/>
                <w:color w:val="FF0000"/>
                <w:sz w:val="24"/>
                <w:szCs w:val="24"/>
              </w:rPr>
            </w:pPr>
            <w:r>
              <w:rPr>
                <w:rFonts w:hint="eastAsia" w:ascii="Calibri" w:hAnsi="Calibri" w:eastAsia="仿宋"/>
                <w:sz w:val="24"/>
              </w:rPr>
              <w:t>响应</w:t>
            </w:r>
            <w:r>
              <w:rPr>
                <w:rFonts w:hint="eastAsia" w:ascii="宋体" w:hAnsi="宋体" w:eastAsia="仿宋"/>
                <w:sz w:val="24"/>
                <w:szCs w:val="24"/>
              </w:rPr>
              <w:t>文件制作机器识别码</w:t>
            </w:r>
          </w:p>
        </w:tc>
        <w:tc>
          <w:tcPr>
            <w:tcW w:w="6533" w:type="dxa"/>
            <w:vAlign w:val="center"/>
          </w:tcPr>
          <w:p w14:paraId="6C98F406">
            <w:pPr>
              <w:pStyle w:val="152"/>
              <w:adjustRightInd w:val="0"/>
              <w:rPr>
                <w:rFonts w:ascii="宋体" w:hAnsi="宋体" w:eastAsia="仿宋"/>
                <w:sz w:val="24"/>
                <w:szCs w:val="24"/>
              </w:rPr>
            </w:pPr>
            <w:r>
              <w:rPr>
                <w:rFonts w:hint="eastAsia" w:ascii="宋体" w:hAnsi="宋体" w:eastAsia="仿宋"/>
                <w:sz w:val="24"/>
                <w:szCs w:val="24"/>
              </w:rPr>
              <w:t>不同供应商未出现使用相同的</w:t>
            </w:r>
            <w:r>
              <w:rPr>
                <w:rFonts w:hint="eastAsia" w:ascii="Calibri" w:hAnsi="Calibri" w:eastAsia="仿宋"/>
                <w:sz w:val="24"/>
              </w:rPr>
              <w:t>响应</w:t>
            </w:r>
            <w:r>
              <w:rPr>
                <w:rFonts w:hint="eastAsia" w:ascii="宋体" w:hAnsi="宋体" w:eastAsia="仿宋"/>
                <w:sz w:val="24"/>
                <w:szCs w:val="24"/>
              </w:rPr>
              <w:t>文件制作机器识别码进行响应的情形</w:t>
            </w:r>
          </w:p>
        </w:tc>
      </w:tr>
      <w:tr w14:paraId="4DBA7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419DFE2F">
            <w:pPr>
              <w:widowControl/>
              <w:jc w:val="center"/>
              <w:rPr>
                <w:rFonts w:ascii="宋体" w:hAnsi="宋体"/>
                <w:kern w:val="0"/>
                <w:sz w:val="24"/>
              </w:rPr>
            </w:pPr>
          </w:p>
        </w:tc>
        <w:tc>
          <w:tcPr>
            <w:tcW w:w="1843" w:type="dxa"/>
            <w:vAlign w:val="center"/>
          </w:tcPr>
          <w:p w14:paraId="69F32468">
            <w:pPr>
              <w:widowControl/>
              <w:rPr>
                <w:rFonts w:ascii="宋体" w:hAnsi="宋体"/>
                <w:kern w:val="0"/>
                <w:sz w:val="24"/>
              </w:rPr>
            </w:pPr>
            <w:r>
              <w:rPr>
                <w:rFonts w:hint="eastAsia" w:ascii="宋体" w:hAnsi="宋体" w:eastAsia="仿宋"/>
                <w:kern w:val="0"/>
                <w:sz w:val="24"/>
              </w:rPr>
              <w:t>权利义务</w:t>
            </w:r>
          </w:p>
        </w:tc>
        <w:tc>
          <w:tcPr>
            <w:tcW w:w="6533" w:type="dxa"/>
            <w:vAlign w:val="center"/>
          </w:tcPr>
          <w:p w14:paraId="61E2ECC7">
            <w:pPr>
              <w:widowControl/>
              <w:jc w:val="left"/>
              <w:rPr>
                <w:rFonts w:ascii="宋体" w:hAnsi="宋体"/>
                <w:kern w:val="0"/>
                <w:sz w:val="24"/>
              </w:rPr>
            </w:pPr>
            <w:r>
              <w:rPr>
                <w:rFonts w:hint="eastAsia" w:ascii="宋体" w:hAnsi="宋体" w:eastAsia="仿宋"/>
                <w:kern w:val="0"/>
                <w:sz w:val="24"/>
              </w:rPr>
              <w:t>符合</w:t>
            </w:r>
            <w:r>
              <w:rPr>
                <w:rFonts w:hint="eastAsia" w:ascii="Calibri" w:hAnsi="Calibri" w:eastAsia="仿宋"/>
                <w:kern w:val="0"/>
                <w:sz w:val="24"/>
              </w:rPr>
              <w:t>竞争性磋商</w:t>
            </w:r>
            <w:r>
              <w:rPr>
                <w:rFonts w:hint="eastAsia" w:ascii="宋体" w:hAnsi="宋体" w:eastAsia="仿宋"/>
                <w:kern w:val="0"/>
                <w:sz w:val="24"/>
              </w:rPr>
              <w:t>文件合同条款要求，未另行设定采购人不能接受的采购人应承担的义务，未对供应商的义务予以削弱</w:t>
            </w:r>
          </w:p>
        </w:tc>
      </w:tr>
      <w:tr w14:paraId="02FB8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43AD636E">
            <w:pPr>
              <w:widowControl/>
              <w:jc w:val="center"/>
              <w:rPr>
                <w:rFonts w:ascii="宋体" w:hAnsi="宋体"/>
                <w:kern w:val="0"/>
                <w:sz w:val="24"/>
              </w:rPr>
            </w:pPr>
          </w:p>
        </w:tc>
        <w:tc>
          <w:tcPr>
            <w:tcW w:w="1843" w:type="dxa"/>
            <w:vAlign w:val="center"/>
          </w:tcPr>
          <w:p w14:paraId="44975745">
            <w:pPr>
              <w:pStyle w:val="152"/>
              <w:rPr>
                <w:rFonts w:ascii="宋体" w:hAnsi="宋体" w:eastAsia="仿宋"/>
                <w:sz w:val="24"/>
                <w:szCs w:val="24"/>
              </w:rPr>
            </w:pPr>
            <w:r>
              <w:rPr>
                <w:rFonts w:hint="eastAsia" w:ascii="宋体" w:hAnsi="宋体" w:eastAsia="仿宋"/>
                <w:bCs/>
                <w:sz w:val="24"/>
                <w:szCs w:val="24"/>
              </w:rPr>
              <w:t>提供同一品牌产品</w:t>
            </w:r>
          </w:p>
        </w:tc>
        <w:tc>
          <w:tcPr>
            <w:tcW w:w="6533" w:type="dxa"/>
            <w:vAlign w:val="center"/>
          </w:tcPr>
          <w:p w14:paraId="35BA0480">
            <w:pPr>
              <w:pStyle w:val="152"/>
              <w:rPr>
                <w:rFonts w:ascii="宋体" w:hAnsi="宋体" w:eastAsia="仿宋"/>
                <w:sz w:val="24"/>
                <w:szCs w:val="24"/>
              </w:rPr>
            </w:pPr>
            <w:r>
              <w:rPr>
                <w:rFonts w:hint="eastAsia" w:ascii="宋体" w:hAnsi="宋体" w:eastAsia="仿宋"/>
                <w:bCs/>
                <w:sz w:val="24"/>
                <w:szCs w:val="24"/>
              </w:rPr>
              <w:t>单一产品采购项目中，提供同一品牌及型号产品的不同供应商参加同一包项下响应的，以一家供应商计算有效供应商数量。非单一产品采购项目中，提供任意核心产品为同一品牌及型号且通过资格审查、符合性审查的不同供应商参加同一包项下响应的，以一家供应商计算有效供应商数量。若有效供应商不足三家，本项目终止</w:t>
            </w:r>
          </w:p>
        </w:tc>
      </w:tr>
      <w:tr w14:paraId="07AFD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73C227FB">
            <w:pPr>
              <w:widowControl/>
              <w:jc w:val="center"/>
              <w:rPr>
                <w:rFonts w:ascii="宋体" w:hAnsi="宋体"/>
                <w:kern w:val="0"/>
                <w:sz w:val="24"/>
              </w:rPr>
            </w:pPr>
          </w:p>
        </w:tc>
        <w:tc>
          <w:tcPr>
            <w:tcW w:w="1843" w:type="dxa"/>
            <w:vAlign w:val="center"/>
          </w:tcPr>
          <w:p w14:paraId="367D786B">
            <w:pPr>
              <w:pStyle w:val="152"/>
              <w:rPr>
                <w:rFonts w:ascii="宋体" w:hAnsi="宋体" w:eastAsia="仿宋"/>
                <w:sz w:val="24"/>
                <w:szCs w:val="24"/>
              </w:rPr>
            </w:pPr>
            <w:r>
              <w:rPr>
                <w:rFonts w:hint="eastAsia" w:ascii="宋体" w:hAnsi="宋体" w:eastAsia="仿宋"/>
                <w:sz w:val="24"/>
                <w:szCs w:val="24"/>
              </w:rPr>
              <w:t>低价说明</w:t>
            </w:r>
          </w:p>
        </w:tc>
        <w:tc>
          <w:tcPr>
            <w:tcW w:w="6533" w:type="dxa"/>
            <w:vAlign w:val="center"/>
          </w:tcPr>
          <w:p w14:paraId="37FC3E72">
            <w:pPr>
              <w:pStyle w:val="152"/>
              <w:rPr>
                <w:rFonts w:ascii="宋体" w:hAnsi="宋体" w:eastAsia="仿宋"/>
                <w:sz w:val="24"/>
                <w:szCs w:val="24"/>
              </w:rPr>
            </w:pPr>
            <w:r>
              <w:rPr>
                <w:rFonts w:hint="eastAsia" w:ascii="宋体" w:hAnsi="宋体" w:eastAsia="仿宋"/>
                <w:sz w:val="24"/>
                <w:szCs w:val="24"/>
              </w:rPr>
              <w:t>供应商的报价明显低于其他通过符合性审查供应商的报价，使得可能影响产品质量或诚信履约的，磋商小组要求其提供书面说明时，供应商不能证明其报价合理性的，响应无效</w:t>
            </w:r>
          </w:p>
        </w:tc>
      </w:tr>
      <w:tr w14:paraId="19B6E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3069F17F">
            <w:pPr>
              <w:widowControl/>
              <w:jc w:val="center"/>
              <w:rPr>
                <w:rFonts w:ascii="宋体" w:hAnsi="宋体"/>
                <w:kern w:val="0"/>
                <w:sz w:val="24"/>
              </w:rPr>
            </w:pPr>
          </w:p>
        </w:tc>
        <w:tc>
          <w:tcPr>
            <w:tcW w:w="1843" w:type="dxa"/>
            <w:vAlign w:val="center"/>
          </w:tcPr>
          <w:p w14:paraId="63762B67">
            <w:pPr>
              <w:pStyle w:val="152"/>
              <w:rPr>
                <w:rFonts w:ascii="宋体" w:hAnsi="宋体"/>
                <w:sz w:val="24"/>
                <w:szCs w:val="24"/>
              </w:rPr>
            </w:pPr>
            <w:r>
              <w:rPr>
                <w:rFonts w:hint="eastAsia" w:ascii="宋体" w:hAnsi="宋体" w:eastAsia="仿宋"/>
                <w:sz w:val="24"/>
                <w:szCs w:val="24"/>
              </w:rPr>
              <w:t>其他</w:t>
            </w:r>
          </w:p>
        </w:tc>
        <w:tc>
          <w:tcPr>
            <w:tcW w:w="6533" w:type="dxa"/>
            <w:vAlign w:val="center"/>
          </w:tcPr>
          <w:p w14:paraId="64D9D6D7">
            <w:pPr>
              <w:pStyle w:val="152"/>
              <w:rPr>
                <w:rFonts w:ascii="宋体" w:hAnsi="宋体" w:eastAsia="仿宋"/>
                <w:sz w:val="24"/>
                <w:szCs w:val="24"/>
              </w:rPr>
            </w:pPr>
            <w:r>
              <w:rPr>
                <w:rFonts w:hint="eastAsia" w:ascii="宋体" w:hAnsi="宋体" w:eastAsia="仿宋"/>
                <w:sz w:val="24"/>
                <w:szCs w:val="24"/>
              </w:rPr>
              <w:t>符合法律、行政法规规定的其他条件</w:t>
            </w:r>
          </w:p>
          <w:p w14:paraId="495EF71D">
            <w:pPr>
              <w:pStyle w:val="152"/>
              <w:rPr>
                <w:rFonts w:ascii="宋体" w:hAnsi="宋体" w:eastAsia="仿宋"/>
                <w:sz w:val="24"/>
                <w:szCs w:val="24"/>
              </w:rPr>
            </w:pPr>
            <w:r>
              <w:rPr>
                <w:rFonts w:hint="eastAsia" w:ascii="宋体" w:hAnsi="宋体" w:eastAsia="仿宋"/>
                <w:sz w:val="24"/>
                <w:szCs w:val="24"/>
              </w:rPr>
              <w:t>不符合采购文件列明的其他响应无效的情形</w:t>
            </w:r>
          </w:p>
        </w:tc>
      </w:tr>
    </w:tbl>
    <w:p w14:paraId="5103CE53">
      <w:pPr>
        <w:pStyle w:val="3"/>
        <w:rPr>
          <w:rStyle w:val="103"/>
          <w:rFonts w:ascii="宋体" w:hAnsi="宋体" w:eastAsia="仿宋"/>
          <w:b/>
          <w:bCs/>
          <w:sz w:val="24"/>
          <w:szCs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bookmarkEnd w:id="695"/>
    <w:bookmarkEnd w:id="696"/>
    <w:p w14:paraId="05E951BE">
      <w:pPr>
        <w:pStyle w:val="153"/>
        <w:numPr>
          <w:ilvl w:val="0"/>
          <w:numId w:val="14"/>
        </w:numPr>
        <w:adjustRightInd w:val="0"/>
        <w:snapToGrid w:val="0"/>
        <w:spacing w:before="0" w:line="360" w:lineRule="auto"/>
        <w:ind w:firstLine="482" w:firstLineChars="200"/>
        <w:rPr>
          <w:rFonts w:ascii="宋体" w:hAnsi="宋体" w:eastAsia="仿宋"/>
          <w:b/>
          <w:sz w:val="24"/>
          <w:szCs w:val="24"/>
        </w:rPr>
      </w:pPr>
      <w:r>
        <w:rPr>
          <w:rFonts w:hint="eastAsia" w:ascii="宋体" w:hAnsi="宋体" w:eastAsia="仿宋"/>
          <w:b/>
          <w:sz w:val="24"/>
          <w:szCs w:val="24"/>
        </w:rPr>
        <w:t>详细评审标准</w:t>
      </w:r>
    </w:p>
    <w:tbl>
      <w:tblPr>
        <w:tblStyle w:val="47"/>
        <w:tblW w:w="952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708"/>
        <w:gridCol w:w="1701"/>
        <w:gridCol w:w="4225"/>
        <w:gridCol w:w="2012"/>
      </w:tblGrid>
      <w:tr w14:paraId="5F335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85" w:type="dxa"/>
            <w:gridSpan w:val="2"/>
            <w:vAlign w:val="center"/>
          </w:tcPr>
          <w:p w14:paraId="5C27058D">
            <w:pPr>
              <w:snapToGrid w:val="0"/>
              <w:spacing w:line="288" w:lineRule="auto"/>
              <w:jc w:val="center"/>
              <w:rPr>
                <w:rFonts w:ascii="仿宋" w:hAnsi="仿宋" w:eastAsia="仿宋" w:cs="仿宋"/>
                <w:b/>
                <w:color w:val="000000"/>
                <w:szCs w:val="21"/>
              </w:rPr>
            </w:pPr>
            <w:r>
              <w:rPr>
                <w:rFonts w:hint="eastAsia" w:ascii="仿宋" w:hAnsi="仿宋" w:eastAsia="仿宋" w:cs="仿宋"/>
                <w:b/>
                <w:color w:val="000000"/>
                <w:szCs w:val="21"/>
              </w:rPr>
              <w:t>条款号</w:t>
            </w:r>
          </w:p>
        </w:tc>
        <w:tc>
          <w:tcPr>
            <w:tcW w:w="1701" w:type="dxa"/>
            <w:vAlign w:val="center"/>
          </w:tcPr>
          <w:p w14:paraId="5F7DE5A4">
            <w:pPr>
              <w:snapToGrid w:val="0"/>
              <w:spacing w:line="288" w:lineRule="auto"/>
              <w:jc w:val="center"/>
              <w:rPr>
                <w:rFonts w:ascii="仿宋" w:hAnsi="仿宋" w:eastAsia="仿宋" w:cs="仿宋"/>
                <w:b/>
                <w:color w:val="000000"/>
                <w:szCs w:val="21"/>
              </w:rPr>
            </w:pPr>
            <w:r>
              <w:rPr>
                <w:rFonts w:hint="eastAsia" w:ascii="仿宋" w:hAnsi="仿宋" w:eastAsia="仿宋" w:cs="仿宋"/>
                <w:b/>
                <w:color w:val="000000"/>
                <w:szCs w:val="21"/>
              </w:rPr>
              <w:t>条款内容</w:t>
            </w:r>
          </w:p>
        </w:tc>
        <w:tc>
          <w:tcPr>
            <w:tcW w:w="4225" w:type="dxa"/>
            <w:vAlign w:val="center"/>
          </w:tcPr>
          <w:p w14:paraId="1C95C7A2">
            <w:pPr>
              <w:snapToGrid w:val="0"/>
              <w:spacing w:line="288" w:lineRule="auto"/>
              <w:jc w:val="center"/>
              <w:rPr>
                <w:rFonts w:ascii="仿宋" w:hAnsi="仿宋" w:eastAsia="仿宋" w:cs="仿宋"/>
                <w:b/>
                <w:color w:val="000000"/>
                <w:szCs w:val="21"/>
              </w:rPr>
            </w:pPr>
            <w:r>
              <w:rPr>
                <w:rFonts w:hint="eastAsia" w:ascii="仿宋" w:hAnsi="仿宋" w:eastAsia="仿宋" w:cs="仿宋"/>
                <w:b/>
                <w:color w:val="000000"/>
                <w:szCs w:val="21"/>
              </w:rPr>
              <w:t>编列内容</w:t>
            </w:r>
          </w:p>
        </w:tc>
        <w:tc>
          <w:tcPr>
            <w:tcW w:w="2012" w:type="dxa"/>
            <w:vAlign w:val="center"/>
          </w:tcPr>
          <w:p w14:paraId="093C5910">
            <w:pPr>
              <w:widowControl/>
              <w:snapToGrid w:val="0"/>
              <w:spacing w:line="288" w:lineRule="auto"/>
              <w:jc w:val="center"/>
              <w:rPr>
                <w:rFonts w:ascii="仿宋" w:hAnsi="仿宋" w:eastAsia="仿宋" w:cs="仿宋"/>
                <w:b/>
                <w:kern w:val="0"/>
                <w:szCs w:val="21"/>
              </w:rPr>
            </w:pPr>
            <w:r>
              <w:rPr>
                <w:rFonts w:hint="eastAsia" w:ascii="仿宋" w:hAnsi="仿宋" w:eastAsia="仿宋" w:cs="仿宋"/>
                <w:b/>
                <w:kern w:val="0"/>
                <w:szCs w:val="21"/>
              </w:rPr>
              <w:t>备注</w:t>
            </w:r>
          </w:p>
        </w:tc>
      </w:tr>
      <w:tr w14:paraId="6F3A9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85" w:type="dxa"/>
            <w:gridSpan w:val="2"/>
            <w:vAlign w:val="center"/>
          </w:tcPr>
          <w:p w14:paraId="3A182D65">
            <w:pPr>
              <w:widowControl/>
              <w:snapToGrid w:val="0"/>
              <w:spacing w:line="288" w:lineRule="auto"/>
              <w:jc w:val="center"/>
              <w:rPr>
                <w:rFonts w:ascii="仿宋" w:hAnsi="仿宋" w:eastAsia="仿宋" w:cs="仿宋"/>
                <w:kern w:val="0"/>
                <w:szCs w:val="21"/>
              </w:rPr>
            </w:pPr>
            <w:r>
              <w:rPr>
                <w:rFonts w:hint="eastAsia" w:ascii="仿宋" w:hAnsi="仿宋" w:eastAsia="仿宋" w:cs="仿宋"/>
                <w:color w:val="000000"/>
                <w:szCs w:val="21"/>
              </w:rPr>
              <w:t>3.3.1</w:t>
            </w:r>
          </w:p>
        </w:tc>
        <w:tc>
          <w:tcPr>
            <w:tcW w:w="1701" w:type="dxa"/>
            <w:vAlign w:val="center"/>
          </w:tcPr>
          <w:p w14:paraId="73DE8EC6">
            <w:pPr>
              <w:snapToGrid w:val="0"/>
              <w:spacing w:line="288" w:lineRule="auto"/>
              <w:jc w:val="center"/>
              <w:rPr>
                <w:rFonts w:ascii="仿宋" w:hAnsi="仿宋" w:eastAsia="仿宋" w:cs="仿宋"/>
                <w:color w:val="000000"/>
                <w:szCs w:val="21"/>
              </w:rPr>
            </w:pPr>
            <w:r>
              <w:rPr>
                <w:rFonts w:hint="eastAsia" w:ascii="仿宋" w:hAnsi="仿宋" w:eastAsia="仿宋" w:cs="仿宋"/>
                <w:color w:val="000000"/>
                <w:szCs w:val="21"/>
              </w:rPr>
              <w:t>分值构成</w:t>
            </w:r>
          </w:p>
          <w:p w14:paraId="64524CB0">
            <w:pPr>
              <w:snapToGrid w:val="0"/>
              <w:spacing w:line="288" w:lineRule="auto"/>
              <w:jc w:val="center"/>
              <w:rPr>
                <w:rFonts w:ascii="仿宋" w:hAnsi="仿宋" w:eastAsia="仿宋" w:cs="仿宋"/>
                <w:color w:val="000000"/>
                <w:szCs w:val="21"/>
              </w:rPr>
            </w:pPr>
            <w:r>
              <w:rPr>
                <w:rFonts w:hint="eastAsia" w:ascii="仿宋" w:hAnsi="仿宋" w:eastAsia="仿宋" w:cs="仿宋"/>
                <w:color w:val="000000"/>
                <w:szCs w:val="21"/>
              </w:rPr>
              <w:t>（总分100分）</w:t>
            </w:r>
          </w:p>
        </w:tc>
        <w:tc>
          <w:tcPr>
            <w:tcW w:w="4225" w:type="dxa"/>
            <w:vAlign w:val="center"/>
          </w:tcPr>
          <w:p w14:paraId="655689F4">
            <w:pPr>
              <w:snapToGrid w:val="0"/>
              <w:spacing w:line="288" w:lineRule="auto"/>
              <w:rPr>
                <w:rFonts w:ascii="仿宋" w:hAnsi="仿宋" w:eastAsia="仿宋" w:cs="仿宋"/>
                <w:color w:val="000000"/>
                <w:szCs w:val="21"/>
              </w:rPr>
            </w:pPr>
            <w:r>
              <w:rPr>
                <w:rFonts w:hint="eastAsia" w:ascii="仿宋" w:hAnsi="仿宋" w:eastAsia="仿宋" w:cs="仿宋"/>
                <w:color w:val="000000"/>
                <w:szCs w:val="21"/>
              </w:rPr>
              <w:t>商务部分：10</w:t>
            </w:r>
          </w:p>
          <w:p w14:paraId="31FB16C3">
            <w:pPr>
              <w:snapToGrid w:val="0"/>
              <w:spacing w:line="288" w:lineRule="auto"/>
              <w:rPr>
                <w:rFonts w:ascii="仿宋" w:hAnsi="仿宋" w:eastAsia="仿宋" w:cs="仿宋"/>
                <w:color w:val="000000"/>
                <w:szCs w:val="21"/>
              </w:rPr>
            </w:pPr>
            <w:r>
              <w:rPr>
                <w:rFonts w:hint="eastAsia" w:ascii="仿宋" w:hAnsi="仿宋" w:eastAsia="仿宋" w:cs="仿宋"/>
                <w:color w:val="000000"/>
                <w:szCs w:val="21"/>
              </w:rPr>
              <w:t>技术部分：50</w:t>
            </w:r>
          </w:p>
          <w:p w14:paraId="493D69DF">
            <w:pPr>
              <w:snapToGrid w:val="0"/>
              <w:spacing w:line="288" w:lineRule="auto"/>
              <w:rPr>
                <w:rFonts w:ascii="仿宋" w:hAnsi="仿宋" w:eastAsia="仿宋" w:cs="仿宋"/>
                <w:color w:val="000000"/>
                <w:szCs w:val="21"/>
              </w:rPr>
            </w:pPr>
            <w:r>
              <w:rPr>
                <w:rFonts w:hint="eastAsia" w:ascii="仿宋" w:hAnsi="仿宋" w:eastAsia="仿宋" w:cs="仿宋"/>
                <w:color w:val="000000"/>
                <w:szCs w:val="21"/>
              </w:rPr>
              <w:t>响应报价：40</w:t>
            </w:r>
          </w:p>
          <w:p w14:paraId="3E888935">
            <w:pPr>
              <w:snapToGrid w:val="0"/>
              <w:spacing w:line="288" w:lineRule="auto"/>
              <w:rPr>
                <w:rFonts w:ascii="仿宋" w:hAnsi="仿宋" w:eastAsia="仿宋" w:cs="仿宋"/>
                <w:color w:val="000000"/>
                <w:szCs w:val="21"/>
              </w:rPr>
            </w:pPr>
            <w:r>
              <w:rPr>
                <w:rFonts w:hint="eastAsia" w:ascii="仿宋" w:hAnsi="仿宋" w:eastAsia="仿宋" w:cs="仿宋"/>
                <w:color w:val="000000"/>
                <w:szCs w:val="21"/>
              </w:rPr>
              <w:t>其他评分因素（如有）：/</w:t>
            </w:r>
          </w:p>
        </w:tc>
        <w:tc>
          <w:tcPr>
            <w:tcW w:w="2012" w:type="dxa"/>
          </w:tcPr>
          <w:p w14:paraId="4DAB5F10">
            <w:pPr>
              <w:widowControl/>
              <w:snapToGrid w:val="0"/>
              <w:spacing w:line="288" w:lineRule="auto"/>
              <w:jc w:val="left"/>
              <w:rPr>
                <w:rFonts w:ascii="仿宋" w:hAnsi="仿宋" w:eastAsia="仿宋" w:cs="仿宋"/>
                <w:color w:val="000000"/>
                <w:kern w:val="0"/>
                <w:szCs w:val="21"/>
              </w:rPr>
            </w:pPr>
          </w:p>
        </w:tc>
      </w:tr>
      <w:tr w14:paraId="02B32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85" w:type="dxa"/>
            <w:gridSpan w:val="2"/>
            <w:vAlign w:val="center"/>
          </w:tcPr>
          <w:p w14:paraId="6A5A3E0A">
            <w:pPr>
              <w:widowControl/>
              <w:snapToGrid w:val="0"/>
              <w:spacing w:line="288" w:lineRule="auto"/>
              <w:jc w:val="center"/>
              <w:rPr>
                <w:rFonts w:ascii="仿宋" w:hAnsi="仿宋" w:eastAsia="仿宋" w:cs="仿宋"/>
                <w:color w:val="000000"/>
                <w:szCs w:val="21"/>
              </w:rPr>
            </w:pPr>
            <w:r>
              <w:rPr>
                <w:rFonts w:hint="eastAsia" w:ascii="仿宋" w:hAnsi="仿宋" w:eastAsia="仿宋" w:cs="仿宋"/>
                <w:color w:val="000000"/>
                <w:szCs w:val="21"/>
              </w:rPr>
              <w:t>3.3.2</w:t>
            </w:r>
          </w:p>
        </w:tc>
        <w:tc>
          <w:tcPr>
            <w:tcW w:w="1701" w:type="dxa"/>
            <w:vAlign w:val="center"/>
          </w:tcPr>
          <w:p w14:paraId="0AA9A8FA">
            <w:pPr>
              <w:snapToGrid w:val="0"/>
              <w:spacing w:line="288" w:lineRule="auto"/>
              <w:jc w:val="center"/>
              <w:rPr>
                <w:rFonts w:ascii="仿宋" w:hAnsi="仿宋" w:eastAsia="仿宋" w:cs="仿宋"/>
                <w:color w:val="000000"/>
                <w:szCs w:val="21"/>
              </w:rPr>
            </w:pPr>
            <w:r>
              <w:rPr>
                <w:rFonts w:hint="eastAsia" w:ascii="仿宋" w:hAnsi="仿宋" w:eastAsia="仿宋" w:cs="仿宋"/>
                <w:color w:val="000000"/>
                <w:szCs w:val="21"/>
              </w:rPr>
              <w:t>评审基准价计算方法</w:t>
            </w:r>
          </w:p>
        </w:tc>
        <w:tc>
          <w:tcPr>
            <w:tcW w:w="4225" w:type="dxa"/>
            <w:vAlign w:val="center"/>
          </w:tcPr>
          <w:p w14:paraId="4DA102A7">
            <w:pPr>
              <w:snapToGrid w:val="0"/>
              <w:spacing w:line="288" w:lineRule="auto"/>
              <w:rPr>
                <w:rFonts w:ascii="仿宋" w:hAnsi="仿宋" w:eastAsia="仿宋" w:cs="仿宋"/>
                <w:color w:val="000000"/>
                <w:szCs w:val="21"/>
              </w:rPr>
            </w:pPr>
            <w:r>
              <w:rPr>
                <w:rFonts w:hint="eastAsia" w:ascii="仿宋" w:hAnsi="仿宋" w:eastAsia="仿宋" w:cs="仿宋"/>
                <w:color w:val="000000"/>
                <w:szCs w:val="21"/>
              </w:rPr>
              <w:t>满足磋商文件要求且最后报价最低的供应商的价格为磋商基准价</w:t>
            </w:r>
          </w:p>
        </w:tc>
        <w:tc>
          <w:tcPr>
            <w:tcW w:w="2012" w:type="dxa"/>
            <w:vAlign w:val="center"/>
          </w:tcPr>
          <w:p w14:paraId="1F28337D">
            <w:pPr>
              <w:snapToGrid w:val="0"/>
              <w:spacing w:line="288" w:lineRule="auto"/>
              <w:ind w:left="-38"/>
              <w:rPr>
                <w:rFonts w:ascii="仿宋" w:hAnsi="仿宋" w:eastAsia="仿宋" w:cs="仿宋"/>
                <w:color w:val="000000"/>
                <w:szCs w:val="21"/>
              </w:rPr>
            </w:pPr>
            <w:r>
              <w:rPr>
                <w:rFonts w:hint="eastAsia" w:ascii="仿宋" w:hAnsi="仿宋" w:eastAsia="仿宋" w:cs="仿宋"/>
                <w:color w:val="000000"/>
                <w:szCs w:val="21"/>
              </w:rPr>
              <w:t>符合价格扣除政策的，用扣除后的价格参与计算、评分</w:t>
            </w:r>
          </w:p>
        </w:tc>
      </w:tr>
      <w:tr w14:paraId="3D2FE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85" w:type="dxa"/>
            <w:gridSpan w:val="2"/>
            <w:vAlign w:val="center"/>
          </w:tcPr>
          <w:p w14:paraId="0BC20A98">
            <w:pPr>
              <w:snapToGrid w:val="0"/>
              <w:spacing w:line="288" w:lineRule="auto"/>
              <w:jc w:val="center"/>
              <w:rPr>
                <w:rFonts w:ascii="仿宋" w:hAnsi="仿宋" w:eastAsia="仿宋" w:cs="仿宋"/>
                <w:b/>
                <w:color w:val="000000"/>
                <w:szCs w:val="21"/>
              </w:rPr>
            </w:pPr>
            <w:r>
              <w:rPr>
                <w:rFonts w:hint="eastAsia" w:ascii="仿宋" w:hAnsi="仿宋" w:eastAsia="仿宋" w:cs="仿宋"/>
                <w:b/>
                <w:color w:val="000000"/>
                <w:szCs w:val="21"/>
              </w:rPr>
              <w:t>条款号</w:t>
            </w:r>
          </w:p>
        </w:tc>
        <w:tc>
          <w:tcPr>
            <w:tcW w:w="1701" w:type="dxa"/>
            <w:vAlign w:val="center"/>
          </w:tcPr>
          <w:p w14:paraId="5D62D65A">
            <w:pPr>
              <w:snapToGrid w:val="0"/>
              <w:spacing w:line="288" w:lineRule="auto"/>
              <w:jc w:val="center"/>
              <w:rPr>
                <w:rFonts w:ascii="仿宋" w:hAnsi="仿宋" w:eastAsia="仿宋" w:cs="仿宋"/>
                <w:b/>
                <w:color w:val="000000"/>
                <w:szCs w:val="21"/>
              </w:rPr>
            </w:pPr>
            <w:r>
              <w:rPr>
                <w:rFonts w:hint="eastAsia" w:ascii="仿宋" w:hAnsi="仿宋" w:eastAsia="仿宋" w:cs="仿宋"/>
                <w:b/>
                <w:color w:val="000000"/>
                <w:szCs w:val="21"/>
              </w:rPr>
              <w:t>评分因素</w:t>
            </w:r>
          </w:p>
        </w:tc>
        <w:tc>
          <w:tcPr>
            <w:tcW w:w="6237" w:type="dxa"/>
            <w:gridSpan w:val="2"/>
            <w:vAlign w:val="center"/>
          </w:tcPr>
          <w:p w14:paraId="317E9078">
            <w:pPr>
              <w:widowControl/>
              <w:snapToGrid w:val="0"/>
              <w:spacing w:line="288" w:lineRule="auto"/>
              <w:jc w:val="center"/>
              <w:rPr>
                <w:rFonts w:ascii="仿宋" w:hAnsi="仿宋" w:eastAsia="仿宋" w:cs="仿宋"/>
                <w:b/>
                <w:color w:val="000000"/>
                <w:kern w:val="0"/>
                <w:szCs w:val="21"/>
              </w:rPr>
            </w:pPr>
            <w:r>
              <w:rPr>
                <w:rFonts w:hint="eastAsia" w:ascii="仿宋" w:hAnsi="仿宋" w:eastAsia="仿宋" w:cs="仿宋"/>
                <w:b/>
                <w:color w:val="000000"/>
                <w:szCs w:val="21"/>
              </w:rPr>
              <w:t>评分标准</w:t>
            </w:r>
          </w:p>
        </w:tc>
      </w:tr>
      <w:tr w14:paraId="0E160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Align w:val="center"/>
          </w:tcPr>
          <w:p w14:paraId="50986127">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3.3.3（1）</w:t>
            </w:r>
          </w:p>
          <w:p w14:paraId="73FEE367">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商务</w:t>
            </w:r>
          </w:p>
          <w:p w14:paraId="40E0D868">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部分</w:t>
            </w:r>
          </w:p>
        </w:tc>
        <w:tc>
          <w:tcPr>
            <w:tcW w:w="708" w:type="dxa"/>
            <w:vAlign w:val="center"/>
          </w:tcPr>
          <w:p w14:paraId="59F918CE">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1</w:t>
            </w:r>
          </w:p>
        </w:tc>
        <w:tc>
          <w:tcPr>
            <w:tcW w:w="1701" w:type="dxa"/>
            <w:vAlign w:val="center"/>
          </w:tcPr>
          <w:p w14:paraId="4ED0F62D">
            <w:pPr>
              <w:widowControl/>
              <w:snapToGrid w:val="0"/>
              <w:spacing w:line="288" w:lineRule="auto"/>
              <w:rPr>
                <w:rFonts w:ascii="仿宋" w:hAnsi="仿宋" w:eastAsia="仿宋" w:cs="仿宋"/>
                <w:color w:val="000000"/>
                <w:szCs w:val="21"/>
              </w:rPr>
            </w:pPr>
            <w:r>
              <w:rPr>
                <w:rFonts w:hint="eastAsia" w:ascii="仿宋" w:hAnsi="仿宋" w:eastAsia="仿宋" w:cs="仿宋"/>
                <w:color w:val="000000"/>
                <w:szCs w:val="21"/>
              </w:rPr>
              <w:t>供应商业绩（10分）</w:t>
            </w:r>
          </w:p>
        </w:tc>
        <w:tc>
          <w:tcPr>
            <w:tcW w:w="6237" w:type="dxa"/>
            <w:gridSpan w:val="2"/>
            <w:vAlign w:val="center"/>
          </w:tcPr>
          <w:p w14:paraId="76C249E5">
            <w:pPr>
              <w:widowControl/>
              <w:snapToGrid w:val="0"/>
              <w:spacing w:line="288" w:lineRule="auto"/>
              <w:rPr>
                <w:rFonts w:ascii="仿宋" w:hAnsi="仿宋" w:eastAsia="仿宋" w:cs="仿宋"/>
                <w:color w:val="000000"/>
                <w:szCs w:val="21"/>
              </w:rPr>
            </w:pPr>
            <w:r>
              <w:rPr>
                <w:rFonts w:hint="eastAsia" w:ascii="仿宋" w:hAnsi="仿宋" w:eastAsia="仿宋" w:cs="仿宋"/>
                <w:color w:val="000000"/>
                <w:szCs w:val="21"/>
              </w:rPr>
              <w:t>自2022年1月1日（以合同签订时间为准）以来供应商每具有一个所响应标包内的任意一款或多款产品的供货业绩，得2分，满分10分。</w:t>
            </w:r>
          </w:p>
          <w:p w14:paraId="0F32C61D">
            <w:pPr>
              <w:widowControl/>
              <w:snapToGrid w:val="0"/>
              <w:spacing w:line="288" w:lineRule="auto"/>
              <w:rPr>
                <w:rFonts w:ascii="仿宋" w:hAnsi="仿宋" w:eastAsia="仿宋" w:cs="仿宋"/>
                <w:i/>
                <w:iCs/>
                <w:color w:val="000000"/>
                <w:kern w:val="0"/>
                <w:szCs w:val="21"/>
              </w:rPr>
            </w:pPr>
            <w:r>
              <w:rPr>
                <w:rFonts w:hint="eastAsia" w:ascii="仿宋" w:hAnsi="仿宋" w:eastAsia="仿宋" w:cs="仿宋"/>
                <w:color w:val="000000"/>
                <w:szCs w:val="21"/>
              </w:rPr>
              <w:t>注：业绩证明材料提供合同扫描件，合同中须能体现合同内容、合同签订时间、双方合同签章，否则不计分。</w:t>
            </w:r>
          </w:p>
        </w:tc>
      </w:tr>
      <w:tr w14:paraId="1BC41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vAlign w:val="center"/>
          </w:tcPr>
          <w:p w14:paraId="40EA4C34">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3.3.3（2）</w:t>
            </w:r>
          </w:p>
          <w:p w14:paraId="657CC4C7">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技术</w:t>
            </w:r>
          </w:p>
          <w:p w14:paraId="39BC393B">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部分</w:t>
            </w:r>
          </w:p>
        </w:tc>
        <w:tc>
          <w:tcPr>
            <w:tcW w:w="708" w:type="dxa"/>
            <w:vAlign w:val="center"/>
          </w:tcPr>
          <w:p w14:paraId="279FE987">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1</w:t>
            </w:r>
          </w:p>
        </w:tc>
        <w:tc>
          <w:tcPr>
            <w:tcW w:w="1701" w:type="dxa"/>
            <w:vAlign w:val="center"/>
          </w:tcPr>
          <w:p w14:paraId="0A12D853">
            <w:pPr>
              <w:widowControl/>
              <w:adjustRightInd w:val="0"/>
              <w:snapToGrid w:val="0"/>
              <w:spacing w:line="288" w:lineRule="auto"/>
              <w:rPr>
                <w:rFonts w:ascii="仿宋" w:hAnsi="仿宋" w:eastAsia="仿宋" w:cs="仿宋"/>
                <w:color w:val="0000FF"/>
                <w:szCs w:val="21"/>
              </w:rPr>
            </w:pPr>
            <w:r>
              <w:rPr>
                <w:rFonts w:hint="eastAsia" w:ascii="仿宋" w:hAnsi="仿宋" w:eastAsia="仿宋" w:cs="仿宋"/>
                <w:szCs w:val="21"/>
              </w:rPr>
              <w:t>所投产品技术参数及要求响应情况（35分）</w:t>
            </w:r>
          </w:p>
        </w:tc>
        <w:tc>
          <w:tcPr>
            <w:tcW w:w="6237" w:type="dxa"/>
            <w:gridSpan w:val="2"/>
            <w:vAlign w:val="center"/>
          </w:tcPr>
          <w:p w14:paraId="04700EBB">
            <w:pPr>
              <w:widowControl/>
              <w:snapToGrid w:val="0"/>
              <w:spacing w:line="288" w:lineRule="auto"/>
              <w:rPr>
                <w:rFonts w:ascii="仿宋" w:hAnsi="仿宋" w:eastAsia="仿宋" w:cs="仿宋"/>
                <w:szCs w:val="21"/>
              </w:rPr>
            </w:pPr>
            <w:r>
              <w:rPr>
                <w:rFonts w:hint="eastAsia" w:ascii="仿宋" w:hAnsi="仿宋" w:eastAsia="仿宋" w:cs="仿宋"/>
                <w:szCs w:val="21"/>
              </w:rPr>
              <w:t>根据第三章采购技术要求表中的“技术性能参数”要求的响应情况进行综合评分：</w:t>
            </w:r>
          </w:p>
          <w:p w14:paraId="4780D9C9">
            <w:pPr>
              <w:widowControl/>
              <w:snapToGrid w:val="0"/>
              <w:spacing w:line="288" w:lineRule="auto"/>
              <w:rPr>
                <w:rFonts w:ascii="仿宋" w:hAnsi="仿宋" w:eastAsia="仿宋" w:cs="仿宋"/>
                <w:szCs w:val="21"/>
              </w:rPr>
            </w:pPr>
            <w:r>
              <w:rPr>
                <w:rFonts w:hint="eastAsia" w:ascii="仿宋" w:hAnsi="仿宋" w:eastAsia="仿宋" w:cs="仿宋"/>
                <w:szCs w:val="21"/>
              </w:rPr>
              <w:t>（1）所投产品技术参数满足采购文件中技术参数要求未标*条款的，每有一项（技术要求表中的“技术性能参数”标注序号“（1）或（2）或（3）……”均分别按一项计算，如无序号“（1）、（2）、（3）……”，则以序号“1、2、3……作为一项计算）得</w:t>
            </w:r>
            <w:r>
              <w:rPr>
                <w:rFonts w:hint="eastAsia" w:ascii="仿宋" w:hAnsi="仿宋" w:eastAsia="仿宋" w:cs="仿宋"/>
                <w:szCs w:val="21"/>
                <w:lang w:val="en-US" w:eastAsia="zh-CN"/>
              </w:rPr>
              <w:t>2</w:t>
            </w:r>
            <w:r>
              <w:rPr>
                <w:rFonts w:hint="eastAsia" w:ascii="仿宋" w:hAnsi="仿宋" w:eastAsia="仿宋" w:cs="仿宋"/>
                <w:szCs w:val="21"/>
              </w:rPr>
              <w:t>分，最高得35分</w:t>
            </w:r>
          </w:p>
          <w:p w14:paraId="1C9823AB">
            <w:pPr>
              <w:widowControl/>
              <w:snapToGrid w:val="0"/>
              <w:spacing w:line="288" w:lineRule="auto"/>
              <w:rPr>
                <w:rFonts w:ascii="仿宋" w:hAnsi="仿宋" w:eastAsia="仿宋" w:cs="仿宋"/>
                <w:szCs w:val="21"/>
              </w:rPr>
            </w:pPr>
            <w:r>
              <w:rPr>
                <w:rFonts w:hint="eastAsia" w:ascii="仿宋" w:hAnsi="仿宋" w:eastAsia="仿宋" w:cs="仿宋"/>
                <w:szCs w:val="21"/>
              </w:rPr>
              <w:t>（2）采购文件中技术参数要求标*条款的，为不可偏离项，不满足视为不响应采购文件。</w:t>
            </w:r>
          </w:p>
          <w:p w14:paraId="26416779">
            <w:pPr>
              <w:widowControl/>
              <w:adjustRightInd w:val="0"/>
              <w:snapToGrid w:val="0"/>
              <w:spacing w:line="288" w:lineRule="auto"/>
              <w:rPr>
                <w:rFonts w:ascii="仿宋" w:hAnsi="仿宋" w:eastAsia="仿宋" w:cs="仿宋"/>
                <w:color w:val="0000FF"/>
                <w:kern w:val="0"/>
                <w:szCs w:val="21"/>
              </w:rPr>
            </w:pPr>
            <w:r>
              <w:rPr>
                <w:rFonts w:hint="eastAsia" w:ascii="仿宋" w:hAnsi="仿宋" w:eastAsia="仿宋" w:cs="仿宋"/>
                <w:szCs w:val="21"/>
              </w:rPr>
              <w:t>备注：以采购文件中的技术要求偏离表及相应技术参数中要求提供的证明材料作为评审依据。要求提供证明材料的，未提供证明材料或提供的证明材料不符合要求的，视为负偏离；未要求提供证明材料的，以技术要求偏离表作为评审依据。</w:t>
            </w:r>
          </w:p>
        </w:tc>
      </w:tr>
      <w:tr w14:paraId="15B22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vAlign w:val="center"/>
          </w:tcPr>
          <w:p w14:paraId="0FBCE23E">
            <w:pPr>
              <w:widowControl/>
              <w:snapToGrid w:val="0"/>
              <w:spacing w:line="288" w:lineRule="auto"/>
              <w:jc w:val="center"/>
              <w:rPr>
                <w:rFonts w:ascii="仿宋" w:hAnsi="仿宋" w:eastAsia="仿宋" w:cs="仿宋"/>
                <w:kern w:val="0"/>
                <w:szCs w:val="21"/>
              </w:rPr>
            </w:pPr>
          </w:p>
        </w:tc>
        <w:tc>
          <w:tcPr>
            <w:tcW w:w="708" w:type="dxa"/>
            <w:vAlign w:val="center"/>
          </w:tcPr>
          <w:p w14:paraId="474A2848">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2</w:t>
            </w:r>
          </w:p>
        </w:tc>
        <w:tc>
          <w:tcPr>
            <w:tcW w:w="1701" w:type="dxa"/>
            <w:vAlign w:val="center"/>
          </w:tcPr>
          <w:p w14:paraId="7C940665">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产品技术方案（5分）</w:t>
            </w:r>
          </w:p>
        </w:tc>
        <w:tc>
          <w:tcPr>
            <w:tcW w:w="6237" w:type="dxa"/>
            <w:gridSpan w:val="2"/>
            <w:vAlign w:val="center"/>
          </w:tcPr>
          <w:p w14:paraId="5214EFAC">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评审小组依据供应商所响应产品的选型、配置、性能、规格型号等方面进行综合评审：</w:t>
            </w:r>
          </w:p>
          <w:p w14:paraId="35217E2F">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（1）所投产品选型先进，配置与产品用途匹配度高，性能较优，规格选型满足采购需求，得5分。</w:t>
            </w:r>
          </w:p>
          <w:p w14:paraId="6357FDCF">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（2）所投产品选型较先进，配置与产品用途匹配度较高，性能良好，规格选型满足采购需求，得3分。</w:t>
            </w:r>
          </w:p>
          <w:p w14:paraId="20A8B7A0">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（3）所投产品选型不佳，配置与产品用途匹配度不佳，性能不佳，规格选型不佳，得1分。</w:t>
            </w:r>
          </w:p>
          <w:p w14:paraId="47C7D663">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（4）未提供相关内容的，此项不得分。</w:t>
            </w:r>
          </w:p>
          <w:p w14:paraId="6F18C73B">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注：响应文件中提供证明材料，证明材料无固定形式，如产品技术说明，故障率、维修使用等，未提供相关内容的不得分。</w:t>
            </w:r>
          </w:p>
        </w:tc>
      </w:tr>
      <w:tr w14:paraId="6E167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12548BBE">
            <w:pPr>
              <w:widowControl/>
              <w:snapToGrid w:val="0"/>
              <w:spacing w:line="288" w:lineRule="auto"/>
              <w:jc w:val="center"/>
              <w:rPr>
                <w:rFonts w:ascii="仿宋" w:hAnsi="仿宋" w:eastAsia="仿宋" w:cs="仿宋"/>
                <w:kern w:val="0"/>
                <w:szCs w:val="21"/>
              </w:rPr>
            </w:pPr>
          </w:p>
        </w:tc>
        <w:tc>
          <w:tcPr>
            <w:tcW w:w="708" w:type="dxa"/>
            <w:vAlign w:val="center"/>
          </w:tcPr>
          <w:p w14:paraId="3D64CF53">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3</w:t>
            </w:r>
          </w:p>
        </w:tc>
        <w:tc>
          <w:tcPr>
            <w:tcW w:w="1701" w:type="dxa"/>
            <w:vAlign w:val="center"/>
          </w:tcPr>
          <w:p w14:paraId="0A85C92D">
            <w:pPr>
              <w:widowControl/>
              <w:adjustRightInd w:val="0"/>
              <w:snapToGrid w:val="0"/>
              <w:spacing w:line="288" w:lineRule="auto"/>
              <w:rPr>
                <w:rFonts w:ascii="仿宋" w:hAnsi="仿宋" w:eastAsia="仿宋" w:cs="仿宋"/>
                <w:szCs w:val="21"/>
                <w:lang w:bidi="zh-CN"/>
              </w:rPr>
            </w:pPr>
            <w:r>
              <w:rPr>
                <w:rFonts w:hint="eastAsia" w:ascii="仿宋" w:hAnsi="仿宋" w:eastAsia="仿宋" w:cs="仿宋"/>
                <w:szCs w:val="21"/>
                <w:lang w:bidi="zh-CN"/>
              </w:rPr>
              <w:t>供货安装调</w:t>
            </w:r>
          </w:p>
          <w:p w14:paraId="70FC474B">
            <w:pPr>
              <w:widowControl/>
              <w:adjustRightInd w:val="0"/>
              <w:snapToGrid w:val="0"/>
              <w:spacing w:line="288" w:lineRule="auto"/>
              <w:rPr>
                <w:rFonts w:ascii="仿宋" w:hAnsi="仿宋" w:eastAsia="仿宋" w:cs="仿宋"/>
                <w:color w:val="0000FF"/>
                <w:szCs w:val="21"/>
              </w:rPr>
            </w:pPr>
            <w:r>
              <w:rPr>
                <w:rFonts w:hint="eastAsia" w:ascii="仿宋" w:hAnsi="仿宋" w:eastAsia="仿宋" w:cs="仿宋"/>
                <w:szCs w:val="21"/>
                <w:lang w:bidi="zh-CN"/>
              </w:rPr>
              <w:t>试方案（5分）</w:t>
            </w:r>
          </w:p>
        </w:tc>
        <w:tc>
          <w:tcPr>
            <w:tcW w:w="6237" w:type="dxa"/>
            <w:gridSpan w:val="2"/>
            <w:vAlign w:val="center"/>
          </w:tcPr>
          <w:p w14:paraId="2EB34B8C">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根据供应商针对本项目提供的供货安装调试方案、技术培训方案以及产品质量保证措施等内容进行综合评分：</w:t>
            </w:r>
          </w:p>
          <w:p w14:paraId="3DA34F69">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（1）方案详细完善，便于实施，满足项目实际需求的得5分；</w:t>
            </w:r>
          </w:p>
          <w:p w14:paraId="471660D3">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（2）方案详细，有待完善，符合项目实际需求的得3分；</w:t>
            </w:r>
          </w:p>
          <w:p w14:paraId="5E10AC46">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（3）方案内容有待进一步细化，与项目实际需求契合度需进一步提升的得1分；</w:t>
            </w:r>
          </w:p>
          <w:p w14:paraId="419786BB">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（4）未提供相关内容的，此项不得分。</w:t>
            </w:r>
          </w:p>
        </w:tc>
      </w:tr>
      <w:tr w14:paraId="40836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4353B5BD">
            <w:pPr>
              <w:widowControl/>
              <w:snapToGrid w:val="0"/>
              <w:spacing w:line="288" w:lineRule="auto"/>
              <w:jc w:val="center"/>
              <w:rPr>
                <w:rFonts w:ascii="仿宋" w:hAnsi="仿宋" w:eastAsia="仿宋" w:cs="仿宋"/>
                <w:kern w:val="0"/>
                <w:szCs w:val="21"/>
              </w:rPr>
            </w:pPr>
          </w:p>
        </w:tc>
        <w:tc>
          <w:tcPr>
            <w:tcW w:w="708" w:type="dxa"/>
            <w:vAlign w:val="center"/>
          </w:tcPr>
          <w:p w14:paraId="7081E55F">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4</w:t>
            </w:r>
          </w:p>
        </w:tc>
        <w:tc>
          <w:tcPr>
            <w:tcW w:w="1701" w:type="dxa"/>
            <w:vAlign w:val="center"/>
          </w:tcPr>
          <w:p w14:paraId="45F3C61A">
            <w:pPr>
              <w:widowControl/>
              <w:adjustRightInd w:val="0"/>
              <w:snapToGrid w:val="0"/>
              <w:spacing w:line="288" w:lineRule="auto"/>
              <w:rPr>
                <w:rFonts w:ascii="仿宋" w:hAnsi="仿宋" w:eastAsia="仿宋" w:cs="仿宋"/>
                <w:color w:val="0000FF"/>
                <w:szCs w:val="21"/>
              </w:rPr>
            </w:pPr>
            <w:r>
              <w:rPr>
                <w:rFonts w:hint="eastAsia" w:ascii="仿宋" w:hAnsi="仿宋" w:eastAsia="仿宋" w:cs="仿宋"/>
                <w:szCs w:val="21"/>
              </w:rPr>
              <w:t>售后服务与维保方案（3分）</w:t>
            </w:r>
          </w:p>
        </w:tc>
        <w:tc>
          <w:tcPr>
            <w:tcW w:w="6237" w:type="dxa"/>
            <w:gridSpan w:val="2"/>
            <w:vAlign w:val="center"/>
          </w:tcPr>
          <w:p w14:paraId="3050B895">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评审小组依据供应商响应文件中提供的售后服务与维保方案，具体包含售后服务管理制度、保障措施、维保方式、维保内容以及质保期满后的维保费用、时间保证等情况酌情评分：</w:t>
            </w:r>
          </w:p>
          <w:p w14:paraId="37A9C642">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（1）方案内容详实、表述清晰，售后服务管理制度完善，有具体切实可行的保障措施，售后人员配备充足、故障响应时间短，质保期满后的维保费用与项目实际需求高度契合，得3分；</w:t>
            </w:r>
          </w:p>
          <w:p w14:paraId="4C7D1265">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 xml:space="preserve">（2）内容完整、表述较清晰，有保障措施，配备售后服务人员，维保费用与项目实际需求契合的，得2 分； </w:t>
            </w:r>
          </w:p>
          <w:p w14:paraId="0CC5E3CE">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 xml:space="preserve">（3）内容简单，配备售后服务人员，售后服务整体方案基本满足需求的，得1分； </w:t>
            </w:r>
          </w:p>
          <w:p w14:paraId="489E20B8">
            <w:pPr>
              <w:widowControl/>
              <w:adjustRightInd w:val="0"/>
              <w:snapToGrid w:val="0"/>
              <w:spacing w:line="288" w:lineRule="auto"/>
              <w:rPr>
                <w:rFonts w:ascii="仿宋" w:hAnsi="仿宋" w:eastAsia="仿宋" w:cs="仿宋"/>
                <w:color w:val="0000FF"/>
                <w:kern w:val="0"/>
                <w:szCs w:val="21"/>
              </w:rPr>
            </w:pPr>
            <w:r>
              <w:rPr>
                <w:rFonts w:hint="eastAsia" w:ascii="仿宋" w:hAnsi="仿宋" w:eastAsia="仿宋" w:cs="仿宋"/>
                <w:szCs w:val="21"/>
              </w:rPr>
              <w:t>（4）未提供相关内容，此项不得分。</w:t>
            </w:r>
          </w:p>
        </w:tc>
      </w:tr>
      <w:tr w14:paraId="16E82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tcPr>
          <w:p w14:paraId="4D57070D">
            <w:pPr>
              <w:widowControl/>
              <w:snapToGrid w:val="0"/>
              <w:spacing w:line="288" w:lineRule="auto"/>
              <w:jc w:val="center"/>
              <w:rPr>
                <w:rFonts w:ascii="仿宋" w:hAnsi="仿宋" w:eastAsia="仿宋" w:cs="仿宋"/>
                <w:kern w:val="0"/>
                <w:szCs w:val="21"/>
              </w:rPr>
            </w:pPr>
          </w:p>
        </w:tc>
        <w:tc>
          <w:tcPr>
            <w:tcW w:w="708" w:type="dxa"/>
            <w:vAlign w:val="center"/>
          </w:tcPr>
          <w:p w14:paraId="3977E8D4">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5</w:t>
            </w:r>
          </w:p>
        </w:tc>
        <w:tc>
          <w:tcPr>
            <w:tcW w:w="1701" w:type="dxa"/>
            <w:vAlign w:val="center"/>
          </w:tcPr>
          <w:p w14:paraId="3F9F5BDE">
            <w:pPr>
              <w:widowControl/>
              <w:adjustRightInd w:val="0"/>
              <w:snapToGrid w:val="0"/>
              <w:spacing w:line="288" w:lineRule="auto"/>
              <w:rPr>
                <w:rFonts w:ascii="仿宋" w:hAnsi="仿宋" w:eastAsia="仿宋" w:cs="仿宋"/>
                <w:color w:val="0000FF"/>
                <w:szCs w:val="21"/>
              </w:rPr>
            </w:pPr>
            <w:r>
              <w:rPr>
                <w:rFonts w:hint="eastAsia" w:ascii="仿宋" w:hAnsi="仿宋" w:eastAsia="仿宋" w:cs="仿宋"/>
                <w:szCs w:val="21"/>
              </w:rPr>
              <w:t>质保期（2分）</w:t>
            </w:r>
          </w:p>
        </w:tc>
        <w:tc>
          <w:tcPr>
            <w:tcW w:w="6237" w:type="dxa"/>
            <w:gridSpan w:val="2"/>
            <w:vAlign w:val="center"/>
          </w:tcPr>
          <w:p w14:paraId="5567B7D5">
            <w:pPr>
              <w:widowControl/>
              <w:adjustRightInd w:val="0"/>
              <w:snapToGrid w:val="0"/>
              <w:spacing w:line="288" w:lineRule="auto"/>
              <w:rPr>
                <w:rFonts w:ascii="仿宋" w:hAnsi="仿宋" w:eastAsia="仿宋" w:cs="仿宋"/>
                <w:color w:val="0000FF"/>
                <w:kern w:val="0"/>
                <w:szCs w:val="21"/>
              </w:rPr>
            </w:pPr>
            <w:r>
              <w:rPr>
                <w:rFonts w:hint="eastAsia" w:ascii="仿宋" w:hAnsi="仿宋" w:eastAsia="仿宋" w:cs="仿宋"/>
                <w:szCs w:val="21"/>
              </w:rPr>
              <w:t>在满足采购文件要求的1年质保期的基础上，每增加6个月加1分，满分2分。</w:t>
            </w:r>
          </w:p>
        </w:tc>
      </w:tr>
      <w:tr w14:paraId="01B4D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Align w:val="center"/>
          </w:tcPr>
          <w:p w14:paraId="4026BFA8">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3.3.3（3）</w:t>
            </w:r>
          </w:p>
          <w:p w14:paraId="2891F805">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响应报价</w:t>
            </w:r>
          </w:p>
        </w:tc>
        <w:tc>
          <w:tcPr>
            <w:tcW w:w="708" w:type="dxa"/>
            <w:vAlign w:val="center"/>
          </w:tcPr>
          <w:p w14:paraId="11361411">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1</w:t>
            </w:r>
          </w:p>
        </w:tc>
        <w:tc>
          <w:tcPr>
            <w:tcW w:w="1701" w:type="dxa"/>
            <w:vAlign w:val="center"/>
          </w:tcPr>
          <w:p w14:paraId="4E9C5D97">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响应报价得分计算</w:t>
            </w:r>
          </w:p>
        </w:tc>
        <w:tc>
          <w:tcPr>
            <w:tcW w:w="4225" w:type="dxa"/>
            <w:vAlign w:val="center"/>
          </w:tcPr>
          <w:p w14:paraId="419624FA">
            <w:pPr>
              <w:widowControl/>
              <w:snapToGrid w:val="0"/>
              <w:spacing w:line="288" w:lineRule="auto"/>
              <w:rPr>
                <w:rFonts w:ascii="仿宋" w:hAnsi="仿宋" w:eastAsia="仿宋" w:cs="仿宋"/>
                <w:szCs w:val="21"/>
              </w:rPr>
            </w:pPr>
            <w:r>
              <w:rPr>
                <w:rFonts w:hint="eastAsia" w:ascii="仿宋" w:hAnsi="仿宋" w:eastAsia="仿宋" w:cs="仿宋"/>
                <w:szCs w:val="21"/>
              </w:rPr>
              <w:t>满足磋商文件要求且最后报价最低的供应商的价格分为满分。其他供应商的价格分统一按照下列公式计算：</w:t>
            </w:r>
          </w:p>
          <w:p w14:paraId="42C2D1A8">
            <w:pPr>
              <w:widowControl/>
              <w:snapToGrid w:val="0"/>
              <w:spacing w:line="288" w:lineRule="auto"/>
              <w:rPr>
                <w:rFonts w:ascii="仿宋" w:hAnsi="仿宋" w:eastAsia="仿宋" w:cs="仿宋"/>
                <w:szCs w:val="21"/>
              </w:rPr>
            </w:pPr>
            <w:r>
              <w:rPr>
                <w:rFonts w:hint="eastAsia" w:ascii="仿宋" w:hAnsi="仿宋" w:eastAsia="仿宋" w:cs="仿宋"/>
                <w:szCs w:val="21"/>
              </w:rPr>
              <w:t>响应报价得分＝（评审基准价/响应报价）×响应报价满分。</w:t>
            </w:r>
          </w:p>
        </w:tc>
        <w:tc>
          <w:tcPr>
            <w:tcW w:w="2012" w:type="dxa"/>
            <w:vAlign w:val="center"/>
          </w:tcPr>
          <w:p w14:paraId="0E88A460">
            <w:pPr>
              <w:snapToGrid w:val="0"/>
              <w:spacing w:line="288" w:lineRule="auto"/>
              <w:ind w:left="-38"/>
              <w:rPr>
                <w:rFonts w:ascii="仿宋" w:hAnsi="仿宋" w:eastAsia="仿宋" w:cs="仿宋"/>
                <w:szCs w:val="21"/>
              </w:rPr>
            </w:pPr>
            <w:r>
              <w:rPr>
                <w:rFonts w:hint="eastAsia" w:ascii="仿宋" w:hAnsi="仿宋" w:eastAsia="仿宋" w:cs="仿宋"/>
                <w:szCs w:val="21"/>
              </w:rPr>
              <w:t>符合价格扣除政策的，用扣除后的价格参与计算、评分</w:t>
            </w:r>
          </w:p>
        </w:tc>
      </w:tr>
      <w:tr w14:paraId="53B18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Align w:val="center"/>
          </w:tcPr>
          <w:p w14:paraId="0FA59025">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3.3.3（4）</w:t>
            </w:r>
          </w:p>
          <w:p w14:paraId="553281C1">
            <w:pPr>
              <w:widowControl/>
              <w:snapToGrid w:val="0"/>
              <w:spacing w:line="288" w:lineRule="auto"/>
              <w:jc w:val="center"/>
              <w:rPr>
                <w:rFonts w:ascii="仿宋" w:hAnsi="仿宋" w:eastAsia="仿宋" w:cs="仿宋"/>
                <w:kern w:val="0"/>
                <w:szCs w:val="21"/>
              </w:rPr>
            </w:pPr>
            <w:r>
              <w:rPr>
                <w:rFonts w:hint="eastAsia" w:ascii="仿宋" w:hAnsi="仿宋" w:eastAsia="仿宋" w:cs="仿宋"/>
                <w:szCs w:val="21"/>
              </w:rPr>
              <w:t>其他评分因素</w:t>
            </w:r>
          </w:p>
        </w:tc>
        <w:tc>
          <w:tcPr>
            <w:tcW w:w="708" w:type="dxa"/>
            <w:vAlign w:val="center"/>
          </w:tcPr>
          <w:p w14:paraId="27546BBD">
            <w:pPr>
              <w:widowControl/>
              <w:snapToGrid w:val="0"/>
              <w:spacing w:line="288" w:lineRule="auto"/>
              <w:jc w:val="center"/>
              <w:rPr>
                <w:rFonts w:ascii="仿宋" w:hAnsi="仿宋" w:eastAsia="仿宋" w:cs="仿宋"/>
                <w:kern w:val="0"/>
                <w:szCs w:val="21"/>
              </w:rPr>
            </w:pPr>
            <w:r>
              <w:rPr>
                <w:rFonts w:hint="eastAsia" w:ascii="仿宋" w:hAnsi="仿宋" w:eastAsia="仿宋" w:cs="仿宋"/>
                <w:kern w:val="0"/>
                <w:szCs w:val="21"/>
              </w:rPr>
              <w:t>1</w:t>
            </w:r>
          </w:p>
        </w:tc>
        <w:tc>
          <w:tcPr>
            <w:tcW w:w="1701" w:type="dxa"/>
            <w:vAlign w:val="center"/>
          </w:tcPr>
          <w:p w14:paraId="0E5D5713">
            <w:pPr>
              <w:widowControl/>
              <w:adjustRightInd w:val="0"/>
              <w:snapToGrid w:val="0"/>
              <w:spacing w:line="288" w:lineRule="auto"/>
              <w:rPr>
                <w:rFonts w:ascii="仿宋" w:hAnsi="仿宋" w:eastAsia="仿宋" w:cs="仿宋"/>
                <w:szCs w:val="21"/>
              </w:rPr>
            </w:pPr>
            <w:r>
              <w:rPr>
                <w:rFonts w:hint="eastAsia" w:ascii="仿宋" w:hAnsi="仿宋" w:eastAsia="仿宋" w:cs="仿宋"/>
                <w:szCs w:val="21"/>
              </w:rPr>
              <w:t>其他评分因素（如有）</w:t>
            </w:r>
          </w:p>
        </w:tc>
        <w:tc>
          <w:tcPr>
            <w:tcW w:w="4225" w:type="dxa"/>
            <w:vAlign w:val="center"/>
          </w:tcPr>
          <w:p w14:paraId="051FE17E">
            <w:pPr>
              <w:widowControl/>
              <w:snapToGrid w:val="0"/>
              <w:spacing w:line="288" w:lineRule="auto"/>
              <w:rPr>
                <w:rFonts w:ascii="仿宋" w:hAnsi="仿宋" w:eastAsia="仿宋" w:cs="仿宋"/>
                <w:szCs w:val="21"/>
              </w:rPr>
            </w:pPr>
            <w:r>
              <w:rPr>
                <w:rFonts w:hint="eastAsia" w:ascii="仿宋" w:hAnsi="仿宋" w:eastAsia="仿宋" w:cs="仿宋"/>
                <w:szCs w:val="21"/>
              </w:rPr>
              <w:t>/</w:t>
            </w:r>
          </w:p>
        </w:tc>
        <w:tc>
          <w:tcPr>
            <w:tcW w:w="2012" w:type="dxa"/>
            <w:vAlign w:val="center"/>
          </w:tcPr>
          <w:p w14:paraId="04FD0558">
            <w:pPr>
              <w:snapToGrid w:val="0"/>
              <w:spacing w:line="288" w:lineRule="auto"/>
              <w:ind w:left="-38"/>
              <w:rPr>
                <w:rFonts w:ascii="仿宋" w:hAnsi="仿宋" w:eastAsia="仿宋" w:cs="仿宋"/>
                <w:szCs w:val="21"/>
              </w:rPr>
            </w:pPr>
            <w:r>
              <w:rPr>
                <w:rFonts w:hint="eastAsia" w:ascii="仿宋" w:hAnsi="仿宋" w:eastAsia="仿宋" w:cs="仿宋"/>
                <w:szCs w:val="21"/>
              </w:rPr>
              <w:t>/</w:t>
            </w:r>
          </w:p>
        </w:tc>
      </w:tr>
    </w:tbl>
    <w:p w14:paraId="6E95E762">
      <w:pPr>
        <w:pStyle w:val="153"/>
        <w:adjustRightInd w:val="0"/>
        <w:snapToGrid w:val="0"/>
        <w:spacing w:before="0" w:line="240" w:lineRule="auto"/>
        <w:ind w:firstLine="480" w:firstLineChars="200"/>
        <w:rPr>
          <w:rFonts w:ascii="宋体" w:hAnsi="宋体" w:eastAsia="仿宋"/>
          <w:bCs/>
          <w:color w:val="0000FF"/>
          <w:sz w:val="24"/>
          <w:szCs w:val="24"/>
        </w:rPr>
      </w:pPr>
    </w:p>
    <w:p w14:paraId="611CF75D">
      <w:pPr>
        <w:pStyle w:val="153"/>
        <w:adjustRightInd w:val="0"/>
        <w:snapToGrid w:val="0"/>
        <w:spacing w:before="0" w:line="240" w:lineRule="auto"/>
        <w:ind w:firstLine="480" w:firstLineChars="200"/>
        <w:rPr>
          <w:rFonts w:ascii="宋体" w:hAnsi="宋体" w:eastAsia="仿宋"/>
          <w:bCs/>
          <w:color w:val="0000FF"/>
          <w:sz w:val="24"/>
          <w:szCs w:val="24"/>
        </w:rPr>
      </w:pPr>
    </w:p>
    <w:p w14:paraId="0D088AE0">
      <w:pPr>
        <w:pStyle w:val="3"/>
        <w:widowControl/>
        <w:adjustRightInd w:val="0"/>
        <w:spacing w:before="0" w:after="0" w:line="360" w:lineRule="auto"/>
        <w:ind w:firstLine="482" w:firstLineChars="200"/>
        <w:rPr>
          <w:rFonts w:ascii="宋体" w:hAnsi="宋体" w:eastAsia="仿宋"/>
          <w:bCs w:val="0"/>
          <w:color w:val="0000FF"/>
          <w:sz w:val="24"/>
          <w:szCs w:val="24"/>
        </w:rPr>
      </w:pPr>
      <w:bookmarkStart w:id="697" w:name="_Toc445554766"/>
    </w:p>
    <w:p w14:paraId="7F76C511">
      <w:pPr>
        <w:pStyle w:val="153"/>
        <w:adjustRightInd w:val="0"/>
        <w:snapToGrid w:val="0"/>
        <w:spacing w:before="0" w:line="240" w:lineRule="auto"/>
        <w:ind w:firstLine="480" w:firstLineChars="200"/>
        <w:rPr>
          <w:rFonts w:ascii="宋体" w:hAnsi="宋体" w:eastAsia="仿宋"/>
          <w:bCs/>
          <w:color w:val="0000FF"/>
          <w:sz w:val="24"/>
          <w:szCs w:val="24"/>
        </w:rPr>
      </w:pPr>
    </w:p>
    <w:p w14:paraId="038F9AEA">
      <w:pPr>
        <w:rPr>
          <w:rFonts w:ascii="宋体" w:hAnsi="宋体" w:eastAsia="仿宋"/>
          <w:bCs/>
          <w:color w:val="0000FF"/>
          <w:sz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bookmarkEnd w:id="697"/>
    <w:p w14:paraId="646831D7">
      <w:pPr>
        <w:pStyle w:val="3"/>
        <w:widowControl/>
        <w:adjustRightInd w:val="0"/>
        <w:spacing w:before="0" w:after="0" w:line="360" w:lineRule="auto"/>
        <w:ind w:firstLine="482" w:firstLineChars="200"/>
        <w:rPr>
          <w:rFonts w:ascii="仿宋" w:hAnsi="仿宋" w:eastAsia="仿宋" w:cs="仿宋"/>
          <w:bCs w:val="0"/>
          <w:sz w:val="24"/>
          <w:szCs w:val="24"/>
        </w:rPr>
      </w:pPr>
      <w:bookmarkStart w:id="698" w:name="_Toc466024565"/>
      <w:bookmarkStart w:id="699" w:name="_Toc455587282"/>
      <w:bookmarkStart w:id="700" w:name="_Toc455587098"/>
      <w:r>
        <w:rPr>
          <w:rFonts w:hint="eastAsia" w:ascii="仿宋" w:hAnsi="仿宋" w:eastAsia="仿宋" w:cs="仿宋"/>
          <w:bCs w:val="0"/>
          <w:sz w:val="24"/>
          <w:szCs w:val="24"/>
        </w:rPr>
        <w:t>1. 磋商与评审方法</w:t>
      </w:r>
      <w:bookmarkEnd w:id="698"/>
      <w:bookmarkEnd w:id="699"/>
      <w:bookmarkEnd w:id="700"/>
    </w:p>
    <w:p w14:paraId="58DE3C31">
      <w:pPr>
        <w:pStyle w:val="152"/>
        <w:adjustRightInd w:val="0"/>
        <w:snapToGrid w:val="0"/>
        <w:spacing w:line="360" w:lineRule="auto"/>
        <w:ind w:firstLine="480" w:firstLineChars="200"/>
        <w:rPr>
          <w:rFonts w:ascii="仿宋" w:hAnsi="仿宋" w:eastAsia="仿宋" w:cs="仿宋"/>
          <w:sz w:val="24"/>
          <w:szCs w:val="24"/>
        </w:rPr>
      </w:pPr>
      <w:bookmarkStart w:id="701" w:name="_Toc445554768"/>
      <w:bookmarkStart w:id="702" w:name="_Toc455587284"/>
      <w:bookmarkStart w:id="703" w:name="_Toc455587100"/>
      <w:bookmarkStart w:id="704" w:name="_Toc466024567"/>
      <w:r>
        <w:rPr>
          <w:rFonts w:hint="eastAsia" w:ascii="仿宋" w:hAnsi="仿宋" w:eastAsia="仿宋" w:cs="仿宋"/>
          <w:sz w:val="24"/>
          <w:szCs w:val="24"/>
        </w:rPr>
        <w:t>本次评审采用综合评分法。磋商小组按照本章第3条规定的评审标准进行审查与评分，并按评审得分由高到低的顺序推荐成交候选供应商。评审得分相同时，按照最后报价由低到高的顺序推荐；评审得分且最后报价相同的，按照技术部分得分由高到低的顺序推荐；技术得分也相同的，则供应商提供的产品为节能或环境标志产品者优先（同时列入节能产品政府采购品目清单和环境标志产品政府采购品目清单的产品，优先于只列入其中一个清单的产品）；若前述均相同且产品同为节能/环境标志产品或均无节能/环境标志产品，则采取磋商小组随机抽签方式确定成交候选供应商排序。</w:t>
      </w:r>
    </w:p>
    <w:p w14:paraId="27CA06A5">
      <w:pPr>
        <w:pStyle w:val="3"/>
        <w:widowControl/>
        <w:adjustRightInd w:val="0"/>
        <w:spacing w:before="0" w:after="0" w:line="360" w:lineRule="auto"/>
        <w:ind w:firstLine="482" w:firstLineChars="200"/>
        <w:rPr>
          <w:rFonts w:ascii="仿宋" w:hAnsi="仿宋" w:eastAsia="仿宋" w:cs="仿宋"/>
          <w:bCs w:val="0"/>
          <w:sz w:val="24"/>
          <w:szCs w:val="24"/>
        </w:rPr>
      </w:pPr>
      <w:r>
        <w:rPr>
          <w:rFonts w:hint="eastAsia" w:ascii="仿宋" w:hAnsi="仿宋" w:eastAsia="仿宋" w:cs="仿宋"/>
          <w:bCs w:val="0"/>
          <w:sz w:val="24"/>
          <w:szCs w:val="24"/>
        </w:rPr>
        <w:t>2. 磋商小组的组成和职责</w:t>
      </w:r>
      <w:bookmarkEnd w:id="701"/>
      <w:bookmarkEnd w:id="702"/>
      <w:bookmarkEnd w:id="703"/>
      <w:bookmarkEnd w:id="704"/>
    </w:p>
    <w:p w14:paraId="0ED6BF99">
      <w:pPr>
        <w:pStyle w:val="4"/>
        <w:spacing w:before="120" w:after="120"/>
        <w:rPr>
          <w:rFonts w:ascii="仿宋" w:hAnsi="仿宋" w:eastAsia="仿宋" w:cs="仿宋"/>
          <w:sz w:val="24"/>
          <w:lang w:eastAsia="zh-CN"/>
        </w:rPr>
      </w:pPr>
      <w:r>
        <w:rPr>
          <w:rFonts w:hint="eastAsia" w:ascii="仿宋" w:hAnsi="仿宋" w:eastAsia="仿宋" w:cs="仿宋"/>
          <w:sz w:val="24"/>
          <w:lang w:eastAsia="zh-CN"/>
        </w:rPr>
        <w:t>2.1 磋商小组的组成</w:t>
      </w:r>
    </w:p>
    <w:p w14:paraId="09C4E2AD">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磋商小组由采购人依</w:t>
      </w:r>
      <w:r>
        <w:rPr>
          <w:rFonts w:hint="eastAsia" w:ascii="仿宋" w:hAnsi="仿宋" w:eastAsia="仿宋" w:cs="仿宋"/>
          <w:color w:val="000000"/>
          <w:sz w:val="24"/>
          <w:szCs w:val="24"/>
        </w:rPr>
        <w:t>法组建。磋商小组应当推选组长，但采购人代表不得担任组长。</w:t>
      </w:r>
    </w:p>
    <w:p w14:paraId="2BDA8654">
      <w:pPr>
        <w:pStyle w:val="4"/>
        <w:spacing w:before="120" w:after="120"/>
        <w:rPr>
          <w:rFonts w:ascii="仿宋" w:hAnsi="仿宋" w:eastAsia="仿宋" w:cs="仿宋"/>
          <w:sz w:val="24"/>
          <w:lang w:eastAsia="zh-CN"/>
        </w:rPr>
      </w:pPr>
      <w:r>
        <w:rPr>
          <w:rFonts w:hint="eastAsia" w:ascii="仿宋" w:hAnsi="仿宋" w:eastAsia="仿宋" w:cs="仿宋"/>
          <w:sz w:val="24"/>
          <w:lang w:eastAsia="zh-CN"/>
        </w:rPr>
        <w:t>2.2 磋商小组的职责</w:t>
      </w:r>
    </w:p>
    <w:p w14:paraId="59BE7B44">
      <w:pPr>
        <w:pStyle w:val="153"/>
        <w:snapToGrid w:val="0"/>
        <w:spacing w:line="360" w:lineRule="auto"/>
        <w:ind w:firstLine="482"/>
        <w:rPr>
          <w:rFonts w:ascii="仿宋" w:hAnsi="仿宋" w:eastAsia="仿宋" w:cs="仿宋"/>
          <w:sz w:val="24"/>
        </w:rPr>
      </w:pPr>
      <w:r>
        <w:rPr>
          <w:rFonts w:hint="eastAsia" w:ascii="仿宋" w:hAnsi="仿宋" w:eastAsia="仿宋" w:cs="仿宋"/>
          <w:sz w:val="24"/>
        </w:rPr>
        <w:t>根据竞争性磋商文件规定的磋商程序、评审程序、评审方法和评审标准进行独立评审。磋商小组成员应当在评审报告上签字，对自己的磋商与评审意见承担法律责任。对需要共同认定的事项存在争议的，按照少数服从多数的原则做出结论。对评审报告有异议的，应当在评审报告上签署不同意见并说明理由，否则视为同意评审报告。</w:t>
      </w:r>
    </w:p>
    <w:p w14:paraId="083E58CF">
      <w:pPr>
        <w:pStyle w:val="4"/>
        <w:adjustRightInd w:val="0"/>
        <w:ind w:firstLine="482" w:firstLineChars="200"/>
        <w:rPr>
          <w:rFonts w:ascii="仿宋" w:hAnsi="仿宋" w:eastAsia="仿宋" w:cs="仿宋"/>
          <w:sz w:val="24"/>
          <w:lang w:eastAsia="zh-CN"/>
        </w:rPr>
      </w:pPr>
      <w:r>
        <w:rPr>
          <w:rFonts w:hint="eastAsia" w:ascii="仿宋" w:hAnsi="仿宋" w:eastAsia="仿宋" w:cs="仿宋"/>
          <w:sz w:val="24"/>
          <w:lang w:eastAsia="zh-CN"/>
        </w:rPr>
        <w:t>2.3 对磋商小组成员的纪律要求</w:t>
      </w:r>
    </w:p>
    <w:p w14:paraId="2C7382F9">
      <w:pPr>
        <w:widowControl/>
        <w:adjustRightInd w:val="0"/>
        <w:snapToGrid w:val="0"/>
        <w:spacing w:line="360" w:lineRule="auto"/>
        <w:ind w:firstLine="480" w:firstLineChars="200"/>
        <w:rPr>
          <w:rFonts w:ascii="仿宋" w:hAnsi="仿宋" w:eastAsia="仿宋" w:cs="仿宋"/>
          <w:kern w:val="0"/>
          <w:sz w:val="24"/>
          <w:highlight w:val="yellow"/>
        </w:rPr>
      </w:pPr>
      <w:r>
        <w:rPr>
          <w:rFonts w:hint="eastAsia" w:ascii="仿宋" w:hAnsi="仿宋" w:eastAsia="仿宋" w:cs="仿宋"/>
          <w:sz w:val="24"/>
        </w:rPr>
        <w:t>磋商小组成员不得收受他人的财物或者其他好处，不得向他人透露对响应文件的评审和比较、成交候选供应商的推荐情况以及评审有关的其他情况。在评审活动中，磋商小组成员不得擅离职守，影响评审程序正常进行，不得使用“评审办法”没有规定的评审因素和标准进行评审。</w:t>
      </w:r>
    </w:p>
    <w:p w14:paraId="76636161">
      <w:pPr>
        <w:pStyle w:val="3"/>
        <w:widowControl/>
        <w:adjustRightInd w:val="0"/>
        <w:spacing w:before="0" w:after="0" w:line="360" w:lineRule="auto"/>
        <w:ind w:firstLine="482" w:firstLineChars="200"/>
        <w:rPr>
          <w:rFonts w:ascii="仿宋" w:hAnsi="仿宋" w:eastAsia="仿宋" w:cs="仿宋"/>
          <w:bCs w:val="0"/>
          <w:sz w:val="24"/>
          <w:szCs w:val="24"/>
        </w:rPr>
      </w:pPr>
      <w:bookmarkStart w:id="705" w:name="_Toc455587286"/>
      <w:bookmarkStart w:id="706" w:name="_Toc455587102"/>
      <w:bookmarkStart w:id="707" w:name="_Toc445554770"/>
      <w:bookmarkStart w:id="708" w:name="_Toc466024569"/>
      <w:bookmarkStart w:id="709" w:name="_Toc455587101"/>
      <w:bookmarkStart w:id="710" w:name="_Toc466024568"/>
      <w:bookmarkStart w:id="711" w:name="_Toc455587285"/>
      <w:bookmarkStart w:id="712" w:name="_Toc445554769"/>
      <w:r>
        <w:rPr>
          <w:rFonts w:hint="eastAsia" w:ascii="仿宋" w:hAnsi="仿宋" w:eastAsia="仿宋" w:cs="仿宋"/>
          <w:bCs w:val="0"/>
          <w:sz w:val="24"/>
          <w:szCs w:val="24"/>
        </w:rPr>
        <w:t>3. 评审标准</w:t>
      </w:r>
      <w:bookmarkEnd w:id="705"/>
      <w:bookmarkEnd w:id="706"/>
      <w:bookmarkEnd w:id="707"/>
      <w:bookmarkEnd w:id="708"/>
    </w:p>
    <w:p w14:paraId="54DC79A7">
      <w:pPr>
        <w:pStyle w:val="4"/>
        <w:spacing w:before="120" w:after="120"/>
        <w:rPr>
          <w:rFonts w:ascii="仿宋" w:hAnsi="仿宋" w:eastAsia="仿宋" w:cs="仿宋"/>
          <w:sz w:val="24"/>
          <w:lang w:eastAsia="zh-CN"/>
        </w:rPr>
      </w:pPr>
      <w:r>
        <w:rPr>
          <w:rFonts w:hint="eastAsia" w:ascii="仿宋" w:hAnsi="仿宋" w:eastAsia="仿宋" w:cs="仿宋"/>
          <w:sz w:val="24"/>
          <w:lang w:eastAsia="zh-CN"/>
        </w:rPr>
        <w:t>3.1 资格审查标准</w:t>
      </w:r>
    </w:p>
    <w:p w14:paraId="20F60D6F">
      <w:pPr>
        <w:pStyle w:val="152"/>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3.1.1 磋商小组按照资格审查前附表规定的审查标准，对各供应商依次进行审查。有一项不符合审查标准的，资格审查不合格，其响应无效。</w:t>
      </w:r>
    </w:p>
    <w:p w14:paraId="3B0C4ABC">
      <w:pPr>
        <w:pStyle w:val="4"/>
        <w:spacing w:before="120" w:after="120"/>
        <w:rPr>
          <w:rFonts w:ascii="仿宋" w:hAnsi="仿宋" w:eastAsia="仿宋" w:cs="仿宋"/>
          <w:sz w:val="24"/>
          <w:lang w:eastAsia="zh-CN"/>
        </w:rPr>
      </w:pPr>
      <w:r>
        <w:rPr>
          <w:rFonts w:hint="eastAsia" w:ascii="仿宋" w:hAnsi="仿宋" w:eastAsia="仿宋" w:cs="仿宋"/>
          <w:sz w:val="24"/>
          <w:lang w:eastAsia="zh-CN"/>
        </w:rPr>
        <w:t>3.2 符合性审查标准</w:t>
      </w:r>
    </w:p>
    <w:p w14:paraId="37D2A492">
      <w:pPr>
        <w:pStyle w:val="152"/>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3.2.1 磋商小组按照符合性审查前附表规定的审查标准，对资格审查合格的供应商的响应文件进行符合性审查，以确定其是否满足采购文件的实质性要求。有一项不符合审查标准的，符合性审查不合格，其响应无效。</w:t>
      </w:r>
    </w:p>
    <w:p w14:paraId="63981BEF">
      <w:pPr>
        <w:pStyle w:val="4"/>
        <w:spacing w:before="120" w:after="120"/>
        <w:rPr>
          <w:rFonts w:ascii="仿宋" w:hAnsi="仿宋" w:eastAsia="仿宋" w:cs="仿宋"/>
          <w:sz w:val="24"/>
          <w:lang w:eastAsia="zh-CN"/>
        </w:rPr>
      </w:pPr>
      <w:r>
        <w:rPr>
          <w:rFonts w:hint="eastAsia" w:ascii="仿宋" w:hAnsi="仿宋" w:eastAsia="仿宋" w:cs="仿宋"/>
          <w:sz w:val="24"/>
          <w:lang w:eastAsia="zh-CN"/>
        </w:rPr>
        <w:t>3.2 详细评审标准</w:t>
      </w:r>
    </w:p>
    <w:p w14:paraId="5B9866C6">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3.2.1 分值构成：见评审办法前附表。</w:t>
      </w:r>
    </w:p>
    <w:p w14:paraId="007C3507">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3.2.2 评审基准价计算：见评审办法前附表。</w:t>
      </w:r>
    </w:p>
    <w:p w14:paraId="2579D3EB">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3.2.3 详细评审标准：见评审办法前附表。</w:t>
      </w:r>
    </w:p>
    <w:bookmarkEnd w:id="709"/>
    <w:bookmarkEnd w:id="710"/>
    <w:bookmarkEnd w:id="711"/>
    <w:bookmarkEnd w:id="712"/>
    <w:p w14:paraId="356D3CDA">
      <w:pPr>
        <w:pStyle w:val="3"/>
        <w:widowControl/>
        <w:adjustRightInd w:val="0"/>
        <w:spacing w:before="0" w:after="0" w:line="360" w:lineRule="auto"/>
        <w:ind w:firstLine="482" w:firstLineChars="200"/>
        <w:rPr>
          <w:rFonts w:ascii="仿宋" w:hAnsi="仿宋" w:eastAsia="仿宋" w:cs="仿宋"/>
          <w:bCs w:val="0"/>
          <w:sz w:val="24"/>
          <w:szCs w:val="24"/>
        </w:rPr>
      </w:pPr>
      <w:r>
        <w:rPr>
          <w:rFonts w:hint="eastAsia" w:ascii="仿宋" w:hAnsi="仿宋" w:eastAsia="仿宋" w:cs="仿宋"/>
          <w:bCs w:val="0"/>
          <w:sz w:val="24"/>
          <w:szCs w:val="24"/>
        </w:rPr>
        <w:t>4. 磋商与评审程序</w:t>
      </w:r>
    </w:p>
    <w:p w14:paraId="135A2679">
      <w:pPr>
        <w:pStyle w:val="4"/>
        <w:spacing w:before="120" w:after="120"/>
        <w:rPr>
          <w:rFonts w:ascii="仿宋" w:hAnsi="仿宋" w:eastAsia="仿宋" w:cs="仿宋"/>
          <w:sz w:val="24"/>
          <w:lang w:eastAsia="zh-CN"/>
        </w:rPr>
      </w:pPr>
      <w:bookmarkStart w:id="713" w:name="_Toc500009130"/>
      <w:bookmarkStart w:id="714" w:name="_Toc497923238"/>
      <w:r>
        <w:rPr>
          <w:rFonts w:hint="eastAsia" w:ascii="仿宋" w:hAnsi="仿宋" w:eastAsia="仿宋" w:cs="仿宋"/>
          <w:sz w:val="24"/>
          <w:lang w:eastAsia="zh-CN"/>
        </w:rPr>
        <w:t>4.1</w:t>
      </w:r>
      <w:bookmarkEnd w:id="713"/>
      <w:bookmarkEnd w:id="714"/>
      <w:r>
        <w:rPr>
          <w:rFonts w:hint="eastAsia" w:ascii="仿宋" w:hAnsi="仿宋" w:eastAsia="仿宋" w:cs="仿宋"/>
          <w:sz w:val="24"/>
          <w:lang w:eastAsia="zh-CN"/>
        </w:rPr>
        <w:t xml:space="preserve"> 资格审查与符合性审查</w:t>
      </w:r>
    </w:p>
    <w:p w14:paraId="6D1BD5CE">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4.1.1 磋商小组依据本章第3.1</w:t>
      </w:r>
      <w:r>
        <w:rPr>
          <w:rFonts w:hint="eastAsia" w:ascii="仿宋" w:hAnsi="仿宋" w:eastAsia="仿宋" w:cs="仿宋"/>
          <w:sz w:val="24"/>
        </w:rPr>
        <w:t>款、第</w:t>
      </w:r>
      <w:r>
        <w:rPr>
          <w:rFonts w:hint="eastAsia" w:ascii="仿宋" w:hAnsi="仿宋" w:eastAsia="仿宋" w:cs="仿宋"/>
          <w:color w:val="000000"/>
          <w:sz w:val="24"/>
        </w:rPr>
        <w:t>3.2款规定的标准对响应文件进行审查。有一项不符合审核标准的，其响应文件按无效响应处理。</w:t>
      </w:r>
    </w:p>
    <w:p w14:paraId="01157032">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4.1.2 供应商有下列情形之一的，其响应文件按无效响应处理：</w:t>
      </w:r>
    </w:p>
    <w:p w14:paraId="31BFA266">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（1）除竞争性磋商文件可能实质性变动的条款外，响应文件未对竞争性磋商文件的其他实质性条款做出响应，或者对竞争性磋商文件的偏差超过规定的偏差范围或最高项数；</w:t>
      </w:r>
    </w:p>
    <w:p w14:paraId="7284548B">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（2）有恶意串通、弄虚作假、行贿等行为。</w:t>
      </w:r>
    </w:p>
    <w:p w14:paraId="31D45B28">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4.1.3响应报价有算术错误的，磋商小组按以下原则对响应报价进行修正，修正的价格经供应商书面确认后具有约束力。供应商不接受修正价格的，其响应文件按无效响应处理。</w:t>
      </w:r>
    </w:p>
    <w:p w14:paraId="16C08039">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（1）响应文件中响应报价一览表内容与响应文件中相应内容不一致的，以响应报价一览表为准；</w:t>
      </w:r>
    </w:p>
    <w:p w14:paraId="10D498CF">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（2）大写金额和小写金额不一致的，以大写金额为准；</w:t>
      </w:r>
    </w:p>
    <w:p w14:paraId="46BBF1DA">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（3）单价金额小数点或者百分比有明显错位的，以响应报价一览表的总价为准，并修改单价；</w:t>
      </w:r>
    </w:p>
    <w:p w14:paraId="1C09A96C">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（4）总价金额与按单价汇总金额不一致的，以单价金额计算结果为准。</w:t>
      </w:r>
    </w:p>
    <w:p w14:paraId="084E23E9">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同时出现两种以上不一致的，按照前款规定的顺序修正。修正后的报价经供应商确认后产生约束力，供应商不确认的，其响应文件按无效处理。</w:t>
      </w:r>
    </w:p>
    <w:p w14:paraId="1ED088CF">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成交后，以成交价为基准，同比例修正分项单价。</w:t>
      </w:r>
    </w:p>
    <w:p w14:paraId="537751FB">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4.1.4 磋商小组按照规定的原则对响应报价进行校核时，发现响应报价存在多处算术错误或漏项的，使得响应报价校核无法进行的，其响应文件按无效处理。</w:t>
      </w:r>
    </w:p>
    <w:p w14:paraId="4860B6BB">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4.1.5 响应报价出现下列情形的，响应无效：</w:t>
      </w:r>
    </w:p>
    <w:p w14:paraId="40139B74">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（1）响应文件提交两个及以上的响应报价、提交任何有选择性的报价或者提交有附加条件的报价的响应将按无效处理；</w:t>
      </w:r>
    </w:p>
    <w:p w14:paraId="75D7A8C4">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（2）响应报价超过竞争性磋商文件中规定的预算金额或者最高限价的；</w:t>
      </w:r>
    </w:p>
    <w:p w14:paraId="1AD25407">
      <w:pPr>
        <w:widowControl/>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（3）供应商对根据第四章第4.1.3项规定修正后的报价不确认的。</w:t>
      </w:r>
    </w:p>
    <w:p w14:paraId="6EE4F01D">
      <w:pPr>
        <w:pStyle w:val="4"/>
        <w:spacing w:before="120" w:after="120"/>
        <w:rPr>
          <w:rFonts w:ascii="仿宋" w:hAnsi="仿宋" w:eastAsia="仿宋" w:cs="仿宋"/>
          <w:sz w:val="24"/>
          <w:lang w:eastAsia="zh-CN"/>
        </w:rPr>
      </w:pPr>
      <w:bookmarkStart w:id="715" w:name="_Toc500009131"/>
      <w:bookmarkStart w:id="716" w:name="_Toc497923239"/>
      <w:r>
        <w:rPr>
          <w:rFonts w:hint="eastAsia" w:ascii="仿宋" w:hAnsi="仿宋" w:eastAsia="仿宋" w:cs="仿宋"/>
          <w:sz w:val="24"/>
          <w:lang w:eastAsia="zh-CN"/>
        </w:rPr>
        <w:t>4.2 磋商</w:t>
      </w:r>
      <w:bookmarkEnd w:id="715"/>
      <w:bookmarkEnd w:id="716"/>
    </w:p>
    <w:p w14:paraId="761690EA">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4.2.1 磋商小组按照第二章第6.2.1项确定的顺序分别与通过审查的供应商进行磋商。磋商时，磋商小组所有成员集中与单一供应商分别进行磋商，供应商的委托代理人应按照磋商小组通知的时间和地点参加磋商。磋商轮次及每个供应商的磋商时间将由磋商小组根据磋商情况确定。</w:t>
      </w:r>
    </w:p>
    <w:p w14:paraId="34D1E277">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4.2.2 磋商小组就技术方案、服务要求、合同条款等竞争性磋商文件规定的磋商内容与供应商进行磋商。磋商小组可要求供应商就磋商中的具体问题作出书面答复或承诺，书面答复或承诺应由供应商法定代表人或其委托代理人签字或加盖单位章，并将作为其响应文件的一部分。</w:t>
      </w:r>
    </w:p>
    <w:p w14:paraId="45A716EE">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4.2.3 在磋商过程中，磋商小组可以按照第二章第6.2.3项规定的内容变动竞争性磋商文件，并要求供应商重新提交响应文件或作出变动说明。</w:t>
      </w:r>
    </w:p>
    <w:p w14:paraId="2B2EB63D">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sz w:val="24"/>
        </w:rPr>
        <w:t>4.2.4 经磋商，</w:t>
      </w:r>
      <w:r>
        <w:rPr>
          <w:rFonts w:hint="eastAsia" w:ascii="仿宋" w:hAnsi="仿宋" w:eastAsia="仿宋" w:cs="仿宋"/>
          <w:color w:val="000000"/>
          <w:sz w:val="24"/>
        </w:rPr>
        <w:t>供应商有下列情形之一的，其响应文件按无效响应处理：</w:t>
      </w:r>
    </w:p>
    <w:p w14:paraId="23AD5220">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（1）响应文件未对竞争性磋商文件的其他实质性条款做成响应，或者对竞争性磋商的偏差超过规定的偏差范围或最高项数；</w:t>
      </w:r>
    </w:p>
    <w:p w14:paraId="4292B088">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color w:val="000000"/>
          <w:sz w:val="24"/>
        </w:rPr>
        <w:t>（2）有恶意串通、弄虚作假、行贿等行为。</w:t>
      </w:r>
    </w:p>
    <w:p w14:paraId="48652645">
      <w:pPr>
        <w:pStyle w:val="4"/>
        <w:spacing w:before="120" w:after="120"/>
        <w:rPr>
          <w:rFonts w:ascii="仿宋" w:hAnsi="仿宋" w:eastAsia="仿宋" w:cs="仿宋"/>
          <w:sz w:val="24"/>
          <w:lang w:eastAsia="zh-CN"/>
        </w:rPr>
      </w:pPr>
      <w:bookmarkStart w:id="717" w:name="_Toc500009132"/>
      <w:bookmarkStart w:id="718" w:name="_Toc497923243"/>
      <w:r>
        <w:rPr>
          <w:rFonts w:hint="eastAsia" w:ascii="仿宋" w:hAnsi="仿宋" w:eastAsia="仿宋" w:cs="仿宋"/>
          <w:sz w:val="24"/>
          <w:lang w:eastAsia="zh-CN"/>
        </w:rPr>
        <w:t>4.3 最后报价</w:t>
      </w:r>
      <w:bookmarkEnd w:id="717"/>
      <w:bookmarkEnd w:id="718"/>
    </w:p>
    <w:p w14:paraId="2DE57007">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4.3.1 磋商小组按照第二章第6.3.1项规定确定提交最后报价的供应商。</w:t>
      </w:r>
    </w:p>
    <w:p w14:paraId="0279577C">
      <w:pPr>
        <w:adjustRightInd w:val="0"/>
        <w:snapToGrid w:val="0"/>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4.3.2 磋商小组按照第二章第6.3.3项规定确定最后报价轮次。</w:t>
      </w:r>
    </w:p>
    <w:p w14:paraId="0E34126C">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4.3.3 在采购内容不做实质性变更及重大调整的前提下，供应商下轮报价不得高于上一轮报价，否则按无效响应处理。</w:t>
      </w:r>
    </w:p>
    <w:p w14:paraId="7D398629">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4.3.4 最后报价有算术错误及其他错误的，磋商小组依据本章第4.1.3项进行修正，修正的价格经供应商书面确认后具有约束力。供应商不接受修正价格的，其响应文件按无效响应处理。</w:t>
      </w:r>
    </w:p>
    <w:p w14:paraId="12C3FF10">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4.3.5 修正后的最后报价若超过最高限价（如有）或修正后的单价若超过竞争性磋商文件设定的单价最高限价（如有），其响应文件按无效响应处理。</w:t>
      </w:r>
    </w:p>
    <w:p w14:paraId="0ACAB475">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4.3.6 磋商小组发现供应商的最后报价明显低于其他通过初步评审单位的最后报价，有可能影响产品质量或者不能诚信履约的，应当要求其在评审现场合理的时间内提供书面说明，必要时提交相关证明材料。供应商不能合理说明或者不能提供相应证明材料的，由磋商小组认定该供应商以低于成本报价，其响应文件按无效处理。</w:t>
      </w:r>
    </w:p>
    <w:p w14:paraId="47A5D227">
      <w:pPr>
        <w:pStyle w:val="4"/>
        <w:spacing w:before="120" w:after="120"/>
        <w:rPr>
          <w:rFonts w:ascii="仿宋" w:hAnsi="仿宋" w:eastAsia="仿宋" w:cs="仿宋"/>
          <w:sz w:val="24"/>
          <w:lang w:eastAsia="zh-CN"/>
        </w:rPr>
      </w:pPr>
      <w:r>
        <w:rPr>
          <w:rFonts w:hint="eastAsia" w:ascii="仿宋" w:hAnsi="仿宋" w:eastAsia="仿宋" w:cs="仿宋"/>
          <w:sz w:val="24"/>
          <w:lang w:eastAsia="zh-CN"/>
        </w:rPr>
        <w:t>4.4 详细评审</w:t>
      </w:r>
    </w:p>
    <w:p w14:paraId="57FAB432">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4.4.1 </w:t>
      </w:r>
      <w:r>
        <w:rPr>
          <w:rFonts w:hint="eastAsia" w:ascii="仿宋" w:hAnsi="仿宋" w:eastAsia="仿宋" w:cs="仿宋"/>
          <w:sz w:val="24"/>
        </w:rPr>
        <w:t>磋商小组</w:t>
      </w:r>
      <w:r>
        <w:rPr>
          <w:rFonts w:hint="eastAsia" w:ascii="仿宋" w:hAnsi="仿宋" w:eastAsia="仿宋" w:cs="仿宋"/>
          <w:sz w:val="24"/>
          <w:szCs w:val="24"/>
        </w:rPr>
        <w:t>按本章第3.3款规定的标准进行评分，并计算各供应商综合得分。</w:t>
      </w:r>
    </w:p>
    <w:p w14:paraId="314CA08D">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4.4.2 评分分值计算保留小数点后两位，小数点后第三位“四舍五入”。</w:t>
      </w:r>
    </w:p>
    <w:p w14:paraId="6B3FD5AB">
      <w:pPr>
        <w:pStyle w:val="152"/>
        <w:adjustRightInd w:val="0"/>
        <w:snapToGrid w:val="0"/>
        <w:spacing w:line="360" w:lineRule="auto"/>
        <w:ind w:firstLine="480" w:firstLineChars="200"/>
        <w:rPr>
          <w:rFonts w:ascii="仿宋" w:hAnsi="仿宋" w:eastAsia="仿宋" w:cs="仿宋"/>
          <w:color w:val="000000"/>
          <w:sz w:val="24"/>
          <w:szCs w:val="24"/>
        </w:rPr>
      </w:pPr>
      <w:r>
        <w:rPr>
          <w:rFonts w:hint="eastAsia" w:ascii="仿宋" w:hAnsi="仿宋" w:eastAsia="仿宋" w:cs="仿宋"/>
          <w:sz w:val="24"/>
          <w:szCs w:val="24"/>
        </w:rPr>
        <w:t xml:space="preserve">4.4.3 </w:t>
      </w:r>
      <w:r>
        <w:rPr>
          <w:rFonts w:hint="eastAsia" w:ascii="仿宋" w:hAnsi="仿宋" w:eastAsia="仿宋" w:cs="仿宋"/>
          <w:color w:val="000000"/>
          <w:sz w:val="24"/>
          <w:szCs w:val="24"/>
        </w:rPr>
        <w:t>取磋商小组对各供应商评审得分的算术平均值作为供应商得分，其中响应报价得分按规定进行计算。</w:t>
      </w:r>
    </w:p>
    <w:p w14:paraId="42E9D99F">
      <w:pPr>
        <w:pStyle w:val="152"/>
        <w:adjustRightInd w:val="0"/>
        <w:snapToGrid w:val="0"/>
        <w:spacing w:line="360" w:lineRule="auto"/>
        <w:ind w:firstLine="480" w:firstLineChars="200"/>
        <w:rPr>
          <w:rFonts w:ascii="宋体" w:hAnsi="宋体" w:eastAsia="仿宋"/>
          <w:sz w:val="24"/>
          <w:szCs w:val="24"/>
        </w:rPr>
      </w:pPr>
      <w:r>
        <w:rPr>
          <w:rFonts w:hint="eastAsia" w:ascii="仿宋" w:hAnsi="仿宋" w:eastAsia="仿宋" w:cs="仿宋"/>
          <w:color w:val="000000"/>
          <w:sz w:val="24"/>
          <w:szCs w:val="24"/>
        </w:rPr>
        <w:t xml:space="preserve">4.4.4 </w:t>
      </w:r>
      <w:r>
        <w:rPr>
          <w:rFonts w:hint="eastAsia" w:ascii="宋体" w:hAnsi="宋体" w:eastAsia="仿宋"/>
          <w:sz w:val="24"/>
          <w:szCs w:val="24"/>
        </w:rPr>
        <w:t>相同品牌及型号产品参加响应时，按以下要求确定供应商推荐资格：</w:t>
      </w:r>
    </w:p>
    <w:p w14:paraId="7FF01EC2">
      <w:pPr>
        <w:pStyle w:val="152"/>
        <w:adjustRightInd w:val="0"/>
        <w:snapToGrid w:val="0"/>
        <w:spacing w:line="360" w:lineRule="auto"/>
        <w:ind w:firstLine="480" w:firstLineChars="200"/>
        <w:rPr>
          <w:rFonts w:ascii="宋体" w:hAnsi="宋体" w:eastAsia="仿宋"/>
          <w:sz w:val="24"/>
          <w:szCs w:val="24"/>
        </w:rPr>
      </w:pPr>
      <w:r>
        <w:rPr>
          <w:rFonts w:hint="eastAsia" w:ascii="宋体" w:hAnsi="宋体" w:eastAsia="仿宋"/>
          <w:sz w:val="24"/>
          <w:szCs w:val="24"/>
        </w:rPr>
        <w:t>采用综合评分法时：</w:t>
      </w:r>
    </w:p>
    <w:p w14:paraId="08F353F6">
      <w:pPr>
        <w:pStyle w:val="152"/>
        <w:adjustRightInd w:val="0"/>
        <w:snapToGrid w:val="0"/>
        <w:spacing w:line="360" w:lineRule="auto"/>
        <w:ind w:firstLine="480" w:firstLineChars="200"/>
        <w:rPr>
          <w:rFonts w:ascii="宋体" w:hAnsi="宋体" w:eastAsia="仿宋"/>
          <w:sz w:val="24"/>
          <w:szCs w:val="24"/>
        </w:rPr>
      </w:pPr>
      <w:r>
        <w:rPr>
          <w:rFonts w:hint="eastAsia" w:ascii="宋体" w:hAnsi="宋体" w:eastAsia="仿宋"/>
          <w:sz w:val="24"/>
          <w:szCs w:val="24"/>
        </w:rPr>
        <w:t>单一产品采购项目，提供相同品牌及型号产品且通过资格审查、符合性审查的不同供应商参加同一合同项下响应的，按一家供应商计算，评审后得分最高的同品牌供应商获得供应商推荐资格；评审得分相同的，由磋商小组随机抽签确定；其他同品牌供应商不作为成交候选人。</w:t>
      </w:r>
    </w:p>
    <w:p w14:paraId="6282D7EC">
      <w:pPr>
        <w:pStyle w:val="152"/>
        <w:adjustRightInd w:val="0"/>
        <w:snapToGrid w:val="0"/>
        <w:spacing w:line="360" w:lineRule="auto"/>
        <w:ind w:firstLine="480" w:firstLineChars="200"/>
        <w:rPr>
          <w:rFonts w:ascii="宋体" w:hAnsi="宋体" w:eastAsia="仿宋"/>
          <w:sz w:val="24"/>
          <w:szCs w:val="24"/>
        </w:rPr>
      </w:pPr>
      <w:r>
        <w:rPr>
          <w:rFonts w:hint="eastAsia" w:ascii="宋体" w:hAnsi="宋体" w:eastAsia="仿宋"/>
          <w:sz w:val="24"/>
          <w:szCs w:val="24"/>
        </w:rPr>
        <w:t>非单一产品采购项目，核心产品提供相同品牌及型号产品且通过资格审查、符合性审查的不同供应商参加同一合同项下响应的，按一家供应商计算，评审后得分最高的同品牌供应商获得成交推荐资格；评审得分相同的，由磋商小组随机抽签确定；其他同品牌供应商不作为成交候选人。</w:t>
      </w:r>
    </w:p>
    <w:p w14:paraId="15DACA70">
      <w:pPr>
        <w:pStyle w:val="153"/>
        <w:adjustRightInd w:val="0"/>
        <w:snapToGrid w:val="0"/>
        <w:spacing w:before="0" w:line="360" w:lineRule="auto"/>
        <w:ind w:firstLine="482" w:firstLineChars="200"/>
        <w:outlineLvl w:val="2"/>
        <w:rPr>
          <w:rFonts w:ascii="仿宋" w:hAnsi="仿宋" w:eastAsia="仿宋" w:cs="仿宋"/>
          <w:b/>
          <w:sz w:val="24"/>
          <w:szCs w:val="24"/>
        </w:rPr>
      </w:pPr>
      <w:bookmarkStart w:id="719" w:name="_Toc455587287"/>
      <w:bookmarkStart w:id="720" w:name="_Toc445554771"/>
      <w:bookmarkStart w:id="721" w:name="_Toc455587103"/>
      <w:bookmarkStart w:id="722" w:name="_Toc466024570"/>
      <w:bookmarkStart w:id="723" w:name="_Toc445554772"/>
      <w:bookmarkStart w:id="724" w:name="_Toc466024571"/>
      <w:bookmarkStart w:id="725" w:name="_Toc455587288"/>
      <w:bookmarkStart w:id="726" w:name="_Toc455587104"/>
      <w:r>
        <w:rPr>
          <w:rFonts w:hint="eastAsia" w:ascii="仿宋" w:hAnsi="仿宋" w:eastAsia="仿宋" w:cs="仿宋"/>
          <w:b/>
          <w:sz w:val="24"/>
          <w:szCs w:val="24"/>
        </w:rPr>
        <w:t>4.5 响应文件的澄清</w:t>
      </w:r>
      <w:bookmarkEnd w:id="719"/>
      <w:bookmarkEnd w:id="720"/>
      <w:bookmarkEnd w:id="721"/>
      <w:bookmarkEnd w:id="722"/>
    </w:p>
    <w:p w14:paraId="0075A278">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4.5.1 评审过程中，磋商小组可以要求供应商对响应文件中含义不明确、同类问题表述不一致或者有明显文字和计算错误的内容等作出必要的澄清、说明或者补正。供应商的澄清、说明或者补正不得超出响应文件的范围或者改变响应文件的实质性内容（算术性错误修正的除外）。供应商的书面澄清、说明和补正属于响应文件的组成部分。</w:t>
      </w:r>
    </w:p>
    <w:p w14:paraId="71412EFE">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4.5.2 磋商小组要求供应商澄清、说明或者更正响应文件应当以书面形式作出。供应商的澄清、说明或者更正应当由法定代表人（单位负责人）或其授权代表签字或者加盖公章。由授权代表签字的，应当附法定代表人（单位负责人）授权书。供应商为自然人的，应当由本人签字并附身份证明。</w:t>
      </w:r>
    </w:p>
    <w:p w14:paraId="781491C4">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4.5.3 磋商小组对供应商提交的澄清、说明或补正有疑问的，可以要求供应商进一步澄清、说明或补正，直至满足磋商小组的要求。</w:t>
      </w:r>
    </w:p>
    <w:p w14:paraId="0C8915F5">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4.5.4磋商小组不接受供应商主动提出的澄清、说明或补正。</w:t>
      </w:r>
    </w:p>
    <w:bookmarkEnd w:id="723"/>
    <w:bookmarkEnd w:id="724"/>
    <w:bookmarkEnd w:id="725"/>
    <w:bookmarkEnd w:id="726"/>
    <w:p w14:paraId="0957AF6F">
      <w:pPr>
        <w:pStyle w:val="153"/>
        <w:adjustRightInd w:val="0"/>
        <w:snapToGrid w:val="0"/>
        <w:spacing w:before="0" w:line="360" w:lineRule="auto"/>
        <w:ind w:firstLine="482" w:firstLineChars="200"/>
        <w:outlineLvl w:val="2"/>
        <w:rPr>
          <w:rFonts w:ascii="仿宋" w:hAnsi="仿宋" w:eastAsia="仿宋" w:cs="仿宋"/>
          <w:b/>
          <w:sz w:val="24"/>
          <w:szCs w:val="24"/>
        </w:rPr>
      </w:pPr>
      <w:r>
        <w:rPr>
          <w:rFonts w:hint="eastAsia" w:ascii="仿宋" w:hAnsi="仿宋" w:eastAsia="仿宋" w:cs="仿宋"/>
          <w:b/>
          <w:sz w:val="24"/>
          <w:szCs w:val="24"/>
        </w:rPr>
        <w:t>4.6 评审结果</w:t>
      </w:r>
    </w:p>
    <w:p w14:paraId="1A390668">
      <w:pPr>
        <w:pStyle w:val="152"/>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4.6.1 除第二章供应商须知前附表授权磋商小组直接确定成交供应商外，磋商小组按照得分由高到低的顺序推荐成交候选供应商，并标明排序。</w:t>
      </w:r>
    </w:p>
    <w:p w14:paraId="7A4DB116">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4.6.2 完成评审后，磋商小组根据全体磋商成员签字的原始磋商与评审记录和评审结果编写评审报告。评审报告应当包括以下内容：</w:t>
      </w:r>
    </w:p>
    <w:p w14:paraId="6B024B24">
      <w:pPr>
        <w:pStyle w:val="152"/>
        <w:adjustRightInd w:val="0"/>
        <w:spacing w:line="360" w:lineRule="auto"/>
        <w:ind w:firstLine="480" w:firstLineChars="200"/>
        <w:rPr>
          <w:rFonts w:ascii="仿宋" w:hAnsi="仿宋" w:eastAsia="仿宋" w:cs="仿宋"/>
          <w:sz w:val="24"/>
          <w:szCs w:val="24"/>
        </w:rPr>
      </w:pPr>
      <w:bookmarkStart w:id="727" w:name="_Toc455587105"/>
      <w:bookmarkStart w:id="728" w:name="_Toc455587289"/>
      <w:bookmarkStart w:id="729" w:name="_Toc445554773"/>
      <w:r>
        <w:rPr>
          <w:rFonts w:hint="eastAsia" w:ascii="仿宋" w:hAnsi="仿宋" w:eastAsia="仿宋" w:cs="仿宋"/>
          <w:sz w:val="24"/>
          <w:szCs w:val="24"/>
        </w:rPr>
        <w:t>（1）邀请供应商参加采购活动的具体方式和相关情况；</w:t>
      </w:r>
    </w:p>
    <w:p w14:paraId="7F7E88FB">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（2）响应文件开启日期和地点；</w:t>
      </w:r>
    </w:p>
    <w:p w14:paraId="14076FE4">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（3）获取磋商文件的供应商名单和磋商小组成员名单；</w:t>
      </w:r>
    </w:p>
    <w:p w14:paraId="7073D665">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（4）评审情况记录和说明，包括对供应商的资格审查情况、供应商响应文件评审情况、磋商情况、报价情况等；</w:t>
      </w:r>
    </w:p>
    <w:p w14:paraId="36707DAB">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（5）提出的成交候选供应商的排序名单及理由。</w:t>
      </w:r>
    </w:p>
    <w:p w14:paraId="014CDDE0">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（6）其他需要说明的情况，包括评审过程中供应商根据磋商小组要求进行的澄清、说明或者补正，磋商小组成员的更换等。</w:t>
      </w:r>
    </w:p>
    <w:p w14:paraId="7007A4A5">
      <w:pPr>
        <w:pStyle w:val="3"/>
        <w:widowControl/>
        <w:adjustRightInd w:val="0"/>
        <w:spacing w:before="0" w:after="0" w:line="360" w:lineRule="auto"/>
        <w:ind w:firstLine="482" w:firstLineChars="200"/>
        <w:rPr>
          <w:rFonts w:ascii="仿宋" w:hAnsi="仿宋" w:eastAsia="仿宋" w:cs="仿宋"/>
          <w:bCs w:val="0"/>
          <w:sz w:val="24"/>
          <w:szCs w:val="24"/>
        </w:rPr>
      </w:pPr>
      <w:bookmarkStart w:id="730" w:name="_Toc466024572"/>
      <w:r>
        <w:rPr>
          <w:rFonts w:hint="eastAsia" w:ascii="仿宋" w:hAnsi="仿宋" w:eastAsia="仿宋" w:cs="仿宋"/>
          <w:bCs w:val="0"/>
          <w:sz w:val="24"/>
          <w:szCs w:val="24"/>
        </w:rPr>
        <w:t>5. 其他</w:t>
      </w:r>
      <w:bookmarkEnd w:id="727"/>
      <w:bookmarkEnd w:id="728"/>
      <w:bookmarkEnd w:id="729"/>
      <w:bookmarkEnd w:id="730"/>
    </w:p>
    <w:p w14:paraId="193BDD03">
      <w:pPr>
        <w:pStyle w:val="152"/>
        <w:adjustRightIn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5.1 供应商提供的与采购活动有关的各类证书、证明、文件、资料等的真实性、合法性由供应商负全责。磋商小组一律不负责进行核查确认。磋商小组发现供应商存在弄虚作假嫌疑的，或者由其他供应商和其他利害关系人投诉举报发现供应商存在弄虚作假行为的,提请有关监督部门另行立案调查，磋商与评审工作正常进行；有关监督部门调查确认弄虚作假情况属实的，如果该供应商已被确定为成交候选供应商的，由采购人按照法律法规相关规定取消其成交资格，并从其他成交候选人中依照推荐次序确定成交供应商。</w:t>
      </w:r>
    </w:p>
    <w:p w14:paraId="14E0BA78">
      <w:pPr>
        <w:pStyle w:val="152"/>
        <w:adjustRightInd w:val="0"/>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5.2 供应商提供业绩、荣誉证书、资质资格证书、相关证明材料等文件及资料均须在响应文件中提供，电子响应文件中提供扫描件或电子证照。如未在响应文件中提供，则审查相应项视为未响应；评分项目相应项不予计分。</w:t>
      </w:r>
    </w:p>
    <w:p w14:paraId="4FFE3230">
      <w:pPr>
        <w:widowControl/>
        <w:spacing w:line="400" w:lineRule="exact"/>
        <w:ind w:firstLine="480" w:firstLineChars="200"/>
        <w:rPr>
          <w:rFonts w:ascii="宋体" w:hAnsi="宋体" w:eastAsia="仿宋"/>
          <w:sz w:val="24"/>
        </w:rPr>
      </w:pPr>
    </w:p>
    <w:p w14:paraId="16167057">
      <w:pPr>
        <w:widowControl/>
        <w:spacing w:line="400" w:lineRule="exact"/>
        <w:ind w:firstLine="480" w:firstLineChars="200"/>
        <w:rPr>
          <w:rFonts w:ascii="宋体" w:hAnsi="宋体" w:eastAsia="仿宋"/>
          <w:sz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C7817BD">
      <w:pPr>
        <w:pStyle w:val="2"/>
        <w:widowControl/>
        <w:spacing w:before="0" w:after="0" w:line="240" w:lineRule="auto"/>
        <w:jc w:val="center"/>
        <w:rPr>
          <w:rFonts w:ascii="宋体" w:hAnsi="宋体" w:eastAsia="仿宋"/>
        </w:rPr>
      </w:pPr>
      <w:bookmarkStart w:id="731" w:name="_Toc466024582"/>
      <w:bookmarkStart w:id="732" w:name="_Toc9730"/>
      <w:bookmarkStart w:id="733" w:name="_Toc445554783"/>
      <w:bookmarkStart w:id="734" w:name="_Toc139194404"/>
      <w:bookmarkStart w:id="735" w:name="_Toc165463683"/>
      <w:bookmarkStart w:id="736" w:name="_Toc192231354"/>
      <w:bookmarkStart w:id="737" w:name="_Toc176927207"/>
      <w:bookmarkStart w:id="738" w:name="_Toc177181404"/>
      <w:bookmarkStart w:id="739" w:name="_Toc153634810"/>
      <w:bookmarkStart w:id="740" w:name="_Toc138638816"/>
      <w:bookmarkStart w:id="741" w:name="_Toc256434217"/>
      <w:bookmarkStart w:id="742" w:name="_Toc153485042"/>
      <w:bookmarkStart w:id="743" w:name="_Toc199585022"/>
      <w:bookmarkStart w:id="744" w:name="_Toc256955329"/>
      <w:bookmarkStart w:id="745" w:name="_Toc162410278"/>
      <w:bookmarkStart w:id="746" w:name="_Toc162406884"/>
      <w:bookmarkStart w:id="747" w:name="_Toc153636085"/>
      <w:bookmarkStart w:id="748" w:name="_Toc176780575"/>
      <w:bookmarkStart w:id="749" w:name="_Toc221418700"/>
      <w:bookmarkStart w:id="750" w:name="_Toc256409867"/>
      <w:bookmarkStart w:id="751" w:name="_Toc255490647"/>
      <w:bookmarkStart w:id="752" w:name="_Toc153635713"/>
      <w:bookmarkStart w:id="753" w:name="_Toc162331289"/>
      <w:bookmarkStart w:id="754" w:name="_Toc138323410"/>
      <w:bookmarkStart w:id="755" w:name="_Toc153630652"/>
      <w:bookmarkStart w:id="756" w:name="_Toc152696791"/>
      <w:bookmarkStart w:id="757" w:name="_Toc201377864"/>
      <w:r>
        <w:rPr>
          <w:rFonts w:hint="eastAsia" w:ascii="宋体" w:hAnsi="宋体" w:eastAsia="仿宋"/>
        </w:rPr>
        <w:t>第五章  合同条款及格式</w:t>
      </w:r>
      <w:bookmarkEnd w:id="731"/>
      <w:bookmarkEnd w:id="732"/>
      <w:bookmarkEnd w:id="733"/>
    </w:p>
    <w:p w14:paraId="3FBF4B85">
      <w:pPr>
        <w:pStyle w:val="3"/>
        <w:adjustRightInd w:val="0"/>
        <w:snapToGrid w:val="0"/>
        <w:spacing w:line="400" w:lineRule="exact"/>
        <w:jc w:val="center"/>
        <w:rPr>
          <w:rFonts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p>
    <w:p w14:paraId="0AC36C9C">
      <w:pPr>
        <w:pStyle w:val="3"/>
        <w:adjustRightInd w:val="0"/>
        <w:snapToGrid w:val="0"/>
        <w:spacing w:line="400" w:lineRule="exact"/>
        <w:jc w:val="center"/>
        <w:rPr>
          <w:rFonts w:ascii="黑体" w:hAnsi="华文中宋" w:eastAsia="黑体"/>
          <w:b w:val="0"/>
          <w:bCs w:val="0"/>
          <w:sz w:val="28"/>
          <w:szCs w:val="28"/>
        </w:rPr>
      </w:pPr>
    </w:p>
    <w:p w14:paraId="59277FCA">
      <w:pPr>
        <w:adjustRightInd w:val="0"/>
        <w:snapToGrid w:val="0"/>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p>
    <w:p w14:paraId="4C05A850">
      <w:pPr>
        <w:adjustRightInd w:val="0"/>
        <w:snapToGrid w:val="0"/>
        <w:spacing w:line="400" w:lineRule="exact"/>
        <w:rPr>
          <w:rFonts w:ascii="宋体" w:hAnsi="宋体"/>
          <w:szCs w:val="21"/>
        </w:rPr>
      </w:pPr>
      <w:r>
        <w:rPr>
          <w:rFonts w:hint="eastAsia" w:ascii="宋体" w:hAnsi="宋体"/>
          <w:szCs w:val="21"/>
        </w:rPr>
        <w:t>乙方（全称）：</w:t>
      </w:r>
      <w:r>
        <w:rPr>
          <w:rFonts w:hint="eastAsia" w:ascii="宋体" w:hAnsi="宋体"/>
          <w:szCs w:val="21"/>
          <w:u w:val="single"/>
        </w:rPr>
        <w:t xml:space="preserve">                       </w:t>
      </w:r>
      <w:r>
        <w:rPr>
          <w:rFonts w:hint="eastAsia" w:ascii="宋体" w:hAnsi="宋体"/>
          <w:szCs w:val="21"/>
        </w:rPr>
        <w:t>（供应商）</w:t>
      </w:r>
    </w:p>
    <w:p w14:paraId="3FE0D787">
      <w:pPr>
        <w:spacing w:line="400" w:lineRule="exact"/>
      </w:pPr>
    </w:p>
    <w:p w14:paraId="64EBC727">
      <w:pPr>
        <w:pStyle w:val="19"/>
        <w:adjustRightInd w:val="0"/>
        <w:snapToGrid w:val="0"/>
        <w:spacing w:after="0" w:line="400" w:lineRule="exact"/>
        <w:ind w:left="0" w:leftChars="0" w:firstLine="420" w:firstLineChars="200"/>
        <w:rPr>
          <w:rFonts w:ascii="宋体" w:hAnsi="宋体"/>
          <w:szCs w:val="21"/>
        </w:rPr>
      </w:pPr>
      <w:r>
        <w:rPr>
          <w:rFonts w:hint="eastAsia" w:ascii="宋体" w:hAnsi="宋体"/>
          <w:szCs w:val="21"/>
        </w:rPr>
        <w:t>依据《中华人民共和国民法典》、《中华人民共和国政府采购法》等有关的法律法规，以及本采购项目的招标/谈判文件等采购文件、乙方的《响应文件》及《成交通知书》，甲乙双方同意签订本合同。具体情况及要求如下：</w:t>
      </w:r>
    </w:p>
    <w:p w14:paraId="359E31C6">
      <w:pPr>
        <w:numPr>
          <w:ilvl w:val="0"/>
          <w:numId w:val="15"/>
        </w:numPr>
        <w:adjustRightInd w:val="0"/>
        <w:snapToGrid w:val="0"/>
        <w:spacing w:line="400" w:lineRule="exact"/>
        <w:ind w:firstLine="422" w:firstLineChars="200"/>
        <w:rPr>
          <w:rFonts w:ascii="宋体" w:hAnsi="宋体"/>
          <w:b/>
          <w:szCs w:val="21"/>
        </w:rPr>
      </w:pPr>
      <w:r>
        <w:rPr>
          <w:rFonts w:hint="eastAsia" w:ascii="宋体" w:hAnsi="宋体"/>
          <w:b/>
          <w:szCs w:val="21"/>
        </w:rPr>
        <w:t>项目信息</w:t>
      </w:r>
    </w:p>
    <w:p w14:paraId="05E589DA">
      <w:pPr>
        <w:pStyle w:val="19"/>
        <w:numPr>
          <w:ilvl w:val="0"/>
          <w:numId w:val="16"/>
        </w:numPr>
        <w:adjustRightInd w:val="0"/>
        <w:snapToGrid w:val="0"/>
        <w:spacing w:after="0" w:line="400" w:lineRule="exact"/>
        <w:ind w:left="0" w:leftChars="0" w:firstLine="420" w:firstLineChars="200"/>
        <w:rPr>
          <w:rFonts w:ascii="宋体" w:hAnsi="宋体"/>
          <w:szCs w:val="21"/>
          <w:u w:val="single"/>
        </w:rPr>
      </w:pPr>
      <w:r>
        <w:rPr>
          <w:rFonts w:hint="eastAsia" w:ascii="宋体" w:hAnsi="宋体"/>
          <w:szCs w:val="21"/>
        </w:rPr>
        <w:t>采购项目名称：安徽省煤炭科学研究院矿山灾害调查治理及检测技术能力建设项目</w:t>
      </w:r>
    </w:p>
    <w:p w14:paraId="5A9C1BE4">
      <w:pPr>
        <w:pStyle w:val="19"/>
        <w:tabs>
          <w:tab w:val="left" w:pos="999"/>
        </w:tabs>
        <w:adjustRightInd w:val="0"/>
        <w:snapToGrid w:val="0"/>
        <w:spacing w:after="0" w:line="400" w:lineRule="exact"/>
        <w:ind w:left="0" w:leftChars="0" w:firstLine="945" w:firstLineChars="450"/>
        <w:rPr>
          <w:rFonts w:ascii="宋体" w:hAnsi="宋体"/>
          <w:szCs w:val="21"/>
        </w:rPr>
      </w:pPr>
      <w:r>
        <w:rPr>
          <w:rFonts w:hint="eastAsia" w:ascii="宋体" w:hAnsi="宋体"/>
          <w:szCs w:val="21"/>
        </w:rPr>
        <w:t>采购项目编号：</w:t>
      </w:r>
      <w:r>
        <w:rPr>
          <w:rFonts w:hint="eastAsia" w:ascii="宋体" w:hAnsi="宋体"/>
          <w:szCs w:val="21"/>
          <w:u w:val="single"/>
        </w:rPr>
        <w:t xml:space="preserve">                       </w:t>
      </w:r>
    </w:p>
    <w:p w14:paraId="05D9D31B">
      <w:pPr>
        <w:pStyle w:val="19"/>
        <w:adjustRightInd w:val="0"/>
        <w:snapToGrid w:val="0"/>
        <w:spacing w:after="0" w:line="400" w:lineRule="exact"/>
        <w:ind w:left="0" w:leftChars="0" w:firstLine="420" w:firstLineChars="200"/>
        <w:rPr>
          <w:rFonts w:ascii="宋体" w:hAnsi="宋体"/>
          <w:szCs w:val="21"/>
        </w:rPr>
      </w:pPr>
      <w:r>
        <w:rPr>
          <w:rFonts w:hint="eastAsia" w:ascii="宋体" w:hAnsi="宋体"/>
          <w:szCs w:val="21"/>
        </w:rPr>
        <w:t>（2）采购计划编号：</w:t>
      </w:r>
      <w:r>
        <w:rPr>
          <w:rFonts w:hint="eastAsia" w:ascii="宋体" w:hAnsi="宋体"/>
          <w:szCs w:val="21"/>
          <w:u w:val="single"/>
        </w:rPr>
        <w:t xml:space="preserve">                       </w:t>
      </w:r>
    </w:p>
    <w:p w14:paraId="1A8856ED">
      <w:pPr>
        <w:adjustRightInd w:val="0"/>
        <w:snapToGrid w:val="0"/>
        <w:spacing w:line="400" w:lineRule="exact"/>
        <w:ind w:firstLine="420" w:firstLineChars="200"/>
        <w:rPr>
          <w:rFonts w:ascii="宋体" w:hAnsi="宋体"/>
          <w:szCs w:val="21"/>
        </w:rPr>
      </w:pPr>
      <w:r>
        <w:rPr>
          <w:rFonts w:hint="eastAsia" w:ascii="宋体" w:hAnsi="宋体"/>
          <w:szCs w:val="21"/>
        </w:rPr>
        <w:t>（3）项目内容：</w:t>
      </w:r>
    </w:p>
    <w:p w14:paraId="3490D0E0">
      <w:pPr>
        <w:adjustRightInd w:val="0"/>
        <w:snapToGrid w:val="0"/>
        <w:spacing w:line="400" w:lineRule="exact"/>
        <w:ind w:firstLine="945" w:firstLineChars="450"/>
        <w:rPr>
          <w:rFonts w:ascii="宋体" w:hAnsi="宋体"/>
          <w:szCs w:val="21"/>
        </w:rPr>
      </w:pPr>
      <w:r>
        <w:rPr>
          <w:rFonts w:hint="eastAsia" w:ascii="宋体" w:hAnsi="宋体"/>
          <w:szCs w:val="21"/>
        </w:rPr>
        <w:t>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p>
    <w:p w14:paraId="3D164C4B">
      <w:pPr>
        <w:adjustRightInd w:val="0"/>
        <w:snapToGrid w:val="0"/>
        <w:spacing w:line="400" w:lineRule="exact"/>
        <w:ind w:firstLine="945" w:firstLineChars="450"/>
        <w:rPr>
          <w:rFonts w:ascii="宋体" w:hAnsi="宋体" w:cs="宋体"/>
          <w:szCs w:val="21"/>
          <w:lang w:val="en"/>
        </w:rPr>
      </w:pP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75320290">
      <w:pPr>
        <w:adjustRightInd w:val="0"/>
        <w:snapToGrid w:val="0"/>
        <w:spacing w:line="400" w:lineRule="exact"/>
        <w:ind w:firstLine="945" w:firstLineChars="450"/>
        <w:rPr>
          <w:rFonts w:ascii="宋体" w:hAnsi="宋体"/>
          <w:szCs w:val="21"/>
          <w:u w:val="single"/>
        </w:rPr>
      </w:pPr>
      <w:r>
        <w:rPr>
          <w:rFonts w:hint="eastAsia" w:ascii="宋体" w:hAnsi="宋体"/>
          <w:szCs w:val="21"/>
        </w:rPr>
        <w:t>采购标的的技术要求、商务要求具体见附件。</w:t>
      </w:r>
    </w:p>
    <w:p w14:paraId="5EC6B5F1">
      <w:pPr>
        <w:pStyle w:val="179"/>
        <w:snapToGrid w:val="0"/>
        <w:ind w:firstLine="420"/>
        <w:rPr>
          <w:rFonts w:ascii="宋体" w:hAnsi="宋体" w:eastAsia="宋体" w:cs="宋体"/>
          <w:sz w:val="21"/>
        </w:rPr>
      </w:pPr>
      <w:r>
        <w:rPr>
          <w:rFonts w:hint="eastAsia" w:ascii="宋体" w:hAnsi="宋体" w:eastAsia="宋体" w:cs="宋体"/>
          <w:sz w:val="21"/>
        </w:rPr>
        <w:t>（</w:t>
      </w:r>
      <w:r>
        <w:rPr>
          <w:rFonts w:ascii="宋体" w:hAnsi="宋体" w:eastAsia="宋体" w:cs="宋体"/>
          <w:sz w:val="21"/>
          <w:lang w:val="en"/>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FE"/>
      </w:r>
      <w:r>
        <w:rPr>
          <w:rFonts w:hint="eastAsia" w:ascii="宋体" w:hAnsi="宋体" w:eastAsia="宋体" w:cs="宋体"/>
          <w:sz w:val="21"/>
        </w:rPr>
        <w:t>分散采购</w:t>
      </w:r>
    </w:p>
    <w:p w14:paraId="26CC0522">
      <w:pPr>
        <w:pStyle w:val="179"/>
        <w:snapToGrid w:val="0"/>
        <w:ind w:firstLine="420"/>
        <w:rPr>
          <w:rFonts w:ascii="宋体" w:hAnsi="宋体" w:eastAsia="宋体" w:cs="宋体"/>
          <w:sz w:val="21"/>
        </w:rPr>
      </w:pPr>
      <w:r>
        <w:rPr>
          <w:rFonts w:hint="eastAsia" w:ascii="宋体" w:hAnsi="宋体" w:eastAsia="宋体" w:cs="宋体"/>
          <w:sz w:val="21"/>
        </w:rPr>
        <w:t>（</w:t>
      </w:r>
      <w:r>
        <w:rPr>
          <w:rFonts w:ascii="宋体" w:hAnsi="宋体" w:eastAsia="宋体" w:cs="宋体"/>
          <w:sz w:val="21"/>
          <w:lang w:val="en"/>
        </w:rPr>
        <w:t>5</w:t>
      </w:r>
      <w:r>
        <w:rPr>
          <w:rFonts w:hint="eastAsia" w:ascii="宋体" w:hAnsi="宋体" w:eastAsia="宋体" w:cs="宋体"/>
          <w:sz w:val="21"/>
        </w:rPr>
        <w:t>）政府采购方式：竞争性磋商</w:t>
      </w:r>
    </w:p>
    <w:p w14:paraId="573EBF75">
      <w:pPr>
        <w:pStyle w:val="179"/>
        <w:snapToGrid w:val="0"/>
        <w:rPr>
          <w:rFonts w:ascii="宋体" w:hAnsi="宋体" w:eastAsia="宋体" w:cs="Times New Roman"/>
          <w:kern w:val="2"/>
          <w:sz w:val="21"/>
        </w:rPr>
      </w:pPr>
      <w:r>
        <w:rPr>
          <w:rFonts w:hint="eastAsia" w:ascii="宋体" w:hAnsi="宋体"/>
        </w:rPr>
        <w:t>（</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FE"/>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73E013CA">
      <w:pPr>
        <w:adjustRightInd w:val="0"/>
        <w:snapToGrid w:val="0"/>
        <w:spacing w:line="400" w:lineRule="exact"/>
        <w:ind w:firstLine="945" w:firstLineChars="450"/>
        <w:rPr>
          <w:rFonts w:ascii="宋体" w:hAnsi="宋体"/>
          <w:iCs/>
          <w:szCs w:val="21"/>
        </w:rPr>
      </w:pPr>
      <w:r>
        <w:rPr>
          <w:rFonts w:hint="eastAsia" w:ascii="宋体" w:hAnsi="宋体"/>
          <w:szCs w:val="21"/>
        </w:rPr>
        <w:t>本合同是否为专门面向中小企业的采购合同（中小企业预留合同）：</w:t>
      </w:r>
      <w:r>
        <w:rPr>
          <w:rFonts w:hint="eastAsia" w:ascii="宋体" w:hAnsi="宋体"/>
          <w:iCs/>
          <w:szCs w:val="21"/>
        </w:rPr>
        <w:sym w:font="Wingdings" w:char="00FE"/>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23D8CE7">
      <w:pPr>
        <w:adjustRightInd w:val="0"/>
        <w:snapToGrid w:val="0"/>
        <w:spacing w:line="400" w:lineRule="exact"/>
        <w:ind w:firstLine="420" w:firstLineChars="20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FE"/>
      </w:r>
      <w:r>
        <w:rPr>
          <w:rFonts w:hint="eastAsia" w:ascii="宋体" w:hAnsi="宋体"/>
          <w:iCs/>
          <w:szCs w:val="21"/>
        </w:rPr>
        <w:t>否</w:t>
      </w:r>
    </w:p>
    <w:p w14:paraId="21F4762E">
      <w:pPr>
        <w:adjustRightInd w:val="0"/>
        <w:snapToGrid w:val="0"/>
        <w:spacing w:line="400" w:lineRule="exact"/>
        <w:ind w:firstLine="420" w:firstLineChars="200"/>
        <w:rPr>
          <w:rFonts w:ascii="宋体" w:hAnsi="宋体" w:cs="宋体"/>
          <w:iCs/>
          <w:szCs w:val="21"/>
        </w:rPr>
      </w:pP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0EB7B549">
      <w:pPr>
        <w:adjustRightInd w:val="0"/>
        <w:snapToGrid w:val="0"/>
        <w:spacing w:line="400" w:lineRule="exact"/>
        <w:ind w:firstLine="945" w:firstLineChars="450"/>
        <w:rPr>
          <w:rFonts w:ascii="宋体" w:hAnsi="宋体"/>
          <w:iCs/>
          <w:szCs w:val="21"/>
        </w:rPr>
      </w:pPr>
      <w:r>
        <w:rPr>
          <w:rFonts w:hint="eastAsia" w:ascii="宋体" w:hAnsi="宋体"/>
          <w:iCs/>
          <w:szCs w:val="21"/>
        </w:rPr>
        <w:t>外商投资企业类型：</w:t>
      </w:r>
      <w:r>
        <w:rPr>
          <w:rFonts w:hint="eastAsia" w:ascii="宋体" w:hAnsi="宋体"/>
          <w:iCs/>
          <w:szCs w:val="21"/>
        </w:rPr>
        <w:sym w:font="Wingdings" w:char="00A8"/>
      </w:r>
      <w:r>
        <w:rPr>
          <w:rFonts w:hint="eastAsia" w:ascii="宋体" w:hAnsi="宋体"/>
          <w:iCs/>
          <w:szCs w:val="21"/>
        </w:rPr>
        <w:t xml:space="preserve">全部由外国投资者投资  </w:t>
      </w:r>
      <w:r>
        <w:rPr>
          <w:rFonts w:hint="eastAsia" w:ascii="宋体" w:hAnsi="宋体"/>
          <w:iCs/>
          <w:szCs w:val="21"/>
        </w:rPr>
        <w:sym w:font="Wingdings" w:char="00A8"/>
      </w:r>
      <w:r>
        <w:rPr>
          <w:rFonts w:hint="eastAsia" w:ascii="宋体" w:hAnsi="宋体"/>
          <w:iCs/>
          <w:szCs w:val="21"/>
        </w:rPr>
        <w:t>部分由外国投资者投资</w:t>
      </w:r>
    </w:p>
    <w:p w14:paraId="62366246">
      <w:pPr>
        <w:adjustRightInd w:val="0"/>
        <w:snapToGrid w:val="0"/>
        <w:spacing w:line="40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4AC6E397">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A8"/>
      </w:r>
      <w:r>
        <w:rPr>
          <w:rFonts w:hint="eastAsia" w:ascii="宋体" w:hAnsi="宋体"/>
          <w:iCs/>
          <w:szCs w:val="21"/>
        </w:rPr>
        <w:t xml:space="preserve">是，《政府采购品目分类目录》底级品目名称：          金额：        </w:t>
      </w:r>
    </w:p>
    <w:p w14:paraId="7136960C">
      <w:pPr>
        <w:adjustRightInd w:val="0"/>
        <w:snapToGrid w:val="0"/>
        <w:spacing w:line="400" w:lineRule="exact"/>
        <w:ind w:firstLine="945" w:firstLineChars="450"/>
        <w:rPr>
          <w:rFonts w:ascii="宋体" w:hAnsi="宋体"/>
          <w:iCs/>
          <w:szCs w:val="21"/>
        </w:rPr>
      </w:pPr>
      <w:r>
        <w:rPr>
          <w:rFonts w:hint="eastAsia" w:ascii="宋体" w:hAnsi="宋体"/>
          <w:iCs/>
          <w:szCs w:val="21"/>
        </w:rPr>
        <w:t xml:space="preserve">       国别：         品牌：         规格型号：              </w:t>
      </w:r>
    </w:p>
    <w:p w14:paraId="283F624F">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FE"/>
      </w:r>
      <w:r>
        <w:rPr>
          <w:rFonts w:hint="eastAsia" w:ascii="宋体" w:hAnsi="宋体"/>
          <w:iCs/>
          <w:szCs w:val="21"/>
        </w:rPr>
        <w:t>否</w:t>
      </w:r>
    </w:p>
    <w:p w14:paraId="19891EE4">
      <w:pPr>
        <w:adjustRightInd w:val="0"/>
        <w:snapToGrid w:val="0"/>
        <w:spacing w:line="400" w:lineRule="exact"/>
        <w:ind w:firstLine="420" w:firstLineChars="200"/>
        <w:rPr>
          <w:rFonts w:ascii="宋体" w:hAnsi="宋体"/>
          <w:iCs/>
          <w:szCs w:val="21"/>
        </w:rPr>
      </w:pPr>
      <w:r>
        <w:rPr>
          <w:rFonts w:hint="eastAsia" w:ascii="宋体" w:hAnsi="宋体" w:cs="宋体"/>
          <w:szCs w:val="21"/>
        </w:rPr>
        <w:t>（1</w:t>
      </w:r>
      <w:r>
        <w:rPr>
          <w:rFonts w:ascii="宋体" w:hAnsi="宋体" w:cs="宋体"/>
          <w:szCs w:val="21"/>
          <w:lang w:val="en"/>
        </w:rPr>
        <w:t>0</w:t>
      </w:r>
      <w:r>
        <w:rPr>
          <w:rFonts w:hint="eastAsia" w:ascii="宋体" w:hAnsi="宋体" w:cs="宋体"/>
          <w:szCs w:val="21"/>
        </w:rPr>
        <w:t>）是否涉及节能产品：</w:t>
      </w:r>
    </w:p>
    <w:p w14:paraId="6078295A">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A8"/>
      </w:r>
      <w:r>
        <w:rPr>
          <w:rFonts w:hint="eastAsia" w:ascii="宋体" w:hAnsi="宋体"/>
          <w:iCs/>
          <w:szCs w:val="21"/>
        </w:rPr>
        <w:t xml:space="preserve">是，《节能产品政府采购品目清单》的底级品目名称：              </w:t>
      </w:r>
    </w:p>
    <w:p w14:paraId="45420F34">
      <w:pPr>
        <w:adjustRightInd w:val="0"/>
        <w:snapToGrid w:val="0"/>
        <w:spacing w:line="400" w:lineRule="exact"/>
        <w:ind w:firstLine="945" w:firstLineChars="45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05A1DC67">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FE"/>
      </w:r>
      <w:r>
        <w:rPr>
          <w:rFonts w:hint="eastAsia" w:ascii="宋体" w:hAnsi="宋体"/>
          <w:iCs/>
          <w:szCs w:val="21"/>
        </w:rPr>
        <w:t>否</w:t>
      </w:r>
    </w:p>
    <w:p w14:paraId="4BA664AC">
      <w:pPr>
        <w:pStyle w:val="179"/>
        <w:ind w:firstLine="420"/>
        <w:rPr>
          <w:rFonts w:ascii="宋体" w:hAnsi="宋体" w:eastAsia="宋体" w:cs="Times New Roman"/>
          <w:iCs/>
          <w:kern w:val="2"/>
          <w:sz w:val="21"/>
        </w:rPr>
      </w:pPr>
    </w:p>
    <w:p w14:paraId="6192A5F3">
      <w:pPr>
        <w:adjustRightInd w:val="0"/>
        <w:snapToGrid w:val="0"/>
        <w:spacing w:line="400" w:lineRule="exact"/>
        <w:ind w:firstLine="945" w:firstLineChars="450"/>
        <w:rPr>
          <w:rFonts w:ascii="宋体" w:hAnsi="宋体"/>
          <w:iCs/>
          <w:szCs w:val="21"/>
        </w:rPr>
      </w:pPr>
      <w:r>
        <w:rPr>
          <w:rFonts w:hint="eastAsia" w:ascii="宋体" w:hAnsi="宋体"/>
          <w:iCs/>
          <w:szCs w:val="21"/>
        </w:rPr>
        <w:t>是否涉及环境标志产品：</w:t>
      </w:r>
    </w:p>
    <w:p w14:paraId="59841BC5">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A8"/>
      </w:r>
      <w:r>
        <w:rPr>
          <w:rFonts w:hint="eastAsia" w:ascii="宋体" w:hAnsi="宋体"/>
          <w:iCs/>
          <w:szCs w:val="21"/>
        </w:rPr>
        <w:t xml:space="preserve">是，《环境标志产品政府采购品目清单》的底级品目名称：          </w:t>
      </w:r>
    </w:p>
    <w:p w14:paraId="5730C71E">
      <w:pPr>
        <w:adjustRightInd w:val="0"/>
        <w:snapToGrid w:val="0"/>
        <w:spacing w:line="400" w:lineRule="exact"/>
        <w:ind w:firstLine="945" w:firstLineChars="45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231A3C99">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A8"/>
      </w:r>
      <w:r>
        <w:rPr>
          <w:rFonts w:hint="eastAsia" w:ascii="宋体" w:hAnsi="宋体"/>
          <w:iCs/>
          <w:szCs w:val="21"/>
        </w:rPr>
        <w:t>否</w:t>
      </w:r>
    </w:p>
    <w:p w14:paraId="2A04B355">
      <w:pPr>
        <w:pStyle w:val="179"/>
        <w:ind w:firstLine="420"/>
        <w:rPr>
          <w:rFonts w:ascii="宋体" w:hAnsi="宋体" w:eastAsia="宋体" w:cs="Times New Roman"/>
          <w:iCs/>
          <w:kern w:val="2"/>
          <w:sz w:val="21"/>
        </w:rPr>
      </w:pPr>
    </w:p>
    <w:p w14:paraId="74EF7C4E">
      <w:pPr>
        <w:adjustRightInd w:val="0"/>
        <w:snapToGrid w:val="0"/>
        <w:spacing w:line="400" w:lineRule="exact"/>
        <w:ind w:firstLine="945" w:firstLineChars="450"/>
        <w:rPr>
          <w:rFonts w:ascii="宋体" w:hAnsi="宋体"/>
          <w:iCs/>
          <w:szCs w:val="21"/>
        </w:rPr>
      </w:pPr>
      <w:r>
        <w:rPr>
          <w:rFonts w:hint="eastAsia" w:ascii="宋体" w:hAnsi="宋体"/>
          <w:iCs/>
          <w:szCs w:val="21"/>
        </w:rPr>
        <w:t>是否涉及绿色产品：</w:t>
      </w:r>
    </w:p>
    <w:p w14:paraId="1D2160AF">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A8"/>
      </w:r>
      <w:r>
        <w:rPr>
          <w:rFonts w:hint="eastAsia" w:ascii="宋体" w:hAnsi="宋体"/>
          <w:iCs/>
          <w:szCs w:val="21"/>
        </w:rPr>
        <w:t xml:space="preserve">是，绿色产品政府采购相关政策确定的底级品目名称：         </w:t>
      </w:r>
    </w:p>
    <w:p w14:paraId="49A51407">
      <w:pPr>
        <w:adjustRightInd w:val="0"/>
        <w:snapToGrid w:val="0"/>
        <w:spacing w:line="400" w:lineRule="exact"/>
        <w:ind w:firstLine="945" w:firstLineChars="45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66A64CD5">
      <w:pPr>
        <w:adjustRightInd w:val="0"/>
        <w:snapToGrid w:val="0"/>
        <w:spacing w:line="400" w:lineRule="exact"/>
        <w:ind w:firstLine="945" w:firstLineChars="450"/>
        <w:rPr>
          <w:rFonts w:ascii="宋体" w:hAnsi="宋体" w:cs="宋体"/>
          <w:szCs w:val="21"/>
        </w:rPr>
      </w:pPr>
      <w:r>
        <w:rPr>
          <w:rFonts w:hint="eastAsia" w:ascii="宋体" w:hAnsi="宋体"/>
          <w:iCs/>
          <w:szCs w:val="21"/>
        </w:rPr>
        <w:sym w:font="Wingdings" w:char="00A8"/>
      </w:r>
      <w:r>
        <w:rPr>
          <w:rFonts w:hint="eastAsia" w:ascii="宋体" w:hAnsi="宋体"/>
          <w:iCs/>
          <w:szCs w:val="21"/>
        </w:rPr>
        <w:t>否</w:t>
      </w:r>
    </w:p>
    <w:p w14:paraId="701FAA5F">
      <w:pPr>
        <w:adjustRightInd w:val="0"/>
        <w:snapToGrid w:val="0"/>
        <w:spacing w:line="400" w:lineRule="exact"/>
        <w:ind w:firstLine="420" w:firstLineChars="200"/>
        <w:rPr>
          <w:rFonts w:ascii="宋体" w:hAnsi="宋体"/>
          <w:szCs w:val="21"/>
        </w:rPr>
      </w:pPr>
      <w:r>
        <w:rPr>
          <w:rFonts w:hint="eastAsia" w:ascii="宋体" w:hAnsi="宋体" w:cs="宋体"/>
          <w:szCs w:val="21"/>
        </w:rPr>
        <w:t>（</w:t>
      </w:r>
      <w:r>
        <w:rPr>
          <w:rFonts w:hint="eastAsia" w:ascii="宋体" w:hAnsi="宋体"/>
          <w:szCs w:val="21"/>
        </w:rPr>
        <w:t>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0CF812FA">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 xml:space="preserve">否      </w:t>
      </w:r>
      <w:r>
        <w:rPr>
          <w:rFonts w:hint="eastAsia" w:ascii="宋体" w:hAnsi="宋体"/>
          <w:iCs/>
          <w:szCs w:val="21"/>
        </w:rPr>
        <w:sym w:font="Wingdings" w:char="00A8"/>
      </w:r>
      <w:r>
        <w:rPr>
          <w:rFonts w:hint="eastAsia" w:ascii="宋体" w:hAnsi="宋体"/>
          <w:iCs/>
          <w:szCs w:val="21"/>
        </w:rPr>
        <w:t>不涉及</w:t>
      </w:r>
    </w:p>
    <w:p w14:paraId="179A7369">
      <w:pPr>
        <w:numPr>
          <w:ilvl w:val="0"/>
          <w:numId w:val="15"/>
        </w:numPr>
        <w:adjustRightInd w:val="0"/>
        <w:snapToGrid w:val="0"/>
        <w:spacing w:line="400" w:lineRule="exact"/>
        <w:ind w:firstLine="422" w:firstLineChars="200"/>
        <w:rPr>
          <w:rFonts w:ascii="宋体" w:hAnsi="宋体"/>
          <w:b/>
          <w:szCs w:val="21"/>
        </w:rPr>
      </w:pPr>
      <w:r>
        <w:rPr>
          <w:rFonts w:hint="eastAsia" w:ascii="宋体" w:hAnsi="宋体"/>
          <w:b/>
          <w:szCs w:val="21"/>
        </w:rPr>
        <w:t>合同金额</w:t>
      </w:r>
    </w:p>
    <w:p w14:paraId="60EFCB3A">
      <w:pPr>
        <w:adjustRightInd w:val="0"/>
        <w:snapToGrid w:val="0"/>
        <w:spacing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440D2E9B">
      <w:pPr>
        <w:adjustRightInd w:val="0"/>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29A0DECB">
      <w:pPr>
        <w:adjustRightInd w:val="0"/>
        <w:snapToGrid w:val="0"/>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无            </w:t>
      </w:r>
    </w:p>
    <w:p w14:paraId="4942CD05">
      <w:pPr>
        <w:adjustRightInd w:val="0"/>
        <w:snapToGrid w:val="0"/>
        <w:spacing w:line="400" w:lineRule="exact"/>
        <w:rPr>
          <w:rFonts w:ascii="宋体" w:hAnsi="宋体"/>
          <w:szCs w:val="21"/>
        </w:rPr>
      </w:pPr>
      <w:r>
        <w:rPr>
          <w:rFonts w:hint="eastAsia" w:ascii="宋体" w:hAnsi="宋体"/>
          <w:szCs w:val="21"/>
        </w:rPr>
        <w:t xml:space="preserve">                     大写：</w:t>
      </w:r>
      <w:r>
        <w:rPr>
          <w:rFonts w:hint="eastAsia" w:ascii="宋体" w:hAnsi="宋体"/>
          <w:szCs w:val="21"/>
          <w:u w:val="single"/>
        </w:rPr>
        <w:t xml:space="preserve">           无            </w:t>
      </w:r>
    </w:p>
    <w:p w14:paraId="0B5E85A3">
      <w:pPr>
        <w:adjustRightInd w:val="0"/>
        <w:snapToGrid w:val="0"/>
        <w:spacing w:line="400" w:lineRule="exact"/>
        <w:ind w:firstLine="420" w:firstLineChars="200"/>
        <w:rPr>
          <w:rFonts w:ascii="宋体" w:hAnsi="宋体"/>
          <w:szCs w:val="21"/>
        </w:rPr>
      </w:pPr>
      <w:r>
        <w:rPr>
          <w:rFonts w:hint="eastAsia" w:ascii="宋体" w:hAnsi="宋体"/>
          <w:szCs w:val="21"/>
        </w:rPr>
        <w:t>（2）</w:t>
      </w:r>
      <w:r>
        <w:rPr>
          <w:rFonts w:hint="eastAsia" w:ascii="宋体" w:hAnsi="宋体" w:cs="宋体"/>
          <w:szCs w:val="21"/>
        </w:rPr>
        <w:t>合同</w:t>
      </w:r>
      <w:r>
        <w:rPr>
          <w:rFonts w:hint="eastAsia" w:ascii="宋体" w:hAnsi="宋体"/>
          <w:szCs w:val="21"/>
        </w:rPr>
        <w:t>定价方式：</w:t>
      </w:r>
    </w:p>
    <w:p w14:paraId="53EED577">
      <w:pPr>
        <w:adjustRightInd w:val="0"/>
        <w:snapToGrid w:val="0"/>
        <w:spacing w:line="400" w:lineRule="exact"/>
        <w:ind w:firstLine="945" w:firstLineChars="450"/>
        <w:rPr>
          <w:rFonts w:ascii="宋体" w:hAnsi="宋体"/>
          <w:szCs w:val="21"/>
        </w:rPr>
      </w:pPr>
      <w:r>
        <w:rPr>
          <w:rFonts w:hint="eastAsia" w:ascii="宋体" w:hAnsi="宋体"/>
          <w:iCs/>
          <w:szCs w:val="21"/>
        </w:rPr>
        <w:sym w:font="Wingdings" w:char="00FE"/>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14:paraId="35B3D6AF">
      <w:pPr>
        <w:adjustRightInd w:val="0"/>
        <w:snapToGrid w:val="0"/>
        <w:spacing w:line="400" w:lineRule="exact"/>
        <w:ind w:firstLine="420" w:firstLineChars="200"/>
      </w:pPr>
      <w:r>
        <w:rPr>
          <w:rFonts w:hint="eastAsia" w:ascii="宋体" w:hAnsi="宋体"/>
        </w:rPr>
        <w:t>（3）</w:t>
      </w:r>
      <w:r>
        <w:rPr>
          <w:rFonts w:hint="eastAsia" w:ascii="宋体" w:hAnsi="宋体" w:cs="宋体"/>
          <w:szCs w:val="21"/>
        </w:rPr>
        <w:t>付款</w:t>
      </w:r>
      <w:r>
        <w:rPr>
          <w:rFonts w:hint="eastAsia" w:ascii="宋体" w:hAnsi="宋体"/>
        </w:rPr>
        <w:t>方式：</w:t>
      </w:r>
    </w:p>
    <w:p w14:paraId="22E87425">
      <w:pPr>
        <w:adjustRightInd w:val="0"/>
        <w:snapToGrid w:val="0"/>
        <w:spacing w:line="400" w:lineRule="exact"/>
        <w:ind w:firstLine="945" w:firstLineChars="450"/>
        <w:rPr>
          <w:rFonts w:ascii="宋体" w:hAnsi="宋体" w:cs="宋体"/>
          <w:color w:val="000000"/>
          <w:szCs w:val="21"/>
        </w:rPr>
      </w:pPr>
      <w:r>
        <w:rPr>
          <w:rFonts w:hint="eastAsia" w:ascii="宋体" w:hAnsi="宋体" w:cs="宋体"/>
          <w:iCs/>
          <w:color w:val="000000"/>
          <w:szCs w:val="21"/>
        </w:rPr>
        <w:sym w:font="Wingdings" w:char="00FE"/>
      </w:r>
      <w:r>
        <w:rPr>
          <w:rFonts w:hint="eastAsia" w:ascii="宋体" w:hAnsi="宋体" w:cs="宋体"/>
          <w:iCs/>
          <w:color w:val="000000"/>
          <w:szCs w:val="21"/>
        </w:rPr>
        <w:t>全额付款：</w:t>
      </w:r>
      <w:r>
        <w:rPr>
          <w:rFonts w:hint="eastAsia" w:ascii="宋体" w:hAnsi="宋体" w:cs="宋体"/>
          <w:color w:val="000000"/>
          <w:szCs w:val="21"/>
        </w:rPr>
        <w:t xml:space="preserve">货物验收合格后，乙方向甲方提交下列文件材料，经甲方审核无误后7个工作日内支付采购资金：（1）经甲方确认的合法有效且购销单位相符、金额相符的增值税发票；（2）经甲乙双方确认签订的《验收报告》（或按项目进度阶段性《验收报告》）；（3）其他材料。 </w:t>
      </w:r>
    </w:p>
    <w:p w14:paraId="4968E331">
      <w:pPr>
        <w:adjustRightInd w:val="0"/>
        <w:snapToGrid w:val="0"/>
        <w:spacing w:line="400" w:lineRule="exact"/>
        <w:ind w:firstLine="945" w:firstLineChars="450"/>
        <w:rPr>
          <w:rFonts w:ascii="宋体" w:hAnsi="宋体" w:cs="宋体"/>
          <w:color w:val="000000"/>
          <w:szCs w:val="21"/>
          <w:u w:val="single"/>
        </w:rPr>
      </w:pPr>
      <w:r>
        <w:rPr>
          <w:rFonts w:hint="eastAsia" w:ascii="宋体" w:hAnsi="宋体" w:cs="宋体"/>
          <w:iCs/>
          <w:color w:val="000000"/>
          <w:szCs w:val="21"/>
        </w:rPr>
        <w:sym w:font="Wingdings" w:char="00A8"/>
      </w:r>
      <w:r>
        <w:rPr>
          <w:rFonts w:hint="eastAsia" w:ascii="宋体" w:hAnsi="宋体" w:cs="宋体"/>
          <w:iCs/>
          <w:color w:val="000000"/>
          <w:szCs w:val="21"/>
        </w:rPr>
        <w:t>分期付款：</w:t>
      </w:r>
      <w:r>
        <w:rPr>
          <w:rFonts w:hint="eastAsia" w:ascii="宋体" w:hAnsi="宋体" w:cs="宋体"/>
          <w:color w:val="000000"/>
          <w:szCs w:val="21"/>
          <w:u w:val="single"/>
        </w:rPr>
        <w:t>/</w:t>
      </w:r>
    </w:p>
    <w:p w14:paraId="768D76FA">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A8"/>
      </w:r>
      <w:r>
        <w:rPr>
          <w:rFonts w:hint="eastAsia" w:ascii="宋体" w:hAnsi="宋体"/>
          <w:iCs/>
          <w:szCs w:val="21"/>
        </w:rPr>
        <w:t>成本补偿： /</w:t>
      </w:r>
    </w:p>
    <w:p w14:paraId="55B8D945">
      <w:pPr>
        <w:adjustRightInd w:val="0"/>
        <w:snapToGrid w:val="0"/>
        <w:spacing w:line="400" w:lineRule="exact"/>
        <w:ind w:firstLine="945" w:firstLineChars="450"/>
        <w:rPr>
          <w:rFonts w:ascii="宋体" w:hAnsi="宋体"/>
          <w:iCs/>
          <w:szCs w:val="21"/>
        </w:rPr>
      </w:pPr>
      <w:r>
        <w:rPr>
          <w:rFonts w:hint="eastAsia" w:ascii="宋体" w:hAnsi="宋体"/>
          <w:iCs/>
          <w:szCs w:val="21"/>
        </w:rPr>
        <w:sym w:font="Wingdings" w:char="00A8"/>
      </w:r>
      <w:r>
        <w:rPr>
          <w:rFonts w:hint="eastAsia" w:ascii="宋体" w:hAnsi="宋体"/>
          <w:iCs/>
          <w:szCs w:val="21"/>
        </w:rPr>
        <w:t xml:space="preserve">绩效激励： /     </w:t>
      </w:r>
    </w:p>
    <w:p w14:paraId="1C3F09B1">
      <w:pPr>
        <w:numPr>
          <w:ilvl w:val="0"/>
          <w:numId w:val="15"/>
        </w:numPr>
        <w:adjustRightInd w:val="0"/>
        <w:snapToGrid w:val="0"/>
        <w:spacing w:line="400" w:lineRule="exact"/>
        <w:ind w:firstLine="422" w:firstLineChars="200"/>
        <w:rPr>
          <w:rFonts w:ascii="宋体" w:hAnsi="宋体"/>
          <w:b/>
          <w:szCs w:val="21"/>
          <w:u w:val="single"/>
        </w:rPr>
      </w:pPr>
      <w:r>
        <w:rPr>
          <w:rFonts w:hint="eastAsia" w:ascii="宋体" w:hAnsi="宋体"/>
          <w:b/>
          <w:szCs w:val="21"/>
        </w:rPr>
        <w:t>合同履行</w:t>
      </w:r>
    </w:p>
    <w:p w14:paraId="67DF520D">
      <w:pPr>
        <w:adjustRightInd w:val="0"/>
        <w:snapToGrid w:val="0"/>
        <w:spacing w:line="400" w:lineRule="exact"/>
        <w:ind w:firstLine="420" w:firstLineChars="200"/>
        <w:rPr>
          <w:rFonts w:ascii="宋体" w:hAnsi="宋体" w:cs="宋体"/>
          <w:szCs w:val="21"/>
        </w:rPr>
      </w:pPr>
      <w:r>
        <w:rPr>
          <w:rFonts w:hint="eastAsia" w:ascii="宋体" w:hAnsi="宋体" w:cs="宋体"/>
          <w:szCs w:val="21"/>
        </w:rPr>
        <w:t>（1）合同履行期限：起始日期：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BB9F06C">
      <w:pPr>
        <w:adjustRightInd w:val="0"/>
        <w:snapToGrid w:val="0"/>
        <w:spacing w:line="400" w:lineRule="exact"/>
        <w:ind w:firstLine="420" w:firstLineChars="20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bCs/>
          <w:szCs w:val="21"/>
          <w:u w:val="single"/>
        </w:rPr>
        <w:t xml:space="preserve">                                                        </w:t>
      </w:r>
    </w:p>
    <w:p w14:paraId="646EB138">
      <w:pPr>
        <w:adjustRightInd w:val="0"/>
        <w:snapToGrid w:val="0"/>
        <w:spacing w:line="400" w:lineRule="exact"/>
        <w:ind w:firstLine="420" w:firstLineChars="20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FE"/>
      </w:r>
      <w:r>
        <w:rPr>
          <w:rFonts w:hint="eastAsia" w:ascii="宋体" w:hAnsi="宋体" w:cs="宋体"/>
          <w:szCs w:val="21"/>
        </w:rPr>
        <w:t>否</w:t>
      </w:r>
    </w:p>
    <w:p w14:paraId="7BBBC81B">
      <w:pPr>
        <w:adjustRightInd w:val="0"/>
        <w:snapToGrid w:val="0"/>
        <w:spacing w:line="400" w:lineRule="exact"/>
        <w:ind w:firstLine="945" w:firstLineChars="450"/>
        <w:rPr>
          <w:rFonts w:ascii="宋体" w:hAnsi="宋体"/>
          <w:iCs/>
          <w:szCs w:val="21"/>
        </w:rPr>
      </w:pPr>
      <w:r>
        <w:rPr>
          <w:rFonts w:hint="eastAsia" w:ascii="宋体" w:hAnsi="宋体"/>
          <w:iCs/>
          <w:szCs w:val="21"/>
        </w:rPr>
        <w:t>收取履约保证金形式：见采购文件第二章供应商须知7.3.1</w:t>
      </w:r>
    </w:p>
    <w:p w14:paraId="053185DC">
      <w:pPr>
        <w:adjustRightInd w:val="0"/>
        <w:snapToGrid w:val="0"/>
        <w:spacing w:line="400" w:lineRule="exact"/>
        <w:ind w:firstLine="945" w:firstLineChars="450"/>
        <w:rPr>
          <w:rFonts w:ascii="宋体" w:hAnsi="宋体"/>
          <w:iCs/>
          <w:szCs w:val="21"/>
        </w:rPr>
      </w:pPr>
      <w:r>
        <w:rPr>
          <w:rFonts w:hint="eastAsia" w:ascii="宋体" w:hAnsi="宋体"/>
          <w:iCs/>
          <w:szCs w:val="21"/>
        </w:rPr>
        <w:t>收取履约保证金金额：</w:t>
      </w:r>
      <w:r>
        <w:rPr>
          <w:rFonts w:hint="eastAsia" w:ascii="宋体" w:hAnsi="宋体" w:cs="宋体"/>
          <w:bCs/>
          <w:szCs w:val="21"/>
          <w:u w:val="single"/>
        </w:rPr>
        <w:t xml:space="preserve">                                                  </w:t>
      </w:r>
      <w:r>
        <w:rPr>
          <w:rFonts w:hint="eastAsia" w:ascii="宋体" w:hAnsi="宋体"/>
          <w:iCs/>
          <w:szCs w:val="21"/>
        </w:rPr>
        <w:t xml:space="preserve">                            </w:t>
      </w:r>
    </w:p>
    <w:p w14:paraId="78CF0472">
      <w:pPr>
        <w:adjustRightInd w:val="0"/>
        <w:snapToGrid w:val="0"/>
        <w:spacing w:line="400" w:lineRule="exact"/>
        <w:ind w:firstLine="945" w:firstLineChars="450"/>
        <w:rPr>
          <w:rFonts w:ascii="宋体" w:hAnsi="宋体" w:cs="宋体"/>
          <w:szCs w:val="21"/>
          <w:u w:val="single"/>
        </w:rPr>
      </w:pPr>
      <w:r>
        <w:rPr>
          <w:rFonts w:hint="eastAsia" w:ascii="宋体" w:hAnsi="宋体"/>
          <w:iCs/>
          <w:szCs w:val="21"/>
        </w:rPr>
        <w:t>履约担保期限：</w:t>
      </w:r>
      <w:r>
        <w:rPr>
          <w:rFonts w:hint="eastAsia" w:ascii="宋体" w:hAnsi="宋体" w:cs="宋体"/>
          <w:bCs/>
          <w:szCs w:val="21"/>
          <w:u w:val="single"/>
        </w:rPr>
        <w:t xml:space="preserve">                                                        </w:t>
      </w:r>
    </w:p>
    <w:p w14:paraId="4046310C">
      <w:pPr>
        <w:adjustRightInd w:val="0"/>
        <w:snapToGrid w:val="0"/>
        <w:spacing w:line="400" w:lineRule="exact"/>
        <w:ind w:firstLine="945" w:firstLineChars="450"/>
        <w:rPr>
          <w:rFonts w:ascii="宋体" w:hAnsi="宋体"/>
          <w:iCs/>
          <w:szCs w:val="21"/>
        </w:rPr>
      </w:pPr>
      <w:r>
        <w:rPr>
          <w:rFonts w:hint="eastAsia" w:ascii="宋体" w:hAnsi="宋体"/>
          <w:iCs/>
          <w:szCs w:val="21"/>
        </w:rPr>
        <w:t xml:space="preserve">                                  </w:t>
      </w:r>
    </w:p>
    <w:p w14:paraId="6143DDE1">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（4）</w:t>
      </w:r>
      <w:r>
        <w:rPr>
          <w:rFonts w:hint="eastAsia" w:ascii="宋体" w:hAnsi="宋体" w:cs="宋体"/>
          <w:szCs w:val="21"/>
        </w:rPr>
        <w:t>分期</w:t>
      </w:r>
      <w:r>
        <w:rPr>
          <w:rFonts w:hint="eastAsia" w:ascii="宋体" w:hAnsi="宋体" w:cs="宋体"/>
          <w:bCs/>
          <w:szCs w:val="21"/>
        </w:rPr>
        <w:t>履行要求：</w:t>
      </w:r>
      <w:r>
        <w:rPr>
          <w:rFonts w:hint="eastAsia" w:ascii="宋体" w:hAnsi="宋体" w:cs="宋体"/>
          <w:bCs/>
          <w:szCs w:val="21"/>
          <w:u w:val="single"/>
        </w:rPr>
        <w:t xml:space="preserve">         /                                               </w:t>
      </w:r>
    </w:p>
    <w:p w14:paraId="1FC3E155">
      <w:pPr>
        <w:adjustRightInd w:val="0"/>
        <w:snapToGrid w:val="0"/>
        <w:spacing w:line="400" w:lineRule="exact"/>
        <w:ind w:firstLine="420" w:firstLineChars="200"/>
        <w:rPr>
          <w:rFonts w:ascii="宋体" w:hAnsi="宋体" w:cs="宋体"/>
          <w:szCs w:val="21"/>
          <w:u w:val="single"/>
        </w:rPr>
      </w:pPr>
      <w:r>
        <w:rPr>
          <w:rFonts w:hint="eastAsia" w:ascii="宋体" w:hAnsi="宋体" w:cs="宋体"/>
          <w:bCs/>
          <w:szCs w:val="21"/>
        </w:rPr>
        <w:t>（5）</w:t>
      </w:r>
      <w:r>
        <w:rPr>
          <w:rFonts w:hint="eastAsia" w:ascii="宋体" w:hAnsi="宋体" w:cs="宋体"/>
          <w:szCs w:val="21"/>
        </w:rPr>
        <w:t>风险</w:t>
      </w:r>
      <w:r>
        <w:rPr>
          <w:rFonts w:hint="eastAsia" w:ascii="宋体" w:hAnsi="宋体" w:cs="宋体"/>
          <w:bCs/>
          <w:szCs w:val="21"/>
        </w:rPr>
        <w:t>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       </w:t>
      </w:r>
      <w:r>
        <w:rPr>
          <w:rFonts w:hint="eastAsia" w:ascii="宋体" w:hAnsi="宋体" w:cs="宋体"/>
          <w:szCs w:val="21"/>
          <w:u w:val="single"/>
        </w:rPr>
        <w:t xml:space="preserve">                                                </w:t>
      </w:r>
    </w:p>
    <w:p w14:paraId="01426C74">
      <w:pPr>
        <w:numPr>
          <w:ilvl w:val="0"/>
          <w:numId w:val="15"/>
        </w:numPr>
        <w:adjustRightInd w:val="0"/>
        <w:snapToGrid w:val="0"/>
        <w:spacing w:line="400" w:lineRule="exact"/>
        <w:ind w:firstLine="422" w:firstLineChars="200"/>
        <w:rPr>
          <w:rFonts w:ascii="宋体" w:hAnsi="宋体"/>
          <w:b/>
          <w:szCs w:val="21"/>
        </w:rPr>
      </w:pPr>
      <w:r>
        <w:rPr>
          <w:rFonts w:hint="eastAsia" w:ascii="宋体" w:hAnsi="宋体"/>
          <w:b/>
          <w:szCs w:val="21"/>
        </w:rPr>
        <w:t>合同验收</w:t>
      </w:r>
    </w:p>
    <w:p w14:paraId="7464B259">
      <w:pPr>
        <w:numPr>
          <w:ilvl w:val="0"/>
          <w:numId w:val="17"/>
        </w:numPr>
        <w:adjustRightInd w:val="0"/>
        <w:snapToGrid w:val="0"/>
        <w:spacing w:line="400" w:lineRule="exact"/>
        <w:ind w:firstLine="420" w:firstLineChars="200"/>
        <w:rPr>
          <w:rFonts w:ascii="宋体" w:hAnsi="宋体"/>
          <w:bCs/>
          <w:szCs w:val="21"/>
        </w:rPr>
      </w:pPr>
      <w:r>
        <w:rPr>
          <w:rFonts w:hint="eastAsia" w:ascii="宋体" w:hAnsi="宋体"/>
          <w:bCs/>
          <w:szCs w:val="21"/>
        </w:rPr>
        <w:t>验收组织方式：</w:t>
      </w:r>
      <w:r>
        <w:rPr>
          <w:rFonts w:hint="eastAsia" w:ascii="宋体" w:hAnsi="宋体" w:cs="宋体"/>
          <w:szCs w:val="21"/>
        </w:rPr>
        <w:sym w:font="Wingdings" w:char="00FE"/>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14:paraId="74DB94C2">
      <w:pPr>
        <w:adjustRightInd w:val="0"/>
        <w:snapToGrid w:val="0"/>
        <w:spacing w:line="400" w:lineRule="exact"/>
        <w:ind w:firstLine="945" w:firstLineChars="450"/>
        <w:rPr>
          <w:rFonts w:ascii="宋体" w:hAnsi="宋体"/>
          <w:iCs/>
          <w:szCs w:val="21"/>
        </w:rPr>
      </w:pPr>
      <w:r>
        <w:rPr>
          <w:rFonts w:hint="eastAsia" w:ascii="宋体" w:hAnsi="宋体"/>
          <w:iCs/>
          <w:szCs w:val="21"/>
        </w:rPr>
        <w:t xml:space="preserve">验收主体：                  </w:t>
      </w:r>
    </w:p>
    <w:p w14:paraId="71EB6997">
      <w:pPr>
        <w:adjustRightInd w:val="0"/>
        <w:snapToGrid w:val="0"/>
        <w:spacing w:line="400" w:lineRule="exact"/>
        <w:ind w:firstLine="945" w:firstLineChars="450"/>
        <w:rPr>
          <w:rFonts w:ascii="宋体" w:hAnsi="宋体"/>
          <w:iCs/>
          <w:szCs w:val="21"/>
        </w:rPr>
      </w:pPr>
      <w:r>
        <w:rPr>
          <w:rFonts w:hint="eastAsia" w:ascii="宋体" w:hAnsi="宋体"/>
          <w:iCs/>
          <w:szCs w:val="21"/>
        </w:rPr>
        <w:t>是否邀请本项目的其他供应商参加验收：</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FE"/>
      </w:r>
      <w:r>
        <w:rPr>
          <w:rFonts w:hint="eastAsia" w:ascii="宋体" w:hAnsi="宋体"/>
          <w:iCs/>
          <w:szCs w:val="21"/>
        </w:rPr>
        <w:t>否</w:t>
      </w:r>
    </w:p>
    <w:p w14:paraId="6FDBA535">
      <w:pPr>
        <w:adjustRightInd w:val="0"/>
        <w:snapToGrid w:val="0"/>
        <w:spacing w:line="400" w:lineRule="exact"/>
        <w:ind w:firstLine="945" w:firstLineChars="450"/>
        <w:rPr>
          <w:rFonts w:ascii="宋体" w:hAnsi="宋体"/>
          <w:iCs/>
          <w:szCs w:val="21"/>
        </w:rPr>
      </w:pPr>
      <w:r>
        <w:rPr>
          <w:rFonts w:hint="eastAsia" w:ascii="宋体" w:hAnsi="宋体"/>
          <w:iCs/>
          <w:szCs w:val="21"/>
        </w:rPr>
        <w:t>是否邀请专家参加验收：</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FE"/>
      </w:r>
      <w:r>
        <w:rPr>
          <w:rFonts w:hint="eastAsia" w:ascii="宋体" w:hAnsi="宋体"/>
          <w:iCs/>
          <w:szCs w:val="21"/>
        </w:rPr>
        <w:t>否</w:t>
      </w:r>
    </w:p>
    <w:p w14:paraId="43F9E7D9">
      <w:pPr>
        <w:adjustRightInd w:val="0"/>
        <w:snapToGrid w:val="0"/>
        <w:spacing w:line="400" w:lineRule="exact"/>
        <w:ind w:firstLine="945" w:firstLineChars="450"/>
        <w:rPr>
          <w:rFonts w:ascii="宋体" w:hAnsi="宋体"/>
          <w:iCs/>
          <w:szCs w:val="21"/>
        </w:rPr>
      </w:pPr>
      <w:r>
        <w:rPr>
          <w:rFonts w:hint="eastAsia" w:ascii="宋体" w:hAnsi="宋体"/>
          <w:iCs/>
          <w:szCs w:val="21"/>
        </w:rPr>
        <w:t>是否邀请服务对象参加验收：</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FE"/>
      </w:r>
      <w:r>
        <w:rPr>
          <w:rFonts w:hint="eastAsia" w:ascii="宋体" w:hAnsi="宋体"/>
          <w:iCs/>
          <w:szCs w:val="21"/>
        </w:rPr>
        <w:t>否</w:t>
      </w:r>
    </w:p>
    <w:p w14:paraId="46EDCBF6">
      <w:pPr>
        <w:adjustRightInd w:val="0"/>
        <w:snapToGrid w:val="0"/>
        <w:spacing w:line="400" w:lineRule="exact"/>
        <w:ind w:firstLine="945" w:firstLineChars="450"/>
        <w:rPr>
          <w:rFonts w:ascii="宋体" w:hAnsi="宋体"/>
          <w:iCs/>
          <w:szCs w:val="21"/>
        </w:rPr>
      </w:pPr>
      <w:r>
        <w:rPr>
          <w:rFonts w:hint="eastAsia" w:ascii="宋体" w:hAnsi="宋体"/>
          <w:iCs/>
          <w:szCs w:val="21"/>
        </w:rPr>
        <w:t>是否邀请第三方检测机构参加验收：</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FE"/>
      </w:r>
      <w:r>
        <w:rPr>
          <w:rFonts w:hint="eastAsia" w:ascii="宋体" w:hAnsi="宋体"/>
          <w:iCs/>
          <w:szCs w:val="21"/>
        </w:rPr>
        <w:t>否</w:t>
      </w:r>
    </w:p>
    <w:p w14:paraId="7092F6A1">
      <w:pPr>
        <w:adjustRightInd w:val="0"/>
        <w:snapToGrid w:val="0"/>
        <w:spacing w:line="400" w:lineRule="exact"/>
        <w:ind w:firstLine="945" w:firstLineChars="450"/>
        <w:rPr>
          <w:rFonts w:ascii="宋体" w:hAnsi="宋体"/>
          <w:iCs/>
          <w:szCs w:val="21"/>
        </w:rPr>
      </w:pPr>
      <w:r>
        <w:rPr>
          <w:rFonts w:hint="eastAsia" w:ascii="宋体" w:hAnsi="宋体"/>
          <w:iCs/>
          <w:szCs w:val="21"/>
        </w:rPr>
        <w:t>是否进行抽查检测：</w:t>
      </w:r>
      <w:r>
        <w:rPr>
          <w:rFonts w:hint="eastAsia" w:ascii="宋体" w:hAnsi="宋体"/>
          <w:iCs/>
          <w:szCs w:val="21"/>
        </w:rPr>
        <w:sym w:font="Wingdings" w:char="00A8"/>
      </w:r>
      <w:r>
        <w:rPr>
          <w:rFonts w:hint="eastAsia" w:ascii="宋体" w:hAnsi="宋体"/>
          <w:iCs/>
          <w:szCs w:val="21"/>
        </w:rPr>
        <w:t xml:space="preserve">是，抽查比例：         </w:t>
      </w:r>
      <w:r>
        <w:rPr>
          <w:rFonts w:hint="eastAsia" w:ascii="宋体" w:hAnsi="宋体"/>
          <w:iCs/>
          <w:szCs w:val="21"/>
        </w:rPr>
        <w:sym w:font="Wingdings" w:char="00FE"/>
      </w:r>
      <w:r>
        <w:rPr>
          <w:rFonts w:hint="eastAsia" w:ascii="宋体" w:hAnsi="宋体"/>
          <w:iCs/>
          <w:szCs w:val="21"/>
        </w:rPr>
        <w:t>否</w:t>
      </w:r>
    </w:p>
    <w:p w14:paraId="6C093ECF">
      <w:pPr>
        <w:adjustRightInd w:val="0"/>
        <w:snapToGrid w:val="0"/>
        <w:spacing w:line="400" w:lineRule="exact"/>
        <w:ind w:firstLine="945" w:firstLineChars="450"/>
        <w:rPr>
          <w:rFonts w:ascii="宋体" w:hAnsi="宋体"/>
          <w:iCs/>
          <w:szCs w:val="21"/>
        </w:rPr>
      </w:pPr>
      <w:r>
        <w:rPr>
          <w:rFonts w:hint="eastAsia" w:ascii="宋体" w:hAnsi="宋体"/>
          <w:iCs/>
          <w:szCs w:val="21"/>
        </w:rPr>
        <w:t>是否存在破坏性检测：</w:t>
      </w:r>
      <w:r>
        <w:rPr>
          <w:rFonts w:hint="eastAsia" w:ascii="宋体" w:hAnsi="宋体"/>
          <w:iCs/>
          <w:szCs w:val="21"/>
        </w:rPr>
        <w:sym w:font="Wingdings" w:char="00A8"/>
      </w:r>
      <w:r>
        <w:rPr>
          <w:rFonts w:hint="eastAsia" w:ascii="宋体" w:hAnsi="宋体"/>
          <w:iCs/>
          <w:szCs w:val="21"/>
        </w:rPr>
        <w:t>是，</w:t>
      </w:r>
    </w:p>
    <w:p w14:paraId="7C71B077">
      <w:pPr>
        <w:adjustRightInd w:val="0"/>
        <w:snapToGrid w:val="0"/>
        <w:spacing w:line="400" w:lineRule="exact"/>
        <w:ind w:firstLine="840" w:firstLineChars="400"/>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FE"/>
      </w:r>
      <w:r>
        <w:rPr>
          <w:rFonts w:hint="eastAsia" w:ascii="宋体" w:hAnsi="宋体"/>
          <w:bCs/>
          <w:szCs w:val="21"/>
        </w:rPr>
        <w:t>否</w:t>
      </w:r>
    </w:p>
    <w:p w14:paraId="0965B27E">
      <w:pPr>
        <w:adjustRightInd w:val="0"/>
        <w:snapToGrid w:val="0"/>
        <w:spacing w:line="400" w:lineRule="exact"/>
        <w:ind w:firstLine="945" w:firstLineChars="450"/>
        <w:rPr>
          <w:rFonts w:ascii="宋体" w:hAnsi="宋体"/>
          <w:iCs/>
          <w:szCs w:val="21"/>
        </w:rPr>
      </w:pPr>
      <w:r>
        <w:rPr>
          <w:rFonts w:hint="eastAsia" w:ascii="宋体" w:hAnsi="宋体"/>
          <w:iCs/>
          <w:szCs w:val="21"/>
        </w:rPr>
        <w:t xml:space="preserve">验收组织的其他事项：                </w:t>
      </w:r>
    </w:p>
    <w:p w14:paraId="111ABA4D">
      <w:pPr>
        <w:adjustRightInd w:val="0"/>
        <w:snapToGrid w:val="0"/>
        <w:spacing w:line="400" w:lineRule="exact"/>
        <w:ind w:firstLine="420" w:firstLineChars="200"/>
        <w:rPr>
          <w:rFonts w:ascii="宋体" w:hAnsi="宋体"/>
          <w:bCs/>
          <w:szCs w:val="21"/>
          <w:u w:val="single"/>
        </w:rPr>
      </w:pPr>
      <w:r>
        <w:rPr>
          <w:rFonts w:hint="eastAsia" w:ascii="宋体" w:hAnsi="宋体"/>
          <w:bCs/>
          <w:szCs w:val="21"/>
        </w:rPr>
        <w:t>（2）履约验收时间：</w:t>
      </w:r>
      <w:r>
        <w:rPr>
          <w:rFonts w:hint="eastAsia" w:ascii="宋体" w:hAnsi="宋体"/>
          <w:szCs w:val="21"/>
          <w:u w:val="single"/>
        </w:rPr>
        <w:t>供应商提出验收申请之日起7日内组织验收</w:t>
      </w:r>
    </w:p>
    <w:p w14:paraId="75136499">
      <w:pPr>
        <w:adjustRightInd w:val="0"/>
        <w:snapToGrid w:val="0"/>
        <w:spacing w:line="400" w:lineRule="exact"/>
        <w:ind w:firstLine="420" w:firstLineChars="200"/>
        <w:rPr>
          <w:rFonts w:ascii="宋体" w:hAnsi="宋体"/>
          <w:bCs/>
          <w:szCs w:val="21"/>
        </w:rPr>
      </w:pPr>
      <w:r>
        <w:rPr>
          <w:rFonts w:hint="eastAsia" w:ascii="宋体" w:hAnsi="宋体"/>
          <w:bCs/>
          <w:szCs w:val="21"/>
        </w:rPr>
        <w:t>（3）履约验收方式：</w:t>
      </w:r>
      <w:r>
        <w:rPr>
          <w:rFonts w:hint="eastAsia" w:ascii="宋体" w:hAnsi="宋体" w:cs="宋体"/>
          <w:szCs w:val="21"/>
        </w:rPr>
        <w:sym w:font="Wingdings" w:char="00FE"/>
      </w:r>
      <w:r>
        <w:rPr>
          <w:rFonts w:hint="eastAsia" w:ascii="宋体" w:hAnsi="宋体"/>
          <w:bCs/>
          <w:szCs w:val="21"/>
        </w:rPr>
        <w:t xml:space="preserve">一次性验收         </w:t>
      </w:r>
    </w:p>
    <w:p w14:paraId="1A445E51">
      <w:pPr>
        <w:adjustRightInd w:val="0"/>
        <w:snapToGrid w:val="0"/>
        <w:spacing w:line="400" w:lineRule="exact"/>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w:t>
      </w:r>
      <w:r>
        <w:rPr>
          <w:rFonts w:hint="eastAsia" w:ascii="宋体" w:hAnsi="宋体"/>
          <w:i/>
          <w:iCs/>
          <w:szCs w:val="21"/>
          <w:u w:val="single"/>
        </w:rPr>
        <w:t>/</w:t>
      </w:r>
      <w:r>
        <w:rPr>
          <w:rFonts w:hint="eastAsia" w:ascii="宋体" w:hAnsi="宋体"/>
          <w:bCs/>
          <w:szCs w:val="21"/>
          <w:u w:val="single"/>
        </w:rPr>
        <w:t xml:space="preserve">  </w:t>
      </w:r>
    </w:p>
    <w:p w14:paraId="12F11BE7">
      <w:pPr>
        <w:adjustRightInd w:val="0"/>
        <w:snapToGrid w:val="0"/>
        <w:spacing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r>
        <w:rPr>
          <w:rFonts w:hint="eastAsia" w:ascii="宋体" w:hAnsi="宋体"/>
          <w:szCs w:val="21"/>
          <w:u w:val="single"/>
        </w:rPr>
        <w:t>供应商提出验收申请后，验收小组开展验收</w:t>
      </w:r>
      <w:r>
        <w:rPr>
          <w:rFonts w:hint="eastAsia" w:ascii="宋体" w:hAnsi="宋体"/>
          <w:bCs/>
          <w:szCs w:val="21"/>
          <w:u w:val="single"/>
        </w:rPr>
        <w:t xml:space="preserve">                                       </w:t>
      </w:r>
    </w:p>
    <w:p w14:paraId="1C8C1C4B">
      <w:pPr>
        <w:adjustRightInd w:val="0"/>
        <w:snapToGrid w:val="0"/>
        <w:spacing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供应的各产品                                   </w:t>
      </w:r>
    </w:p>
    <w:p w14:paraId="21D9F547">
      <w:pPr>
        <w:adjustRightInd w:val="0"/>
        <w:snapToGrid w:val="0"/>
        <w:spacing w:line="400" w:lineRule="exact"/>
        <w:ind w:firstLine="420" w:firstLineChars="20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依据采购文件要求及供应商响应文件进行验收                                    </w:t>
      </w:r>
    </w:p>
    <w:p w14:paraId="6FC853A6">
      <w:pPr>
        <w:pStyle w:val="179"/>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FE"/>
      </w:r>
      <w:r>
        <w:rPr>
          <w:rFonts w:hint="eastAsia" w:ascii="宋体" w:hAnsi="宋体" w:eastAsia="宋体" w:cs="宋体"/>
          <w:bCs/>
          <w:sz w:val="21"/>
        </w:rPr>
        <w:t xml:space="preserve">是  </w:t>
      </w:r>
      <w:r>
        <w:rPr>
          <w:rFonts w:hint="eastAsia" w:ascii="宋体" w:hAnsi="宋体" w:eastAsia="宋体" w:cs="宋体"/>
          <w:sz w:val="21"/>
        </w:rPr>
        <w:sym w:font="Wingdings" w:char="00FE"/>
      </w:r>
      <w:r>
        <w:rPr>
          <w:rFonts w:hint="eastAsia" w:ascii="宋体" w:hAnsi="宋体" w:eastAsia="宋体" w:cs="宋体"/>
          <w:bCs/>
          <w:sz w:val="21"/>
        </w:rPr>
        <w:t>否</w:t>
      </w:r>
    </w:p>
    <w:p w14:paraId="219A1BB3">
      <w:pPr>
        <w:adjustRightInd w:val="0"/>
        <w:snapToGrid w:val="0"/>
        <w:spacing w:line="400" w:lineRule="exact"/>
        <w:ind w:firstLine="420" w:firstLineChars="20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color w:val="000000"/>
          <w:szCs w:val="21"/>
          <w:u w:val="single"/>
        </w:rPr>
        <w:t xml:space="preserve">  </w:t>
      </w:r>
      <w:r>
        <w:rPr>
          <w:rFonts w:hint="eastAsia" w:ascii="宋体" w:hAnsi="宋体"/>
          <w:color w:val="000000"/>
          <w:szCs w:val="21"/>
          <w:u w:val="single"/>
        </w:rPr>
        <w:t>/</w:t>
      </w:r>
      <w:r>
        <w:rPr>
          <w:rFonts w:hint="eastAsia" w:ascii="宋体" w:hAnsi="宋体" w:cs="宋体"/>
          <w:bCs/>
          <w:color w:val="000000"/>
          <w:szCs w:val="21"/>
          <w:u w:val="single"/>
        </w:rPr>
        <w:t xml:space="preserve">     </w:t>
      </w:r>
    </w:p>
    <w:p w14:paraId="7F66AC85">
      <w:pPr>
        <w:numPr>
          <w:ilvl w:val="0"/>
          <w:numId w:val="15"/>
        </w:numPr>
        <w:adjustRightInd w:val="0"/>
        <w:snapToGrid w:val="0"/>
        <w:spacing w:line="400" w:lineRule="exact"/>
        <w:ind w:firstLine="422" w:firstLineChars="200"/>
        <w:rPr>
          <w:rFonts w:ascii="宋体" w:hAnsi="宋体"/>
          <w:b/>
          <w:szCs w:val="21"/>
        </w:rPr>
      </w:pPr>
      <w:r>
        <w:rPr>
          <w:rFonts w:hint="eastAsia" w:ascii="宋体" w:hAnsi="宋体"/>
          <w:b/>
          <w:szCs w:val="21"/>
        </w:rPr>
        <w:t>组成合同的文件</w:t>
      </w:r>
    </w:p>
    <w:p w14:paraId="545FB7CD">
      <w:pPr>
        <w:adjustRightInd w:val="0"/>
        <w:snapToGrid w:val="0"/>
        <w:spacing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1F8EAF35">
      <w:pPr>
        <w:adjustRightInd w:val="0"/>
        <w:snapToGrid w:val="0"/>
        <w:spacing w:line="400" w:lineRule="exact"/>
        <w:ind w:firstLine="420" w:firstLineChars="200"/>
        <w:rPr>
          <w:rFonts w:ascii="宋体" w:hAnsi="宋体"/>
          <w:szCs w:val="21"/>
        </w:rPr>
      </w:pPr>
      <w:r>
        <w:rPr>
          <w:rFonts w:hint="eastAsia" w:ascii="宋体" w:hAnsi="宋体"/>
          <w:szCs w:val="21"/>
        </w:rPr>
        <w:t>（1）政府采购合同协议书及其变更、补充协议</w:t>
      </w:r>
    </w:p>
    <w:p w14:paraId="707A8436">
      <w:pPr>
        <w:adjustRightInd w:val="0"/>
        <w:snapToGrid w:val="0"/>
        <w:spacing w:line="400" w:lineRule="exact"/>
        <w:ind w:firstLine="420" w:firstLineChars="200"/>
        <w:rPr>
          <w:rFonts w:ascii="宋体" w:hAnsi="宋体"/>
          <w:szCs w:val="21"/>
        </w:rPr>
      </w:pPr>
      <w:r>
        <w:rPr>
          <w:rFonts w:hint="eastAsia" w:ascii="宋体" w:hAnsi="宋体"/>
          <w:szCs w:val="21"/>
        </w:rPr>
        <w:t>（2）政府采购合同专用条款</w:t>
      </w:r>
    </w:p>
    <w:p w14:paraId="3B80AE1F">
      <w:pPr>
        <w:adjustRightInd w:val="0"/>
        <w:snapToGrid w:val="0"/>
        <w:spacing w:line="400" w:lineRule="exact"/>
        <w:ind w:firstLine="420" w:firstLineChars="200"/>
        <w:rPr>
          <w:rFonts w:ascii="宋体" w:hAnsi="宋体"/>
          <w:szCs w:val="21"/>
        </w:rPr>
      </w:pPr>
      <w:r>
        <w:rPr>
          <w:rFonts w:hint="eastAsia" w:ascii="宋体" w:hAnsi="宋体"/>
          <w:szCs w:val="21"/>
        </w:rPr>
        <w:t>（3）政府采购合同通用条款</w:t>
      </w:r>
    </w:p>
    <w:p w14:paraId="513F8980">
      <w:pPr>
        <w:adjustRightInd w:val="0"/>
        <w:snapToGrid w:val="0"/>
        <w:spacing w:line="400" w:lineRule="exact"/>
        <w:ind w:firstLine="420" w:firstLineChars="200"/>
        <w:rPr>
          <w:rFonts w:ascii="宋体" w:hAnsi="宋体"/>
          <w:szCs w:val="21"/>
        </w:rPr>
      </w:pPr>
      <w:r>
        <w:rPr>
          <w:rFonts w:hint="eastAsia" w:ascii="宋体" w:hAnsi="宋体"/>
          <w:szCs w:val="21"/>
        </w:rPr>
        <w:t>（4）成交通知书</w:t>
      </w:r>
    </w:p>
    <w:p w14:paraId="42C7383F">
      <w:pPr>
        <w:adjustRightInd w:val="0"/>
        <w:snapToGrid w:val="0"/>
        <w:spacing w:line="400" w:lineRule="exact"/>
        <w:ind w:firstLine="420" w:firstLineChars="200"/>
        <w:rPr>
          <w:rFonts w:ascii="宋体" w:hAnsi="宋体"/>
          <w:szCs w:val="21"/>
        </w:rPr>
      </w:pPr>
      <w:r>
        <w:rPr>
          <w:rFonts w:hint="eastAsia" w:ascii="宋体" w:hAnsi="宋体"/>
          <w:szCs w:val="21"/>
        </w:rPr>
        <w:t>（5）响应文件</w:t>
      </w:r>
    </w:p>
    <w:p w14:paraId="33C4CA3C">
      <w:pPr>
        <w:adjustRightInd w:val="0"/>
        <w:snapToGrid w:val="0"/>
        <w:spacing w:line="400" w:lineRule="exact"/>
        <w:ind w:firstLine="420" w:firstLineChars="200"/>
        <w:rPr>
          <w:rFonts w:ascii="宋体" w:hAnsi="宋体"/>
          <w:szCs w:val="21"/>
        </w:rPr>
      </w:pPr>
      <w:r>
        <w:rPr>
          <w:rFonts w:hint="eastAsia" w:ascii="宋体" w:hAnsi="宋体"/>
          <w:szCs w:val="21"/>
        </w:rPr>
        <w:t>（6）采购文件</w:t>
      </w:r>
    </w:p>
    <w:p w14:paraId="4DB472CC">
      <w:pPr>
        <w:adjustRightInd w:val="0"/>
        <w:snapToGrid w:val="0"/>
        <w:spacing w:line="400" w:lineRule="exact"/>
        <w:ind w:firstLine="420" w:firstLineChars="200"/>
        <w:rPr>
          <w:rFonts w:ascii="宋体" w:hAnsi="宋体"/>
          <w:szCs w:val="21"/>
        </w:rPr>
      </w:pPr>
      <w:r>
        <w:rPr>
          <w:rFonts w:hint="eastAsia" w:ascii="宋体" w:hAnsi="宋体"/>
          <w:szCs w:val="21"/>
        </w:rPr>
        <w:t>（7）有关技术文件，图纸</w:t>
      </w:r>
    </w:p>
    <w:p w14:paraId="15067433">
      <w:pPr>
        <w:pStyle w:val="179"/>
        <w:ind w:firstLine="420"/>
        <w:rPr>
          <w:rFonts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0B9D8867">
      <w:pPr>
        <w:numPr>
          <w:ilvl w:val="0"/>
          <w:numId w:val="15"/>
        </w:numPr>
        <w:adjustRightInd w:val="0"/>
        <w:snapToGrid w:val="0"/>
        <w:spacing w:line="400" w:lineRule="exact"/>
        <w:ind w:firstLine="422" w:firstLineChars="200"/>
        <w:rPr>
          <w:rFonts w:ascii="宋体" w:hAnsi="宋体"/>
          <w:b/>
          <w:szCs w:val="21"/>
        </w:rPr>
      </w:pPr>
      <w:r>
        <w:rPr>
          <w:rFonts w:hint="eastAsia" w:ascii="宋体" w:hAnsi="宋体"/>
          <w:b/>
          <w:szCs w:val="21"/>
        </w:rPr>
        <w:t>合同生效</w:t>
      </w:r>
    </w:p>
    <w:p w14:paraId="17D27077">
      <w:pPr>
        <w:adjustRightInd w:val="0"/>
        <w:snapToGrid w:val="0"/>
        <w:spacing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合同签订之日起                      </w:t>
      </w:r>
      <w:r>
        <w:rPr>
          <w:rFonts w:hint="eastAsia" w:ascii="宋体" w:hAnsi="宋体"/>
          <w:szCs w:val="21"/>
        </w:rPr>
        <w:t>生效。</w:t>
      </w:r>
    </w:p>
    <w:p w14:paraId="12AA5506">
      <w:pPr>
        <w:numPr>
          <w:ilvl w:val="0"/>
          <w:numId w:val="15"/>
        </w:numPr>
        <w:adjustRightInd w:val="0"/>
        <w:snapToGrid w:val="0"/>
        <w:spacing w:line="400" w:lineRule="exact"/>
        <w:ind w:firstLine="422" w:firstLineChars="200"/>
        <w:rPr>
          <w:rFonts w:ascii="宋体" w:hAnsi="宋体"/>
          <w:b/>
          <w:szCs w:val="21"/>
        </w:rPr>
      </w:pPr>
      <w:r>
        <w:rPr>
          <w:rFonts w:hint="eastAsia" w:ascii="宋体" w:hAnsi="宋体"/>
          <w:b/>
          <w:szCs w:val="21"/>
        </w:rPr>
        <w:t>合同份数</w:t>
      </w:r>
    </w:p>
    <w:p w14:paraId="074FCB45">
      <w:pPr>
        <w:adjustRightInd w:val="0"/>
        <w:snapToGrid w:val="0"/>
        <w:spacing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陆  </w:t>
      </w:r>
      <w:r>
        <w:rPr>
          <w:rFonts w:hint="eastAsia" w:ascii="宋体" w:hAnsi="宋体"/>
          <w:szCs w:val="21"/>
        </w:rPr>
        <w:t>份，甲方执</w:t>
      </w:r>
      <w:r>
        <w:rPr>
          <w:rFonts w:hint="eastAsia" w:ascii="宋体" w:hAnsi="宋体"/>
          <w:szCs w:val="21"/>
          <w:u w:val="single"/>
        </w:rPr>
        <w:t xml:space="preserve">  叁  </w:t>
      </w:r>
      <w:r>
        <w:rPr>
          <w:rFonts w:hint="eastAsia" w:ascii="宋体" w:hAnsi="宋体"/>
          <w:szCs w:val="21"/>
        </w:rPr>
        <w:t>份，乙方执</w:t>
      </w:r>
      <w:r>
        <w:rPr>
          <w:rFonts w:hint="eastAsia" w:ascii="宋体" w:hAnsi="宋体"/>
          <w:szCs w:val="21"/>
          <w:u w:val="single"/>
        </w:rPr>
        <w:t xml:space="preserve">  叁 </w:t>
      </w:r>
      <w:r>
        <w:rPr>
          <w:rFonts w:hint="eastAsia" w:ascii="宋体" w:hAnsi="宋体"/>
          <w:szCs w:val="21"/>
        </w:rPr>
        <w:t>份，均具有同等法律效力。</w:t>
      </w:r>
    </w:p>
    <w:p w14:paraId="01ADDED8">
      <w:pPr>
        <w:adjustRightInd w:val="0"/>
        <w:snapToGrid w:val="0"/>
        <w:spacing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698228DE">
      <w:pPr>
        <w:adjustRightInd w:val="0"/>
        <w:snapToGrid w:val="0"/>
        <w:spacing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022C715E">
      <w:pPr>
        <w:adjustRightInd w:val="0"/>
        <w:snapToGrid w:val="0"/>
        <w:spacing w:line="400" w:lineRule="exact"/>
        <w:ind w:firstLine="420" w:firstLineChars="200"/>
      </w:pPr>
      <w:r>
        <w:rPr>
          <w:rFonts w:hint="eastAsia" w:ascii="宋体" w:hAnsi="宋体"/>
          <w:szCs w:val="21"/>
        </w:rPr>
        <w:t>附件：具体标的及其技术要求和商务要求、联合协议、分包意向协议等。</w:t>
      </w:r>
    </w:p>
    <w:p w14:paraId="378DFE67">
      <w:pPr>
        <w:jc w:val="center"/>
        <w:rPr>
          <w:rFonts w:eastAsia="仿宋"/>
        </w:rPr>
      </w:pPr>
    </w:p>
    <w:p w14:paraId="61F17AD9">
      <w:pPr>
        <w:pStyle w:val="89"/>
        <w:spacing w:line="400" w:lineRule="exact"/>
        <w:ind w:firstLine="480"/>
        <w:jc w:val="center"/>
      </w:pPr>
      <w:r>
        <w:rPr>
          <w:rFonts w:hint="eastAsia" w:eastAsia="仿宋"/>
          <w:sz w:val="24"/>
          <w:u w:val="single"/>
        </w:rPr>
        <w:t>（以下无正文，为签字页）</w:t>
      </w:r>
    </w:p>
    <w:p w14:paraId="2240B2DE">
      <w:pPr>
        <w:snapToGrid w:val="0"/>
        <w:spacing w:line="360" w:lineRule="auto"/>
        <w:ind w:firstLine="420" w:firstLineChars="200"/>
        <w:jc w:val="center"/>
        <w:rPr>
          <w:rFonts w:ascii="宋体" w:hAnsi="宋体" w:eastAsia="仿宋"/>
          <w:sz w:val="24"/>
        </w:rPr>
      </w:pPr>
      <w:r>
        <w:rPr>
          <w:rFonts w:hint="eastAsia"/>
        </w:rPr>
        <w:br w:type="page"/>
      </w:r>
      <w:r>
        <w:rPr>
          <w:rFonts w:hint="eastAsia" w:ascii="宋体" w:hAnsi="宋体" w:eastAsia="仿宋"/>
          <w:sz w:val="24"/>
        </w:rPr>
        <w:t>（本页无正文，为签字页）</w:t>
      </w:r>
    </w:p>
    <w:tbl>
      <w:tblPr>
        <w:tblStyle w:val="47"/>
        <w:tblpPr w:leftFromText="180" w:rightFromText="180" w:vertAnchor="text" w:horzAnchor="page" w:tblpXSpec="center" w:tblpY="226"/>
        <w:tblOverlap w:val="never"/>
        <w:tblW w:w="4926"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4"/>
        <w:gridCol w:w="2788"/>
        <w:gridCol w:w="2287"/>
        <w:gridCol w:w="2449"/>
      </w:tblGrid>
      <w:tr w14:paraId="4D7DEA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1" w:type="pct"/>
            <w:gridSpan w:val="2"/>
            <w:tcBorders>
              <w:bottom w:val="single" w:color="auto" w:sz="2" w:space="0"/>
              <w:right w:val="single" w:color="auto" w:sz="2" w:space="0"/>
            </w:tcBorders>
            <w:vAlign w:val="center"/>
          </w:tcPr>
          <w:p w14:paraId="0512D4E5">
            <w:pPr>
              <w:adjustRightInd w:val="0"/>
              <w:snapToGrid w:val="0"/>
              <w:spacing w:line="300" w:lineRule="exact"/>
              <w:jc w:val="center"/>
              <w:rPr>
                <w:rFonts w:ascii="Calibri" w:hAnsi="Calibri"/>
              </w:rPr>
            </w:pPr>
            <w:r>
              <w:rPr>
                <w:rFonts w:ascii="Calibri" w:hAnsi="Calibri"/>
                <w:szCs w:val="21"/>
              </w:rPr>
              <w:t>甲方</w:t>
            </w:r>
            <w:r>
              <w:rPr>
                <w:rFonts w:hint="eastAsia" w:ascii="Calibri" w:hAnsi="Calibri"/>
                <w:szCs w:val="21"/>
              </w:rPr>
              <w:t>（采购人</w:t>
            </w:r>
            <w:r>
              <w:rPr>
                <w:rFonts w:hint="eastAsia" w:ascii="宋体" w:hAnsi="宋体"/>
                <w:szCs w:val="21"/>
              </w:rPr>
              <w:t>、受采购人委托签订合同的单位或</w:t>
            </w:r>
            <w:r>
              <w:rPr>
                <w:rFonts w:hint="eastAsia" w:ascii="Calibri" w:hAnsi="Calibri"/>
                <w:szCs w:val="21"/>
              </w:rPr>
              <w:t>采购文件约定的合同甲方）</w:t>
            </w:r>
          </w:p>
        </w:tc>
        <w:tc>
          <w:tcPr>
            <w:tcW w:w="2438" w:type="pct"/>
            <w:gridSpan w:val="2"/>
            <w:tcBorders>
              <w:left w:val="single" w:color="auto" w:sz="2" w:space="0"/>
              <w:bottom w:val="single" w:color="auto" w:sz="2" w:space="0"/>
            </w:tcBorders>
            <w:vAlign w:val="center"/>
          </w:tcPr>
          <w:p w14:paraId="05D480C7">
            <w:pPr>
              <w:adjustRightInd w:val="0"/>
              <w:snapToGrid w:val="0"/>
              <w:spacing w:line="300" w:lineRule="exact"/>
              <w:jc w:val="center"/>
              <w:rPr>
                <w:rFonts w:ascii="Calibri" w:hAnsi="Calibri"/>
              </w:rPr>
            </w:pPr>
            <w:r>
              <w:rPr>
                <w:rFonts w:ascii="Calibri" w:hAnsi="Calibri"/>
                <w:szCs w:val="21"/>
              </w:rPr>
              <w:t>乙方</w:t>
            </w:r>
            <w:r>
              <w:rPr>
                <w:rFonts w:hint="eastAsia" w:ascii="Calibri" w:hAnsi="Calibri"/>
                <w:szCs w:val="21"/>
              </w:rPr>
              <w:t>（供应商）</w:t>
            </w:r>
          </w:p>
        </w:tc>
      </w:tr>
      <w:tr w14:paraId="5A4A42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5" w:type="pct"/>
            <w:tcBorders>
              <w:top w:val="single" w:color="auto" w:sz="2" w:space="0"/>
              <w:bottom w:val="single" w:color="auto" w:sz="2" w:space="0"/>
              <w:right w:val="single" w:color="auto" w:sz="2" w:space="0"/>
            </w:tcBorders>
            <w:vAlign w:val="center"/>
          </w:tcPr>
          <w:p w14:paraId="535105DA">
            <w:pPr>
              <w:adjustRightInd w:val="0"/>
              <w:snapToGrid w:val="0"/>
              <w:spacing w:line="300" w:lineRule="exact"/>
              <w:jc w:val="center"/>
              <w:rPr>
                <w:rFonts w:ascii="Calibri" w:hAnsi="Calibri"/>
                <w:szCs w:val="21"/>
              </w:rPr>
            </w:pPr>
            <w:r>
              <w:rPr>
                <w:rFonts w:ascii="Calibri" w:hAnsi="Calibri"/>
                <w:szCs w:val="21"/>
              </w:rPr>
              <w:t>单位名称</w:t>
            </w:r>
            <w:r>
              <w:rPr>
                <w:rFonts w:hint="eastAsia" w:ascii="Calibri" w:hAnsi="Calibri"/>
                <w:szCs w:val="21"/>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4556ADA">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99F502F">
            <w:pPr>
              <w:adjustRightInd w:val="0"/>
              <w:snapToGrid w:val="0"/>
              <w:spacing w:line="300" w:lineRule="exact"/>
              <w:jc w:val="center"/>
              <w:rPr>
                <w:rFonts w:ascii="Calibri" w:hAnsi="Calibri"/>
                <w:szCs w:val="21"/>
              </w:rPr>
            </w:pPr>
            <w:r>
              <w:rPr>
                <w:rFonts w:ascii="Calibri" w:hAnsi="Calibri"/>
                <w:szCs w:val="21"/>
              </w:rPr>
              <w:t>单位名称</w:t>
            </w:r>
            <w:r>
              <w:rPr>
                <w:rFonts w:hint="eastAsia" w:ascii="Calibri" w:hAnsi="Calibri"/>
                <w:szCs w:val="21"/>
              </w:rPr>
              <w:t>（公章或合同章）</w:t>
            </w:r>
          </w:p>
        </w:tc>
        <w:tc>
          <w:tcPr>
            <w:tcW w:w="1260" w:type="pct"/>
            <w:tcBorders>
              <w:top w:val="single" w:color="auto" w:sz="2" w:space="0"/>
              <w:left w:val="single" w:color="auto" w:sz="2" w:space="0"/>
              <w:bottom w:val="single" w:color="auto" w:sz="2" w:space="0"/>
            </w:tcBorders>
            <w:vAlign w:val="center"/>
          </w:tcPr>
          <w:p w14:paraId="3B0FBF6C">
            <w:pPr>
              <w:adjustRightInd w:val="0"/>
              <w:snapToGrid w:val="0"/>
              <w:spacing w:line="300" w:lineRule="exact"/>
              <w:jc w:val="center"/>
              <w:rPr>
                <w:rFonts w:ascii="Calibri" w:hAnsi="Calibri"/>
                <w:spacing w:val="20"/>
                <w:szCs w:val="21"/>
              </w:rPr>
            </w:pPr>
          </w:p>
        </w:tc>
      </w:tr>
      <w:tr w14:paraId="7B794C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5" w:type="pct"/>
            <w:vMerge w:val="restart"/>
            <w:tcBorders>
              <w:top w:val="single" w:color="auto" w:sz="2" w:space="0"/>
              <w:right w:val="single" w:color="auto" w:sz="2" w:space="0"/>
            </w:tcBorders>
            <w:vAlign w:val="center"/>
          </w:tcPr>
          <w:p w14:paraId="29564B30">
            <w:pPr>
              <w:adjustRightInd w:val="0"/>
              <w:snapToGrid w:val="0"/>
              <w:spacing w:line="300" w:lineRule="exact"/>
              <w:jc w:val="center"/>
              <w:rPr>
                <w:rFonts w:ascii="Calibri" w:hAnsi="Calibri"/>
                <w:szCs w:val="21"/>
              </w:rPr>
            </w:pPr>
            <w:r>
              <w:rPr>
                <w:rFonts w:ascii="Calibri" w:hAnsi="Calibri"/>
                <w:szCs w:val="21"/>
              </w:rPr>
              <w:t>法定代表人</w:t>
            </w:r>
          </w:p>
          <w:p w14:paraId="6CDCEC07">
            <w:pPr>
              <w:adjustRightInd w:val="0"/>
              <w:snapToGrid w:val="0"/>
              <w:spacing w:line="300" w:lineRule="exact"/>
              <w:ind w:firstLine="100" w:firstLineChars="48"/>
              <w:jc w:val="center"/>
              <w:rPr>
                <w:rFonts w:ascii="Calibri" w:hAnsi="Calibri"/>
                <w:szCs w:val="21"/>
              </w:rPr>
            </w:pPr>
            <w:r>
              <w:rPr>
                <w:rFonts w:hint="eastAsia" w:ascii="Calibri" w:hAnsi="Calibri"/>
                <w:szCs w:val="21"/>
              </w:rPr>
              <w:t>或其</w:t>
            </w:r>
            <w:r>
              <w:rPr>
                <w:rFonts w:ascii="Calibri" w:hAnsi="Calibri"/>
                <w:szCs w:val="21"/>
              </w:rPr>
              <w:t>委托代理人</w:t>
            </w:r>
            <w:r>
              <w:rPr>
                <w:rFonts w:hint="eastAsia" w:ascii="Calibri" w:hAnsi="Calibri"/>
                <w:szCs w:val="21"/>
              </w:rPr>
              <w:t>（签章）</w:t>
            </w:r>
          </w:p>
        </w:tc>
        <w:tc>
          <w:tcPr>
            <w:tcW w:w="1436" w:type="pct"/>
            <w:vMerge w:val="restart"/>
            <w:tcBorders>
              <w:top w:val="single" w:color="auto" w:sz="2" w:space="0"/>
              <w:left w:val="single" w:color="auto" w:sz="2" w:space="0"/>
              <w:right w:val="single" w:color="auto" w:sz="2" w:space="0"/>
            </w:tcBorders>
            <w:vAlign w:val="center"/>
          </w:tcPr>
          <w:p w14:paraId="595E0582">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right w:val="single" w:color="auto" w:sz="2" w:space="0"/>
            </w:tcBorders>
            <w:vAlign w:val="center"/>
          </w:tcPr>
          <w:p w14:paraId="2ED93048">
            <w:pPr>
              <w:adjustRightInd w:val="0"/>
              <w:snapToGrid w:val="0"/>
              <w:spacing w:line="300" w:lineRule="exact"/>
              <w:jc w:val="center"/>
              <w:rPr>
                <w:rFonts w:ascii="Calibri" w:hAnsi="Calibri"/>
                <w:szCs w:val="21"/>
              </w:rPr>
            </w:pPr>
            <w:r>
              <w:rPr>
                <w:rFonts w:ascii="Calibri" w:hAnsi="Calibri"/>
                <w:szCs w:val="21"/>
              </w:rPr>
              <w:t>法定代表人</w:t>
            </w:r>
          </w:p>
          <w:p w14:paraId="048B3364">
            <w:pPr>
              <w:adjustRightInd w:val="0"/>
              <w:snapToGrid w:val="0"/>
              <w:spacing w:line="300" w:lineRule="exact"/>
              <w:jc w:val="center"/>
              <w:rPr>
                <w:rFonts w:ascii="Calibri" w:hAnsi="Calibri"/>
                <w:szCs w:val="21"/>
              </w:rPr>
            </w:pPr>
            <w:r>
              <w:rPr>
                <w:rFonts w:hint="eastAsia" w:ascii="Calibri" w:hAnsi="Calibri"/>
                <w:szCs w:val="21"/>
              </w:rPr>
              <w:t>或其</w:t>
            </w:r>
            <w:r>
              <w:rPr>
                <w:rFonts w:ascii="Calibri" w:hAnsi="Calibri"/>
                <w:szCs w:val="21"/>
              </w:rPr>
              <w:t>委托代理人</w:t>
            </w:r>
            <w:r>
              <w:rPr>
                <w:rFonts w:hint="eastAsia" w:ascii="Calibri" w:hAnsi="Calibri"/>
                <w:szCs w:val="21"/>
              </w:rPr>
              <w:t>（签章）</w:t>
            </w:r>
          </w:p>
        </w:tc>
        <w:tc>
          <w:tcPr>
            <w:tcW w:w="1260" w:type="pct"/>
            <w:tcBorders>
              <w:top w:val="single" w:color="auto" w:sz="2" w:space="0"/>
              <w:left w:val="single" w:color="auto" w:sz="2" w:space="0"/>
              <w:bottom w:val="single" w:color="auto" w:sz="2" w:space="0"/>
            </w:tcBorders>
            <w:vAlign w:val="center"/>
          </w:tcPr>
          <w:p w14:paraId="31363582">
            <w:pPr>
              <w:adjustRightInd w:val="0"/>
              <w:snapToGrid w:val="0"/>
              <w:spacing w:line="300" w:lineRule="exact"/>
              <w:jc w:val="center"/>
              <w:rPr>
                <w:rFonts w:ascii="Calibri" w:hAnsi="Calibri"/>
                <w:szCs w:val="21"/>
              </w:rPr>
            </w:pPr>
          </w:p>
        </w:tc>
      </w:tr>
      <w:tr w14:paraId="20D0BE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vMerge w:val="continue"/>
            <w:tcBorders>
              <w:bottom w:val="single" w:color="auto" w:sz="2" w:space="0"/>
              <w:right w:val="single" w:color="auto" w:sz="2" w:space="0"/>
            </w:tcBorders>
            <w:vAlign w:val="center"/>
          </w:tcPr>
          <w:p w14:paraId="7994AA34">
            <w:pPr>
              <w:adjustRightInd w:val="0"/>
              <w:snapToGrid w:val="0"/>
              <w:spacing w:line="300" w:lineRule="exact"/>
              <w:jc w:val="center"/>
              <w:rPr>
                <w:rFonts w:ascii="Calibri" w:hAnsi="Calibri"/>
                <w:szCs w:val="21"/>
              </w:rPr>
            </w:pPr>
          </w:p>
        </w:tc>
        <w:tc>
          <w:tcPr>
            <w:tcW w:w="1436" w:type="pct"/>
            <w:vMerge w:val="continue"/>
            <w:tcBorders>
              <w:left w:val="single" w:color="auto" w:sz="2" w:space="0"/>
              <w:bottom w:val="single" w:color="auto" w:sz="2" w:space="0"/>
              <w:right w:val="single" w:color="auto" w:sz="2" w:space="0"/>
            </w:tcBorders>
            <w:vAlign w:val="center"/>
          </w:tcPr>
          <w:p w14:paraId="60E2B87A">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7B53B19">
            <w:pPr>
              <w:adjustRightInd w:val="0"/>
              <w:snapToGrid w:val="0"/>
              <w:spacing w:line="300" w:lineRule="exact"/>
              <w:jc w:val="center"/>
              <w:rPr>
                <w:rFonts w:ascii="Calibri" w:hAnsi="Calibri"/>
                <w:szCs w:val="21"/>
              </w:rPr>
            </w:pPr>
            <w:r>
              <w:rPr>
                <w:rFonts w:hint="eastAsia" w:ascii="Calibri" w:hAnsi="Calibri"/>
                <w:szCs w:val="21"/>
              </w:rPr>
              <w:t>拥有者性别</w:t>
            </w:r>
          </w:p>
        </w:tc>
        <w:tc>
          <w:tcPr>
            <w:tcW w:w="1260" w:type="pct"/>
            <w:tcBorders>
              <w:top w:val="single" w:color="auto" w:sz="2" w:space="0"/>
              <w:left w:val="single" w:color="auto" w:sz="2" w:space="0"/>
              <w:bottom w:val="single" w:color="auto" w:sz="2" w:space="0"/>
            </w:tcBorders>
            <w:vAlign w:val="center"/>
          </w:tcPr>
          <w:p w14:paraId="5D03587A">
            <w:pPr>
              <w:adjustRightInd w:val="0"/>
              <w:snapToGrid w:val="0"/>
              <w:spacing w:line="300" w:lineRule="exact"/>
              <w:jc w:val="center"/>
              <w:rPr>
                <w:rFonts w:ascii="Calibri" w:hAnsi="Calibri"/>
                <w:spacing w:val="20"/>
                <w:szCs w:val="21"/>
              </w:rPr>
            </w:pPr>
          </w:p>
        </w:tc>
      </w:tr>
      <w:tr w14:paraId="1DEF49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7E4E5C42">
            <w:pPr>
              <w:adjustRightInd w:val="0"/>
              <w:snapToGrid w:val="0"/>
              <w:spacing w:line="300" w:lineRule="exact"/>
              <w:jc w:val="center"/>
              <w:rPr>
                <w:rFonts w:ascii="Calibri" w:hAnsi="Calibri"/>
                <w:szCs w:val="21"/>
              </w:rPr>
            </w:pPr>
            <w:r>
              <w:rPr>
                <w:rFonts w:hint="eastAsia" w:ascii="Calibri" w:hAnsi="Calibri"/>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A52775C">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4C4E56B">
            <w:pPr>
              <w:adjustRightInd w:val="0"/>
              <w:snapToGrid w:val="0"/>
              <w:spacing w:line="300" w:lineRule="exact"/>
              <w:jc w:val="center"/>
              <w:rPr>
                <w:rFonts w:ascii="Calibri" w:hAnsi="Calibri"/>
                <w:szCs w:val="21"/>
              </w:rPr>
            </w:pPr>
            <w:r>
              <w:rPr>
                <w:rFonts w:hint="eastAsia" w:ascii="Calibri" w:hAnsi="Calibri"/>
                <w:szCs w:val="21"/>
              </w:rPr>
              <w:t>住  所</w:t>
            </w:r>
          </w:p>
        </w:tc>
        <w:tc>
          <w:tcPr>
            <w:tcW w:w="1260" w:type="pct"/>
            <w:tcBorders>
              <w:top w:val="single" w:color="auto" w:sz="2" w:space="0"/>
              <w:left w:val="single" w:color="auto" w:sz="2" w:space="0"/>
              <w:bottom w:val="single" w:color="auto" w:sz="2" w:space="0"/>
            </w:tcBorders>
            <w:vAlign w:val="center"/>
          </w:tcPr>
          <w:p w14:paraId="6630DE78">
            <w:pPr>
              <w:adjustRightInd w:val="0"/>
              <w:snapToGrid w:val="0"/>
              <w:spacing w:line="300" w:lineRule="exact"/>
              <w:jc w:val="center"/>
              <w:rPr>
                <w:rFonts w:ascii="Calibri" w:hAnsi="Calibri"/>
                <w:spacing w:val="20"/>
                <w:szCs w:val="21"/>
              </w:rPr>
            </w:pPr>
          </w:p>
        </w:tc>
      </w:tr>
      <w:tr w14:paraId="705AC1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565D1E7C">
            <w:pPr>
              <w:adjustRightInd w:val="0"/>
              <w:snapToGrid w:val="0"/>
              <w:spacing w:line="300" w:lineRule="exact"/>
              <w:jc w:val="center"/>
              <w:rPr>
                <w:rFonts w:ascii="Calibri" w:hAnsi="Calibri"/>
                <w:szCs w:val="21"/>
              </w:rPr>
            </w:pPr>
            <w:r>
              <w:rPr>
                <w:rFonts w:ascii="Calibri" w:hAnsi="Calibri"/>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5DD832C">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F4C2390">
            <w:pPr>
              <w:adjustRightInd w:val="0"/>
              <w:snapToGrid w:val="0"/>
              <w:spacing w:line="300" w:lineRule="exact"/>
              <w:jc w:val="center"/>
              <w:rPr>
                <w:rFonts w:ascii="Calibri" w:hAnsi="Calibri"/>
                <w:szCs w:val="21"/>
              </w:rPr>
            </w:pPr>
            <w:r>
              <w:rPr>
                <w:rFonts w:ascii="Calibri" w:hAnsi="Calibri"/>
                <w:szCs w:val="21"/>
              </w:rPr>
              <w:t>联 系 人</w:t>
            </w:r>
          </w:p>
        </w:tc>
        <w:tc>
          <w:tcPr>
            <w:tcW w:w="1260" w:type="pct"/>
            <w:tcBorders>
              <w:top w:val="single" w:color="auto" w:sz="2" w:space="0"/>
              <w:left w:val="single" w:color="auto" w:sz="2" w:space="0"/>
              <w:bottom w:val="single" w:color="auto" w:sz="2" w:space="0"/>
            </w:tcBorders>
            <w:vAlign w:val="center"/>
          </w:tcPr>
          <w:p w14:paraId="208414B0">
            <w:pPr>
              <w:adjustRightInd w:val="0"/>
              <w:snapToGrid w:val="0"/>
              <w:spacing w:line="300" w:lineRule="exact"/>
              <w:jc w:val="center"/>
              <w:rPr>
                <w:rFonts w:ascii="Calibri" w:hAnsi="Calibri"/>
                <w:spacing w:val="20"/>
                <w:szCs w:val="21"/>
              </w:rPr>
            </w:pPr>
          </w:p>
        </w:tc>
      </w:tr>
      <w:tr w14:paraId="301D67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7F19D7CF">
            <w:pPr>
              <w:adjustRightInd w:val="0"/>
              <w:snapToGrid w:val="0"/>
              <w:spacing w:line="300" w:lineRule="exact"/>
              <w:jc w:val="center"/>
              <w:rPr>
                <w:rFonts w:ascii="Calibri" w:hAnsi="Calibri"/>
                <w:szCs w:val="21"/>
              </w:rPr>
            </w:pPr>
            <w:r>
              <w:rPr>
                <w:rFonts w:ascii="Calibri" w:hAnsi="Calibri"/>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0AE852E">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4419B3C">
            <w:pPr>
              <w:adjustRightInd w:val="0"/>
              <w:snapToGrid w:val="0"/>
              <w:spacing w:line="300" w:lineRule="exact"/>
              <w:jc w:val="center"/>
              <w:rPr>
                <w:rFonts w:ascii="Calibri" w:hAnsi="Calibri"/>
                <w:szCs w:val="21"/>
              </w:rPr>
            </w:pPr>
            <w:r>
              <w:rPr>
                <w:rFonts w:ascii="Calibri" w:hAnsi="Calibri"/>
                <w:szCs w:val="21"/>
              </w:rPr>
              <w:t>联系电话</w:t>
            </w:r>
          </w:p>
        </w:tc>
        <w:tc>
          <w:tcPr>
            <w:tcW w:w="1260" w:type="pct"/>
            <w:tcBorders>
              <w:top w:val="single" w:color="auto" w:sz="2" w:space="0"/>
              <w:left w:val="single" w:color="auto" w:sz="2" w:space="0"/>
              <w:bottom w:val="single" w:color="auto" w:sz="2" w:space="0"/>
            </w:tcBorders>
            <w:vAlign w:val="center"/>
          </w:tcPr>
          <w:p w14:paraId="2B3C09E1">
            <w:pPr>
              <w:adjustRightInd w:val="0"/>
              <w:snapToGrid w:val="0"/>
              <w:spacing w:line="300" w:lineRule="exact"/>
              <w:jc w:val="center"/>
              <w:rPr>
                <w:rFonts w:ascii="Calibri" w:hAnsi="Calibri"/>
                <w:spacing w:val="20"/>
                <w:szCs w:val="21"/>
              </w:rPr>
            </w:pPr>
          </w:p>
        </w:tc>
      </w:tr>
      <w:tr w14:paraId="404451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56D04A18">
            <w:pPr>
              <w:adjustRightInd w:val="0"/>
              <w:snapToGrid w:val="0"/>
              <w:spacing w:line="300" w:lineRule="exact"/>
              <w:jc w:val="center"/>
              <w:rPr>
                <w:rFonts w:ascii="Calibri" w:hAnsi="Calibri"/>
                <w:szCs w:val="21"/>
              </w:rPr>
            </w:pPr>
            <w:r>
              <w:rPr>
                <w:rFonts w:hint="eastAsia" w:ascii="Calibri" w:hAnsi="Calibri"/>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76A24CE">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D257BBB">
            <w:pPr>
              <w:adjustRightInd w:val="0"/>
              <w:snapToGrid w:val="0"/>
              <w:spacing w:line="300" w:lineRule="exact"/>
              <w:jc w:val="center"/>
              <w:rPr>
                <w:rFonts w:ascii="Calibri" w:hAnsi="Calibri"/>
                <w:szCs w:val="21"/>
              </w:rPr>
            </w:pPr>
            <w:r>
              <w:rPr>
                <w:rFonts w:hint="eastAsia" w:ascii="Calibri" w:hAnsi="Calibri"/>
                <w:szCs w:val="21"/>
              </w:rPr>
              <w:t>通信地址</w:t>
            </w:r>
          </w:p>
        </w:tc>
        <w:tc>
          <w:tcPr>
            <w:tcW w:w="1260" w:type="pct"/>
            <w:tcBorders>
              <w:top w:val="single" w:color="auto" w:sz="2" w:space="0"/>
              <w:left w:val="single" w:color="auto" w:sz="2" w:space="0"/>
              <w:bottom w:val="single" w:color="auto" w:sz="2" w:space="0"/>
            </w:tcBorders>
            <w:vAlign w:val="center"/>
          </w:tcPr>
          <w:p w14:paraId="6FEFD73D">
            <w:pPr>
              <w:adjustRightInd w:val="0"/>
              <w:snapToGrid w:val="0"/>
              <w:spacing w:line="300" w:lineRule="exact"/>
              <w:jc w:val="center"/>
              <w:rPr>
                <w:rFonts w:ascii="Calibri" w:hAnsi="Calibri"/>
                <w:spacing w:val="20"/>
                <w:szCs w:val="21"/>
              </w:rPr>
            </w:pPr>
          </w:p>
        </w:tc>
      </w:tr>
      <w:tr w14:paraId="4406A2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580239DB">
            <w:pPr>
              <w:adjustRightInd w:val="0"/>
              <w:snapToGrid w:val="0"/>
              <w:spacing w:line="300" w:lineRule="exact"/>
              <w:jc w:val="center"/>
              <w:rPr>
                <w:rFonts w:ascii="Calibri" w:hAnsi="Calibri"/>
                <w:szCs w:val="21"/>
              </w:rPr>
            </w:pPr>
            <w:r>
              <w:rPr>
                <w:rFonts w:ascii="Calibri" w:hAnsi="Calibri"/>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86C2CF">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E27FC4B">
            <w:pPr>
              <w:adjustRightInd w:val="0"/>
              <w:snapToGrid w:val="0"/>
              <w:spacing w:line="300" w:lineRule="exact"/>
              <w:jc w:val="center"/>
              <w:rPr>
                <w:rFonts w:ascii="Calibri" w:hAnsi="Calibri"/>
                <w:szCs w:val="21"/>
              </w:rPr>
            </w:pPr>
            <w:r>
              <w:rPr>
                <w:rFonts w:ascii="Calibri" w:hAnsi="Calibri"/>
                <w:szCs w:val="21"/>
              </w:rPr>
              <w:t>邮政编码</w:t>
            </w:r>
          </w:p>
        </w:tc>
        <w:tc>
          <w:tcPr>
            <w:tcW w:w="1260" w:type="pct"/>
            <w:tcBorders>
              <w:top w:val="single" w:color="auto" w:sz="2" w:space="0"/>
              <w:left w:val="single" w:color="auto" w:sz="2" w:space="0"/>
              <w:bottom w:val="single" w:color="auto" w:sz="2" w:space="0"/>
            </w:tcBorders>
            <w:vAlign w:val="center"/>
          </w:tcPr>
          <w:p w14:paraId="38684A85">
            <w:pPr>
              <w:adjustRightInd w:val="0"/>
              <w:snapToGrid w:val="0"/>
              <w:spacing w:line="300" w:lineRule="exact"/>
              <w:jc w:val="center"/>
              <w:rPr>
                <w:rFonts w:ascii="Calibri" w:hAnsi="Calibri"/>
                <w:spacing w:val="20"/>
                <w:szCs w:val="21"/>
              </w:rPr>
            </w:pPr>
          </w:p>
        </w:tc>
      </w:tr>
      <w:tr w14:paraId="108BFE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33DF9341">
            <w:pPr>
              <w:adjustRightInd w:val="0"/>
              <w:snapToGrid w:val="0"/>
              <w:spacing w:line="300" w:lineRule="exact"/>
              <w:jc w:val="center"/>
              <w:rPr>
                <w:rFonts w:ascii="Calibri" w:hAnsi="Calibri"/>
                <w:szCs w:val="21"/>
              </w:rPr>
            </w:pPr>
            <w:r>
              <w:rPr>
                <w:rFonts w:hint="eastAsia" w:ascii="Calibri" w:hAnsi="Calibri"/>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E7322C8">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676D6E9">
            <w:pPr>
              <w:adjustRightInd w:val="0"/>
              <w:snapToGrid w:val="0"/>
              <w:spacing w:line="300" w:lineRule="exact"/>
              <w:jc w:val="center"/>
              <w:rPr>
                <w:rFonts w:ascii="Calibri" w:hAnsi="Calibri"/>
                <w:szCs w:val="21"/>
              </w:rPr>
            </w:pPr>
            <w:r>
              <w:rPr>
                <w:rFonts w:hint="eastAsia" w:ascii="Calibri" w:hAnsi="Calibri"/>
                <w:szCs w:val="21"/>
              </w:rPr>
              <w:t>电子邮箱</w:t>
            </w:r>
          </w:p>
        </w:tc>
        <w:tc>
          <w:tcPr>
            <w:tcW w:w="1260" w:type="pct"/>
            <w:tcBorders>
              <w:top w:val="single" w:color="auto" w:sz="2" w:space="0"/>
              <w:left w:val="single" w:color="auto" w:sz="2" w:space="0"/>
              <w:bottom w:val="single" w:color="auto" w:sz="2" w:space="0"/>
            </w:tcBorders>
            <w:vAlign w:val="center"/>
          </w:tcPr>
          <w:p w14:paraId="7F49DD01">
            <w:pPr>
              <w:adjustRightInd w:val="0"/>
              <w:snapToGrid w:val="0"/>
              <w:spacing w:line="300" w:lineRule="exact"/>
              <w:jc w:val="center"/>
              <w:rPr>
                <w:rFonts w:ascii="Calibri" w:hAnsi="Calibri"/>
                <w:spacing w:val="20"/>
                <w:szCs w:val="21"/>
              </w:rPr>
            </w:pPr>
          </w:p>
        </w:tc>
      </w:tr>
      <w:tr w14:paraId="2A9571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65D5D19E">
            <w:pPr>
              <w:adjustRightInd w:val="0"/>
              <w:snapToGrid w:val="0"/>
              <w:spacing w:line="300" w:lineRule="exact"/>
              <w:jc w:val="center"/>
              <w:rPr>
                <w:rFonts w:ascii="Calibri" w:hAnsi="Calibri"/>
                <w:szCs w:val="21"/>
              </w:rPr>
            </w:pPr>
            <w:r>
              <w:rPr>
                <w:rFonts w:hint="eastAsia" w:ascii="Calibri" w:hAnsi="Calibri"/>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607E359">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49B7C1">
            <w:pPr>
              <w:adjustRightInd w:val="0"/>
              <w:snapToGrid w:val="0"/>
              <w:spacing w:line="300" w:lineRule="exact"/>
              <w:jc w:val="center"/>
              <w:rPr>
                <w:rFonts w:ascii="Calibri" w:hAnsi="Calibri"/>
                <w:szCs w:val="21"/>
              </w:rPr>
            </w:pPr>
            <w:r>
              <w:rPr>
                <w:rFonts w:hint="eastAsia" w:ascii="Calibri" w:hAnsi="Calibri"/>
                <w:szCs w:val="21"/>
              </w:rPr>
              <w:t>统一社会信用代码</w:t>
            </w:r>
          </w:p>
        </w:tc>
        <w:tc>
          <w:tcPr>
            <w:tcW w:w="1260" w:type="pct"/>
            <w:tcBorders>
              <w:top w:val="single" w:color="auto" w:sz="2" w:space="0"/>
              <w:left w:val="single" w:color="auto" w:sz="2" w:space="0"/>
              <w:bottom w:val="single" w:color="auto" w:sz="2" w:space="0"/>
            </w:tcBorders>
            <w:vAlign w:val="center"/>
          </w:tcPr>
          <w:p w14:paraId="7DF3E47F">
            <w:pPr>
              <w:adjustRightInd w:val="0"/>
              <w:snapToGrid w:val="0"/>
              <w:spacing w:line="300" w:lineRule="exact"/>
              <w:jc w:val="center"/>
              <w:rPr>
                <w:rFonts w:ascii="Calibri" w:hAnsi="Calibri"/>
                <w:spacing w:val="20"/>
                <w:szCs w:val="21"/>
              </w:rPr>
            </w:pPr>
          </w:p>
        </w:tc>
      </w:tr>
      <w:tr w14:paraId="002113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7437FD14">
            <w:pPr>
              <w:adjustRightInd w:val="0"/>
              <w:snapToGrid w:val="0"/>
              <w:spacing w:line="300" w:lineRule="exact"/>
              <w:jc w:val="center"/>
              <w:rPr>
                <w:rFonts w:ascii="Calibri" w:hAnsi="Calibri"/>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478AC84">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D60B04">
            <w:pPr>
              <w:adjustRightInd w:val="0"/>
              <w:snapToGrid w:val="0"/>
              <w:spacing w:line="300" w:lineRule="exact"/>
              <w:jc w:val="center"/>
              <w:rPr>
                <w:rFonts w:ascii="Calibri" w:hAnsi="Calibri"/>
                <w:szCs w:val="21"/>
              </w:rPr>
            </w:pPr>
            <w:r>
              <w:rPr>
                <w:rFonts w:ascii="Calibri" w:hAnsi="Calibri"/>
                <w:szCs w:val="21"/>
              </w:rPr>
              <w:t>开户名称</w:t>
            </w:r>
          </w:p>
        </w:tc>
        <w:tc>
          <w:tcPr>
            <w:tcW w:w="1260" w:type="pct"/>
            <w:tcBorders>
              <w:top w:val="single" w:color="auto" w:sz="2" w:space="0"/>
              <w:left w:val="single" w:color="auto" w:sz="2" w:space="0"/>
              <w:bottom w:val="single" w:color="auto" w:sz="2" w:space="0"/>
            </w:tcBorders>
            <w:vAlign w:val="center"/>
          </w:tcPr>
          <w:p w14:paraId="526FE876">
            <w:pPr>
              <w:adjustRightInd w:val="0"/>
              <w:snapToGrid w:val="0"/>
              <w:spacing w:line="300" w:lineRule="exact"/>
              <w:jc w:val="center"/>
              <w:rPr>
                <w:rFonts w:ascii="Calibri" w:hAnsi="Calibri"/>
                <w:spacing w:val="20"/>
                <w:szCs w:val="21"/>
              </w:rPr>
            </w:pPr>
          </w:p>
        </w:tc>
      </w:tr>
      <w:tr w14:paraId="553301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5C46E1FD">
            <w:pPr>
              <w:adjustRightInd w:val="0"/>
              <w:snapToGrid w:val="0"/>
              <w:spacing w:line="300" w:lineRule="exact"/>
              <w:jc w:val="center"/>
              <w:rPr>
                <w:rFonts w:ascii="Calibri" w:hAnsi="Calibri"/>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059EB43">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6B40C05">
            <w:pPr>
              <w:adjustRightInd w:val="0"/>
              <w:snapToGrid w:val="0"/>
              <w:spacing w:line="300" w:lineRule="exact"/>
              <w:jc w:val="center"/>
              <w:rPr>
                <w:rFonts w:ascii="Calibri" w:hAnsi="Calibri"/>
                <w:szCs w:val="21"/>
              </w:rPr>
            </w:pPr>
            <w:r>
              <w:rPr>
                <w:rFonts w:ascii="Calibri" w:hAnsi="Calibri"/>
                <w:szCs w:val="21"/>
              </w:rPr>
              <w:t>开户银行</w:t>
            </w:r>
          </w:p>
        </w:tc>
        <w:tc>
          <w:tcPr>
            <w:tcW w:w="1260" w:type="pct"/>
            <w:tcBorders>
              <w:top w:val="single" w:color="auto" w:sz="2" w:space="0"/>
              <w:left w:val="single" w:color="auto" w:sz="2" w:space="0"/>
              <w:bottom w:val="single" w:color="auto" w:sz="2" w:space="0"/>
            </w:tcBorders>
            <w:vAlign w:val="center"/>
          </w:tcPr>
          <w:p w14:paraId="5663EFD5">
            <w:pPr>
              <w:adjustRightInd w:val="0"/>
              <w:snapToGrid w:val="0"/>
              <w:spacing w:line="300" w:lineRule="exact"/>
              <w:jc w:val="center"/>
              <w:rPr>
                <w:rFonts w:ascii="Calibri" w:hAnsi="Calibri"/>
                <w:spacing w:val="20"/>
                <w:szCs w:val="21"/>
              </w:rPr>
            </w:pPr>
          </w:p>
        </w:tc>
      </w:tr>
      <w:tr w14:paraId="2FC2F8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5" w:type="pct"/>
            <w:tcBorders>
              <w:top w:val="single" w:color="auto" w:sz="2" w:space="0"/>
              <w:bottom w:val="single" w:color="auto" w:sz="2" w:space="0"/>
              <w:right w:val="single" w:color="auto" w:sz="2" w:space="0"/>
            </w:tcBorders>
            <w:vAlign w:val="center"/>
          </w:tcPr>
          <w:p w14:paraId="50F3E687">
            <w:pPr>
              <w:adjustRightInd w:val="0"/>
              <w:snapToGrid w:val="0"/>
              <w:spacing w:line="300" w:lineRule="exact"/>
              <w:jc w:val="center"/>
              <w:rPr>
                <w:rFonts w:ascii="Calibri" w:hAnsi="Calibri"/>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9CAF856">
            <w:pPr>
              <w:adjustRightInd w:val="0"/>
              <w:snapToGrid w:val="0"/>
              <w:spacing w:line="300" w:lineRule="exact"/>
              <w:jc w:val="center"/>
              <w:rPr>
                <w:rFonts w:ascii="Calibri" w:hAnsi="Calibri"/>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350FAA">
            <w:pPr>
              <w:adjustRightInd w:val="0"/>
              <w:snapToGrid w:val="0"/>
              <w:spacing w:line="300" w:lineRule="exact"/>
              <w:jc w:val="center"/>
              <w:rPr>
                <w:rFonts w:ascii="Calibri" w:hAnsi="Calibri"/>
                <w:szCs w:val="21"/>
              </w:rPr>
            </w:pPr>
            <w:r>
              <w:rPr>
                <w:rFonts w:ascii="Calibri" w:hAnsi="Calibri"/>
                <w:szCs w:val="21"/>
              </w:rPr>
              <w:t>银行账号</w:t>
            </w:r>
          </w:p>
        </w:tc>
        <w:tc>
          <w:tcPr>
            <w:tcW w:w="1260" w:type="pct"/>
            <w:tcBorders>
              <w:top w:val="single" w:color="auto" w:sz="2" w:space="0"/>
              <w:left w:val="single" w:color="auto" w:sz="2" w:space="0"/>
              <w:bottom w:val="single" w:color="auto" w:sz="2" w:space="0"/>
            </w:tcBorders>
            <w:vAlign w:val="center"/>
          </w:tcPr>
          <w:p w14:paraId="5EC7536D">
            <w:pPr>
              <w:adjustRightInd w:val="0"/>
              <w:snapToGrid w:val="0"/>
              <w:spacing w:line="300" w:lineRule="exact"/>
              <w:jc w:val="center"/>
              <w:rPr>
                <w:rFonts w:ascii="Calibri" w:hAnsi="Calibri"/>
                <w:spacing w:val="20"/>
                <w:szCs w:val="21"/>
              </w:rPr>
            </w:pPr>
          </w:p>
        </w:tc>
      </w:tr>
      <w:tr w14:paraId="4E1ACF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vAlign w:val="center"/>
          </w:tcPr>
          <w:p w14:paraId="662439B9">
            <w:pPr>
              <w:pStyle w:val="19"/>
              <w:adjustRightInd w:val="0"/>
              <w:snapToGrid w:val="0"/>
              <w:spacing w:before="120" w:beforeLines="50" w:after="0" w:line="360" w:lineRule="auto"/>
              <w:ind w:left="0" w:leftChars="0"/>
              <w:jc w:val="left"/>
              <w:rPr>
                <w:rFonts w:ascii="Calibri" w:hAnsi="Calibri"/>
                <w:spacing w:val="20"/>
                <w:szCs w:val="21"/>
              </w:rPr>
            </w:pPr>
            <w:r>
              <w:rPr>
                <w:rFonts w:hint="eastAsia" w:ascii="宋体" w:hAnsi="宋体"/>
                <w:szCs w:val="21"/>
              </w:rPr>
              <w:t>注：涉及联合体或其他合同主体的信息应按上表格式加列。</w:t>
            </w:r>
          </w:p>
        </w:tc>
      </w:tr>
    </w:tbl>
    <w:p w14:paraId="142534D4"/>
    <w:p w14:paraId="37721525">
      <w:pPr>
        <w:pStyle w:val="3"/>
        <w:adjustRightInd w:val="0"/>
        <w:snapToGrid w:val="0"/>
        <w:spacing w:before="120" w:beforeLines="50"/>
        <w:jc w:val="center"/>
        <w:rPr>
          <w:rFonts w:ascii="黑体" w:hAnsi="黑体" w:eastAsia="黑体"/>
          <w:sz w:val="28"/>
          <w:szCs w:val="28"/>
        </w:rPr>
      </w:pPr>
      <w:r>
        <w:rPr>
          <w:rFonts w:ascii="宋体" w:hAnsi="宋体"/>
          <w:sz w:val="21"/>
          <w:szCs w:val="21"/>
          <w:u w:val="single"/>
        </w:rPr>
        <w:br w:type="page"/>
      </w:r>
      <w:bookmarkStart w:id="758" w:name="_Toc27624"/>
      <w:r>
        <w:rPr>
          <w:rFonts w:hint="eastAsia" w:ascii="黑体" w:hAnsi="黑体" w:eastAsia="黑体"/>
          <w:b w:val="0"/>
          <w:bCs w:val="0"/>
          <w:sz w:val="28"/>
          <w:szCs w:val="28"/>
        </w:rPr>
        <w:t>第二节 政府采购合同通用条款</w:t>
      </w:r>
      <w:bookmarkEnd w:id="758"/>
    </w:p>
    <w:p w14:paraId="7F7076AF">
      <w:pPr>
        <w:tabs>
          <w:tab w:val="left" w:pos="8820"/>
          <w:tab w:val="left" w:pos="9345"/>
          <w:tab w:val="left" w:pos="9765"/>
        </w:tabs>
        <w:adjustRightInd w:val="0"/>
        <w:snapToGrid w:val="0"/>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6CE6566F">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1.1合同当事人</w:t>
      </w:r>
    </w:p>
    <w:p w14:paraId="3A53E8F7">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329FBEC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0C9F89A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2087B250">
      <w:pPr>
        <w:tabs>
          <w:tab w:val="left" w:pos="570"/>
          <w:tab w:val="left" w:pos="9240"/>
          <w:tab w:val="left" w:pos="9555"/>
        </w:tabs>
        <w:adjustRightInd w:val="0"/>
        <w:snapToGrid w:val="0"/>
        <w:spacing w:line="400" w:lineRule="exact"/>
        <w:ind w:firstLine="420" w:firstLineChars="200"/>
        <w:jc w:val="left"/>
        <w:rPr>
          <w:rFonts w:ascii="宋体" w:hAnsi="宋体"/>
          <w:szCs w:val="21"/>
        </w:rPr>
      </w:pPr>
      <w:r>
        <w:rPr>
          <w:rFonts w:hint="eastAsia" w:ascii="宋体" w:hAnsi="宋体"/>
          <w:szCs w:val="21"/>
        </w:rPr>
        <w:t>1.2本合同下列术语应解释为：</w:t>
      </w:r>
    </w:p>
    <w:p w14:paraId="109A7C0A">
      <w:pPr>
        <w:adjustRightInd w:val="0"/>
        <w:snapToGrid w:val="0"/>
        <w:spacing w:line="400" w:lineRule="exact"/>
        <w:ind w:firstLine="420" w:firstLineChars="200"/>
        <w:jc w:val="left"/>
        <w:rPr>
          <w:rFonts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5C9CBD49">
      <w:pPr>
        <w:tabs>
          <w:tab w:val="left" w:pos="570"/>
          <w:tab w:val="left" w:pos="9240"/>
          <w:tab w:val="left" w:pos="9555"/>
        </w:tabs>
        <w:adjustRightInd w:val="0"/>
        <w:snapToGrid w:val="0"/>
        <w:spacing w:line="400" w:lineRule="exact"/>
        <w:ind w:firstLine="420" w:firstLineChars="20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0C3B6006">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包括软件）及相关的其备品备件、工具、手册及</w:t>
      </w:r>
      <w:r>
        <w:rPr>
          <w:rFonts w:ascii="宋体" w:hAnsi="宋体"/>
          <w:color w:val="000000"/>
          <w:szCs w:val="21"/>
          <w:lang w:val="en"/>
        </w:rPr>
        <w:t>其他</w:t>
      </w:r>
      <w:r>
        <w:rPr>
          <w:rFonts w:hint="eastAsia" w:ascii="宋体" w:hAnsi="宋体"/>
          <w:color w:val="000000"/>
          <w:szCs w:val="21"/>
        </w:rPr>
        <w:t>技术资料和材料等。</w:t>
      </w:r>
    </w:p>
    <w:p w14:paraId="2D5AD693">
      <w:pPr>
        <w:adjustRightInd w:val="0"/>
        <w:snapToGrid w:val="0"/>
        <w:spacing w:line="400" w:lineRule="exact"/>
        <w:ind w:firstLine="420" w:firstLineChars="200"/>
        <w:jc w:val="left"/>
        <w:rPr>
          <w:rFonts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2473453D">
      <w:pPr>
        <w:adjustRightInd w:val="0"/>
        <w:snapToGrid w:val="0"/>
        <w:spacing w:line="400" w:lineRule="exact"/>
        <w:ind w:firstLine="420" w:firstLineChars="200"/>
        <w:jc w:val="left"/>
        <w:rPr>
          <w:rFonts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06B04518">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60D595F8">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5F713140">
      <w:pPr>
        <w:numPr>
          <w:ilvl w:val="0"/>
          <w:numId w:val="18"/>
        </w:numPr>
        <w:autoSpaceDE w:val="0"/>
        <w:autoSpaceDN w:val="0"/>
        <w:adjustRightInd w:val="0"/>
        <w:snapToGrid w:val="0"/>
        <w:spacing w:line="400" w:lineRule="exact"/>
        <w:jc w:val="left"/>
        <w:rPr>
          <w:rFonts w:ascii="宋体" w:hAnsi="宋体"/>
          <w:b/>
          <w:bCs/>
          <w:color w:val="000000"/>
          <w:sz w:val="24"/>
        </w:rPr>
      </w:pPr>
      <w:r>
        <w:rPr>
          <w:rFonts w:hint="eastAsia" w:ascii="宋体" w:hAnsi="宋体"/>
          <w:b/>
          <w:color w:val="000000"/>
          <w:sz w:val="24"/>
        </w:rPr>
        <w:t>合同标的及金额</w:t>
      </w:r>
    </w:p>
    <w:p w14:paraId="790A1413">
      <w:pPr>
        <w:autoSpaceDE w:val="0"/>
        <w:autoSpaceDN w:val="0"/>
        <w:adjustRightInd w:val="0"/>
        <w:snapToGrid w:val="0"/>
        <w:spacing w:line="400" w:lineRule="exact"/>
        <w:ind w:firstLine="420" w:firstLineChars="200"/>
        <w:jc w:val="left"/>
        <w:rPr>
          <w:rFonts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5B2F7C72">
      <w:pPr>
        <w:adjustRightInd w:val="0"/>
        <w:snapToGrid w:val="0"/>
        <w:spacing w:line="400" w:lineRule="exact"/>
        <w:jc w:val="left"/>
        <w:rPr>
          <w:rFonts w:ascii="宋体" w:hAnsi="宋体"/>
          <w:b/>
          <w:color w:val="000000"/>
          <w:sz w:val="24"/>
        </w:rPr>
      </w:pPr>
      <w:r>
        <w:rPr>
          <w:rFonts w:hint="eastAsia" w:ascii="宋体" w:hAnsi="宋体"/>
          <w:b/>
          <w:color w:val="000000"/>
          <w:sz w:val="24"/>
        </w:rPr>
        <w:t>3. 履行合同的时间、地点和方式</w:t>
      </w:r>
    </w:p>
    <w:p w14:paraId="7B5F225A">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3961A6A1">
      <w:pPr>
        <w:autoSpaceDE w:val="0"/>
        <w:autoSpaceDN w:val="0"/>
        <w:adjustRightInd w:val="0"/>
        <w:snapToGrid w:val="0"/>
        <w:spacing w:line="400" w:lineRule="exact"/>
        <w:jc w:val="left"/>
        <w:rPr>
          <w:rFonts w:ascii="宋体" w:hAnsi="宋体"/>
          <w:b/>
          <w:bCs/>
          <w:color w:val="000000"/>
          <w:sz w:val="24"/>
        </w:rPr>
      </w:pPr>
      <w:r>
        <w:rPr>
          <w:rFonts w:hint="eastAsia" w:ascii="宋体" w:hAnsi="宋体"/>
          <w:b/>
          <w:bCs/>
          <w:color w:val="000000"/>
          <w:sz w:val="24"/>
        </w:rPr>
        <w:t>4. 甲方的权利和义务</w:t>
      </w:r>
    </w:p>
    <w:p w14:paraId="10DFD495">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19A300ED">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5E1546C4">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503B429F">
      <w:pPr>
        <w:snapToGrid w:val="0"/>
        <w:spacing w:line="400" w:lineRule="exact"/>
        <w:ind w:firstLine="420" w:firstLineChars="20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56E206E0">
      <w:pPr>
        <w:autoSpaceDE w:val="0"/>
        <w:autoSpaceDN w:val="0"/>
        <w:adjustRightInd w:val="0"/>
        <w:snapToGrid w:val="0"/>
        <w:spacing w:line="400" w:lineRule="exact"/>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32FD4F3A">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6B119E91">
      <w:pPr>
        <w:autoSpaceDE w:val="0"/>
        <w:autoSpaceDN w:val="0"/>
        <w:adjustRightInd w:val="0"/>
        <w:snapToGrid w:val="0"/>
        <w:spacing w:line="400" w:lineRule="exact"/>
        <w:jc w:val="left"/>
        <w:rPr>
          <w:rFonts w:ascii="宋体" w:hAnsi="宋体"/>
          <w:b/>
          <w:bCs/>
          <w:color w:val="000000"/>
          <w:sz w:val="24"/>
        </w:rPr>
      </w:pPr>
      <w:r>
        <w:rPr>
          <w:rFonts w:hint="eastAsia" w:ascii="宋体" w:hAnsi="宋体"/>
          <w:b/>
          <w:bCs/>
          <w:color w:val="000000"/>
          <w:sz w:val="24"/>
        </w:rPr>
        <w:t>5. 乙方的权利和义务</w:t>
      </w:r>
    </w:p>
    <w:p w14:paraId="3AC6635F">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1DF532BC">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31884CC0">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5.3乙方有权根据合同约定向甲方收取合同价款。</w:t>
      </w:r>
    </w:p>
    <w:p w14:paraId="45C21D1B">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5.4国家法律法规规定及【政府采购合同专用条款】约定应由乙方承担的其他义务和责任。</w:t>
      </w:r>
    </w:p>
    <w:p w14:paraId="124B3B41">
      <w:pPr>
        <w:numPr>
          <w:ilvl w:val="0"/>
          <w:numId w:val="19"/>
        </w:numPr>
        <w:autoSpaceDE w:val="0"/>
        <w:autoSpaceDN w:val="0"/>
        <w:adjustRightInd w:val="0"/>
        <w:snapToGrid w:val="0"/>
        <w:spacing w:line="400" w:lineRule="exact"/>
        <w:jc w:val="left"/>
        <w:rPr>
          <w:rFonts w:ascii="宋体" w:hAnsi="宋体"/>
          <w:b/>
          <w:bCs/>
          <w:color w:val="000000"/>
          <w:sz w:val="24"/>
        </w:rPr>
      </w:pPr>
      <w:r>
        <w:rPr>
          <w:rFonts w:hint="eastAsia" w:ascii="宋体" w:hAnsi="宋体"/>
          <w:b/>
          <w:bCs/>
          <w:color w:val="000000"/>
          <w:sz w:val="24"/>
        </w:rPr>
        <w:t>合同履行</w:t>
      </w:r>
    </w:p>
    <w:p w14:paraId="323B9064">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6507B4FA">
      <w:pPr>
        <w:autoSpaceDE w:val="0"/>
        <w:autoSpaceDN w:val="0"/>
        <w:adjustRightInd w:val="0"/>
        <w:snapToGrid w:val="0"/>
        <w:spacing w:line="400" w:lineRule="exact"/>
        <w:ind w:firstLine="420" w:firstLineChars="20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287D5B4D">
      <w:pPr>
        <w:adjustRightInd w:val="0"/>
        <w:snapToGrid w:val="0"/>
        <w:spacing w:line="400" w:lineRule="exact"/>
        <w:jc w:val="left"/>
        <w:rPr>
          <w:rFonts w:ascii="宋体" w:hAnsi="宋体"/>
          <w:b/>
          <w:bCs/>
          <w:color w:val="000000"/>
          <w:sz w:val="24"/>
        </w:rPr>
      </w:pPr>
      <w:r>
        <w:rPr>
          <w:rFonts w:hint="eastAsia" w:ascii="宋体" w:hAnsi="宋体"/>
          <w:b/>
          <w:bCs/>
          <w:color w:val="000000"/>
          <w:sz w:val="24"/>
        </w:rPr>
        <w:t>7. 货物包装、运输、保险和交付要求</w:t>
      </w:r>
    </w:p>
    <w:p w14:paraId="66C76D7C">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5318199A">
      <w:pPr>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6DEB0E5E">
      <w:pPr>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497D1477">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57978B0">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029873CD">
      <w:pPr>
        <w:pStyle w:val="179"/>
        <w:ind w:firstLine="420"/>
        <w:rPr>
          <w:sz w:val="21"/>
        </w:rPr>
      </w:pPr>
      <w:r>
        <w:rPr>
          <w:rFonts w:hint="eastAsia" w:ascii="宋体" w:hAnsi="宋体" w:eastAsia="宋体" w:cs="Times New Roman"/>
          <w:color w:val="000000"/>
          <w:kern w:val="2"/>
          <w:sz w:val="21"/>
        </w:rPr>
        <w:t>7.6 如因包装、运输问题导致货物损毁、丢失或者品质下降，甲方有权要求降价、换货、拒收部分或整批货物，由此产生的费用和损失，均由乙方承担。</w:t>
      </w:r>
    </w:p>
    <w:p w14:paraId="67AEAD71">
      <w:pPr>
        <w:adjustRightInd w:val="0"/>
        <w:snapToGrid w:val="0"/>
        <w:spacing w:line="400" w:lineRule="exact"/>
        <w:jc w:val="left"/>
        <w:rPr>
          <w:rFonts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0517B99B">
      <w:pPr>
        <w:pStyle w:val="24"/>
        <w:adjustRightInd w:val="0"/>
        <w:snapToGrid w:val="0"/>
        <w:spacing w:line="400" w:lineRule="exact"/>
        <w:ind w:firstLine="420" w:firstLineChars="200"/>
        <w:jc w:val="left"/>
        <w:rPr>
          <w:rFonts w:hAnsi="宋体"/>
          <w:b/>
        </w:rPr>
      </w:pPr>
      <w:r>
        <w:rPr>
          <w:rFonts w:hint="eastAsia" w:hAnsi="宋体"/>
        </w:rPr>
        <w:t>8.1 质量标准</w:t>
      </w:r>
    </w:p>
    <w:p w14:paraId="381F9AF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AA8826A">
      <w:pPr>
        <w:pStyle w:val="24"/>
        <w:adjustRightInd w:val="0"/>
        <w:snapToGrid w:val="0"/>
        <w:spacing w:line="400" w:lineRule="exact"/>
        <w:ind w:firstLine="420" w:firstLineChars="200"/>
        <w:jc w:val="left"/>
        <w:rPr>
          <w:rFonts w:hAnsi="宋体"/>
        </w:rPr>
      </w:pPr>
      <w:r>
        <w:rPr>
          <w:rFonts w:hint="eastAsia" w:hAnsi="宋体"/>
        </w:rPr>
        <w:t>（2）采用中华人民共和国法定计量单位。</w:t>
      </w:r>
    </w:p>
    <w:p w14:paraId="7088AB05">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（3）乙方所提供的货物应符合国家有关安全、环保、卫生的规定。</w:t>
      </w:r>
    </w:p>
    <w:p w14:paraId="445E643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4172B726">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8.2 保证</w:t>
      </w:r>
    </w:p>
    <w:p w14:paraId="70FCE81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581BCED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（2）在质量保证期内所发现的缺陷，甲方应尽快以书面形式通知乙方。</w:t>
      </w:r>
    </w:p>
    <w:p w14:paraId="0AB30FE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0036A0A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0538FBB8">
      <w:pPr>
        <w:adjustRightInd w:val="0"/>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254DFDB5">
      <w:pPr>
        <w:adjustRightInd w:val="0"/>
        <w:snapToGrid w:val="0"/>
        <w:spacing w:line="400" w:lineRule="exact"/>
        <w:jc w:val="left"/>
        <w:rPr>
          <w:rFonts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65C011AA">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9.1 乙方保证对其出售的货物享有合法的权利。</w:t>
      </w:r>
    </w:p>
    <w:p w14:paraId="5465E584">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27716F61">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9.3 如甲方使用上述货物构成对第三人侵权的，则由乙方承担全部责任。</w:t>
      </w:r>
    </w:p>
    <w:p w14:paraId="0E0BC64B">
      <w:pPr>
        <w:autoSpaceDE w:val="0"/>
        <w:autoSpaceDN w:val="0"/>
        <w:adjustRightInd w:val="0"/>
        <w:snapToGrid w:val="0"/>
        <w:spacing w:line="400" w:lineRule="exact"/>
        <w:jc w:val="left"/>
        <w:rPr>
          <w:rFonts w:ascii="宋体" w:hAnsi="宋体"/>
          <w:b/>
          <w:bCs/>
          <w:color w:val="000000"/>
          <w:sz w:val="24"/>
        </w:rPr>
      </w:pPr>
      <w:r>
        <w:rPr>
          <w:rFonts w:hint="eastAsia" w:ascii="宋体" w:hAnsi="宋体"/>
          <w:b/>
          <w:bCs/>
          <w:color w:val="000000"/>
          <w:sz w:val="24"/>
        </w:rPr>
        <w:t>10. 知识产权保护</w:t>
      </w:r>
    </w:p>
    <w:p w14:paraId="1714A99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bookmarkStart w:id="759"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759"/>
      <w:r>
        <w:rPr>
          <w:rFonts w:hint="eastAsia" w:ascii="宋体" w:hAnsi="宋体"/>
          <w:szCs w:val="21"/>
        </w:rPr>
        <w:t>。</w:t>
      </w:r>
    </w:p>
    <w:p w14:paraId="4D52E716">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11. 保密义务</w:t>
      </w:r>
    </w:p>
    <w:p w14:paraId="792CA652">
      <w:pPr>
        <w:autoSpaceDE w:val="0"/>
        <w:autoSpaceDN w:val="0"/>
        <w:adjustRightInd w:val="0"/>
        <w:snapToGrid w:val="0"/>
        <w:spacing w:line="400" w:lineRule="exact"/>
        <w:ind w:firstLine="420" w:firstLineChars="20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32427EB6">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12. 合同价款支付</w:t>
      </w:r>
    </w:p>
    <w:p w14:paraId="176D8855">
      <w:pPr>
        <w:adjustRightInd w:val="0"/>
        <w:snapToGrid w:val="0"/>
        <w:spacing w:line="400" w:lineRule="exact"/>
        <w:ind w:firstLine="420" w:firstLineChars="200"/>
        <w:jc w:val="left"/>
        <w:rPr>
          <w:rFonts w:ascii="宋体" w:hAnsi="宋体"/>
          <w:szCs w:val="21"/>
        </w:rPr>
      </w:pPr>
      <w:r>
        <w:rPr>
          <w:rFonts w:hint="eastAsia" w:ascii="宋体" w:hAnsi="宋体"/>
          <w:szCs w:val="21"/>
        </w:rPr>
        <w:t>12.1 合同价款支付按照国库集中支付制度及财政管理相关规定执行。</w:t>
      </w:r>
    </w:p>
    <w:p w14:paraId="1221EE39">
      <w:pPr>
        <w:pStyle w:val="3"/>
        <w:spacing w:line="400" w:lineRule="exact"/>
        <w:ind w:firstLine="420" w:firstLineChars="200"/>
      </w:pPr>
      <w:r>
        <w:rPr>
          <w:rFonts w:hint="eastAsia" w:ascii="宋体" w:hAnsi="宋体"/>
          <w:b w:val="0"/>
          <w:bCs w:val="0"/>
          <w:sz w:val="2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sz w:val="21"/>
          <w:szCs w:val="21"/>
        </w:rPr>
        <w:t>政府采购合同专用条款</w:t>
      </w:r>
      <w:r>
        <w:rPr>
          <w:rFonts w:hint="eastAsia" w:ascii="宋体" w:hAnsi="宋体"/>
          <w:b w:val="0"/>
          <w:bCs w:val="0"/>
          <w:sz w:val="21"/>
          <w:szCs w:val="21"/>
        </w:rPr>
        <w:t>】中约定。</w:t>
      </w:r>
    </w:p>
    <w:p w14:paraId="2642456F">
      <w:pPr>
        <w:pStyle w:val="18"/>
        <w:spacing w:line="400" w:lineRule="exact"/>
        <w:rPr>
          <w:rFonts w:ascii="宋体" w:hAnsi="宋体"/>
          <w:b/>
          <w:bCs/>
          <w:sz w:val="24"/>
        </w:rPr>
      </w:pPr>
      <w:r>
        <w:rPr>
          <w:rFonts w:hint="eastAsia" w:ascii="宋体" w:hAnsi="宋体"/>
          <w:b/>
          <w:bCs/>
          <w:sz w:val="24"/>
        </w:rPr>
        <w:t>13. 履约保证金</w:t>
      </w:r>
    </w:p>
    <w:p w14:paraId="76126360">
      <w:pPr>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1F09592B">
      <w:pPr>
        <w:adjustRightInd w:val="0"/>
        <w:snapToGrid w:val="0"/>
        <w:spacing w:line="400" w:lineRule="exact"/>
        <w:ind w:firstLine="420" w:firstLineChars="20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0F0088F7">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00734A5B">
      <w:pPr>
        <w:autoSpaceDE w:val="0"/>
        <w:autoSpaceDN w:val="0"/>
        <w:adjustRightInd w:val="0"/>
        <w:snapToGrid w:val="0"/>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49DCE2E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14.1 除项目不涉及或采购活动中明确约定无须承担外，乙方还应提供下列服务：</w:t>
      </w:r>
    </w:p>
    <w:p w14:paraId="1D7A95EC">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（1）货物的现场移动、安装、调试、启动监督及技术支持；</w:t>
      </w:r>
    </w:p>
    <w:p w14:paraId="62628CF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（2）提供货物组装和维修所需的专用工具和辅助材料；</w:t>
      </w:r>
    </w:p>
    <w:p w14:paraId="1CCFF5C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7A0F8F9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54C16C6E">
      <w:pPr>
        <w:pStyle w:val="179"/>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2F286A0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22A5298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14.2 乙方提供的售后服务的费用已包含在合同价款中，甲方不再另行支付。</w:t>
      </w:r>
    </w:p>
    <w:p w14:paraId="0A6BD021">
      <w:pPr>
        <w:adjustRightInd w:val="0"/>
        <w:snapToGrid w:val="0"/>
        <w:spacing w:line="400" w:lineRule="exact"/>
        <w:jc w:val="left"/>
        <w:rPr>
          <w:rFonts w:ascii="宋体" w:hAnsi="宋体"/>
          <w:b/>
          <w:bCs/>
          <w:sz w:val="24"/>
        </w:rPr>
      </w:pPr>
      <w:r>
        <w:rPr>
          <w:rFonts w:hint="eastAsia" w:ascii="宋体" w:hAnsi="宋体"/>
          <w:b/>
          <w:bCs/>
          <w:sz w:val="24"/>
        </w:rPr>
        <w:t>15. 违约责任</w:t>
      </w:r>
    </w:p>
    <w:p w14:paraId="2CC90D3B">
      <w:pPr>
        <w:adjustRightInd w:val="0"/>
        <w:snapToGrid w:val="0"/>
        <w:spacing w:line="400" w:lineRule="exact"/>
        <w:ind w:firstLine="420" w:firstLineChars="200"/>
        <w:jc w:val="left"/>
        <w:rPr>
          <w:rFonts w:ascii="宋体" w:hAnsi="宋体"/>
          <w:bCs/>
          <w:szCs w:val="21"/>
        </w:rPr>
      </w:pPr>
      <w:r>
        <w:rPr>
          <w:rFonts w:hint="eastAsia" w:ascii="宋体" w:hAnsi="宋体"/>
          <w:bCs/>
          <w:szCs w:val="21"/>
        </w:rPr>
        <w:t>15.1质量瑕疵的违约责任</w:t>
      </w:r>
    </w:p>
    <w:p w14:paraId="5AAB195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05DEA18E">
      <w:pPr>
        <w:autoSpaceDE w:val="0"/>
        <w:autoSpaceDN w:val="0"/>
        <w:adjustRightInd w:val="0"/>
        <w:snapToGrid w:val="0"/>
        <w:spacing w:line="400" w:lineRule="exact"/>
        <w:ind w:firstLine="420" w:firstLineChars="200"/>
        <w:jc w:val="left"/>
        <w:rPr>
          <w:rFonts w:ascii="宋体" w:hAnsi="宋体"/>
          <w:bCs/>
          <w:szCs w:val="21"/>
        </w:rPr>
      </w:pPr>
      <w:r>
        <w:rPr>
          <w:rFonts w:hint="eastAsia" w:ascii="宋体" w:hAnsi="宋体"/>
          <w:bCs/>
          <w:szCs w:val="21"/>
        </w:rPr>
        <w:t>15.2 迟延交货的违约责任</w:t>
      </w:r>
    </w:p>
    <w:p w14:paraId="0B49ADA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29B929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3ED2EE0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15.3 迟延支付的违约责任</w:t>
      </w:r>
    </w:p>
    <w:p w14:paraId="79A2F75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70F1F9F6">
      <w:pPr>
        <w:adjustRightInd w:val="0"/>
        <w:snapToGrid w:val="0"/>
        <w:spacing w:line="400" w:lineRule="exact"/>
        <w:ind w:firstLine="420" w:firstLineChars="20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1452BB0F">
      <w:pPr>
        <w:numPr>
          <w:ilvl w:val="0"/>
          <w:numId w:val="20"/>
        </w:numPr>
        <w:autoSpaceDE w:val="0"/>
        <w:autoSpaceDN w:val="0"/>
        <w:adjustRightInd w:val="0"/>
        <w:snapToGrid w:val="0"/>
        <w:spacing w:line="400" w:lineRule="exact"/>
        <w:jc w:val="left"/>
        <w:rPr>
          <w:rFonts w:ascii="宋体" w:hAnsi="宋体"/>
          <w:b/>
          <w:sz w:val="24"/>
        </w:rPr>
      </w:pPr>
      <w:r>
        <w:rPr>
          <w:rFonts w:hint="eastAsia" w:ascii="宋体" w:hAnsi="宋体"/>
          <w:b/>
          <w:sz w:val="24"/>
        </w:rPr>
        <w:t>合同变更、中止与终止</w:t>
      </w:r>
    </w:p>
    <w:p w14:paraId="2F56D337">
      <w:pPr>
        <w:adjustRightInd w:val="0"/>
        <w:snapToGrid w:val="0"/>
        <w:spacing w:line="400" w:lineRule="exact"/>
        <w:jc w:val="left"/>
        <w:rPr>
          <w:rFonts w:ascii="宋体" w:hAnsi="宋体"/>
          <w:szCs w:val="21"/>
        </w:rPr>
      </w:pPr>
      <w:r>
        <w:rPr>
          <w:rFonts w:hint="eastAsia" w:ascii="宋体" w:hAnsi="宋体"/>
          <w:szCs w:val="21"/>
        </w:rPr>
        <w:t xml:space="preserve">    16.1合同的变更</w:t>
      </w:r>
    </w:p>
    <w:p w14:paraId="7C79A23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5B9CFC61">
      <w:pPr>
        <w:adjustRightInd w:val="0"/>
        <w:snapToGrid w:val="0"/>
        <w:spacing w:line="400" w:lineRule="exact"/>
        <w:ind w:firstLine="420" w:firstLineChars="200"/>
        <w:jc w:val="left"/>
        <w:rPr>
          <w:rFonts w:ascii="宋体" w:hAnsi="宋体"/>
          <w:szCs w:val="21"/>
        </w:rPr>
      </w:pPr>
      <w:r>
        <w:rPr>
          <w:rFonts w:hint="eastAsia" w:ascii="宋体" w:hAnsi="宋体"/>
          <w:szCs w:val="21"/>
        </w:rPr>
        <w:t>16.2合同的中止</w:t>
      </w:r>
    </w:p>
    <w:p w14:paraId="2BECB00A">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64E6DACD">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45F6FC9">
      <w:pPr>
        <w:pStyle w:val="179"/>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387C9CA6">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5F9BD749">
      <w:pPr>
        <w:adjustRightInd w:val="0"/>
        <w:snapToGrid w:val="0"/>
        <w:spacing w:line="400" w:lineRule="exact"/>
        <w:ind w:firstLine="420" w:firstLineChars="200"/>
        <w:jc w:val="left"/>
        <w:rPr>
          <w:rFonts w:ascii="宋体" w:hAnsi="宋体"/>
          <w:szCs w:val="21"/>
        </w:rPr>
      </w:pPr>
      <w:r>
        <w:rPr>
          <w:rFonts w:hint="eastAsia" w:ascii="宋体" w:hAnsi="宋体"/>
          <w:szCs w:val="21"/>
        </w:rPr>
        <w:t>16.3合同的终止</w:t>
      </w:r>
    </w:p>
    <w:p w14:paraId="77CDA0E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（1）合同因有效期限届满而终止；</w:t>
      </w:r>
    </w:p>
    <w:p w14:paraId="240844F9">
      <w:pPr>
        <w:snapToGrid w:val="0"/>
        <w:spacing w:line="400" w:lineRule="exact"/>
        <w:ind w:firstLine="420" w:firstLineChars="20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7FE30360">
      <w:pPr>
        <w:pStyle w:val="179"/>
        <w:rPr>
          <w:rFonts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51A4948D">
      <w:pPr>
        <w:pStyle w:val="179"/>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060EA649">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17. 合同分包</w:t>
      </w:r>
    </w:p>
    <w:p w14:paraId="261E6B4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3C09848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41F3C55A">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18. 不可抗力</w:t>
      </w:r>
    </w:p>
    <w:p w14:paraId="5544E606">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18.1 不可抗力是指合同双方不能预见、不能避免且不能克服的客观情况。</w:t>
      </w:r>
    </w:p>
    <w:p w14:paraId="09C4C54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601ABF5C">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708AED8">
      <w:pPr>
        <w:autoSpaceDE w:val="0"/>
        <w:autoSpaceDN w:val="0"/>
        <w:adjustRightInd w:val="0"/>
        <w:snapToGrid w:val="0"/>
        <w:spacing w:line="400" w:lineRule="exact"/>
        <w:jc w:val="left"/>
        <w:rPr>
          <w:rFonts w:ascii="宋体" w:hAnsi="宋体"/>
          <w:b/>
          <w:bCs/>
          <w:sz w:val="24"/>
        </w:rPr>
      </w:pPr>
      <w:r>
        <w:rPr>
          <w:rFonts w:hint="eastAsia" w:ascii="宋体" w:hAnsi="宋体"/>
          <w:b/>
          <w:bCs/>
          <w:sz w:val="24"/>
        </w:rPr>
        <w:t>19. 解决争议的方法</w:t>
      </w:r>
    </w:p>
    <w:p w14:paraId="0A3CFCB9">
      <w:pPr>
        <w:pStyle w:val="179"/>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3ABD2916">
      <w:pPr>
        <w:pStyle w:val="179"/>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176A4BDA">
      <w:pPr>
        <w:pStyle w:val="179"/>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02EDB76E">
      <w:pPr>
        <w:autoSpaceDE w:val="0"/>
        <w:autoSpaceDN w:val="0"/>
        <w:adjustRightInd w:val="0"/>
        <w:snapToGrid w:val="0"/>
        <w:spacing w:line="400" w:lineRule="exact"/>
        <w:jc w:val="left"/>
        <w:rPr>
          <w:rFonts w:ascii="宋体" w:hAnsi="宋体"/>
          <w:sz w:val="24"/>
        </w:rPr>
      </w:pPr>
      <w:r>
        <w:rPr>
          <w:rFonts w:hint="eastAsia" w:ascii="宋体" w:hAnsi="宋体"/>
          <w:b/>
          <w:sz w:val="24"/>
        </w:rPr>
        <w:t>20. 政府采购政策</w:t>
      </w:r>
    </w:p>
    <w:p w14:paraId="01D1F6DC">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222CFF93">
      <w:pPr>
        <w:autoSpaceDE w:val="0"/>
        <w:autoSpaceDN w:val="0"/>
        <w:adjustRightInd w:val="0"/>
        <w:snapToGrid w:val="0"/>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02E5314F">
      <w:pPr>
        <w:autoSpaceDE w:val="0"/>
        <w:autoSpaceDN w:val="0"/>
        <w:adjustRightInd w:val="0"/>
        <w:snapToGrid w:val="0"/>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77C4458">
      <w:pPr>
        <w:autoSpaceDE w:val="0"/>
        <w:autoSpaceDN w:val="0"/>
        <w:adjustRightInd w:val="0"/>
        <w:snapToGrid w:val="0"/>
        <w:spacing w:line="400" w:lineRule="exact"/>
        <w:jc w:val="left"/>
        <w:rPr>
          <w:rFonts w:ascii="宋体" w:hAnsi="宋体"/>
          <w:b/>
          <w:sz w:val="24"/>
        </w:rPr>
      </w:pPr>
      <w:r>
        <w:rPr>
          <w:rFonts w:hint="eastAsia" w:ascii="宋体" w:hAnsi="宋体"/>
          <w:b/>
          <w:sz w:val="24"/>
        </w:rPr>
        <w:t>21. 法律适用</w:t>
      </w:r>
    </w:p>
    <w:p w14:paraId="5212DB3D">
      <w:pPr>
        <w:pStyle w:val="179"/>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0D22FA6A">
      <w:pPr>
        <w:pStyle w:val="179"/>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7C0DA48D">
      <w:pPr>
        <w:autoSpaceDE w:val="0"/>
        <w:autoSpaceDN w:val="0"/>
        <w:adjustRightInd w:val="0"/>
        <w:snapToGrid w:val="0"/>
        <w:spacing w:line="400" w:lineRule="exact"/>
        <w:jc w:val="left"/>
        <w:rPr>
          <w:rFonts w:ascii="宋体" w:hAnsi="宋体"/>
          <w:b/>
          <w:sz w:val="24"/>
        </w:rPr>
      </w:pPr>
      <w:r>
        <w:rPr>
          <w:rFonts w:hint="eastAsia" w:ascii="宋体" w:hAnsi="宋体"/>
          <w:b/>
          <w:sz w:val="24"/>
        </w:rPr>
        <w:t>22. 通知</w:t>
      </w:r>
    </w:p>
    <w:p w14:paraId="7244480D">
      <w:pPr>
        <w:pStyle w:val="179"/>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04CE5E61">
      <w:pPr>
        <w:pStyle w:val="179"/>
        <w:ind w:firstLine="0" w:firstLineChars="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7252C77E">
      <w:pPr>
        <w:adjustRightInd w:val="0"/>
        <w:snapToGrid w:val="0"/>
        <w:spacing w:line="400" w:lineRule="exact"/>
        <w:ind w:firstLine="420" w:firstLineChars="20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1772EF15">
      <w:pPr>
        <w:adjustRightInd w:val="0"/>
        <w:snapToGrid w:val="0"/>
        <w:spacing w:line="400" w:lineRule="exact"/>
        <w:ind w:firstLine="420" w:firstLineChars="200"/>
        <w:jc w:val="left"/>
        <w:rPr>
          <w:rFonts w:ascii="宋体" w:hAnsi="宋体"/>
          <w:szCs w:val="21"/>
        </w:rPr>
      </w:pPr>
      <w:r>
        <w:rPr>
          <w:rFonts w:hint="eastAsia" w:ascii="宋体" w:hAnsi="宋体"/>
          <w:szCs w:val="21"/>
        </w:rPr>
        <w:t>22.4通知以送达之日或通知书中规定的生效之日起生效，两者中以较迟之日为准。</w:t>
      </w:r>
    </w:p>
    <w:p w14:paraId="624CAAD9">
      <w:pPr>
        <w:numPr>
          <w:ilvl w:val="0"/>
          <w:numId w:val="21"/>
        </w:numPr>
        <w:adjustRightInd w:val="0"/>
        <w:snapToGrid w:val="0"/>
        <w:spacing w:line="400" w:lineRule="exact"/>
        <w:jc w:val="left"/>
        <w:rPr>
          <w:rFonts w:ascii="宋体" w:hAnsi="宋体"/>
          <w:b/>
          <w:bCs/>
          <w:sz w:val="24"/>
        </w:rPr>
      </w:pPr>
      <w:r>
        <w:rPr>
          <w:rFonts w:hint="eastAsia" w:ascii="宋体" w:hAnsi="宋体"/>
          <w:b/>
          <w:bCs/>
          <w:sz w:val="24"/>
        </w:rPr>
        <w:t>合同未尽事项</w:t>
      </w:r>
    </w:p>
    <w:p w14:paraId="12C29CF0">
      <w:pPr>
        <w:adjustRightInd w:val="0"/>
        <w:snapToGrid w:val="0"/>
        <w:spacing w:line="400" w:lineRule="exact"/>
        <w:ind w:firstLine="420" w:firstLineChars="20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7F5EC503">
      <w:pPr>
        <w:adjustRightInd w:val="0"/>
        <w:snapToGrid w:val="0"/>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bookmarkStart w:id="760" w:name="_Toc20313"/>
    </w:p>
    <w:p w14:paraId="07B11A6D">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r>
        <w:rPr>
          <w:rFonts w:hint="eastAsia" w:ascii="黑体" w:hAnsi="华文中宋" w:eastAsia="黑体"/>
          <w:sz w:val="28"/>
          <w:szCs w:val="28"/>
        </w:rPr>
        <w:t>第三节 政府采购合同专用条款</w:t>
      </w:r>
      <w:bookmarkEnd w:id="760"/>
    </w:p>
    <w:tbl>
      <w:tblPr>
        <w:tblStyle w:val="47"/>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1B9A3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5FD34EB3">
            <w:pPr>
              <w:adjustRightInd w:val="0"/>
              <w:snapToGrid w:val="0"/>
              <w:jc w:val="center"/>
              <w:rPr>
                <w:rFonts w:ascii="宋体" w:hAnsi="宋体"/>
                <w:szCs w:val="21"/>
              </w:rPr>
            </w:pPr>
            <w:r>
              <w:rPr>
                <w:rFonts w:hint="eastAsia" w:ascii="宋体" w:hAnsi="宋体"/>
                <w:szCs w:val="21"/>
              </w:rPr>
              <w:t>第二节</w:t>
            </w:r>
          </w:p>
          <w:p w14:paraId="0C0B9F3A">
            <w:pPr>
              <w:adjustRightInd w:val="0"/>
              <w:snapToGrid w:val="0"/>
              <w:jc w:val="center"/>
              <w:rPr>
                <w:rFonts w:ascii="宋体" w:hAnsi="宋体"/>
                <w:szCs w:val="21"/>
              </w:rPr>
            </w:pPr>
            <w:r>
              <w:rPr>
                <w:rFonts w:hint="eastAsia" w:ascii="宋体" w:hAnsi="宋体"/>
                <w:szCs w:val="21"/>
              </w:rPr>
              <w:t>第1.2（6）项</w:t>
            </w:r>
          </w:p>
        </w:tc>
        <w:tc>
          <w:tcPr>
            <w:tcW w:w="1742" w:type="dxa"/>
            <w:vAlign w:val="center"/>
          </w:tcPr>
          <w:p w14:paraId="6F69D493">
            <w:pPr>
              <w:adjustRightInd w:val="0"/>
              <w:snapToGrid w:val="0"/>
              <w:jc w:val="left"/>
              <w:rPr>
                <w:rFonts w:ascii="宋体" w:hAnsi="宋体"/>
                <w:szCs w:val="21"/>
              </w:rPr>
            </w:pPr>
            <w:r>
              <w:rPr>
                <w:rFonts w:hint="eastAsia" w:ascii="宋体" w:hAnsi="宋体"/>
                <w:szCs w:val="21"/>
              </w:rPr>
              <w:t>联合体具体要求</w:t>
            </w:r>
          </w:p>
        </w:tc>
        <w:tc>
          <w:tcPr>
            <w:tcW w:w="5170" w:type="dxa"/>
            <w:vAlign w:val="center"/>
          </w:tcPr>
          <w:p w14:paraId="3B64577C">
            <w:pPr>
              <w:adjustRightInd w:val="0"/>
              <w:snapToGrid w:val="0"/>
              <w:jc w:val="left"/>
              <w:rPr>
                <w:rFonts w:ascii="宋体" w:hAnsi="宋体"/>
                <w:szCs w:val="21"/>
              </w:rPr>
            </w:pPr>
            <w:r>
              <w:rPr>
                <w:rFonts w:hint="eastAsia" w:ascii="宋体" w:hAnsi="宋体"/>
                <w:szCs w:val="21"/>
              </w:rPr>
              <w:t>/</w:t>
            </w:r>
          </w:p>
        </w:tc>
      </w:tr>
      <w:tr w14:paraId="2F460B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vAlign w:val="center"/>
          </w:tcPr>
          <w:p w14:paraId="05D1F212">
            <w:pPr>
              <w:adjustRightInd w:val="0"/>
              <w:snapToGrid w:val="0"/>
              <w:jc w:val="center"/>
              <w:rPr>
                <w:rFonts w:ascii="宋体" w:hAnsi="宋体"/>
                <w:szCs w:val="21"/>
              </w:rPr>
            </w:pPr>
            <w:r>
              <w:rPr>
                <w:rFonts w:hint="eastAsia" w:ascii="宋体" w:hAnsi="宋体"/>
                <w:szCs w:val="21"/>
              </w:rPr>
              <w:t>第二节</w:t>
            </w:r>
          </w:p>
          <w:p w14:paraId="6CBC55F6">
            <w:pPr>
              <w:adjustRightInd w:val="0"/>
              <w:snapToGrid w:val="0"/>
              <w:jc w:val="center"/>
              <w:rPr>
                <w:rFonts w:ascii="宋体" w:hAnsi="宋体"/>
                <w:szCs w:val="21"/>
              </w:rPr>
            </w:pPr>
            <w:r>
              <w:rPr>
                <w:rFonts w:hint="eastAsia" w:ascii="宋体" w:hAnsi="宋体"/>
                <w:szCs w:val="21"/>
              </w:rPr>
              <w:t>第1.2（7）项</w:t>
            </w:r>
          </w:p>
        </w:tc>
        <w:tc>
          <w:tcPr>
            <w:tcW w:w="1742" w:type="dxa"/>
            <w:vAlign w:val="center"/>
          </w:tcPr>
          <w:p w14:paraId="6874A2B5">
            <w:pPr>
              <w:adjustRightInd w:val="0"/>
              <w:snapToGrid w:val="0"/>
              <w:jc w:val="left"/>
              <w:rPr>
                <w:rFonts w:ascii="宋体" w:hAnsi="宋体"/>
                <w:szCs w:val="21"/>
              </w:rPr>
            </w:pPr>
            <w:r>
              <w:rPr>
                <w:rFonts w:hint="eastAsia" w:ascii="宋体" w:hAnsi="宋体"/>
                <w:szCs w:val="21"/>
              </w:rPr>
              <w:t>其他术语解释</w:t>
            </w:r>
          </w:p>
        </w:tc>
        <w:tc>
          <w:tcPr>
            <w:tcW w:w="5170" w:type="dxa"/>
            <w:vAlign w:val="center"/>
          </w:tcPr>
          <w:p w14:paraId="0B364923">
            <w:pPr>
              <w:adjustRightInd w:val="0"/>
              <w:snapToGrid w:val="0"/>
              <w:jc w:val="left"/>
              <w:rPr>
                <w:rFonts w:ascii="宋体" w:hAnsi="宋体"/>
                <w:szCs w:val="21"/>
              </w:rPr>
            </w:pPr>
            <w:r>
              <w:rPr>
                <w:rFonts w:hint="eastAsia" w:ascii="宋体" w:hAnsi="宋体"/>
                <w:szCs w:val="21"/>
              </w:rPr>
              <w:t>/</w:t>
            </w:r>
          </w:p>
        </w:tc>
      </w:tr>
      <w:tr w14:paraId="5AF719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06C728D">
            <w:pPr>
              <w:adjustRightInd w:val="0"/>
              <w:snapToGrid w:val="0"/>
              <w:jc w:val="center"/>
              <w:rPr>
                <w:rFonts w:ascii="宋体" w:hAnsi="宋体"/>
                <w:szCs w:val="21"/>
              </w:rPr>
            </w:pPr>
            <w:r>
              <w:rPr>
                <w:rFonts w:hint="eastAsia" w:ascii="宋体" w:hAnsi="宋体"/>
                <w:szCs w:val="21"/>
              </w:rPr>
              <w:t>第二节</w:t>
            </w:r>
          </w:p>
          <w:p w14:paraId="6BCAB87C">
            <w:pPr>
              <w:adjustRightInd w:val="0"/>
              <w:snapToGrid w:val="0"/>
              <w:jc w:val="center"/>
              <w:rPr>
                <w:rFonts w:ascii="宋体" w:hAnsi="宋体"/>
                <w:szCs w:val="21"/>
              </w:rPr>
            </w:pPr>
            <w:r>
              <w:rPr>
                <w:rFonts w:hint="eastAsia" w:ascii="宋体" w:hAnsi="宋体"/>
                <w:szCs w:val="21"/>
              </w:rPr>
              <w:t>第4.4款</w:t>
            </w:r>
          </w:p>
        </w:tc>
        <w:tc>
          <w:tcPr>
            <w:tcW w:w="1742" w:type="dxa"/>
            <w:vAlign w:val="center"/>
          </w:tcPr>
          <w:p w14:paraId="1F0E71BA">
            <w:pPr>
              <w:adjustRightInd w:val="0"/>
              <w:snapToGrid w:val="0"/>
              <w:jc w:val="left"/>
              <w:rPr>
                <w:rFonts w:ascii="宋体" w:hAnsi="宋体"/>
                <w:szCs w:val="21"/>
              </w:rPr>
            </w:pPr>
            <w:r>
              <w:rPr>
                <w:rFonts w:hint="eastAsia" w:ascii="宋体" w:hAnsi="宋体"/>
                <w:szCs w:val="21"/>
              </w:rPr>
              <w:t>履约验收中甲方提出异议或作出说明的期限</w:t>
            </w:r>
          </w:p>
        </w:tc>
        <w:tc>
          <w:tcPr>
            <w:tcW w:w="5170" w:type="dxa"/>
            <w:vAlign w:val="center"/>
          </w:tcPr>
          <w:p w14:paraId="50356938">
            <w:pPr>
              <w:adjustRightInd w:val="0"/>
              <w:snapToGrid w:val="0"/>
              <w:jc w:val="left"/>
              <w:rPr>
                <w:rFonts w:ascii="宋体" w:hAnsi="宋体"/>
                <w:szCs w:val="21"/>
              </w:rPr>
            </w:pPr>
            <w:r>
              <w:rPr>
                <w:rFonts w:hint="eastAsia" w:ascii="宋体" w:hAnsi="宋体"/>
                <w:szCs w:val="21"/>
              </w:rPr>
              <w:t>验收之日起30日历天内提出</w:t>
            </w:r>
          </w:p>
        </w:tc>
      </w:tr>
      <w:tr w14:paraId="56340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A82B0C6">
            <w:pPr>
              <w:adjustRightInd w:val="0"/>
              <w:snapToGrid w:val="0"/>
              <w:jc w:val="center"/>
              <w:rPr>
                <w:rFonts w:ascii="宋体" w:hAnsi="宋体"/>
                <w:szCs w:val="21"/>
              </w:rPr>
            </w:pPr>
            <w:r>
              <w:rPr>
                <w:rFonts w:hint="eastAsia" w:ascii="宋体" w:hAnsi="宋体"/>
                <w:szCs w:val="21"/>
              </w:rPr>
              <w:t>第二节</w:t>
            </w:r>
          </w:p>
          <w:p w14:paraId="071A3E14">
            <w:pPr>
              <w:adjustRightInd w:val="0"/>
              <w:snapToGrid w:val="0"/>
              <w:jc w:val="center"/>
              <w:rPr>
                <w:rFonts w:ascii="宋体" w:hAnsi="宋体"/>
                <w:szCs w:val="21"/>
              </w:rPr>
            </w:pPr>
            <w:r>
              <w:rPr>
                <w:rFonts w:hint="eastAsia" w:ascii="宋体" w:hAnsi="宋体"/>
                <w:szCs w:val="21"/>
              </w:rPr>
              <w:t>第4.6款</w:t>
            </w:r>
          </w:p>
        </w:tc>
        <w:tc>
          <w:tcPr>
            <w:tcW w:w="1742" w:type="dxa"/>
            <w:vAlign w:val="center"/>
          </w:tcPr>
          <w:p w14:paraId="44297CA5">
            <w:pPr>
              <w:adjustRightInd w:val="0"/>
              <w:snapToGrid w:val="0"/>
              <w:jc w:val="left"/>
              <w:rPr>
                <w:rFonts w:ascii="宋体" w:hAnsi="宋体"/>
                <w:szCs w:val="21"/>
              </w:rPr>
            </w:pPr>
            <w:r>
              <w:rPr>
                <w:rFonts w:hint="eastAsia" w:ascii="宋体" w:hAnsi="宋体"/>
                <w:szCs w:val="21"/>
              </w:rPr>
              <w:t>约定甲方承担的其他义务和责任</w:t>
            </w:r>
          </w:p>
        </w:tc>
        <w:tc>
          <w:tcPr>
            <w:tcW w:w="5170" w:type="dxa"/>
            <w:vAlign w:val="center"/>
          </w:tcPr>
          <w:p w14:paraId="47E117CA">
            <w:pPr>
              <w:adjustRightInd w:val="0"/>
              <w:snapToGrid w:val="0"/>
              <w:jc w:val="left"/>
              <w:rPr>
                <w:rFonts w:ascii="宋体" w:hAnsi="宋体"/>
                <w:szCs w:val="21"/>
              </w:rPr>
            </w:pPr>
            <w:r>
              <w:rPr>
                <w:rFonts w:hint="eastAsia" w:ascii="宋体" w:hAnsi="宋体"/>
                <w:szCs w:val="21"/>
              </w:rPr>
              <w:t>/</w:t>
            </w:r>
          </w:p>
        </w:tc>
      </w:tr>
      <w:tr w14:paraId="51B718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1D66B58">
            <w:pPr>
              <w:adjustRightInd w:val="0"/>
              <w:snapToGrid w:val="0"/>
              <w:jc w:val="center"/>
              <w:rPr>
                <w:rFonts w:ascii="宋体" w:hAnsi="宋体"/>
                <w:szCs w:val="21"/>
              </w:rPr>
            </w:pPr>
            <w:r>
              <w:rPr>
                <w:rFonts w:hint="eastAsia" w:ascii="宋体" w:hAnsi="宋体"/>
                <w:szCs w:val="21"/>
              </w:rPr>
              <w:t>第二节</w:t>
            </w:r>
          </w:p>
          <w:p w14:paraId="7DB52575">
            <w:pPr>
              <w:snapToGrid w:val="0"/>
              <w:jc w:val="center"/>
              <w:rPr>
                <w:rFonts w:ascii="Calibri" w:hAnsi="Calibri"/>
              </w:rPr>
            </w:pPr>
            <w:r>
              <w:rPr>
                <w:rFonts w:hint="eastAsia" w:ascii="宋体" w:hAnsi="宋体"/>
                <w:szCs w:val="21"/>
              </w:rPr>
              <w:t>第5.4款</w:t>
            </w:r>
          </w:p>
        </w:tc>
        <w:tc>
          <w:tcPr>
            <w:tcW w:w="1742" w:type="dxa"/>
            <w:vAlign w:val="center"/>
          </w:tcPr>
          <w:p w14:paraId="71069C42">
            <w:pPr>
              <w:adjustRightInd w:val="0"/>
              <w:snapToGrid w:val="0"/>
              <w:jc w:val="left"/>
              <w:rPr>
                <w:rFonts w:ascii="宋体" w:hAnsi="宋体"/>
                <w:szCs w:val="21"/>
              </w:rPr>
            </w:pPr>
            <w:r>
              <w:rPr>
                <w:rFonts w:hint="eastAsia" w:ascii="宋体" w:hAnsi="宋体"/>
                <w:szCs w:val="21"/>
              </w:rPr>
              <w:t>约定乙方承担的其他义务和责任</w:t>
            </w:r>
          </w:p>
        </w:tc>
        <w:tc>
          <w:tcPr>
            <w:tcW w:w="5170" w:type="dxa"/>
            <w:vAlign w:val="center"/>
          </w:tcPr>
          <w:p w14:paraId="7B177976">
            <w:pPr>
              <w:adjustRightInd w:val="0"/>
              <w:snapToGrid w:val="0"/>
              <w:jc w:val="left"/>
              <w:rPr>
                <w:rFonts w:ascii="宋体" w:hAnsi="宋体"/>
                <w:szCs w:val="21"/>
              </w:rPr>
            </w:pPr>
            <w:r>
              <w:rPr>
                <w:rFonts w:hint="eastAsia" w:ascii="宋体" w:hAnsi="宋体"/>
                <w:szCs w:val="21"/>
              </w:rPr>
              <w:t>/</w:t>
            </w:r>
          </w:p>
        </w:tc>
      </w:tr>
      <w:tr w14:paraId="5F5F04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1F0F168">
            <w:pPr>
              <w:adjustRightInd w:val="0"/>
              <w:snapToGrid w:val="0"/>
              <w:jc w:val="center"/>
              <w:rPr>
                <w:rFonts w:ascii="宋体" w:hAnsi="宋体"/>
                <w:szCs w:val="21"/>
              </w:rPr>
            </w:pPr>
            <w:r>
              <w:rPr>
                <w:rFonts w:hint="eastAsia" w:ascii="宋体" w:hAnsi="宋体"/>
                <w:szCs w:val="21"/>
              </w:rPr>
              <w:t>第二节</w:t>
            </w:r>
          </w:p>
          <w:p w14:paraId="7BA28AC3">
            <w:pPr>
              <w:snapToGrid w:val="0"/>
              <w:jc w:val="center"/>
              <w:rPr>
                <w:rFonts w:ascii="宋体" w:hAnsi="宋体"/>
                <w:szCs w:val="21"/>
              </w:rPr>
            </w:pPr>
            <w:r>
              <w:rPr>
                <w:rFonts w:hint="eastAsia" w:ascii="宋体" w:hAnsi="宋体"/>
                <w:szCs w:val="21"/>
              </w:rPr>
              <w:t>第6.1款</w:t>
            </w:r>
          </w:p>
        </w:tc>
        <w:tc>
          <w:tcPr>
            <w:tcW w:w="1742" w:type="dxa"/>
            <w:vAlign w:val="center"/>
          </w:tcPr>
          <w:p w14:paraId="413AE3D2">
            <w:pPr>
              <w:adjustRightInd w:val="0"/>
              <w:snapToGrid w:val="0"/>
              <w:jc w:val="left"/>
              <w:rPr>
                <w:rFonts w:ascii="宋体" w:hAnsi="宋体"/>
                <w:szCs w:val="21"/>
              </w:rPr>
            </w:pPr>
            <w:r>
              <w:rPr>
                <w:rFonts w:hint="eastAsia" w:ascii="宋体" w:hAnsi="宋体"/>
                <w:szCs w:val="21"/>
              </w:rPr>
              <w:t>履行合同义务的顺序</w:t>
            </w:r>
          </w:p>
        </w:tc>
        <w:tc>
          <w:tcPr>
            <w:tcW w:w="5170" w:type="dxa"/>
            <w:vAlign w:val="center"/>
          </w:tcPr>
          <w:p w14:paraId="5AD0A24F">
            <w:pPr>
              <w:adjustRightInd w:val="0"/>
              <w:snapToGrid w:val="0"/>
              <w:jc w:val="left"/>
              <w:rPr>
                <w:rFonts w:ascii="宋体" w:hAnsi="宋体"/>
                <w:szCs w:val="21"/>
              </w:rPr>
            </w:pPr>
            <w:r>
              <w:rPr>
                <w:rFonts w:hint="eastAsia" w:ascii="宋体" w:hAnsi="宋体"/>
                <w:szCs w:val="21"/>
              </w:rPr>
              <w:t>/</w:t>
            </w:r>
          </w:p>
        </w:tc>
      </w:tr>
      <w:tr w14:paraId="413CFF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vAlign w:val="center"/>
          </w:tcPr>
          <w:p w14:paraId="148FCFD7">
            <w:pPr>
              <w:adjustRightInd w:val="0"/>
              <w:snapToGrid w:val="0"/>
              <w:jc w:val="center"/>
              <w:rPr>
                <w:rFonts w:ascii="宋体" w:hAnsi="宋体"/>
                <w:szCs w:val="21"/>
              </w:rPr>
            </w:pPr>
            <w:r>
              <w:rPr>
                <w:rFonts w:hint="eastAsia" w:ascii="宋体" w:hAnsi="宋体"/>
                <w:szCs w:val="21"/>
              </w:rPr>
              <w:t>第二节</w:t>
            </w:r>
          </w:p>
          <w:p w14:paraId="1A9FB568">
            <w:pPr>
              <w:adjustRightInd w:val="0"/>
              <w:snapToGrid w:val="0"/>
              <w:jc w:val="center"/>
              <w:rPr>
                <w:rFonts w:ascii="宋体" w:hAnsi="宋体"/>
                <w:szCs w:val="21"/>
              </w:rPr>
            </w:pPr>
            <w:r>
              <w:rPr>
                <w:rFonts w:hint="eastAsia" w:ascii="宋体" w:hAnsi="宋体"/>
                <w:szCs w:val="21"/>
              </w:rPr>
              <w:t>第7.1款</w:t>
            </w:r>
          </w:p>
        </w:tc>
        <w:tc>
          <w:tcPr>
            <w:tcW w:w="1742" w:type="dxa"/>
            <w:vAlign w:val="center"/>
          </w:tcPr>
          <w:p w14:paraId="1FE3D4BC">
            <w:pPr>
              <w:adjustRightInd w:val="0"/>
              <w:snapToGrid w:val="0"/>
              <w:jc w:val="left"/>
              <w:rPr>
                <w:rFonts w:ascii="宋体" w:hAnsi="宋体"/>
                <w:szCs w:val="21"/>
              </w:rPr>
            </w:pPr>
            <w:r>
              <w:rPr>
                <w:rFonts w:hint="eastAsia" w:ascii="宋体" w:hAnsi="宋体"/>
                <w:szCs w:val="21"/>
              </w:rPr>
              <w:t>包装特殊要求</w:t>
            </w:r>
          </w:p>
        </w:tc>
        <w:tc>
          <w:tcPr>
            <w:tcW w:w="5170" w:type="dxa"/>
            <w:vAlign w:val="center"/>
          </w:tcPr>
          <w:p w14:paraId="547D5286">
            <w:pPr>
              <w:rPr>
                <w:rFonts w:ascii="Calibri" w:hAnsi="Calibri"/>
              </w:rPr>
            </w:pPr>
            <w:r>
              <w:rPr>
                <w:rFonts w:hint="eastAsia" w:ascii="Calibri" w:hAnsi="Calibri"/>
              </w:rPr>
              <w:t>/</w:t>
            </w:r>
          </w:p>
        </w:tc>
      </w:tr>
      <w:tr w14:paraId="1B724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vAlign w:val="center"/>
          </w:tcPr>
          <w:p w14:paraId="5C30D87B">
            <w:pPr>
              <w:adjustRightInd w:val="0"/>
              <w:snapToGrid w:val="0"/>
              <w:jc w:val="center"/>
              <w:rPr>
                <w:rFonts w:ascii="宋体" w:hAnsi="宋体"/>
                <w:szCs w:val="21"/>
              </w:rPr>
            </w:pPr>
          </w:p>
        </w:tc>
        <w:tc>
          <w:tcPr>
            <w:tcW w:w="1742" w:type="dxa"/>
            <w:vAlign w:val="center"/>
          </w:tcPr>
          <w:p w14:paraId="6D1088E6">
            <w:pPr>
              <w:adjustRightInd w:val="0"/>
              <w:snapToGrid w:val="0"/>
              <w:jc w:val="left"/>
              <w:rPr>
                <w:rFonts w:ascii="宋体" w:hAnsi="宋体"/>
                <w:szCs w:val="21"/>
              </w:rPr>
            </w:pPr>
            <w:r>
              <w:rPr>
                <w:rFonts w:hint="eastAsia" w:ascii="宋体" w:hAnsi="宋体"/>
                <w:szCs w:val="21"/>
              </w:rPr>
              <w:t>指定现场</w:t>
            </w:r>
          </w:p>
        </w:tc>
        <w:tc>
          <w:tcPr>
            <w:tcW w:w="5170" w:type="dxa"/>
            <w:vAlign w:val="center"/>
          </w:tcPr>
          <w:p w14:paraId="6E06B4C2">
            <w:pPr>
              <w:rPr>
                <w:rFonts w:ascii="Calibri" w:hAnsi="Calibri"/>
              </w:rPr>
            </w:pPr>
            <w:r>
              <w:rPr>
                <w:rFonts w:hint="eastAsia" w:ascii="Calibri" w:hAnsi="Calibri"/>
              </w:rPr>
              <w:t>采购人指定地点</w:t>
            </w:r>
          </w:p>
        </w:tc>
      </w:tr>
      <w:tr w14:paraId="636DC2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vAlign w:val="center"/>
          </w:tcPr>
          <w:p w14:paraId="5AAD7AB5">
            <w:pPr>
              <w:adjustRightInd w:val="0"/>
              <w:snapToGrid w:val="0"/>
              <w:jc w:val="center"/>
              <w:rPr>
                <w:rFonts w:ascii="宋体" w:hAnsi="宋体"/>
                <w:szCs w:val="21"/>
              </w:rPr>
            </w:pPr>
            <w:r>
              <w:rPr>
                <w:rFonts w:hint="eastAsia" w:ascii="宋体" w:hAnsi="宋体"/>
                <w:szCs w:val="21"/>
              </w:rPr>
              <w:t>第二节</w:t>
            </w:r>
          </w:p>
          <w:p w14:paraId="1F6A993B">
            <w:pPr>
              <w:adjustRightInd w:val="0"/>
              <w:snapToGrid w:val="0"/>
              <w:jc w:val="center"/>
              <w:rPr>
                <w:rFonts w:ascii="宋体" w:hAnsi="宋体"/>
                <w:szCs w:val="21"/>
              </w:rPr>
            </w:pPr>
            <w:r>
              <w:rPr>
                <w:rFonts w:hint="eastAsia" w:ascii="宋体" w:hAnsi="宋体"/>
                <w:szCs w:val="21"/>
              </w:rPr>
              <w:t>第7.2款</w:t>
            </w:r>
          </w:p>
        </w:tc>
        <w:tc>
          <w:tcPr>
            <w:tcW w:w="1742" w:type="dxa"/>
            <w:vAlign w:val="center"/>
          </w:tcPr>
          <w:p w14:paraId="766B0754">
            <w:pPr>
              <w:adjustRightInd w:val="0"/>
              <w:snapToGrid w:val="0"/>
              <w:jc w:val="left"/>
              <w:rPr>
                <w:rFonts w:ascii="宋体" w:hAnsi="宋体"/>
                <w:szCs w:val="21"/>
              </w:rPr>
            </w:pPr>
            <w:r>
              <w:rPr>
                <w:rFonts w:hint="eastAsia" w:ascii="宋体" w:hAnsi="宋体"/>
                <w:szCs w:val="21"/>
              </w:rPr>
              <w:t>运输特殊要求</w:t>
            </w:r>
          </w:p>
        </w:tc>
        <w:tc>
          <w:tcPr>
            <w:tcW w:w="5170" w:type="dxa"/>
            <w:vAlign w:val="center"/>
          </w:tcPr>
          <w:p w14:paraId="53C6E757">
            <w:pPr>
              <w:rPr>
                <w:rFonts w:ascii="Calibri" w:hAnsi="Calibri"/>
              </w:rPr>
            </w:pPr>
            <w:r>
              <w:rPr>
                <w:rFonts w:hint="eastAsia" w:ascii="Calibri" w:hAnsi="Calibri"/>
              </w:rPr>
              <w:t>/</w:t>
            </w:r>
          </w:p>
        </w:tc>
      </w:tr>
      <w:tr w14:paraId="4C3958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Align w:val="center"/>
          </w:tcPr>
          <w:p w14:paraId="1C92ECE9">
            <w:pPr>
              <w:adjustRightInd w:val="0"/>
              <w:snapToGrid w:val="0"/>
              <w:jc w:val="center"/>
              <w:rPr>
                <w:rFonts w:ascii="宋体" w:hAnsi="宋体"/>
                <w:szCs w:val="21"/>
              </w:rPr>
            </w:pPr>
            <w:r>
              <w:rPr>
                <w:rFonts w:hint="eastAsia" w:ascii="宋体" w:hAnsi="宋体"/>
                <w:szCs w:val="21"/>
              </w:rPr>
              <w:t>第二节</w:t>
            </w:r>
          </w:p>
          <w:p w14:paraId="5CF2667E">
            <w:pPr>
              <w:adjustRightInd w:val="0"/>
              <w:snapToGrid w:val="0"/>
              <w:jc w:val="center"/>
              <w:rPr>
                <w:rFonts w:ascii="宋体" w:hAnsi="宋体"/>
                <w:szCs w:val="21"/>
              </w:rPr>
            </w:pPr>
            <w:r>
              <w:rPr>
                <w:rFonts w:hint="eastAsia" w:ascii="宋体" w:hAnsi="宋体"/>
                <w:szCs w:val="21"/>
              </w:rPr>
              <w:t>第7.3款</w:t>
            </w:r>
          </w:p>
        </w:tc>
        <w:tc>
          <w:tcPr>
            <w:tcW w:w="1742" w:type="dxa"/>
            <w:vAlign w:val="center"/>
          </w:tcPr>
          <w:p w14:paraId="2455CE27">
            <w:pPr>
              <w:adjustRightInd w:val="0"/>
              <w:snapToGrid w:val="0"/>
              <w:jc w:val="left"/>
              <w:rPr>
                <w:rFonts w:ascii="宋体" w:hAnsi="宋体"/>
                <w:szCs w:val="21"/>
              </w:rPr>
            </w:pPr>
            <w:r>
              <w:rPr>
                <w:rFonts w:hint="eastAsia" w:ascii="宋体" w:hAnsi="宋体"/>
                <w:szCs w:val="21"/>
              </w:rPr>
              <w:t>保险要求</w:t>
            </w:r>
          </w:p>
        </w:tc>
        <w:tc>
          <w:tcPr>
            <w:tcW w:w="5170" w:type="dxa"/>
            <w:vAlign w:val="center"/>
          </w:tcPr>
          <w:p w14:paraId="43DC0B68">
            <w:pPr>
              <w:rPr>
                <w:rFonts w:ascii="Calibri" w:hAnsi="Calibri"/>
              </w:rPr>
            </w:pPr>
            <w:r>
              <w:rPr>
                <w:rFonts w:hint="eastAsia" w:ascii="Calibri" w:hAnsi="Calibri"/>
              </w:rPr>
              <w:t>/</w:t>
            </w:r>
          </w:p>
        </w:tc>
      </w:tr>
      <w:tr w14:paraId="71F486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5C4E0AEA">
            <w:pPr>
              <w:adjustRightInd w:val="0"/>
              <w:snapToGrid w:val="0"/>
              <w:jc w:val="center"/>
              <w:rPr>
                <w:rFonts w:ascii="宋体" w:hAnsi="宋体"/>
                <w:szCs w:val="21"/>
              </w:rPr>
            </w:pPr>
            <w:r>
              <w:rPr>
                <w:rFonts w:hint="eastAsia" w:ascii="宋体" w:hAnsi="宋体"/>
                <w:szCs w:val="21"/>
              </w:rPr>
              <w:t>第二节</w:t>
            </w:r>
          </w:p>
          <w:p w14:paraId="312A680A">
            <w:pPr>
              <w:adjustRightInd w:val="0"/>
              <w:snapToGrid w:val="0"/>
              <w:jc w:val="center"/>
              <w:rPr>
                <w:rFonts w:ascii="宋体" w:hAnsi="宋体"/>
                <w:szCs w:val="21"/>
              </w:rPr>
            </w:pPr>
            <w:r>
              <w:rPr>
                <w:rFonts w:hint="eastAsia" w:ascii="宋体" w:hAnsi="宋体"/>
                <w:szCs w:val="21"/>
              </w:rPr>
              <w:t>第8.2（1）项</w:t>
            </w:r>
          </w:p>
        </w:tc>
        <w:tc>
          <w:tcPr>
            <w:tcW w:w="1742" w:type="dxa"/>
            <w:vAlign w:val="center"/>
          </w:tcPr>
          <w:p w14:paraId="1B95D3F4">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072CBD52">
            <w:pPr>
              <w:autoSpaceDE w:val="0"/>
              <w:autoSpaceDN w:val="0"/>
              <w:adjustRightInd w:val="0"/>
              <w:snapToGrid w:val="0"/>
              <w:ind w:firstLine="420" w:firstLineChars="200"/>
              <w:jc w:val="left"/>
              <w:rPr>
                <w:rFonts w:ascii="宋体" w:hAnsi="宋体"/>
                <w:szCs w:val="21"/>
              </w:rPr>
            </w:pPr>
          </w:p>
        </w:tc>
      </w:tr>
      <w:tr w14:paraId="1102F5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B86D420">
            <w:pPr>
              <w:adjustRightInd w:val="0"/>
              <w:snapToGrid w:val="0"/>
              <w:jc w:val="center"/>
              <w:rPr>
                <w:rFonts w:ascii="宋体" w:hAnsi="宋体"/>
                <w:szCs w:val="21"/>
              </w:rPr>
            </w:pPr>
            <w:r>
              <w:rPr>
                <w:rFonts w:hint="eastAsia" w:ascii="宋体" w:hAnsi="宋体"/>
                <w:szCs w:val="21"/>
              </w:rPr>
              <w:t>第二节</w:t>
            </w:r>
          </w:p>
          <w:p w14:paraId="606C23FE">
            <w:pPr>
              <w:adjustRightInd w:val="0"/>
              <w:snapToGrid w:val="0"/>
              <w:jc w:val="center"/>
              <w:rPr>
                <w:rFonts w:ascii="宋体" w:hAnsi="宋体"/>
                <w:szCs w:val="21"/>
              </w:rPr>
            </w:pPr>
            <w:r>
              <w:rPr>
                <w:rFonts w:hint="eastAsia" w:ascii="宋体" w:hAnsi="宋体"/>
                <w:szCs w:val="21"/>
              </w:rPr>
              <w:t>第8.2（3）项</w:t>
            </w:r>
          </w:p>
        </w:tc>
        <w:tc>
          <w:tcPr>
            <w:tcW w:w="1742" w:type="dxa"/>
            <w:vAlign w:val="center"/>
          </w:tcPr>
          <w:p w14:paraId="325C29DB">
            <w:pPr>
              <w:adjustRightInd w:val="0"/>
              <w:snapToGrid w:val="0"/>
              <w:jc w:val="left"/>
              <w:rPr>
                <w:rFonts w:ascii="宋体" w:hAnsi="宋体"/>
                <w:szCs w:val="21"/>
              </w:rPr>
            </w:pPr>
            <w:r>
              <w:rPr>
                <w:rFonts w:hint="eastAsia" w:ascii="宋体" w:hAnsi="宋体"/>
                <w:szCs w:val="21"/>
              </w:rPr>
              <w:t>货物质量缺陷</w:t>
            </w:r>
          </w:p>
          <w:p w14:paraId="2CBADEF2">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4D3B0A0A">
            <w:pPr>
              <w:adjustRightInd w:val="0"/>
              <w:snapToGrid w:val="0"/>
              <w:jc w:val="left"/>
              <w:rPr>
                <w:rFonts w:ascii="宋体" w:hAnsi="宋体"/>
                <w:szCs w:val="21"/>
              </w:rPr>
            </w:pPr>
            <w:r>
              <w:rPr>
                <w:rFonts w:hint="eastAsia" w:ascii="宋体" w:hAnsi="宋体"/>
                <w:szCs w:val="21"/>
              </w:rPr>
              <w:t>24小时内到达现场解决</w:t>
            </w:r>
          </w:p>
        </w:tc>
      </w:tr>
      <w:tr w14:paraId="076DB5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F231CF1">
            <w:pPr>
              <w:snapToGrid w:val="0"/>
              <w:jc w:val="center"/>
              <w:rPr>
                <w:rFonts w:ascii="宋体" w:hAnsi="宋体" w:cs="宋体"/>
                <w:szCs w:val="21"/>
              </w:rPr>
            </w:pPr>
            <w:r>
              <w:rPr>
                <w:rFonts w:hint="eastAsia" w:ascii="宋体" w:hAnsi="宋体" w:cs="宋体"/>
                <w:szCs w:val="21"/>
              </w:rPr>
              <w:t>第二节</w:t>
            </w:r>
          </w:p>
          <w:p w14:paraId="2C54B7B2">
            <w:pPr>
              <w:pStyle w:val="179"/>
              <w:ind w:firstLine="0" w:firstLineChars="0"/>
              <w:jc w:val="center"/>
            </w:pPr>
            <w:r>
              <w:rPr>
                <w:rFonts w:hint="eastAsia" w:ascii="宋体" w:hAnsi="宋体" w:eastAsia="宋体" w:cs="宋体"/>
              </w:rPr>
              <w:t>第11.1款</w:t>
            </w:r>
          </w:p>
        </w:tc>
        <w:tc>
          <w:tcPr>
            <w:tcW w:w="1742" w:type="dxa"/>
            <w:vAlign w:val="center"/>
          </w:tcPr>
          <w:p w14:paraId="43E309B0">
            <w:pPr>
              <w:adjustRightInd w:val="0"/>
              <w:snapToGrid w:val="0"/>
              <w:rPr>
                <w:rFonts w:ascii="宋体" w:hAnsi="宋体"/>
                <w:szCs w:val="21"/>
              </w:rPr>
            </w:pPr>
            <w:r>
              <w:rPr>
                <w:rFonts w:hint="eastAsia" w:ascii="宋体" w:hAnsi="宋体"/>
                <w:szCs w:val="21"/>
              </w:rPr>
              <w:t>其他应当保密的信息</w:t>
            </w:r>
          </w:p>
        </w:tc>
        <w:tc>
          <w:tcPr>
            <w:tcW w:w="5170" w:type="dxa"/>
            <w:vAlign w:val="center"/>
          </w:tcPr>
          <w:p w14:paraId="333F66BD">
            <w:pPr>
              <w:adjustRightInd w:val="0"/>
              <w:snapToGrid w:val="0"/>
              <w:jc w:val="left"/>
              <w:rPr>
                <w:rFonts w:ascii="宋体" w:hAnsi="宋体"/>
                <w:szCs w:val="21"/>
              </w:rPr>
            </w:pPr>
            <w:r>
              <w:rPr>
                <w:rFonts w:hint="eastAsia" w:ascii="宋体" w:hAnsi="宋体"/>
                <w:szCs w:val="21"/>
              </w:rPr>
              <w:t>/</w:t>
            </w:r>
          </w:p>
        </w:tc>
      </w:tr>
      <w:tr w14:paraId="51DBE4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673E0B7C">
            <w:pPr>
              <w:adjustRightInd w:val="0"/>
              <w:snapToGrid w:val="0"/>
              <w:jc w:val="center"/>
              <w:rPr>
                <w:rFonts w:ascii="宋体" w:hAnsi="宋体"/>
                <w:szCs w:val="21"/>
              </w:rPr>
            </w:pPr>
            <w:r>
              <w:rPr>
                <w:rFonts w:hint="eastAsia" w:ascii="宋体" w:hAnsi="宋体"/>
                <w:szCs w:val="21"/>
              </w:rPr>
              <w:t>第二节</w:t>
            </w:r>
          </w:p>
          <w:p w14:paraId="108B1727">
            <w:pPr>
              <w:adjustRightInd w:val="0"/>
              <w:snapToGrid w:val="0"/>
              <w:jc w:val="center"/>
              <w:rPr>
                <w:rFonts w:ascii="宋体" w:hAnsi="宋体"/>
                <w:szCs w:val="21"/>
              </w:rPr>
            </w:pPr>
            <w:r>
              <w:rPr>
                <w:rFonts w:hint="eastAsia" w:ascii="宋体" w:hAnsi="宋体"/>
                <w:szCs w:val="21"/>
              </w:rPr>
              <w:t>第12.2款</w:t>
            </w:r>
          </w:p>
        </w:tc>
        <w:tc>
          <w:tcPr>
            <w:tcW w:w="1742" w:type="dxa"/>
            <w:vAlign w:val="center"/>
          </w:tcPr>
          <w:p w14:paraId="53EA8061">
            <w:pPr>
              <w:adjustRightInd w:val="0"/>
              <w:snapToGrid w:val="0"/>
              <w:jc w:val="left"/>
              <w:rPr>
                <w:rFonts w:ascii="宋体" w:hAnsi="宋体"/>
                <w:szCs w:val="21"/>
              </w:rPr>
            </w:pPr>
            <w:r>
              <w:rPr>
                <w:rFonts w:hint="eastAsia" w:ascii="宋体" w:hAnsi="宋体"/>
                <w:szCs w:val="21"/>
              </w:rPr>
              <w:t>合同价款支付时间</w:t>
            </w:r>
          </w:p>
        </w:tc>
        <w:tc>
          <w:tcPr>
            <w:tcW w:w="5170" w:type="dxa"/>
            <w:vAlign w:val="center"/>
          </w:tcPr>
          <w:p w14:paraId="3264B392">
            <w:pPr>
              <w:adjustRightInd w:val="0"/>
              <w:snapToGrid w:val="0"/>
              <w:jc w:val="left"/>
              <w:rPr>
                <w:rFonts w:ascii="宋体" w:hAnsi="宋体"/>
                <w:szCs w:val="21"/>
              </w:rPr>
            </w:pPr>
            <w:r>
              <w:rPr>
                <w:rFonts w:hint="eastAsia" w:ascii="宋体" w:hAnsi="宋体"/>
                <w:szCs w:val="21"/>
              </w:rPr>
              <w:t>货物验收合格后，乙方向甲方提交下列文件材料，经甲方审核无误后7个工作日内支付采购资金</w:t>
            </w:r>
          </w:p>
        </w:tc>
      </w:tr>
      <w:tr w14:paraId="2FED8F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58974F34">
            <w:pPr>
              <w:adjustRightInd w:val="0"/>
              <w:snapToGrid w:val="0"/>
              <w:jc w:val="center"/>
              <w:rPr>
                <w:rFonts w:ascii="宋体" w:hAnsi="宋体"/>
                <w:szCs w:val="21"/>
              </w:rPr>
            </w:pPr>
            <w:r>
              <w:rPr>
                <w:rFonts w:hint="eastAsia" w:ascii="宋体" w:hAnsi="宋体"/>
                <w:szCs w:val="21"/>
              </w:rPr>
              <w:t>第二节</w:t>
            </w:r>
          </w:p>
          <w:p w14:paraId="687D8497">
            <w:pPr>
              <w:adjustRightInd w:val="0"/>
              <w:snapToGrid w:val="0"/>
              <w:jc w:val="center"/>
              <w:rPr>
                <w:rFonts w:ascii="宋体" w:hAnsi="宋体"/>
                <w:szCs w:val="21"/>
              </w:rPr>
            </w:pPr>
            <w:r>
              <w:rPr>
                <w:rFonts w:hint="eastAsia" w:ascii="宋体" w:hAnsi="宋体"/>
                <w:szCs w:val="21"/>
              </w:rPr>
              <w:t>第13.2款</w:t>
            </w:r>
          </w:p>
        </w:tc>
        <w:tc>
          <w:tcPr>
            <w:tcW w:w="1742" w:type="dxa"/>
            <w:vAlign w:val="center"/>
          </w:tcPr>
          <w:p w14:paraId="1FECA782">
            <w:pPr>
              <w:adjustRightInd w:val="0"/>
              <w:snapToGrid w:val="0"/>
              <w:jc w:val="left"/>
              <w:rPr>
                <w:rFonts w:ascii="宋体" w:hAnsi="宋体"/>
                <w:szCs w:val="21"/>
              </w:rPr>
            </w:pPr>
            <w:r>
              <w:rPr>
                <w:rFonts w:hint="eastAsia" w:ascii="宋体" w:hAnsi="宋体"/>
                <w:szCs w:val="21"/>
              </w:rPr>
              <w:t>履约保证金不予退还的情形</w:t>
            </w:r>
          </w:p>
        </w:tc>
        <w:tc>
          <w:tcPr>
            <w:tcW w:w="5170" w:type="dxa"/>
            <w:vAlign w:val="center"/>
          </w:tcPr>
          <w:p w14:paraId="3ADA2C4D">
            <w:pPr>
              <w:adjustRightInd w:val="0"/>
              <w:snapToGrid w:val="0"/>
              <w:jc w:val="left"/>
              <w:rPr>
                <w:rFonts w:ascii="宋体" w:hAnsi="宋体"/>
                <w:szCs w:val="21"/>
              </w:rPr>
            </w:pPr>
            <w:r>
              <w:rPr>
                <w:rFonts w:hint="eastAsia" w:ascii="宋体" w:hAnsi="宋体"/>
                <w:szCs w:val="21"/>
              </w:rPr>
              <w:t>（1）乙方发生违约行为而完全终止合同；</w:t>
            </w:r>
          </w:p>
          <w:p w14:paraId="4AFDF30E">
            <w:pPr>
              <w:adjustRightInd w:val="0"/>
              <w:snapToGrid w:val="0"/>
              <w:jc w:val="left"/>
              <w:rPr>
                <w:rFonts w:ascii="宋体" w:hAnsi="宋体"/>
                <w:szCs w:val="21"/>
              </w:rPr>
            </w:pPr>
            <w:r>
              <w:rPr>
                <w:rFonts w:hint="eastAsia" w:ascii="宋体" w:hAnsi="宋体"/>
                <w:szCs w:val="21"/>
              </w:rPr>
              <w:t>（2）乙方不履行实质性的响应承诺。</w:t>
            </w:r>
          </w:p>
        </w:tc>
      </w:tr>
      <w:tr w14:paraId="4EB1DF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35E45C1">
            <w:pPr>
              <w:adjustRightInd w:val="0"/>
              <w:snapToGrid w:val="0"/>
              <w:jc w:val="center"/>
              <w:rPr>
                <w:rFonts w:ascii="宋体" w:hAnsi="宋体"/>
                <w:szCs w:val="21"/>
              </w:rPr>
            </w:pPr>
            <w:r>
              <w:rPr>
                <w:rFonts w:hint="eastAsia" w:ascii="宋体" w:hAnsi="宋体"/>
                <w:szCs w:val="21"/>
              </w:rPr>
              <w:t>第二节</w:t>
            </w:r>
          </w:p>
          <w:p w14:paraId="233A46EF">
            <w:pPr>
              <w:adjustRightInd w:val="0"/>
              <w:snapToGrid w:val="0"/>
              <w:jc w:val="center"/>
              <w:rPr>
                <w:rFonts w:ascii="宋体" w:hAnsi="宋体"/>
                <w:szCs w:val="21"/>
              </w:rPr>
            </w:pPr>
            <w:r>
              <w:rPr>
                <w:rFonts w:hint="eastAsia" w:ascii="宋体" w:hAnsi="宋体"/>
                <w:szCs w:val="21"/>
              </w:rPr>
              <w:t>第13.3款</w:t>
            </w:r>
          </w:p>
        </w:tc>
        <w:tc>
          <w:tcPr>
            <w:tcW w:w="1742" w:type="dxa"/>
            <w:vAlign w:val="center"/>
          </w:tcPr>
          <w:p w14:paraId="7F9C1B9D">
            <w:pPr>
              <w:adjustRightInd w:val="0"/>
              <w:snapToGrid w:val="0"/>
              <w:jc w:val="left"/>
              <w:rPr>
                <w:rFonts w:ascii="宋体" w:hAnsi="宋体"/>
                <w:szCs w:val="21"/>
              </w:rPr>
            </w:pPr>
            <w:r>
              <w:rPr>
                <w:rFonts w:hint="eastAsia" w:ascii="宋体" w:hAnsi="宋体"/>
                <w:szCs w:val="21"/>
              </w:rPr>
              <w:t>履约保证金退还时间及逾期退还的违约金</w:t>
            </w:r>
          </w:p>
        </w:tc>
        <w:tc>
          <w:tcPr>
            <w:tcW w:w="5170" w:type="dxa"/>
            <w:vAlign w:val="center"/>
          </w:tcPr>
          <w:p w14:paraId="3946FFBC">
            <w:pPr>
              <w:adjustRightInd w:val="0"/>
              <w:snapToGrid w:val="0"/>
              <w:jc w:val="left"/>
              <w:rPr>
                <w:rFonts w:ascii="宋体" w:hAnsi="宋体"/>
                <w:szCs w:val="21"/>
              </w:rPr>
            </w:pPr>
            <w:r>
              <w:rPr>
                <w:rFonts w:hint="eastAsia" w:ascii="宋体" w:hAnsi="宋体"/>
                <w:szCs w:val="21"/>
              </w:rPr>
              <w:t>/</w:t>
            </w:r>
          </w:p>
        </w:tc>
      </w:tr>
      <w:tr w14:paraId="3B06A7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6C6CABAA">
            <w:pPr>
              <w:adjustRightInd w:val="0"/>
              <w:snapToGrid w:val="0"/>
              <w:jc w:val="center"/>
              <w:rPr>
                <w:rFonts w:ascii="宋体" w:hAnsi="宋体"/>
                <w:szCs w:val="21"/>
              </w:rPr>
            </w:pPr>
            <w:r>
              <w:rPr>
                <w:rFonts w:hint="eastAsia" w:ascii="宋体" w:hAnsi="宋体"/>
                <w:szCs w:val="21"/>
              </w:rPr>
              <w:t>第二节</w:t>
            </w:r>
          </w:p>
          <w:p w14:paraId="007D88D6">
            <w:pPr>
              <w:adjustRightInd w:val="0"/>
              <w:snapToGrid w:val="0"/>
              <w:jc w:val="center"/>
              <w:rPr>
                <w:rFonts w:ascii="宋体" w:hAnsi="宋体"/>
                <w:szCs w:val="21"/>
              </w:rPr>
            </w:pPr>
            <w:r>
              <w:rPr>
                <w:rFonts w:hint="eastAsia" w:ascii="宋体" w:hAnsi="宋体"/>
                <w:szCs w:val="21"/>
              </w:rPr>
              <w:t>第14.1（3）项</w:t>
            </w:r>
          </w:p>
        </w:tc>
        <w:tc>
          <w:tcPr>
            <w:tcW w:w="1742" w:type="dxa"/>
            <w:vAlign w:val="center"/>
          </w:tcPr>
          <w:p w14:paraId="4515B316">
            <w:pPr>
              <w:adjustRightInd w:val="0"/>
              <w:snapToGrid w:val="0"/>
              <w:jc w:val="left"/>
              <w:rPr>
                <w:rFonts w:ascii="宋体" w:hAnsi="宋体"/>
                <w:szCs w:val="21"/>
              </w:rPr>
            </w:pPr>
            <w:r>
              <w:rPr>
                <w:rFonts w:hint="eastAsia" w:ascii="宋体" w:hAnsi="宋体"/>
                <w:szCs w:val="21"/>
              </w:rPr>
              <w:t>运行监督、维修期限</w:t>
            </w:r>
          </w:p>
        </w:tc>
        <w:tc>
          <w:tcPr>
            <w:tcW w:w="5170" w:type="dxa"/>
            <w:vAlign w:val="center"/>
          </w:tcPr>
          <w:p w14:paraId="022BF902">
            <w:pPr>
              <w:adjustRightInd w:val="0"/>
              <w:snapToGrid w:val="0"/>
              <w:jc w:val="left"/>
              <w:rPr>
                <w:rFonts w:ascii="宋体" w:hAnsi="宋体"/>
                <w:szCs w:val="21"/>
              </w:rPr>
            </w:pPr>
            <w:r>
              <w:rPr>
                <w:rFonts w:hint="eastAsia" w:ascii="宋体" w:hAnsi="宋体"/>
                <w:szCs w:val="21"/>
              </w:rPr>
              <w:t>/</w:t>
            </w:r>
          </w:p>
        </w:tc>
      </w:tr>
      <w:tr w14:paraId="6D2950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09AE9774">
            <w:pPr>
              <w:adjustRightInd w:val="0"/>
              <w:snapToGrid w:val="0"/>
              <w:jc w:val="center"/>
              <w:rPr>
                <w:rFonts w:ascii="宋体" w:hAnsi="宋体"/>
                <w:szCs w:val="21"/>
              </w:rPr>
            </w:pPr>
            <w:r>
              <w:rPr>
                <w:rFonts w:hint="eastAsia" w:ascii="宋体" w:hAnsi="宋体"/>
                <w:szCs w:val="21"/>
              </w:rPr>
              <w:t>第二节</w:t>
            </w:r>
          </w:p>
          <w:p w14:paraId="174D9857">
            <w:pPr>
              <w:adjustRightInd w:val="0"/>
              <w:snapToGrid w:val="0"/>
              <w:jc w:val="center"/>
              <w:rPr>
                <w:rFonts w:ascii="宋体" w:hAnsi="宋体"/>
                <w:szCs w:val="21"/>
              </w:rPr>
            </w:pPr>
            <w:r>
              <w:rPr>
                <w:rFonts w:hint="eastAsia" w:ascii="宋体" w:hAnsi="宋体"/>
                <w:szCs w:val="21"/>
              </w:rPr>
              <w:t>第14.1（5）项</w:t>
            </w:r>
          </w:p>
        </w:tc>
        <w:tc>
          <w:tcPr>
            <w:tcW w:w="1742" w:type="dxa"/>
            <w:vAlign w:val="center"/>
          </w:tcPr>
          <w:p w14:paraId="17B4468D">
            <w:pPr>
              <w:adjustRightInd w:val="0"/>
              <w:snapToGrid w:val="0"/>
              <w:jc w:val="left"/>
              <w:rPr>
                <w:rFonts w:ascii="宋体" w:hAnsi="宋体"/>
                <w:szCs w:val="21"/>
              </w:rPr>
            </w:pPr>
            <w:r>
              <w:rPr>
                <w:rFonts w:hint="eastAsia" w:ascii="宋体" w:hAnsi="宋体"/>
                <w:szCs w:val="21"/>
              </w:rPr>
              <w:t>货物回收的约定</w:t>
            </w:r>
          </w:p>
        </w:tc>
        <w:tc>
          <w:tcPr>
            <w:tcW w:w="5170" w:type="dxa"/>
            <w:vAlign w:val="center"/>
          </w:tcPr>
          <w:p w14:paraId="4CFB74D2">
            <w:pPr>
              <w:adjustRightInd w:val="0"/>
              <w:snapToGrid w:val="0"/>
              <w:jc w:val="left"/>
              <w:rPr>
                <w:rFonts w:ascii="宋体" w:hAnsi="宋体"/>
                <w:szCs w:val="21"/>
              </w:rPr>
            </w:pPr>
            <w:r>
              <w:rPr>
                <w:rFonts w:hint="eastAsia" w:ascii="宋体" w:hAnsi="宋体"/>
                <w:szCs w:val="21"/>
              </w:rPr>
              <w:t>/</w:t>
            </w:r>
          </w:p>
        </w:tc>
      </w:tr>
      <w:tr w14:paraId="60E6A2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589F6312">
            <w:pPr>
              <w:adjustRightInd w:val="0"/>
              <w:snapToGrid w:val="0"/>
              <w:jc w:val="center"/>
              <w:rPr>
                <w:rFonts w:ascii="宋体" w:hAnsi="宋体"/>
                <w:szCs w:val="21"/>
              </w:rPr>
            </w:pPr>
            <w:r>
              <w:rPr>
                <w:rFonts w:hint="eastAsia" w:ascii="宋体" w:hAnsi="宋体"/>
                <w:szCs w:val="21"/>
              </w:rPr>
              <w:t>第二节</w:t>
            </w:r>
          </w:p>
          <w:p w14:paraId="0DBCB594">
            <w:pPr>
              <w:adjustRightInd w:val="0"/>
              <w:snapToGrid w:val="0"/>
              <w:jc w:val="center"/>
              <w:rPr>
                <w:rFonts w:ascii="宋体" w:hAnsi="宋体"/>
                <w:szCs w:val="21"/>
              </w:rPr>
            </w:pPr>
            <w:r>
              <w:rPr>
                <w:rFonts w:hint="eastAsia" w:ascii="宋体" w:hAnsi="宋体"/>
                <w:szCs w:val="21"/>
              </w:rPr>
              <w:t>第14.1（6）项</w:t>
            </w:r>
          </w:p>
        </w:tc>
        <w:tc>
          <w:tcPr>
            <w:tcW w:w="1742" w:type="dxa"/>
            <w:vAlign w:val="center"/>
          </w:tcPr>
          <w:p w14:paraId="4EA18E7C">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4EF2E1D0">
            <w:pPr>
              <w:adjustRightInd w:val="0"/>
              <w:snapToGrid w:val="0"/>
              <w:jc w:val="left"/>
              <w:rPr>
                <w:rFonts w:ascii="宋体" w:hAnsi="宋体"/>
                <w:szCs w:val="21"/>
              </w:rPr>
            </w:pPr>
          </w:p>
        </w:tc>
      </w:tr>
      <w:tr w14:paraId="280B49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56A0A8EB">
            <w:pPr>
              <w:adjustRightInd w:val="0"/>
              <w:snapToGrid w:val="0"/>
              <w:jc w:val="center"/>
              <w:rPr>
                <w:rFonts w:ascii="宋体" w:hAnsi="宋体"/>
                <w:szCs w:val="21"/>
              </w:rPr>
            </w:pPr>
            <w:r>
              <w:rPr>
                <w:rFonts w:hint="eastAsia" w:ascii="宋体" w:hAnsi="宋体"/>
                <w:szCs w:val="21"/>
              </w:rPr>
              <w:t>第二节</w:t>
            </w:r>
          </w:p>
          <w:p w14:paraId="1CC8120F">
            <w:pPr>
              <w:adjustRightInd w:val="0"/>
              <w:snapToGrid w:val="0"/>
              <w:jc w:val="center"/>
              <w:rPr>
                <w:rFonts w:ascii="宋体" w:hAnsi="宋体"/>
                <w:szCs w:val="21"/>
              </w:rPr>
            </w:pPr>
            <w:r>
              <w:rPr>
                <w:rFonts w:hint="eastAsia" w:ascii="宋体" w:hAnsi="宋体"/>
                <w:szCs w:val="21"/>
              </w:rPr>
              <w:t>第15.1款</w:t>
            </w:r>
          </w:p>
        </w:tc>
        <w:tc>
          <w:tcPr>
            <w:tcW w:w="1742" w:type="dxa"/>
            <w:vAlign w:val="center"/>
          </w:tcPr>
          <w:p w14:paraId="0C0FE503">
            <w:pPr>
              <w:adjustRightInd w:val="0"/>
              <w:snapToGrid w:val="0"/>
              <w:jc w:val="left"/>
              <w:rPr>
                <w:rFonts w:ascii="宋体" w:hAnsi="宋体"/>
                <w:szCs w:val="21"/>
              </w:rPr>
            </w:pPr>
            <w:r>
              <w:rPr>
                <w:rFonts w:hint="eastAsia" w:ascii="宋体" w:hAnsi="宋体"/>
                <w:szCs w:val="21"/>
              </w:rPr>
              <w:t>修理、重作、更换相关具体规定</w:t>
            </w:r>
          </w:p>
        </w:tc>
        <w:tc>
          <w:tcPr>
            <w:tcW w:w="5170" w:type="dxa"/>
            <w:vAlign w:val="center"/>
          </w:tcPr>
          <w:p w14:paraId="57E77FBA">
            <w:pPr>
              <w:adjustRightInd w:val="0"/>
              <w:snapToGrid w:val="0"/>
              <w:jc w:val="left"/>
              <w:rPr>
                <w:rFonts w:ascii="宋体" w:hAnsi="宋体"/>
                <w:szCs w:val="21"/>
              </w:rPr>
            </w:pPr>
            <w:r>
              <w:rPr>
                <w:rFonts w:hint="eastAsia" w:ascii="宋体" w:hAnsi="宋体"/>
                <w:szCs w:val="21"/>
              </w:rPr>
              <w:t>/</w:t>
            </w:r>
          </w:p>
        </w:tc>
      </w:tr>
      <w:tr w14:paraId="4441F5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96A2A9D">
            <w:pPr>
              <w:adjustRightInd w:val="0"/>
              <w:snapToGrid w:val="0"/>
              <w:jc w:val="center"/>
              <w:rPr>
                <w:rFonts w:ascii="宋体" w:hAnsi="宋体"/>
                <w:szCs w:val="21"/>
              </w:rPr>
            </w:pPr>
            <w:r>
              <w:rPr>
                <w:rFonts w:hint="eastAsia" w:ascii="宋体" w:hAnsi="宋体"/>
                <w:szCs w:val="21"/>
              </w:rPr>
              <w:t>第二节</w:t>
            </w:r>
          </w:p>
          <w:p w14:paraId="196844CD">
            <w:pPr>
              <w:adjustRightInd w:val="0"/>
              <w:snapToGrid w:val="0"/>
              <w:jc w:val="center"/>
              <w:rPr>
                <w:rFonts w:ascii="宋体" w:hAnsi="宋体"/>
                <w:szCs w:val="21"/>
              </w:rPr>
            </w:pPr>
            <w:r>
              <w:rPr>
                <w:rFonts w:hint="eastAsia" w:ascii="宋体" w:hAnsi="宋体"/>
                <w:szCs w:val="21"/>
              </w:rPr>
              <w:t>第15.2（2）项</w:t>
            </w:r>
          </w:p>
        </w:tc>
        <w:tc>
          <w:tcPr>
            <w:tcW w:w="1742" w:type="dxa"/>
            <w:vAlign w:val="center"/>
          </w:tcPr>
          <w:p w14:paraId="07878715">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6C19A0F7">
            <w:pPr>
              <w:adjustRightInd w:val="0"/>
              <w:snapToGrid w:val="0"/>
              <w:jc w:val="left"/>
              <w:rPr>
                <w:rFonts w:ascii="宋体" w:hAnsi="宋体"/>
                <w:szCs w:val="21"/>
                <w:u w:val="single"/>
              </w:rPr>
            </w:pPr>
            <w:r>
              <w:rPr>
                <w:rFonts w:ascii="宋体" w:hAnsi="宋体"/>
                <w:szCs w:val="21"/>
              </w:rPr>
              <w:t>每逾期</w:t>
            </w:r>
            <w:r>
              <w:rPr>
                <w:rFonts w:hint="eastAsia" w:ascii="宋体" w:hAnsi="宋体"/>
                <w:szCs w:val="21"/>
                <w:u w:val="single"/>
              </w:rPr>
              <w:t xml:space="preserve">  1  </w:t>
            </w:r>
            <w:r>
              <w:rPr>
                <w:rFonts w:ascii="宋体" w:hAnsi="宋体"/>
                <w:szCs w:val="21"/>
              </w:rPr>
              <w:t>天，乙方向甲方偿付</w:t>
            </w:r>
            <w:r>
              <w:rPr>
                <w:rFonts w:hint="eastAsia" w:ascii="宋体" w:hAnsi="宋体"/>
                <w:szCs w:val="21"/>
              </w:rPr>
              <w:t>合同</w:t>
            </w:r>
            <w:r>
              <w:rPr>
                <w:rFonts w:ascii="宋体" w:hAnsi="宋体"/>
                <w:szCs w:val="21"/>
              </w:rPr>
              <w:t>总额的</w:t>
            </w:r>
            <w:r>
              <w:rPr>
                <w:rFonts w:hint="eastAsia" w:ascii="宋体" w:hAnsi="宋体"/>
                <w:szCs w:val="21"/>
                <w:u w:val="single"/>
              </w:rPr>
              <w:t xml:space="preserve"> 1 </w:t>
            </w:r>
            <w:r>
              <w:rPr>
                <w:rFonts w:ascii="宋体" w:hAnsi="宋体"/>
                <w:szCs w:val="21"/>
              </w:rPr>
              <w:t>‰的</w:t>
            </w:r>
            <w:r>
              <w:rPr>
                <w:rFonts w:hint="eastAsia" w:ascii="宋体" w:hAnsi="宋体"/>
                <w:szCs w:val="21"/>
              </w:rPr>
              <w:t>违约</w:t>
            </w:r>
            <w:r>
              <w:rPr>
                <w:rFonts w:ascii="宋体" w:hAnsi="宋体"/>
                <w:szCs w:val="21"/>
              </w:rPr>
              <w:t>金</w:t>
            </w:r>
            <w:r>
              <w:rPr>
                <w:rFonts w:hint="eastAsia" w:ascii="宋体" w:hAnsi="宋体"/>
                <w:szCs w:val="21"/>
              </w:rPr>
              <w:t>，但累计误期违约金总额不超过合同总额的</w:t>
            </w:r>
            <w:r>
              <w:rPr>
                <w:rFonts w:hint="eastAsia" w:ascii="宋体" w:hAnsi="宋体"/>
                <w:szCs w:val="21"/>
                <w:u w:val="single"/>
              </w:rPr>
              <w:t xml:space="preserve"> 1 </w:t>
            </w:r>
            <w:r>
              <w:rPr>
                <w:rFonts w:hint="eastAsia" w:ascii="宋体" w:hAnsi="宋体"/>
                <w:szCs w:val="21"/>
              </w:rPr>
              <w:t>％</w:t>
            </w:r>
          </w:p>
        </w:tc>
      </w:tr>
      <w:tr w14:paraId="142C95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3639B8F">
            <w:pPr>
              <w:adjustRightInd w:val="0"/>
              <w:snapToGrid w:val="0"/>
              <w:jc w:val="center"/>
              <w:rPr>
                <w:rFonts w:ascii="宋体" w:hAnsi="宋体"/>
                <w:szCs w:val="21"/>
              </w:rPr>
            </w:pPr>
            <w:r>
              <w:rPr>
                <w:rFonts w:hint="eastAsia" w:ascii="宋体" w:hAnsi="宋体"/>
                <w:szCs w:val="21"/>
              </w:rPr>
              <w:t>第二节</w:t>
            </w:r>
          </w:p>
          <w:p w14:paraId="338A2F85">
            <w:pPr>
              <w:adjustRightInd w:val="0"/>
              <w:snapToGrid w:val="0"/>
              <w:jc w:val="center"/>
              <w:rPr>
                <w:rFonts w:ascii="宋体" w:hAnsi="宋体"/>
                <w:szCs w:val="21"/>
              </w:rPr>
            </w:pPr>
            <w:r>
              <w:rPr>
                <w:rFonts w:hint="eastAsia" w:ascii="宋体" w:hAnsi="宋体"/>
                <w:szCs w:val="21"/>
              </w:rPr>
              <w:t>第15.3款</w:t>
            </w:r>
          </w:p>
        </w:tc>
        <w:tc>
          <w:tcPr>
            <w:tcW w:w="1742" w:type="dxa"/>
            <w:vAlign w:val="center"/>
          </w:tcPr>
          <w:p w14:paraId="73A4B595">
            <w:pPr>
              <w:adjustRightInd w:val="0"/>
              <w:snapToGrid w:val="0"/>
              <w:jc w:val="left"/>
              <w:rPr>
                <w:rFonts w:ascii="宋体" w:hAnsi="宋体"/>
                <w:szCs w:val="21"/>
              </w:rPr>
            </w:pPr>
            <w:r>
              <w:rPr>
                <w:rFonts w:hint="eastAsia" w:ascii="宋体" w:hAnsi="宋体"/>
                <w:szCs w:val="21"/>
              </w:rPr>
              <w:t>逾期付款利息</w:t>
            </w:r>
          </w:p>
        </w:tc>
        <w:tc>
          <w:tcPr>
            <w:tcW w:w="5170" w:type="dxa"/>
            <w:vAlign w:val="center"/>
          </w:tcPr>
          <w:p w14:paraId="42413C91">
            <w:pPr>
              <w:adjustRightInd w:val="0"/>
              <w:snapToGrid w:val="0"/>
              <w:jc w:val="left"/>
              <w:rPr>
                <w:rFonts w:ascii="宋体" w:hAnsi="宋体"/>
                <w:szCs w:val="21"/>
                <w:u w:val="single"/>
              </w:rPr>
            </w:pPr>
            <w:r>
              <w:rPr>
                <w:rFonts w:hint="eastAsia" w:ascii="宋体" w:hAnsi="宋体"/>
                <w:szCs w:val="21"/>
              </w:rPr>
              <w:t>甲方未按合同规定的期限向乙方支付合同款的，每逾期1天甲方向乙方支付逾期价款的1</w:t>
            </w:r>
            <w:r>
              <w:rPr>
                <w:rFonts w:hint="eastAsia" w:ascii="宋体" w:hAnsi="宋体"/>
                <w:szCs w:val="21"/>
                <w:u w:val="single"/>
              </w:rPr>
              <w:t xml:space="preserve">   </w:t>
            </w:r>
            <w:r>
              <w:rPr>
                <w:rFonts w:hint="eastAsia" w:ascii="宋体" w:hAnsi="宋体"/>
                <w:szCs w:val="21"/>
              </w:rPr>
              <w:t>‰违约金，但累计违约金总额不超过逾期价款的</w:t>
            </w:r>
            <w:r>
              <w:rPr>
                <w:rFonts w:hint="eastAsia" w:ascii="宋体" w:hAnsi="宋体"/>
                <w:szCs w:val="21"/>
                <w:u w:val="single"/>
              </w:rPr>
              <w:t xml:space="preserve"> 1 </w:t>
            </w:r>
            <w:r>
              <w:rPr>
                <w:rFonts w:hint="eastAsia" w:ascii="宋体" w:hAnsi="宋体"/>
                <w:szCs w:val="21"/>
              </w:rPr>
              <w:t>％。</w:t>
            </w:r>
          </w:p>
        </w:tc>
      </w:tr>
      <w:tr w14:paraId="73CF8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vAlign w:val="center"/>
          </w:tcPr>
          <w:p w14:paraId="67500AE3">
            <w:pPr>
              <w:adjustRightInd w:val="0"/>
              <w:snapToGrid w:val="0"/>
              <w:jc w:val="center"/>
              <w:rPr>
                <w:rFonts w:ascii="宋体" w:hAnsi="宋体"/>
                <w:szCs w:val="21"/>
              </w:rPr>
            </w:pPr>
            <w:r>
              <w:rPr>
                <w:rFonts w:hint="eastAsia" w:ascii="宋体" w:hAnsi="宋体"/>
                <w:szCs w:val="21"/>
              </w:rPr>
              <w:t>第二节</w:t>
            </w:r>
          </w:p>
          <w:p w14:paraId="0102B3D3">
            <w:pPr>
              <w:adjustRightInd w:val="0"/>
              <w:snapToGrid w:val="0"/>
              <w:jc w:val="center"/>
              <w:rPr>
                <w:rFonts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65259776">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71868778">
            <w:pPr>
              <w:adjustRightInd w:val="0"/>
              <w:snapToGrid w:val="0"/>
              <w:jc w:val="left"/>
              <w:rPr>
                <w:rFonts w:ascii="宋体" w:hAnsi="宋体"/>
                <w:szCs w:val="21"/>
                <w:u w:val="single"/>
              </w:rPr>
            </w:pPr>
            <w:r>
              <w:rPr>
                <w:rFonts w:hint="eastAsia" w:ascii="宋体" w:hAnsi="宋体"/>
                <w:szCs w:val="21"/>
                <w:u w:val="single"/>
              </w:rPr>
              <w:t>/</w:t>
            </w:r>
          </w:p>
        </w:tc>
      </w:tr>
      <w:tr w14:paraId="49D0A7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vAlign w:val="center"/>
          </w:tcPr>
          <w:p w14:paraId="0E66F99E">
            <w:pPr>
              <w:adjustRightInd w:val="0"/>
              <w:snapToGrid w:val="0"/>
              <w:jc w:val="center"/>
              <w:rPr>
                <w:rFonts w:ascii="宋体" w:hAnsi="宋体"/>
                <w:szCs w:val="21"/>
              </w:rPr>
            </w:pPr>
            <w:r>
              <w:rPr>
                <w:rFonts w:hint="eastAsia" w:ascii="宋体" w:hAnsi="宋体"/>
                <w:szCs w:val="21"/>
              </w:rPr>
              <w:t>第二节</w:t>
            </w:r>
          </w:p>
          <w:p w14:paraId="0F89DF1F">
            <w:pPr>
              <w:adjustRightInd w:val="0"/>
              <w:snapToGrid w:val="0"/>
              <w:jc w:val="center"/>
              <w:rPr>
                <w:rFonts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6E27E675">
            <w:pPr>
              <w:adjustRightInd w:val="0"/>
              <w:snapToGrid w:val="0"/>
              <w:jc w:val="left"/>
              <w:rPr>
                <w:rFonts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4BC7D42E">
            <w:pPr>
              <w:autoSpaceDE w:val="0"/>
              <w:autoSpaceDN w:val="0"/>
              <w:adjustRightInd w:val="0"/>
              <w:snapToGrid w:val="0"/>
              <w:spacing w:line="400" w:lineRule="exact"/>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（2）  </w:t>
            </w:r>
            <w:r>
              <w:rPr>
                <w:rFonts w:hint="eastAsia" w:ascii="宋体" w:hAnsi="宋体" w:cs="宋体"/>
                <w:iCs/>
                <w:szCs w:val="21"/>
              </w:rPr>
              <w:t>种方式解决：</w:t>
            </w:r>
          </w:p>
          <w:p w14:paraId="387388C7">
            <w:pPr>
              <w:autoSpaceDE w:val="0"/>
              <w:autoSpaceDN w:val="0"/>
              <w:adjustRightInd w:val="0"/>
              <w:snapToGrid w:val="0"/>
              <w:spacing w:line="400" w:lineRule="exact"/>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4A415B5B">
            <w:pPr>
              <w:adjustRightInd w:val="0"/>
              <w:snapToGrid w:val="0"/>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合肥市         </w:t>
            </w:r>
            <w:r>
              <w:rPr>
                <w:rFonts w:hint="eastAsia" w:ascii="宋体" w:hAnsi="宋体" w:cs="宋体"/>
                <w:iCs/>
                <w:szCs w:val="21"/>
              </w:rPr>
              <w:t>人民法院起诉。</w:t>
            </w:r>
          </w:p>
        </w:tc>
      </w:tr>
      <w:tr w14:paraId="1447DD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vAlign w:val="center"/>
          </w:tcPr>
          <w:p w14:paraId="32559F7A">
            <w:pPr>
              <w:adjustRightInd w:val="0"/>
              <w:snapToGrid w:val="0"/>
              <w:jc w:val="center"/>
              <w:rPr>
                <w:rFonts w:ascii="宋体" w:hAnsi="宋体"/>
                <w:szCs w:val="21"/>
              </w:rPr>
            </w:pPr>
            <w:r>
              <w:rPr>
                <w:rFonts w:hint="eastAsia" w:ascii="宋体" w:hAnsi="宋体"/>
                <w:szCs w:val="21"/>
              </w:rPr>
              <w:t>第二节</w:t>
            </w:r>
          </w:p>
          <w:p w14:paraId="63520D06">
            <w:pPr>
              <w:adjustRightInd w:val="0"/>
              <w:snapToGrid w:val="0"/>
              <w:jc w:val="center"/>
              <w:rPr>
                <w:rFonts w:ascii="宋体" w:hAnsi="宋体"/>
                <w:szCs w:val="21"/>
              </w:rPr>
            </w:pPr>
            <w:r>
              <w:rPr>
                <w:rFonts w:hint="eastAsia" w:ascii="宋体" w:hAnsi="宋体"/>
                <w:szCs w:val="21"/>
              </w:rPr>
              <w:t>第23.1款</w:t>
            </w:r>
          </w:p>
        </w:tc>
        <w:tc>
          <w:tcPr>
            <w:tcW w:w="1742" w:type="dxa"/>
            <w:vAlign w:val="center"/>
          </w:tcPr>
          <w:p w14:paraId="047A9192">
            <w:pPr>
              <w:adjustRightInd w:val="0"/>
              <w:snapToGrid w:val="0"/>
              <w:jc w:val="left"/>
              <w:rPr>
                <w:rFonts w:ascii="宋体" w:hAnsi="宋体"/>
                <w:szCs w:val="21"/>
              </w:rPr>
            </w:pPr>
            <w:r>
              <w:rPr>
                <w:rFonts w:hint="eastAsia" w:ascii="宋体" w:hAnsi="宋体"/>
                <w:bCs/>
                <w:szCs w:val="21"/>
              </w:rPr>
              <w:t>其他专用条款</w:t>
            </w:r>
          </w:p>
        </w:tc>
        <w:tc>
          <w:tcPr>
            <w:tcW w:w="5170" w:type="dxa"/>
            <w:vAlign w:val="center"/>
          </w:tcPr>
          <w:p w14:paraId="7EC3BDE0">
            <w:pPr>
              <w:adjustRightInd w:val="0"/>
              <w:snapToGrid w:val="0"/>
              <w:jc w:val="left"/>
              <w:rPr>
                <w:rFonts w:ascii="宋体" w:hAnsi="宋体"/>
                <w:szCs w:val="21"/>
              </w:rPr>
            </w:pPr>
          </w:p>
        </w:tc>
      </w:tr>
    </w:tbl>
    <w:p w14:paraId="47647F4F"/>
    <w:p w14:paraId="139A8D4B"/>
    <w:p w14:paraId="7A35A18E">
      <w:pPr>
        <w:tabs>
          <w:tab w:val="left" w:pos="5370"/>
          <w:tab w:val="left" w:pos="6330"/>
          <w:tab w:val="left" w:pos="7275"/>
        </w:tabs>
        <w:autoSpaceDE w:val="0"/>
        <w:autoSpaceDN w:val="0"/>
        <w:adjustRightInd w:val="0"/>
        <w:spacing w:line="440" w:lineRule="exact"/>
        <w:ind w:left="4341" w:firstLine="241" w:firstLineChars="100"/>
        <w:contextualSpacing/>
        <w:jc w:val="left"/>
        <w:rPr>
          <w:rFonts w:ascii="宋体" w:hAnsi="宋体" w:eastAsia="仿宋" w:cs="Microsoft JhengHei"/>
          <w:b/>
          <w:bCs/>
          <w:kern w:val="0"/>
          <w:position w:val="-3"/>
          <w:sz w:val="24"/>
        </w:rPr>
      </w:pPr>
      <w:r>
        <w:rPr>
          <w:rFonts w:ascii="宋体" w:hAnsi="宋体" w:eastAsia="仿宋" w:cs="Microsoft JhengHei"/>
          <w:b/>
          <w:bCs/>
          <w:kern w:val="0"/>
          <w:position w:val="-3"/>
          <w:sz w:val="24"/>
        </w:rPr>
        <w:br w:type="page"/>
      </w:r>
    </w:p>
    <w:p w14:paraId="3A1F44BE">
      <w:pPr>
        <w:pStyle w:val="3"/>
        <w:rPr>
          <w:rFonts w:eastAsia="仿宋"/>
          <w:sz w:val="24"/>
          <w:szCs w:val="24"/>
        </w:rPr>
      </w:pPr>
      <w:bookmarkStart w:id="761" w:name="_Toc500235608"/>
      <w:bookmarkStart w:id="762" w:name="_Toc497923303"/>
      <w:bookmarkStart w:id="763" w:name="_Toc526265702"/>
      <w:bookmarkStart w:id="764" w:name="_Toc500009176"/>
      <w:r>
        <w:rPr>
          <w:rFonts w:hint="eastAsia" w:eastAsia="仿宋"/>
          <w:sz w:val="24"/>
          <w:szCs w:val="24"/>
        </w:rPr>
        <w:t>附件一：履约保证金格式</w:t>
      </w:r>
      <w:bookmarkEnd w:id="761"/>
      <w:bookmarkEnd w:id="762"/>
      <w:bookmarkEnd w:id="763"/>
      <w:bookmarkEnd w:id="764"/>
    </w:p>
    <w:p w14:paraId="02403FE8">
      <w:pPr>
        <w:autoSpaceDE w:val="0"/>
        <w:autoSpaceDN w:val="0"/>
        <w:adjustRightInd w:val="0"/>
        <w:spacing w:line="360" w:lineRule="auto"/>
        <w:contextualSpacing/>
        <w:jc w:val="center"/>
        <w:rPr>
          <w:rFonts w:ascii="黑体" w:hAnsi="黑体" w:eastAsia="黑体" w:cs="Microsoft JhengHei"/>
          <w:kern w:val="0"/>
          <w:position w:val="-5"/>
          <w:sz w:val="24"/>
        </w:rPr>
      </w:pPr>
      <w:r>
        <w:rPr>
          <w:rFonts w:hint="eastAsia" w:ascii="黑体" w:hAnsi="黑体" w:eastAsia="黑体" w:cs="Microsoft JhengHei"/>
          <w:kern w:val="0"/>
          <w:position w:val="-5"/>
          <w:sz w:val="24"/>
        </w:rPr>
        <w:t>履约保函</w:t>
      </w:r>
    </w:p>
    <w:p w14:paraId="77FB8998">
      <w:pPr>
        <w:spacing w:line="360" w:lineRule="auto"/>
        <w:ind w:right="2974" w:rightChars="1416"/>
        <w:jc w:val="right"/>
        <w:rPr>
          <w:rFonts w:ascii="宋体" w:hAnsi="宋体" w:eastAsia="仿宋"/>
          <w:sz w:val="24"/>
        </w:rPr>
      </w:pPr>
      <w:r>
        <w:rPr>
          <w:rFonts w:hint="eastAsia" w:ascii="宋体" w:hAnsi="宋体" w:eastAsia="仿宋"/>
          <w:sz w:val="24"/>
        </w:rPr>
        <w:t xml:space="preserve">编号：             </w:t>
      </w:r>
    </w:p>
    <w:p w14:paraId="259E3271">
      <w:pPr>
        <w:snapToGrid w:val="0"/>
        <w:spacing w:line="360" w:lineRule="auto"/>
        <w:rPr>
          <w:rFonts w:ascii="宋体" w:hAnsi="宋体" w:eastAsia="仿宋" w:cs="宋体"/>
          <w:sz w:val="24"/>
        </w:rPr>
      </w:pPr>
      <w:r>
        <w:rPr>
          <w:rFonts w:hint="eastAsia" w:ascii="宋体" w:hAnsi="宋体" w:eastAsia="仿宋" w:cs="宋体"/>
          <w:sz w:val="24"/>
        </w:rPr>
        <w:t>致受益人</w:t>
      </w:r>
      <w:r>
        <w:rPr>
          <w:rFonts w:hint="eastAsia" w:ascii="宋体" w:hAnsi="宋体" w:eastAsia="仿宋" w:cs="宋体"/>
          <w:sz w:val="24"/>
          <w:u w:val="single"/>
        </w:rPr>
        <w:t xml:space="preserve"> </w:t>
      </w:r>
      <w:r>
        <w:rPr>
          <w:rFonts w:ascii="宋体" w:hAnsi="宋体" w:eastAsia="仿宋" w:cs="宋体"/>
          <w:sz w:val="24"/>
          <w:u w:val="single"/>
        </w:rPr>
        <w:t xml:space="preserve">                      </w:t>
      </w:r>
      <w:r>
        <w:rPr>
          <w:rFonts w:hint="eastAsia" w:ascii="宋体" w:hAnsi="宋体" w:eastAsia="仿宋" w:cs="宋体"/>
          <w:sz w:val="24"/>
        </w:rPr>
        <w:t>：</w:t>
      </w:r>
    </w:p>
    <w:p w14:paraId="33B9C1E3">
      <w:pPr>
        <w:snapToGrid w:val="0"/>
        <w:spacing w:line="360" w:lineRule="auto"/>
        <w:ind w:firstLine="480" w:firstLineChars="200"/>
        <w:jc w:val="left"/>
        <w:rPr>
          <w:rFonts w:ascii="宋体" w:hAnsi="宋体" w:eastAsia="仿宋" w:cs="宋体"/>
          <w:b/>
          <w:bCs/>
          <w:color w:val="000000"/>
          <w:sz w:val="24"/>
        </w:rPr>
      </w:pPr>
      <w:r>
        <w:rPr>
          <w:rFonts w:hint="eastAsia" w:ascii="宋体" w:hAnsi="宋体" w:eastAsia="仿宋" w:cs="宋体"/>
          <w:color w:val="000000"/>
          <w:sz w:val="24"/>
        </w:rPr>
        <w:t>因</w:t>
      </w:r>
      <w:r>
        <w:rPr>
          <w:rFonts w:hint="eastAsia" w:ascii="宋体" w:hAnsi="宋体" w:eastAsia="仿宋" w:cs="宋体"/>
          <w:color w:val="000000"/>
          <w:sz w:val="24"/>
          <w:u w:val="single"/>
        </w:rPr>
        <w:t xml:space="preserve"> </w:t>
      </w:r>
      <w:r>
        <w:rPr>
          <w:rFonts w:ascii="宋体" w:hAnsi="宋体" w:eastAsia="仿宋" w:cs="宋体"/>
          <w:color w:val="000000"/>
          <w:sz w:val="24"/>
          <w:u w:val="single"/>
        </w:rPr>
        <w:t xml:space="preserve">               </w:t>
      </w:r>
      <w:r>
        <w:rPr>
          <w:rFonts w:hint="eastAsia" w:ascii="宋体" w:hAnsi="宋体" w:eastAsia="仿宋" w:cs="宋体"/>
          <w:color w:val="000000"/>
          <w:sz w:val="24"/>
        </w:rPr>
        <w:t>（下称“被保证人”，地址：</w:t>
      </w:r>
      <w:r>
        <w:rPr>
          <w:rFonts w:hint="eastAsia" w:ascii="宋体" w:hAnsi="宋体" w:eastAsia="仿宋" w:cs="宋体"/>
          <w:color w:val="000000"/>
          <w:sz w:val="24"/>
          <w:u w:val="single"/>
        </w:rPr>
        <w:t xml:space="preserve"> </w:t>
      </w:r>
      <w:r>
        <w:rPr>
          <w:rFonts w:ascii="宋体" w:hAnsi="宋体" w:eastAsia="仿宋" w:cs="宋体"/>
          <w:color w:val="000000"/>
          <w:sz w:val="24"/>
          <w:u w:val="single"/>
        </w:rPr>
        <w:t xml:space="preserve">             </w:t>
      </w:r>
      <w:r>
        <w:rPr>
          <w:rFonts w:hint="eastAsia" w:ascii="宋体" w:hAnsi="宋体" w:eastAsia="仿宋" w:cs="宋体"/>
          <w:color w:val="000000"/>
          <w:sz w:val="24"/>
        </w:rPr>
        <w:t>）与你方签订了</w:t>
      </w:r>
      <w:r>
        <w:rPr>
          <w:rFonts w:hint="eastAsia" w:ascii="宋体" w:hAnsi="宋体" w:eastAsia="仿宋" w:cs="宋体"/>
          <w:color w:val="000000"/>
          <w:sz w:val="24"/>
          <w:u w:val="single"/>
        </w:rPr>
        <w:t xml:space="preserve"> </w:t>
      </w:r>
      <w:r>
        <w:rPr>
          <w:rFonts w:ascii="宋体" w:hAnsi="宋体" w:eastAsia="仿宋" w:cs="宋体"/>
          <w:color w:val="000000"/>
          <w:sz w:val="24"/>
          <w:u w:val="single"/>
        </w:rPr>
        <w:t xml:space="preserve">   </w:t>
      </w:r>
      <w:r>
        <w:rPr>
          <w:rFonts w:hint="eastAsia" w:ascii="宋体" w:hAnsi="宋体" w:eastAsia="仿宋" w:cs="宋体"/>
          <w:color w:val="000000"/>
          <w:sz w:val="24"/>
          <w:u w:val="single"/>
        </w:rPr>
        <w:t xml:space="preserve">    </w:t>
      </w:r>
      <w:r>
        <w:rPr>
          <w:rFonts w:ascii="宋体" w:hAnsi="宋体" w:eastAsia="仿宋" w:cs="宋体"/>
          <w:color w:val="000000"/>
          <w:sz w:val="24"/>
          <w:u w:val="single"/>
        </w:rPr>
        <w:t xml:space="preserve">   </w:t>
      </w:r>
      <w:r>
        <w:rPr>
          <w:rFonts w:hint="eastAsia" w:ascii="宋体" w:hAnsi="宋体" w:eastAsia="仿宋" w:cs="宋体"/>
          <w:color w:val="000000"/>
          <w:sz w:val="24"/>
        </w:rPr>
        <w:t>项目合同（项目编号：</w:t>
      </w:r>
      <w:r>
        <w:rPr>
          <w:rFonts w:hint="eastAsia" w:ascii="宋体" w:hAnsi="宋体" w:eastAsia="仿宋" w:cs="宋体"/>
          <w:color w:val="000000"/>
          <w:sz w:val="24"/>
          <w:u w:val="single"/>
        </w:rPr>
        <w:t xml:space="preserve"> </w:t>
      </w:r>
      <w:r>
        <w:rPr>
          <w:rFonts w:ascii="宋体" w:hAnsi="宋体" w:eastAsia="仿宋" w:cs="宋体"/>
          <w:color w:val="000000"/>
          <w:sz w:val="24"/>
          <w:u w:val="single"/>
        </w:rPr>
        <w:t xml:space="preserve">               </w:t>
      </w:r>
      <w:r>
        <w:rPr>
          <w:rFonts w:hint="eastAsia" w:ascii="宋体" w:hAnsi="宋体" w:eastAsia="仿宋" w:cs="宋体"/>
          <w:color w:val="000000"/>
          <w:sz w:val="24"/>
        </w:rPr>
        <w:t>），我方愿就被保证人履行上述合同的义务向你方提供如下保证：</w:t>
      </w:r>
    </w:p>
    <w:p w14:paraId="6658D61A">
      <w:pPr>
        <w:numPr>
          <w:ilvl w:val="0"/>
          <w:numId w:val="22"/>
        </w:numPr>
        <w:snapToGrid w:val="0"/>
        <w:spacing w:line="360" w:lineRule="auto"/>
        <w:ind w:firstLine="480" w:firstLineChars="200"/>
        <w:rPr>
          <w:rFonts w:ascii="宋体" w:hAnsi="宋体" w:eastAsia="仿宋" w:cs="宋体"/>
          <w:color w:val="000000"/>
          <w:sz w:val="24"/>
        </w:rPr>
      </w:pPr>
      <w:r>
        <w:rPr>
          <w:rFonts w:hint="eastAsia" w:ascii="宋体" w:hAnsi="宋体" w:eastAsia="仿宋" w:cs="宋体"/>
          <w:color w:val="000000"/>
          <w:sz w:val="24"/>
        </w:rPr>
        <w:t>本保函项下我方承担的保证责任最高限额（下称“担保金额”）为(币种金额、大写)</w:t>
      </w:r>
      <w:r>
        <w:rPr>
          <w:rFonts w:hint="eastAsia" w:ascii="宋体" w:hAnsi="宋体" w:eastAsia="仿宋" w:cs="宋体"/>
          <w:color w:val="000000"/>
          <w:sz w:val="24"/>
          <w:u w:val="single"/>
        </w:rPr>
        <w:t>人民币</w:t>
      </w:r>
      <w:r>
        <w:rPr>
          <w:rFonts w:ascii="宋体" w:hAnsi="宋体" w:eastAsia="仿宋" w:cs="宋体"/>
          <w:color w:val="000000"/>
          <w:sz w:val="24"/>
          <w:u w:val="single"/>
        </w:rPr>
        <w:t xml:space="preserve">     </w:t>
      </w:r>
      <w:r>
        <w:rPr>
          <w:rFonts w:hint="eastAsia" w:ascii="宋体" w:hAnsi="宋体" w:eastAsia="仿宋" w:cs="宋体"/>
          <w:color w:val="000000"/>
          <w:sz w:val="24"/>
          <w:u w:val="single"/>
        </w:rPr>
        <w:t xml:space="preserve">              </w:t>
      </w:r>
      <w:r>
        <w:rPr>
          <w:rFonts w:ascii="宋体" w:hAnsi="宋体" w:eastAsia="仿宋" w:cs="宋体"/>
          <w:color w:val="000000"/>
          <w:sz w:val="24"/>
          <w:u w:val="single"/>
        </w:rPr>
        <w:t xml:space="preserve">   </w:t>
      </w:r>
      <w:r>
        <w:rPr>
          <w:rFonts w:hint="eastAsia" w:ascii="宋体" w:hAnsi="宋体" w:eastAsia="仿宋" w:cs="宋体"/>
          <w:color w:val="000000"/>
          <w:sz w:val="24"/>
        </w:rPr>
        <w:t>。</w:t>
      </w:r>
    </w:p>
    <w:p w14:paraId="286E810E">
      <w:pPr>
        <w:snapToGrid w:val="0"/>
        <w:spacing w:line="360" w:lineRule="auto"/>
        <w:ind w:firstLine="480" w:firstLineChars="200"/>
        <w:jc w:val="left"/>
        <w:rPr>
          <w:rFonts w:ascii="宋体" w:hAnsi="宋体" w:eastAsia="仿宋" w:cs="宋体"/>
          <w:snapToGrid w:val="0"/>
          <w:color w:val="000000"/>
          <w:kern w:val="0"/>
          <w:sz w:val="24"/>
        </w:rPr>
      </w:pPr>
      <w:r>
        <w:rPr>
          <w:rFonts w:hint="eastAsia" w:ascii="宋体" w:hAnsi="宋体" w:eastAsia="仿宋" w:cs="宋体"/>
          <w:snapToGrid w:val="0"/>
          <w:color w:val="000000"/>
          <w:kern w:val="0"/>
          <w:sz w:val="24"/>
        </w:rPr>
        <w:t>二、我方在本保函项下提供的保证为</w:t>
      </w:r>
      <w:r>
        <w:rPr>
          <w:rFonts w:hint="eastAsia" w:ascii="宋体" w:hAnsi="宋体" w:eastAsia="仿宋" w:cs="宋体"/>
          <w:snapToGrid w:val="0"/>
          <w:color w:val="000000"/>
          <w:kern w:val="0"/>
          <w:sz w:val="24"/>
          <w:u w:val="single"/>
        </w:rPr>
        <w:t xml:space="preserve">  连带  </w:t>
      </w:r>
      <w:r>
        <w:rPr>
          <w:rFonts w:hint="eastAsia" w:ascii="宋体" w:hAnsi="宋体" w:eastAsia="仿宋" w:cs="宋体"/>
          <w:snapToGrid w:val="0"/>
          <w:color w:val="000000"/>
          <w:kern w:val="0"/>
          <w:sz w:val="24"/>
        </w:rPr>
        <w:t>责任保证。</w:t>
      </w:r>
    </w:p>
    <w:p w14:paraId="456A651D">
      <w:pPr>
        <w:snapToGrid w:val="0"/>
        <w:spacing w:line="360" w:lineRule="auto"/>
        <w:ind w:firstLine="480" w:firstLineChars="200"/>
        <w:jc w:val="left"/>
        <w:rPr>
          <w:rFonts w:ascii="宋体" w:hAnsi="宋体" w:eastAsia="仿宋" w:cs="宋体"/>
          <w:snapToGrid w:val="0"/>
          <w:color w:val="000000"/>
          <w:kern w:val="0"/>
          <w:sz w:val="24"/>
        </w:rPr>
      </w:pPr>
      <w:r>
        <w:rPr>
          <w:rFonts w:hint="eastAsia" w:ascii="宋体" w:hAnsi="宋体" w:eastAsia="仿宋" w:cs="宋体"/>
          <w:snapToGrid w:val="0"/>
          <w:color w:val="000000"/>
          <w:kern w:val="0"/>
          <w:sz w:val="24"/>
        </w:rPr>
        <w:t>三、本保函的有效期为以下第</w:t>
      </w:r>
      <w:r>
        <w:rPr>
          <w:rFonts w:hint="eastAsia" w:ascii="宋体" w:hAnsi="宋体" w:eastAsia="仿宋" w:cs="宋体"/>
          <w:snapToGrid w:val="0"/>
          <w:color w:val="000000"/>
          <w:kern w:val="0"/>
          <w:sz w:val="24"/>
          <w:u w:val="single"/>
        </w:rPr>
        <w:t xml:space="preserve">   1    </w:t>
      </w:r>
      <w:r>
        <w:rPr>
          <w:rFonts w:hint="eastAsia" w:ascii="宋体" w:hAnsi="宋体" w:eastAsia="仿宋" w:cs="宋体"/>
          <w:snapToGrid w:val="0"/>
          <w:color w:val="000000"/>
          <w:kern w:val="0"/>
          <w:sz w:val="24"/>
        </w:rPr>
        <w:t>种：</w:t>
      </w:r>
    </w:p>
    <w:p w14:paraId="5F90EAF9">
      <w:pPr>
        <w:snapToGrid w:val="0"/>
        <w:spacing w:line="360" w:lineRule="auto"/>
        <w:ind w:firstLine="480" w:firstLineChars="200"/>
        <w:jc w:val="left"/>
        <w:rPr>
          <w:rFonts w:ascii="宋体" w:hAnsi="宋体" w:eastAsia="仿宋"/>
          <w:snapToGrid w:val="0"/>
          <w:color w:val="000000"/>
          <w:kern w:val="0"/>
          <w:sz w:val="24"/>
        </w:rPr>
      </w:pPr>
      <w:r>
        <w:rPr>
          <w:rFonts w:hint="eastAsia" w:ascii="宋体" w:hAnsi="宋体" w:eastAsia="仿宋" w:cs="宋体"/>
          <w:snapToGrid w:val="0"/>
          <w:color w:val="000000"/>
          <w:kern w:val="0"/>
          <w:sz w:val="24"/>
        </w:rPr>
        <w:t>1.本保函有效期自生效之日起至</w:t>
      </w:r>
      <w:r>
        <w:rPr>
          <w:rFonts w:hint="eastAsia" w:ascii="宋体" w:hAnsi="宋体" w:eastAsia="仿宋" w:cs="宋体"/>
          <w:snapToGrid w:val="0"/>
          <w:color w:val="000000"/>
          <w:kern w:val="0"/>
          <w:sz w:val="24"/>
          <w:u w:val="single"/>
        </w:rPr>
        <w:t xml:space="preserve">  </w:t>
      </w:r>
      <w:r>
        <w:rPr>
          <w:rFonts w:ascii="宋体" w:hAnsi="宋体" w:eastAsia="仿宋" w:cs="宋体"/>
          <w:snapToGrid w:val="0"/>
          <w:color w:val="000000"/>
          <w:kern w:val="0"/>
          <w:sz w:val="24"/>
          <w:u w:val="single"/>
        </w:rPr>
        <w:t xml:space="preserve">     </w:t>
      </w:r>
      <w:r>
        <w:rPr>
          <w:rFonts w:hint="eastAsia" w:ascii="宋体" w:hAnsi="宋体" w:eastAsia="仿宋" w:cs="宋体"/>
          <w:snapToGrid w:val="0"/>
          <w:color w:val="000000"/>
          <w:kern w:val="0"/>
          <w:sz w:val="24"/>
        </w:rPr>
        <w:t>年</w:t>
      </w:r>
      <w:r>
        <w:rPr>
          <w:rFonts w:hint="eastAsia" w:ascii="宋体" w:hAnsi="宋体" w:eastAsia="仿宋" w:cs="宋体"/>
          <w:snapToGrid w:val="0"/>
          <w:color w:val="000000"/>
          <w:kern w:val="0"/>
          <w:sz w:val="24"/>
          <w:u w:val="single"/>
        </w:rPr>
        <w:t xml:space="preserve">   </w:t>
      </w:r>
      <w:r>
        <w:rPr>
          <w:rFonts w:ascii="宋体" w:hAnsi="宋体" w:eastAsia="仿宋" w:cs="宋体"/>
          <w:snapToGrid w:val="0"/>
          <w:color w:val="000000"/>
          <w:kern w:val="0"/>
          <w:sz w:val="24"/>
          <w:u w:val="single"/>
        </w:rPr>
        <w:t xml:space="preserve"> </w:t>
      </w:r>
      <w:r>
        <w:rPr>
          <w:rFonts w:hint="eastAsia" w:ascii="宋体" w:hAnsi="宋体" w:eastAsia="仿宋" w:cs="宋体"/>
          <w:snapToGrid w:val="0"/>
          <w:color w:val="000000"/>
          <w:kern w:val="0"/>
          <w:sz w:val="24"/>
          <w:u w:val="single"/>
        </w:rPr>
        <w:t xml:space="preserve">  </w:t>
      </w:r>
      <w:r>
        <w:rPr>
          <w:rFonts w:hint="eastAsia" w:ascii="宋体" w:hAnsi="宋体" w:eastAsia="仿宋" w:cs="宋体"/>
          <w:snapToGrid w:val="0"/>
          <w:color w:val="000000"/>
          <w:kern w:val="0"/>
          <w:sz w:val="24"/>
        </w:rPr>
        <w:t>月</w:t>
      </w:r>
      <w:r>
        <w:rPr>
          <w:rFonts w:hint="eastAsia" w:ascii="宋体" w:hAnsi="宋体" w:eastAsia="仿宋" w:cs="宋体"/>
          <w:snapToGrid w:val="0"/>
          <w:color w:val="000000"/>
          <w:kern w:val="0"/>
          <w:sz w:val="24"/>
          <w:u w:val="single"/>
        </w:rPr>
        <w:t xml:space="preserve">  </w:t>
      </w:r>
      <w:r>
        <w:rPr>
          <w:rFonts w:ascii="宋体" w:hAnsi="宋体" w:eastAsia="仿宋" w:cs="宋体"/>
          <w:snapToGrid w:val="0"/>
          <w:color w:val="000000"/>
          <w:kern w:val="0"/>
          <w:sz w:val="24"/>
          <w:u w:val="single"/>
        </w:rPr>
        <w:t xml:space="preserve">  </w:t>
      </w:r>
      <w:r>
        <w:rPr>
          <w:rFonts w:hint="eastAsia" w:ascii="宋体" w:hAnsi="宋体" w:eastAsia="仿宋" w:cs="宋体"/>
          <w:snapToGrid w:val="0"/>
          <w:color w:val="000000"/>
          <w:kern w:val="0"/>
          <w:sz w:val="24"/>
          <w:u w:val="single"/>
        </w:rPr>
        <w:t xml:space="preserve">  </w:t>
      </w:r>
      <w:r>
        <w:rPr>
          <w:rFonts w:hint="eastAsia" w:ascii="宋体" w:hAnsi="宋体" w:eastAsia="仿宋" w:cs="宋体"/>
          <w:snapToGrid w:val="0"/>
          <w:color w:val="000000"/>
          <w:kern w:val="0"/>
          <w:sz w:val="24"/>
        </w:rPr>
        <w:t>日止</w:t>
      </w:r>
      <w:r>
        <w:rPr>
          <w:rFonts w:hint="eastAsia" w:ascii="宋体" w:hAnsi="宋体" w:eastAsia="仿宋"/>
          <w:snapToGrid w:val="0"/>
          <w:color w:val="000000"/>
          <w:kern w:val="0"/>
          <w:sz w:val="24"/>
        </w:rPr>
        <w:t>。</w:t>
      </w:r>
    </w:p>
    <w:p w14:paraId="4D5964DD">
      <w:pPr>
        <w:adjustRightInd w:val="0"/>
        <w:snapToGrid w:val="0"/>
        <w:spacing w:line="360" w:lineRule="auto"/>
        <w:ind w:firstLine="480" w:firstLineChars="200"/>
        <w:rPr>
          <w:rFonts w:ascii="宋体" w:hAnsi="宋体" w:eastAsia="仿宋"/>
          <w:snapToGrid w:val="0"/>
          <w:color w:val="000000"/>
          <w:kern w:val="0"/>
          <w:sz w:val="24"/>
        </w:rPr>
      </w:pPr>
      <w:r>
        <w:rPr>
          <w:rFonts w:hint="eastAsia" w:ascii="宋体" w:hAnsi="宋体" w:eastAsia="仿宋"/>
          <w:snapToGrid w:val="0"/>
          <w:color w:val="000000"/>
          <w:kern w:val="0"/>
          <w:sz w:val="24"/>
        </w:rPr>
        <w:t>2.</w:t>
      </w:r>
      <w:r>
        <w:rPr>
          <w:rFonts w:hint="eastAsia" w:ascii="宋体" w:hAnsi="宋体" w:eastAsia="仿宋"/>
          <w:snapToGrid w:val="0"/>
          <w:color w:val="000000"/>
          <w:kern w:val="0"/>
          <w:sz w:val="24"/>
          <w:u w:val="single"/>
        </w:rPr>
        <w:t xml:space="preserve">                                /                    </w:t>
      </w:r>
      <w:r>
        <w:rPr>
          <w:rFonts w:hint="eastAsia" w:ascii="宋体" w:hAnsi="宋体" w:eastAsia="仿宋"/>
          <w:snapToGrid w:val="0"/>
          <w:color w:val="000000"/>
          <w:kern w:val="0"/>
          <w:sz w:val="24"/>
        </w:rPr>
        <w:t>。</w:t>
      </w:r>
    </w:p>
    <w:p w14:paraId="42735C00">
      <w:pPr>
        <w:snapToGrid w:val="0"/>
        <w:spacing w:line="360" w:lineRule="auto"/>
        <w:ind w:firstLine="480" w:firstLineChars="200"/>
        <w:jc w:val="left"/>
        <w:rPr>
          <w:rFonts w:ascii="宋体" w:hAnsi="宋体" w:eastAsia="仿宋"/>
          <w:snapToGrid w:val="0"/>
          <w:kern w:val="0"/>
          <w:sz w:val="24"/>
        </w:rPr>
      </w:pPr>
      <w:r>
        <w:rPr>
          <w:rFonts w:hint="eastAsia" w:ascii="宋体" w:hAnsi="宋体" w:eastAsia="仿宋"/>
          <w:color w:val="000000"/>
          <w:sz w:val="24"/>
        </w:rPr>
        <w:t>四、在本保函的有效期内，如被保证人</w:t>
      </w:r>
      <w:r>
        <w:rPr>
          <w:rFonts w:hint="eastAsia" w:ascii="宋体" w:hAnsi="宋体" w:eastAsia="仿宋"/>
          <w:snapToGrid w:val="0"/>
          <w:color w:val="000000"/>
          <w:kern w:val="0"/>
          <w:sz w:val="24"/>
        </w:rPr>
        <w:t>违反上述合同的约定给你方造成</w:t>
      </w:r>
      <w:r>
        <w:rPr>
          <w:rFonts w:hint="eastAsia" w:ascii="宋体" w:hAnsi="宋体" w:eastAsia="仿宋"/>
          <w:snapToGrid w:val="0"/>
          <w:kern w:val="0"/>
          <w:sz w:val="24"/>
        </w:rPr>
        <w:t>经济损失的，我方将在收到你方提交的本保函原件及符合下列全部条件的索赔通知后</w:t>
      </w:r>
      <w:r>
        <w:rPr>
          <w:rFonts w:hint="eastAsia" w:ascii="宋体" w:hAnsi="宋体" w:eastAsia="仿宋"/>
          <w:snapToGrid w:val="0"/>
          <w:kern w:val="0"/>
          <w:sz w:val="24"/>
          <w:u w:val="single"/>
        </w:rPr>
        <w:t>10</w:t>
      </w:r>
      <w:r>
        <w:rPr>
          <w:rFonts w:hint="eastAsia" w:ascii="宋体" w:hAnsi="宋体" w:eastAsia="仿宋"/>
          <w:snapToGrid w:val="0"/>
          <w:kern w:val="0"/>
          <w:sz w:val="24"/>
        </w:rPr>
        <w:t>个工作日内，以上述担保金额为限支付你方索赔金额：</w:t>
      </w:r>
    </w:p>
    <w:p w14:paraId="749F4856">
      <w:pPr>
        <w:adjustRightInd w:val="0"/>
        <w:snapToGrid w:val="0"/>
        <w:spacing w:line="360" w:lineRule="auto"/>
        <w:ind w:firstLine="480" w:firstLineChars="200"/>
        <w:rPr>
          <w:rFonts w:ascii="宋体" w:hAnsi="宋体" w:eastAsia="仿宋"/>
          <w:sz w:val="24"/>
        </w:rPr>
      </w:pPr>
      <w:r>
        <w:rPr>
          <w:rFonts w:hint="eastAsia" w:ascii="宋体" w:hAnsi="宋体" w:eastAsia="仿宋"/>
          <w:snapToGrid w:val="0"/>
          <w:kern w:val="0"/>
          <w:sz w:val="24"/>
        </w:rPr>
        <w:t>（一）索赔通知必须以书面形式提出，列明索赔金额，并由你方法定代表人（负责人）或授权代理人签字并加盖公章；代理人签署索赔通知的，应当同时提交法定代表人（负责人）签发的授权文件。</w:t>
      </w:r>
    </w:p>
    <w:p w14:paraId="591874DE">
      <w:pPr>
        <w:adjustRightInd w:val="0"/>
        <w:snapToGrid w:val="0"/>
        <w:spacing w:line="360" w:lineRule="auto"/>
        <w:ind w:firstLine="480" w:firstLineChars="200"/>
        <w:rPr>
          <w:rFonts w:ascii="宋体" w:hAnsi="宋体" w:eastAsia="仿宋"/>
          <w:snapToGrid w:val="0"/>
          <w:kern w:val="0"/>
          <w:sz w:val="24"/>
        </w:rPr>
      </w:pPr>
      <w:r>
        <w:rPr>
          <w:rFonts w:hint="eastAsia" w:ascii="宋体" w:hAnsi="宋体" w:eastAsia="仿宋"/>
          <w:snapToGrid w:val="0"/>
          <w:kern w:val="0"/>
          <w:sz w:val="24"/>
        </w:rPr>
        <w:t>（二）索赔通知必须同时附有：</w:t>
      </w:r>
    </w:p>
    <w:p w14:paraId="04803E8F">
      <w:pPr>
        <w:adjustRightInd w:val="0"/>
        <w:snapToGrid w:val="0"/>
        <w:spacing w:line="360" w:lineRule="auto"/>
        <w:ind w:firstLine="480" w:firstLineChars="200"/>
        <w:rPr>
          <w:rFonts w:ascii="宋体" w:hAnsi="宋体" w:eastAsia="仿宋"/>
          <w:snapToGrid w:val="0"/>
          <w:color w:val="000000"/>
          <w:kern w:val="0"/>
          <w:sz w:val="24"/>
        </w:rPr>
      </w:pPr>
      <w:r>
        <w:rPr>
          <w:rFonts w:hint="eastAsia" w:ascii="宋体" w:hAnsi="宋体" w:eastAsia="仿宋"/>
          <w:snapToGrid w:val="0"/>
          <w:color w:val="000000"/>
          <w:kern w:val="0"/>
          <w:sz w:val="24"/>
        </w:rPr>
        <w:t>1.一项书面声明，声明索赔款项并未由</w:t>
      </w:r>
      <w:r>
        <w:rPr>
          <w:rFonts w:hint="eastAsia" w:ascii="宋体" w:hAnsi="宋体" w:eastAsia="仿宋"/>
          <w:color w:val="000000"/>
          <w:sz w:val="24"/>
        </w:rPr>
        <w:t>被保证人</w:t>
      </w:r>
      <w:r>
        <w:rPr>
          <w:rFonts w:hint="eastAsia" w:ascii="宋体" w:hAnsi="宋体" w:eastAsia="仿宋"/>
          <w:snapToGrid w:val="0"/>
          <w:color w:val="000000"/>
          <w:kern w:val="0"/>
          <w:sz w:val="24"/>
        </w:rPr>
        <w:t>或其代理人直接或间接地支付给你方；</w:t>
      </w:r>
    </w:p>
    <w:p w14:paraId="0F35EE35">
      <w:pPr>
        <w:adjustRightInd w:val="0"/>
        <w:snapToGrid w:val="0"/>
        <w:spacing w:line="360" w:lineRule="auto"/>
        <w:ind w:firstLine="480" w:firstLineChars="200"/>
        <w:rPr>
          <w:rFonts w:ascii="宋体" w:hAnsi="宋体" w:eastAsia="仿宋"/>
          <w:snapToGrid w:val="0"/>
          <w:color w:val="000000"/>
          <w:kern w:val="0"/>
          <w:sz w:val="24"/>
        </w:rPr>
      </w:pPr>
      <w:r>
        <w:rPr>
          <w:rFonts w:hint="eastAsia" w:ascii="宋体" w:hAnsi="宋体" w:eastAsia="仿宋"/>
          <w:snapToGrid w:val="0"/>
          <w:color w:val="000000"/>
          <w:kern w:val="0"/>
          <w:sz w:val="24"/>
        </w:rPr>
        <w:t>2. 证明</w:t>
      </w:r>
      <w:r>
        <w:rPr>
          <w:rFonts w:hint="eastAsia" w:ascii="宋体" w:hAnsi="宋体" w:eastAsia="仿宋"/>
          <w:color w:val="000000"/>
          <w:sz w:val="24"/>
        </w:rPr>
        <w:t>被保证人</w:t>
      </w:r>
      <w:r>
        <w:rPr>
          <w:rFonts w:hint="eastAsia" w:ascii="宋体" w:hAnsi="宋体" w:eastAsia="仿宋"/>
          <w:snapToGrid w:val="0"/>
          <w:color w:val="000000"/>
          <w:kern w:val="0"/>
          <w:sz w:val="24"/>
        </w:rPr>
        <w:t>违反上述合同的约定以及有责任支付你方索赔金额的证据，包括但不限于已发生法律效力的法院判决书或仲裁裁决书等。</w:t>
      </w:r>
    </w:p>
    <w:p w14:paraId="6BAABEDD">
      <w:pPr>
        <w:adjustRightInd w:val="0"/>
        <w:snapToGrid w:val="0"/>
        <w:spacing w:line="360" w:lineRule="auto"/>
        <w:ind w:firstLine="480" w:firstLineChars="200"/>
        <w:rPr>
          <w:rFonts w:ascii="宋体" w:hAnsi="宋体" w:eastAsia="仿宋"/>
          <w:snapToGrid w:val="0"/>
          <w:kern w:val="0"/>
          <w:sz w:val="24"/>
        </w:rPr>
      </w:pPr>
      <w:r>
        <w:rPr>
          <w:rFonts w:hint="eastAsia" w:ascii="宋体" w:hAnsi="宋体" w:eastAsia="仿宋"/>
          <w:snapToGrid w:val="0"/>
          <w:kern w:val="0"/>
          <w:sz w:val="24"/>
        </w:rPr>
        <w:t>3.索赔资料应在有效期内送达我方，否则我方不承担责任。</w:t>
      </w:r>
    </w:p>
    <w:p w14:paraId="6AB9C6DD">
      <w:pPr>
        <w:adjustRightInd w:val="0"/>
        <w:snapToGrid w:val="0"/>
        <w:spacing w:line="360" w:lineRule="auto"/>
        <w:ind w:firstLine="480" w:firstLineChars="200"/>
        <w:rPr>
          <w:rFonts w:ascii="宋体" w:hAnsi="宋体" w:eastAsia="仿宋"/>
          <w:sz w:val="24"/>
        </w:rPr>
      </w:pPr>
      <w:r>
        <w:rPr>
          <w:rFonts w:hint="eastAsia" w:ascii="宋体" w:hAnsi="宋体" w:eastAsia="仿宋"/>
          <w:sz w:val="24"/>
        </w:rPr>
        <w:t>（三）索赔通知必须在本保函有效期内到达以下地址</w:t>
      </w:r>
      <w:r>
        <w:rPr>
          <w:rFonts w:hint="eastAsia" w:ascii="宋体" w:hAnsi="宋体" w:eastAsia="仿宋"/>
          <w:sz w:val="24"/>
          <w:u w:val="single"/>
        </w:rPr>
        <w:t xml:space="preserve"> </w:t>
      </w:r>
      <w:r>
        <w:rPr>
          <w:rFonts w:ascii="宋体" w:hAnsi="宋体" w:eastAsia="仿宋"/>
          <w:sz w:val="24"/>
          <w:u w:val="single"/>
        </w:rPr>
        <w:t xml:space="preserve">                     </w:t>
      </w:r>
      <w:r>
        <w:rPr>
          <w:rFonts w:hint="eastAsia" w:ascii="宋体" w:hAnsi="宋体" w:eastAsia="仿宋"/>
          <w:sz w:val="24"/>
        </w:rPr>
        <w:t>。</w:t>
      </w:r>
    </w:p>
    <w:p w14:paraId="4014A207">
      <w:pPr>
        <w:adjustRightInd w:val="0"/>
        <w:snapToGrid w:val="0"/>
        <w:spacing w:line="360" w:lineRule="auto"/>
        <w:ind w:firstLine="480" w:firstLineChars="200"/>
        <w:rPr>
          <w:rFonts w:ascii="宋体" w:hAnsi="宋体" w:eastAsia="仿宋"/>
          <w:sz w:val="24"/>
        </w:rPr>
      </w:pPr>
      <w:r>
        <w:rPr>
          <w:rFonts w:hint="eastAsia" w:ascii="宋体" w:hAnsi="宋体" w:eastAsia="仿宋"/>
          <w:snapToGrid w:val="0"/>
          <w:kern w:val="0"/>
          <w:sz w:val="24"/>
        </w:rPr>
        <w:t>五、</w:t>
      </w:r>
      <w:r>
        <w:rPr>
          <w:rFonts w:hint="eastAsia" w:ascii="宋体" w:hAnsi="宋体" w:eastAsia="仿宋"/>
          <w:sz w:val="24"/>
        </w:rPr>
        <w:t>本保函担保金额将随被保证人逐步履行保函项下合同约定或法定的义务以及我方</w:t>
      </w:r>
      <w:r>
        <w:rPr>
          <w:rFonts w:hint="eastAsia" w:ascii="宋体" w:hAnsi="宋体" w:eastAsia="仿宋"/>
          <w:snapToGrid w:val="0"/>
          <w:kern w:val="0"/>
          <w:sz w:val="24"/>
        </w:rPr>
        <w:t>按你方索赔通知要求分次支付</w:t>
      </w:r>
      <w:r>
        <w:rPr>
          <w:rFonts w:hint="eastAsia" w:ascii="宋体" w:hAnsi="宋体" w:eastAsia="仿宋"/>
          <w:sz w:val="24"/>
        </w:rPr>
        <w:t>而相应递减。</w:t>
      </w:r>
    </w:p>
    <w:p w14:paraId="12C02A61">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z w:val="24"/>
        </w:rPr>
        <w:t>六、本保函项下的权利不得转让，不得设定担保。</w:t>
      </w:r>
    </w:p>
    <w:p w14:paraId="51F4F299">
      <w:pPr>
        <w:pStyle w:val="19"/>
        <w:snapToGrid w:val="0"/>
        <w:spacing w:after="0" w:line="360" w:lineRule="auto"/>
        <w:ind w:left="0" w:leftChars="0" w:firstLine="480" w:firstLineChars="200"/>
        <w:rPr>
          <w:rFonts w:ascii="宋体" w:hAnsi="宋体" w:eastAsia="仿宋"/>
          <w:iCs/>
          <w:sz w:val="24"/>
          <w:u w:val="single"/>
        </w:rPr>
      </w:pPr>
      <w:r>
        <w:rPr>
          <w:rFonts w:hint="eastAsia" w:ascii="宋体" w:hAnsi="宋体" w:eastAsia="仿宋"/>
          <w:iCs/>
          <w:sz w:val="24"/>
        </w:rPr>
        <w:t>七、本保函项下的合同或基础交易不成立、不生效、无效、被撤销、被解除，本保函无效；被保证人基于保函项下的合同或基础交易或其他原因的抗辩，我方均有权主张。</w:t>
      </w:r>
    </w:p>
    <w:p w14:paraId="06F28339">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napToGrid w:val="0"/>
          <w:kern w:val="0"/>
          <w:sz w:val="24"/>
        </w:rPr>
        <w:t>八、</w:t>
      </w:r>
      <w:r>
        <w:rPr>
          <w:rFonts w:hint="eastAsia" w:ascii="宋体" w:hAnsi="宋体" w:eastAsia="仿宋"/>
          <w:iCs/>
          <w:sz w:val="24"/>
        </w:rPr>
        <w:t>因本保函发生争议协商解决不成，按以下第</w:t>
      </w:r>
      <w:r>
        <w:rPr>
          <w:rFonts w:hint="eastAsia" w:ascii="宋体" w:hAnsi="宋体" w:eastAsia="仿宋"/>
          <w:iCs/>
          <w:sz w:val="24"/>
          <w:u w:val="single"/>
        </w:rPr>
        <w:t>（一）</w:t>
      </w:r>
      <w:r>
        <w:rPr>
          <w:rFonts w:hint="eastAsia" w:ascii="宋体" w:hAnsi="宋体" w:eastAsia="仿宋"/>
          <w:iCs/>
          <w:sz w:val="24"/>
        </w:rPr>
        <w:t>种方式解决：</w:t>
      </w:r>
    </w:p>
    <w:p w14:paraId="3FCFFB61">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z w:val="24"/>
        </w:rPr>
        <w:t>（一）向</w:t>
      </w:r>
      <w:r>
        <w:rPr>
          <w:rFonts w:hint="eastAsia" w:ascii="宋体" w:hAnsi="宋体" w:eastAsia="仿宋"/>
          <w:iCs/>
          <w:sz w:val="24"/>
          <w:u w:val="single"/>
        </w:rPr>
        <w:t xml:space="preserve">      </w:t>
      </w:r>
      <w:r>
        <w:rPr>
          <w:rFonts w:hint="eastAsia" w:ascii="宋体" w:hAnsi="宋体" w:eastAsia="仿宋"/>
          <w:iCs/>
          <w:sz w:val="24"/>
        </w:rPr>
        <w:t>所在地的人民法院起诉。</w:t>
      </w:r>
    </w:p>
    <w:p w14:paraId="08424EB4">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z w:val="24"/>
        </w:rPr>
        <w:t>（二）提交</w:t>
      </w:r>
      <w:r>
        <w:rPr>
          <w:rFonts w:hint="eastAsia" w:ascii="宋体" w:hAnsi="宋体" w:eastAsia="仿宋"/>
          <w:iCs/>
          <w:sz w:val="24"/>
          <w:u w:val="single"/>
        </w:rPr>
        <w:t xml:space="preserve">  /   </w:t>
      </w:r>
      <w:r>
        <w:rPr>
          <w:rFonts w:hint="eastAsia" w:ascii="宋体" w:hAnsi="宋体" w:eastAsia="仿宋"/>
          <w:iCs/>
          <w:sz w:val="24"/>
        </w:rPr>
        <w:t>仲裁委员会（仲裁地点为</w:t>
      </w:r>
      <w:r>
        <w:rPr>
          <w:rFonts w:hint="eastAsia" w:ascii="宋体" w:hAnsi="宋体" w:eastAsia="仿宋"/>
          <w:iCs/>
          <w:sz w:val="24"/>
          <w:u w:val="single"/>
        </w:rPr>
        <w:t xml:space="preserve">   /  </w:t>
      </w:r>
      <w:r>
        <w:rPr>
          <w:rFonts w:hint="eastAsia" w:ascii="宋体" w:hAnsi="宋体" w:eastAsia="仿宋"/>
          <w:iCs/>
          <w:sz w:val="24"/>
        </w:rPr>
        <w:t>）,按照申请仲裁时该会现行有效的仲裁规则进行仲裁。仲裁裁决是终局的，对双方均有约束力。</w:t>
      </w:r>
    </w:p>
    <w:p w14:paraId="18A1AF54">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napToGrid w:val="0"/>
          <w:kern w:val="0"/>
          <w:sz w:val="24"/>
        </w:rPr>
        <w:t>九、</w:t>
      </w:r>
      <w:r>
        <w:rPr>
          <w:rFonts w:hint="eastAsia" w:ascii="宋体" w:hAnsi="宋体" w:eastAsia="仿宋"/>
          <w:iCs/>
          <w:sz w:val="24"/>
        </w:rPr>
        <w:t>本保函有效期届满或提前终止，本保函失效，我方在本保函项下的责任消灭，受益人应立即将本保函原件退还我方；受益人未履行上述义务，本保函仍在有效期届至或提前终止之日失效。</w:t>
      </w:r>
    </w:p>
    <w:p w14:paraId="202514C9">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z w:val="24"/>
        </w:rPr>
        <w:t>十、本保函适用中华人民共和国法律。</w:t>
      </w:r>
    </w:p>
    <w:p w14:paraId="5D72F7D3">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z w:val="24"/>
        </w:rPr>
        <w:t>十一、其他条款：</w:t>
      </w:r>
    </w:p>
    <w:p w14:paraId="02781AA7">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z w:val="24"/>
          <w:u w:val="single"/>
        </w:rPr>
        <w:t xml:space="preserve">                 /              </w:t>
      </w:r>
      <w:r>
        <w:rPr>
          <w:rFonts w:hint="eastAsia" w:ascii="宋体" w:hAnsi="宋体" w:eastAsia="仿宋"/>
          <w:iCs/>
          <w:sz w:val="24"/>
        </w:rPr>
        <w:t>。</w:t>
      </w:r>
    </w:p>
    <w:p w14:paraId="2AF0693E">
      <w:pPr>
        <w:pStyle w:val="19"/>
        <w:snapToGrid w:val="0"/>
        <w:spacing w:after="0" w:line="360" w:lineRule="auto"/>
        <w:ind w:left="0" w:leftChars="0" w:firstLine="480" w:firstLineChars="200"/>
        <w:rPr>
          <w:rFonts w:ascii="宋体" w:hAnsi="宋体" w:eastAsia="仿宋"/>
          <w:iCs/>
          <w:sz w:val="24"/>
        </w:rPr>
      </w:pPr>
      <w:r>
        <w:rPr>
          <w:rFonts w:hint="eastAsia" w:ascii="宋体" w:hAnsi="宋体" w:eastAsia="仿宋"/>
          <w:iCs/>
          <w:sz w:val="24"/>
        </w:rPr>
        <w:t>十二、本保函自我方负责人或授权代理人签字并加盖公章之日起生效。</w:t>
      </w:r>
    </w:p>
    <w:p w14:paraId="076671C0">
      <w:pPr>
        <w:pStyle w:val="19"/>
        <w:snapToGrid w:val="0"/>
        <w:spacing w:after="0" w:line="360" w:lineRule="auto"/>
        <w:ind w:left="0" w:leftChars="0" w:firstLine="200"/>
        <w:rPr>
          <w:rFonts w:ascii="宋体" w:hAnsi="宋体" w:eastAsia="仿宋"/>
          <w:iCs/>
          <w:sz w:val="24"/>
        </w:rPr>
      </w:pPr>
    </w:p>
    <w:p w14:paraId="18810EBF">
      <w:pPr>
        <w:snapToGrid w:val="0"/>
        <w:spacing w:line="360" w:lineRule="auto"/>
        <w:ind w:firstLine="2640" w:firstLineChars="1100"/>
        <w:rPr>
          <w:rFonts w:ascii="宋体" w:hAnsi="宋体" w:eastAsia="仿宋"/>
          <w:sz w:val="24"/>
        </w:rPr>
      </w:pPr>
      <w:r>
        <w:rPr>
          <w:rFonts w:hint="eastAsia" w:ascii="宋体" w:hAnsi="宋体" w:eastAsia="仿宋"/>
          <w:sz w:val="24"/>
        </w:rPr>
        <w:t xml:space="preserve">保证人（公章）： </w:t>
      </w:r>
      <w:r>
        <w:rPr>
          <w:rFonts w:hint="eastAsia" w:ascii="宋体" w:hAnsi="宋体" w:eastAsia="仿宋"/>
          <w:iCs/>
          <w:sz w:val="24"/>
          <w:u w:val="single"/>
        </w:rPr>
        <w:t xml:space="preserve">                        </w:t>
      </w:r>
    </w:p>
    <w:p w14:paraId="7C40EB2A">
      <w:pPr>
        <w:snapToGrid w:val="0"/>
        <w:spacing w:line="360" w:lineRule="auto"/>
        <w:ind w:firstLine="2640" w:firstLineChars="1100"/>
        <w:rPr>
          <w:rFonts w:ascii="宋体" w:hAnsi="宋体" w:eastAsia="仿宋"/>
          <w:sz w:val="24"/>
        </w:rPr>
      </w:pPr>
      <w:r>
        <w:rPr>
          <w:rFonts w:hint="eastAsia" w:ascii="宋体" w:hAnsi="宋体" w:eastAsia="仿宋"/>
          <w:sz w:val="24"/>
        </w:rPr>
        <w:t>负责人或授权代理人（签字）：</w:t>
      </w:r>
      <w:r>
        <w:rPr>
          <w:rFonts w:hint="eastAsia" w:ascii="宋体" w:hAnsi="宋体" w:eastAsia="仿宋"/>
          <w:iCs/>
          <w:sz w:val="24"/>
          <w:u w:val="single"/>
        </w:rPr>
        <w:t xml:space="preserve">              </w:t>
      </w:r>
    </w:p>
    <w:p w14:paraId="086EAC50">
      <w:pPr>
        <w:snapToGrid w:val="0"/>
        <w:spacing w:line="360" w:lineRule="auto"/>
        <w:ind w:firstLine="2640" w:firstLineChars="1100"/>
        <w:rPr>
          <w:rFonts w:ascii="宋体" w:hAnsi="宋体" w:eastAsia="仿宋"/>
          <w:sz w:val="24"/>
        </w:rPr>
      </w:pPr>
      <w:r>
        <w:rPr>
          <w:rFonts w:hint="eastAsia" w:ascii="宋体" w:hAnsi="宋体" w:eastAsia="仿宋"/>
          <w:sz w:val="24"/>
        </w:rPr>
        <w:t xml:space="preserve">邮编： </w:t>
      </w:r>
    </w:p>
    <w:p w14:paraId="3C3ED98B">
      <w:pPr>
        <w:snapToGrid w:val="0"/>
        <w:spacing w:line="360" w:lineRule="auto"/>
        <w:ind w:firstLine="2640" w:firstLineChars="1100"/>
        <w:rPr>
          <w:rFonts w:ascii="宋体" w:hAnsi="宋体" w:eastAsia="仿宋"/>
          <w:sz w:val="24"/>
        </w:rPr>
      </w:pPr>
      <w:r>
        <w:rPr>
          <w:rFonts w:hint="eastAsia" w:ascii="宋体" w:hAnsi="宋体" w:eastAsia="仿宋"/>
          <w:sz w:val="24"/>
        </w:rPr>
        <w:t>电话：</w:t>
      </w:r>
      <w:r>
        <w:rPr>
          <w:rFonts w:ascii="宋体" w:hAnsi="宋体" w:eastAsia="仿宋"/>
          <w:sz w:val="24"/>
        </w:rPr>
        <w:t xml:space="preserve"> </w:t>
      </w:r>
    </w:p>
    <w:p w14:paraId="76911684">
      <w:pPr>
        <w:snapToGrid w:val="0"/>
        <w:spacing w:line="360" w:lineRule="auto"/>
        <w:ind w:firstLine="2640" w:firstLineChars="1100"/>
        <w:rPr>
          <w:rFonts w:ascii="宋体" w:hAnsi="宋体" w:eastAsia="仿宋"/>
          <w:sz w:val="24"/>
        </w:rPr>
      </w:pPr>
      <w:r>
        <w:rPr>
          <w:rFonts w:hint="eastAsia" w:ascii="宋体" w:hAnsi="宋体" w:eastAsia="仿宋"/>
          <w:sz w:val="24"/>
        </w:rPr>
        <w:t xml:space="preserve">传真： </w:t>
      </w:r>
    </w:p>
    <w:p w14:paraId="57356CFB">
      <w:pPr>
        <w:snapToGrid w:val="0"/>
        <w:spacing w:line="360" w:lineRule="auto"/>
        <w:ind w:firstLine="2640" w:firstLineChars="1100"/>
        <w:rPr>
          <w:rFonts w:ascii="宋体" w:hAnsi="宋体" w:eastAsia="仿宋"/>
          <w:sz w:val="24"/>
        </w:rPr>
      </w:pPr>
      <w:r>
        <w:rPr>
          <w:rFonts w:hint="eastAsia" w:ascii="宋体" w:hAnsi="宋体" w:eastAsia="仿宋"/>
          <w:sz w:val="24"/>
        </w:rPr>
        <w:t xml:space="preserve">签发日期 </w:t>
      </w:r>
      <w:r>
        <w:rPr>
          <w:rFonts w:hint="eastAsia" w:ascii="宋体" w:hAnsi="宋体" w:eastAsia="仿宋"/>
          <w:sz w:val="24"/>
          <w:u w:val="single"/>
        </w:rPr>
        <w:t xml:space="preserve">        </w:t>
      </w:r>
      <w:r>
        <w:rPr>
          <w:rFonts w:hint="eastAsia" w:ascii="宋体" w:hAnsi="宋体" w:eastAsia="仿宋"/>
          <w:sz w:val="24"/>
        </w:rPr>
        <w:t>年</w:t>
      </w:r>
      <w:r>
        <w:rPr>
          <w:rFonts w:hint="eastAsia" w:ascii="宋体" w:hAnsi="宋体" w:eastAsia="仿宋"/>
          <w:sz w:val="24"/>
          <w:u w:val="single"/>
        </w:rPr>
        <w:t xml:space="preserve">     </w:t>
      </w:r>
      <w:r>
        <w:rPr>
          <w:rFonts w:hint="eastAsia" w:ascii="宋体" w:hAnsi="宋体" w:eastAsia="仿宋"/>
          <w:sz w:val="24"/>
        </w:rPr>
        <w:t>月</w:t>
      </w:r>
      <w:r>
        <w:rPr>
          <w:rFonts w:hint="eastAsia" w:ascii="宋体" w:hAnsi="宋体" w:eastAsia="仿宋"/>
          <w:sz w:val="24"/>
          <w:u w:val="single"/>
        </w:rPr>
        <w:t xml:space="preserve">     </w:t>
      </w:r>
      <w:r>
        <w:rPr>
          <w:rFonts w:hint="eastAsia" w:ascii="宋体" w:hAnsi="宋体" w:eastAsia="仿宋"/>
          <w:sz w:val="24"/>
        </w:rPr>
        <w:t>日</w:t>
      </w:r>
    </w:p>
    <w:p w14:paraId="61336744">
      <w:pPr>
        <w:autoSpaceDE w:val="0"/>
        <w:autoSpaceDN w:val="0"/>
        <w:adjustRightInd w:val="0"/>
        <w:spacing w:line="200" w:lineRule="exact"/>
        <w:contextualSpacing/>
        <w:jc w:val="left"/>
        <w:rPr>
          <w:rFonts w:ascii="宋体" w:hAnsi="宋体" w:eastAsia="仿宋" w:cs="Microsoft JhengHei"/>
          <w:kern w:val="0"/>
          <w:sz w:val="20"/>
          <w:szCs w:val="20"/>
        </w:rPr>
      </w:pPr>
    </w:p>
    <w:p w14:paraId="538C1142">
      <w:pPr>
        <w:rPr>
          <w:rFonts w:eastAsia="仿宋"/>
        </w:rPr>
      </w:pPr>
      <w:r>
        <w:rPr>
          <w:rFonts w:hint="eastAsia" w:eastAsia="仿宋"/>
        </w:rPr>
        <w:t>注：</w:t>
      </w:r>
    </w:p>
    <w:p w14:paraId="13D798C4">
      <w:pPr>
        <w:rPr>
          <w:rFonts w:eastAsia="仿宋"/>
        </w:rPr>
      </w:pPr>
      <w:r>
        <w:rPr>
          <w:rFonts w:hint="eastAsia" w:eastAsia="仿宋"/>
        </w:rPr>
        <w:t>1.允许供应商实际开具的银行保函或担保机构或保证保险机构出具的担保的格式与本文件提供的格式有所不同，但不得更改本文件提供的银行保函或担保格式中的实质性内容。</w:t>
      </w:r>
    </w:p>
    <w:p w14:paraId="71B7450D">
      <w:pPr>
        <w:rPr>
          <w:rFonts w:eastAsia="仿宋"/>
        </w:rPr>
      </w:pPr>
      <w:r>
        <w:rPr>
          <w:rFonts w:hint="eastAsia" w:eastAsia="仿宋"/>
        </w:rPr>
        <w:t>2.供应商开具的银行保函（或担保机构担保或保证保险）必须具有明确有效的查询途径（网址链接及查询方式）。</w:t>
      </w:r>
    </w:p>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14:paraId="5DA885A2">
      <w:pPr>
        <w:widowControl/>
        <w:rPr>
          <w:rFonts w:ascii="宋体" w:hAnsi="宋体" w:eastAsia="仿宋"/>
        </w:rPr>
      </w:pPr>
    </w:p>
    <w:p w14:paraId="7FA9D093">
      <w:pPr>
        <w:pStyle w:val="2"/>
        <w:widowControl/>
        <w:jc w:val="center"/>
        <w:rPr>
          <w:rFonts w:ascii="宋体" w:hAnsi="宋体" w:eastAsia="仿宋"/>
          <w:sz w:val="30"/>
          <w:szCs w:val="30"/>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BCF76E7">
      <w:pPr>
        <w:pStyle w:val="2"/>
        <w:widowControl/>
        <w:spacing w:before="0" w:after="0" w:line="240" w:lineRule="auto"/>
        <w:jc w:val="center"/>
        <w:rPr>
          <w:rFonts w:ascii="楷体_GB2312" w:hAnsi="楷体_GB2312" w:eastAsia="仿宋"/>
        </w:rPr>
      </w:pPr>
      <w:bookmarkStart w:id="765" w:name="_Toc445554784"/>
      <w:bookmarkStart w:id="766" w:name="_Toc466024585"/>
      <w:bookmarkStart w:id="767" w:name="_Toc27208"/>
      <w:bookmarkStart w:id="768" w:name="_Toc529209267"/>
      <w:r>
        <w:rPr>
          <w:rFonts w:hint="eastAsia" w:ascii="楷体_GB2312" w:hAnsi="楷体_GB2312" w:eastAsia="仿宋"/>
        </w:rPr>
        <w:t>第六章  响应文件格式</w:t>
      </w:r>
      <w:bookmarkEnd w:id="765"/>
      <w:bookmarkEnd w:id="766"/>
      <w:bookmarkEnd w:id="767"/>
      <w:bookmarkEnd w:id="768"/>
    </w:p>
    <w:p w14:paraId="1358BD9E">
      <w:pPr>
        <w:widowControl/>
        <w:adjustRightInd w:val="0"/>
        <w:snapToGrid w:val="0"/>
        <w:spacing w:before="48" w:beforeLines="20" w:after="48" w:afterLines="20" w:line="540" w:lineRule="exact"/>
        <w:rPr>
          <w:rFonts w:ascii="Calibri" w:hAnsi="Calibri" w:eastAsia="仿宋"/>
          <w:sz w:val="36"/>
        </w:rPr>
      </w:pPr>
    </w:p>
    <w:p w14:paraId="024A7F87">
      <w:pPr>
        <w:widowControl/>
        <w:adjustRightInd w:val="0"/>
        <w:snapToGrid w:val="0"/>
        <w:spacing w:before="48" w:beforeLines="20" w:after="48" w:afterLines="20" w:line="540" w:lineRule="exact"/>
        <w:rPr>
          <w:rFonts w:ascii="Calibri" w:hAnsi="Calibri" w:eastAsia="仿宋"/>
          <w:sz w:val="36"/>
        </w:rPr>
      </w:pPr>
    </w:p>
    <w:p w14:paraId="4C099805">
      <w:pPr>
        <w:widowControl/>
        <w:adjustRightInd w:val="0"/>
        <w:snapToGrid w:val="0"/>
        <w:spacing w:line="360" w:lineRule="auto"/>
        <w:ind w:firstLine="480" w:firstLineChars="200"/>
        <w:rPr>
          <w:rFonts w:ascii="Cambria" w:hAnsi="Calibri" w:eastAsia="仿宋"/>
          <w:sz w:val="24"/>
        </w:rPr>
      </w:pPr>
      <w:r>
        <w:rPr>
          <w:rFonts w:hint="eastAsia" w:ascii="Cambria" w:hAnsi="Calibri" w:eastAsia="仿宋"/>
          <w:sz w:val="24"/>
        </w:rPr>
        <w:t>注：1.供应商应按给定格式编制响应文件，相关格式可以扩展。磋商与评审办法、竞争性磋商文件澄清修改等竞争性磋商文件要求提供相关材料的，此处未给出格式、章节的，请供应商自定格式，编制在响应文件内。</w:t>
      </w:r>
    </w:p>
    <w:p w14:paraId="4741ADD8">
      <w:pPr>
        <w:widowControl/>
        <w:spacing w:line="560" w:lineRule="exact"/>
        <w:ind w:firstLine="480" w:firstLineChars="200"/>
        <w:jc w:val="left"/>
        <w:rPr>
          <w:rFonts w:ascii="Cambria" w:hAnsi="Calibri" w:eastAsia="仿宋"/>
          <w:sz w:val="24"/>
        </w:rPr>
      </w:pPr>
      <w:r>
        <w:rPr>
          <w:rFonts w:hint="eastAsia" w:ascii="Cambria" w:hAnsi="Calibri" w:eastAsia="仿宋"/>
          <w:sz w:val="24"/>
        </w:rPr>
        <w:t>2.采用全流程电子招标采购时，响应文件格式要求盖章的，可为电子签章，或盖章后的扫描件。响应文件格式要求签字的，电子响应文件中，应采用签字后的扫描件。</w:t>
      </w:r>
    </w:p>
    <w:p w14:paraId="251A3E92">
      <w:pPr>
        <w:widowControl/>
        <w:spacing w:line="560" w:lineRule="exact"/>
        <w:ind w:firstLine="420" w:firstLineChars="200"/>
        <w:jc w:val="center"/>
        <w:rPr>
          <w:rFonts w:ascii="宋体" w:hAnsi="宋体" w:eastAsia="仿宋"/>
          <w:szCs w:val="21"/>
        </w:rPr>
      </w:pPr>
      <w:r>
        <w:rPr>
          <w:rFonts w:ascii="宋体" w:hAnsi="宋体" w:eastAsia="仿宋"/>
          <w:szCs w:val="21"/>
        </w:rPr>
        <w:br w:type="page"/>
      </w:r>
    </w:p>
    <w:p w14:paraId="25533DF5">
      <w:pPr>
        <w:widowControl/>
        <w:spacing w:line="560" w:lineRule="exact"/>
        <w:ind w:firstLine="420" w:firstLineChars="200"/>
        <w:jc w:val="center"/>
        <w:rPr>
          <w:rFonts w:ascii="宋体" w:hAnsi="宋体" w:eastAsia="仿宋"/>
          <w:szCs w:val="21"/>
        </w:rPr>
      </w:pPr>
    </w:p>
    <w:p w14:paraId="0D945AD8">
      <w:pPr>
        <w:widowControl/>
        <w:spacing w:line="560" w:lineRule="exact"/>
        <w:ind w:firstLine="420" w:firstLineChars="200"/>
        <w:jc w:val="center"/>
        <w:rPr>
          <w:rFonts w:ascii="宋体" w:hAnsi="宋体" w:eastAsia="仿宋"/>
          <w:szCs w:val="21"/>
        </w:rPr>
      </w:pPr>
    </w:p>
    <w:p w14:paraId="694A421C">
      <w:pPr>
        <w:widowControl/>
        <w:spacing w:line="560" w:lineRule="exact"/>
        <w:ind w:firstLine="420" w:firstLineChars="200"/>
        <w:jc w:val="center"/>
        <w:rPr>
          <w:rFonts w:ascii="宋体" w:hAnsi="宋体" w:eastAsia="仿宋"/>
          <w:szCs w:val="21"/>
        </w:rPr>
      </w:pPr>
    </w:p>
    <w:p w14:paraId="0DF6E70C">
      <w:pPr>
        <w:widowControl/>
        <w:spacing w:line="560" w:lineRule="exact"/>
        <w:ind w:firstLine="420" w:firstLineChars="200"/>
        <w:jc w:val="center"/>
        <w:rPr>
          <w:rFonts w:ascii="宋体" w:hAnsi="宋体" w:cs="宋体"/>
          <w:szCs w:val="21"/>
        </w:rPr>
      </w:pPr>
    </w:p>
    <w:p w14:paraId="2BA400DA">
      <w:pPr>
        <w:widowControl/>
        <w:spacing w:line="560" w:lineRule="exact"/>
        <w:ind w:firstLine="880" w:firstLineChars="200"/>
        <w:jc w:val="center"/>
        <w:rPr>
          <w:rFonts w:ascii="宋体" w:hAnsi="宋体" w:cs="宋体"/>
          <w:sz w:val="44"/>
          <w:szCs w:val="44"/>
        </w:rPr>
      </w:pPr>
      <w:r>
        <w:rPr>
          <w:rFonts w:hint="eastAsia" w:ascii="宋体" w:hAnsi="宋体" w:cs="宋体"/>
          <w:sz w:val="44"/>
          <w:szCs w:val="44"/>
          <w:u w:val="single"/>
        </w:rPr>
        <w:t xml:space="preserve">             </w:t>
      </w:r>
      <w:r>
        <w:rPr>
          <w:rFonts w:hint="eastAsia" w:ascii="宋体" w:hAnsi="宋体" w:cs="宋体"/>
          <w:sz w:val="44"/>
          <w:szCs w:val="44"/>
        </w:rPr>
        <w:t>（项目名称）政府采购</w:t>
      </w:r>
    </w:p>
    <w:p w14:paraId="25920564">
      <w:pPr>
        <w:widowControl/>
        <w:spacing w:line="560" w:lineRule="exact"/>
        <w:ind w:firstLine="400" w:firstLineChars="200"/>
        <w:jc w:val="center"/>
        <w:rPr>
          <w:rFonts w:ascii="宋体" w:hAnsi="宋体" w:cs="宋体"/>
          <w:sz w:val="20"/>
          <w:szCs w:val="20"/>
        </w:rPr>
      </w:pPr>
    </w:p>
    <w:p w14:paraId="1DF4AEB2">
      <w:pPr>
        <w:widowControl/>
        <w:spacing w:line="560" w:lineRule="exact"/>
        <w:ind w:firstLine="400" w:firstLineChars="200"/>
        <w:jc w:val="center"/>
        <w:rPr>
          <w:rFonts w:ascii="宋体" w:hAnsi="宋体" w:cs="宋体"/>
          <w:sz w:val="20"/>
          <w:szCs w:val="20"/>
        </w:rPr>
      </w:pPr>
    </w:p>
    <w:p w14:paraId="6F579DA9">
      <w:pPr>
        <w:widowControl/>
        <w:ind w:firstLine="1440" w:firstLineChars="200"/>
        <w:jc w:val="center"/>
        <w:rPr>
          <w:rFonts w:ascii="宋体" w:hAnsi="宋体" w:cs="宋体"/>
          <w:sz w:val="28"/>
          <w:szCs w:val="28"/>
        </w:rPr>
      </w:pPr>
      <w:r>
        <w:rPr>
          <w:rFonts w:hint="eastAsia" w:ascii="宋体" w:hAnsi="宋体" w:cs="宋体"/>
          <w:sz w:val="72"/>
          <w:szCs w:val="72"/>
        </w:rPr>
        <w:t>响  应  文  件</w:t>
      </w:r>
    </w:p>
    <w:p w14:paraId="3B135ED1">
      <w:pPr>
        <w:widowControl/>
        <w:spacing w:line="560" w:lineRule="exact"/>
        <w:ind w:firstLine="560" w:firstLineChars="200"/>
        <w:rPr>
          <w:rFonts w:ascii="宋体" w:hAnsi="宋体" w:cs="宋体"/>
          <w:sz w:val="28"/>
          <w:szCs w:val="28"/>
        </w:rPr>
      </w:pPr>
    </w:p>
    <w:p w14:paraId="1D4D473D">
      <w:pPr>
        <w:widowControl/>
        <w:spacing w:line="560" w:lineRule="exact"/>
        <w:ind w:firstLine="560" w:firstLineChars="200"/>
        <w:rPr>
          <w:rFonts w:ascii="宋体" w:hAnsi="宋体" w:cs="宋体"/>
          <w:sz w:val="28"/>
          <w:szCs w:val="28"/>
        </w:rPr>
      </w:pPr>
    </w:p>
    <w:p w14:paraId="6B77E3A3">
      <w:pPr>
        <w:widowControl/>
        <w:spacing w:line="560" w:lineRule="exact"/>
        <w:ind w:firstLine="560" w:firstLineChars="200"/>
        <w:rPr>
          <w:rFonts w:ascii="宋体" w:hAnsi="宋体" w:cs="宋体"/>
          <w:sz w:val="28"/>
          <w:szCs w:val="28"/>
        </w:rPr>
      </w:pPr>
    </w:p>
    <w:p w14:paraId="1A8219AD">
      <w:pPr>
        <w:widowControl/>
        <w:spacing w:line="560" w:lineRule="exact"/>
        <w:ind w:firstLine="560" w:firstLineChars="200"/>
        <w:rPr>
          <w:rFonts w:ascii="宋体" w:hAnsi="宋体" w:cs="宋体"/>
          <w:sz w:val="28"/>
          <w:szCs w:val="28"/>
        </w:rPr>
      </w:pPr>
    </w:p>
    <w:p w14:paraId="2FB709E7">
      <w:pPr>
        <w:widowControl/>
        <w:spacing w:line="560" w:lineRule="exact"/>
        <w:ind w:firstLine="560" w:firstLineChars="200"/>
        <w:rPr>
          <w:rFonts w:ascii="宋体" w:hAnsi="宋体" w:cs="宋体"/>
          <w:sz w:val="28"/>
          <w:szCs w:val="28"/>
        </w:rPr>
      </w:pPr>
    </w:p>
    <w:p w14:paraId="335FB166">
      <w:pPr>
        <w:widowControl/>
        <w:spacing w:line="560" w:lineRule="exact"/>
        <w:ind w:firstLine="560" w:firstLineChars="200"/>
        <w:rPr>
          <w:rFonts w:ascii="宋体" w:hAnsi="宋体" w:cs="宋体"/>
          <w:sz w:val="28"/>
          <w:szCs w:val="28"/>
        </w:rPr>
      </w:pPr>
      <w:r>
        <w:rPr>
          <w:rFonts w:hint="eastAsia" w:ascii="宋体" w:hAnsi="宋体" w:cs="宋体"/>
          <w:sz w:val="28"/>
          <w:szCs w:val="28"/>
        </w:rPr>
        <w:t>供应商名称：</w:t>
      </w:r>
      <w:r>
        <w:rPr>
          <w:rFonts w:hint="eastAsia" w:ascii="宋体" w:hAnsi="宋体" w:cs="宋体"/>
          <w:sz w:val="28"/>
          <w:szCs w:val="28"/>
          <w:u w:val="single"/>
        </w:rPr>
        <w:t xml:space="preserve">                                  </w:t>
      </w:r>
      <w:r>
        <w:rPr>
          <w:rFonts w:hint="eastAsia" w:ascii="宋体" w:hAnsi="宋体" w:cs="宋体"/>
          <w:sz w:val="28"/>
          <w:szCs w:val="28"/>
        </w:rPr>
        <w:t xml:space="preserve"> </w:t>
      </w:r>
    </w:p>
    <w:p w14:paraId="164E39F4">
      <w:pPr>
        <w:widowControl/>
        <w:spacing w:line="560" w:lineRule="exact"/>
        <w:ind w:firstLine="560" w:firstLineChars="200"/>
        <w:rPr>
          <w:rFonts w:ascii="宋体" w:hAnsi="宋体" w:cs="宋体"/>
          <w:sz w:val="28"/>
          <w:szCs w:val="28"/>
        </w:rPr>
      </w:pPr>
      <w:r>
        <w:rPr>
          <w:rFonts w:hint="eastAsia" w:ascii="宋体" w:hAnsi="宋体" w:cs="宋体"/>
          <w:sz w:val="28"/>
          <w:szCs w:val="28"/>
        </w:rPr>
        <w:t>标包号：</w:t>
      </w:r>
      <w:r>
        <w:rPr>
          <w:rFonts w:hint="eastAsia" w:ascii="宋体" w:hAnsi="宋体" w:cs="宋体"/>
          <w:sz w:val="28"/>
          <w:szCs w:val="28"/>
          <w:u w:val="single"/>
        </w:rPr>
        <w:t xml:space="preserve">                                  </w:t>
      </w:r>
      <w:r>
        <w:rPr>
          <w:rFonts w:hint="eastAsia" w:ascii="宋体" w:hAnsi="宋体" w:cs="宋体"/>
          <w:sz w:val="28"/>
          <w:szCs w:val="28"/>
        </w:rPr>
        <w:t xml:space="preserve"> </w:t>
      </w:r>
    </w:p>
    <w:p w14:paraId="50D69741">
      <w:pPr>
        <w:widowControl/>
        <w:spacing w:line="560" w:lineRule="exact"/>
        <w:ind w:firstLine="560" w:firstLineChars="200"/>
        <w:rPr>
          <w:rFonts w:ascii="宋体" w:hAnsi="宋体" w:cs="宋体"/>
          <w:sz w:val="28"/>
          <w:szCs w:val="28"/>
        </w:rPr>
      </w:pPr>
    </w:p>
    <w:p w14:paraId="08E0EF30">
      <w:pPr>
        <w:widowControl/>
        <w:spacing w:line="560" w:lineRule="exact"/>
        <w:ind w:firstLine="560" w:firstLineChars="200"/>
        <w:rPr>
          <w:rFonts w:ascii="宋体" w:hAnsi="宋体" w:cs="宋体"/>
          <w:sz w:val="28"/>
          <w:szCs w:val="28"/>
        </w:rPr>
      </w:pPr>
      <w:r>
        <w:rPr>
          <w:rFonts w:hint="eastAsia" w:ascii="宋体" w:hAnsi="宋体" w:cs="宋体"/>
          <w:sz w:val="28"/>
          <w:szCs w:val="28"/>
        </w:rPr>
        <w:t>法定代表人（单位负责人）或其委托代理人：</w:t>
      </w:r>
      <w:r>
        <w:rPr>
          <w:rFonts w:hint="eastAsia" w:ascii="宋体" w:hAnsi="宋体" w:cs="宋体"/>
          <w:sz w:val="28"/>
          <w:szCs w:val="28"/>
          <w:u w:val="single"/>
        </w:rPr>
        <w:t xml:space="preserve">                    </w:t>
      </w:r>
      <w:r>
        <w:rPr>
          <w:rFonts w:hint="eastAsia" w:ascii="宋体" w:hAnsi="宋体" w:cs="宋体"/>
          <w:sz w:val="28"/>
          <w:szCs w:val="28"/>
        </w:rPr>
        <w:t xml:space="preserve"> </w:t>
      </w:r>
    </w:p>
    <w:p w14:paraId="24275FB1">
      <w:pPr>
        <w:widowControl/>
        <w:spacing w:line="560" w:lineRule="exact"/>
        <w:ind w:firstLine="2800" w:firstLineChars="1000"/>
        <w:rPr>
          <w:rFonts w:ascii="宋体" w:hAnsi="宋体" w:cs="宋体"/>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14:paraId="07642C35">
      <w:pPr>
        <w:widowControl/>
        <w:jc w:val="center"/>
        <w:rPr>
          <w:rFonts w:ascii="宋体" w:hAnsi="宋体" w:cs="宋体"/>
          <w:b/>
          <w:bCs/>
          <w:sz w:val="44"/>
          <w:szCs w:val="44"/>
        </w:rPr>
      </w:pPr>
    </w:p>
    <w:p w14:paraId="02FD1E83">
      <w:pPr>
        <w:widowControl/>
        <w:jc w:val="center"/>
        <w:rPr>
          <w:rFonts w:ascii="宋体" w:hAnsi="宋体" w:cs="宋体"/>
          <w:b/>
          <w:bCs/>
          <w:sz w:val="44"/>
          <w:szCs w:val="44"/>
        </w:rPr>
      </w:pPr>
    </w:p>
    <w:p w14:paraId="35893496">
      <w:pPr>
        <w:widowControl/>
        <w:jc w:val="center"/>
        <w:rPr>
          <w:rFonts w:ascii="宋体" w:hAnsi="宋体" w:cs="宋体"/>
          <w:b/>
          <w:bCs/>
          <w:sz w:val="44"/>
          <w:szCs w:val="44"/>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C1DDA76">
      <w:pPr>
        <w:widowControl/>
        <w:jc w:val="center"/>
        <w:rPr>
          <w:rFonts w:ascii="宋体" w:hAnsi="宋体" w:cs="宋体"/>
          <w:b/>
          <w:bCs/>
          <w:sz w:val="44"/>
          <w:szCs w:val="44"/>
        </w:rPr>
      </w:pPr>
      <w:r>
        <w:rPr>
          <w:rFonts w:hint="eastAsia" w:ascii="宋体" w:hAnsi="宋体" w:cs="宋体"/>
          <w:b/>
          <w:bCs/>
          <w:sz w:val="44"/>
          <w:szCs w:val="44"/>
        </w:rPr>
        <w:t>目  录</w:t>
      </w:r>
    </w:p>
    <w:p w14:paraId="05D73015">
      <w:pPr>
        <w:widowControl/>
        <w:rPr>
          <w:rFonts w:ascii="宋体" w:hAnsi="宋体" w:cs="宋体"/>
          <w:bCs/>
          <w:sz w:val="28"/>
          <w:szCs w:val="28"/>
        </w:rPr>
      </w:pPr>
    </w:p>
    <w:p w14:paraId="7B4EBAA3">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一、响应函</w:t>
      </w:r>
    </w:p>
    <w:p w14:paraId="1C3CD80D">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二、响应报价一览表</w:t>
      </w:r>
    </w:p>
    <w:p w14:paraId="06A6E23C">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三、分项报价表</w:t>
      </w:r>
    </w:p>
    <w:p w14:paraId="59472F3A">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四、供应商综合情况简介</w:t>
      </w:r>
    </w:p>
    <w:p w14:paraId="29DE9643">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五、中小企业声明函（货物）</w:t>
      </w:r>
    </w:p>
    <w:p w14:paraId="7A2D2894">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六、法定代表人（单位负责人）身份证明或授权委托书</w:t>
      </w:r>
    </w:p>
    <w:p w14:paraId="4102FCAD">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七、联合体协议书(如有)</w:t>
      </w:r>
    </w:p>
    <w:p w14:paraId="17CB5813">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八、分包意向协议书（如有）</w:t>
      </w:r>
    </w:p>
    <w:p w14:paraId="65F3911D">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九、资格审查材料</w:t>
      </w:r>
    </w:p>
    <w:p w14:paraId="2C2E9346">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十、符合性审查与详细评审材料</w:t>
      </w:r>
    </w:p>
    <w:p w14:paraId="4A8F6714">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十一、主要标的承诺函</w:t>
      </w:r>
    </w:p>
    <w:p w14:paraId="18119AE3">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十二、供应商认为应该提供的其他材料</w:t>
      </w:r>
    </w:p>
    <w:p w14:paraId="7251E8F1">
      <w:pPr>
        <w:widowControl/>
        <w:rPr>
          <w:rFonts w:ascii="宋体" w:hAnsi="宋体" w:cs="宋体"/>
          <w:bCs/>
        </w:rPr>
      </w:pPr>
    </w:p>
    <w:p w14:paraId="79C4077D">
      <w:pPr>
        <w:pStyle w:val="3"/>
        <w:widowControl/>
        <w:spacing w:before="120" w:after="120" w:line="240" w:lineRule="auto"/>
        <w:jc w:val="center"/>
        <w:rPr>
          <w:rStyle w:val="103"/>
          <w:rFonts w:ascii="宋体" w:hAnsi="宋体" w:eastAsia="宋体" w:cs="宋体"/>
          <w:b/>
          <w:bCs w:val="0"/>
          <w:sz w:val="30"/>
          <w:szCs w:val="30"/>
        </w:rPr>
      </w:pPr>
    </w:p>
    <w:p w14:paraId="258DF07D">
      <w:pPr>
        <w:widowControl/>
        <w:topLinePunct/>
        <w:adjustRightInd w:val="0"/>
        <w:snapToGrid w:val="0"/>
        <w:spacing w:line="288" w:lineRule="auto"/>
        <w:rPr>
          <w:rFonts w:ascii="Calibri" w:hAnsi="Calibri" w:eastAsia="仿宋" w:cs="方正小标宋简体"/>
          <w:szCs w:val="21"/>
        </w:rPr>
      </w:pPr>
    </w:p>
    <w:p w14:paraId="32DD62CE">
      <w:p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71F64398">
      <w:pPr>
        <w:widowControl/>
        <w:rPr>
          <w:rFonts w:ascii="宋体" w:hAnsi="宋体" w:cs="宋体"/>
          <w:b/>
          <w:szCs w:val="21"/>
        </w:rPr>
      </w:pPr>
    </w:p>
    <w:p w14:paraId="5012FF97">
      <w:pPr>
        <w:pStyle w:val="3"/>
        <w:widowControl/>
        <w:spacing w:before="120" w:after="120" w:line="240" w:lineRule="auto"/>
        <w:jc w:val="center"/>
        <w:rPr>
          <w:rStyle w:val="103"/>
          <w:rFonts w:ascii="宋体" w:hAnsi="宋体" w:eastAsia="宋体" w:cs="宋体"/>
          <w:b/>
          <w:bCs w:val="0"/>
          <w:sz w:val="30"/>
          <w:szCs w:val="30"/>
        </w:rPr>
      </w:pPr>
      <w:bookmarkStart w:id="769" w:name="_Toc445554786"/>
      <w:bookmarkStart w:id="770" w:name="_Toc466024587"/>
      <w:r>
        <w:rPr>
          <w:rStyle w:val="103"/>
          <w:rFonts w:hint="eastAsia" w:ascii="宋体" w:hAnsi="宋体" w:eastAsia="宋体" w:cs="宋体"/>
          <w:b/>
          <w:bCs w:val="0"/>
          <w:sz w:val="30"/>
          <w:szCs w:val="30"/>
        </w:rPr>
        <w:t>一、响应函</w:t>
      </w:r>
    </w:p>
    <w:p w14:paraId="0B967B05">
      <w:pPr>
        <w:widowControl/>
        <w:tabs>
          <w:tab w:val="left" w:leader="underscore" w:pos="2880"/>
        </w:tabs>
        <w:spacing w:line="400" w:lineRule="exact"/>
        <w:rPr>
          <w:rFonts w:ascii="宋体" w:hAnsi="宋体" w:cs="宋体"/>
          <w:b/>
          <w:szCs w:val="21"/>
        </w:rPr>
      </w:pPr>
      <w:r>
        <w:rPr>
          <w:rFonts w:hint="eastAsia" w:ascii="宋体" w:hAnsi="宋体" w:cs="宋体"/>
          <w:szCs w:val="21"/>
        </w:rPr>
        <w:t>致：</w:t>
      </w:r>
      <w:r>
        <w:rPr>
          <w:rFonts w:hint="eastAsia" w:ascii="宋体" w:hAnsi="宋体" w:cs="宋体"/>
          <w:szCs w:val="21"/>
          <w:u w:val="single"/>
        </w:rPr>
        <w:t>（采购人名称)</w:t>
      </w:r>
    </w:p>
    <w:p w14:paraId="20E74CB4">
      <w:pPr>
        <w:widowControl/>
        <w:spacing w:line="400" w:lineRule="exact"/>
        <w:ind w:firstLine="420" w:firstLineChars="200"/>
        <w:rPr>
          <w:rFonts w:ascii="宋体" w:hAnsi="宋体" w:cs="宋体"/>
          <w:szCs w:val="21"/>
        </w:rPr>
      </w:pPr>
      <w:r>
        <w:rPr>
          <w:rFonts w:hint="eastAsia" w:ascii="宋体" w:hAnsi="宋体" w:cs="宋体"/>
          <w:szCs w:val="21"/>
          <w:u w:val="single"/>
        </w:rPr>
        <w:t xml:space="preserve">  安徽省招标集团股份有限公司  </w:t>
      </w:r>
      <w:r>
        <w:rPr>
          <w:rFonts w:hint="eastAsia" w:ascii="宋体" w:hAnsi="宋体" w:cs="宋体"/>
          <w:szCs w:val="21"/>
        </w:rPr>
        <w:t>（采购代理名称)</w:t>
      </w:r>
    </w:p>
    <w:p w14:paraId="4C9D00F0">
      <w:pPr>
        <w:widowControl/>
        <w:spacing w:line="400" w:lineRule="exact"/>
        <w:ind w:firstLine="420" w:firstLineChars="200"/>
        <w:rPr>
          <w:rFonts w:ascii="宋体" w:hAnsi="宋体" w:cs="宋体"/>
          <w:szCs w:val="21"/>
        </w:rPr>
      </w:pPr>
    </w:p>
    <w:p w14:paraId="45F7A4FF">
      <w:pPr>
        <w:widowControl/>
        <w:spacing w:line="400" w:lineRule="exact"/>
        <w:ind w:firstLine="420" w:firstLineChars="200"/>
        <w:rPr>
          <w:rFonts w:ascii="宋体" w:hAnsi="宋体" w:cs="宋体"/>
          <w:szCs w:val="21"/>
        </w:rPr>
      </w:pPr>
      <w:r>
        <w:rPr>
          <w:rFonts w:hint="eastAsia" w:ascii="宋体" w:hAnsi="宋体" w:cs="宋体"/>
          <w:szCs w:val="21"/>
        </w:rPr>
        <w:t>1.我方已仔细研究了编号为</w:t>
      </w:r>
      <w:r>
        <w:rPr>
          <w:rFonts w:hint="eastAsia" w:ascii="宋体" w:hAnsi="宋体" w:cs="宋体"/>
          <w:szCs w:val="21"/>
          <w:u w:val="single"/>
        </w:rPr>
        <w:t>【项目编号】</w:t>
      </w:r>
      <w:r>
        <w:rPr>
          <w:rFonts w:hint="eastAsia" w:ascii="宋体" w:hAnsi="宋体" w:cs="宋体"/>
          <w:szCs w:val="21"/>
        </w:rPr>
        <w:t>的</w:t>
      </w:r>
      <w:r>
        <w:rPr>
          <w:rFonts w:hint="eastAsia" w:ascii="宋体" w:hAnsi="宋体" w:cs="宋体"/>
          <w:szCs w:val="21"/>
          <w:u w:val="single"/>
        </w:rPr>
        <w:t>【项目名称】</w:t>
      </w:r>
      <w:r>
        <w:rPr>
          <w:rFonts w:hint="eastAsia" w:ascii="宋体" w:hAnsi="宋体" w:cs="宋体"/>
          <w:szCs w:val="21"/>
        </w:rPr>
        <w:t>采购文件的全部内容，接受你方在竞争性磋商文件中对供应商的约束条件。我方愿意以我方提交的最后报价，按照合同的约定履行合同义务。</w:t>
      </w:r>
    </w:p>
    <w:p w14:paraId="701A952C">
      <w:pPr>
        <w:widowControl/>
        <w:spacing w:line="400" w:lineRule="exact"/>
        <w:ind w:firstLine="420" w:firstLineChars="200"/>
        <w:rPr>
          <w:rFonts w:ascii="宋体" w:hAnsi="宋体" w:cs="宋体"/>
          <w:szCs w:val="21"/>
        </w:rPr>
      </w:pPr>
      <w:r>
        <w:rPr>
          <w:rFonts w:hint="eastAsia" w:ascii="宋体" w:hAnsi="宋体" w:cs="宋体"/>
          <w:szCs w:val="21"/>
        </w:rPr>
        <w:t>2.我方承诺在竞争性磋商文件规定的响应有效期内不修改、撤销响应文件</w:t>
      </w:r>
      <w:r>
        <w:rPr>
          <w:rFonts w:hint="eastAsia" w:ascii="宋体" w:hAnsi="宋体" w:cs="宋体"/>
        </w:rPr>
        <w:t>，且随时准备接受你方发出的成交通知书</w:t>
      </w:r>
      <w:r>
        <w:rPr>
          <w:rFonts w:hint="eastAsia" w:ascii="宋体" w:hAnsi="宋体" w:cs="宋体"/>
          <w:szCs w:val="21"/>
        </w:rPr>
        <w:t>。</w:t>
      </w:r>
    </w:p>
    <w:p w14:paraId="05F0D9FF">
      <w:pPr>
        <w:widowControl/>
        <w:spacing w:line="400" w:lineRule="exact"/>
        <w:ind w:firstLine="420" w:firstLineChars="200"/>
        <w:rPr>
          <w:rFonts w:ascii="宋体" w:hAnsi="宋体" w:cs="宋体"/>
          <w:szCs w:val="21"/>
        </w:rPr>
      </w:pPr>
      <w:r>
        <w:rPr>
          <w:rFonts w:hint="eastAsia" w:ascii="宋体" w:hAnsi="宋体" w:cs="宋体"/>
          <w:szCs w:val="21"/>
        </w:rPr>
        <w:t>3.我方已详细审查全部竞争性磋商文件，包括全部澄清、修改、答疑和补充文件。我们完全理解并同意放弃对这方面有不明及误解的权力。</w:t>
      </w:r>
    </w:p>
    <w:p w14:paraId="07EEFC99">
      <w:pPr>
        <w:widowControl/>
        <w:spacing w:line="400" w:lineRule="exact"/>
        <w:ind w:firstLine="420" w:firstLineChars="200"/>
        <w:rPr>
          <w:rFonts w:ascii="宋体" w:hAnsi="宋体" w:cs="宋体"/>
          <w:szCs w:val="21"/>
        </w:rPr>
      </w:pPr>
      <w:r>
        <w:rPr>
          <w:rFonts w:hint="eastAsia" w:ascii="宋体" w:hAnsi="宋体" w:cs="宋体"/>
          <w:szCs w:val="21"/>
        </w:rPr>
        <w:t>4.我方在此声明，所提交的响应文件及有关资料内容完整、真实和准确，且不存在竞争性磋商文件第二章“供应商须知”第1.3.3项规定的任何一种情形。</w:t>
      </w:r>
    </w:p>
    <w:p w14:paraId="2A0C23D0">
      <w:pPr>
        <w:widowControl/>
        <w:spacing w:line="400" w:lineRule="exact"/>
        <w:ind w:firstLine="420" w:firstLineChars="200"/>
        <w:rPr>
          <w:rFonts w:ascii="宋体" w:hAnsi="宋体" w:cs="宋体"/>
          <w:szCs w:val="21"/>
        </w:rPr>
      </w:pPr>
      <w:r>
        <w:rPr>
          <w:rFonts w:hint="eastAsia" w:ascii="宋体" w:hAnsi="宋体" w:cs="宋体"/>
          <w:szCs w:val="21"/>
        </w:rPr>
        <w:t>5.如我方被确定为成交供应商：</w:t>
      </w:r>
    </w:p>
    <w:p w14:paraId="1BA1BCE1">
      <w:pPr>
        <w:widowControl/>
        <w:spacing w:line="400" w:lineRule="exact"/>
        <w:ind w:firstLine="420" w:firstLineChars="200"/>
        <w:rPr>
          <w:rFonts w:ascii="宋体" w:hAnsi="宋体" w:cs="宋体"/>
          <w:szCs w:val="21"/>
        </w:rPr>
      </w:pPr>
      <w:r>
        <w:rPr>
          <w:rFonts w:hint="eastAsia" w:ascii="宋体" w:hAnsi="宋体" w:cs="宋体"/>
          <w:szCs w:val="21"/>
        </w:rPr>
        <w:t>（1）我方承诺在收到成交通知书后，在成交通知书规定的期限内与你方签订合同；</w:t>
      </w:r>
    </w:p>
    <w:p w14:paraId="5B9CDCA1">
      <w:pPr>
        <w:widowControl/>
        <w:spacing w:line="400" w:lineRule="exact"/>
        <w:ind w:firstLine="420" w:firstLineChars="200"/>
        <w:rPr>
          <w:rFonts w:ascii="宋体" w:hAnsi="宋体" w:cs="宋体"/>
          <w:szCs w:val="21"/>
        </w:rPr>
      </w:pPr>
      <w:r>
        <w:rPr>
          <w:rFonts w:hint="eastAsia" w:ascii="宋体" w:hAnsi="宋体" w:cs="宋体"/>
          <w:szCs w:val="21"/>
        </w:rPr>
        <w:t>（2）在签订合同时不向你方提出附加条件；</w:t>
      </w:r>
    </w:p>
    <w:p w14:paraId="08BEE74A">
      <w:pPr>
        <w:widowControl/>
        <w:spacing w:line="400" w:lineRule="exact"/>
        <w:ind w:firstLine="420" w:firstLineChars="200"/>
        <w:rPr>
          <w:rFonts w:ascii="宋体" w:hAnsi="宋体" w:cs="宋体"/>
          <w:szCs w:val="21"/>
        </w:rPr>
      </w:pPr>
      <w:r>
        <w:rPr>
          <w:rFonts w:hint="eastAsia" w:ascii="宋体" w:hAnsi="宋体" w:cs="宋体"/>
          <w:szCs w:val="21"/>
        </w:rPr>
        <w:t>（3）我方承诺按照采购文件规定向你方递交履约保证金；</w:t>
      </w:r>
    </w:p>
    <w:p w14:paraId="27709578">
      <w:pPr>
        <w:widowControl/>
        <w:spacing w:line="400" w:lineRule="exact"/>
        <w:ind w:firstLine="420" w:firstLineChars="200"/>
        <w:rPr>
          <w:rFonts w:ascii="宋体" w:hAnsi="宋体" w:cs="宋体"/>
          <w:szCs w:val="21"/>
        </w:rPr>
      </w:pPr>
      <w:r>
        <w:rPr>
          <w:rFonts w:hint="eastAsia" w:ascii="宋体" w:hAnsi="宋体" w:cs="宋体"/>
          <w:szCs w:val="21"/>
        </w:rPr>
        <w:t>（4）我方承诺在合同约定的期限内提供并交付货物及服务，履行合同规定的各项义务。</w:t>
      </w:r>
    </w:p>
    <w:p w14:paraId="714DDC7A">
      <w:pPr>
        <w:widowControl/>
        <w:spacing w:line="400" w:lineRule="exact"/>
        <w:ind w:firstLine="420" w:firstLineChars="200"/>
        <w:rPr>
          <w:rFonts w:ascii="宋体" w:hAnsi="宋体" w:cs="宋体"/>
          <w:szCs w:val="21"/>
        </w:rPr>
      </w:pPr>
      <w:r>
        <w:rPr>
          <w:rFonts w:hint="eastAsia" w:ascii="宋体" w:hAnsi="宋体" w:cs="宋体"/>
          <w:szCs w:val="21"/>
        </w:rPr>
        <w:t>6.我方同意按照你方要求提供与我方响应有关的一切数据或资料，完全理解你方不一定接受最低价的响应或收到的任何响应。</w:t>
      </w:r>
    </w:p>
    <w:p w14:paraId="593DA1B7">
      <w:pPr>
        <w:widowControl/>
        <w:spacing w:line="400" w:lineRule="exact"/>
        <w:ind w:firstLine="420" w:firstLineChars="200"/>
        <w:rPr>
          <w:rFonts w:ascii="宋体" w:hAnsi="宋体" w:cs="宋体"/>
          <w:szCs w:val="21"/>
        </w:rPr>
      </w:pPr>
      <w:r>
        <w:rPr>
          <w:rFonts w:hint="eastAsia" w:ascii="宋体" w:hAnsi="宋体" w:cs="宋体"/>
          <w:szCs w:val="21"/>
        </w:rPr>
        <w:t>7.我方对响应文件中所提供资料、文件、证书及证件的真实性、合法性和有效性负责。</w:t>
      </w:r>
    </w:p>
    <w:p w14:paraId="65D01808">
      <w:pPr>
        <w:widowControl/>
        <w:tabs>
          <w:tab w:val="left" w:leader="underscore" w:pos="3600"/>
          <w:tab w:val="left" w:leader="underscore" w:pos="5400"/>
        </w:tabs>
        <w:spacing w:line="400" w:lineRule="exact"/>
        <w:ind w:firstLine="422" w:firstLineChars="200"/>
        <w:rPr>
          <w:rFonts w:ascii="宋体" w:hAnsi="宋体" w:cs="宋体"/>
          <w:b/>
          <w:u w:val="single"/>
        </w:rPr>
      </w:pPr>
      <w:r>
        <w:rPr>
          <w:rFonts w:hint="eastAsia" w:ascii="宋体" w:hAnsi="宋体" w:cs="宋体"/>
          <w:b/>
        </w:rPr>
        <w:t>8.其他补充说明：</w:t>
      </w:r>
      <w:r>
        <w:rPr>
          <w:rFonts w:hint="eastAsia" w:ascii="宋体" w:hAnsi="宋体" w:cs="宋体"/>
          <w:b/>
          <w:u w:val="single"/>
        </w:rPr>
        <w:t xml:space="preserve">                                               </w:t>
      </w:r>
    </w:p>
    <w:p w14:paraId="700A4D83">
      <w:pPr>
        <w:widowControl/>
        <w:tabs>
          <w:tab w:val="left" w:leader="underscore" w:pos="3600"/>
          <w:tab w:val="left" w:leader="underscore" w:pos="5400"/>
        </w:tabs>
        <w:spacing w:line="400" w:lineRule="exact"/>
        <w:ind w:firstLine="422" w:firstLineChars="200"/>
        <w:rPr>
          <w:rFonts w:ascii="宋体" w:hAnsi="宋体" w:cs="宋体"/>
          <w:b/>
        </w:rPr>
      </w:pPr>
    </w:p>
    <w:p w14:paraId="0A684905">
      <w:pPr>
        <w:pStyle w:val="152"/>
        <w:spacing w:line="390" w:lineRule="atLeast"/>
        <w:rPr>
          <w:rFonts w:ascii="宋体" w:hAnsi="宋体" w:cs="宋体"/>
        </w:rPr>
      </w:pPr>
      <w:r>
        <w:rPr>
          <w:rFonts w:hint="eastAsia" w:ascii="宋体" w:hAnsi="宋体" w:cs="宋体"/>
        </w:rPr>
        <w:t>供应商：</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（盖</w:t>
      </w:r>
      <w:r>
        <w:rPr>
          <w:rFonts w:hint="eastAsia" w:ascii="宋体" w:hAnsi="宋体" w:cs="宋体"/>
          <w:spacing w:val="-1"/>
        </w:rPr>
        <w:t>单</w:t>
      </w:r>
      <w:r>
        <w:rPr>
          <w:rFonts w:hint="eastAsia" w:ascii="宋体" w:hAnsi="宋体" w:cs="宋体"/>
        </w:rPr>
        <w:t>位章）</w:t>
      </w:r>
    </w:p>
    <w:p w14:paraId="1E8F7B27">
      <w:pPr>
        <w:pStyle w:val="152"/>
        <w:spacing w:line="390" w:lineRule="atLeast"/>
        <w:rPr>
          <w:rFonts w:ascii="宋体" w:hAnsi="宋体" w:cs="宋体"/>
        </w:rPr>
      </w:pPr>
      <w:r>
        <w:rPr>
          <w:rFonts w:hint="eastAsia" w:ascii="宋体" w:hAnsi="宋体" w:cs="宋体"/>
        </w:rPr>
        <w:t>法定代表人（单位负责人）或其委托代理人</w:t>
      </w:r>
      <w:r>
        <w:rPr>
          <w:rFonts w:hint="eastAsia" w:ascii="宋体" w:hAnsi="宋体" w:cs="宋体"/>
          <w:spacing w:val="1"/>
        </w:rPr>
        <w:t>：</w:t>
      </w:r>
      <w:r>
        <w:rPr>
          <w:rFonts w:hint="eastAsia" w:ascii="宋体" w:hAnsi="宋体" w:cs="宋体"/>
          <w:spacing w:val="42"/>
          <w:u w:val="single"/>
        </w:rPr>
        <w:t xml:space="preserve">            </w:t>
      </w:r>
      <w:r>
        <w:rPr>
          <w:rFonts w:hint="eastAsia" w:ascii="宋体" w:hAnsi="宋体" w:cs="宋体"/>
        </w:rPr>
        <w:t>（签字或盖章）</w:t>
      </w:r>
    </w:p>
    <w:p w14:paraId="3D373033">
      <w:pPr>
        <w:pStyle w:val="152"/>
        <w:spacing w:line="390" w:lineRule="atLeast"/>
        <w:rPr>
          <w:rFonts w:ascii="宋体" w:hAnsi="宋体" w:cs="宋体"/>
        </w:rPr>
      </w:pPr>
      <w:r>
        <w:rPr>
          <w:rFonts w:hint="eastAsia" w:ascii="宋体" w:hAnsi="宋体" w:cs="宋体"/>
          <w:spacing w:val="-1"/>
        </w:rPr>
        <w:t>地</w:t>
      </w:r>
      <w:r>
        <w:rPr>
          <w:rFonts w:hint="eastAsia" w:ascii="宋体" w:hAnsi="宋体" w:cs="宋体"/>
          <w:spacing w:val="1"/>
        </w:rPr>
        <w:t>址</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spacing w:val="-1"/>
        </w:rPr>
        <w:t>邮</w:t>
      </w:r>
      <w:r>
        <w:rPr>
          <w:rFonts w:hint="eastAsia" w:ascii="宋体" w:hAnsi="宋体" w:cs="宋体"/>
        </w:rPr>
        <w:t>编</w:t>
      </w:r>
      <w:r>
        <w:rPr>
          <w:rFonts w:hint="eastAsia" w:ascii="宋体" w:hAnsi="宋体" w:cs="宋体"/>
          <w:u w:val="single"/>
        </w:rPr>
        <w:t xml:space="preserve">                            </w:t>
      </w:r>
    </w:p>
    <w:p w14:paraId="69925021">
      <w:pPr>
        <w:pStyle w:val="152"/>
        <w:spacing w:line="390" w:lineRule="atLeast"/>
        <w:rPr>
          <w:rFonts w:ascii="宋体" w:hAnsi="宋体" w:cs="宋体"/>
        </w:rPr>
      </w:pPr>
      <w:r>
        <w:rPr>
          <w:rFonts w:hint="eastAsia" w:ascii="宋体" w:hAnsi="宋体" w:cs="宋体"/>
          <w:spacing w:val="-1"/>
        </w:rPr>
        <w:t>电</w:t>
      </w:r>
      <w:r>
        <w:rPr>
          <w:rFonts w:hint="eastAsia" w:ascii="宋体" w:hAnsi="宋体" w:cs="宋体"/>
          <w:spacing w:val="1"/>
        </w:rPr>
        <w:t>话</w:t>
      </w:r>
      <w:r>
        <w:rPr>
          <w:rFonts w:hint="eastAsia" w:ascii="宋体" w:hAnsi="宋体" w:cs="宋体"/>
          <w:u w:val="single"/>
        </w:rPr>
        <w:t xml:space="preserve">                        </w:t>
      </w:r>
      <w:r>
        <w:rPr>
          <w:rFonts w:hint="eastAsia" w:ascii="宋体" w:hAnsi="宋体" w:cs="宋体"/>
          <w:spacing w:val="-1"/>
        </w:rPr>
        <w:t>传</w:t>
      </w:r>
      <w:r>
        <w:rPr>
          <w:rFonts w:hint="eastAsia" w:ascii="宋体" w:hAnsi="宋体" w:cs="宋体"/>
        </w:rPr>
        <w:t>真</w:t>
      </w:r>
      <w:r>
        <w:rPr>
          <w:rFonts w:hint="eastAsia" w:ascii="宋体" w:hAnsi="宋体" w:cs="宋体"/>
          <w:u w:val="single"/>
        </w:rPr>
        <w:t xml:space="preserve">                       </w:t>
      </w:r>
    </w:p>
    <w:p w14:paraId="5539B7BD">
      <w:pPr>
        <w:pStyle w:val="152"/>
        <w:spacing w:line="390" w:lineRule="atLeast"/>
        <w:rPr>
          <w:rFonts w:ascii="宋体" w:hAnsi="宋体" w:cs="宋体"/>
        </w:rPr>
      </w:pPr>
      <w:r>
        <w:rPr>
          <w:rFonts w:hint="eastAsia" w:ascii="宋体" w:hAnsi="宋体" w:cs="宋体"/>
        </w:rPr>
        <w:t>电子邮箱</w:t>
      </w:r>
      <w:r>
        <w:rPr>
          <w:rFonts w:hint="eastAsia" w:ascii="宋体" w:hAnsi="宋体" w:cs="宋体"/>
          <w:u w:val="single"/>
        </w:rPr>
        <w:t xml:space="preserve">                  </w:t>
      </w:r>
      <w:r>
        <w:rPr>
          <w:rFonts w:hint="eastAsia" w:ascii="宋体" w:hAnsi="宋体" w:cs="宋体"/>
        </w:rPr>
        <w:t>网址：</w:t>
      </w:r>
      <w:r>
        <w:rPr>
          <w:rFonts w:hint="eastAsia" w:ascii="宋体" w:hAnsi="宋体" w:cs="宋体"/>
          <w:u w:val="single"/>
        </w:rPr>
        <w:t xml:space="preserve">                       </w:t>
      </w:r>
    </w:p>
    <w:p w14:paraId="75BFCAA8">
      <w:pPr>
        <w:pStyle w:val="152"/>
        <w:spacing w:line="200" w:lineRule="atLeast"/>
        <w:rPr>
          <w:rFonts w:ascii="宋体" w:hAnsi="宋体" w:cs="宋体"/>
        </w:rPr>
      </w:pPr>
      <w:r>
        <w:rPr>
          <w:rFonts w:hint="eastAsia" w:ascii="宋体" w:hAnsi="宋体" w:cs="宋体"/>
          <w:sz w:val="20"/>
          <w:szCs w:val="20"/>
        </w:rPr>
        <w:t xml:space="preserve">                        </w:t>
      </w:r>
      <w:r>
        <w:rPr>
          <w:rFonts w:hint="eastAsia" w:ascii="宋体" w:hAnsi="宋体" w:cs="宋体"/>
          <w:u w:val="single"/>
        </w:rPr>
        <w:t xml:space="preserve">       </w:t>
      </w:r>
      <w:r>
        <w:rPr>
          <w:rFonts w:hint="eastAsia" w:ascii="宋体" w:hAnsi="宋体" w:cs="宋体"/>
        </w:rPr>
        <w:t>年</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月</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日</w:t>
      </w:r>
    </w:p>
    <w:p w14:paraId="2B37779B">
      <w:pPr>
        <w:pStyle w:val="152"/>
        <w:spacing w:line="200" w:lineRule="atLeast"/>
        <w:rPr>
          <w:rFonts w:ascii="宋体" w:hAnsi="宋体" w:cs="宋体"/>
          <w:sz w:val="20"/>
          <w:szCs w:val="20"/>
        </w:rPr>
      </w:pPr>
    </w:p>
    <w:p w14:paraId="22DC51A9">
      <w:pPr>
        <w:pStyle w:val="152"/>
        <w:spacing w:before="6" w:line="220" w:lineRule="atLeast"/>
        <w:rPr>
          <w:rFonts w:ascii="宋体" w:hAnsi="宋体" w:cs="宋体"/>
          <w:sz w:val="22"/>
          <w:szCs w:val="22"/>
        </w:rPr>
      </w:pPr>
    </w:p>
    <w:p w14:paraId="4D6AD477">
      <w:pPr>
        <w:pStyle w:val="152"/>
        <w:ind w:left="120" w:right="-20"/>
        <w:rPr>
          <w:rFonts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04906C19">
      <w:pPr>
        <w:pStyle w:val="3"/>
        <w:widowControl/>
        <w:spacing w:before="120" w:after="120" w:line="240" w:lineRule="auto"/>
        <w:jc w:val="center"/>
        <w:rPr>
          <w:rStyle w:val="103"/>
          <w:rFonts w:ascii="宋体" w:hAnsi="宋体" w:eastAsia="宋体" w:cs="宋体"/>
          <w:b/>
          <w:bCs w:val="0"/>
          <w:sz w:val="30"/>
          <w:szCs w:val="30"/>
        </w:rPr>
      </w:pPr>
      <w:r>
        <w:rPr>
          <w:rStyle w:val="103"/>
          <w:rFonts w:hint="eastAsia" w:ascii="宋体" w:hAnsi="宋体" w:eastAsia="宋体" w:cs="宋体"/>
          <w:b/>
          <w:bCs w:val="0"/>
          <w:sz w:val="30"/>
          <w:szCs w:val="30"/>
        </w:rPr>
        <w:t>二、</w:t>
      </w:r>
      <w:bookmarkEnd w:id="769"/>
      <w:bookmarkEnd w:id="770"/>
      <w:r>
        <w:rPr>
          <w:rStyle w:val="103"/>
          <w:rFonts w:hint="eastAsia" w:ascii="宋体" w:hAnsi="宋体" w:eastAsia="宋体" w:cs="宋体"/>
          <w:b/>
          <w:bCs w:val="0"/>
          <w:sz w:val="30"/>
          <w:szCs w:val="30"/>
        </w:rPr>
        <w:t>响应报价一览表</w:t>
      </w:r>
    </w:p>
    <w:p w14:paraId="4A701378">
      <w:pPr>
        <w:widowControl/>
        <w:spacing w:line="333" w:lineRule="atLeast"/>
        <w:jc w:val="center"/>
        <w:rPr>
          <w:rFonts w:ascii="宋体" w:hAnsi="宋体" w:cs="宋体"/>
          <w:kern w:val="0"/>
          <w:szCs w:val="21"/>
        </w:rPr>
      </w:pPr>
      <w:r>
        <w:rPr>
          <w:rFonts w:hint="eastAsia" w:ascii="宋体" w:hAnsi="宋体" w:cs="宋体"/>
          <w:spacing w:val="-1"/>
          <w:kern w:val="0"/>
          <w:position w:val="-4"/>
          <w:szCs w:val="21"/>
        </w:rPr>
        <w:t xml:space="preserve">                                                                     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人民币元</w:t>
      </w:r>
    </w:p>
    <w:tbl>
      <w:tblPr>
        <w:tblStyle w:val="47"/>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23F2C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vAlign w:val="center"/>
          </w:tcPr>
          <w:p w14:paraId="42D1077D">
            <w:pPr>
              <w:widowControl/>
              <w:adjustRightInd w:val="0"/>
              <w:snapToGrid w:val="0"/>
              <w:jc w:val="center"/>
              <w:rPr>
                <w:rFonts w:ascii="宋体" w:hAnsi="宋体" w:cs="宋体"/>
                <w:b/>
                <w:kern w:val="0"/>
                <w:szCs w:val="21"/>
              </w:rPr>
            </w:pPr>
            <w:r>
              <w:rPr>
                <w:rFonts w:hint="eastAsia" w:ascii="宋体" w:hAnsi="宋体" w:cs="宋体"/>
                <w:b/>
                <w:kern w:val="0"/>
                <w:szCs w:val="21"/>
              </w:rPr>
              <w:t>序号</w:t>
            </w:r>
          </w:p>
        </w:tc>
        <w:tc>
          <w:tcPr>
            <w:tcW w:w="2715" w:type="dxa"/>
            <w:vAlign w:val="center"/>
          </w:tcPr>
          <w:p w14:paraId="0CCD8C5A">
            <w:pPr>
              <w:widowControl/>
              <w:adjustRightInd w:val="0"/>
              <w:snapToGrid w:val="0"/>
              <w:jc w:val="center"/>
              <w:rPr>
                <w:rFonts w:ascii="宋体" w:hAnsi="宋体" w:cs="宋体"/>
                <w:b/>
                <w:kern w:val="0"/>
                <w:szCs w:val="21"/>
              </w:rPr>
            </w:pPr>
            <w:r>
              <w:rPr>
                <w:rFonts w:hint="eastAsia" w:ascii="宋体" w:hAnsi="宋体" w:cs="宋体"/>
                <w:b/>
                <w:kern w:val="0"/>
                <w:szCs w:val="21"/>
              </w:rPr>
              <w:t>项目</w:t>
            </w:r>
          </w:p>
        </w:tc>
        <w:tc>
          <w:tcPr>
            <w:tcW w:w="6095" w:type="dxa"/>
            <w:vAlign w:val="center"/>
          </w:tcPr>
          <w:p w14:paraId="045ED63C">
            <w:pPr>
              <w:widowControl/>
              <w:adjustRightInd w:val="0"/>
              <w:snapToGrid w:val="0"/>
              <w:jc w:val="center"/>
              <w:rPr>
                <w:rFonts w:ascii="宋体" w:hAnsi="宋体" w:cs="宋体"/>
                <w:b/>
                <w:kern w:val="0"/>
                <w:szCs w:val="21"/>
              </w:rPr>
            </w:pPr>
            <w:r>
              <w:rPr>
                <w:rFonts w:hint="eastAsia" w:ascii="宋体" w:hAnsi="宋体" w:cs="宋体"/>
                <w:b/>
                <w:kern w:val="0"/>
                <w:szCs w:val="21"/>
              </w:rPr>
              <w:t>内容</w:t>
            </w:r>
          </w:p>
        </w:tc>
      </w:tr>
      <w:tr w14:paraId="1CDA8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70F72713">
            <w:pPr>
              <w:widowControl/>
              <w:adjustRightInd w:val="0"/>
              <w:snapToGrid w:val="0"/>
              <w:jc w:val="center"/>
              <w:rPr>
                <w:rFonts w:ascii="宋体" w:hAnsi="宋体" w:cs="宋体"/>
                <w:kern w:val="0"/>
                <w:szCs w:val="21"/>
              </w:rPr>
            </w:pPr>
            <w:r>
              <w:rPr>
                <w:rFonts w:hint="eastAsia" w:ascii="宋体" w:hAnsi="宋体" w:cs="宋体"/>
                <w:kern w:val="0"/>
                <w:szCs w:val="21"/>
              </w:rPr>
              <w:t>1</w:t>
            </w:r>
          </w:p>
        </w:tc>
        <w:tc>
          <w:tcPr>
            <w:tcW w:w="2715" w:type="dxa"/>
            <w:vAlign w:val="center"/>
          </w:tcPr>
          <w:p w14:paraId="742C77F4">
            <w:pPr>
              <w:widowControl/>
              <w:adjustRightInd w:val="0"/>
              <w:snapToGrid w:val="0"/>
              <w:jc w:val="center"/>
              <w:rPr>
                <w:rFonts w:ascii="宋体" w:hAnsi="宋体" w:cs="宋体"/>
                <w:kern w:val="0"/>
                <w:szCs w:val="21"/>
              </w:rPr>
            </w:pPr>
            <w:r>
              <w:rPr>
                <w:rFonts w:hint="eastAsia" w:ascii="宋体" w:hAnsi="宋体" w:cs="宋体"/>
                <w:kern w:val="0"/>
                <w:szCs w:val="21"/>
              </w:rPr>
              <w:t>项目名称</w:t>
            </w:r>
          </w:p>
        </w:tc>
        <w:tc>
          <w:tcPr>
            <w:tcW w:w="6095" w:type="dxa"/>
            <w:vAlign w:val="center"/>
          </w:tcPr>
          <w:p w14:paraId="5A6A9366">
            <w:pPr>
              <w:widowControl/>
              <w:adjustRightInd w:val="0"/>
              <w:snapToGrid w:val="0"/>
              <w:rPr>
                <w:rFonts w:ascii="宋体" w:hAnsi="宋体" w:cs="宋体"/>
                <w:kern w:val="0"/>
                <w:szCs w:val="21"/>
              </w:rPr>
            </w:pPr>
          </w:p>
        </w:tc>
      </w:tr>
      <w:tr w14:paraId="36622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4C820049">
            <w:pPr>
              <w:widowControl/>
              <w:adjustRightInd w:val="0"/>
              <w:snapToGrid w:val="0"/>
              <w:jc w:val="center"/>
              <w:rPr>
                <w:rFonts w:ascii="宋体" w:hAnsi="宋体" w:cs="宋体"/>
                <w:kern w:val="0"/>
                <w:szCs w:val="21"/>
              </w:rPr>
            </w:pPr>
            <w:r>
              <w:rPr>
                <w:rFonts w:hint="eastAsia" w:ascii="宋体" w:hAnsi="宋体" w:cs="宋体"/>
                <w:kern w:val="0"/>
                <w:szCs w:val="21"/>
              </w:rPr>
              <w:t>2</w:t>
            </w:r>
          </w:p>
        </w:tc>
        <w:tc>
          <w:tcPr>
            <w:tcW w:w="2715" w:type="dxa"/>
            <w:vAlign w:val="center"/>
          </w:tcPr>
          <w:p w14:paraId="0A2A6D40">
            <w:pPr>
              <w:widowControl/>
              <w:adjustRightInd w:val="0"/>
              <w:snapToGrid w:val="0"/>
              <w:jc w:val="center"/>
              <w:rPr>
                <w:rFonts w:ascii="宋体" w:hAnsi="宋体" w:cs="宋体"/>
                <w:kern w:val="0"/>
                <w:szCs w:val="21"/>
              </w:rPr>
            </w:pPr>
            <w:r>
              <w:rPr>
                <w:rFonts w:hint="eastAsia" w:ascii="宋体" w:hAnsi="宋体" w:cs="宋体"/>
                <w:kern w:val="0"/>
                <w:szCs w:val="21"/>
              </w:rPr>
              <w:t>项目编号</w:t>
            </w:r>
          </w:p>
        </w:tc>
        <w:tc>
          <w:tcPr>
            <w:tcW w:w="6095" w:type="dxa"/>
            <w:vAlign w:val="center"/>
          </w:tcPr>
          <w:p w14:paraId="6ED7D71C">
            <w:pPr>
              <w:widowControl/>
              <w:adjustRightInd w:val="0"/>
              <w:snapToGrid w:val="0"/>
              <w:rPr>
                <w:rFonts w:ascii="宋体" w:hAnsi="宋体" w:cs="宋体"/>
                <w:kern w:val="0"/>
                <w:szCs w:val="21"/>
              </w:rPr>
            </w:pPr>
          </w:p>
        </w:tc>
      </w:tr>
      <w:tr w14:paraId="286FC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1BC72ACA">
            <w:pPr>
              <w:widowControl/>
              <w:adjustRightInd w:val="0"/>
              <w:snapToGrid w:val="0"/>
              <w:jc w:val="center"/>
              <w:rPr>
                <w:rFonts w:ascii="宋体" w:hAnsi="宋体" w:cs="宋体"/>
                <w:kern w:val="0"/>
                <w:szCs w:val="21"/>
              </w:rPr>
            </w:pPr>
            <w:r>
              <w:rPr>
                <w:rFonts w:hint="eastAsia" w:ascii="宋体" w:hAnsi="宋体" w:cs="宋体"/>
                <w:kern w:val="0"/>
                <w:szCs w:val="21"/>
              </w:rPr>
              <w:t>3</w:t>
            </w:r>
          </w:p>
        </w:tc>
        <w:tc>
          <w:tcPr>
            <w:tcW w:w="2715" w:type="dxa"/>
            <w:vAlign w:val="center"/>
          </w:tcPr>
          <w:p w14:paraId="594B625C">
            <w:pPr>
              <w:widowControl/>
              <w:adjustRightInd w:val="0"/>
              <w:snapToGrid w:val="0"/>
              <w:jc w:val="center"/>
              <w:rPr>
                <w:rFonts w:ascii="宋体" w:hAnsi="宋体" w:cs="宋体"/>
                <w:kern w:val="0"/>
                <w:szCs w:val="21"/>
              </w:rPr>
            </w:pPr>
            <w:r>
              <w:rPr>
                <w:rFonts w:hint="eastAsia" w:ascii="宋体" w:hAnsi="宋体" w:cs="宋体"/>
                <w:kern w:val="0"/>
                <w:szCs w:val="21"/>
              </w:rPr>
              <w:t>响应报价</w:t>
            </w:r>
          </w:p>
          <w:p w14:paraId="1E36CE6F">
            <w:pPr>
              <w:widowControl/>
              <w:adjustRightInd w:val="0"/>
              <w:snapToGrid w:val="0"/>
              <w:jc w:val="center"/>
              <w:rPr>
                <w:rFonts w:ascii="宋体" w:hAnsi="宋体" w:cs="宋体"/>
                <w:kern w:val="0"/>
                <w:szCs w:val="21"/>
              </w:rPr>
            </w:pPr>
            <w:r>
              <w:rPr>
                <w:rFonts w:hint="eastAsia" w:ascii="宋体" w:hAnsi="宋体" w:cs="宋体"/>
                <w:kern w:val="0"/>
                <w:szCs w:val="21"/>
              </w:rPr>
              <w:t>响应报价为表3-1、表3-2、表3-3汇总之和</w:t>
            </w:r>
          </w:p>
        </w:tc>
        <w:tc>
          <w:tcPr>
            <w:tcW w:w="6095" w:type="dxa"/>
            <w:vAlign w:val="center"/>
          </w:tcPr>
          <w:p w14:paraId="61A41EDF">
            <w:pPr>
              <w:widowControl/>
              <w:adjustRightInd w:val="0"/>
              <w:snapToGrid w:val="0"/>
              <w:rPr>
                <w:rFonts w:ascii="宋体" w:hAnsi="宋体" w:cs="宋体"/>
                <w:kern w:val="0"/>
                <w:szCs w:val="21"/>
              </w:rPr>
            </w:pPr>
          </w:p>
        </w:tc>
      </w:tr>
    </w:tbl>
    <w:p w14:paraId="3F1D2351">
      <w:pPr>
        <w:widowControl/>
        <w:spacing w:line="200" w:lineRule="atLeast"/>
        <w:rPr>
          <w:rFonts w:ascii="宋体" w:hAnsi="宋体" w:cs="宋体"/>
          <w:kern w:val="0"/>
          <w:szCs w:val="21"/>
        </w:rPr>
      </w:pPr>
    </w:p>
    <w:p w14:paraId="6D70AD32">
      <w:pPr>
        <w:widowControl/>
        <w:spacing w:before="18" w:line="280" w:lineRule="atLeast"/>
        <w:rPr>
          <w:rFonts w:ascii="宋体" w:hAnsi="宋体" w:cs="宋体"/>
          <w:kern w:val="0"/>
          <w:szCs w:val="21"/>
        </w:rPr>
      </w:pPr>
    </w:p>
    <w:p w14:paraId="199D65FB">
      <w:pPr>
        <w:widowControl/>
        <w:spacing w:line="360" w:lineRule="auto"/>
        <w:ind w:left="2977" w:right="-20"/>
        <w:rPr>
          <w:rFonts w:ascii="宋体" w:hAnsi="宋体" w:cs="宋体"/>
          <w:kern w:val="0"/>
          <w:szCs w:val="21"/>
        </w:rPr>
      </w:pPr>
      <w:r>
        <w:rPr>
          <w:rFonts w:hint="eastAsia" w:ascii="宋体" w:hAnsi="宋体" w:cs="宋体"/>
          <w:kern w:val="0"/>
          <w:szCs w:val="21"/>
        </w:rPr>
        <w:t>供 应 商：</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（单位盖章）</w:t>
      </w:r>
    </w:p>
    <w:p w14:paraId="4827386D">
      <w:pPr>
        <w:widowControl/>
        <w:spacing w:before="34" w:line="360" w:lineRule="auto"/>
        <w:ind w:left="2977" w:right="-20"/>
        <w:rPr>
          <w:rFonts w:ascii="宋体" w:hAnsi="宋体" w:cs="宋体"/>
          <w:kern w:val="0"/>
          <w:szCs w:val="21"/>
        </w:rPr>
      </w:pPr>
      <w:r>
        <w:rPr>
          <w:rFonts w:hint="eastAsia" w:ascii="宋体" w:hAnsi="宋体" w:cs="宋体"/>
          <w:kern w:val="0"/>
          <w:szCs w:val="21"/>
        </w:rPr>
        <w:t>法定代表人（单位负责人）或其委托代理人</w:t>
      </w:r>
      <w:r>
        <w:rPr>
          <w:rFonts w:hint="eastAsia" w:ascii="宋体" w:hAnsi="宋体" w:cs="宋体"/>
          <w:spacing w:val="-47"/>
          <w:kern w:val="0"/>
          <w:szCs w:val="21"/>
        </w:rPr>
        <w:t>：</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（签字或盖章）</w:t>
      </w:r>
    </w:p>
    <w:p w14:paraId="0BFB0CDC">
      <w:pPr>
        <w:widowControl/>
        <w:spacing w:before="34" w:line="360" w:lineRule="auto"/>
        <w:ind w:left="5516" w:right="-20"/>
        <w:rPr>
          <w:rFonts w:ascii="宋体" w:hAnsi="宋体" w:cs="宋体"/>
          <w:kern w:val="0"/>
          <w:szCs w:val="21"/>
        </w:rPr>
        <w:sectPr>
          <w:footnotePr>
            <w:numFmt w:val="decimalEnclosedCircleChinese"/>
            <w:numRestart w:val="eachPage"/>
          </w:footnotePr>
          <w:pgSz w:w="11906" w:h="16838"/>
          <w:pgMar w:top="1134" w:right="1134" w:bottom="1134" w:left="1134" w:header="851" w:footer="851" w:gutter="0"/>
          <w:cols w:space="720" w:num="1"/>
          <w:docGrid w:linePitch="286" w:charSpace="0"/>
        </w:sectPr>
      </w:pP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日</w:t>
      </w:r>
    </w:p>
    <w:p w14:paraId="1B4E67D2">
      <w:pPr>
        <w:widowControl/>
        <w:spacing w:line="200" w:lineRule="atLeast"/>
        <w:rPr>
          <w:rFonts w:ascii="宋体" w:hAnsi="宋体" w:cs="宋体"/>
          <w:color w:val="0000FF"/>
          <w:kern w:val="0"/>
          <w:szCs w:val="21"/>
        </w:rPr>
      </w:pPr>
    </w:p>
    <w:p w14:paraId="3430555F">
      <w:pPr>
        <w:topLinePunct/>
        <w:snapToGrid w:val="0"/>
        <w:spacing w:after="120" w:afterLines="50" w:line="360" w:lineRule="auto"/>
        <w:jc w:val="center"/>
        <w:rPr>
          <w:rFonts w:ascii="宋体" w:hAnsi="宋体" w:cs="宋体"/>
          <w:b/>
          <w:sz w:val="24"/>
          <w:szCs w:val="28"/>
        </w:rPr>
      </w:pPr>
      <w:r>
        <w:rPr>
          <w:rFonts w:hint="eastAsia" w:ascii="宋体" w:hAnsi="宋体" w:cs="宋体"/>
          <w:b/>
          <w:sz w:val="24"/>
          <w:szCs w:val="28"/>
        </w:rPr>
        <w:t>最后报价</w:t>
      </w:r>
    </w:p>
    <w:p w14:paraId="6DCDA37F">
      <w:pPr>
        <w:widowControl/>
        <w:topLinePunct/>
        <w:spacing w:line="333" w:lineRule="atLeast"/>
        <w:jc w:val="right"/>
        <w:rPr>
          <w:rFonts w:ascii="宋体" w:hAnsi="宋体" w:cs="宋体"/>
          <w:kern w:val="0"/>
          <w:position w:val="-4"/>
          <w:szCs w:val="21"/>
        </w:rPr>
      </w:pP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人民币元</w:t>
      </w:r>
    </w:p>
    <w:tbl>
      <w:tblPr>
        <w:tblStyle w:val="47"/>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1DAE5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vAlign w:val="center"/>
          </w:tcPr>
          <w:p w14:paraId="54495532">
            <w:pPr>
              <w:widowControl/>
              <w:adjustRightInd w:val="0"/>
              <w:snapToGrid w:val="0"/>
              <w:jc w:val="center"/>
              <w:rPr>
                <w:rFonts w:ascii="宋体" w:hAnsi="宋体" w:cs="宋体"/>
                <w:b/>
                <w:kern w:val="0"/>
                <w:szCs w:val="21"/>
              </w:rPr>
            </w:pPr>
            <w:r>
              <w:rPr>
                <w:rFonts w:hint="eastAsia" w:ascii="宋体" w:hAnsi="宋体" w:cs="宋体"/>
                <w:b/>
                <w:kern w:val="0"/>
                <w:szCs w:val="21"/>
              </w:rPr>
              <w:t>序号</w:t>
            </w:r>
          </w:p>
        </w:tc>
        <w:tc>
          <w:tcPr>
            <w:tcW w:w="2715" w:type="dxa"/>
            <w:vAlign w:val="center"/>
          </w:tcPr>
          <w:p w14:paraId="5819DA8A">
            <w:pPr>
              <w:widowControl/>
              <w:adjustRightInd w:val="0"/>
              <w:snapToGrid w:val="0"/>
              <w:jc w:val="center"/>
              <w:rPr>
                <w:rFonts w:ascii="宋体" w:hAnsi="宋体" w:cs="宋体"/>
                <w:b/>
                <w:kern w:val="0"/>
                <w:szCs w:val="21"/>
              </w:rPr>
            </w:pPr>
            <w:r>
              <w:rPr>
                <w:rFonts w:hint="eastAsia" w:ascii="宋体" w:hAnsi="宋体" w:cs="宋体"/>
                <w:b/>
                <w:kern w:val="0"/>
                <w:szCs w:val="21"/>
              </w:rPr>
              <w:t>项目</w:t>
            </w:r>
          </w:p>
        </w:tc>
        <w:tc>
          <w:tcPr>
            <w:tcW w:w="6095" w:type="dxa"/>
            <w:vAlign w:val="center"/>
          </w:tcPr>
          <w:p w14:paraId="2CEF55F1">
            <w:pPr>
              <w:widowControl/>
              <w:adjustRightInd w:val="0"/>
              <w:snapToGrid w:val="0"/>
              <w:jc w:val="center"/>
              <w:rPr>
                <w:rFonts w:ascii="宋体" w:hAnsi="宋体" w:cs="宋体"/>
                <w:b/>
                <w:kern w:val="0"/>
                <w:szCs w:val="21"/>
              </w:rPr>
            </w:pPr>
            <w:r>
              <w:rPr>
                <w:rFonts w:hint="eastAsia" w:ascii="宋体" w:hAnsi="宋体" w:cs="宋体"/>
                <w:b/>
                <w:kern w:val="0"/>
                <w:szCs w:val="21"/>
              </w:rPr>
              <w:t>内容</w:t>
            </w:r>
          </w:p>
        </w:tc>
      </w:tr>
      <w:tr w14:paraId="356EE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52D9A1B9">
            <w:pPr>
              <w:widowControl/>
              <w:adjustRightInd w:val="0"/>
              <w:snapToGrid w:val="0"/>
              <w:jc w:val="center"/>
              <w:rPr>
                <w:rFonts w:ascii="宋体" w:hAnsi="宋体" w:cs="宋体"/>
                <w:kern w:val="0"/>
                <w:szCs w:val="21"/>
              </w:rPr>
            </w:pPr>
            <w:r>
              <w:rPr>
                <w:rFonts w:hint="eastAsia" w:ascii="宋体" w:hAnsi="宋体" w:cs="宋体"/>
                <w:kern w:val="0"/>
                <w:szCs w:val="21"/>
              </w:rPr>
              <w:t>1</w:t>
            </w:r>
          </w:p>
        </w:tc>
        <w:tc>
          <w:tcPr>
            <w:tcW w:w="2715" w:type="dxa"/>
            <w:vAlign w:val="center"/>
          </w:tcPr>
          <w:p w14:paraId="095BE12E">
            <w:pPr>
              <w:widowControl/>
              <w:adjustRightInd w:val="0"/>
              <w:snapToGrid w:val="0"/>
              <w:jc w:val="center"/>
              <w:rPr>
                <w:rFonts w:ascii="宋体" w:hAnsi="宋体" w:cs="宋体"/>
                <w:kern w:val="0"/>
                <w:szCs w:val="21"/>
              </w:rPr>
            </w:pPr>
            <w:r>
              <w:rPr>
                <w:rFonts w:hint="eastAsia" w:ascii="宋体" w:hAnsi="宋体" w:cs="宋体"/>
                <w:kern w:val="0"/>
                <w:szCs w:val="21"/>
              </w:rPr>
              <w:t>项目名称</w:t>
            </w:r>
          </w:p>
        </w:tc>
        <w:tc>
          <w:tcPr>
            <w:tcW w:w="6095" w:type="dxa"/>
            <w:vAlign w:val="center"/>
          </w:tcPr>
          <w:p w14:paraId="5B811F99">
            <w:pPr>
              <w:widowControl/>
              <w:adjustRightInd w:val="0"/>
              <w:snapToGrid w:val="0"/>
              <w:rPr>
                <w:rFonts w:ascii="宋体" w:hAnsi="宋体" w:cs="宋体"/>
                <w:kern w:val="0"/>
                <w:szCs w:val="21"/>
              </w:rPr>
            </w:pPr>
          </w:p>
        </w:tc>
      </w:tr>
      <w:tr w14:paraId="5FA5E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1580064F">
            <w:pPr>
              <w:widowControl/>
              <w:adjustRightInd w:val="0"/>
              <w:snapToGrid w:val="0"/>
              <w:jc w:val="center"/>
              <w:rPr>
                <w:rFonts w:ascii="宋体" w:hAnsi="宋体" w:cs="宋体"/>
                <w:kern w:val="0"/>
                <w:szCs w:val="21"/>
              </w:rPr>
            </w:pPr>
            <w:r>
              <w:rPr>
                <w:rFonts w:hint="eastAsia" w:ascii="宋体" w:hAnsi="宋体" w:cs="宋体"/>
                <w:kern w:val="0"/>
                <w:szCs w:val="21"/>
              </w:rPr>
              <w:t>2</w:t>
            </w:r>
          </w:p>
        </w:tc>
        <w:tc>
          <w:tcPr>
            <w:tcW w:w="2715" w:type="dxa"/>
            <w:vAlign w:val="center"/>
          </w:tcPr>
          <w:p w14:paraId="1A6D3566">
            <w:pPr>
              <w:widowControl/>
              <w:adjustRightInd w:val="0"/>
              <w:snapToGrid w:val="0"/>
              <w:jc w:val="center"/>
              <w:rPr>
                <w:rFonts w:ascii="宋体" w:hAnsi="宋体" w:cs="宋体"/>
                <w:kern w:val="0"/>
                <w:szCs w:val="21"/>
              </w:rPr>
            </w:pPr>
            <w:r>
              <w:rPr>
                <w:rFonts w:hint="eastAsia" w:ascii="宋体" w:hAnsi="宋体" w:cs="宋体"/>
                <w:kern w:val="0"/>
                <w:szCs w:val="21"/>
              </w:rPr>
              <w:t>项目编号</w:t>
            </w:r>
          </w:p>
        </w:tc>
        <w:tc>
          <w:tcPr>
            <w:tcW w:w="6095" w:type="dxa"/>
            <w:vAlign w:val="center"/>
          </w:tcPr>
          <w:p w14:paraId="3E35BC46">
            <w:pPr>
              <w:widowControl/>
              <w:adjustRightInd w:val="0"/>
              <w:snapToGrid w:val="0"/>
              <w:rPr>
                <w:rFonts w:ascii="宋体" w:hAnsi="宋体" w:cs="宋体"/>
                <w:kern w:val="0"/>
                <w:szCs w:val="21"/>
              </w:rPr>
            </w:pPr>
          </w:p>
        </w:tc>
      </w:tr>
      <w:tr w14:paraId="67ECE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vAlign w:val="center"/>
          </w:tcPr>
          <w:p w14:paraId="26A77D7F">
            <w:pPr>
              <w:widowControl/>
              <w:adjustRightInd w:val="0"/>
              <w:snapToGrid w:val="0"/>
              <w:jc w:val="center"/>
              <w:rPr>
                <w:rFonts w:ascii="宋体" w:hAnsi="宋体" w:cs="宋体"/>
                <w:kern w:val="0"/>
                <w:szCs w:val="21"/>
              </w:rPr>
            </w:pPr>
            <w:r>
              <w:rPr>
                <w:rFonts w:hint="eastAsia" w:ascii="宋体" w:hAnsi="宋体" w:cs="宋体"/>
                <w:kern w:val="0"/>
                <w:szCs w:val="21"/>
              </w:rPr>
              <w:t>3</w:t>
            </w:r>
          </w:p>
        </w:tc>
        <w:tc>
          <w:tcPr>
            <w:tcW w:w="2715" w:type="dxa"/>
            <w:vAlign w:val="center"/>
          </w:tcPr>
          <w:p w14:paraId="124591FC">
            <w:pPr>
              <w:widowControl/>
              <w:adjustRightInd w:val="0"/>
              <w:snapToGrid w:val="0"/>
              <w:jc w:val="center"/>
              <w:rPr>
                <w:rFonts w:ascii="宋体" w:hAnsi="宋体" w:cs="宋体"/>
                <w:kern w:val="0"/>
                <w:szCs w:val="21"/>
              </w:rPr>
            </w:pPr>
            <w:r>
              <w:rPr>
                <w:rFonts w:hint="eastAsia" w:ascii="宋体" w:hAnsi="宋体" w:cs="宋体"/>
                <w:kern w:val="0"/>
                <w:szCs w:val="21"/>
              </w:rPr>
              <w:t>响应报价</w:t>
            </w:r>
          </w:p>
        </w:tc>
        <w:tc>
          <w:tcPr>
            <w:tcW w:w="6095" w:type="dxa"/>
            <w:vAlign w:val="center"/>
          </w:tcPr>
          <w:p w14:paraId="16B42E70">
            <w:pPr>
              <w:widowControl/>
              <w:adjustRightInd w:val="0"/>
              <w:snapToGrid w:val="0"/>
              <w:rPr>
                <w:rFonts w:ascii="宋体" w:hAnsi="宋体" w:cs="宋体"/>
                <w:kern w:val="0"/>
                <w:szCs w:val="21"/>
              </w:rPr>
            </w:pPr>
          </w:p>
        </w:tc>
      </w:tr>
    </w:tbl>
    <w:p w14:paraId="0D494064">
      <w:pPr>
        <w:widowControl/>
        <w:topLinePunct/>
        <w:spacing w:line="333" w:lineRule="atLeast"/>
        <w:jc w:val="right"/>
        <w:rPr>
          <w:rFonts w:ascii="宋体" w:hAnsi="宋体" w:cs="宋体"/>
          <w:kern w:val="0"/>
          <w:szCs w:val="21"/>
        </w:rPr>
      </w:pPr>
    </w:p>
    <w:p w14:paraId="297CE1EF">
      <w:pPr>
        <w:topLinePunct/>
        <w:spacing w:line="360" w:lineRule="auto"/>
        <w:ind w:firstLine="482" w:firstLineChars="200"/>
        <w:rPr>
          <w:rFonts w:ascii="宋体" w:hAnsi="宋体" w:cs="宋体"/>
          <w:bCs/>
          <w:color w:val="000000"/>
          <w:sz w:val="24"/>
        </w:rPr>
      </w:pPr>
      <w:r>
        <w:rPr>
          <w:rFonts w:hint="eastAsia" w:ascii="宋体" w:hAnsi="宋体" w:cs="宋体"/>
          <w:b/>
          <w:bCs/>
          <w:color w:val="000000"/>
          <w:sz w:val="24"/>
        </w:rPr>
        <w:t>注：</w:t>
      </w:r>
      <w:r>
        <w:rPr>
          <w:rFonts w:hint="eastAsia" w:ascii="宋体" w:hAnsi="宋体" w:cs="宋体"/>
          <w:color w:val="000000"/>
          <w:sz w:val="24"/>
        </w:rPr>
        <w:t>考虑报价的方便，供应商在填写最后报价后，（第一轮报价-最后报价）除以第一轮报价后得出的优惠率，视同为采购需求中全部分项内容的优惠率。</w:t>
      </w:r>
      <w:r>
        <w:rPr>
          <w:rFonts w:hint="eastAsia" w:ascii="宋体" w:hAnsi="宋体" w:cs="宋体"/>
          <w:bCs/>
          <w:color w:val="000000"/>
          <w:sz w:val="24"/>
        </w:rPr>
        <w:t>此优惠率调整原则适用于合同内价格的计算及项目增减、变更时价格的计算。</w:t>
      </w:r>
    </w:p>
    <w:p w14:paraId="001C13F1">
      <w:pPr>
        <w:widowControl/>
        <w:topLinePunct/>
        <w:spacing w:before="18" w:line="280" w:lineRule="atLeast"/>
        <w:rPr>
          <w:rFonts w:ascii="宋体" w:hAnsi="宋体" w:cs="宋体"/>
          <w:kern w:val="0"/>
          <w:sz w:val="24"/>
        </w:rPr>
      </w:pPr>
    </w:p>
    <w:p w14:paraId="7673FD4B">
      <w:pPr>
        <w:widowControl/>
        <w:topLinePunct/>
        <w:spacing w:line="295" w:lineRule="atLeast"/>
        <w:ind w:left="3940" w:right="-20"/>
        <w:rPr>
          <w:rFonts w:ascii="宋体" w:hAnsi="宋体" w:cs="宋体"/>
          <w:kern w:val="0"/>
          <w:sz w:val="24"/>
        </w:rPr>
      </w:pPr>
      <w:r>
        <w:rPr>
          <w:rFonts w:hint="eastAsia" w:ascii="宋体" w:hAnsi="宋体" w:cs="宋体"/>
          <w:kern w:val="0"/>
          <w:sz w:val="24"/>
        </w:rPr>
        <w:t>供应商：</w:t>
      </w:r>
      <w:r>
        <w:rPr>
          <w:rFonts w:hint="eastAsia" w:ascii="宋体" w:hAnsi="宋体" w:cs="宋体"/>
          <w:spacing w:val="42"/>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（单位盖章）</w:t>
      </w:r>
    </w:p>
    <w:p w14:paraId="5DAAB11C">
      <w:pPr>
        <w:widowControl/>
        <w:topLinePunct/>
        <w:spacing w:before="34"/>
        <w:ind w:left="3940" w:right="-20"/>
        <w:rPr>
          <w:rFonts w:ascii="宋体" w:hAnsi="宋体" w:cs="宋体"/>
          <w:kern w:val="0"/>
          <w:sz w:val="24"/>
        </w:rPr>
      </w:pPr>
      <w:r>
        <w:rPr>
          <w:rFonts w:hint="eastAsia" w:ascii="宋体" w:hAnsi="宋体" w:cs="宋体"/>
          <w:kern w:val="0"/>
          <w:sz w:val="24"/>
        </w:rPr>
        <w:t>或</w:t>
      </w:r>
    </w:p>
    <w:p w14:paraId="158C9302">
      <w:pPr>
        <w:widowControl/>
        <w:topLinePunct/>
        <w:spacing w:before="34"/>
        <w:ind w:left="3940" w:right="-20"/>
        <w:rPr>
          <w:rFonts w:ascii="宋体" w:hAnsi="宋体" w:cs="宋体"/>
          <w:kern w:val="0"/>
          <w:sz w:val="24"/>
        </w:rPr>
      </w:pPr>
      <w:r>
        <w:rPr>
          <w:rFonts w:hint="eastAsia" w:ascii="宋体" w:hAnsi="宋体" w:cs="宋体"/>
          <w:kern w:val="0"/>
          <w:sz w:val="24"/>
        </w:rPr>
        <w:t>法定代表人或其委托代理人</w:t>
      </w:r>
      <w:r>
        <w:rPr>
          <w:rFonts w:hint="eastAsia" w:ascii="宋体" w:hAnsi="宋体" w:cs="宋体"/>
          <w:spacing w:val="-47"/>
          <w:kern w:val="0"/>
          <w:sz w:val="24"/>
        </w:rPr>
        <w:t>：</w:t>
      </w:r>
      <w:r>
        <w:rPr>
          <w:rFonts w:hint="eastAsia" w:ascii="宋体" w:hAnsi="宋体" w:cs="宋体"/>
          <w:spacing w:val="42"/>
          <w:kern w:val="0"/>
          <w:sz w:val="24"/>
          <w:u w:val="single"/>
        </w:rPr>
        <w:t xml:space="preserve"> </w:t>
      </w:r>
      <w:r>
        <w:rPr>
          <w:rFonts w:hint="eastAsia" w:ascii="宋体" w:hAnsi="宋体" w:cs="宋体"/>
          <w:kern w:val="0"/>
          <w:sz w:val="24"/>
          <w:u w:val="single"/>
        </w:rPr>
        <w:t xml:space="preserve"> （签</w:t>
      </w:r>
      <w:r>
        <w:rPr>
          <w:rFonts w:hint="eastAsia" w:ascii="宋体" w:hAnsi="宋体" w:cs="宋体"/>
          <w:kern w:val="0"/>
          <w:sz w:val="24"/>
        </w:rPr>
        <w:t>字或盖章）</w:t>
      </w:r>
    </w:p>
    <w:p w14:paraId="5F4C2453">
      <w:pPr>
        <w:widowControl/>
        <w:topLinePunct/>
        <w:spacing w:before="34"/>
        <w:ind w:left="5516" w:right="-20"/>
        <w:rPr>
          <w:rFonts w:ascii="宋体" w:hAnsi="宋体" w:cs="宋体"/>
          <w:kern w:val="0"/>
          <w:sz w:val="24"/>
          <w:u w:val="single"/>
        </w:rPr>
      </w:pPr>
    </w:p>
    <w:p w14:paraId="452C66D4">
      <w:pPr>
        <w:widowControl/>
        <w:topLinePunct/>
        <w:spacing w:before="34"/>
        <w:ind w:left="5516" w:right="-20"/>
        <w:rPr>
          <w:rFonts w:ascii="宋体" w:hAnsi="宋体" w:cs="宋体"/>
          <w:kern w:val="0"/>
          <w:sz w:val="24"/>
        </w:rPr>
      </w:pP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spacing w:val="42"/>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spacing w:val="42"/>
          <w:kern w:val="0"/>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日</w:t>
      </w:r>
    </w:p>
    <w:p w14:paraId="46B81EBC">
      <w:pPr>
        <w:widowControl/>
        <w:spacing w:line="200" w:lineRule="atLeast"/>
        <w:rPr>
          <w:rFonts w:ascii="宋体" w:hAnsi="宋体" w:cs="宋体"/>
          <w:color w:val="0000FF"/>
          <w:kern w:val="0"/>
          <w:szCs w:val="21"/>
        </w:rPr>
      </w:pPr>
    </w:p>
    <w:p w14:paraId="1C7B8EA6">
      <w:pPr>
        <w:widowControl/>
        <w:spacing w:line="272" w:lineRule="atLeast"/>
        <w:ind w:left="160" w:right="-20"/>
        <w:rPr>
          <w:rFonts w:ascii="宋体" w:hAnsi="宋体" w:cs="宋体"/>
          <w:color w:val="FF0000"/>
          <w:kern w:val="0"/>
          <w:szCs w:val="21"/>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189907D1">
      <w:pPr>
        <w:pStyle w:val="3"/>
        <w:widowControl/>
        <w:spacing w:before="120" w:after="120" w:line="240" w:lineRule="auto"/>
        <w:jc w:val="center"/>
        <w:rPr>
          <w:rStyle w:val="103"/>
          <w:rFonts w:ascii="宋体" w:hAnsi="宋体" w:eastAsia="宋体" w:cs="宋体"/>
          <w:b w:val="0"/>
          <w:bCs/>
          <w:sz w:val="30"/>
          <w:szCs w:val="30"/>
        </w:rPr>
      </w:pPr>
      <w:bookmarkStart w:id="771" w:name="_Toc466024588"/>
      <w:bookmarkStart w:id="772" w:name="_Toc445554787"/>
      <w:r>
        <w:rPr>
          <w:rStyle w:val="103"/>
          <w:rFonts w:hint="eastAsia" w:ascii="宋体" w:hAnsi="宋体" w:eastAsia="宋体" w:cs="宋体"/>
          <w:b/>
          <w:bCs w:val="0"/>
          <w:sz w:val="30"/>
          <w:szCs w:val="30"/>
        </w:rPr>
        <w:t>三、分项报价表</w:t>
      </w:r>
      <w:bookmarkEnd w:id="771"/>
      <w:bookmarkEnd w:id="772"/>
    </w:p>
    <w:p w14:paraId="7ACE24A9">
      <w:pPr>
        <w:widowControl/>
        <w:ind w:left="1503" w:right="1683"/>
        <w:jc w:val="center"/>
        <w:rPr>
          <w:rFonts w:ascii="宋体" w:hAnsi="宋体" w:cs="宋体"/>
          <w:kern w:val="0"/>
          <w:sz w:val="28"/>
          <w:szCs w:val="28"/>
        </w:rPr>
      </w:pPr>
      <w:r>
        <w:rPr>
          <w:rFonts w:hint="eastAsia" w:ascii="宋体" w:hAnsi="宋体" w:cs="宋体"/>
          <w:kern w:val="0"/>
          <w:sz w:val="28"/>
          <w:szCs w:val="28"/>
        </w:rPr>
        <w:t>表3-1  分项报价表</w:t>
      </w:r>
    </w:p>
    <w:p w14:paraId="7A4AE875">
      <w:pPr>
        <w:widowControl/>
        <w:spacing w:line="333" w:lineRule="atLeast"/>
        <w:jc w:val="right"/>
        <w:rPr>
          <w:rFonts w:ascii="宋体" w:hAnsi="宋体" w:cs="宋体"/>
          <w:kern w:val="0"/>
          <w:szCs w:val="21"/>
        </w:rPr>
      </w:pPr>
      <w:r>
        <w:rPr>
          <w:rFonts w:hint="eastAsia" w:ascii="宋体" w:hAnsi="宋体" w:cs="宋体"/>
          <w:kern w:val="0"/>
          <w:position w:val="-4"/>
          <w:szCs w:val="21"/>
        </w:rPr>
        <w:t>项目</w:t>
      </w:r>
      <w:r>
        <w:rPr>
          <w:rFonts w:hint="eastAsia" w:ascii="宋体" w:hAnsi="宋体" w:cs="宋体"/>
          <w:spacing w:val="-1"/>
          <w:kern w:val="0"/>
          <w:position w:val="-4"/>
          <w:szCs w:val="21"/>
        </w:rPr>
        <w:t>编</w:t>
      </w:r>
      <w:r>
        <w:rPr>
          <w:rFonts w:hint="eastAsia" w:ascii="宋体" w:hAnsi="宋体" w:cs="宋体"/>
          <w:kern w:val="0"/>
          <w:position w:val="-4"/>
          <w:szCs w:val="21"/>
        </w:rPr>
        <w:t>号</w:t>
      </w:r>
      <w:r>
        <w:rPr>
          <w:rFonts w:hint="eastAsia" w:ascii="宋体" w:hAnsi="宋体" w:cs="宋体"/>
          <w:spacing w:val="-24"/>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kern w:val="0"/>
          <w:position w:val="-4"/>
          <w:szCs w:val="21"/>
        </w:rPr>
        <w:t>标包号</w:t>
      </w:r>
      <w:r>
        <w:rPr>
          <w:rFonts w:hint="eastAsia" w:ascii="宋体" w:hAnsi="宋体" w:cs="宋体"/>
          <w:spacing w:val="-25"/>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7"/>
        <w:tblW w:w="14216"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850"/>
      </w:tblGrid>
      <w:tr w14:paraId="15AF5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738" w:type="dxa"/>
            <w:vMerge w:val="restart"/>
            <w:vAlign w:val="center"/>
          </w:tcPr>
          <w:p w14:paraId="6C8F7EDC">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序号</w:t>
            </w:r>
          </w:p>
        </w:tc>
        <w:tc>
          <w:tcPr>
            <w:tcW w:w="1156" w:type="dxa"/>
            <w:vMerge w:val="restart"/>
            <w:vAlign w:val="center"/>
          </w:tcPr>
          <w:p w14:paraId="45725590">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货物</w:t>
            </w:r>
            <w:r>
              <w:rPr>
                <w:rFonts w:hint="eastAsia" w:ascii="宋体" w:hAnsi="宋体" w:cs="宋体"/>
                <w:color w:val="000000"/>
                <w:szCs w:val="21"/>
              </w:rPr>
              <w:t>（服务）</w:t>
            </w:r>
            <w:r>
              <w:rPr>
                <w:rFonts w:hint="eastAsia" w:ascii="宋体" w:hAnsi="宋体" w:cs="宋体"/>
                <w:color w:val="000000"/>
                <w:kern w:val="0"/>
                <w:szCs w:val="21"/>
              </w:rPr>
              <w:t>名称</w:t>
            </w:r>
          </w:p>
        </w:tc>
        <w:tc>
          <w:tcPr>
            <w:tcW w:w="1124" w:type="dxa"/>
            <w:vMerge w:val="restart"/>
            <w:vAlign w:val="center"/>
          </w:tcPr>
          <w:p w14:paraId="26B5BAFC">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规格型号</w:t>
            </w:r>
          </w:p>
        </w:tc>
        <w:tc>
          <w:tcPr>
            <w:tcW w:w="567" w:type="dxa"/>
            <w:vMerge w:val="restart"/>
            <w:vAlign w:val="center"/>
          </w:tcPr>
          <w:p w14:paraId="77C49196">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数量</w:t>
            </w:r>
          </w:p>
        </w:tc>
        <w:tc>
          <w:tcPr>
            <w:tcW w:w="567" w:type="dxa"/>
            <w:vMerge w:val="restart"/>
            <w:vAlign w:val="center"/>
          </w:tcPr>
          <w:p w14:paraId="1C3B6ED7">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单位</w:t>
            </w:r>
          </w:p>
        </w:tc>
        <w:tc>
          <w:tcPr>
            <w:tcW w:w="5528" w:type="dxa"/>
            <w:gridSpan w:val="6"/>
            <w:vAlign w:val="center"/>
          </w:tcPr>
          <w:p w14:paraId="07A1B896">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单价</w:t>
            </w:r>
          </w:p>
        </w:tc>
        <w:tc>
          <w:tcPr>
            <w:tcW w:w="992" w:type="dxa"/>
            <w:vAlign w:val="center"/>
          </w:tcPr>
          <w:p w14:paraId="7A51EC56">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合价</w:t>
            </w:r>
          </w:p>
        </w:tc>
        <w:tc>
          <w:tcPr>
            <w:tcW w:w="993" w:type="dxa"/>
            <w:vAlign w:val="center"/>
          </w:tcPr>
          <w:p w14:paraId="624E701E">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制造商</w:t>
            </w:r>
          </w:p>
        </w:tc>
        <w:tc>
          <w:tcPr>
            <w:tcW w:w="851" w:type="dxa"/>
            <w:vAlign w:val="center"/>
          </w:tcPr>
          <w:p w14:paraId="6299A616">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品牌</w:t>
            </w:r>
          </w:p>
        </w:tc>
        <w:tc>
          <w:tcPr>
            <w:tcW w:w="850" w:type="dxa"/>
            <w:vAlign w:val="center"/>
          </w:tcPr>
          <w:p w14:paraId="70B67A7D">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产地</w:t>
            </w:r>
          </w:p>
        </w:tc>
        <w:tc>
          <w:tcPr>
            <w:tcW w:w="850" w:type="dxa"/>
            <w:vAlign w:val="center"/>
          </w:tcPr>
          <w:p w14:paraId="50DD2607">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发货地点</w:t>
            </w:r>
          </w:p>
        </w:tc>
      </w:tr>
      <w:tr w14:paraId="2C9E8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vAlign w:val="center"/>
          </w:tcPr>
          <w:p w14:paraId="59FF29B2">
            <w:pPr>
              <w:widowControl/>
              <w:adjustRightInd w:val="0"/>
              <w:snapToGrid w:val="0"/>
              <w:jc w:val="center"/>
              <w:rPr>
                <w:rFonts w:ascii="宋体" w:hAnsi="宋体" w:cs="宋体"/>
                <w:color w:val="000000"/>
                <w:kern w:val="0"/>
                <w:szCs w:val="21"/>
              </w:rPr>
            </w:pPr>
          </w:p>
        </w:tc>
        <w:tc>
          <w:tcPr>
            <w:tcW w:w="1156" w:type="dxa"/>
            <w:vMerge w:val="continue"/>
            <w:vAlign w:val="center"/>
          </w:tcPr>
          <w:p w14:paraId="19568EC7">
            <w:pPr>
              <w:widowControl/>
              <w:adjustRightInd w:val="0"/>
              <w:snapToGrid w:val="0"/>
              <w:jc w:val="center"/>
              <w:rPr>
                <w:rFonts w:ascii="宋体" w:hAnsi="宋体" w:cs="宋体"/>
                <w:color w:val="000000"/>
                <w:kern w:val="0"/>
                <w:szCs w:val="21"/>
              </w:rPr>
            </w:pPr>
          </w:p>
        </w:tc>
        <w:tc>
          <w:tcPr>
            <w:tcW w:w="1124" w:type="dxa"/>
            <w:vMerge w:val="continue"/>
            <w:vAlign w:val="center"/>
          </w:tcPr>
          <w:p w14:paraId="010674B9">
            <w:pPr>
              <w:widowControl/>
              <w:adjustRightInd w:val="0"/>
              <w:snapToGrid w:val="0"/>
              <w:jc w:val="center"/>
              <w:rPr>
                <w:rFonts w:ascii="宋体" w:hAnsi="宋体" w:cs="宋体"/>
                <w:color w:val="000000"/>
                <w:kern w:val="0"/>
                <w:szCs w:val="21"/>
              </w:rPr>
            </w:pPr>
          </w:p>
        </w:tc>
        <w:tc>
          <w:tcPr>
            <w:tcW w:w="567" w:type="dxa"/>
            <w:vMerge w:val="continue"/>
            <w:vAlign w:val="center"/>
          </w:tcPr>
          <w:p w14:paraId="7962374E">
            <w:pPr>
              <w:widowControl/>
              <w:adjustRightInd w:val="0"/>
              <w:snapToGrid w:val="0"/>
              <w:jc w:val="center"/>
              <w:rPr>
                <w:rFonts w:ascii="宋体" w:hAnsi="宋体" w:cs="宋体"/>
                <w:color w:val="000000"/>
                <w:kern w:val="0"/>
                <w:szCs w:val="21"/>
              </w:rPr>
            </w:pPr>
          </w:p>
        </w:tc>
        <w:tc>
          <w:tcPr>
            <w:tcW w:w="567" w:type="dxa"/>
            <w:vMerge w:val="continue"/>
            <w:vAlign w:val="center"/>
          </w:tcPr>
          <w:p w14:paraId="3198F665">
            <w:pPr>
              <w:widowControl/>
              <w:adjustRightInd w:val="0"/>
              <w:snapToGrid w:val="0"/>
              <w:jc w:val="center"/>
              <w:rPr>
                <w:rFonts w:ascii="宋体" w:hAnsi="宋体" w:cs="宋体"/>
                <w:color w:val="000000"/>
                <w:kern w:val="0"/>
                <w:szCs w:val="21"/>
              </w:rPr>
            </w:pPr>
          </w:p>
        </w:tc>
        <w:tc>
          <w:tcPr>
            <w:tcW w:w="1134" w:type="dxa"/>
            <w:vAlign w:val="center"/>
          </w:tcPr>
          <w:p w14:paraId="38050CE2">
            <w:pPr>
              <w:jc w:val="center"/>
              <w:rPr>
                <w:rFonts w:ascii="宋体" w:hAnsi="宋体" w:cs="宋体"/>
                <w:color w:val="000000"/>
                <w:szCs w:val="21"/>
              </w:rPr>
            </w:pPr>
            <w:r>
              <w:rPr>
                <w:rFonts w:hint="eastAsia" w:ascii="宋体" w:hAnsi="宋体" w:cs="宋体"/>
                <w:color w:val="000000"/>
                <w:szCs w:val="21"/>
              </w:rPr>
              <w:t>主机及标准附件</w:t>
            </w:r>
          </w:p>
        </w:tc>
        <w:tc>
          <w:tcPr>
            <w:tcW w:w="1050" w:type="dxa"/>
            <w:vAlign w:val="center"/>
          </w:tcPr>
          <w:p w14:paraId="10E3364E">
            <w:pPr>
              <w:jc w:val="center"/>
              <w:rPr>
                <w:rFonts w:ascii="宋体" w:hAnsi="宋体" w:cs="宋体"/>
                <w:color w:val="000000"/>
                <w:szCs w:val="21"/>
              </w:rPr>
            </w:pPr>
            <w:r>
              <w:rPr>
                <w:rFonts w:hint="eastAsia" w:ascii="宋体" w:hAnsi="宋体" w:cs="宋体"/>
                <w:color w:val="000000"/>
                <w:szCs w:val="21"/>
              </w:rPr>
              <w:t>运输、保险、卸货</w:t>
            </w:r>
          </w:p>
        </w:tc>
        <w:tc>
          <w:tcPr>
            <w:tcW w:w="934" w:type="dxa"/>
            <w:vAlign w:val="center"/>
          </w:tcPr>
          <w:p w14:paraId="511BBD7E">
            <w:pPr>
              <w:jc w:val="center"/>
              <w:rPr>
                <w:rFonts w:ascii="宋体" w:hAnsi="宋体" w:cs="宋体"/>
                <w:color w:val="000000"/>
                <w:szCs w:val="21"/>
              </w:rPr>
            </w:pPr>
            <w:r>
              <w:rPr>
                <w:rFonts w:hint="eastAsia" w:ascii="宋体" w:hAnsi="宋体" w:cs="宋体"/>
                <w:color w:val="000000"/>
                <w:szCs w:val="21"/>
              </w:rPr>
              <w:t>安装调试检验</w:t>
            </w:r>
          </w:p>
        </w:tc>
        <w:tc>
          <w:tcPr>
            <w:tcW w:w="1050" w:type="dxa"/>
            <w:vAlign w:val="center"/>
          </w:tcPr>
          <w:p w14:paraId="498FEFD2">
            <w:pPr>
              <w:jc w:val="center"/>
              <w:rPr>
                <w:rFonts w:ascii="宋体" w:hAnsi="宋体" w:cs="宋体"/>
                <w:color w:val="000000"/>
                <w:szCs w:val="21"/>
              </w:rPr>
            </w:pPr>
            <w:r>
              <w:rPr>
                <w:rFonts w:hint="eastAsia" w:ascii="宋体" w:hAnsi="宋体" w:cs="宋体"/>
                <w:color w:val="000000"/>
                <w:szCs w:val="21"/>
              </w:rPr>
              <w:t>培训及</w:t>
            </w:r>
          </w:p>
          <w:p w14:paraId="078974F3">
            <w:pPr>
              <w:jc w:val="center"/>
              <w:rPr>
                <w:rFonts w:ascii="宋体" w:hAnsi="宋体" w:cs="宋体"/>
                <w:color w:val="000000"/>
                <w:szCs w:val="21"/>
              </w:rPr>
            </w:pPr>
            <w:r>
              <w:rPr>
                <w:rFonts w:hint="eastAsia" w:ascii="宋体" w:hAnsi="宋体" w:cs="宋体"/>
                <w:color w:val="000000"/>
                <w:szCs w:val="21"/>
              </w:rPr>
              <w:t>技术服务</w:t>
            </w:r>
          </w:p>
        </w:tc>
        <w:tc>
          <w:tcPr>
            <w:tcW w:w="651" w:type="dxa"/>
            <w:vAlign w:val="center"/>
          </w:tcPr>
          <w:p w14:paraId="2B7728C7">
            <w:pPr>
              <w:jc w:val="center"/>
              <w:rPr>
                <w:rFonts w:ascii="宋体" w:hAnsi="宋体" w:cs="宋体"/>
                <w:color w:val="000000"/>
                <w:szCs w:val="21"/>
              </w:rPr>
            </w:pPr>
            <w:r>
              <w:rPr>
                <w:rFonts w:hint="eastAsia" w:ascii="宋体" w:hAnsi="宋体" w:cs="宋体"/>
                <w:color w:val="000000"/>
                <w:szCs w:val="21"/>
              </w:rPr>
              <w:t>其他</w:t>
            </w:r>
          </w:p>
        </w:tc>
        <w:tc>
          <w:tcPr>
            <w:tcW w:w="709" w:type="dxa"/>
            <w:vAlign w:val="center"/>
          </w:tcPr>
          <w:p w14:paraId="1A88E4E8">
            <w:pPr>
              <w:widowControl/>
              <w:adjustRightInd w:val="0"/>
              <w:snapToGrid w:val="0"/>
              <w:jc w:val="center"/>
              <w:rPr>
                <w:rFonts w:ascii="宋体" w:hAnsi="宋体" w:cs="宋体"/>
                <w:color w:val="000000"/>
                <w:kern w:val="0"/>
                <w:szCs w:val="21"/>
              </w:rPr>
            </w:pPr>
            <w:r>
              <w:rPr>
                <w:rFonts w:hint="eastAsia" w:ascii="宋体" w:hAnsi="宋体" w:cs="宋体"/>
                <w:color w:val="000000"/>
                <w:szCs w:val="21"/>
              </w:rPr>
              <w:t>小计</w:t>
            </w:r>
          </w:p>
        </w:tc>
        <w:tc>
          <w:tcPr>
            <w:tcW w:w="992" w:type="dxa"/>
            <w:vAlign w:val="center"/>
          </w:tcPr>
          <w:p w14:paraId="63228186">
            <w:pPr>
              <w:widowControl/>
              <w:adjustRightInd w:val="0"/>
              <w:snapToGrid w:val="0"/>
              <w:jc w:val="center"/>
              <w:rPr>
                <w:rFonts w:ascii="宋体" w:hAnsi="宋体" w:cs="宋体"/>
                <w:color w:val="000000"/>
                <w:kern w:val="0"/>
                <w:szCs w:val="21"/>
              </w:rPr>
            </w:pPr>
          </w:p>
        </w:tc>
        <w:tc>
          <w:tcPr>
            <w:tcW w:w="993" w:type="dxa"/>
            <w:vAlign w:val="center"/>
          </w:tcPr>
          <w:p w14:paraId="7323E657">
            <w:pPr>
              <w:widowControl/>
              <w:adjustRightInd w:val="0"/>
              <w:snapToGrid w:val="0"/>
              <w:jc w:val="center"/>
              <w:rPr>
                <w:rFonts w:ascii="宋体" w:hAnsi="宋体" w:cs="宋体"/>
                <w:color w:val="000000"/>
                <w:kern w:val="0"/>
                <w:szCs w:val="21"/>
              </w:rPr>
            </w:pPr>
          </w:p>
        </w:tc>
        <w:tc>
          <w:tcPr>
            <w:tcW w:w="851" w:type="dxa"/>
            <w:vAlign w:val="center"/>
          </w:tcPr>
          <w:p w14:paraId="00931A91">
            <w:pPr>
              <w:widowControl/>
              <w:adjustRightInd w:val="0"/>
              <w:snapToGrid w:val="0"/>
              <w:jc w:val="center"/>
              <w:rPr>
                <w:rFonts w:ascii="宋体" w:hAnsi="宋体" w:cs="宋体"/>
                <w:color w:val="000000"/>
                <w:kern w:val="0"/>
                <w:szCs w:val="21"/>
              </w:rPr>
            </w:pPr>
          </w:p>
        </w:tc>
        <w:tc>
          <w:tcPr>
            <w:tcW w:w="850" w:type="dxa"/>
            <w:vAlign w:val="center"/>
          </w:tcPr>
          <w:p w14:paraId="2B4D511E">
            <w:pPr>
              <w:widowControl/>
              <w:adjustRightInd w:val="0"/>
              <w:snapToGrid w:val="0"/>
              <w:jc w:val="center"/>
              <w:rPr>
                <w:rFonts w:ascii="宋体" w:hAnsi="宋体" w:cs="宋体"/>
                <w:color w:val="000000"/>
                <w:kern w:val="0"/>
                <w:szCs w:val="21"/>
              </w:rPr>
            </w:pPr>
          </w:p>
        </w:tc>
        <w:tc>
          <w:tcPr>
            <w:tcW w:w="850" w:type="dxa"/>
            <w:vAlign w:val="center"/>
          </w:tcPr>
          <w:p w14:paraId="103E5FC8">
            <w:pPr>
              <w:widowControl/>
              <w:adjustRightInd w:val="0"/>
              <w:snapToGrid w:val="0"/>
              <w:jc w:val="center"/>
              <w:rPr>
                <w:rFonts w:ascii="宋体" w:hAnsi="宋体" w:cs="宋体"/>
                <w:color w:val="000000"/>
                <w:kern w:val="0"/>
                <w:szCs w:val="21"/>
              </w:rPr>
            </w:pPr>
          </w:p>
        </w:tc>
      </w:tr>
      <w:tr w14:paraId="01B68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Align w:val="center"/>
          </w:tcPr>
          <w:p w14:paraId="6C0EFC0A">
            <w:pPr>
              <w:widowControl/>
              <w:adjustRightInd w:val="0"/>
              <w:snapToGrid w:val="0"/>
              <w:jc w:val="center"/>
              <w:rPr>
                <w:rFonts w:ascii="宋体" w:hAnsi="宋体" w:cs="宋体"/>
                <w:kern w:val="0"/>
                <w:szCs w:val="21"/>
              </w:rPr>
            </w:pPr>
          </w:p>
        </w:tc>
        <w:tc>
          <w:tcPr>
            <w:tcW w:w="1156" w:type="dxa"/>
            <w:vAlign w:val="center"/>
          </w:tcPr>
          <w:p w14:paraId="5AF32C42">
            <w:pPr>
              <w:jc w:val="center"/>
              <w:rPr>
                <w:rFonts w:ascii="宋体" w:hAnsi="宋体" w:cs="宋体"/>
                <w:color w:val="000000"/>
                <w:szCs w:val="21"/>
              </w:rPr>
            </w:pPr>
          </w:p>
        </w:tc>
        <w:tc>
          <w:tcPr>
            <w:tcW w:w="1124" w:type="dxa"/>
            <w:vAlign w:val="center"/>
          </w:tcPr>
          <w:p w14:paraId="6BE48E1A">
            <w:pPr>
              <w:jc w:val="center"/>
              <w:rPr>
                <w:rFonts w:ascii="宋体" w:hAnsi="宋体" w:cs="宋体"/>
                <w:color w:val="000000"/>
                <w:szCs w:val="21"/>
              </w:rPr>
            </w:pPr>
          </w:p>
        </w:tc>
        <w:tc>
          <w:tcPr>
            <w:tcW w:w="567" w:type="dxa"/>
            <w:vAlign w:val="center"/>
          </w:tcPr>
          <w:p w14:paraId="30EA7D35">
            <w:pPr>
              <w:jc w:val="center"/>
              <w:rPr>
                <w:rFonts w:ascii="宋体" w:hAnsi="宋体" w:cs="宋体"/>
                <w:color w:val="000000"/>
                <w:szCs w:val="21"/>
              </w:rPr>
            </w:pPr>
          </w:p>
        </w:tc>
        <w:tc>
          <w:tcPr>
            <w:tcW w:w="567" w:type="dxa"/>
            <w:vAlign w:val="center"/>
          </w:tcPr>
          <w:p w14:paraId="5B26B576">
            <w:pPr>
              <w:jc w:val="center"/>
              <w:rPr>
                <w:rFonts w:ascii="宋体" w:hAnsi="宋体" w:cs="宋体"/>
                <w:color w:val="000000"/>
                <w:szCs w:val="21"/>
              </w:rPr>
            </w:pPr>
          </w:p>
        </w:tc>
        <w:tc>
          <w:tcPr>
            <w:tcW w:w="1134" w:type="dxa"/>
            <w:vAlign w:val="center"/>
          </w:tcPr>
          <w:p w14:paraId="58EE98C6">
            <w:pPr>
              <w:jc w:val="center"/>
              <w:rPr>
                <w:rFonts w:ascii="宋体" w:hAnsi="宋体" w:cs="宋体"/>
                <w:color w:val="000000"/>
                <w:szCs w:val="21"/>
              </w:rPr>
            </w:pPr>
          </w:p>
        </w:tc>
        <w:tc>
          <w:tcPr>
            <w:tcW w:w="1050" w:type="dxa"/>
            <w:vAlign w:val="center"/>
          </w:tcPr>
          <w:p w14:paraId="43F7BB9D">
            <w:pPr>
              <w:jc w:val="center"/>
              <w:rPr>
                <w:rFonts w:ascii="宋体" w:hAnsi="宋体" w:cs="宋体"/>
                <w:color w:val="000000"/>
                <w:szCs w:val="21"/>
              </w:rPr>
            </w:pPr>
          </w:p>
        </w:tc>
        <w:tc>
          <w:tcPr>
            <w:tcW w:w="934" w:type="dxa"/>
            <w:vAlign w:val="center"/>
          </w:tcPr>
          <w:p w14:paraId="403FE603">
            <w:pPr>
              <w:jc w:val="center"/>
              <w:rPr>
                <w:rFonts w:ascii="宋体" w:hAnsi="宋体" w:cs="宋体"/>
                <w:color w:val="000000"/>
                <w:szCs w:val="21"/>
              </w:rPr>
            </w:pPr>
          </w:p>
        </w:tc>
        <w:tc>
          <w:tcPr>
            <w:tcW w:w="1050" w:type="dxa"/>
            <w:vAlign w:val="center"/>
          </w:tcPr>
          <w:p w14:paraId="5CC635AB">
            <w:pPr>
              <w:jc w:val="center"/>
              <w:rPr>
                <w:rFonts w:ascii="宋体" w:hAnsi="宋体" w:cs="宋体"/>
                <w:color w:val="000000"/>
                <w:szCs w:val="21"/>
              </w:rPr>
            </w:pPr>
          </w:p>
        </w:tc>
        <w:tc>
          <w:tcPr>
            <w:tcW w:w="651" w:type="dxa"/>
            <w:vAlign w:val="center"/>
          </w:tcPr>
          <w:p w14:paraId="65A3660F">
            <w:pPr>
              <w:jc w:val="center"/>
              <w:rPr>
                <w:rFonts w:ascii="宋体" w:hAnsi="宋体" w:cs="宋体"/>
                <w:color w:val="000000"/>
                <w:szCs w:val="21"/>
              </w:rPr>
            </w:pPr>
          </w:p>
        </w:tc>
        <w:tc>
          <w:tcPr>
            <w:tcW w:w="709" w:type="dxa"/>
            <w:vAlign w:val="center"/>
          </w:tcPr>
          <w:p w14:paraId="4B0775C1">
            <w:pPr>
              <w:jc w:val="center"/>
              <w:rPr>
                <w:rFonts w:ascii="宋体" w:hAnsi="宋体" w:cs="宋体"/>
                <w:color w:val="000000"/>
                <w:szCs w:val="21"/>
              </w:rPr>
            </w:pPr>
          </w:p>
        </w:tc>
        <w:tc>
          <w:tcPr>
            <w:tcW w:w="992" w:type="dxa"/>
            <w:vAlign w:val="center"/>
          </w:tcPr>
          <w:p w14:paraId="4C4E0EE4">
            <w:pPr>
              <w:jc w:val="center"/>
              <w:rPr>
                <w:rFonts w:ascii="宋体" w:hAnsi="宋体" w:cs="宋体"/>
                <w:color w:val="000000"/>
                <w:szCs w:val="21"/>
              </w:rPr>
            </w:pPr>
          </w:p>
        </w:tc>
        <w:tc>
          <w:tcPr>
            <w:tcW w:w="993" w:type="dxa"/>
            <w:vAlign w:val="center"/>
          </w:tcPr>
          <w:p w14:paraId="5DC60289">
            <w:pPr>
              <w:jc w:val="center"/>
              <w:rPr>
                <w:rFonts w:ascii="宋体" w:hAnsi="宋体" w:cs="宋体"/>
                <w:color w:val="000000"/>
                <w:szCs w:val="21"/>
              </w:rPr>
            </w:pPr>
          </w:p>
        </w:tc>
        <w:tc>
          <w:tcPr>
            <w:tcW w:w="851" w:type="dxa"/>
            <w:vAlign w:val="center"/>
          </w:tcPr>
          <w:p w14:paraId="6C08231F">
            <w:pPr>
              <w:jc w:val="center"/>
              <w:rPr>
                <w:rFonts w:ascii="宋体" w:hAnsi="宋体" w:cs="宋体"/>
                <w:color w:val="000000"/>
                <w:szCs w:val="21"/>
              </w:rPr>
            </w:pPr>
          </w:p>
        </w:tc>
        <w:tc>
          <w:tcPr>
            <w:tcW w:w="850" w:type="dxa"/>
            <w:vAlign w:val="center"/>
          </w:tcPr>
          <w:p w14:paraId="262FC94C">
            <w:pPr>
              <w:widowControl/>
              <w:adjustRightInd w:val="0"/>
              <w:snapToGrid w:val="0"/>
              <w:jc w:val="center"/>
              <w:rPr>
                <w:rFonts w:ascii="宋体" w:hAnsi="宋体" w:cs="宋体"/>
                <w:kern w:val="0"/>
                <w:szCs w:val="21"/>
              </w:rPr>
            </w:pPr>
          </w:p>
        </w:tc>
        <w:tc>
          <w:tcPr>
            <w:tcW w:w="850" w:type="dxa"/>
            <w:vAlign w:val="center"/>
          </w:tcPr>
          <w:p w14:paraId="5D117A9F">
            <w:pPr>
              <w:widowControl/>
              <w:adjustRightInd w:val="0"/>
              <w:snapToGrid w:val="0"/>
              <w:jc w:val="center"/>
              <w:rPr>
                <w:rFonts w:ascii="宋体" w:hAnsi="宋体" w:cs="宋体"/>
                <w:kern w:val="0"/>
                <w:szCs w:val="21"/>
              </w:rPr>
            </w:pPr>
          </w:p>
        </w:tc>
      </w:tr>
      <w:tr w14:paraId="2B6FA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Align w:val="center"/>
          </w:tcPr>
          <w:p w14:paraId="139C8DF2">
            <w:pPr>
              <w:widowControl/>
              <w:adjustRightInd w:val="0"/>
              <w:snapToGrid w:val="0"/>
              <w:jc w:val="center"/>
              <w:rPr>
                <w:rFonts w:ascii="宋体" w:hAnsi="宋体" w:cs="宋体"/>
                <w:kern w:val="0"/>
                <w:szCs w:val="21"/>
              </w:rPr>
            </w:pPr>
          </w:p>
        </w:tc>
        <w:tc>
          <w:tcPr>
            <w:tcW w:w="1156" w:type="dxa"/>
            <w:vAlign w:val="center"/>
          </w:tcPr>
          <w:p w14:paraId="12F75EA1">
            <w:pPr>
              <w:widowControl/>
              <w:adjustRightInd w:val="0"/>
              <w:snapToGrid w:val="0"/>
              <w:jc w:val="center"/>
              <w:rPr>
                <w:rFonts w:ascii="宋体" w:hAnsi="宋体" w:cs="宋体"/>
                <w:kern w:val="0"/>
                <w:szCs w:val="21"/>
              </w:rPr>
            </w:pPr>
          </w:p>
        </w:tc>
        <w:tc>
          <w:tcPr>
            <w:tcW w:w="1124" w:type="dxa"/>
            <w:vAlign w:val="center"/>
          </w:tcPr>
          <w:p w14:paraId="1606DD00">
            <w:pPr>
              <w:widowControl/>
              <w:adjustRightInd w:val="0"/>
              <w:snapToGrid w:val="0"/>
              <w:jc w:val="center"/>
              <w:rPr>
                <w:rFonts w:ascii="宋体" w:hAnsi="宋体" w:cs="宋体"/>
                <w:kern w:val="0"/>
                <w:szCs w:val="21"/>
              </w:rPr>
            </w:pPr>
          </w:p>
        </w:tc>
        <w:tc>
          <w:tcPr>
            <w:tcW w:w="567" w:type="dxa"/>
            <w:vAlign w:val="center"/>
          </w:tcPr>
          <w:p w14:paraId="6D57259C">
            <w:pPr>
              <w:widowControl/>
              <w:adjustRightInd w:val="0"/>
              <w:snapToGrid w:val="0"/>
              <w:jc w:val="center"/>
              <w:rPr>
                <w:rFonts w:ascii="宋体" w:hAnsi="宋体" w:cs="宋体"/>
                <w:kern w:val="0"/>
                <w:szCs w:val="21"/>
              </w:rPr>
            </w:pPr>
          </w:p>
        </w:tc>
        <w:tc>
          <w:tcPr>
            <w:tcW w:w="567" w:type="dxa"/>
            <w:vAlign w:val="center"/>
          </w:tcPr>
          <w:p w14:paraId="7E1225C1">
            <w:pPr>
              <w:widowControl/>
              <w:adjustRightInd w:val="0"/>
              <w:snapToGrid w:val="0"/>
              <w:jc w:val="center"/>
              <w:rPr>
                <w:rFonts w:ascii="宋体" w:hAnsi="宋体" w:cs="宋体"/>
                <w:kern w:val="0"/>
                <w:szCs w:val="21"/>
              </w:rPr>
            </w:pPr>
          </w:p>
        </w:tc>
        <w:tc>
          <w:tcPr>
            <w:tcW w:w="1134" w:type="dxa"/>
            <w:vAlign w:val="center"/>
          </w:tcPr>
          <w:p w14:paraId="7A296F24">
            <w:pPr>
              <w:widowControl/>
              <w:adjustRightInd w:val="0"/>
              <w:snapToGrid w:val="0"/>
              <w:jc w:val="center"/>
              <w:rPr>
                <w:rFonts w:ascii="宋体" w:hAnsi="宋体" w:cs="宋体"/>
                <w:kern w:val="0"/>
                <w:szCs w:val="21"/>
              </w:rPr>
            </w:pPr>
          </w:p>
        </w:tc>
        <w:tc>
          <w:tcPr>
            <w:tcW w:w="1050" w:type="dxa"/>
            <w:vAlign w:val="center"/>
          </w:tcPr>
          <w:p w14:paraId="1DB191CF">
            <w:pPr>
              <w:widowControl/>
              <w:adjustRightInd w:val="0"/>
              <w:snapToGrid w:val="0"/>
              <w:jc w:val="center"/>
              <w:rPr>
                <w:rFonts w:ascii="宋体" w:hAnsi="宋体" w:cs="宋体"/>
                <w:kern w:val="0"/>
                <w:szCs w:val="21"/>
              </w:rPr>
            </w:pPr>
          </w:p>
        </w:tc>
        <w:tc>
          <w:tcPr>
            <w:tcW w:w="934" w:type="dxa"/>
            <w:vAlign w:val="center"/>
          </w:tcPr>
          <w:p w14:paraId="0CB56E10">
            <w:pPr>
              <w:widowControl/>
              <w:adjustRightInd w:val="0"/>
              <w:snapToGrid w:val="0"/>
              <w:jc w:val="center"/>
              <w:rPr>
                <w:rFonts w:ascii="宋体" w:hAnsi="宋体" w:cs="宋体"/>
                <w:kern w:val="0"/>
                <w:szCs w:val="21"/>
              </w:rPr>
            </w:pPr>
          </w:p>
        </w:tc>
        <w:tc>
          <w:tcPr>
            <w:tcW w:w="1050" w:type="dxa"/>
            <w:vAlign w:val="center"/>
          </w:tcPr>
          <w:p w14:paraId="088AE322">
            <w:pPr>
              <w:widowControl/>
              <w:adjustRightInd w:val="0"/>
              <w:snapToGrid w:val="0"/>
              <w:jc w:val="center"/>
              <w:rPr>
                <w:rFonts w:ascii="宋体" w:hAnsi="宋体" w:cs="宋体"/>
                <w:kern w:val="0"/>
                <w:szCs w:val="21"/>
              </w:rPr>
            </w:pPr>
          </w:p>
        </w:tc>
        <w:tc>
          <w:tcPr>
            <w:tcW w:w="651" w:type="dxa"/>
            <w:vAlign w:val="center"/>
          </w:tcPr>
          <w:p w14:paraId="5E88091E">
            <w:pPr>
              <w:widowControl/>
              <w:adjustRightInd w:val="0"/>
              <w:snapToGrid w:val="0"/>
              <w:jc w:val="center"/>
              <w:rPr>
                <w:rFonts w:ascii="宋体" w:hAnsi="宋体" w:cs="宋体"/>
                <w:kern w:val="0"/>
                <w:szCs w:val="21"/>
              </w:rPr>
            </w:pPr>
          </w:p>
        </w:tc>
        <w:tc>
          <w:tcPr>
            <w:tcW w:w="709" w:type="dxa"/>
            <w:vAlign w:val="center"/>
          </w:tcPr>
          <w:p w14:paraId="58957C56">
            <w:pPr>
              <w:widowControl/>
              <w:adjustRightInd w:val="0"/>
              <w:snapToGrid w:val="0"/>
              <w:jc w:val="center"/>
              <w:rPr>
                <w:rFonts w:ascii="宋体" w:hAnsi="宋体" w:cs="宋体"/>
                <w:kern w:val="0"/>
                <w:szCs w:val="21"/>
              </w:rPr>
            </w:pPr>
          </w:p>
        </w:tc>
        <w:tc>
          <w:tcPr>
            <w:tcW w:w="992" w:type="dxa"/>
            <w:vAlign w:val="center"/>
          </w:tcPr>
          <w:p w14:paraId="57E72DB2">
            <w:pPr>
              <w:widowControl/>
              <w:adjustRightInd w:val="0"/>
              <w:snapToGrid w:val="0"/>
              <w:jc w:val="center"/>
              <w:rPr>
                <w:rFonts w:ascii="宋体" w:hAnsi="宋体" w:cs="宋体"/>
                <w:kern w:val="0"/>
                <w:szCs w:val="21"/>
              </w:rPr>
            </w:pPr>
          </w:p>
        </w:tc>
        <w:tc>
          <w:tcPr>
            <w:tcW w:w="993" w:type="dxa"/>
            <w:vAlign w:val="center"/>
          </w:tcPr>
          <w:p w14:paraId="6E8EFAE2">
            <w:pPr>
              <w:widowControl/>
              <w:adjustRightInd w:val="0"/>
              <w:snapToGrid w:val="0"/>
              <w:jc w:val="center"/>
              <w:rPr>
                <w:rFonts w:ascii="宋体" w:hAnsi="宋体" w:cs="宋体"/>
                <w:kern w:val="0"/>
                <w:szCs w:val="21"/>
              </w:rPr>
            </w:pPr>
          </w:p>
        </w:tc>
        <w:tc>
          <w:tcPr>
            <w:tcW w:w="851" w:type="dxa"/>
            <w:vAlign w:val="center"/>
          </w:tcPr>
          <w:p w14:paraId="2828D7C0">
            <w:pPr>
              <w:widowControl/>
              <w:adjustRightInd w:val="0"/>
              <w:snapToGrid w:val="0"/>
              <w:jc w:val="center"/>
              <w:rPr>
                <w:rFonts w:ascii="宋体" w:hAnsi="宋体" w:cs="宋体"/>
                <w:kern w:val="0"/>
                <w:szCs w:val="21"/>
              </w:rPr>
            </w:pPr>
          </w:p>
        </w:tc>
        <w:tc>
          <w:tcPr>
            <w:tcW w:w="850" w:type="dxa"/>
            <w:vAlign w:val="center"/>
          </w:tcPr>
          <w:p w14:paraId="29F16C1D">
            <w:pPr>
              <w:widowControl/>
              <w:adjustRightInd w:val="0"/>
              <w:snapToGrid w:val="0"/>
              <w:jc w:val="center"/>
              <w:rPr>
                <w:rFonts w:ascii="宋体" w:hAnsi="宋体" w:cs="宋体"/>
                <w:kern w:val="0"/>
                <w:szCs w:val="21"/>
              </w:rPr>
            </w:pPr>
          </w:p>
        </w:tc>
        <w:tc>
          <w:tcPr>
            <w:tcW w:w="850" w:type="dxa"/>
            <w:vAlign w:val="center"/>
          </w:tcPr>
          <w:p w14:paraId="2A8D38B0">
            <w:pPr>
              <w:widowControl/>
              <w:adjustRightInd w:val="0"/>
              <w:snapToGrid w:val="0"/>
              <w:jc w:val="center"/>
              <w:rPr>
                <w:rFonts w:ascii="宋体" w:hAnsi="宋体" w:cs="宋体"/>
                <w:kern w:val="0"/>
                <w:szCs w:val="21"/>
              </w:rPr>
            </w:pPr>
          </w:p>
        </w:tc>
      </w:tr>
      <w:tr w14:paraId="790B9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Align w:val="center"/>
          </w:tcPr>
          <w:p w14:paraId="60404A4B">
            <w:pPr>
              <w:widowControl/>
              <w:adjustRightInd w:val="0"/>
              <w:snapToGrid w:val="0"/>
              <w:jc w:val="center"/>
              <w:rPr>
                <w:rFonts w:ascii="宋体" w:hAnsi="宋体" w:cs="宋体"/>
                <w:kern w:val="0"/>
                <w:szCs w:val="21"/>
              </w:rPr>
            </w:pPr>
          </w:p>
        </w:tc>
        <w:tc>
          <w:tcPr>
            <w:tcW w:w="1156" w:type="dxa"/>
            <w:vAlign w:val="center"/>
          </w:tcPr>
          <w:p w14:paraId="27102648">
            <w:pPr>
              <w:widowControl/>
              <w:adjustRightInd w:val="0"/>
              <w:snapToGrid w:val="0"/>
              <w:jc w:val="center"/>
              <w:rPr>
                <w:rFonts w:ascii="宋体" w:hAnsi="宋体" w:cs="宋体"/>
                <w:kern w:val="0"/>
                <w:szCs w:val="21"/>
              </w:rPr>
            </w:pPr>
          </w:p>
        </w:tc>
        <w:tc>
          <w:tcPr>
            <w:tcW w:w="1124" w:type="dxa"/>
            <w:vAlign w:val="center"/>
          </w:tcPr>
          <w:p w14:paraId="78B366AA">
            <w:pPr>
              <w:widowControl/>
              <w:adjustRightInd w:val="0"/>
              <w:snapToGrid w:val="0"/>
              <w:jc w:val="center"/>
              <w:rPr>
                <w:rFonts w:ascii="宋体" w:hAnsi="宋体" w:cs="宋体"/>
                <w:kern w:val="0"/>
                <w:szCs w:val="21"/>
              </w:rPr>
            </w:pPr>
          </w:p>
        </w:tc>
        <w:tc>
          <w:tcPr>
            <w:tcW w:w="567" w:type="dxa"/>
            <w:vAlign w:val="center"/>
          </w:tcPr>
          <w:p w14:paraId="12AE7A67">
            <w:pPr>
              <w:widowControl/>
              <w:adjustRightInd w:val="0"/>
              <w:snapToGrid w:val="0"/>
              <w:jc w:val="center"/>
              <w:rPr>
                <w:rFonts w:ascii="宋体" w:hAnsi="宋体" w:cs="宋体"/>
                <w:kern w:val="0"/>
                <w:szCs w:val="21"/>
              </w:rPr>
            </w:pPr>
          </w:p>
        </w:tc>
        <w:tc>
          <w:tcPr>
            <w:tcW w:w="567" w:type="dxa"/>
            <w:vAlign w:val="center"/>
          </w:tcPr>
          <w:p w14:paraId="6E274421">
            <w:pPr>
              <w:widowControl/>
              <w:adjustRightInd w:val="0"/>
              <w:snapToGrid w:val="0"/>
              <w:jc w:val="center"/>
              <w:rPr>
                <w:rFonts w:ascii="宋体" w:hAnsi="宋体" w:cs="宋体"/>
                <w:kern w:val="0"/>
                <w:szCs w:val="21"/>
              </w:rPr>
            </w:pPr>
          </w:p>
        </w:tc>
        <w:tc>
          <w:tcPr>
            <w:tcW w:w="1134" w:type="dxa"/>
            <w:vAlign w:val="center"/>
          </w:tcPr>
          <w:p w14:paraId="168832CB">
            <w:pPr>
              <w:widowControl/>
              <w:adjustRightInd w:val="0"/>
              <w:snapToGrid w:val="0"/>
              <w:jc w:val="center"/>
              <w:rPr>
                <w:rFonts w:ascii="宋体" w:hAnsi="宋体" w:cs="宋体"/>
                <w:kern w:val="0"/>
                <w:szCs w:val="21"/>
              </w:rPr>
            </w:pPr>
          </w:p>
        </w:tc>
        <w:tc>
          <w:tcPr>
            <w:tcW w:w="1050" w:type="dxa"/>
            <w:vAlign w:val="center"/>
          </w:tcPr>
          <w:p w14:paraId="16AE3E91">
            <w:pPr>
              <w:widowControl/>
              <w:adjustRightInd w:val="0"/>
              <w:snapToGrid w:val="0"/>
              <w:jc w:val="center"/>
              <w:rPr>
                <w:rFonts w:ascii="宋体" w:hAnsi="宋体" w:cs="宋体"/>
                <w:kern w:val="0"/>
                <w:szCs w:val="21"/>
              </w:rPr>
            </w:pPr>
          </w:p>
        </w:tc>
        <w:tc>
          <w:tcPr>
            <w:tcW w:w="934" w:type="dxa"/>
            <w:vAlign w:val="center"/>
          </w:tcPr>
          <w:p w14:paraId="56821A80">
            <w:pPr>
              <w:widowControl/>
              <w:adjustRightInd w:val="0"/>
              <w:snapToGrid w:val="0"/>
              <w:jc w:val="center"/>
              <w:rPr>
                <w:rFonts w:ascii="宋体" w:hAnsi="宋体" w:cs="宋体"/>
                <w:kern w:val="0"/>
                <w:szCs w:val="21"/>
              </w:rPr>
            </w:pPr>
          </w:p>
        </w:tc>
        <w:tc>
          <w:tcPr>
            <w:tcW w:w="1050" w:type="dxa"/>
            <w:vAlign w:val="center"/>
          </w:tcPr>
          <w:p w14:paraId="04706881">
            <w:pPr>
              <w:widowControl/>
              <w:adjustRightInd w:val="0"/>
              <w:snapToGrid w:val="0"/>
              <w:jc w:val="center"/>
              <w:rPr>
                <w:rFonts w:ascii="宋体" w:hAnsi="宋体" w:cs="宋体"/>
                <w:kern w:val="0"/>
                <w:szCs w:val="21"/>
              </w:rPr>
            </w:pPr>
          </w:p>
        </w:tc>
        <w:tc>
          <w:tcPr>
            <w:tcW w:w="651" w:type="dxa"/>
            <w:vAlign w:val="center"/>
          </w:tcPr>
          <w:p w14:paraId="6625470E">
            <w:pPr>
              <w:widowControl/>
              <w:adjustRightInd w:val="0"/>
              <w:snapToGrid w:val="0"/>
              <w:jc w:val="center"/>
              <w:rPr>
                <w:rFonts w:ascii="宋体" w:hAnsi="宋体" w:cs="宋体"/>
                <w:kern w:val="0"/>
                <w:szCs w:val="21"/>
              </w:rPr>
            </w:pPr>
          </w:p>
        </w:tc>
        <w:tc>
          <w:tcPr>
            <w:tcW w:w="709" w:type="dxa"/>
            <w:vAlign w:val="center"/>
          </w:tcPr>
          <w:p w14:paraId="3BDC892F">
            <w:pPr>
              <w:widowControl/>
              <w:adjustRightInd w:val="0"/>
              <w:snapToGrid w:val="0"/>
              <w:jc w:val="center"/>
              <w:rPr>
                <w:rFonts w:ascii="宋体" w:hAnsi="宋体" w:cs="宋体"/>
                <w:kern w:val="0"/>
                <w:szCs w:val="21"/>
              </w:rPr>
            </w:pPr>
          </w:p>
        </w:tc>
        <w:tc>
          <w:tcPr>
            <w:tcW w:w="992" w:type="dxa"/>
            <w:vAlign w:val="center"/>
          </w:tcPr>
          <w:p w14:paraId="48860108">
            <w:pPr>
              <w:widowControl/>
              <w:adjustRightInd w:val="0"/>
              <w:snapToGrid w:val="0"/>
              <w:jc w:val="center"/>
              <w:rPr>
                <w:rFonts w:ascii="宋体" w:hAnsi="宋体" w:cs="宋体"/>
                <w:kern w:val="0"/>
                <w:szCs w:val="21"/>
              </w:rPr>
            </w:pPr>
          </w:p>
        </w:tc>
        <w:tc>
          <w:tcPr>
            <w:tcW w:w="993" w:type="dxa"/>
            <w:vAlign w:val="center"/>
          </w:tcPr>
          <w:p w14:paraId="4CD9D170">
            <w:pPr>
              <w:widowControl/>
              <w:adjustRightInd w:val="0"/>
              <w:snapToGrid w:val="0"/>
              <w:jc w:val="center"/>
              <w:rPr>
                <w:rFonts w:ascii="宋体" w:hAnsi="宋体" w:cs="宋体"/>
                <w:kern w:val="0"/>
                <w:szCs w:val="21"/>
              </w:rPr>
            </w:pPr>
          </w:p>
        </w:tc>
        <w:tc>
          <w:tcPr>
            <w:tcW w:w="851" w:type="dxa"/>
            <w:vAlign w:val="center"/>
          </w:tcPr>
          <w:p w14:paraId="3A14D1B3">
            <w:pPr>
              <w:widowControl/>
              <w:adjustRightInd w:val="0"/>
              <w:snapToGrid w:val="0"/>
              <w:jc w:val="center"/>
              <w:rPr>
                <w:rFonts w:ascii="宋体" w:hAnsi="宋体" w:cs="宋体"/>
                <w:kern w:val="0"/>
                <w:szCs w:val="21"/>
              </w:rPr>
            </w:pPr>
          </w:p>
        </w:tc>
        <w:tc>
          <w:tcPr>
            <w:tcW w:w="850" w:type="dxa"/>
            <w:vAlign w:val="center"/>
          </w:tcPr>
          <w:p w14:paraId="465253D8">
            <w:pPr>
              <w:widowControl/>
              <w:adjustRightInd w:val="0"/>
              <w:snapToGrid w:val="0"/>
              <w:jc w:val="center"/>
              <w:rPr>
                <w:rFonts w:ascii="宋体" w:hAnsi="宋体" w:cs="宋体"/>
                <w:kern w:val="0"/>
                <w:szCs w:val="21"/>
              </w:rPr>
            </w:pPr>
          </w:p>
        </w:tc>
        <w:tc>
          <w:tcPr>
            <w:tcW w:w="850" w:type="dxa"/>
            <w:vAlign w:val="center"/>
          </w:tcPr>
          <w:p w14:paraId="02C42CA7">
            <w:pPr>
              <w:widowControl/>
              <w:adjustRightInd w:val="0"/>
              <w:snapToGrid w:val="0"/>
              <w:jc w:val="center"/>
              <w:rPr>
                <w:rFonts w:ascii="宋体" w:hAnsi="宋体" w:cs="宋体"/>
                <w:kern w:val="0"/>
                <w:szCs w:val="21"/>
              </w:rPr>
            </w:pPr>
          </w:p>
        </w:tc>
      </w:tr>
      <w:tr w14:paraId="3F642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vAlign w:val="center"/>
          </w:tcPr>
          <w:p w14:paraId="416A388E">
            <w:pPr>
              <w:widowControl/>
              <w:adjustRightInd w:val="0"/>
              <w:snapToGrid w:val="0"/>
              <w:jc w:val="center"/>
              <w:rPr>
                <w:rFonts w:ascii="宋体" w:hAnsi="宋体" w:cs="宋体"/>
                <w:kern w:val="0"/>
                <w:szCs w:val="21"/>
              </w:rPr>
            </w:pPr>
          </w:p>
        </w:tc>
        <w:tc>
          <w:tcPr>
            <w:tcW w:w="1156" w:type="dxa"/>
            <w:vAlign w:val="center"/>
          </w:tcPr>
          <w:p w14:paraId="6D87BDEF">
            <w:pPr>
              <w:widowControl/>
              <w:adjustRightInd w:val="0"/>
              <w:snapToGrid w:val="0"/>
              <w:jc w:val="center"/>
              <w:rPr>
                <w:rFonts w:ascii="宋体" w:hAnsi="宋体" w:cs="宋体"/>
                <w:kern w:val="0"/>
                <w:szCs w:val="21"/>
              </w:rPr>
            </w:pPr>
          </w:p>
        </w:tc>
        <w:tc>
          <w:tcPr>
            <w:tcW w:w="1124" w:type="dxa"/>
            <w:vAlign w:val="center"/>
          </w:tcPr>
          <w:p w14:paraId="6DAC2049">
            <w:pPr>
              <w:widowControl/>
              <w:adjustRightInd w:val="0"/>
              <w:snapToGrid w:val="0"/>
              <w:jc w:val="center"/>
              <w:rPr>
                <w:rFonts w:ascii="宋体" w:hAnsi="宋体" w:cs="宋体"/>
                <w:kern w:val="0"/>
                <w:szCs w:val="21"/>
              </w:rPr>
            </w:pPr>
          </w:p>
        </w:tc>
        <w:tc>
          <w:tcPr>
            <w:tcW w:w="567" w:type="dxa"/>
            <w:vAlign w:val="center"/>
          </w:tcPr>
          <w:p w14:paraId="7F80924A">
            <w:pPr>
              <w:widowControl/>
              <w:adjustRightInd w:val="0"/>
              <w:snapToGrid w:val="0"/>
              <w:jc w:val="center"/>
              <w:rPr>
                <w:rFonts w:ascii="宋体" w:hAnsi="宋体" w:cs="宋体"/>
                <w:kern w:val="0"/>
                <w:szCs w:val="21"/>
              </w:rPr>
            </w:pPr>
          </w:p>
        </w:tc>
        <w:tc>
          <w:tcPr>
            <w:tcW w:w="567" w:type="dxa"/>
            <w:vAlign w:val="center"/>
          </w:tcPr>
          <w:p w14:paraId="5327BD8B">
            <w:pPr>
              <w:widowControl/>
              <w:adjustRightInd w:val="0"/>
              <w:snapToGrid w:val="0"/>
              <w:jc w:val="center"/>
              <w:rPr>
                <w:rFonts w:ascii="宋体" w:hAnsi="宋体" w:cs="宋体"/>
                <w:kern w:val="0"/>
                <w:szCs w:val="21"/>
              </w:rPr>
            </w:pPr>
          </w:p>
        </w:tc>
        <w:tc>
          <w:tcPr>
            <w:tcW w:w="1134" w:type="dxa"/>
            <w:vAlign w:val="center"/>
          </w:tcPr>
          <w:p w14:paraId="7183E57E">
            <w:pPr>
              <w:widowControl/>
              <w:adjustRightInd w:val="0"/>
              <w:snapToGrid w:val="0"/>
              <w:jc w:val="center"/>
              <w:rPr>
                <w:rFonts w:ascii="宋体" w:hAnsi="宋体" w:cs="宋体"/>
                <w:kern w:val="0"/>
                <w:szCs w:val="21"/>
              </w:rPr>
            </w:pPr>
          </w:p>
        </w:tc>
        <w:tc>
          <w:tcPr>
            <w:tcW w:w="1050" w:type="dxa"/>
            <w:vAlign w:val="center"/>
          </w:tcPr>
          <w:p w14:paraId="5A3A3649">
            <w:pPr>
              <w:widowControl/>
              <w:adjustRightInd w:val="0"/>
              <w:snapToGrid w:val="0"/>
              <w:jc w:val="center"/>
              <w:rPr>
                <w:rFonts w:ascii="宋体" w:hAnsi="宋体" w:cs="宋体"/>
                <w:kern w:val="0"/>
                <w:szCs w:val="21"/>
              </w:rPr>
            </w:pPr>
          </w:p>
        </w:tc>
        <w:tc>
          <w:tcPr>
            <w:tcW w:w="934" w:type="dxa"/>
            <w:vAlign w:val="center"/>
          </w:tcPr>
          <w:p w14:paraId="3381F974">
            <w:pPr>
              <w:widowControl/>
              <w:adjustRightInd w:val="0"/>
              <w:snapToGrid w:val="0"/>
              <w:jc w:val="center"/>
              <w:rPr>
                <w:rFonts w:ascii="宋体" w:hAnsi="宋体" w:cs="宋体"/>
                <w:kern w:val="0"/>
                <w:szCs w:val="21"/>
              </w:rPr>
            </w:pPr>
          </w:p>
        </w:tc>
        <w:tc>
          <w:tcPr>
            <w:tcW w:w="1050" w:type="dxa"/>
            <w:vAlign w:val="center"/>
          </w:tcPr>
          <w:p w14:paraId="0C01F0A6">
            <w:pPr>
              <w:widowControl/>
              <w:adjustRightInd w:val="0"/>
              <w:snapToGrid w:val="0"/>
              <w:jc w:val="center"/>
              <w:rPr>
                <w:rFonts w:ascii="宋体" w:hAnsi="宋体" w:cs="宋体"/>
                <w:kern w:val="0"/>
                <w:szCs w:val="21"/>
              </w:rPr>
            </w:pPr>
          </w:p>
        </w:tc>
        <w:tc>
          <w:tcPr>
            <w:tcW w:w="651" w:type="dxa"/>
            <w:vAlign w:val="center"/>
          </w:tcPr>
          <w:p w14:paraId="136B7805">
            <w:pPr>
              <w:widowControl/>
              <w:adjustRightInd w:val="0"/>
              <w:snapToGrid w:val="0"/>
              <w:jc w:val="center"/>
              <w:rPr>
                <w:rFonts w:ascii="宋体" w:hAnsi="宋体" w:cs="宋体"/>
                <w:kern w:val="0"/>
                <w:szCs w:val="21"/>
              </w:rPr>
            </w:pPr>
          </w:p>
        </w:tc>
        <w:tc>
          <w:tcPr>
            <w:tcW w:w="709" w:type="dxa"/>
            <w:vAlign w:val="center"/>
          </w:tcPr>
          <w:p w14:paraId="2CF9FB71">
            <w:pPr>
              <w:widowControl/>
              <w:adjustRightInd w:val="0"/>
              <w:snapToGrid w:val="0"/>
              <w:jc w:val="center"/>
              <w:rPr>
                <w:rFonts w:ascii="宋体" w:hAnsi="宋体" w:cs="宋体"/>
                <w:kern w:val="0"/>
                <w:szCs w:val="21"/>
              </w:rPr>
            </w:pPr>
          </w:p>
        </w:tc>
        <w:tc>
          <w:tcPr>
            <w:tcW w:w="992" w:type="dxa"/>
            <w:vAlign w:val="center"/>
          </w:tcPr>
          <w:p w14:paraId="37515A96">
            <w:pPr>
              <w:widowControl/>
              <w:adjustRightInd w:val="0"/>
              <w:snapToGrid w:val="0"/>
              <w:jc w:val="center"/>
              <w:rPr>
                <w:rFonts w:ascii="宋体" w:hAnsi="宋体" w:cs="宋体"/>
                <w:kern w:val="0"/>
                <w:szCs w:val="21"/>
              </w:rPr>
            </w:pPr>
          </w:p>
        </w:tc>
        <w:tc>
          <w:tcPr>
            <w:tcW w:w="993" w:type="dxa"/>
            <w:vAlign w:val="center"/>
          </w:tcPr>
          <w:p w14:paraId="73112764">
            <w:pPr>
              <w:widowControl/>
              <w:adjustRightInd w:val="0"/>
              <w:snapToGrid w:val="0"/>
              <w:jc w:val="center"/>
              <w:rPr>
                <w:rFonts w:ascii="宋体" w:hAnsi="宋体" w:cs="宋体"/>
                <w:kern w:val="0"/>
                <w:szCs w:val="21"/>
              </w:rPr>
            </w:pPr>
          </w:p>
        </w:tc>
        <w:tc>
          <w:tcPr>
            <w:tcW w:w="851" w:type="dxa"/>
            <w:vAlign w:val="center"/>
          </w:tcPr>
          <w:p w14:paraId="6B313101">
            <w:pPr>
              <w:widowControl/>
              <w:adjustRightInd w:val="0"/>
              <w:snapToGrid w:val="0"/>
              <w:jc w:val="center"/>
              <w:rPr>
                <w:rFonts w:ascii="宋体" w:hAnsi="宋体" w:cs="宋体"/>
                <w:kern w:val="0"/>
                <w:szCs w:val="21"/>
              </w:rPr>
            </w:pPr>
          </w:p>
        </w:tc>
        <w:tc>
          <w:tcPr>
            <w:tcW w:w="850" w:type="dxa"/>
            <w:vAlign w:val="center"/>
          </w:tcPr>
          <w:p w14:paraId="26CE77D4">
            <w:pPr>
              <w:widowControl/>
              <w:adjustRightInd w:val="0"/>
              <w:snapToGrid w:val="0"/>
              <w:jc w:val="center"/>
              <w:rPr>
                <w:rFonts w:ascii="宋体" w:hAnsi="宋体" w:cs="宋体"/>
                <w:kern w:val="0"/>
                <w:szCs w:val="21"/>
              </w:rPr>
            </w:pPr>
          </w:p>
        </w:tc>
        <w:tc>
          <w:tcPr>
            <w:tcW w:w="850" w:type="dxa"/>
            <w:vAlign w:val="center"/>
          </w:tcPr>
          <w:p w14:paraId="19B9AD88">
            <w:pPr>
              <w:widowControl/>
              <w:adjustRightInd w:val="0"/>
              <w:snapToGrid w:val="0"/>
              <w:jc w:val="center"/>
              <w:rPr>
                <w:rFonts w:ascii="宋体" w:hAnsi="宋体" w:cs="宋体"/>
                <w:kern w:val="0"/>
                <w:szCs w:val="21"/>
              </w:rPr>
            </w:pPr>
          </w:p>
        </w:tc>
      </w:tr>
      <w:tr w14:paraId="6A60E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Align w:val="center"/>
          </w:tcPr>
          <w:p w14:paraId="39FD5545">
            <w:pPr>
              <w:widowControl/>
              <w:adjustRightInd w:val="0"/>
              <w:snapToGrid w:val="0"/>
              <w:jc w:val="center"/>
              <w:rPr>
                <w:rFonts w:ascii="宋体" w:hAnsi="宋体" w:cs="宋体"/>
                <w:kern w:val="0"/>
                <w:szCs w:val="21"/>
              </w:rPr>
            </w:pPr>
          </w:p>
        </w:tc>
        <w:tc>
          <w:tcPr>
            <w:tcW w:w="1156" w:type="dxa"/>
            <w:vAlign w:val="center"/>
          </w:tcPr>
          <w:p w14:paraId="540EAF72">
            <w:pPr>
              <w:widowControl/>
              <w:adjustRightInd w:val="0"/>
              <w:snapToGrid w:val="0"/>
              <w:jc w:val="center"/>
              <w:rPr>
                <w:rFonts w:ascii="宋体" w:hAnsi="宋体" w:cs="宋体"/>
                <w:kern w:val="0"/>
                <w:szCs w:val="21"/>
              </w:rPr>
            </w:pPr>
          </w:p>
        </w:tc>
        <w:tc>
          <w:tcPr>
            <w:tcW w:w="1124" w:type="dxa"/>
            <w:vAlign w:val="center"/>
          </w:tcPr>
          <w:p w14:paraId="1CBBD9E3">
            <w:pPr>
              <w:widowControl/>
              <w:adjustRightInd w:val="0"/>
              <w:snapToGrid w:val="0"/>
              <w:jc w:val="center"/>
              <w:rPr>
                <w:rFonts w:ascii="宋体" w:hAnsi="宋体" w:cs="宋体"/>
                <w:kern w:val="0"/>
                <w:szCs w:val="21"/>
              </w:rPr>
            </w:pPr>
          </w:p>
        </w:tc>
        <w:tc>
          <w:tcPr>
            <w:tcW w:w="567" w:type="dxa"/>
            <w:vAlign w:val="center"/>
          </w:tcPr>
          <w:p w14:paraId="744C95F5">
            <w:pPr>
              <w:widowControl/>
              <w:adjustRightInd w:val="0"/>
              <w:snapToGrid w:val="0"/>
              <w:jc w:val="center"/>
              <w:rPr>
                <w:rFonts w:ascii="宋体" w:hAnsi="宋体" w:cs="宋体"/>
                <w:kern w:val="0"/>
                <w:szCs w:val="21"/>
              </w:rPr>
            </w:pPr>
          </w:p>
        </w:tc>
        <w:tc>
          <w:tcPr>
            <w:tcW w:w="567" w:type="dxa"/>
            <w:vAlign w:val="center"/>
          </w:tcPr>
          <w:p w14:paraId="17334D5B">
            <w:pPr>
              <w:widowControl/>
              <w:adjustRightInd w:val="0"/>
              <w:snapToGrid w:val="0"/>
              <w:jc w:val="center"/>
              <w:rPr>
                <w:rFonts w:ascii="宋体" w:hAnsi="宋体" w:cs="宋体"/>
                <w:kern w:val="0"/>
                <w:szCs w:val="21"/>
              </w:rPr>
            </w:pPr>
          </w:p>
        </w:tc>
        <w:tc>
          <w:tcPr>
            <w:tcW w:w="1134" w:type="dxa"/>
            <w:vAlign w:val="center"/>
          </w:tcPr>
          <w:p w14:paraId="1031FCF6">
            <w:pPr>
              <w:widowControl/>
              <w:adjustRightInd w:val="0"/>
              <w:snapToGrid w:val="0"/>
              <w:jc w:val="center"/>
              <w:rPr>
                <w:rFonts w:ascii="宋体" w:hAnsi="宋体" w:cs="宋体"/>
                <w:kern w:val="0"/>
                <w:szCs w:val="21"/>
              </w:rPr>
            </w:pPr>
          </w:p>
        </w:tc>
        <w:tc>
          <w:tcPr>
            <w:tcW w:w="1050" w:type="dxa"/>
            <w:vAlign w:val="center"/>
          </w:tcPr>
          <w:p w14:paraId="61D77F3B">
            <w:pPr>
              <w:widowControl/>
              <w:adjustRightInd w:val="0"/>
              <w:snapToGrid w:val="0"/>
              <w:jc w:val="center"/>
              <w:rPr>
                <w:rFonts w:ascii="宋体" w:hAnsi="宋体" w:cs="宋体"/>
                <w:kern w:val="0"/>
                <w:szCs w:val="21"/>
              </w:rPr>
            </w:pPr>
          </w:p>
        </w:tc>
        <w:tc>
          <w:tcPr>
            <w:tcW w:w="934" w:type="dxa"/>
            <w:vAlign w:val="center"/>
          </w:tcPr>
          <w:p w14:paraId="14F428FE">
            <w:pPr>
              <w:widowControl/>
              <w:adjustRightInd w:val="0"/>
              <w:snapToGrid w:val="0"/>
              <w:jc w:val="center"/>
              <w:rPr>
                <w:rFonts w:ascii="宋体" w:hAnsi="宋体" w:cs="宋体"/>
                <w:kern w:val="0"/>
                <w:szCs w:val="21"/>
              </w:rPr>
            </w:pPr>
          </w:p>
        </w:tc>
        <w:tc>
          <w:tcPr>
            <w:tcW w:w="1050" w:type="dxa"/>
            <w:vAlign w:val="center"/>
          </w:tcPr>
          <w:p w14:paraId="0B0EEC14">
            <w:pPr>
              <w:widowControl/>
              <w:adjustRightInd w:val="0"/>
              <w:snapToGrid w:val="0"/>
              <w:jc w:val="center"/>
              <w:rPr>
                <w:rFonts w:ascii="宋体" w:hAnsi="宋体" w:cs="宋体"/>
                <w:kern w:val="0"/>
                <w:szCs w:val="21"/>
              </w:rPr>
            </w:pPr>
          </w:p>
        </w:tc>
        <w:tc>
          <w:tcPr>
            <w:tcW w:w="651" w:type="dxa"/>
            <w:vAlign w:val="center"/>
          </w:tcPr>
          <w:p w14:paraId="3257D3E4">
            <w:pPr>
              <w:widowControl/>
              <w:adjustRightInd w:val="0"/>
              <w:snapToGrid w:val="0"/>
              <w:jc w:val="center"/>
              <w:rPr>
                <w:rFonts w:ascii="宋体" w:hAnsi="宋体" w:cs="宋体"/>
                <w:kern w:val="0"/>
                <w:szCs w:val="21"/>
              </w:rPr>
            </w:pPr>
          </w:p>
        </w:tc>
        <w:tc>
          <w:tcPr>
            <w:tcW w:w="709" w:type="dxa"/>
            <w:vAlign w:val="center"/>
          </w:tcPr>
          <w:p w14:paraId="5E303790">
            <w:pPr>
              <w:widowControl/>
              <w:adjustRightInd w:val="0"/>
              <w:snapToGrid w:val="0"/>
              <w:jc w:val="center"/>
              <w:rPr>
                <w:rFonts w:ascii="宋体" w:hAnsi="宋体" w:cs="宋体"/>
                <w:kern w:val="0"/>
                <w:szCs w:val="21"/>
              </w:rPr>
            </w:pPr>
          </w:p>
        </w:tc>
        <w:tc>
          <w:tcPr>
            <w:tcW w:w="992" w:type="dxa"/>
            <w:vAlign w:val="center"/>
          </w:tcPr>
          <w:p w14:paraId="665A67FD">
            <w:pPr>
              <w:widowControl/>
              <w:adjustRightInd w:val="0"/>
              <w:snapToGrid w:val="0"/>
              <w:jc w:val="center"/>
              <w:rPr>
                <w:rFonts w:ascii="宋体" w:hAnsi="宋体" w:cs="宋体"/>
                <w:kern w:val="0"/>
                <w:szCs w:val="21"/>
              </w:rPr>
            </w:pPr>
          </w:p>
        </w:tc>
        <w:tc>
          <w:tcPr>
            <w:tcW w:w="993" w:type="dxa"/>
            <w:vAlign w:val="center"/>
          </w:tcPr>
          <w:p w14:paraId="4DC0097A">
            <w:pPr>
              <w:widowControl/>
              <w:adjustRightInd w:val="0"/>
              <w:snapToGrid w:val="0"/>
              <w:jc w:val="center"/>
              <w:rPr>
                <w:rFonts w:ascii="宋体" w:hAnsi="宋体" w:cs="宋体"/>
                <w:kern w:val="0"/>
                <w:szCs w:val="21"/>
              </w:rPr>
            </w:pPr>
          </w:p>
        </w:tc>
        <w:tc>
          <w:tcPr>
            <w:tcW w:w="851" w:type="dxa"/>
            <w:vAlign w:val="center"/>
          </w:tcPr>
          <w:p w14:paraId="64826053">
            <w:pPr>
              <w:widowControl/>
              <w:adjustRightInd w:val="0"/>
              <w:snapToGrid w:val="0"/>
              <w:jc w:val="center"/>
              <w:rPr>
                <w:rFonts w:ascii="宋体" w:hAnsi="宋体" w:cs="宋体"/>
                <w:kern w:val="0"/>
                <w:szCs w:val="21"/>
              </w:rPr>
            </w:pPr>
          </w:p>
        </w:tc>
        <w:tc>
          <w:tcPr>
            <w:tcW w:w="850" w:type="dxa"/>
            <w:vAlign w:val="center"/>
          </w:tcPr>
          <w:p w14:paraId="6B5A4C2A">
            <w:pPr>
              <w:widowControl/>
              <w:adjustRightInd w:val="0"/>
              <w:snapToGrid w:val="0"/>
              <w:jc w:val="center"/>
              <w:rPr>
                <w:rFonts w:ascii="宋体" w:hAnsi="宋体" w:cs="宋体"/>
                <w:kern w:val="0"/>
                <w:szCs w:val="21"/>
              </w:rPr>
            </w:pPr>
          </w:p>
        </w:tc>
        <w:tc>
          <w:tcPr>
            <w:tcW w:w="850" w:type="dxa"/>
            <w:vAlign w:val="center"/>
          </w:tcPr>
          <w:p w14:paraId="405B8E63">
            <w:pPr>
              <w:widowControl/>
              <w:adjustRightInd w:val="0"/>
              <w:snapToGrid w:val="0"/>
              <w:jc w:val="center"/>
              <w:rPr>
                <w:rFonts w:ascii="宋体" w:hAnsi="宋体" w:cs="宋体"/>
                <w:kern w:val="0"/>
                <w:szCs w:val="21"/>
              </w:rPr>
            </w:pPr>
          </w:p>
        </w:tc>
      </w:tr>
      <w:tr w14:paraId="30EFB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vAlign w:val="center"/>
          </w:tcPr>
          <w:p w14:paraId="15F6F483">
            <w:pPr>
              <w:widowControl/>
              <w:adjustRightInd w:val="0"/>
              <w:snapToGrid w:val="0"/>
              <w:jc w:val="center"/>
              <w:rPr>
                <w:rFonts w:ascii="宋体" w:hAnsi="宋体" w:cs="宋体"/>
                <w:kern w:val="0"/>
                <w:szCs w:val="21"/>
              </w:rPr>
            </w:pPr>
            <w:r>
              <w:rPr>
                <w:rFonts w:hint="eastAsia" w:ascii="宋体" w:hAnsi="宋体" w:cs="宋体"/>
                <w:kern w:val="0"/>
                <w:szCs w:val="21"/>
              </w:rPr>
              <w:t>合计</w:t>
            </w:r>
          </w:p>
        </w:tc>
        <w:tc>
          <w:tcPr>
            <w:tcW w:w="992" w:type="dxa"/>
            <w:vAlign w:val="center"/>
          </w:tcPr>
          <w:p w14:paraId="6ED83B0D">
            <w:pPr>
              <w:widowControl/>
              <w:adjustRightInd w:val="0"/>
              <w:snapToGrid w:val="0"/>
              <w:jc w:val="center"/>
              <w:rPr>
                <w:rFonts w:ascii="宋体" w:hAnsi="宋体" w:cs="宋体"/>
                <w:kern w:val="0"/>
                <w:szCs w:val="21"/>
              </w:rPr>
            </w:pPr>
          </w:p>
        </w:tc>
        <w:tc>
          <w:tcPr>
            <w:tcW w:w="3544" w:type="dxa"/>
            <w:gridSpan w:val="4"/>
            <w:vAlign w:val="center"/>
          </w:tcPr>
          <w:p w14:paraId="27F797BD">
            <w:pPr>
              <w:widowControl/>
              <w:adjustRightInd w:val="0"/>
              <w:snapToGrid w:val="0"/>
              <w:jc w:val="center"/>
              <w:rPr>
                <w:rFonts w:ascii="宋体" w:hAnsi="宋体" w:cs="宋体"/>
                <w:kern w:val="0"/>
                <w:szCs w:val="21"/>
              </w:rPr>
            </w:pPr>
            <w:r>
              <w:rPr>
                <w:rFonts w:hint="eastAsia" w:ascii="宋体" w:hAnsi="宋体" w:cs="宋体"/>
                <w:kern w:val="0"/>
                <w:szCs w:val="21"/>
              </w:rPr>
              <w:t>/</w:t>
            </w:r>
          </w:p>
        </w:tc>
      </w:tr>
    </w:tbl>
    <w:p w14:paraId="1C264CFC">
      <w:pPr>
        <w:widowControl/>
        <w:spacing w:line="200" w:lineRule="atLeast"/>
        <w:rPr>
          <w:rFonts w:ascii="宋体" w:hAnsi="宋体" w:cs="宋体"/>
          <w:color w:val="000000"/>
          <w:kern w:val="0"/>
          <w:szCs w:val="21"/>
        </w:rPr>
      </w:pPr>
      <w:r>
        <w:rPr>
          <w:rFonts w:hint="eastAsia" w:ascii="宋体" w:hAnsi="宋体" w:cs="宋体"/>
          <w:color w:val="000000"/>
          <w:kern w:val="0"/>
          <w:szCs w:val="21"/>
        </w:rPr>
        <w:t>注：</w:t>
      </w:r>
    </w:p>
    <w:p w14:paraId="7AFB3E4E">
      <w:pPr>
        <w:widowControl/>
        <w:spacing w:line="200" w:lineRule="atLeast"/>
        <w:rPr>
          <w:rFonts w:ascii="宋体" w:hAnsi="宋体" w:cs="宋体"/>
          <w:color w:val="000000"/>
          <w:kern w:val="0"/>
          <w:szCs w:val="21"/>
        </w:rPr>
      </w:pPr>
      <w:r>
        <w:rPr>
          <w:rFonts w:hint="eastAsia" w:ascii="宋体" w:hAnsi="宋体" w:cs="宋体"/>
          <w:color w:val="000000"/>
          <w:kern w:val="0"/>
          <w:szCs w:val="21"/>
        </w:rPr>
        <w:t>1.“单价”系指货物</w:t>
      </w:r>
      <w:r>
        <w:rPr>
          <w:rFonts w:hint="eastAsia" w:ascii="宋体" w:hAnsi="宋体" w:cs="宋体"/>
          <w:color w:val="000000"/>
          <w:szCs w:val="21"/>
        </w:rPr>
        <w:t>（服务）</w:t>
      </w:r>
      <w:r>
        <w:rPr>
          <w:rFonts w:hint="eastAsia" w:ascii="宋体" w:hAnsi="宋体" w:cs="宋体"/>
          <w:color w:val="000000"/>
          <w:kern w:val="0"/>
          <w:szCs w:val="21"/>
        </w:rPr>
        <w:t>生产、包装、运输、保险、装卸（至指定地点）、安装（竞争性磋商文件要求报价）、调试、检验、试运行、技术服务、培训等所有应由供应商承担的各项费用及税金。</w:t>
      </w:r>
    </w:p>
    <w:p w14:paraId="0045EBCD">
      <w:pPr>
        <w:widowControl/>
        <w:spacing w:line="200" w:lineRule="atLeast"/>
        <w:rPr>
          <w:rFonts w:ascii="宋体" w:hAnsi="宋体" w:cs="宋体"/>
          <w:color w:val="000000"/>
          <w:kern w:val="0"/>
          <w:szCs w:val="21"/>
        </w:rPr>
      </w:pPr>
      <w:r>
        <w:rPr>
          <w:rFonts w:hint="eastAsia" w:ascii="宋体" w:hAnsi="宋体" w:cs="宋体"/>
          <w:color w:val="000000"/>
          <w:kern w:val="0"/>
          <w:szCs w:val="21"/>
        </w:rPr>
        <w:t>2.响应报价一览表中“响应报价”=分项报价表合计+质保期内备件及易损件分项报价表合计+专用工具分项报价表合计。</w:t>
      </w:r>
    </w:p>
    <w:p w14:paraId="2B77FE8B">
      <w:pPr>
        <w:widowControl/>
        <w:spacing w:line="200" w:lineRule="atLeast"/>
        <w:rPr>
          <w:rFonts w:ascii="宋体" w:hAnsi="宋体" w:cs="宋体"/>
          <w:kern w:val="0"/>
          <w:sz w:val="20"/>
          <w:szCs w:val="20"/>
        </w:rPr>
      </w:pPr>
      <w:r>
        <w:rPr>
          <w:rFonts w:hint="eastAsia" w:ascii="宋体" w:hAnsi="宋体" w:cs="宋体"/>
          <w:kern w:val="0"/>
          <w:sz w:val="20"/>
          <w:szCs w:val="20"/>
        </w:rPr>
        <w:t xml:space="preserve"> </w:t>
      </w:r>
    </w:p>
    <w:p w14:paraId="3DFD9168">
      <w:pPr>
        <w:widowControl/>
        <w:spacing w:line="200" w:lineRule="atLeast"/>
        <w:rPr>
          <w:rFonts w:ascii="宋体" w:hAnsi="宋体" w:cs="宋体"/>
          <w:kern w:val="0"/>
          <w:sz w:val="20"/>
          <w:szCs w:val="20"/>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kern w:val="0"/>
          <w:sz w:val="20"/>
          <w:szCs w:val="20"/>
        </w:rPr>
        <w:t xml:space="preserve"> </w:t>
      </w:r>
    </w:p>
    <w:p w14:paraId="526400C7">
      <w:pPr>
        <w:widowControl/>
        <w:ind w:left="1503" w:right="1683"/>
        <w:jc w:val="center"/>
        <w:rPr>
          <w:rFonts w:ascii="宋体" w:hAnsi="宋体" w:cs="宋体"/>
          <w:kern w:val="0"/>
          <w:sz w:val="28"/>
          <w:szCs w:val="28"/>
        </w:rPr>
      </w:pPr>
      <w:r>
        <w:rPr>
          <w:rFonts w:hint="eastAsia" w:ascii="宋体" w:hAnsi="宋体" w:cs="宋体"/>
          <w:spacing w:val="12"/>
          <w:kern w:val="0"/>
          <w:sz w:val="28"/>
          <w:szCs w:val="28"/>
        </w:rPr>
        <w:t>表3-2  质保期内备件及易损件</w:t>
      </w:r>
      <w:r>
        <w:rPr>
          <w:rFonts w:hint="eastAsia" w:ascii="宋体" w:hAnsi="宋体" w:cs="宋体"/>
          <w:kern w:val="0"/>
          <w:sz w:val="28"/>
          <w:szCs w:val="28"/>
        </w:rPr>
        <w:t>分项报价表</w:t>
      </w:r>
    </w:p>
    <w:p w14:paraId="15CFADD2">
      <w:pPr>
        <w:widowControl/>
        <w:spacing w:line="333" w:lineRule="atLeast"/>
        <w:jc w:val="right"/>
        <w:rPr>
          <w:rFonts w:ascii="宋体" w:hAnsi="宋体" w:cs="宋体"/>
          <w:kern w:val="0"/>
          <w:szCs w:val="21"/>
        </w:rPr>
      </w:pPr>
      <w:r>
        <w:rPr>
          <w:rFonts w:hint="eastAsia" w:ascii="宋体" w:hAnsi="宋体" w:cs="宋体"/>
          <w:kern w:val="0"/>
          <w:position w:val="-4"/>
          <w:szCs w:val="21"/>
        </w:rPr>
        <w:t>项目</w:t>
      </w:r>
      <w:r>
        <w:rPr>
          <w:rFonts w:hint="eastAsia" w:ascii="宋体" w:hAnsi="宋体" w:cs="宋体"/>
          <w:spacing w:val="-1"/>
          <w:kern w:val="0"/>
          <w:position w:val="-4"/>
          <w:szCs w:val="21"/>
        </w:rPr>
        <w:t>编</w:t>
      </w:r>
      <w:r>
        <w:rPr>
          <w:rFonts w:hint="eastAsia" w:ascii="宋体" w:hAnsi="宋体" w:cs="宋体"/>
          <w:kern w:val="0"/>
          <w:position w:val="-4"/>
          <w:szCs w:val="21"/>
        </w:rPr>
        <w:t>号</w:t>
      </w:r>
      <w:r>
        <w:rPr>
          <w:rFonts w:hint="eastAsia" w:ascii="宋体" w:hAnsi="宋体" w:cs="宋体"/>
          <w:spacing w:val="-24"/>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kern w:val="0"/>
          <w:position w:val="-4"/>
          <w:szCs w:val="21"/>
        </w:rPr>
        <w:t>标包号</w:t>
      </w:r>
      <w:r>
        <w:rPr>
          <w:rFonts w:hint="eastAsia" w:ascii="宋体" w:hAnsi="宋体" w:cs="宋体"/>
          <w:spacing w:val="-25"/>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7"/>
        <w:tblW w:w="14358" w:type="dxa"/>
        <w:tblInd w:w="209" w:type="dxa"/>
        <w:tblLayout w:type="fixed"/>
        <w:tblCellMar>
          <w:top w:w="0" w:type="dxa"/>
          <w:left w:w="108" w:type="dxa"/>
          <w:bottom w:w="0" w:type="dxa"/>
          <w:right w:w="108" w:type="dxa"/>
        </w:tblCellMar>
      </w:tblPr>
      <w:tblGrid>
        <w:gridCol w:w="738"/>
        <w:gridCol w:w="1156"/>
        <w:gridCol w:w="1124"/>
        <w:gridCol w:w="944"/>
        <w:gridCol w:w="736"/>
        <w:gridCol w:w="1574"/>
        <w:gridCol w:w="1050"/>
        <w:gridCol w:w="1508"/>
        <w:gridCol w:w="992"/>
        <w:gridCol w:w="1134"/>
        <w:gridCol w:w="1701"/>
        <w:gridCol w:w="1701"/>
      </w:tblGrid>
      <w:tr w14:paraId="4E7195F1">
        <w:tblPrEx>
          <w:tblCellMar>
            <w:top w:w="0" w:type="dxa"/>
            <w:left w:w="108" w:type="dxa"/>
            <w:bottom w:w="0" w:type="dxa"/>
            <w:right w:w="108" w:type="dxa"/>
          </w:tblCellMar>
        </w:tblPrEx>
        <w:trPr>
          <w:trHeight w:val="5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0DCD3B3">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序号</w:t>
            </w:r>
          </w:p>
        </w:tc>
        <w:tc>
          <w:tcPr>
            <w:tcW w:w="1156" w:type="dxa"/>
            <w:tcBorders>
              <w:top w:val="single" w:color="000000" w:sz="4" w:space="0"/>
              <w:left w:val="nil"/>
              <w:bottom w:val="single" w:color="000000" w:sz="4" w:space="0"/>
              <w:right w:val="single" w:color="000000" w:sz="4" w:space="0"/>
            </w:tcBorders>
            <w:vAlign w:val="center"/>
          </w:tcPr>
          <w:p w14:paraId="596CEF3F">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货物</w:t>
            </w:r>
            <w:r>
              <w:rPr>
                <w:rFonts w:hint="eastAsia" w:ascii="宋体" w:hAnsi="宋体" w:cs="宋体"/>
                <w:color w:val="000000"/>
                <w:szCs w:val="21"/>
              </w:rPr>
              <w:t>（服务）</w:t>
            </w:r>
            <w:r>
              <w:rPr>
                <w:rFonts w:hint="eastAsia" w:ascii="宋体" w:hAnsi="宋体" w:cs="宋体"/>
                <w:color w:val="000000"/>
                <w:kern w:val="0"/>
                <w:szCs w:val="21"/>
              </w:rPr>
              <w:t>名称</w:t>
            </w:r>
          </w:p>
        </w:tc>
        <w:tc>
          <w:tcPr>
            <w:tcW w:w="1124" w:type="dxa"/>
            <w:tcBorders>
              <w:top w:val="single" w:color="000000" w:sz="4" w:space="0"/>
              <w:left w:val="nil"/>
              <w:bottom w:val="single" w:color="000000" w:sz="4" w:space="0"/>
              <w:right w:val="single" w:color="000000" w:sz="4" w:space="0"/>
            </w:tcBorders>
            <w:vAlign w:val="center"/>
          </w:tcPr>
          <w:p w14:paraId="0997D935">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规格型号</w:t>
            </w:r>
          </w:p>
        </w:tc>
        <w:tc>
          <w:tcPr>
            <w:tcW w:w="944" w:type="dxa"/>
            <w:tcBorders>
              <w:top w:val="single" w:color="000000" w:sz="4" w:space="0"/>
              <w:left w:val="nil"/>
              <w:bottom w:val="single" w:color="000000" w:sz="4" w:space="0"/>
              <w:right w:val="single" w:color="000000" w:sz="4" w:space="0"/>
            </w:tcBorders>
            <w:vAlign w:val="center"/>
          </w:tcPr>
          <w:p w14:paraId="53D5F3EB">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数量</w:t>
            </w:r>
          </w:p>
        </w:tc>
        <w:tc>
          <w:tcPr>
            <w:tcW w:w="736" w:type="dxa"/>
            <w:tcBorders>
              <w:top w:val="single" w:color="000000" w:sz="4" w:space="0"/>
              <w:left w:val="nil"/>
              <w:bottom w:val="single" w:color="000000" w:sz="4" w:space="0"/>
              <w:right w:val="single" w:color="000000" w:sz="4" w:space="0"/>
            </w:tcBorders>
            <w:vAlign w:val="center"/>
          </w:tcPr>
          <w:p w14:paraId="6494B29D">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单位</w:t>
            </w:r>
          </w:p>
        </w:tc>
        <w:tc>
          <w:tcPr>
            <w:tcW w:w="1574" w:type="dxa"/>
            <w:tcBorders>
              <w:top w:val="single" w:color="000000" w:sz="4" w:space="0"/>
              <w:left w:val="nil"/>
              <w:bottom w:val="single" w:color="000000" w:sz="4" w:space="0"/>
              <w:right w:val="single" w:color="000000" w:sz="4" w:space="0"/>
            </w:tcBorders>
            <w:vAlign w:val="center"/>
          </w:tcPr>
          <w:p w14:paraId="4E407326">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单价</w:t>
            </w:r>
          </w:p>
        </w:tc>
        <w:tc>
          <w:tcPr>
            <w:tcW w:w="1050" w:type="dxa"/>
            <w:tcBorders>
              <w:top w:val="single" w:color="000000" w:sz="4" w:space="0"/>
              <w:left w:val="nil"/>
              <w:bottom w:val="single" w:color="000000" w:sz="4" w:space="0"/>
              <w:right w:val="single" w:color="000000" w:sz="4" w:space="0"/>
            </w:tcBorders>
            <w:vAlign w:val="center"/>
          </w:tcPr>
          <w:p w14:paraId="42362DC0">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合价</w:t>
            </w:r>
          </w:p>
        </w:tc>
        <w:tc>
          <w:tcPr>
            <w:tcW w:w="1508" w:type="dxa"/>
            <w:tcBorders>
              <w:top w:val="single" w:color="000000" w:sz="4" w:space="0"/>
              <w:left w:val="nil"/>
              <w:bottom w:val="single" w:color="000000" w:sz="4" w:space="0"/>
              <w:right w:val="single" w:color="000000" w:sz="4" w:space="0"/>
            </w:tcBorders>
            <w:vAlign w:val="center"/>
          </w:tcPr>
          <w:p w14:paraId="3E49A614">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制造商</w:t>
            </w:r>
          </w:p>
        </w:tc>
        <w:tc>
          <w:tcPr>
            <w:tcW w:w="992" w:type="dxa"/>
            <w:tcBorders>
              <w:top w:val="single" w:color="000000" w:sz="4" w:space="0"/>
              <w:left w:val="nil"/>
              <w:bottom w:val="single" w:color="000000" w:sz="4" w:space="0"/>
              <w:right w:val="single" w:color="000000" w:sz="4" w:space="0"/>
            </w:tcBorders>
            <w:vAlign w:val="center"/>
          </w:tcPr>
          <w:p w14:paraId="7A53B3F8">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品牌</w:t>
            </w:r>
          </w:p>
        </w:tc>
        <w:tc>
          <w:tcPr>
            <w:tcW w:w="1134" w:type="dxa"/>
            <w:tcBorders>
              <w:top w:val="single" w:color="000000" w:sz="4" w:space="0"/>
              <w:left w:val="nil"/>
              <w:bottom w:val="single" w:color="000000" w:sz="4" w:space="0"/>
              <w:right w:val="single" w:color="000000" w:sz="4" w:space="0"/>
            </w:tcBorders>
            <w:vAlign w:val="center"/>
          </w:tcPr>
          <w:p w14:paraId="738102A4">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产地</w:t>
            </w:r>
          </w:p>
        </w:tc>
        <w:tc>
          <w:tcPr>
            <w:tcW w:w="1701" w:type="dxa"/>
            <w:tcBorders>
              <w:top w:val="single" w:color="000000" w:sz="4" w:space="0"/>
              <w:left w:val="nil"/>
              <w:bottom w:val="single" w:color="000000" w:sz="4" w:space="0"/>
              <w:right w:val="single" w:color="000000" w:sz="4" w:space="0"/>
            </w:tcBorders>
            <w:vAlign w:val="center"/>
          </w:tcPr>
          <w:p w14:paraId="0CC40504">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发货地点</w:t>
            </w:r>
          </w:p>
        </w:tc>
        <w:tc>
          <w:tcPr>
            <w:tcW w:w="1701" w:type="dxa"/>
            <w:tcBorders>
              <w:top w:val="single" w:color="000000" w:sz="4" w:space="0"/>
              <w:left w:val="nil"/>
              <w:bottom w:val="single" w:color="000000" w:sz="4" w:space="0"/>
              <w:right w:val="single" w:color="000000" w:sz="4" w:space="0"/>
            </w:tcBorders>
            <w:vAlign w:val="center"/>
          </w:tcPr>
          <w:p w14:paraId="07C0410B">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备注</w:t>
            </w:r>
          </w:p>
        </w:tc>
      </w:tr>
      <w:tr w14:paraId="12331F53">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1BBFB945">
            <w:pPr>
              <w:widowControl/>
              <w:adjustRightInd w:val="0"/>
              <w:snapToGrid w:val="0"/>
              <w:jc w:val="center"/>
              <w:rPr>
                <w:rFonts w:ascii="宋体" w:hAnsi="宋体" w:cs="宋体"/>
                <w:color w:val="000000"/>
                <w:kern w:val="0"/>
                <w:szCs w:val="21"/>
              </w:rPr>
            </w:pPr>
          </w:p>
        </w:tc>
        <w:tc>
          <w:tcPr>
            <w:tcW w:w="1156" w:type="dxa"/>
            <w:tcBorders>
              <w:top w:val="single" w:color="000000" w:sz="4" w:space="0"/>
              <w:left w:val="nil"/>
              <w:bottom w:val="single" w:color="000000" w:sz="4" w:space="0"/>
              <w:right w:val="single" w:color="000000" w:sz="4" w:space="0"/>
            </w:tcBorders>
            <w:vAlign w:val="center"/>
          </w:tcPr>
          <w:p w14:paraId="1F668019">
            <w:pPr>
              <w:widowControl/>
              <w:adjustRightInd w:val="0"/>
              <w:snapToGrid w:val="0"/>
              <w:jc w:val="center"/>
              <w:rPr>
                <w:rFonts w:ascii="宋体" w:hAnsi="宋体" w:cs="宋体"/>
                <w:color w:val="000000"/>
                <w:kern w:val="0"/>
                <w:szCs w:val="21"/>
              </w:rPr>
            </w:pPr>
          </w:p>
        </w:tc>
        <w:tc>
          <w:tcPr>
            <w:tcW w:w="1124" w:type="dxa"/>
            <w:tcBorders>
              <w:top w:val="single" w:color="000000" w:sz="4" w:space="0"/>
              <w:left w:val="nil"/>
              <w:bottom w:val="single" w:color="000000" w:sz="4" w:space="0"/>
              <w:right w:val="single" w:color="000000" w:sz="4" w:space="0"/>
            </w:tcBorders>
            <w:vAlign w:val="center"/>
          </w:tcPr>
          <w:p w14:paraId="669B99BB">
            <w:pPr>
              <w:widowControl/>
              <w:adjustRightInd w:val="0"/>
              <w:snapToGrid w:val="0"/>
              <w:jc w:val="center"/>
              <w:rPr>
                <w:rFonts w:ascii="宋体" w:hAnsi="宋体" w:cs="宋体"/>
                <w:color w:val="000000"/>
                <w:kern w:val="0"/>
                <w:szCs w:val="21"/>
              </w:rPr>
            </w:pPr>
          </w:p>
        </w:tc>
        <w:tc>
          <w:tcPr>
            <w:tcW w:w="944" w:type="dxa"/>
            <w:tcBorders>
              <w:top w:val="single" w:color="000000" w:sz="4" w:space="0"/>
              <w:left w:val="nil"/>
              <w:bottom w:val="single" w:color="000000" w:sz="4" w:space="0"/>
              <w:right w:val="single" w:color="000000" w:sz="4" w:space="0"/>
            </w:tcBorders>
            <w:vAlign w:val="center"/>
          </w:tcPr>
          <w:p w14:paraId="5AA08387">
            <w:pPr>
              <w:widowControl/>
              <w:adjustRightInd w:val="0"/>
              <w:snapToGrid w:val="0"/>
              <w:jc w:val="center"/>
              <w:rPr>
                <w:rFonts w:ascii="宋体" w:hAnsi="宋体" w:cs="宋体"/>
                <w:color w:val="000000"/>
                <w:kern w:val="0"/>
                <w:szCs w:val="21"/>
              </w:rPr>
            </w:pPr>
          </w:p>
        </w:tc>
        <w:tc>
          <w:tcPr>
            <w:tcW w:w="736" w:type="dxa"/>
            <w:tcBorders>
              <w:top w:val="single" w:color="000000" w:sz="4" w:space="0"/>
              <w:left w:val="nil"/>
              <w:bottom w:val="single" w:color="000000" w:sz="4" w:space="0"/>
              <w:right w:val="single" w:color="000000" w:sz="4" w:space="0"/>
            </w:tcBorders>
            <w:vAlign w:val="center"/>
          </w:tcPr>
          <w:p w14:paraId="246490F4">
            <w:pPr>
              <w:widowControl/>
              <w:adjustRightInd w:val="0"/>
              <w:snapToGrid w:val="0"/>
              <w:jc w:val="center"/>
              <w:rPr>
                <w:rFonts w:ascii="宋体" w:hAnsi="宋体" w:cs="宋体"/>
                <w:color w:val="000000"/>
                <w:kern w:val="0"/>
                <w:szCs w:val="21"/>
              </w:rPr>
            </w:pPr>
          </w:p>
        </w:tc>
        <w:tc>
          <w:tcPr>
            <w:tcW w:w="1574" w:type="dxa"/>
            <w:tcBorders>
              <w:top w:val="single" w:color="000000" w:sz="4" w:space="0"/>
              <w:left w:val="nil"/>
              <w:bottom w:val="single" w:color="000000" w:sz="4" w:space="0"/>
              <w:right w:val="single" w:color="000000" w:sz="4" w:space="0"/>
            </w:tcBorders>
            <w:vAlign w:val="center"/>
          </w:tcPr>
          <w:p w14:paraId="361A0312">
            <w:pPr>
              <w:widowControl/>
              <w:adjustRightInd w:val="0"/>
              <w:snapToGrid w:val="0"/>
              <w:jc w:val="center"/>
              <w:rPr>
                <w:rFonts w:ascii="宋体" w:hAnsi="宋体" w:cs="宋体"/>
                <w:color w:val="000000"/>
                <w:kern w:val="0"/>
                <w:szCs w:val="21"/>
              </w:rPr>
            </w:pPr>
          </w:p>
        </w:tc>
        <w:tc>
          <w:tcPr>
            <w:tcW w:w="1050" w:type="dxa"/>
            <w:tcBorders>
              <w:top w:val="single" w:color="000000" w:sz="4" w:space="0"/>
              <w:left w:val="nil"/>
              <w:bottom w:val="single" w:color="000000" w:sz="4" w:space="0"/>
              <w:right w:val="single" w:color="000000" w:sz="4" w:space="0"/>
            </w:tcBorders>
            <w:vAlign w:val="center"/>
          </w:tcPr>
          <w:p w14:paraId="04D6FEDB">
            <w:pPr>
              <w:widowControl/>
              <w:adjustRightInd w:val="0"/>
              <w:snapToGrid w:val="0"/>
              <w:jc w:val="center"/>
              <w:rPr>
                <w:rFonts w:ascii="宋体" w:hAnsi="宋体" w:cs="宋体"/>
                <w:color w:val="000000"/>
                <w:kern w:val="0"/>
                <w:szCs w:val="21"/>
              </w:rPr>
            </w:pPr>
          </w:p>
        </w:tc>
        <w:tc>
          <w:tcPr>
            <w:tcW w:w="1508" w:type="dxa"/>
            <w:tcBorders>
              <w:top w:val="single" w:color="000000" w:sz="4" w:space="0"/>
              <w:left w:val="nil"/>
              <w:bottom w:val="single" w:color="000000" w:sz="4" w:space="0"/>
              <w:right w:val="single" w:color="000000" w:sz="4" w:space="0"/>
            </w:tcBorders>
            <w:vAlign w:val="center"/>
          </w:tcPr>
          <w:p w14:paraId="0391520C">
            <w:pPr>
              <w:widowControl/>
              <w:adjustRightInd w:val="0"/>
              <w:snapToGrid w:val="0"/>
              <w:jc w:val="center"/>
              <w:rPr>
                <w:rFonts w:ascii="宋体" w:hAnsi="宋体" w:cs="宋体"/>
                <w:color w:val="000000"/>
                <w:kern w:val="0"/>
                <w:szCs w:val="21"/>
              </w:rPr>
            </w:pPr>
          </w:p>
        </w:tc>
        <w:tc>
          <w:tcPr>
            <w:tcW w:w="992" w:type="dxa"/>
            <w:tcBorders>
              <w:top w:val="single" w:color="000000" w:sz="4" w:space="0"/>
              <w:left w:val="nil"/>
              <w:bottom w:val="single" w:color="000000" w:sz="4" w:space="0"/>
              <w:right w:val="single" w:color="000000" w:sz="4" w:space="0"/>
            </w:tcBorders>
            <w:vAlign w:val="center"/>
          </w:tcPr>
          <w:p w14:paraId="6FBBBCA2">
            <w:pPr>
              <w:widowControl/>
              <w:adjustRightInd w:val="0"/>
              <w:snapToGrid w:val="0"/>
              <w:jc w:val="center"/>
              <w:rPr>
                <w:rFonts w:ascii="宋体" w:hAnsi="宋体" w:cs="宋体"/>
                <w:color w:val="000000"/>
                <w:kern w:val="0"/>
                <w:szCs w:val="21"/>
              </w:rPr>
            </w:pPr>
          </w:p>
        </w:tc>
        <w:tc>
          <w:tcPr>
            <w:tcW w:w="1134" w:type="dxa"/>
            <w:tcBorders>
              <w:top w:val="single" w:color="000000" w:sz="4" w:space="0"/>
              <w:left w:val="nil"/>
              <w:bottom w:val="single" w:color="000000" w:sz="4" w:space="0"/>
              <w:right w:val="single" w:color="000000" w:sz="4" w:space="0"/>
            </w:tcBorders>
            <w:vAlign w:val="center"/>
          </w:tcPr>
          <w:p w14:paraId="19DCE1AE">
            <w:pPr>
              <w:widowControl/>
              <w:adjustRightInd w:val="0"/>
              <w:snapToGrid w:val="0"/>
              <w:jc w:val="center"/>
              <w:rPr>
                <w:rFonts w:ascii="宋体" w:hAnsi="宋体" w:cs="宋体"/>
                <w:color w:val="000000"/>
                <w:kern w:val="0"/>
                <w:szCs w:val="21"/>
              </w:rPr>
            </w:pPr>
          </w:p>
        </w:tc>
        <w:tc>
          <w:tcPr>
            <w:tcW w:w="1701" w:type="dxa"/>
            <w:tcBorders>
              <w:top w:val="single" w:color="000000" w:sz="4" w:space="0"/>
              <w:left w:val="nil"/>
              <w:bottom w:val="single" w:color="000000" w:sz="4" w:space="0"/>
              <w:right w:val="single" w:color="000000" w:sz="4" w:space="0"/>
            </w:tcBorders>
            <w:vAlign w:val="center"/>
          </w:tcPr>
          <w:p w14:paraId="6D051F7F">
            <w:pPr>
              <w:widowControl/>
              <w:adjustRightInd w:val="0"/>
              <w:snapToGrid w:val="0"/>
              <w:jc w:val="center"/>
              <w:rPr>
                <w:rFonts w:ascii="宋体" w:hAnsi="宋体" w:cs="宋体"/>
                <w:color w:val="000000"/>
                <w:kern w:val="0"/>
                <w:szCs w:val="21"/>
              </w:rPr>
            </w:pPr>
          </w:p>
        </w:tc>
        <w:tc>
          <w:tcPr>
            <w:tcW w:w="1701" w:type="dxa"/>
            <w:tcBorders>
              <w:top w:val="single" w:color="000000" w:sz="4" w:space="0"/>
              <w:left w:val="nil"/>
              <w:bottom w:val="single" w:color="000000" w:sz="4" w:space="0"/>
              <w:right w:val="single" w:color="000000" w:sz="4" w:space="0"/>
            </w:tcBorders>
            <w:vAlign w:val="center"/>
          </w:tcPr>
          <w:p w14:paraId="01634890">
            <w:pPr>
              <w:widowControl/>
              <w:adjustRightInd w:val="0"/>
              <w:snapToGrid w:val="0"/>
              <w:jc w:val="center"/>
              <w:rPr>
                <w:rFonts w:ascii="宋体" w:hAnsi="宋体" w:cs="宋体"/>
                <w:color w:val="000000"/>
                <w:kern w:val="0"/>
                <w:szCs w:val="21"/>
              </w:rPr>
            </w:pPr>
          </w:p>
        </w:tc>
      </w:tr>
      <w:tr w14:paraId="339D37A2">
        <w:tblPrEx>
          <w:tblCellMar>
            <w:top w:w="0" w:type="dxa"/>
            <w:left w:w="108" w:type="dxa"/>
            <w:bottom w:w="0" w:type="dxa"/>
            <w:right w:w="108" w:type="dxa"/>
          </w:tblCellMar>
        </w:tblPrEx>
        <w:trPr>
          <w:trHeight w:val="50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246FBF26">
            <w:pPr>
              <w:widowControl/>
              <w:adjustRightInd w:val="0"/>
              <w:snapToGrid w:val="0"/>
              <w:jc w:val="center"/>
              <w:rPr>
                <w:rFonts w:ascii="宋体" w:hAnsi="宋体" w:cs="宋体"/>
                <w:kern w:val="0"/>
                <w:szCs w:val="21"/>
              </w:rPr>
            </w:pPr>
          </w:p>
        </w:tc>
        <w:tc>
          <w:tcPr>
            <w:tcW w:w="1156" w:type="dxa"/>
            <w:tcBorders>
              <w:top w:val="single" w:color="000000" w:sz="4" w:space="0"/>
              <w:left w:val="nil"/>
              <w:bottom w:val="single" w:color="000000" w:sz="4" w:space="0"/>
              <w:right w:val="single" w:color="000000" w:sz="4" w:space="0"/>
            </w:tcBorders>
            <w:vAlign w:val="center"/>
          </w:tcPr>
          <w:p w14:paraId="3EF028D2">
            <w:pPr>
              <w:widowControl/>
              <w:adjustRightInd w:val="0"/>
              <w:snapToGrid w:val="0"/>
              <w:jc w:val="center"/>
              <w:rPr>
                <w:rFonts w:ascii="宋体" w:hAnsi="宋体" w:cs="宋体"/>
                <w:kern w:val="0"/>
                <w:szCs w:val="21"/>
              </w:rPr>
            </w:pPr>
          </w:p>
        </w:tc>
        <w:tc>
          <w:tcPr>
            <w:tcW w:w="1124" w:type="dxa"/>
            <w:tcBorders>
              <w:top w:val="single" w:color="000000" w:sz="4" w:space="0"/>
              <w:left w:val="nil"/>
              <w:bottom w:val="single" w:color="000000" w:sz="4" w:space="0"/>
              <w:right w:val="single" w:color="000000" w:sz="4" w:space="0"/>
            </w:tcBorders>
            <w:vAlign w:val="center"/>
          </w:tcPr>
          <w:p w14:paraId="1281C00C">
            <w:pPr>
              <w:widowControl/>
              <w:adjustRightInd w:val="0"/>
              <w:snapToGrid w:val="0"/>
              <w:jc w:val="center"/>
              <w:rPr>
                <w:rFonts w:ascii="宋体" w:hAnsi="宋体" w:cs="宋体"/>
                <w:kern w:val="0"/>
                <w:szCs w:val="21"/>
              </w:rPr>
            </w:pPr>
          </w:p>
        </w:tc>
        <w:tc>
          <w:tcPr>
            <w:tcW w:w="944" w:type="dxa"/>
            <w:tcBorders>
              <w:top w:val="single" w:color="000000" w:sz="4" w:space="0"/>
              <w:left w:val="nil"/>
              <w:bottom w:val="single" w:color="000000" w:sz="4" w:space="0"/>
              <w:right w:val="single" w:color="000000" w:sz="4" w:space="0"/>
            </w:tcBorders>
            <w:vAlign w:val="center"/>
          </w:tcPr>
          <w:p w14:paraId="4ADEBDE4">
            <w:pPr>
              <w:widowControl/>
              <w:adjustRightInd w:val="0"/>
              <w:snapToGrid w:val="0"/>
              <w:jc w:val="center"/>
              <w:rPr>
                <w:rFonts w:ascii="宋体" w:hAnsi="宋体" w:cs="宋体"/>
                <w:kern w:val="0"/>
                <w:szCs w:val="21"/>
              </w:rPr>
            </w:pPr>
          </w:p>
        </w:tc>
        <w:tc>
          <w:tcPr>
            <w:tcW w:w="736" w:type="dxa"/>
            <w:tcBorders>
              <w:top w:val="single" w:color="000000" w:sz="4" w:space="0"/>
              <w:left w:val="nil"/>
              <w:bottom w:val="single" w:color="000000" w:sz="4" w:space="0"/>
              <w:right w:val="single" w:color="000000" w:sz="4" w:space="0"/>
            </w:tcBorders>
            <w:vAlign w:val="center"/>
          </w:tcPr>
          <w:p w14:paraId="40880E47">
            <w:pPr>
              <w:widowControl/>
              <w:adjustRightInd w:val="0"/>
              <w:snapToGrid w:val="0"/>
              <w:jc w:val="center"/>
              <w:rPr>
                <w:rFonts w:ascii="宋体" w:hAnsi="宋体" w:cs="宋体"/>
                <w:kern w:val="0"/>
                <w:szCs w:val="21"/>
              </w:rPr>
            </w:pPr>
          </w:p>
        </w:tc>
        <w:tc>
          <w:tcPr>
            <w:tcW w:w="1574" w:type="dxa"/>
            <w:tcBorders>
              <w:top w:val="single" w:color="000000" w:sz="4" w:space="0"/>
              <w:left w:val="nil"/>
              <w:bottom w:val="single" w:color="000000" w:sz="4" w:space="0"/>
              <w:right w:val="single" w:color="000000" w:sz="4" w:space="0"/>
            </w:tcBorders>
            <w:vAlign w:val="center"/>
          </w:tcPr>
          <w:p w14:paraId="2AE08885">
            <w:pPr>
              <w:widowControl/>
              <w:adjustRightInd w:val="0"/>
              <w:snapToGrid w:val="0"/>
              <w:jc w:val="center"/>
              <w:rPr>
                <w:rFonts w:ascii="宋体" w:hAnsi="宋体" w:cs="宋体"/>
                <w:kern w:val="0"/>
                <w:szCs w:val="21"/>
              </w:rPr>
            </w:pPr>
          </w:p>
        </w:tc>
        <w:tc>
          <w:tcPr>
            <w:tcW w:w="1050" w:type="dxa"/>
            <w:tcBorders>
              <w:top w:val="single" w:color="000000" w:sz="4" w:space="0"/>
              <w:left w:val="nil"/>
              <w:bottom w:val="single" w:color="000000" w:sz="4" w:space="0"/>
              <w:right w:val="single" w:color="000000" w:sz="4" w:space="0"/>
            </w:tcBorders>
            <w:vAlign w:val="center"/>
          </w:tcPr>
          <w:p w14:paraId="02714A9D">
            <w:pPr>
              <w:widowControl/>
              <w:adjustRightInd w:val="0"/>
              <w:snapToGrid w:val="0"/>
              <w:jc w:val="center"/>
              <w:rPr>
                <w:rFonts w:ascii="宋体" w:hAnsi="宋体" w:cs="宋体"/>
                <w:kern w:val="0"/>
                <w:szCs w:val="21"/>
              </w:rPr>
            </w:pPr>
          </w:p>
        </w:tc>
        <w:tc>
          <w:tcPr>
            <w:tcW w:w="1508" w:type="dxa"/>
            <w:tcBorders>
              <w:top w:val="single" w:color="000000" w:sz="4" w:space="0"/>
              <w:left w:val="nil"/>
              <w:bottom w:val="single" w:color="000000" w:sz="4" w:space="0"/>
              <w:right w:val="single" w:color="000000" w:sz="4" w:space="0"/>
            </w:tcBorders>
            <w:vAlign w:val="center"/>
          </w:tcPr>
          <w:p w14:paraId="45B5996F">
            <w:pPr>
              <w:widowControl/>
              <w:adjustRightInd w:val="0"/>
              <w:snapToGrid w:val="0"/>
              <w:jc w:val="center"/>
              <w:rPr>
                <w:rFonts w:ascii="宋体" w:hAnsi="宋体" w:cs="宋体"/>
                <w:kern w:val="0"/>
                <w:szCs w:val="21"/>
              </w:rPr>
            </w:pPr>
          </w:p>
        </w:tc>
        <w:tc>
          <w:tcPr>
            <w:tcW w:w="992" w:type="dxa"/>
            <w:tcBorders>
              <w:top w:val="single" w:color="000000" w:sz="4" w:space="0"/>
              <w:left w:val="nil"/>
              <w:bottom w:val="single" w:color="000000" w:sz="4" w:space="0"/>
              <w:right w:val="single" w:color="000000" w:sz="4" w:space="0"/>
            </w:tcBorders>
            <w:vAlign w:val="center"/>
          </w:tcPr>
          <w:p w14:paraId="2ACD31D1">
            <w:pPr>
              <w:widowControl/>
              <w:adjustRightInd w:val="0"/>
              <w:snapToGrid w:val="0"/>
              <w:jc w:val="center"/>
              <w:rPr>
                <w:rFonts w:ascii="宋体" w:hAnsi="宋体" w:cs="宋体"/>
                <w:kern w:val="0"/>
                <w:szCs w:val="21"/>
              </w:rPr>
            </w:pPr>
          </w:p>
        </w:tc>
        <w:tc>
          <w:tcPr>
            <w:tcW w:w="1134" w:type="dxa"/>
            <w:tcBorders>
              <w:top w:val="single" w:color="000000" w:sz="4" w:space="0"/>
              <w:left w:val="nil"/>
              <w:bottom w:val="single" w:color="000000" w:sz="4" w:space="0"/>
              <w:right w:val="single" w:color="000000" w:sz="4" w:space="0"/>
            </w:tcBorders>
            <w:vAlign w:val="center"/>
          </w:tcPr>
          <w:p w14:paraId="0F489389">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280DE178">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649B4CD3">
            <w:pPr>
              <w:widowControl/>
              <w:adjustRightInd w:val="0"/>
              <w:snapToGrid w:val="0"/>
              <w:jc w:val="center"/>
              <w:rPr>
                <w:rFonts w:ascii="宋体" w:hAnsi="宋体" w:cs="宋体"/>
                <w:kern w:val="0"/>
                <w:szCs w:val="21"/>
              </w:rPr>
            </w:pPr>
          </w:p>
        </w:tc>
      </w:tr>
      <w:tr w14:paraId="01934FE1">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AEB3FA2">
            <w:pPr>
              <w:widowControl/>
              <w:adjustRightInd w:val="0"/>
              <w:snapToGrid w:val="0"/>
              <w:jc w:val="center"/>
              <w:rPr>
                <w:rFonts w:ascii="宋体" w:hAnsi="宋体" w:cs="宋体"/>
                <w:kern w:val="0"/>
                <w:szCs w:val="21"/>
              </w:rPr>
            </w:pPr>
          </w:p>
        </w:tc>
        <w:tc>
          <w:tcPr>
            <w:tcW w:w="1156" w:type="dxa"/>
            <w:tcBorders>
              <w:top w:val="single" w:color="000000" w:sz="4" w:space="0"/>
              <w:left w:val="nil"/>
              <w:bottom w:val="single" w:color="000000" w:sz="4" w:space="0"/>
              <w:right w:val="single" w:color="000000" w:sz="4" w:space="0"/>
            </w:tcBorders>
            <w:vAlign w:val="center"/>
          </w:tcPr>
          <w:p w14:paraId="392B9E14">
            <w:pPr>
              <w:widowControl/>
              <w:adjustRightInd w:val="0"/>
              <w:snapToGrid w:val="0"/>
              <w:jc w:val="center"/>
              <w:rPr>
                <w:rFonts w:ascii="宋体" w:hAnsi="宋体" w:cs="宋体"/>
                <w:kern w:val="0"/>
                <w:szCs w:val="21"/>
              </w:rPr>
            </w:pPr>
          </w:p>
        </w:tc>
        <w:tc>
          <w:tcPr>
            <w:tcW w:w="1124" w:type="dxa"/>
            <w:tcBorders>
              <w:top w:val="single" w:color="000000" w:sz="4" w:space="0"/>
              <w:left w:val="nil"/>
              <w:bottom w:val="single" w:color="000000" w:sz="4" w:space="0"/>
              <w:right w:val="single" w:color="000000" w:sz="4" w:space="0"/>
            </w:tcBorders>
            <w:vAlign w:val="center"/>
          </w:tcPr>
          <w:p w14:paraId="13F1CE2E">
            <w:pPr>
              <w:widowControl/>
              <w:adjustRightInd w:val="0"/>
              <w:snapToGrid w:val="0"/>
              <w:jc w:val="center"/>
              <w:rPr>
                <w:rFonts w:ascii="宋体" w:hAnsi="宋体" w:cs="宋体"/>
                <w:kern w:val="0"/>
                <w:szCs w:val="21"/>
              </w:rPr>
            </w:pPr>
          </w:p>
        </w:tc>
        <w:tc>
          <w:tcPr>
            <w:tcW w:w="944" w:type="dxa"/>
            <w:tcBorders>
              <w:top w:val="single" w:color="000000" w:sz="4" w:space="0"/>
              <w:left w:val="nil"/>
              <w:bottom w:val="single" w:color="000000" w:sz="4" w:space="0"/>
              <w:right w:val="single" w:color="000000" w:sz="4" w:space="0"/>
            </w:tcBorders>
            <w:vAlign w:val="center"/>
          </w:tcPr>
          <w:p w14:paraId="20B64DC0">
            <w:pPr>
              <w:widowControl/>
              <w:adjustRightInd w:val="0"/>
              <w:snapToGrid w:val="0"/>
              <w:jc w:val="center"/>
              <w:rPr>
                <w:rFonts w:ascii="宋体" w:hAnsi="宋体" w:cs="宋体"/>
                <w:kern w:val="0"/>
                <w:szCs w:val="21"/>
              </w:rPr>
            </w:pPr>
          </w:p>
        </w:tc>
        <w:tc>
          <w:tcPr>
            <w:tcW w:w="736" w:type="dxa"/>
            <w:tcBorders>
              <w:top w:val="single" w:color="000000" w:sz="4" w:space="0"/>
              <w:left w:val="nil"/>
              <w:bottom w:val="single" w:color="000000" w:sz="4" w:space="0"/>
              <w:right w:val="single" w:color="000000" w:sz="4" w:space="0"/>
            </w:tcBorders>
            <w:vAlign w:val="center"/>
          </w:tcPr>
          <w:p w14:paraId="3F090DEA">
            <w:pPr>
              <w:widowControl/>
              <w:adjustRightInd w:val="0"/>
              <w:snapToGrid w:val="0"/>
              <w:jc w:val="center"/>
              <w:rPr>
                <w:rFonts w:ascii="宋体" w:hAnsi="宋体" w:cs="宋体"/>
                <w:kern w:val="0"/>
                <w:szCs w:val="21"/>
              </w:rPr>
            </w:pPr>
          </w:p>
        </w:tc>
        <w:tc>
          <w:tcPr>
            <w:tcW w:w="1574" w:type="dxa"/>
            <w:tcBorders>
              <w:top w:val="single" w:color="000000" w:sz="4" w:space="0"/>
              <w:left w:val="nil"/>
              <w:bottom w:val="single" w:color="000000" w:sz="4" w:space="0"/>
              <w:right w:val="single" w:color="000000" w:sz="4" w:space="0"/>
            </w:tcBorders>
            <w:vAlign w:val="center"/>
          </w:tcPr>
          <w:p w14:paraId="7330C431">
            <w:pPr>
              <w:widowControl/>
              <w:adjustRightInd w:val="0"/>
              <w:snapToGrid w:val="0"/>
              <w:jc w:val="center"/>
              <w:rPr>
                <w:rFonts w:ascii="宋体" w:hAnsi="宋体" w:cs="宋体"/>
                <w:kern w:val="0"/>
                <w:szCs w:val="21"/>
              </w:rPr>
            </w:pPr>
          </w:p>
        </w:tc>
        <w:tc>
          <w:tcPr>
            <w:tcW w:w="1050" w:type="dxa"/>
            <w:tcBorders>
              <w:top w:val="single" w:color="000000" w:sz="4" w:space="0"/>
              <w:left w:val="nil"/>
              <w:bottom w:val="single" w:color="000000" w:sz="4" w:space="0"/>
              <w:right w:val="single" w:color="000000" w:sz="4" w:space="0"/>
            </w:tcBorders>
            <w:vAlign w:val="center"/>
          </w:tcPr>
          <w:p w14:paraId="2944C3B1">
            <w:pPr>
              <w:widowControl/>
              <w:adjustRightInd w:val="0"/>
              <w:snapToGrid w:val="0"/>
              <w:jc w:val="center"/>
              <w:rPr>
                <w:rFonts w:ascii="宋体" w:hAnsi="宋体" w:cs="宋体"/>
                <w:kern w:val="0"/>
                <w:szCs w:val="21"/>
              </w:rPr>
            </w:pPr>
          </w:p>
        </w:tc>
        <w:tc>
          <w:tcPr>
            <w:tcW w:w="1508" w:type="dxa"/>
            <w:tcBorders>
              <w:top w:val="single" w:color="000000" w:sz="4" w:space="0"/>
              <w:left w:val="nil"/>
              <w:bottom w:val="single" w:color="000000" w:sz="4" w:space="0"/>
              <w:right w:val="single" w:color="000000" w:sz="4" w:space="0"/>
            </w:tcBorders>
            <w:vAlign w:val="center"/>
          </w:tcPr>
          <w:p w14:paraId="6C6BD5F0">
            <w:pPr>
              <w:widowControl/>
              <w:adjustRightInd w:val="0"/>
              <w:snapToGrid w:val="0"/>
              <w:jc w:val="center"/>
              <w:rPr>
                <w:rFonts w:ascii="宋体" w:hAnsi="宋体" w:cs="宋体"/>
                <w:kern w:val="0"/>
                <w:szCs w:val="21"/>
              </w:rPr>
            </w:pPr>
          </w:p>
        </w:tc>
        <w:tc>
          <w:tcPr>
            <w:tcW w:w="992" w:type="dxa"/>
            <w:tcBorders>
              <w:top w:val="single" w:color="000000" w:sz="4" w:space="0"/>
              <w:left w:val="nil"/>
              <w:bottom w:val="single" w:color="000000" w:sz="4" w:space="0"/>
              <w:right w:val="single" w:color="000000" w:sz="4" w:space="0"/>
            </w:tcBorders>
            <w:vAlign w:val="center"/>
          </w:tcPr>
          <w:p w14:paraId="14F3A7F8">
            <w:pPr>
              <w:widowControl/>
              <w:adjustRightInd w:val="0"/>
              <w:snapToGrid w:val="0"/>
              <w:jc w:val="center"/>
              <w:rPr>
                <w:rFonts w:ascii="宋体" w:hAnsi="宋体" w:cs="宋体"/>
                <w:kern w:val="0"/>
                <w:szCs w:val="21"/>
              </w:rPr>
            </w:pPr>
          </w:p>
        </w:tc>
        <w:tc>
          <w:tcPr>
            <w:tcW w:w="1134" w:type="dxa"/>
            <w:tcBorders>
              <w:top w:val="single" w:color="000000" w:sz="4" w:space="0"/>
              <w:left w:val="nil"/>
              <w:bottom w:val="single" w:color="000000" w:sz="4" w:space="0"/>
              <w:right w:val="single" w:color="000000" w:sz="4" w:space="0"/>
            </w:tcBorders>
            <w:vAlign w:val="center"/>
          </w:tcPr>
          <w:p w14:paraId="0C7CEC8A">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3039933C">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49385843">
            <w:pPr>
              <w:widowControl/>
              <w:adjustRightInd w:val="0"/>
              <w:snapToGrid w:val="0"/>
              <w:jc w:val="center"/>
              <w:rPr>
                <w:rFonts w:ascii="宋体" w:hAnsi="宋体" w:cs="宋体"/>
                <w:kern w:val="0"/>
                <w:szCs w:val="21"/>
              </w:rPr>
            </w:pPr>
          </w:p>
        </w:tc>
      </w:tr>
      <w:tr w14:paraId="1B7AD448">
        <w:tblPrEx>
          <w:tblCellMar>
            <w:top w:w="0" w:type="dxa"/>
            <w:left w:w="108" w:type="dxa"/>
            <w:bottom w:w="0" w:type="dxa"/>
            <w:right w:w="108" w:type="dxa"/>
          </w:tblCellMar>
        </w:tblPrEx>
        <w:trPr>
          <w:trHeight w:val="505" w:hRule="atLeast"/>
        </w:trPr>
        <w:tc>
          <w:tcPr>
            <w:tcW w:w="6272" w:type="dxa"/>
            <w:gridSpan w:val="6"/>
            <w:tcBorders>
              <w:top w:val="single" w:color="000000" w:sz="4" w:space="0"/>
              <w:left w:val="single" w:color="000000" w:sz="4" w:space="0"/>
              <w:bottom w:val="single" w:color="000000" w:sz="4" w:space="0"/>
              <w:right w:val="single" w:color="000000" w:sz="4" w:space="0"/>
            </w:tcBorders>
            <w:vAlign w:val="center"/>
          </w:tcPr>
          <w:p w14:paraId="59994A66">
            <w:pPr>
              <w:widowControl/>
              <w:adjustRightInd w:val="0"/>
              <w:snapToGrid w:val="0"/>
              <w:jc w:val="center"/>
              <w:rPr>
                <w:rFonts w:ascii="宋体" w:hAnsi="宋体" w:cs="宋体"/>
                <w:b/>
                <w:kern w:val="0"/>
                <w:szCs w:val="21"/>
              </w:rPr>
            </w:pPr>
            <w:r>
              <w:rPr>
                <w:rFonts w:hint="eastAsia" w:ascii="宋体" w:hAnsi="宋体" w:cs="宋体"/>
                <w:b/>
                <w:kern w:val="0"/>
                <w:szCs w:val="21"/>
              </w:rPr>
              <w:t>合计（此表价格含在响应报价总价内）</w:t>
            </w:r>
          </w:p>
        </w:tc>
        <w:tc>
          <w:tcPr>
            <w:tcW w:w="1050" w:type="dxa"/>
            <w:tcBorders>
              <w:top w:val="single" w:color="000000" w:sz="4" w:space="0"/>
              <w:left w:val="nil"/>
              <w:bottom w:val="single" w:color="000000" w:sz="4" w:space="0"/>
              <w:right w:val="single" w:color="000000" w:sz="4" w:space="0"/>
            </w:tcBorders>
            <w:vAlign w:val="center"/>
          </w:tcPr>
          <w:p w14:paraId="78D92E1D">
            <w:pPr>
              <w:widowControl/>
              <w:adjustRightInd w:val="0"/>
              <w:snapToGrid w:val="0"/>
              <w:jc w:val="center"/>
              <w:rPr>
                <w:rFonts w:ascii="宋体" w:hAnsi="宋体" w:cs="宋体"/>
                <w:kern w:val="0"/>
                <w:szCs w:val="21"/>
              </w:rPr>
            </w:pPr>
          </w:p>
        </w:tc>
        <w:tc>
          <w:tcPr>
            <w:tcW w:w="7036" w:type="dxa"/>
            <w:gridSpan w:val="5"/>
            <w:tcBorders>
              <w:top w:val="single" w:color="000000" w:sz="4" w:space="0"/>
              <w:left w:val="nil"/>
              <w:bottom w:val="single" w:color="000000" w:sz="4" w:space="0"/>
              <w:right w:val="single" w:color="000000" w:sz="4" w:space="0"/>
            </w:tcBorders>
            <w:vAlign w:val="center"/>
          </w:tcPr>
          <w:p w14:paraId="5E053B67">
            <w:pPr>
              <w:widowControl/>
              <w:adjustRightInd w:val="0"/>
              <w:snapToGrid w:val="0"/>
              <w:jc w:val="center"/>
              <w:rPr>
                <w:rFonts w:ascii="宋体" w:hAnsi="宋体" w:cs="宋体"/>
                <w:kern w:val="0"/>
                <w:szCs w:val="21"/>
              </w:rPr>
            </w:pPr>
            <w:r>
              <w:rPr>
                <w:rFonts w:hint="eastAsia" w:ascii="宋体" w:hAnsi="宋体" w:cs="宋体"/>
                <w:kern w:val="0"/>
                <w:szCs w:val="21"/>
              </w:rPr>
              <w:t>/</w:t>
            </w:r>
          </w:p>
        </w:tc>
      </w:tr>
    </w:tbl>
    <w:p w14:paraId="676F38D1">
      <w:pPr>
        <w:widowControl/>
        <w:spacing w:before="8" w:line="110" w:lineRule="atLeast"/>
        <w:rPr>
          <w:rFonts w:ascii="宋体" w:hAnsi="宋体" w:cs="宋体"/>
          <w:kern w:val="0"/>
          <w:sz w:val="20"/>
          <w:szCs w:val="20"/>
        </w:rPr>
      </w:pPr>
      <w:r>
        <w:rPr>
          <w:rFonts w:hint="eastAsia" w:ascii="宋体" w:hAnsi="宋体" w:cs="宋体"/>
          <w:kern w:val="0"/>
          <w:sz w:val="11"/>
          <w:szCs w:val="11"/>
        </w:rPr>
        <w:t xml:space="preserve"> </w:t>
      </w:r>
      <w:r>
        <w:rPr>
          <w:rFonts w:hint="eastAsia" w:ascii="宋体" w:hAnsi="宋体" w:cs="宋体"/>
          <w:kern w:val="0"/>
          <w:sz w:val="20"/>
          <w:szCs w:val="20"/>
        </w:rPr>
        <w:t xml:space="preserve">  </w:t>
      </w:r>
    </w:p>
    <w:p w14:paraId="6819C7CD">
      <w:pPr>
        <w:widowControl/>
        <w:spacing w:before="3" w:line="180" w:lineRule="atLeast"/>
        <w:rPr>
          <w:rFonts w:ascii="宋体" w:hAnsi="宋体" w:cs="宋体"/>
          <w:kern w:val="0"/>
          <w:sz w:val="20"/>
          <w:szCs w:val="20"/>
        </w:rPr>
      </w:pPr>
    </w:p>
    <w:p w14:paraId="1E1F8928">
      <w:pPr>
        <w:widowControl/>
        <w:ind w:left="1503" w:right="1683"/>
        <w:jc w:val="center"/>
        <w:rPr>
          <w:rFonts w:ascii="宋体" w:hAnsi="宋体" w:cs="宋体"/>
          <w:kern w:val="0"/>
          <w:sz w:val="28"/>
          <w:szCs w:val="28"/>
        </w:rPr>
      </w:pPr>
      <w:r>
        <w:rPr>
          <w:rFonts w:hint="eastAsia" w:ascii="宋体" w:hAnsi="宋体" w:cs="宋体"/>
          <w:spacing w:val="12"/>
          <w:kern w:val="0"/>
          <w:sz w:val="28"/>
          <w:szCs w:val="28"/>
        </w:rPr>
        <w:t>表3-3  专用工具</w:t>
      </w:r>
      <w:r>
        <w:rPr>
          <w:rFonts w:hint="eastAsia" w:ascii="宋体" w:hAnsi="宋体" w:cs="宋体"/>
          <w:kern w:val="0"/>
          <w:sz w:val="28"/>
          <w:szCs w:val="28"/>
        </w:rPr>
        <w:t>分项报价表</w:t>
      </w:r>
    </w:p>
    <w:p w14:paraId="5961CFCC">
      <w:pPr>
        <w:widowControl/>
        <w:spacing w:line="333" w:lineRule="atLeast"/>
        <w:jc w:val="right"/>
        <w:rPr>
          <w:rFonts w:ascii="宋体" w:hAnsi="宋体" w:cs="宋体"/>
          <w:kern w:val="0"/>
          <w:szCs w:val="21"/>
        </w:rPr>
      </w:pPr>
      <w:r>
        <w:rPr>
          <w:rFonts w:hint="eastAsia" w:ascii="宋体" w:hAnsi="宋体" w:cs="宋体"/>
          <w:kern w:val="0"/>
          <w:position w:val="-4"/>
          <w:szCs w:val="21"/>
        </w:rPr>
        <w:t>项目</w:t>
      </w:r>
      <w:r>
        <w:rPr>
          <w:rFonts w:hint="eastAsia" w:ascii="宋体" w:hAnsi="宋体" w:cs="宋体"/>
          <w:spacing w:val="-1"/>
          <w:kern w:val="0"/>
          <w:position w:val="-4"/>
          <w:szCs w:val="21"/>
        </w:rPr>
        <w:t>编</w:t>
      </w:r>
      <w:r>
        <w:rPr>
          <w:rFonts w:hint="eastAsia" w:ascii="宋体" w:hAnsi="宋体" w:cs="宋体"/>
          <w:kern w:val="0"/>
          <w:position w:val="-4"/>
          <w:szCs w:val="21"/>
        </w:rPr>
        <w:t>号</w:t>
      </w:r>
      <w:r>
        <w:rPr>
          <w:rFonts w:hint="eastAsia" w:ascii="宋体" w:hAnsi="宋体" w:cs="宋体"/>
          <w:spacing w:val="-24"/>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kern w:val="0"/>
          <w:position w:val="-4"/>
          <w:szCs w:val="21"/>
        </w:rPr>
        <w:t>标包号</w:t>
      </w:r>
      <w:r>
        <w:rPr>
          <w:rFonts w:hint="eastAsia" w:ascii="宋体" w:hAnsi="宋体" w:cs="宋体"/>
          <w:spacing w:val="-25"/>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7"/>
        <w:tblW w:w="14358" w:type="dxa"/>
        <w:tblInd w:w="209" w:type="dxa"/>
        <w:tblLayout w:type="fixed"/>
        <w:tblCellMar>
          <w:top w:w="0" w:type="dxa"/>
          <w:left w:w="108" w:type="dxa"/>
          <w:bottom w:w="0" w:type="dxa"/>
          <w:right w:w="108" w:type="dxa"/>
        </w:tblCellMar>
      </w:tblPr>
      <w:tblGrid>
        <w:gridCol w:w="738"/>
        <w:gridCol w:w="1156"/>
        <w:gridCol w:w="1124"/>
        <w:gridCol w:w="944"/>
        <w:gridCol w:w="736"/>
        <w:gridCol w:w="1574"/>
        <w:gridCol w:w="1050"/>
        <w:gridCol w:w="1508"/>
        <w:gridCol w:w="992"/>
        <w:gridCol w:w="1134"/>
        <w:gridCol w:w="1701"/>
        <w:gridCol w:w="1701"/>
      </w:tblGrid>
      <w:tr w14:paraId="0F243DB1">
        <w:tblPrEx>
          <w:tblCellMar>
            <w:top w:w="0" w:type="dxa"/>
            <w:left w:w="108" w:type="dxa"/>
            <w:bottom w:w="0" w:type="dxa"/>
            <w:right w:w="108" w:type="dxa"/>
          </w:tblCellMar>
        </w:tblPrEx>
        <w:trPr>
          <w:trHeight w:val="5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FA3884B">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序号</w:t>
            </w:r>
          </w:p>
        </w:tc>
        <w:tc>
          <w:tcPr>
            <w:tcW w:w="1156" w:type="dxa"/>
            <w:tcBorders>
              <w:top w:val="single" w:color="000000" w:sz="4" w:space="0"/>
              <w:left w:val="nil"/>
              <w:bottom w:val="single" w:color="000000" w:sz="4" w:space="0"/>
              <w:right w:val="single" w:color="000000" w:sz="4" w:space="0"/>
            </w:tcBorders>
            <w:vAlign w:val="center"/>
          </w:tcPr>
          <w:p w14:paraId="67CB0550">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货物</w:t>
            </w:r>
            <w:r>
              <w:rPr>
                <w:rFonts w:hint="eastAsia" w:ascii="宋体" w:hAnsi="宋体" w:cs="宋体"/>
                <w:color w:val="000000"/>
                <w:szCs w:val="21"/>
              </w:rPr>
              <w:t>（服务）</w:t>
            </w:r>
            <w:r>
              <w:rPr>
                <w:rFonts w:hint="eastAsia" w:ascii="宋体" w:hAnsi="宋体" w:cs="宋体"/>
                <w:color w:val="000000"/>
                <w:kern w:val="0"/>
                <w:szCs w:val="21"/>
              </w:rPr>
              <w:t>名称</w:t>
            </w:r>
          </w:p>
        </w:tc>
        <w:tc>
          <w:tcPr>
            <w:tcW w:w="1124" w:type="dxa"/>
            <w:tcBorders>
              <w:top w:val="single" w:color="000000" w:sz="4" w:space="0"/>
              <w:left w:val="nil"/>
              <w:bottom w:val="single" w:color="000000" w:sz="4" w:space="0"/>
              <w:right w:val="single" w:color="000000" w:sz="4" w:space="0"/>
            </w:tcBorders>
            <w:vAlign w:val="center"/>
          </w:tcPr>
          <w:p w14:paraId="27C46D83">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规格型号</w:t>
            </w:r>
          </w:p>
        </w:tc>
        <w:tc>
          <w:tcPr>
            <w:tcW w:w="944" w:type="dxa"/>
            <w:tcBorders>
              <w:top w:val="single" w:color="000000" w:sz="4" w:space="0"/>
              <w:left w:val="nil"/>
              <w:bottom w:val="single" w:color="000000" w:sz="4" w:space="0"/>
              <w:right w:val="single" w:color="000000" w:sz="4" w:space="0"/>
            </w:tcBorders>
            <w:vAlign w:val="center"/>
          </w:tcPr>
          <w:p w14:paraId="1C9DB951">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数量</w:t>
            </w:r>
          </w:p>
        </w:tc>
        <w:tc>
          <w:tcPr>
            <w:tcW w:w="736" w:type="dxa"/>
            <w:tcBorders>
              <w:top w:val="single" w:color="000000" w:sz="4" w:space="0"/>
              <w:left w:val="nil"/>
              <w:bottom w:val="single" w:color="000000" w:sz="4" w:space="0"/>
              <w:right w:val="single" w:color="000000" w:sz="4" w:space="0"/>
            </w:tcBorders>
            <w:vAlign w:val="center"/>
          </w:tcPr>
          <w:p w14:paraId="3D7AA24C">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单位</w:t>
            </w:r>
          </w:p>
        </w:tc>
        <w:tc>
          <w:tcPr>
            <w:tcW w:w="1574" w:type="dxa"/>
            <w:tcBorders>
              <w:top w:val="single" w:color="000000" w:sz="4" w:space="0"/>
              <w:left w:val="nil"/>
              <w:bottom w:val="single" w:color="000000" w:sz="4" w:space="0"/>
              <w:right w:val="single" w:color="000000" w:sz="4" w:space="0"/>
            </w:tcBorders>
            <w:vAlign w:val="center"/>
          </w:tcPr>
          <w:p w14:paraId="5B2AB67A">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单价</w:t>
            </w:r>
          </w:p>
        </w:tc>
        <w:tc>
          <w:tcPr>
            <w:tcW w:w="1050" w:type="dxa"/>
            <w:tcBorders>
              <w:top w:val="single" w:color="000000" w:sz="4" w:space="0"/>
              <w:left w:val="nil"/>
              <w:bottom w:val="single" w:color="000000" w:sz="4" w:space="0"/>
              <w:right w:val="single" w:color="000000" w:sz="4" w:space="0"/>
            </w:tcBorders>
            <w:vAlign w:val="center"/>
          </w:tcPr>
          <w:p w14:paraId="72AF2893">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合价</w:t>
            </w:r>
          </w:p>
        </w:tc>
        <w:tc>
          <w:tcPr>
            <w:tcW w:w="1508" w:type="dxa"/>
            <w:tcBorders>
              <w:top w:val="single" w:color="000000" w:sz="4" w:space="0"/>
              <w:left w:val="nil"/>
              <w:bottom w:val="single" w:color="000000" w:sz="4" w:space="0"/>
              <w:right w:val="single" w:color="000000" w:sz="4" w:space="0"/>
            </w:tcBorders>
            <w:vAlign w:val="center"/>
          </w:tcPr>
          <w:p w14:paraId="6F12300D">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制造商</w:t>
            </w:r>
          </w:p>
        </w:tc>
        <w:tc>
          <w:tcPr>
            <w:tcW w:w="992" w:type="dxa"/>
            <w:tcBorders>
              <w:top w:val="single" w:color="000000" w:sz="4" w:space="0"/>
              <w:left w:val="nil"/>
              <w:bottom w:val="single" w:color="000000" w:sz="4" w:space="0"/>
              <w:right w:val="single" w:color="000000" w:sz="4" w:space="0"/>
            </w:tcBorders>
            <w:vAlign w:val="center"/>
          </w:tcPr>
          <w:p w14:paraId="7A3F2AE7">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品牌</w:t>
            </w:r>
          </w:p>
        </w:tc>
        <w:tc>
          <w:tcPr>
            <w:tcW w:w="1134" w:type="dxa"/>
            <w:tcBorders>
              <w:top w:val="single" w:color="000000" w:sz="4" w:space="0"/>
              <w:left w:val="nil"/>
              <w:bottom w:val="single" w:color="000000" w:sz="4" w:space="0"/>
              <w:right w:val="single" w:color="000000" w:sz="4" w:space="0"/>
            </w:tcBorders>
            <w:vAlign w:val="center"/>
          </w:tcPr>
          <w:p w14:paraId="4D6292D2">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产地</w:t>
            </w:r>
          </w:p>
        </w:tc>
        <w:tc>
          <w:tcPr>
            <w:tcW w:w="1701" w:type="dxa"/>
            <w:tcBorders>
              <w:top w:val="single" w:color="000000" w:sz="4" w:space="0"/>
              <w:left w:val="nil"/>
              <w:bottom w:val="single" w:color="000000" w:sz="4" w:space="0"/>
              <w:right w:val="single" w:color="000000" w:sz="4" w:space="0"/>
            </w:tcBorders>
            <w:vAlign w:val="center"/>
          </w:tcPr>
          <w:p w14:paraId="15EB7D66">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发货地点</w:t>
            </w:r>
          </w:p>
        </w:tc>
        <w:tc>
          <w:tcPr>
            <w:tcW w:w="1701" w:type="dxa"/>
            <w:tcBorders>
              <w:top w:val="single" w:color="000000" w:sz="4" w:space="0"/>
              <w:left w:val="nil"/>
              <w:bottom w:val="single" w:color="000000" w:sz="4" w:space="0"/>
              <w:right w:val="single" w:color="000000" w:sz="4" w:space="0"/>
            </w:tcBorders>
            <w:vAlign w:val="center"/>
          </w:tcPr>
          <w:p w14:paraId="5924915D">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备注</w:t>
            </w:r>
          </w:p>
        </w:tc>
      </w:tr>
      <w:tr w14:paraId="3BF5D52D">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65DE9332">
            <w:pPr>
              <w:widowControl/>
              <w:adjustRightInd w:val="0"/>
              <w:snapToGrid w:val="0"/>
              <w:jc w:val="center"/>
              <w:rPr>
                <w:rFonts w:ascii="宋体" w:hAnsi="宋体" w:cs="宋体"/>
                <w:kern w:val="0"/>
                <w:szCs w:val="21"/>
              </w:rPr>
            </w:pPr>
          </w:p>
        </w:tc>
        <w:tc>
          <w:tcPr>
            <w:tcW w:w="1156" w:type="dxa"/>
            <w:tcBorders>
              <w:top w:val="single" w:color="000000" w:sz="4" w:space="0"/>
              <w:left w:val="nil"/>
              <w:bottom w:val="single" w:color="000000" w:sz="4" w:space="0"/>
              <w:right w:val="single" w:color="000000" w:sz="4" w:space="0"/>
            </w:tcBorders>
            <w:vAlign w:val="center"/>
          </w:tcPr>
          <w:p w14:paraId="4473C809">
            <w:pPr>
              <w:widowControl/>
              <w:adjustRightInd w:val="0"/>
              <w:snapToGrid w:val="0"/>
              <w:jc w:val="center"/>
              <w:rPr>
                <w:rFonts w:ascii="宋体" w:hAnsi="宋体" w:cs="宋体"/>
                <w:kern w:val="0"/>
                <w:szCs w:val="21"/>
              </w:rPr>
            </w:pPr>
          </w:p>
        </w:tc>
        <w:tc>
          <w:tcPr>
            <w:tcW w:w="1124" w:type="dxa"/>
            <w:tcBorders>
              <w:top w:val="single" w:color="000000" w:sz="4" w:space="0"/>
              <w:left w:val="nil"/>
              <w:bottom w:val="single" w:color="000000" w:sz="4" w:space="0"/>
              <w:right w:val="single" w:color="000000" w:sz="4" w:space="0"/>
            </w:tcBorders>
            <w:vAlign w:val="center"/>
          </w:tcPr>
          <w:p w14:paraId="78FA56AD">
            <w:pPr>
              <w:widowControl/>
              <w:adjustRightInd w:val="0"/>
              <w:snapToGrid w:val="0"/>
              <w:jc w:val="center"/>
              <w:rPr>
                <w:rFonts w:ascii="宋体" w:hAnsi="宋体" w:cs="宋体"/>
                <w:kern w:val="0"/>
                <w:szCs w:val="21"/>
              </w:rPr>
            </w:pPr>
          </w:p>
        </w:tc>
        <w:tc>
          <w:tcPr>
            <w:tcW w:w="944" w:type="dxa"/>
            <w:tcBorders>
              <w:top w:val="single" w:color="000000" w:sz="4" w:space="0"/>
              <w:left w:val="nil"/>
              <w:bottom w:val="single" w:color="000000" w:sz="4" w:space="0"/>
              <w:right w:val="single" w:color="000000" w:sz="4" w:space="0"/>
            </w:tcBorders>
            <w:vAlign w:val="center"/>
          </w:tcPr>
          <w:p w14:paraId="1A166787">
            <w:pPr>
              <w:widowControl/>
              <w:adjustRightInd w:val="0"/>
              <w:snapToGrid w:val="0"/>
              <w:jc w:val="center"/>
              <w:rPr>
                <w:rFonts w:ascii="宋体" w:hAnsi="宋体" w:cs="宋体"/>
                <w:kern w:val="0"/>
                <w:szCs w:val="21"/>
              </w:rPr>
            </w:pPr>
          </w:p>
        </w:tc>
        <w:tc>
          <w:tcPr>
            <w:tcW w:w="736" w:type="dxa"/>
            <w:tcBorders>
              <w:top w:val="single" w:color="000000" w:sz="4" w:space="0"/>
              <w:left w:val="nil"/>
              <w:bottom w:val="single" w:color="000000" w:sz="4" w:space="0"/>
              <w:right w:val="single" w:color="000000" w:sz="4" w:space="0"/>
            </w:tcBorders>
            <w:vAlign w:val="center"/>
          </w:tcPr>
          <w:p w14:paraId="71FBE33E">
            <w:pPr>
              <w:widowControl/>
              <w:adjustRightInd w:val="0"/>
              <w:snapToGrid w:val="0"/>
              <w:jc w:val="center"/>
              <w:rPr>
                <w:rFonts w:ascii="宋体" w:hAnsi="宋体" w:cs="宋体"/>
                <w:kern w:val="0"/>
                <w:szCs w:val="21"/>
              </w:rPr>
            </w:pPr>
          </w:p>
        </w:tc>
        <w:tc>
          <w:tcPr>
            <w:tcW w:w="1574" w:type="dxa"/>
            <w:tcBorders>
              <w:top w:val="single" w:color="000000" w:sz="4" w:space="0"/>
              <w:left w:val="nil"/>
              <w:bottom w:val="single" w:color="000000" w:sz="4" w:space="0"/>
              <w:right w:val="single" w:color="000000" w:sz="4" w:space="0"/>
            </w:tcBorders>
            <w:vAlign w:val="center"/>
          </w:tcPr>
          <w:p w14:paraId="1C7F7D9D">
            <w:pPr>
              <w:widowControl/>
              <w:adjustRightInd w:val="0"/>
              <w:snapToGrid w:val="0"/>
              <w:jc w:val="center"/>
              <w:rPr>
                <w:rFonts w:ascii="宋体" w:hAnsi="宋体" w:cs="宋体"/>
                <w:kern w:val="0"/>
                <w:szCs w:val="21"/>
              </w:rPr>
            </w:pPr>
          </w:p>
        </w:tc>
        <w:tc>
          <w:tcPr>
            <w:tcW w:w="1050" w:type="dxa"/>
            <w:tcBorders>
              <w:top w:val="single" w:color="000000" w:sz="4" w:space="0"/>
              <w:left w:val="nil"/>
              <w:bottom w:val="single" w:color="000000" w:sz="4" w:space="0"/>
              <w:right w:val="single" w:color="000000" w:sz="4" w:space="0"/>
            </w:tcBorders>
            <w:vAlign w:val="center"/>
          </w:tcPr>
          <w:p w14:paraId="714895DA">
            <w:pPr>
              <w:widowControl/>
              <w:adjustRightInd w:val="0"/>
              <w:snapToGrid w:val="0"/>
              <w:jc w:val="center"/>
              <w:rPr>
                <w:rFonts w:ascii="宋体" w:hAnsi="宋体" w:cs="宋体"/>
                <w:kern w:val="0"/>
                <w:szCs w:val="21"/>
              </w:rPr>
            </w:pPr>
          </w:p>
        </w:tc>
        <w:tc>
          <w:tcPr>
            <w:tcW w:w="1508" w:type="dxa"/>
            <w:tcBorders>
              <w:top w:val="single" w:color="000000" w:sz="4" w:space="0"/>
              <w:left w:val="nil"/>
              <w:bottom w:val="single" w:color="000000" w:sz="4" w:space="0"/>
              <w:right w:val="single" w:color="000000" w:sz="4" w:space="0"/>
            </w:tcBorders>
            <w:vAlign w:val="center"/>
          </w:tcPr>
          <w:p w14:paraId="375131C1">
            <w:pPr>
              <w:widowControl/>
              <w:adjustRightInd w:val="0"/>
              <w:snapToGrid w:val="0"/>
              <w:jc w:val="center"/>
              <w:rPr>
                <w:rFonts w:ascii="宋体" w:hAnsi="宋体" w:cs="宋体"/>
                <w:kern w:val="0"/>
                <w:szCs w:val="21"/>
              </w:rPr>
            </w:pPr>
          </w:p>
        </w:tc>
        <w:tc>
          <w:tcPr>
            <w:tcW w:w="992" w:type="dxa"/>
            <w:tcBorders>
              <w:top w:val="single" w:color="000000" w:sz="4" w:space="0"/>
              <w:left w:val="nil"/>
              <w:bottom w:val="single" w:color="000000" w:sz="4" w:space="0"/>
              <w:right w:val="single" w:color="000000" w:sz="4" w:space="0"/>
            </w:tcBorders>
            <w:vAlign w:val="center"/>
          </w:tcPr>
          <w:p w14:paraId="35A18A38">
            <w:pPr>
              <w:widowControl/>
              <w:adjustRightInd w:val="0"/>
              <w:snapToGrid w:val="0"/>
              <w:jc w:val="center"/>
              <w:rPr>
                <w:rFonts w:ascii="宋体" w:hAnsi="宋体" w:cs="宋体"/>
                <w:kern w:val="0"/>
                <w:szCs w:val="21"/>
              </w:rPr>
            </w:pPr>
          </w:p>
        </w:tc>
        <w:tc>
          <w:tcPr>
            <w:tcW w:w="1134" w:type="dxa"/>
            <w:tcBorders>
              <w:top w:val="single" w:color="000000" w:sz="4" w:space="0"/>
              <w:left w:val="nil"/>
              <w:bottom w:val="single" w:color="000000" w:sz="4" w:space="0"/>
              <w:right w:val="single" w:color="000000" w:sz="4" w:space="0"/>
            </w:tcBorders>
            <w:vAlign w:val="center"/>
          </w:tcPr>
          <w:p w14:paraId="3DFE7819">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65A6D742">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25CF4C61">
            <w:pPr>
              <w:widowControl/>
              <w:adjustRightInd w:val="0"/>
              <w:snapToGrid w:val="0"/>
              <w:jc w:val="center"/>
              <w:rPr>
                <w:rFonts w:ascii="宋体" w:hAnsi="宋体" w:cs="宋体"/>
                <w:kern w:val="0"/>
                <w:szCs w:val="21"/>
              </w:rPr>
            </w:pPr>
          </w:p>
        </w:tc>
      </w:tr>
      <w:tr w14:paraId="7DBCAC44">
        <w:tblPrEx>
          <w:tblCellMar>
            <w:top w:w="0" w:type="dxa"/>
            <w:left w:w="108" w:type="dxa"/>
            <w:bottom w:w="0" w:type="dxa"/>
            <w:right w:w="108" w:type="dxa"/>
          </w:tblCellMar>
        </w:tblPrEx>
        <w:trPr>
          <w:trHeight w:val="50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275643B1">
            <w:pPr>
              <w:widowControl/>
              <w:adjustRightInd w:val="0"/>
              <w:snapToGrid w:val="0"/>
              <w:jc w:val="center"/>
              <w:rPr>
                <w:rFonts w:ascii="宋体" w:hAnsi="宋体" w:cs="宋体"/>
                <w:kern w:val="0"/>
                <w:szCs w:val="21"/>
              </w:rPr>
            </w:pPr>
          </w:p>
        </w:tc>
        <w:tc>
          <w:tcPr>
            <w:tcW w:w="1156" w:type="dxa"/>
            <w:tcBorders>
              <w:top w:val="single" w:color="000000" w:sz="4" w:space="0"/>
              <w:left w:val="nil"/>
              <w:bottom w:val="single" w:color="000000" w:sz="4" w:space="0"/>
              <w:right w:val="single" w:color="000000" w:sz="4" w:space="0"/>
            </w:tcBorders>
            <w:vAlign w:val="center"/>
          </w:tcPr>
          <w:p w14:paraId="25434340">
            <w:pPr>
              <w:widowControl/>
              <w:adjustRightInd w:val="0"/>
              <w:snapToGrid w:val="0"/>
              <w:jc w:val="center"/>
              <w:rPr>
                <w:rFonts w:ascii="宋体" w:hAnsi="宋体" w:cs="宋体"/>
                <w:kern w:val="0"/>
                <w:szCs w:val="21"/>
              </w:rPr>
            </w:pPr>
          </w:p>
        </w:tc>
        <w:tc>
          <w:tcPr>
            <w:tcW w:w="1124" w:type="dxa"/>
            <w:tcBorders>
              <w:top w:val="single" w:color="000000" w:sz="4" w:space="0"/>
              <w:left w:val="nil"/>
              <w:bottom w:val="single" w:color="000000" w:sz="4" w:space="0"/>
              <w:right w:val="single" w:color="000000" w:sz="4" w:space="0"/>
            </w:tcBorders>
            <w:vAlign w:val="center"/>
          </w:tcPr>
          <w:p w14:paraId="11381532">
            <w:pPr>
              <w:widowControl/>
              <w:adjustRightInd w:val="0"/>
              <w:snapToGrid w:val="0"/>
              <w:jc w:val="center"/>
              <w:rPr>
                <w:rFonts w:ascii="宋体" w:hAnsi="宋体" w:cs="宋体"/>
                <w:kern w:val="0"/>
                <w:szCs w:val="21"/>
              </w:rPr>
            </w:pPr>
          </w:p>
        </w:tc>
        <w:tc>
          <w:tcPr>
            <w:tcW w:w="944" w:type="dxa"/>
            <w:tcBorders>
              <w:top w:val="single" w:color="000000" w:sz="4" w:space="0"/>
              <w:left w:val="nil"/>
              <w:bottom w:val="single" w:color="000000" w:sz="4" w:space="0"/>
              <w:right w:val="single" w:color="000000" w:sz="4" w:space="0"/>
            </w:tcBorders>
            <w:vAlign w:val="center"/>
          </w:tcPr>
          <w:p w14:paraId="1E8001C3">
            <w:pPr>
              <w:widowControl/>
              <w:adjustRightInd w:val="0"/>
              <w:snapToGrid w:val="0"/>
              <w:jc w:val="center"/>
              <w:rPr>
                <w:rFonts w:ascii="宋体" w:hAnsi="宋体" w:cs="宋体"/>
                <w:kern w:val="0"/>
                <w:szCs w:val="21"/>
              </w:rPr>
            </w:pPr>
          </w:p>
        </w:tc>
        <w:tc>
          <w:tcPr>
            <w:tcW w:w="736" w:type="dxa"/>
            <w:tcBorders>
              <w:top w:val="single" w:color="000000" w:sz="4" w:space="0"/>
              <w:left w:val="nil"/>
              <w:bottom w:val="single" w:color="000000" w:sz="4" w:space="0"/>
              <w:right w:val="single" w:color="000000" w:sz="4" w:space="0"/>
            </w:tcBorders>
            <w:vAlign w:val="center"/>
          </w:tcPr>
          <w:p w14:paraId="0EA14434">
            <w:pPr>
              <w:widowControl/>
              <w:adjustRightInd w:val="0"/>
              <w:snapToGrid w:val="0"/>
              <w:jc w:val="center"/>
              <w:rPr>
                <w:rFonts w:ascii="宋体" w:hAnsi="宋体" w:cs="宋体"/>
                <w:kern w:val="0"/>
                <w:szCs w:val="21"/>
              </w:rPr>
            </w:pPr>
          </w:p>
        </w:tc>
        <w:tc>
          <w:tcPr>
            <w:tcW w:w="1574" w:type="dxa"/>
            <w:tcBorders>
              <w:top w:val="single" w:color="000000" w:sz="4" w:space="0"/>
              <w:left w:val="nil"/>
              <w:bottom w:val="single" w:color="000000" w:sz="4" w:space="0"/>
              <w:right w:val="single" w:color="000000" w:sz="4" w:space="0"/>
            </w:tcBorders>
            <w:vAlign w:val="center"/>
          </w:tcPr>
          <w:p w14:paraId="3C36BAF1">
            <w:pPr>
              <w:widowControl/>
              <w:adjustRightInd w:val="0"/>
              <w:snapToGrid w:val="0"/>
              <w:jc w:val="center"/>
              <w:rPr>
                <w:rFonts w:ascii="宋体" w:hAnsi="宋体" w:cs="宋体"/>
                <w:kern w:val="0"/>
                <w:szCs w:val="21"/>
              </w:rPr>
            </w:pPr>
          </w:p>
        </w:tc>
        <w:tc>
          <w:tcPr>
            <w:tcW w:w="1050" w:type="dxa"/>
            <w:tcBorders>
              <w:top w:val="single" w:color="000000" w:sz="4" w:space="0"/>
              <w:left w:val="nil"/>
              <w:bottom w:val="single" w:color="000000" w:sz="4" w:space="0"/>
              <w:right w:val="single" w:color="000000" w:sz="4" w:space="0"/>
            </w:tcBorders>
            <w:vAlign w:val="center"/>
          </w:tcPr>
          <w:p w14:paraId="322F2E92">
            <w:pPr>
              <w:widowControl/>
              <w:adjustRightInd w:val="0"/>
              <w:snapToGrid w:val="0"/>
              <w:jc w:val="center"/>
              <w:rPr>
                <w:rFonts w:ascii="宋体" w:hAnsi="宋体" w:cs="宋体"/>
                <w:kern w:val="0"/>
                <w:szCs w:val="21"/>
              </w:rPr>
            </w:pPr>
          </w:p>
        </w:tc>
        <w:tc>
          <w:tcPr>
            <w:tcW w:w="1508" w:type="dxa"/>
            <w:tcBorders>
              <w:top w:val="single" w:color="000000" w:sz="4" w:space="0"/>
              <w:left w:val="nil"/>
              <w:bottom w:val="single" w:color="000000" w:sz="4" w:space="0"/>
              <w:right w:val="single" w:color="000000" w:sz="4" w:space="0"/>
            </w:tcBorders>
            <w:vAlign w:val="center"/>
          </w:tcPr>
          <w:p w14:paraId="52926A96">
            <w:pPr>
              <w:widowControl/>
              <w:adjustRightInd w:val="0"/>
              <w:snapToGrid w:val="0"/>
              <w:jc w:val="center"/>
              <w:rPr>
                <w:rFonts w:ascii="宋体" w:hAnsi="宋体" w:cs="宋体"/>
                <w:kern w:val="0"/>
                <w:szCs w:val="21"/>
              </w:rPr>
            </w:pPr>
          </w:p>
        </w:tc>
        <w:tc>
          <w:tcPr>
            <w:tcW w:w="992" w:type="dxa"/>
            <w:tcBorders>
              <w:top w:val="single" w:color="000000" w:sz="4" w:space="0"/>
              <w:left w:val="nil"/>
              <w:bottom w:val="single" w:color="000000" w:sz="4" w:space="0"/>
              <w:right w:val="single" w:color="000000" w:sz="4" w:space="0"/>
            </w:tcBorders>
            <w:vAlign w:val="center"/>
          </w:tcPr>
          <w:p w14:paraId="0F7F85BB">
            <w:pPr>
              <w:widowControl/>
              <w:adjustRightInd w:val="0"/>
              <w:snapToGrid w:val="0"/>
              <w:jc w:val="center"/>
              <w:rPr>
                <w:rFonts w:ascii="宋体" w:hAnsi="宋体" w:cs="宋体"/>
                <w:kern w:val="0"/>
                <w:szCs w:val="21"/>
              </w:rPr>
            </w:pPr>
          </w:p>
        </w:tc>
        <w:tc>
          <w:tcPr>
            <w:tcW w:w="1134" w:type="dxa"/>
            <w:tcBorders>
              <w:top w:val="single" w:color="000000" w:sz="4" w:space="0"/>
              <w:left w:val="nil"/>
              <w:bottom w:val="single" w:color="000000" w:sz="4" w:space="0"/>
              <w:right w:val="single" w:color="000000" w:sz="4" w:space="0"/>
            </w:tcBorders>
            <w:vAlign w:val="center"/>
          </w:tcPr>
          <w:p w14:paraId="33F3D64D">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201C315B">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6B9434D1">
            <w:pPr>
              <w:widowControl/>
              <w:adjustRightInd w:val="0"/>
              <w:snapToGrid w:val="0"/>
              <w:jc w:val="center"/>
              <w:rPr>
                <w:rFonts w:ascii="宋体" w:hAnsi="宋体" w:cs="宋体"/>
                <w:kern w:val="0"/>
                <w:szCs w:val="21"/>
              </w:rPr>
            </w:pPr>
          </w:p>
        </w:tc>
      </w:tr>
      <w:tr w14:paraId="737ED8D6">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19409656">
            <w:pPr>
              <w:widowControl/>
              <w:adjustRightInd w:val="0"/>
              <w:snapToGrid w:val="0"/>
              <w:jc w:val="center"/>
              <w:rPr>
                <w:rFonts w:ascii="宋体" w:hAnsi="宋体" w:cs="宋体"/>
                <w:kern w:val="0"/>
                <w:szCs w:val="21"/>
              </w:rPr>
            </w:pPr>
          </w:p>
        </w:tc>
        <w:tc>
          <w:tcPr>
            <w:tcW w:w="1156" w:type="dxa"/>
            <w:tcBorders>
              <w:top w:val="single" w:color="000000" w:sz="4" w:space="0"/>
              <w:left w:val="nil"/>
              <w:bottom w:val="single" w:color="000000" w:sz="4" w:space="0"/>
              <w:right w:val="single" w:color="000000" w:sz="4" w:space="0"/>
            </w:tcBorders>
            <w:vAlign w:val="center"/>
          </w:tcPr>
          <w:p w14:paraId="78472862">
            <w:pPr>
              <w:widowControl/>
              <w:adjustRightInd w:val="0"/>
              <w:snapToGrid w:val="0"/>
              <w:jc w:val="center"/>
              <w:rPr>
                <w:rFonts w:ascii="宋体" w:hAnsi="宋体" w:cs="宋体"/>
                <w:kern w:val="0"/>
                <w:szCs w:val="21"/>
              </w:rPr>
            </w:pPr>
          </w:p>
        </w:tc>
        <w:tc>
          <w:tcPr>
            <w:tcW w:w="1124" w:type="dxa"/>
            <w:tcBorders>
              <w:top w:val="single" w:color="000000" w:sz="4" w:space="0"/>
              <w:left w:val="nil"/>
              <w:bottom w:val="single" w:color="000000" w:sz="4" w:space="0"/>
              <w:right w:val="single" w:color="000000" w:sz="4" w:space="0"/>
            </w:tcBorders>
            <w:vAlign w:val="center"/>
          </w:tcPr>
          <w:p w14:paraId="3B244DAF">
            <w:pPr>
              <w:widowControl/>
              <w:adjustRightInd w:val="0"/>
              <w:snapToGrid w:val="0"/>
              <w:jc w:val="center"/>
              <w:rPr>
                <w:rFonts w:ascii="宋体" w:hAnsi="宋体" w:cs="宋体"/>
                <w:kern w:val="0"/>
                <w:szCs w:val="21"/>
              </w:rPr>
            </w:pPr>
          </w:p>
        </w:tc>
        <w:tc>
          <w:tcPr>
            <w:tcW w:w="944" w:type="dxa"/>
            <w:tcBorders>
              <w:top w:val="single" w:color="000000" w:sz="4" w:space="0"/>
              <w:left w:val="nil"/>
              <w:bottom w:val="single" w:color="000000" w:sz="4" w:space="0"/>
              <w:right w:val="single" w:color="000000" w:sz="4" w:space="0"/>
            </w:tcBorders>
            <w:vAlign w:val="center"/>
          </w:tcPr>
          <w:p w14:paraId="46C201AE">
            <w:pPr>
              <w:widowControl/>
              <w:adjustRightInd w:val="0"/>
              <w:snapToGrid w:val="0"/>
              <w:jc w:val="center"/>
              <w:rPr>
                <w:rFonts w:ascii="宋体" w:hAnsi="宋体" w:cs="宋体"/>
                <w:kern w:val="0"/>
                <w:szCs w:val="21"/>
              </w:rPr>
            </w:pPr>
          </w:p>
        </w:tc>
        <w:tc>
          <w:tcPr>
            <w:tcW w:w="736" w:type="dxa"/>
            <w:tcBorders>
              <w:top w:val="single" w:color="000000" w:sz="4" w:space="0"/>
              <w:left w:val="nil"/>
              <w:bottom w:val="single" w:color="000000" w:sz="4" w:space="0"/>
              <w:right w:val="single" w:color="000000" w:sz="4" w:space="0"/>
            </w:tcBorders>
            <w:vAlign w:val="center"/>
          </w:tcPr>
          <w:p w14:paraId="5B9253C5">
            <w:pPr>
              <w:widowControl/>
              <w:adjustRightInd w:val="0"/>
              <w:snapToGrid w:val="0"/>
              <w:jc w:val="center"/>
              <w:rPr>
                <w:rFonts w:ascii="宋体" w:hAnsi="宋体" w:cs="宋体"/>
                <w:kern w:val="0"/>
                <w:szCs w:val="21"/>
              </w:rPr>
            </w:pPr>
          </w:p>
        </w:tc>
        <w:tc>
          <w:tcPr>
            <w:tcW w:w="1574" w:type="dxa"/>
            <w:tcBorders>
              <w:top w:val="single" w:color="000000" w:sz="4" w:space="0"/>
              <w:left w:val="nil"/>
              <w:bottom w:val="single" w:color="000000" w:sz="4" w:space="0"/>
              <w:right w:val="single" w:color="000000" w:sz="4" w:space="0"/>
            </w:tcBorders>
            <w:vAlign w:val="center"/>
          </w:tcPr>
          <w:p w14:paraId="38B71BCC">
            <w:pPr>
              <w:widowControl/>
              <w:adjustRightInd w:val="0"/>
              <w:snapToGrid w:val="0"/>
              <w:jc w:val="center"/>
              <w:rPr>
                <w:rFonts w:ascii="宋体" w:hAnsi="宋体" w:cs="宋体"/>
                <w:kern w:val="0"/>
                <w:szCs w:val="21"/>
              </w:rPr>
            </w:pPr>
          </w:p>
        </w:tc>
        <w:tc>
          <w:tcPr>
            <w:tcW w:w="1050" w:type="dxa"/>
            <w:tcBorders>
              <w:top w:val="single" w:color="000000" w:sz="4" w:space="0"/>
              <w:left w:val="nil"/>
              <w:bottom w:val="single" w:color="000000" w:sz="4" w:space="0"/>
              <w:right w:val="single" w:color="000000" w:sz="4" w:space="0"/>
            </w:tcBorders>
            <w:vAlign w:val="center"/>
          </w:tcPr>
          <w:p w14:paraId="05DC362A">
            <w:pPr>
              <w:widowControl/>
              <w:adjustRightInd w:val="0"/>
              <w:snapToGrid w:val="0"/>
              <w:jc w:val="center"/>
              <w:rPr>
                <w:rFonts w:ascii="宋体" w:hAnsi="宋体" w:cs="宋体"/>
                <w:kern w:val="0"/>
                <w:szCs w:val="21"/>
              </w:rPr>
            </w:pPr>
          </w:p>
        </w:tc>
        <w:tc>
          <w:tcPr>
            <w:tcW w:w="1508" w:type="dxa"/>
            <w:tcBorders>
              <w:top w:val="single" w:color="000000" w:sz="4" w:space="0"/>
              <w:left w:val="nil"/>
              <w:bottom w:val="single" w:color="000000" w:sz="4" w:space="0"/>
              <w:right w:val="single" w:color="000000" w:sz="4" w:space="0"/>
            </w:tcBorders>
            <w:vAlign w:val="center"/>
          </w:tcPr>
          <w:p w14:paraId="306BE3C1">
            <w:pPr>
              <w:widowControl/>
              <w:adjustRightInd w:val="0"/>
              <w:snapToGrid w:val="0"/>
              <w:jc w:val="center"/>
              <w:rPr>
                <w:rFonts w:ascii="宋体" w:hAnsi="宋体" w:cs="宋体"/>
                <w:kern w:val="0"/>
                <w:szCs w:val="21"/>
              </w:rPr>
            </w:pPr>
          </w:p>
        </w:tc>
        <w:tc>
          <w:tcPr>
            <w:tcW w:w="992" w:type="dxa"/>
            <w:tcBorders>
              <w:top w:val="single" w:color="000000" w:sz="4" w:space="0"/>
              <w:left w:val="nil"/>
              <w:bottom w:val="single" w:color="000000" w:sz="4" w:space="0"/>
              <w:right w:val="single" w:color="000000" w:sz="4" w:space="0"/>
            </w:tcBorders>
            <w:vAlign w:val="center"/>
          </w:tcPr>
          <w:p w14:paraId="5F3F885F">
            <w:pPr>
              <w:widowControl/>
              <w:adjustRightInd w:val="0"/>
              <w:snapToGrid w:val="0"/>
              <w:jc w:val="center"/>
              <w:rPr>
                <w:rFonts w:ascii="宋体" w:hAnsi="宋体" w:cs="宋体"/>
                <w:kern w:val="0"/>
                <w:szCs w:val="21"/>
              </w:rPr>
            </w:pPr>
          </w:p>
        </w:tc>
        <w:tc>
          <w:tcPr>
            <w:tcW w:w="1134" w:type="dxa"/>
            <w:tcBorders>
              <w:top w:val="single" w:color="000000" w:sz="4" w:space="0"/>
              <w:left w:val="nil"/>
              <w:bottom w:val="single" w:color="000000" w:sz="4" w:space="0"/>
              <w:right w:val="single" w:color="000000" w:sz="4" w:space="0"/>
            </w:tcBorders>
            <w:vAlign w:val="center"/>
          </w:tcPr>
          <w:p w14:paraId="603202A0">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66575CEA">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7F9FD44B">
            <w:pPr>
              <w:widowControl/>
              <w:adjustRightInd w:val="0"/>
              <w:snapToGrid w:val="0"/>
              <w:jc w:val="center"/>
              <w:rPr>
                <w:rFonts w:ascii="宋体" w:hAnsi="宋体" w:cs="宋体"/>
                <w:kern w:val="0"/>
                <w:szCs w:val="21"/>
              </w:rPr>
            </w:pPr>
          </w:p>
        </w:tc>
      </w:tr>
      <w:tr w14:paraId="72C8E045">
        <w:tblPrEx>
          <w:tblCellMar>
            <w:top w:w="0" w:type="dxa"/>
            <w:left w:w="108" w:type="dxa"/>
            <w:bottom w:w="0" w:type="dxa"/>
            <w:right w:w="108" w:type="dxa"/>
          </w:tblCellMar>
        </w:tblPrEx>
        <w:trPr>
          <w:trHeight w:val="505" w:hRule="atLeast"/>
        </w:trPr>
        <w:tc>
          <w:tcPr>
            <w:tcW w:w="6272" w:type="dxa"/>
            <w:gridSpan w:val="6"/>
            <w:tcBorders>
              <w:top w:val="single" w:color="000000" w:sz="4" w:space="0"/>
              <w:left w:val="single" w:color="000000" w:sz="4" w:space="0"/>
              <w:bottom w:val="single" w:color="000000" w:sz="4" w:space="0"/>
              <w:right w:val="single" w:color="000000" w:sz="4" w:space="0"/>
            </w:tcBorders>
            <w:vAlign w:val="center"/>
          </w:tcPr>
          <w:p w14:paraId="71CAE68D">
            <w:pPr>
              <w:widowControl/>
              <w:adjustRightInd w:val="0"/>
              <w:snapToGrid w:val="0"/>
              <w:jc w:val="center"/>
              <w:rPr>
                <w:rFonts w:ascii="宋体" w:hAnsi="宋体" w:cs="宋体"/>
                <w:kern w:val="0"/>
                <w:szCs w:val="21"/>
              </w:rPr>
            </w:pPr>
            <w:r>
              <w:rPr>
                <w:rFonts w:hint="eastAsia" w:ascii="宋体" w:hAnsi="宋体" w:cs="宋体"/>
                <w:kern w:val="0"/>
                <w:szCs w:val="21"/>
              </w:rPr>
              <w:t>合计（</w:t>
            </w:r>
            <w:r>
              <w:rPr>
                <w:rFonts w:hint="eastAsia" w:ascii="宋体" w:hAnsi="宋体" w:cs="宋体"/>
                <w:b/>
                <w:kern w:val="0"/>
                <w:szCs w:val="21"/>
              </w:rPr>
              <w:t>此表价格含在响应报价总价内</w:t>
            </w:r>
            <w:r>
              <w:rPr>
                <w:rFonts w:hint="eastAsia" w:ascii="宋体" w:hAnsi="宋体" w:cs="宋体"/>
                <w:kern w:val="0"/>
                <w:szCs w:val="21"/>
              </w:rPr>
              <w:t>）</w:t>
            </w:r>
          </w:p>
        </w:tc>
        <w:tc>
          <w:tcPr>
            <w:tcW w:w="1050" w:type="dxa"/>
            <w:tcBorders>
              <w:top w:val="single" w:color="000000" w:sz="4" w:space="0"/>
              <w:left w:val="nil"/>
              <w:bottom w:val="single" w:color="000000" w:sz="4" w:space="0"/>
              <w:right w:val="single" w:color="000000" w:sz="4" w:space="0"/>
            </w:tcBorders>
            <w:vAlign w:val="center"/>
          </w:tcPr>
          <w:p w14:paraId="6E896325">
            <w:pPr>
              <w:widowControl/>
              <w:adjustRightInd w:val="0"/>
              <w:snapToGrid w:val="0"/>
              <w:jc w:val="center"/>
              <w:rPr>
                <w:rFonts w:ascii="宋体" w:hAnsi="宋体" w:cs="宋体"/>
                <w:kern w:val="0"/>
                <w:szCs w:val="21"/>
              </w:rPr>
            </w:pPr>
          </w:p>
        </w:tc>
        <w:tc>
          <w:tcPr>
            <w:tcW w:w="7036" w:type="dxa"/>
            <w:gridSpan w:val="5"/>
            <w:tcBorders>
              <w:top w:val="single" w:color="000000" w:sz="4" w:space="0"/>
              <w:left w:val="nil"/>
              <w:bottom w:val="single" w:color="000000" w:sz="4" w:space="0"/>
              <w:right w:val="single" w:color="000000" w:sz="4" w:space="0"/>
            </w:tcBorders>
            <w:vAlign w:val="center"/>
          </w:tcPr>
          <w:p w14:paraId="5D10C8A7">
            <w:pPr>
              <w:widowControl/>
              <w:adjustRightInd w:val="0"/>
              <w:snapToGrid w:val="0"/>
              <w:jc w:val="center"/>
              <w:rPr>
                <w:rFonts w:ascii="宋体" w:hAnsi="宋体" w:cs="宋体"/>
                <w:kern w:val="0"/>
                <w:szCs w:val="21"/>
              </w:rPr>
            </w:pPr>
            <w:r>
              <w:rPr>
                <w:rFonts w:hint="eastAsia" w:ascii="宋体" w:hAnsi="宋体" w:cs="宋体"/>
                <w:kern w:val="0"/>
                <w:szCs w:val="21"/>
              </w:rPr>
              <w:t>/</w:t>
            </w:r>
          </w:p>
        </w:tc>
      </w:tr>
    </w:tbl>
    <w:p w14:paraId="22E04BD6">
      <w:pPr>
        <w:widowControl/>
        <w:spacing w:before="8" w:line="110" w:lineRule="atLeast"/>
        <w:rPr>
          <w:rFonts w:ascii="宋体" w:hAnsi="宋体" w:cs="宋体"/>
          <w:kern w:val="0"/>
          <w:sz w:val="20"/>
          <w:szCs w:val="20"/>
        </w:rPr>
      </w:pPr>
      <w:r>
        <w:rPr>
          <w:rFonts w:hint="eastAsia" w:ascii="宋体" w:hAnsi="宋体" w:cs="宋体"/>
          <w:kern w:val="0"/>
          <w:sz w:val="11"/>
          <w:szCs w:val="11"/>
        </w:rPr>
        <w:t xml:space="preserve"> </w:t>
      </w:r>
      <w:r>
        <w:rPr>
          <w:rFonts w:hint="eastAsia" w:ascii="宋体" w:hAnsi="宋体" w:cs="宋体"/>
          <w:kern w:val="0"/>
          <w:sz w:val="20"/>
          <w:szCs w:val="20"/>
        </w:rPr>
        <w:t xml:space="preserve">  </w:t>
      </w:r>
    </w:p>
    <w:p w14:paraId="08A41119">
      <w:pPr>
        <w:widowControl/>
        <w:spacing w:before="7"/>
        <w:ind w:left="5680" w:right="-20"/>
        <w:rPr>
          <w:rFonts w:ascii="宋体" w:hAnsi="宋体" w:cs="宋体"/>
          <w:kern w:val="0"/>
          <w:szCs w:val="21"/>
        </w:rPr>
      </w:pPr>
    </w:p>
    <w:p w14:paraId="05ED1DE7">
      <w:pPr>
        <w:widowControl/>
        <w:spacing w:before="7"/>
        <w:ind w:left="5680" w:right="-20"/>
        <w:rPr>
          <w:rFonts w:ascii="宋体" w:hAnsi="宋体" w:cs="宋体"/>
          <w:kern w:val="0"/>
          <w:szCs w:val="21"/>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4FAA7600">
      <w:pPr>
        <w:widowControl/>
        <w:ind w:left="1503" w:right="1683"/>
        <w:jc w:val="center"/>
        <w:rPr>
          <w:rFonts w:ascii="宋体" w:hAnsi="宋体" w:cs="宋体"/>
          <w:kern w:val="0"/>
          <w:sz w:val="28"/>
          <w:szCs w:val="28"/>
        </w:rPr>
      </w:pPr>
      <w:r>
        <w:rPr>
          <w:rFonts w:hint="eastAsia" w:ascii="宋体" w:hAnsi="宋体" w:cs="宋体"/>
          <w:spacing w:val="12"/>
          <w:kern w:val="0"/>
          <w:sz w:val="28"/>
          <w:szCs w:val="28"/>
        </w:rPr>
        <w:t>表3-4  质保期外备件及易损件</w:t>
      </w:r>
      <w:r>
        <w:rPr>
          <w:rFonts w:hint="eastAsia" w:ascii="宋体" w:hAnsi="宋体" w:cs="宋体"/>
          <w:kern w:val="0"/>
          <w:sz w:val="28"/>
          <w:szCs w:val="28"/>
        </w:rPr>
        <w:t>分项报价表</w:t>
      </w:r>
    </w:p>
    <w:p w14:paraId="347553C0">
      <w:pPr>
        <w:widowControl/>
        <w:spacing w:line="333" w:lineRule="atLeast"/>
        <w:jc w:val="right"/>
        <w:rPr>
          <w:rFonts w:ascii="宋体" w:hAnsi="宋体" w:cs="宋体"/>
          <w:kern w:val="0"/>
          <w:szCs w:val="21"/>
        </w:rPr>
      </w:pPr>
      <w:r>
        <w:rPr>
          <w:rFonts w:hint="eastAsia" w:ascii="宋体" w:hAnsi="宋体" w:cs="宋体"/>
          <w:kern w:val="0"/>
          <w:position w:val="-4"/>
          <w:szCs w:val="21"/>
        </w:rPr>
        <w:t>项目</w:t>
      </w:r>
      <w:r>
        <w:rPr>
          <w:rFonts w:hint="eastAsia" w:ascii="宋体" w:hAnsi="宋体" w:cs="宋体"/>
          <w:spacing w:val="-1"/>
          <w:kern w:val="0"/>
          <w:position w:val="-4"/>
          <w:szCs w:val="21"/>
        </w:rPr>
        <w:t>编</w:t>
      </w:r>
      <w:r>
        <w:rPr>
          <w:rFonts w:hint="eastAsia" w:ascii="宋体" w:hAnsi="宋体" w:cs="宋体"/>
          <w:kern w:val="0"/>
          <w:position w:val="-4"/>
          <w:szCs w:val="21"/>
        </w:rPr>
        <w:t>号</w:t>
      </w:r>
      <w:r>
        <w:rPr>
          <w:rFonts w:hint="eastAsia" w:ascii="宋体" w:hAnsi="宋体" w:cs="宋体"/>
          <w:spacing w:val="-24"/>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kern w:val="0"/>
          <w:position w:val="-4"/>
          <w:szCs w:val="21"/>
        </w:rPr>
        <w:t>标包号</w:t>
      </w:r>
      <w:r>
        <w:rPr>
          <w:rFonts w:hint="eastAsia" w:ascii="宋体" w:hAnsi="宋体" w:cs="宋体"/>
          <w:spacing w:val="-25"/>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7"/>
        <w:tblW w:w="14358" w:type="dxa"/>
        <w:tblInd w:w="209" w:type="dxa"/>
        <w:tblLayout w:type="fixed"/>
        <w:tblCellMar>
          <w:top w:w="0" w:type="dxa"/>
          <w:left w:w="108" w:type="dxa"/>
          <w:bottom w:w="0" w:type="dxa"/>
          <w:right w:w="108" w:type="dxa"/>
        </w:tblCellMar>
      </w:tblPr>
      <w:tblGrid>
        <w:gridCol w:w="738"/>
        <w:gridCol w:w="1156"/>
        <w:gridCol w:w="1124"/>
        <w:gridCol w:w="944"/>
        <w:gridCol w:w="736"/>
        <w:gridCol w:w="1574"/>
        <w:gridCol w:w="1050"/>
        <w:gridCol w:w="1508"/>
        <w:gridCol w:w="992"/>
        <w:gridCol w:w="1134"/>
        <w:gridCol w:w="1701"/>
        <w:gridCol w:w="1701"/>
      </w:tblGrid>
      <w:tr w14:paraId="60BFFC95">
        <w:tblPrEx>
          <w:tblCellMar>
            <w:top w:w="0" w:type="dxa"/>
            <w:left w:w="108" w:type="dxa"/>
            <w:bottom w:w="0" w:type="dxa"/>
            <w:right w:w="108" w:type="dxa"/>
          </w:tblCellMar>
        </w:tblPrEx>
        <w:trPr>
          <w:trHeight w:val="5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A76FA12">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序号</w:t>
            </w:r>
          </w:p>
        </w:tc>
        <w:tc>
          <w:tcPr>
            <w:tcW w:w="1156" w:type="dxa"/>
            <w:tcBorders>
              <w:top w:val="single" w:color="000000" w:sz="4" w:space="0"/>
              <w:left w:val="nil"/>
              <w:bottom w:val="single" w:color="000000" w:sz="4" w:space="0"/>
              <w:right w:val="single" w:color="000000" w:sz="4" w:space="0"/>
            </w:tcBorders>
            <w:vAlign w:val="center"/>
          </w:tcPr>
          <w:p w14:paraId="6B988679">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货物</w:t>
            </w:r>
            <w:r>
              <w:rPr>
                <w:rFonts w:hint="eastAsia" w:ascii="宋体" w:hAnsi="宋体" w:cs="宋体"/>
                <w:color w:val="000000"/>
                <w:szCs w:val="21"/>
              </w:rPr>
              <w:t>（服务）</w:t>
            </w:r>
            <w:r>
              <w:rPr>
                <w:rFonts w:hint="eastAsia" w:ascii="宋体" w:hAnsi="宋体" w:cs="宋体"/>
                <w:color w:val="000000"/>
                <w:kern w:val="0"/>
                <w:szCs w:val="21"/>
              </w:rPr>
              <w:t>名称</w:t>
            </w:r>
          </w:p>
        </w:tc>
        <w:tc>
          <w:tcPr>
            <w:tcW w:w="1124" w:type="dxa"/>
            <w:tcBorders>
              <w:top w:val="single" w:color="000000" w:sz="4" w:space="0"/>
              <w:left w:val="nil"/>
              <w:bottom w:val="single" w:color="000000" w:sz="4" w:space="0"/>
              <w:right w:val="single" w:color="000000" w:sz="4" w:space="0"/>
            </w:tcBorders>
            <w:vAlign w:val="center"/>
          </w:tcPr>
          <w:p w14:paraId="3D84106F">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规格型号</w:t>
            </w:r>
          </w:p>
        </w:tc>
        <w:tc>
          <w:tcPr>
            <w:tcW w:w="944" w:type="dxa"/>
            <w:tcBorders>
              <w:top w:val="single" w:color="000000" w:sz="4" w:space="0"/>
              <w:left w:val="nil"/>
              <w:bottom w:val="single" w:color="000000" w:sz="4" w:space="0"/>
              <w:right w:val="single" w:color="000000" w:sz="4" w:space="0"/>
            </w:tcBorders>
            <w:vAlign w:val="center"/>
          </w:tcPr>
          <w:p w14:paraId="612F7541">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数量</w:t>
            </w:r>
          </w:p>
        </w:tc>
        <w:tc>
          <w:tcPr>
            <w:tcW w:w="736" w:type="dxa"/>
            <w:tcBorders>
              <w:top w:val="single" w:color="000000" w:sz="4" w:space="0"/>
              <w:left w:val="nil"/>
              <w:bottom w:val="single" w:color="000000" w:sz="4" w:space="0"/>
              <w:right w:val="single" w:color="000000" w:sz="4" w:space="0"/>
            </w:tcBorders>
            <w:vAlign w:val="center"/>
          </w:tcPr>
          <w:p w14:paraId="3B48BAA2">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单位</w:t>
            </w:r>
          </w:p>
        </w:tc>
        <w:tc>
          <w:tcPr>
            <w:tcW w:w="1574" w:type="dxa"/>
            <w:tcBorders>
              <w:top w:val="single" w:color="000000" w:sz="4" w:space="0"/>
              <w:left w:val="nil"/>
              <w:bottom w:val="single" w:color="000000" w:sz="4" w:space="0"/>
              <w:right w:val="single" w:color="000000" w:sz="4" w:space="0"/>
            </w:tcBorders>
            <w:vAlign w:val="center"/>
          </w:tcPr>
          <w:p w14:paraId="395B397B">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单价</w:t>
            </w:r>
          </w:p>
        </w:tc>
        <w:tc>
          <w:tcPr>
            <w:tcW w:w="1050" w:type="dxa"/>
            <w:tcBorders>
              <w:top w:val="single" w:color="000000" w:sz="4" w:space="0"/>
              <w:left w:val="nil"/>
              <w:bottom w:val="single" w:color="000000" w:sz="4" w:space="0"/>
              <w:right w:val="single" w:color="000000" w:sz="4" w:space="0"/>
            </w:tcBorders>
            <w:vAlign w:val="center"/>
          </w:tcPr>
          <w:p w14:paraId="1E3601D7">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合价</w:t>
            </w:r>
          </w:p>
        </w:tc>
        <w:tc>
          <w:tcPr>
            <w:tcW w:w="1508" w:type="dxa"/>
            <w:tcBorders>
              <w:top w:val="single" w:color="000000" w:sz="4" w:space="0"/>
              <w:left w:val="nil"/>
              <w:bottom w:val="single" w:color="000000" w:sz="4" w:space="0"/>
              <w:right w:val="single" w:color="000000" w:sz="4" w:space="0"/>
            </w:tcBorders>
            <w:vAlign w:val="center"/>
          </w:tcPr>
          <w:p w14:paraId="61819EAC">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制造商</w:t>
            </w:r>
          </w:p>
        </w:tc>
        <w:tc>
          <w:tcPr>
            <w:tcW w:w="992" w:type="dxa"/>
            <w:tcBorders>
              <w:top w:val="single" w:color="000000" w:sz="4" w:space="0"/>
              <w:left w:val="nil"/>
              <w:bottom w:val="single" w:color="000000" w:sz="4" w:space="0"/>
              <w:right w:val="single" w:color="000000" w:sz="4" w:space="0"/>
            </w:tcBorders>
            <w:vAlign w:val="center"/>
          </w:tcPr>
          <w:p w14:paraId="3FEEA155">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品牌</w:t>
            </w:r>
          </w:p>
        </w:tc>
        <w:tc>
          <w:tcPr>
            <w:tcW w:w="1134" w:type="dxa"/>
            <w:tcBorders>
              <w:top w:val="single" w:color="000000" w:sz="4" w:space="0"/>
              <w:left w:val="nil"/>
              <w:bottom w:val="single" w:color="000000" w:sz="4" w:space="0"/>
              <w:right w:val="single" w:color="000000" w:sz="4" w:space="0"/>
            </w:tcBorders>
            <w:vAlign w:val="center"/>
          </w:tcPr>
          <w:p w14:paraId="03568145">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产地</w:t>
            </w:r>
          </w:p>
        </w:tc>
        <w:tc>
          <w:tcPr>
            <w:tcW w:w="1701" w:type="dxa"/>
            <w:tcBorders>
              <w:top w:val="single" w:color="000000" w:sz="4" w:space="0"/>
              <w:left w:val="nil"/>
              <w:bottom w:val="single" w:color="000000" w:sz="4" w:space="0"/>
              <w:right w:val="single" w:color="000000" w:sz="4" w:space="0"/>
            </w:tcBorders>
            <w:vAlign w:val="center"/>
          </w:tcPr>
          <w:p w14:paraId="5815157A">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发货地点</w:t>
            </w:r>
          </w:p>
        </w:tc>
        <w:tc>
          <w:tcPr>
            <w:tcW w:w="1701" w:type="dxa"/>
            <w:tcBorders>
              <w:top w:val="single" w:color="000000" w:sz="4" w:space="0"/>
              <w:left w:val="nil"/>
              <w:bottom w:val="single" w:color="000000" w:sz="4" w:space="0"/>
              <w:right w:val="single" w:color="000000" w:sz="4" w:space="0"/>
            </w:tcBorders>
            <w:vAlign w:val="center"/>
          </w:tcPr>
          <w:p w14:paraId="597A5DBE">
            <w:pPr>
              <w:widowControl/>
              <w:adjustRightInd w:val="0"/>
              <w:snapToGrid w:val="0"/>
              <w:jc w:val="center"/>
              <w:rPr>
                <w:rFonts w:ascii="宋体" w:hAnsi="宋体" w:cs="宋体"/>
                <w:color w:val="000000"/>
                <w:kern w:val="0"/>
                <w:szCs w:val="21"/>
              </w:rPr>
            </w:pPr>
            <w:r>
              <w:rPr>
                <w:rFonts w:hint="eastAsia" w:ascii="宋体" w:hAnsi="宋体" w:cs="宋体"/>
                <w:color w:val="000000"/>
                <w:kern w:val="0"/>
                <w:szCs w:val="21"/>
              </w:rPr>
              <w:t>备注</w:t>
            </w:r>
          </w:p>
        </w:tc>
      </w:tr>
      <w:tr w14:paraId="5B63B4FD">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4FD51DCE">
            <w:pPr>
              <w:widowControl/>
              <w:adjustRightInd w:val="0"/>
              <w:snapToGrid w:val="0"/>
              <w:jc w:val="center"/>
              <w:rPr>
                <w:rFonts w:ascii="宋体" w:hAnsi="宋体" w:cs="宋体"/>
                <w:color w:val="000000"/>
                <w:kern w:val="0"/>
                <w:szCs w:val="21"/>
              </w:rPr>
            </w:pPr>
          </w:p>
        </w:tc>
        <w:tc>
          <w:tcPr>
            <w:tcW w:w="1156" w:type="dxa"/>
            <w:tcBorders>
              <w:top w:val="single" w:color="000000" w:sz="4" w:space="0"/>
              <w:left w:val="nil"/>
              <w:bottom w:val="single" w:color="000000" w:sz="4" w:space="0"/>
              <w:right w:val="single" w:color="000000" w:sz="4" w:space="0"/>
            </w:tcBorders>
            <w:vAlign w:val="center"/>
          </w:tcPr>
          <w:p w14:paraId="1333E2B3">
            <w:pPr>
              <w:widowControl/>
              <w:adjustRightInd w:val="0"/>
              <w:snapToGrid w:val="0"/>
              <w:jc w:val="center"/>
              <w:rPr>
                <w:rFonts w:ascii="宋体" w:hAnsi="宋体" w:cs="宋体"/>
                <w:color w:val="000000"/>
                <w:kern w:val="0"/>
                <w:szCs w:val="21"/>
              </w:rPr>
            </w:pPr>
          </w:p>
        </w:tc>
        <w:tc>
          <w:tcPr>
            <w:tcW w:w="1124" w:type="dxa"/>
            <w:tcBorders>
              <w:top w:val="single" w:color="000000" w:sz="4" w:space="0"/>
              <w:left w:val="nil"/>
              <w:bottom w:val="single" w:color="000000" w:sz="4" w:space="0"/>
              <w:right w:val="single" w:color="000000" w:sz="4" w:space="0"/>
            </w:tcBorders>
            <w:vAlign w:val="center"/>
          </w:tcPr>
          <w:p w14:paraId="46C7402F">
            <w:pPr>
              <w:widowControl/>
              <w:adjustRightInd w:val="0"/>
              <w:snapToGrid w:val="0"/>
              <w:jc w:val="center"/>
              <w:rPr>
                <w:rFonts w:ascii="宋体" w:hAnsi="宋体" w:cs="宋体"/>
                <w:color w:val="000000"/>
                <w:kern w:val="0"/>
                <w:szCs w:val="21"/>
              </w:rPr>
            </w:pPr>
          </w:p>
        </w:tc>
        <w:tc>
          <w:tcPr>
            <w:tcW w:w="944" w:type="dxa"/>
            <w:tcBorders>
              <w:top w:val="single" w:color="000000" w:sz="4" w:space="0"/>
              <w:left w:val="nil"/>
              <w:bottom w:val="single" w:color="000000" w:sz="4" w:space="0"/>
              <w:right w:val="single" w:color="000000" w:sz="4" w:space="0"/>
            </w:tcBorders>
            <w:vAlign w:val="center"/>
          </w:tcPr>
          <w:p w14:paraId="5B5B7B87">
            <w:pPr>
              <w:widowControl/>
              <w:adjustRightInd w:val="0"/>
              <w:snapToGrid w:val="0"/>
              <w:jc w:val="center"/>
              <w:rPr>
                <w:rFonts w:ascii="宋体" w:hAnsi="宋体" w:cs="宋体"/>
                <w:color w:val="000000"/>
                <w:kern w:val="0"/>
                <w:szCs w:val="21"/>
              </w:rPr>
            </w:pPr>
          </w:p>
        </w:tc>
        <w:tc>
          <w:tcPr>
            <w:tcW w:w="736" w:type="dxa"/>
            <w:tcBorders>
              <w:top w:val="single" w:color="000000" w:sz="4" w:space="0"/>
              <w:left w:val="nil"/>
              <w:bottom w:val="single" w:color="000000" w:sz="4" w:space="0"/>
              <w:right w:val="single" w:color="000000" w:sz="4" w:space="0"/>
            </w:tcBorders>
            <w:vAlign w:val="center"/>
          </w:tcPr>
          <w:p w14:paraId="08FAFC4C">
            <w:pPr>
              <w:widowControl/>
              <w:adjustRightInd w:val="0"/>
              <w:snapToGrid w:val="0"/>
              <w:jc w:val="center"/>
              <w:rPr>
                <w:rFonts w:ascii="宋体" w:hAnsi="宋体" w:cs="宋体"/>
                <w:color w:val="000000"/>
                <w:kern w:val="0"/>
                <w:szCs w:val="21"/>
              </w:rPr>
            </w:pPr>
          </w:p>
        </w:tc>
        <w:tc>
          <w:tcPr>
            <w:tcW w:w="1574" w:type="dxa"/>
            <w:tcBorders>
              <w:top w:val="single" w:color="000000" w:sz="4" w:space="0"/>
              <w:left w:val="nil"/>
              <w:bottom w:val="single" w:color="000000" w:sz="4" w:space="0"/>
              <w:right w:val="single" w:color="000000" w:sz="4" w:space="0"/>
            </w:tcBorders>
            <w:vAlign w:val="center"/>
          </w:tcPr>
          <w:p w14:paraId="737778C3">
            <w:pPr>
              <w:widowControl/>
              <w:adjustRightInd w:val="0"/>
              <w:snapToGrid w:val="0"/>
              <w:jc w:val="center"/>
              <w:rPr>
                <w:rFonts w:ascii="宋体" w:hAnsi="宋体" w:cs="宋体"/>
                <w:color w:val="000000"/>
                <w:kern w:val="0"/>
                <w:szCs w:val="21"/>
              </w:rPr>
            </w:pPr>
          </w:p>
        </w:tc>
        <w:tc>
          <w:tcPr>
            <w:tcW w:w="1050" w:type="dxa"/>
            <w:tcBorders>
              <w:top w:val="single" w:color="000000" w:sz="4" w:space="0"/>
              <w:left w:val="nil"/>
              <w:bottom w:val="single" w:color="000000" w:sz="4" w:space="0"/>
              <w:right w:val="single" w:color="000000" w:sz="4" w:space="0"/>
            </w:tcBorders>
            <w:vAlign w:val="center"/>
          </w:tcPr>
          <w:p w14:paraId="1649F059">
            <w:pPr>
              <w:widowControl/>
              <w:adjustRightInd w:val="0"/>
              <w:snapToGrid w:val="0"/>
              <w:jc w:val="center"/>
              <w:rPr>
                <w:rFonts w:ascii="宋体" w:hAnsi="宋体" w:cs="宋体"/>
                <w:color w:val="000000"/>
                <w:kern w:val="0"/>
                <w:szCs w:val="21"/>
              </w:rPr>
            </w:pPr>
          </w:p>
        </w:tc>
        <w:tc>
          <w:tcPr>
            <w:tcW w:w="1508" w:type="dxa"/>
            <w:tcBorders>
              <w:top w:val="single" w:color="000000" w:sz="4" w:space="0"/>
              <w:left w:val="nil"/>
              <w:bottom w:val="single" w:color="000000" w:sz="4" w:space="0"/>
              <w:right w:val="single" w:color="000000" w:sz="4" w:space="0"/>
            </w:tcBorders>
            <w:vAlign w:val="center"/>
          </w:tcPr>
          <w:p w14:paraId="3FB001E5">
            <w:pPr>
              <w:widowControl/>
              <w:adjustRightInd w:val="0"/>
              <w:snapToGrid w:val="0"/>
              <w:jc w:val="center"/>
              <w:rPr>
                <w:rFonts w:ascii="宋体" w:hAnsi="宋体" w:cs="宋体"/>
                <w:color w:val="000000"/>
                <w:kern w:val="0"/>
                <w:szCs w:val="21"/>
              </w:rPr>
            </w:pPr>
          </w:p>
        </w:tc>
        <w:tc>
          <w:tcPr>
            <w:tcW w:w="992" w:type="dxa"/>
            <w:tcBorders>
              <w:top w:val="single" w:color="000000" w:sz="4" w:space="0"/>
              <w:left w:val="nil"/>
              <w:bottom w:val="single" w:color="000000" w:sz="4" w:space="0"/>
              <w:right w:val="single" w:color="000000" w:sz="4" w:space="0"/>
            </w:tcBorders>
            <w:vAlign w:val="center"/>
          </w:tcPr>
          <w:p w14:paraId="15BF93A2">
            <w:pPr>
              <w:widowControl/>
              <w:adjustRightInd w:val="0"/>
              <w:snapToGrid w:val="0"/>
              <w:jc w:val="center"/>
              <w:rPr>
                <w:rFonts w:ascii="宋体" w:hAnsi="宋体" w:cs="宋体"/>
                <w:color w:val="000000"/>
                <w:kern w:val="0"/>
                <w:szCs w:val="21"/>
              </w:rPr>
            </w:pPr>
          </w:p>
        </w:tc>
        <w:tc>
          <w:tcPr>
            <w:tcW w:w="1134" w:type="dxa"/>
            <w:tcBorders>
              <w:top w:val="single" w:color="000000" w:sz="4" w:space="0"/>
              <w:left w:val="nil"/>
              <w:bottom w:val="single" w:color="000000" w:sz="4" w:space="0"/>
              <w:right w:val="single" w:color="000000" w:sz="4" w:space="0"/>
            </w:tcBorders>
            <w:vAlign w:val="center"/>
          </w:tcPr>
          <w:p w14:paraId="6FD51BB2">
            <w:pPr>
              <w:widowControl/>
              <w:adjustRightInd w:val="0"/>
              <w:snapToGrid w:val="0"/>
              <w:jc w:val="center"/>
              <w:rPr>
                <w:rFonts w:ascii="宋体" w:hAnsi="宋体" w:cs="宋体"/>
                <w:color w:val="000000"/>
                <w:kern w:val="0"/>
                <w:szCs w:val="21"/>
              </w:rPr>
            </w:pPr>
          </w:p>
        </w:tc>
        <w:tc>
          <w:tcPr>
            <w:tcW w:w="1701" w:type="dxa"/>
            <w:tcBorders>
              <w:top w:val="single" w:color="000000" w:sz="4" w:space="0"/>
              <w:left w:val="nil"/>
              <w:bottom w:val="single" w:color="000000" w:sz="4" w:space="0"/>
              <w:right w:val="single" w:color="000000" w:sz="4" w:space="0"/>
            </w:tcBorders>
            <w:vAlign w:val="center"/>
          </w:tcPr>
          <w:p w14:paraId="1B74C0EA">
            <w:pPr>
              <w:widowControl/>
              <w:adjustRightInd w:val="0"/>
              <w:snapToGrid w:val="0"/>
              <w:jc w:val="center"/>
              <w:rPr>
                <w:rFonts w:ascii="宋体" w:hAnsi="宋体" w:cs="宋体"/>
                <w:color w:val="000000"/>
                <w:kern w:val="0"/>
                <w:szCs w:val="21"/>
              </w:rPr>
            </w:pPr>
          </w:p>
        </w:tc>
        <w:tc>
          <w:tcPr>
            <w:tcW w:w="1701" w:type="dxa"/>
            <w:tcBorders>
              <w:top w:val="single" w:color="000000" w:sz="4" w:space="0"/>
              <w:left w:val="nil"/>
              <w:bottom w:val="single" w:color="000000" w:sz="4" w:space="0"/>
              <w:right w:val="single" w:color="000000" w:sz="4" w:space="0"/>
            </w:tcBorders>
            <w:vAlign w:val="center"/>
          </w:tcPr>
          <w:p w14:paraId="643A5138">
            <w:pPr>
              <w:widowControl/>
              <w:adjustRightInd w:val="0"/>
              <w:snapToGrid w:val="0"/>
              <w:jc w:val="center"/>
              <w:rPr>
                <w:rFonts w:ascii="宋体" w:hAnsi="宋体" w:cs="宋体"/>
                <w:color w:val="000000"/>
                <w:kern w:val="0"/>
                <w:szCs w:val="21"/>
              </w:rPr>
            </w:pPr>
          </w:p>
        </w:tc>
      </w:tr>
      <w:tr w14:paraId="6A37D800">
        <w:tblPrEx>
          <w:tblCellMar>
            <w:top w:w="0" w:type="dxa"/>
            <w:left w:w="108" w:type="dxa"/>
            <w:bottom w:w="0" w:type="dxa"/>
            <w:right w:w="108" w:type="dxa"/>
          </w:tblCellMar>
        </w:tblPrEx>
        <w:trPr>
          <w:trHeight w:val="50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D43D61F">
            <w:pPr>
              <w:widowControl/>
              <w:adjustRightInd w:val="0"/>
              <w:snapToGrid w:val="0"/>
              <w:jc w:val="center"/>
              <w:rPr>
                <w:rFonts w:ascii="宋体" w:hAnsi="宋体" w:cs="宋体"/>
                <w:kern w:val="0"/>
                <w:szCs w:val="21"/>
              </w:rPr>
            </w:pPr>
          </w:p>
        </w:tc>
        <w:tc>
          <w:tcPr>
            <w:tcW w:w="1156" w:type="dxa"/>
            <w:tcBorders>
              <w:top w:val="single" w:color="000000" w:sz="4" w:space="0"/>
              <w:left w:val="nil"/>
              <w:bottom w:val="single" w:color="000000" w:sz="4" w:space="0"/>
              <w:right w:val="single" w:color="000000" w:sz="4" w:space="0"/>
            </w:tcBorders>
            <w:vAlign w:val="center"/>
          </w:tcPr>
          <w:p w14:paraId="0E52DD75">
            <w:pPr>
              <w:widowControl/>
              <w:adjustRightInd w:val="0"/>
              <w:snapToGrid w:val="0"/>
              <w:jc w:val="center"/>
              <w:rPr>
                <w:rFonts w:ascii="宋体" w:hAnsi="宋体" w:cs="宋体"/>
                <w:kern w:val="0"/>
                <w:szCs w:val="21"/>
              </w:rPr>
            </w:pPr>
          </w:p>
        </w:tc>
        <w:tc>
          <w:tcPr>
            <w:tcW w:w="1124" w:type="dxa"/>
            <w:tcBorders>
              <w:top w:val="single" w:color="000000" w:sz="4" w:space="0"/>
              <w:left w:val="nil"/>
              <w:bottom w:val="single" w:color="000000" w:sz="4" w:space="0"/>
              <w:right w:val="single" w:color="000000" w:sz="4" w:space="0"/>
            </w:tcBorders>
            <w:vAlign w:val="center"/>
          </w:tcPr>
          <w:p w14:paraId="05451F1A">
            <w:pPr>
              <w:widowControl/>
              <w:adjustRightInd w:val="0"/>
              <w:snapToGrid w:val="0"/>
              <w:jc w:val="center"/>
              <w:rPr>
                <w:rFonts w:ascii="宋体" w:hAnsi="宋体" w:cs="宋体"/>
                <w:kern w:val="0"/>
                <w:szCs w:val="21"/>
              </w:rPr>
            </w:pPr>
          </w:p>
        </w:tc>
        <w:tc>
          <w:tcPr>
            <w:tcW w:w="944" w:type="dxa"/>
            <w:tcBorders>
              <w:top w:val="single" w:color="000000" w:sz="4" w:space="0"/>
              <w:left w:val="nil"/>
              <w:bottom w:val="single" w:color="000000" w:sz="4" w:space="0"/>
              <w:right w:val="single" w:color="000000" w:sz="4" w:space="0"/>
            </w:tcBorders>
            <w:vAlign w:val="center"/>
          </w:tcPr>
          <w:p w14:paraId="4C6E094A">
            <w:pPr>
              <w:widowControl/>
              <w:adjustRightInd w:val="0"/>
              <w:snapToGrid w:val="0"/>
              <w:jc w:val="center"/>
              <w:rPr>
                <w:rFonts w:ascii="宋体" w:hAnsi="宋体" w:cs="宋体"/>
                <w:kern w:val="0"/>
                <w:szCs w:val="21"/>
              </w:rPr>
            </w:pPr>
          </w:p>
        </w:tc>
        <w:tc>
          <w:tcPr>
            <w:tcW w:w="736" w:type="dxa"/>
            <w:tcBorders>
              <w:top w:val="single" w:color="000000" w:sz="4" w:space="0"/>
              <w:left w:val="nil"/>
              <w:bottom w:val="single" w:color="000000" w:sz="4" w:space="0"/>
              <w:right w:val="single" w:color="000000" w:sz="4" w:space="0"/>
            </w:tcBorders>
            <w:vAlign w:val="center"/>
          </w:tcPr>
          <w:p w14:paraId="21D5CE4F">
            <w:pPr>
              <w:widowControl/>
              <w:adjustRightInd w:val="0"/>
              <w:snapToGrid w:val="0"/>
              <w:jc w:val="center"/>
              <w:rPr>
                <w:rFonts w:ascii="宋体" w:hAnsi="宋体" w:cs="宋体"/>
                <w:kern w:val="0"/>
                <w:szCs w:val="21"/>
              </w:rPr>
            </w:pPr>
          </w:p>
        </w:tc>
        <w:tc>
          <w:tcPr>
            <w:tcW w:w="1574" w:type="dxa"/>
            <w:tcBorders>
              <w:top w:val="single" w:color="000000" w:sz="4" w:space="0"/>
              <w:left w:val="nil"/>
              <w:bottom w:val="single" w:color="000000" w:sz="4" w:space="0"/>
              <w:right w:val="single" w:color="000000" w:sz="4" w:space="0"/>
            </w:tcBorders>
            <w:vAlign w:val="center"/>
          </w:tcPr>
          <w:p w14:paraId="75A351CB">
            <w:pPr>
              <w:widowControl/>
              <w:adjustRightInd w:val="0"/>
              <w:snapToGrid w:val="0"/>
              <w:jc w:val="center"/>
              <w:rPr>
                <w:rFonts w:ascii="宋体" w:hAnsi="宋体" w:cs="宋体"/>
                <w:kern w:val="0"/>
                <w:szCs w:val="21"/>
              </w:rPr>
            </w:pPr>
          </w:p>
        </w:tc>
        <w:tc>
          <w:tcPr>
            <w:tcW w:w="1050" w:type="dxa"/>
            <w:tcBorders>
              <w:top w:val="single" w:color="000000" w:sz="4" w:space="0"/>
              <w:left w:val="nil"/>
              <w:bottom w:val="single" w:color="000000" w:sz="4" w:space="0"/>
              <w:right w:val="single" w:color="000000" w:sz="4" w:space="0"/>
            </w:tcBorders>
            <w:vAlign w:val="center"/>
          </w:tcPr>
          <w:p w14:paraId="7777EA9D">
            <w:pPr>
              <w:widowControl/>
              <w:adjustRightInd w:val="0"/>
              <w:snapToGrid w:val="0"/>
              <w:jc w:val="center"/>
              <w:rPr>
                <w:rFonts w:ascii="宋体" w:hAnsi="宋体" w:cs="宋体"/>
                <w:kern w:val="0"/>
                <w:szCs w:val="21"/>
              </w:rPr>
            </w:pPr>
          </w:p>
        </w:tc>
        <w:tc>
          <w:tcPr>
            <w:tcW w:w="1508" w:type="dxa"/>
            <w:tcBorders>
              <w:top w:val="single" w:color="000000" w:sz="4" w:space="0"/>
              <w:left w:val="nil"/>
              <w:bottom w:val="single" w:color="000000" w:sz="4" w:space="0"/>
              <w:right w:val="single" w:color="000000" w:sz="4" w:space="0"/>
            </w:tcBorders>
            <w:vAlign w:val="center"/>
          </w:tcPr>
          <w:p w14:paraId="003F3674">
            <w:pPr>
              <w:widowControl/>
              <w:adjustRightInd w:val="0"/>
              <w:snapToGrid w:val="0"/>
              <w:jc w:val="center"/>
              <w:rPr>
                <w:rFonts w:ascii="宋体" w:hAnsi="宋体" w:cs="宋体"/>
                <w:kern w:val="0"/>
                <w:szCs w:val="21"/>
              </w:rPr>
            </w:pPr>
          </w:p>
        </w:tc>
        <w:tc>
          <w:tcPr>
            <w:tcW w:w="992" w:type="dxa"/>
            <w:tcBorders>
              <w:top w:val="single" w:color="000000" w:sz="4" w:space="0"/>
              <w:left w:val="nil"/>
              <w:bottom w:val="single" w:color="000000" w:sz="4" w:space="0"/>
              <w:right w:val="single" w:color="000000" w:sz="4" w:space="0"/>
            </w:tcBorders>
            <w:vAlign w:val="center"/>
          </w:tcPr>
          <w:p w14:paraId="5161E6BB">
            <w:pPr>
              <w:widowControl/>
              <w:adjustRightInd w:val="0"/>
              <w:snapToGrid w:val="0"/>
              <w:jc w:val="center"/>
              <w:rPr>
                <w:rFonts w:ascii="宋体" w:hAnsi="宋体" w:cs="宋体"/>
                <w:kern w:val="0"/>
                <w:szCs w:val="21"/>
              </w:rPr>
            </w:pPr>
          </w:p>
        </w:tc>
        <w:tc>
          <w:tcPr>
            <w:tcW w:w="1134" w:type="dxa"/>
            <w:tcBorders>
              <w:top w:val="single" w:color="000000" w:sz="4" w:space="0"/>
              <w:left w:val="nil"/>
              <w:bottom w:val="single" w:color="000000" w:sz="4" w:space="0"/>
              <w:right w:val="single" w:color="000000" w:sz="4" w:space="0"/>
            </w:tcBorders>
            <w:vAlign w:val="center"/>
          </w:tcPr>
          <w:p w14:paraId="23AE6959">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164EA01C">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32ACCA34">
            <w:pPr>
              <w:widowControl/>
              <w:adjustRightInd w:val="0"/>
              <w:snapToGrid w:val="0"/>
              <w:jc w:val="center"/>
              <w:rPr>
                <w:rFonts w:ascii="宋体" w:hAnsi="宋体" w:cs="宋体"/>
                <w:kern w:val="0"/>
                <w:szCs w:val="21"/>
              </w:rPr>
            </w:pPr>
          </w:p>
        </w:tc>
      </w:tr>
      <w:tr w14:paraId="13D7FE53">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5BA74357">
            <w:pPr>
              <w:widowControl/>
              <w:adjustRightInd w:val="0"/>
              <w:snapToGrid w:val="0"/>
              <w:jc w:val="center"/>
              <w:rPr>
                <w:rFonts w:ascii="宋体" w:hAnsi="宋体" w:cs="宋体"/>
                <w:kern w:val="0"/>
                <w:szCs w:val="21"/>
              </w:rPr>
            </w:pPr>
          </w:p>
        </w:tc>
        <w:tc>
          <w:tcPr>
            <w:tcW w:w="1156" w:type="dxa"/>
            <w:tcBorders>
              <w:top w:val="single" w:color="000000" w:sz="4" w:space="0"/>
              <w:left w:val="nil"/>
              <w:bottom w:val="single" w:color="000000" w:sz="4" w:space="0"/>
              <w:right w:val="single" w:color="000000" w:sz="4" w:space="0"/>
            </w:tcBorders>
            <w:vAlign w:val="center"/>
          </w:tcPr>
          <w:p w14:paraId="23BAE7E3">
            <w:pPr>
              <w:widowControl/>
              <w:adjustRightInd w:val="0"/>
              <w:snapToGrid w:val="0"/>
              <w:jc w:val="center"/>
              <w:rPr>
                <w:rFonts w:ascii="宋体" w:hAnsi="宋体" w:cs="宋体"/>
                <w:kern w:val="0"/>
                <w:szCs w:val="21"/>
              </w:rPr>
            </w:pPr>
          </w:p>
        </w:tc>
        <w:tc>
          <w:tcPr>
            <w:tcW w:w="1124" w:type="dxa"/>
            <w:tcBorders>
              <w:top w:val="single" w:color="000000" w:sz="4" w:space="0"/>
              <w:left w:val="nil"/>
              <w:bottom w:val="single" w:color="000000" w:sz="4" w:space="0"/>
              <w:right w:val="single" w:color="000000" w:sz="4" w:space="0"/>
            </w:tcBorders>
            <w:vAlign w:val="center"/>
          </w:tcPr>
          <w:p w14:paraId="23FE462A">
            <w:pPr>
              <w:widowControl/>
              <w:adjustRightInd w:val="0"/>
              <w:snapToGrid w:val="0"/>
              <w:jc w:val="center"/>
              <w:rPr>
                <w:rFonts w:ascii="宋体" w:hAnsi="宋体" w:cs="宋体"/>
                <w:kern w:val="0"/>
                <w:szCs w:val="21"/>
              </w:rPr>
            </w:pPr>
          </w:p>
        </w:tc>
        <w:tc>
          <w:tcPr>
            <w:tcW w:w="944" w:type="dxa"/>
            <w:tcBorders>
              <w:top w:val="single" w:color="000000" w:sz="4" w:space="0"/>
              <w:left w:val="nil"/>
              <w:bottom w:val="single" w:color="000000" w:sz="4" w:space="0"/>
              <w:right w:val="single" w:color="000000" w:sz="4" w:space="0"/>
            </w:tcBorders>
            <w:vAlign w:val="center"/>
          </w:tcPr>
          <w:p w14:paraId="3F711DD6">
            <w:pPr>
              <w:widowControl/>
              <w:adjustRightInd w:val="0"/>
              <w:snapToGrid w:val="0"/>
              <w:jc w:val="center"/>
              <w:rPr>
                <w:rFonts w:ascii="宋体" w:hAnsi="宋体" w:cs="宋体"/>
                <w:kern w:val="0"/>
                <w:szCs w:val="21"/>
              </w:rPr>
            </w:pPr>
          </w:p>
        </w:tc>
        <w:tc>
          <w:tcPr>
            <w:tcW w:w="736" w:type="dxa"/>
            <w:tcBorders>
              <w:top w:val="single" w:color="000000" w:sz="4" w:space="0"/>
              <w:left w:val="nil"/>
              <w:bottom w:val="single" w:color="000000" w:sz="4" w:space="0"/>
              <w:right w:val="single" w:color="000000" w:sz="4" w:space="0"/>
            </w:tcBorders>
            <w:vAlign w:val="center"/>
          </w:tcPr>
          <w:p w14:paraId="03FD0ABD">
            <w:pPr>
              <w:widowControl/>
              <w:adjustRightInd w:val="0"/>
              <w:snapToGrid w:val="0"/>
              <w:jc w:val="center"/>
              <w:rPr>
                <w:rFonts w:ascii="宋体" w:hAnsi="宋体" w:cs="宋体"/>
                <w:kern w:val="0"/>
                <w:szCs w:val="21"/>
              </w:rPr>
            </w:pPr>
          </w:p>
        </w:tc>
        <w:tc>
          <w:tcPr>
            <w:tcW w:w="1574" w:type="dxa"/>
            <w:tcBorders>
              <w:top w:val="single" w:color="000000" w:sz="4" w:space="0"/>
              <w:left w:val="nil"/>
              <w:bottom w:val="single" w:color="000000" w:sz="4" w:space="0"/>
              <w:right w:val="single" w:color="000000" w:sz="4" w:space="0"/>
            </w:tcBorders>
            <w:vAlign w:val="center"/>
          </w:tcPr>
          <w:p w14:paraId="0E6DFD63">
            <w:pPr>
              <w:widowControl/>
              <w:adjustRightInd w:val="0"/>
              <w:snapToGrid w:val="0"/>
              <w:jc w:val="center"/>
              <w:rPr>
                <w:rFonts w:ascii="宋体" w:hAnsi="宋体" w:cs="宋体"/>
                <w:kern w:val="0"/>
                <w:szCs w:val="21"/>
              </w:rPr>
            </w:pPr>
          </w:p>
        </w:tc>
        <w:tc>
          <w:tcPr>
            <w:tcW w:w="1050" w:type="dxa"/>
            <w:tcBorders>
              <w:top w:val="single" w:color="000000" w:sz="4" w:space="0"/>
              <w:left w:val="nil"/>
              <w:bottom w:val="single" w:color="000000" w:sz="4" w:space="0"/>
              <w:right w:val="single" w:color="000000" w:sz="4" w:space="0"/>
            </w:tcBorders>
            <w:vAlign w:val="center"/>
          </w:tcPr>
          <w:p w14:paraId="47BB2495">
            <w:pPr>
              <w:widowControl/>
              <w:adjustRightInd w:val="0"/>
              <w:snapToGrid w:val="0"/>
              <w:jc w:val="center"/>
              <w:rPr>
                <w:rFonts w:ascii="宋体" w:hAnsi="宋体" w:cs="宋体"/>
                <w:kern w:val="0"/>
                <w:szCs w:val="21"/>
              </w:rPr>
            </w:pPr>
          </w:p>
        </w:tc>
        <w:tc>
          <w:tcPr>
            <w:tcW w:w="1508" w:type="dxa"/>
            <w:tcBorders>
              <w:top w:val="single" w:color="000000" w:sz="4" w:space="0"/>
              <w:left w:val="nil"/>
              <w:bottom w:val="single" w:color="000000" w:sz="4" w:space="0"/>
              <w:right w:val="single" w:color="000000" w:sz="4" w:space="0"/>
            </w:tcBorders>
            <w:vAlign w:val="center"/>
          </w:tcPr>
          <w:p w14:paraId="6FB41EF7">
            <w:pPr>
              <w:widowControl/>
              <w:adjustRightInd w:val="0"/>
              <w:snapToGrid w:val="0"/>
              <w:jc w:val="center"/>
              <w:rPr>
                <w:rFonts w:ascii="宋体" w:hAnsi="宋体" w:cs="宋体"/>
                <w:kern w:val="0"/>
                <w:szCs w:val="21"/>
              </w:rPr>
            </w:pPr>
          </w:p>
        </w:tc>
        <w:tc>
          <w:tcPr>
            <w:tcW w:w="992" w:type="dxa"/>
            <w:tcBorders>
              <w:top w:val="single" w:color="000000" w:sz="4" w:space="0"/>
              <w:left w:val="nil"/>
              <w:bottom w:val="single" w:color="000000" w:sz="4" w:space="0"/>
              <w:right w:val="single" w:color="000000" w:sz="4" w:space="0"/>
            </w:tcBorders>
            <w:vAlign w:val="center"/>
          </w:tcPr>
          <w:p w14:paraId="0E99CB18">
            <w:pPr>
              <w:widowControl/>
              <w:adjustRightInd w:val="0"/>
              <w:snapToGrid w:val="0"/>
              <w:jc w:val="center"/>
              <w:rPr>
                <w:rFonts w:ascii="宋体" w:hAnsi="宋体" w:cs="宋体"/>
                <w:kern w:val="0"/>
                <w:szCs w:val="21"/>
              </w:rPr>
            </w:pPr>
          </w:p>
        </w:tc>
        <w:tc>
          <w:tcPr>
            <w:tcW w:w="1134" w:type="dxa"/>
            <w:tcBorders>
              <w:top w:val="single" w:color="000000" w:sz="4" w:space="0"/>
              <w:left w:val="nil"/>
              <w:bottom w:val="single" w:color="000000" w:sz="4" w:space="0"/>
              <w:right w:val="single" w:color="000000" w:sz="4" w:space="0"/>
            </w:tcBorders>
            <w:vAlign w:val="center"/>
          </w:tcPr>
          <w:p w14:paraId="6AF33AE1">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47C576C4">
            <w:pPr>
              <w:widowControl/>
              <w:adjustRightInd w:val="0"/>
              <w:snapToGrid w:val="0"/>
              <w:jc w:val="center"/>
              <w:rPr>
                <w:rFonts w:ascii="宋体" w:hAnsi="宋体" w:cs="宋体"/>
                <w:kern w:val="0"/>
                <w:szCs w:val="21"/>
              </w:rPr>
            </w:pPr>
          </w:p>
        </w:tc>
        <w:tc>
          <w:tcPr>
            <w:tcW w:w="1701" w:type="dxa"/>
            <w:tcBorders>
              <w:top w:val="single" w:color="000000" w:sz="4" w:space="0"/>
              <w:left w:val="nil"/>
              <w:bottom w:val="single" w:color="000000" w:sz="4" w:space="0"/>
              <w:right w:val="single" w:color="000000" w:sz="4" w:space="0"/>
            </w:tcBorders>
            <w:vAlign w:val="center"/>
          </w:tcPr>
          <w:p w14:paraId="09CD977D">
            <w:pPr>
              <w:widowControl/>
              <w:adjustRightInd w:val="0"/>
              <w:snapToGrid w:val="0"/>
              <w:jc w:val="center"/>
              <w:rPr>
                <w:rFonts w:ascii="宋体" w:hAnsi="宋体" w:cs="宋体"/>
                <w:kern w:val="0"/>
                <w:szCs w:val="21"/>
              </w:rPr>
            </w:pPr>
          </w:p>
        </w:tc>
      </w:tr>
      <w:tr w14:paraId="5C0D4B64">
        <w:tblPrEx>
          <w:tblCellMar>
            <w:top w:w="0" w:type="dxa"/>
            <w:left w:w="108" w:type="dxa"/>
            <w:bottom w:w="0" w:type="dxa"/>
            <w:right w:w="108" w:type="dxa"/>
          </w:tblCellMar>
        </w:tblPrEx>
        <w:trPr>
          <w:trHeight w:val="505" w:hRule="atLeast"/>
        </w:trPr>
        <w:tc>
          <w:tcPr>
            <w:tcW w:w="6272" w:type="dxa"/>
            <w:gridSpan w:val="6"/>
            <w:tcBorders>
              <w:top w:val="single" w:color="000000" w:sz="4" w:space="0"/>
              <w:left w:val="single" w:color="000000" w:sz="4" w:space="0"/>
              <w:bottom w:val="single" w:color="000000" w:sz="4" w:space="0"/>
              <w:right w:val="single" w:color="000000" w:sz="4" w:space="0"/>
            </w:tcBorders>
            <w:vAlign w:val="center"/>
          </w:tcPr>
          <w:p w14:paraId="0E8E1C23">
            <w:pPr>
              <w:widowControl/>
              <w:adjustRightInd w:val="0"/>
              <w:snapToGrid w:val="0"/>
              <w:jc w:val="center"/>
              <w:rPr>
                <w:rFonts w:ascii="宋体" w:hAnsi="宋体" w:cs="宋体"/>
                <w:kern w:val="0"/>
                <w:szCs w:val="21"/>
              </w:rPr>
            </w:pPr>
            <w:r>
              <w:rPr>
                <w:rFonts w:hint="eastAsia" w:ascii="宋体" w:hAnsi="宋体" w:cs="宋体"/>
                <w:kern w:val="0"/>
                <w:szCs w:val="21"/>
              </w:rPr>
              <w:t>合计（</w:t>
            </w:r>
            <w:r>
              <w:rPr>
                <w:rFonts w:hint="eastAsia" w:ascii="宋体" w:hAnsi="宋体" w:cs="宋体"/>
                <w:b/>
                <w:kern w:val="0"/>
                <w:szCs w:val="21"/>
              </w:rPr>
              <w:t>此表价格</w:t>
            </w:r>
            <w:r>
              <w:rPr>
                <w:rFonts w:hint="eastAsia" w:ascii="宋体" w:hAnsi="宋体" w:cs="宋体"/>
                <w:b/>
                <w:color w:val="FF0000"/>
                <w:kern w:val="0"/>
                <w:szCs w:val="21"/>
              </w:rPr>
              <w:t>不含在</w:t>
            </w:r>
            <w:r>
              <w:rPr>
                <w:rFonts w:hint="eastAsia" w:ascii="宋体" w:hAnsi="宋体" w:cs="宋体"/>
                <w:b/>
                <w:kern w:val="0"/>
                <w:szCs w:val="21"/>
              </w:rPr>
              <w:t>响应报价总价内</w:t>
            </w:r>
            <w:r>
              <w:rPr>
                <w:rFonts w:hint="eastAsia" w:ascii="宋体" w:hAnsi="宋体" w:cs="宋体"/>
                <w:kern w:val="0"/>
                <w:szCs w:val="21"/>
              </w:rPr>
              <w:t>）</w:t>
            </w:r>
          </w:p>
        </w:tc>
        <w:tc>
          <w:tcPr>
            <w:tcW w:w="1050" w:type="dxa"/>
            <w:tcBorders>
              <w:top w:val="single" w:color="000000" w:sz="4" w:space="0"/>
              <w:left w:val="nil"/>
              <w:bottom w:val="single" w:color="000000" w:sz="4" w:space="0"/>
              <w:right w:val="single" w:color="000000" w:sz="4" w:space="0"/>
            </w:tcBorders>
            <w:vAlign w:val="center"/>
          </w:tcPr>
          <w:p w14:paraId="6544C4AE">
            <w:pPr>
              <w:widowControl/>
              <w:adjustRightInd w:val="0"/>
              <w:snapToGrid w:val="0"/>
              <w:jc w:val="center"/>
              <w:rPr>
                <w:rFonts w:ascii="宋体" w:hAnsi="宋体" w:cs="宋体"/>
                <w:kern w:val="0"/>
                <w:szCs w:val="21"/>
              </w:rPr>
            </w:pPr>
          </w:p>
        </w:tc>
        <w:tc>
          <w:tcPr>
            <w:tcW w:w="7036" w:type="dxa"/>
            <w:gridSpan w:val="5"/>
            <w:tcBorders>
              <w:top w:val="single" w:color="000000" w:sz="4" w:space="0"/>
              <w:left w:val="nil"/>
              <w:bottom w:val="single" w:color="000000" w:sz="4" w:space="0"/>
              <w:right w:val="single" w:color="000000" w:sz="4" w:space="0"/>
            </w:tcBorders>
            <w:vAlign w:val="center"/>
          </w:tcPr>
          <w:p w14:paraId="5FEECEC8">
            <w:pPr>
              <w:widowControl/>
              <w:adjustRightInd w:val="0"/>
              <w:snapToGrid w:val="0"/>
              <w:jc w:val="center"/>
              <w:rPr>
                <w:rFonts w:ascii="宋体" w:hAnsi="宋体" w:cs="宋体"/>
                <w:kern w:val="0"/>
                <w:szCs w:val="21"/>
              </w:rPr>
            </w:pPr>
            <w:r>
              <w:rPr>
                <w:rFonts w:hint="eastAsia" w:ascii="宋体" w:hAnsi="宋体" w:cs="宋体"/>
                <w:kern w:val="0"/>
                <w:szCs w:val="21"/>
              </w:rPr>
              <w:t>/</w:t>
            </w:r>
          </w:p>
        </w:tc>
      </w:tr>
    </w:tbl>
    <w:p w14:paraId="516E295F">
      <w:pPr>
        <w:widowControl/>
        <w:spacing w:line="272" w:lineRule="atLeast"/>
        <w:ind w:left="160" w:right="-20"/>
        <w:rPr>
          <w:rFonts w:ascii="宋体" w:hAnsi="宋体" w:cs="宋体"/>
          <w:kern w:val="0"/>
          <w:szCs w:val="21"/>
        </w:rPr>
      </w:pPr>
    </w:p>
    <w:p w14:paraId="06BA04D4">
      <w:pPr>
        <w:widowControl/>
        <w:spacing w:line="272" w:lineRule="atLeast"/>
        <w:ind w:left="160" w:right="-20"/>
        <w:rPr>
          <w:rFonts w:ascii="宋体" w:hAnsi="宋体" w:cs="宋体"/>
          <w:kern w:val="0"/>
          <w:szCs w:val="21"/>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7DF2C219">
      <w:pPr>
        <w:pStyle w:val="3"/>
        <w:widowControl/>
        <w:wordWrap w:val="0"/>
        <w:spacing w:before="120" w:after="120" w:line="240" w:lineRule="auto"/>
        <w:jc w:val="center"/>
        <w:rPr>
          <w:rFonts w:ascii="宋体" w:hAnsi="宋体" w:cs="宋体"/>
          <w:kern w:val="0"/>
          <w:sz w:val="30"/>
          <w:szCs w:val="30"/>
        </w:rPr>
      </w:pPr>
      <w:bookmarkStart w:id="773" w:name="_Toc466024589"/>
      <w:r>
        <w:rPr>
          <w:rStyle w:val="103"/>
          <w:rFonts w:hint="eastAsia" w:ascii="宋体" w:hAnsi="宋体" w:eastAsia="宋体" w:cs="宋体"/>
          <w:b/>
          <w:bCs w:val="0"/>
          <w:sz w:val="30"/>
          <w:szCs w:val="30"/>
        </w:rPr>
        <w:t>四、供应商综合情况简介</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528D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vAlign w:val="center"/>
          </w:tcPr>
          <w:p w14:paraId="7534A0F1">
            <w:pPr>
              <w:widowControl/>
              <w:wordWrap w:val="0"/>
              <w:adjustRightInd w:val="0"/>
              <w:snapToGrid w:val="0"/>
              <w:rPr>
                <w:rFonts w:ascii="宋体" w:hAnsi="宋体" w:cs="宋体"/>
                <w:kern w:val="0"/>
                <w:szCs w:val="21"/>
              </w:rPr>
            </w:pPr>
            <w:r>
              <w:rPr>
                <w:rFonts w:hint="eastAsia" w:ascii="宋体" w:hAnsi="宋体" w:cs="宋体"/>
                <w:kern w:val="0"/>
                <w:szCs w:val="21"/>
              </w:rPr>
              <w:t>项目名称：</w:t>
            </w:r>
          </w:p>
        </w:tc>
      </w:tr>
      <w:tr w14:paraId="69AF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vAlign w:val="center"/>
          </w:tcPr>
          <w:p w14:paraId="2EF83C38">
            <w:pPr>
              <w:wordWrap w:val="0"/>
              <w:rPr>
                <w:rFonts w:ascii="宋体" w:hAnsi="宋体" w:cs="宋体"/>
                <w:szCs w:val="21"/>
              </w:rPr>
            </w:pPr>
            <w:r>
              <w:rPr>
                <w:rFonts w:hint="eastAsia" w:ascii="宋体" w:hAnsi="宋体" w:cs="宋体"/>
                <w:szCs w:val="21"/>
              </w:rPr>
              <w:t>项目编号</w:t>
            </w:r>
            <w:r>
              <w:rPr>
                <w:rFonts w:hint="eastAsia" w:ascii="宋体" w:hAnsi="宋体" w:cs="宋体"/>
                <w:kern w:val="0"/>
                <w:szCs w:val="21"/>
              </w:rPr>
              <w:t>：</w:t>
            </w:r>
          </w:p>
        </w:tc>
      </w:tr>
      <w:tr w14:paraId="62E9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vAlign w:val="center"/>
          </w:tcPr>
          <w:p w14:paraId="040E96A4">
            <w:pPr>
              <w:wordWrap w:val="0"/>
              <w:spacing w:before="31" w:line="240" w:lineRule="exact"/>
              <w:jc w:val="center"/>
              <w:rPr>
                <w:rFonts w:ascii="宋体" w:hAnsi="宋体" w:cs="宋体"/>
                <w:szCs w:val="21"/>
              </w:rPr>
            </w:pPr>
            <w:r>
              <w:rPr>
                <w:rFonts w:hint="eastAsia" w:ascii="宋体" w:hAnsi="宋体" w:cs="宋体"/>
                <w:kern w:val="0"/>
                <w:szCs w:val="21"/>
              </w:rPr>
              <w:t>供应商</w:t>
            </w:r>
            <w:r>
              <w:rPr>
                <w:rFonts w:hint="eastAsia" w:ascii="宋体" w:hAnsi="宋体" w:cs="宋体"/>
                <w:kern w:val="0"/>
                <w:szCs w:val="21"/>
                <w:lang w:eastAsia="en-US"/>
              </w:rPr>
              <w:t>基本信息</w:t>
            </w:r>
          </w:p>
        </w:tc>
        <w:tc>
          <w:tcPr>
            <w:tcW w:w="1536" w:type="dxa"/>
            <w:vAlign w:val="center"/>
          </w:tcPr>
          <w:p w14:paraId="7D5B8C98">
            <w:pPr>
              <w:widowControl/>
              <w:wordWrap w:val="0"/>
              <w:spacing w:line="240" w:lineRule="exact"/>
              <w:jc w:val="center"/>
              <w:rPr>
                <w:rFonts w:ascii="宋体" w:hAnsi="宋体" w:cs="宋体"/>
                <w:szCs w:val="21"/>
                <w:lang w:eastAsia="en-US"/>
              </w:rPr>
            </w:pPr>
            <w:r>
              <w:rPr>
                <w:rFonts w:hint="eastAsia" w:ascii="宋体" w:hAnsi="宋体" w:cs="宋体"/>
                <w:kern w:val="0"/>
                <w:szCs w:val="21"/>
              </w:rPr>
              <w:t>供应商</w:t>
            </w:r>
            <w:r>
              <w:rPr>
                <w:rFonts w:hint="eastAsia" w:ascii="宋体" w:hAnsi="宋体" w:cs="宋体"/>
                <w:kern w:val="0"/>
                <w:szCs w:val="21"/>
                <w:lang w:eastAsia="en-US"/>
              </w:rPr>
              <w:t>全称</w:t>
            </w:r>
          </w:p>
        </w:tc>
        <w:tc>
          <w:tcPr>
            <w:tcW w:w="6912" w:type="dxa"/>
            <w:gridSpan w:val="3"/>
            <w:vAlign w:val="center"/>
          </w:tcPr>
          <w:p w14:paraId="46D77455">
            <w:pPr>
              <w:keepNext/>
              <w:keepLines/>
              <w:widowControl/>
              <w:spacing w:before="120" w:after="120"/>
              <w:ind w:right="630"/>
              <w:jc w:val="left"/>
              <w:outlineLvl w:val="1"/>
              <w:rPr>
                <w:rFonts w:ascii="宋体" w:hAnsi="宋体" w:cs="宋体"/>
                <w:b/>
                <w:bCs/>
              </w:rPr>
            </w:pPr>
          </w:p>
        </w:tc>
      </w:tr>
      <w:tr w14:paraId="6146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vAlign w:val="center"/>
          </w:tcPr>
          <w:p w14:paraId="08CFD601">
            <w:pPr>
              <w:wordWrap w:val="0"/>
              <w:spacing w:before="31" w:line="240" w:lineRule="exact"/>
              <w:jc w:val="center"/>
              <w:rPr>
                <w:rFonts w:ascii="宋体" w:hAnsi="宋体" w:cs="宋体"/>
                <w:szCs w:val="21"/>
              </w:rPr>
            </w:pPr>
          </w:p>
        </w:tc>
        <w:tc>
          <w:tcPr>
            <w:tcW w:w="1536" w:type="dxa"/>
            <w:vAlign w:val="center"/>
          </w:tcPr>
          <w:p w14:paraId="5F1FEFD3">
            <w:pPr>
              <w:widowControl/>
              <w:wordWrap w:val="0"/>
              <w:spacing w:line="240" w:lineRule="exact"/>
              <w:jc w:val="center"/>
              <w:rPr>
                <w:rFonts w:ascii="宋体" w:hAnsi="宋体" w:cs="宋体"/>
                <w:kern w:val="0"/>
                <w:szCs w:val="21"/>
              </w:rPr>
            </w:pPr>
            <w:r>
              <w:rPr>
                <w:rFonts w:hint="eastAsia" w:ascii="宋体" w:hAnsi="宋体" w:cs="宋体"/>
                <w:kern w:val="0"/>
                <w:szCs w:val="21"/>
              </w:rPr>
              <w:t>注册</w:t>
            </w:r>
            <w:r>
              <w:rPr>
                <w:rFonts w:hint="eastAsia" w:ascii="宋体" w:hAnsi="宋体" w:cs="宋体"/>
                <w:kern w:val="0"/>
                <w:szCs w:val="21"/>
                <w:lang w:eastAsia="en-US"/>
              </w:rPr>
              <w:t>地址</w:t>
            </w:r>
          </w:p>
        </w:tc>
        <w:tc>
          <w:tcPr>
            <w:tcW w:w="6912" w:type="dxa"/>
            <w:gridSpan w:val="3"/>
            <w:vAlign w:val="center"/>
          </w:tcPr>
          <w:p w14:paraId="18048E44">
            <w:pPr>
              <w:widowControl/>
              <w:wordWrap w:val="0"/>
              <w:spacing w:line="240" w:lineRule="exact"/>
              <w:jc w:val="center"/>
              <w:rPr>
                <w:rFonts w:ascii="宋体" w:hAnsi="宋体" w:cs="宋体"/>
                <w:kern w:val="0"/>
                <w:szCs w:val="21"/>
              </w:rPr>
            </w:pPr>
          </w:p>
        </w:tc>
      </w:tr>
      <w:tr w14:paraId="32D6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vAlign w:val="center"/>
          </w:tcPr>
          <w:p w14:paraId="4BF259D5">
            <w:pPr>
              <w:wordWrap w:val="0"/>
              <w:rPr>
                <w:rFonts w:ascii="宋体" w:hAnsi="宋体" w:cs="宋体"/>
                <w:szCs w:val="21"/>
              </w:rPr>
            </w:pPr>
          </w:p>
        </w:tc>
        <w:tc>
          <w:tcPr>
            <w:tcW w:w="1536" w:type="dxa"/>
            <w:vAlign w:val="center"/>
          </w:tcPr>
          <w:p w14:paraId="51EA4433">
            <w:pPr>
              <w:widowControl/>
              <w:wordWrap w:val="0"/>
              <w:spacing w:line="240" w:lineRule="exact"/>
              <w:jc w:val="center"/>
              <w:rPr>
                <w:rFonts w:ascii="宋体" w:hAnsi="宋体" w:cs="宋体"/>
                <w:kern w:val="0"/>
                <w:szCs w:val="21"/>
              </w:rPr>
            </w:pPr>
            <w:r>
              <w:rPr>
                <w:rFonts w:hint="eastAsia" w:ascii="宋体" w:hAnsi="宋体" w:cs="宋体"/>
                <w:kern w:val="0"/>
                <w:szCs w:val="21"/>
                <w:lang w:eastAsia="en-US"/>
              </w:rPr>
              <w:t>联系人</w:t>
            </w:r>
          </w:p>
        </w:tc>
        <w:tc>
          <w:tcPr>
            <w:tcW w:w="2579" w:type="dxa"/>
            <w:vAlign w:val="center"/>
          </w:tcPr>
          <w:p w14:paraId="2DB4FC9A">
            <w:pPr>
              <w:widowControl/>
              <w:wordWrap w:val="0"/>
              <w:spacing w:line="240" w:lineRule="exact"/>
              <w:jc w:val="center"/>
              <w:rPr>
                <w:rFonts w:ascii="宋体" w:hAnsi="宋体" w:cs="宋体"/>
                <w:kern w:val="0"/>
                <w:szCs w:val="21"/>
              </w:rPr>
            </w:pPr>
          </w:p>
        </w:tc>
        <w:tc>
          <w:tcPr>
            <w:tcW w:w="1674" w:type="dxa"/>
            <w:vAlign w:val="center"/>
          </w:tcPr>
          <w:p w14:paraId="35565A05">
            <w:pPr>
              <w:widowControl/>
              <w:wordWrap w:val="0"/>
              <w:spacing w:line="240" w:lineRule="exact"/>
              <w:jc w:val="center"/>
              <w:rPr>
                <w:rFonts w:ascii="宋体" w:hAnsi="宋体" w:cs="宋体"/>
                <w:kern w:val="0"/>
                <w:szCs w:val="21"/>
              </w:rPr>
            </w:pPr>
            <w:r>
              <w:rPr>
                <w:rFonts w:hint="eastAsia" w:ascii="宋体" w:hAnsi="宋体" w:cs="宋体"/>
                <w:kern w:val="0"/>
                <w:szCs w:val="21"/>
                <w:lang w:eastAsia="en-US"/>
              </w:rPr>
              <w:t>联系电话</w:t>
            </w:r>
          </w:p>
        </w:tc>
        <w:tc>
          <w:tcPr>
            <w:tcW w:w="2659" w:type="dxa"/>
            <w:vAlign w:val="center"/>
          </w:tcPr>
          <w:p w14:paraId="02B36C7E">
            <w:pPr>
              <w:widowControl/>
              <w:wordWrap w:val="0"/>
              <w:spacing w:line="240" w:lineRule="exact"/>
              <w:jc w:val="center"/>
              <w:rPr>
                <w:rFonts w:ascii="宋体" w:hAnsi="宋体" w:cs="宋体"/>
                <w:kern w:val="0"/>
                <w:szCs w:val="21"/>
              </w:rPr>
            </w:pPr>
          </w:p>
        </w:tc>
      </w:tr>
      <w:tr w14:paraId="7DDD5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vAlign w:val="center"/>
          </w:tcPr>
          <w:p w14:paraId="68F070BB">
            <w:pPr>
              <w:wordWrap w:val="0"/>
              <w:spacing w:before="120" w:beforeLines="50" w:line="480" w:lineRule="auto"/>
              <w:rPr>
                <w:rFonts w:ascii="宋体" w:hAnsi="宋体" w:cs="宋体"/>
                <w:szCs w:val="21"/>
              </w:rPr>
            </w:pPr>
            <w:r>
              <w:rPr>
                <w:rFonts w:hint="eastAsia" w:ascii="宋体" w:hAnsi="宋体" w:cs="宋体"/>
                <w:szCs w:val="21"/>
              </w:rPr>
              <w:t>供应商公章：</w:t>
            </w:r>
          </w:p>
          <w:p w14:paraId="717D6CD8">
            <w:pPr>
              <w:wordWrap w:val="0"/>
              <w:spacing w:line="480" w:lineRule="auto"/>
              <w:rPr>
                <w:rFonts w:ascii="宋体" w:hAnsi="宋体" w:cs="宋体"/>
                <w:szCs w:val="21"/>
              </w:rPr>
            </w:pPr>
            <w:r>
              <w:rPr>
                <w:rFonts w:hint="eastAsia" w:ascii="宋体" w:hAnsi="宋体" w:cs="宋体"/>
                <w:szCs w:val="21"/>
              </w:rPr>
              <w:t>填表日期：</w:t>
            </w:r>
          </w:p>
        </w:tc>
      </w:tr>
      <w:tr w14:paraId="6B3E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9854" w:type="dxa"/>
            <w:gridSpan w:val="5"/>
            <w:vAlign w:val="center"/>
          </w:tcPr>
          <w:p w14:paraId="23D4ABBF">
            <w:pPr>
              <w:wordWrap w:val="0"/>
              <w:spacing w:before="120" w:beforeLines="50" w:line="360" w:lineRule="auto"/>
              <w:rPr>
                <w:rFonts w:ascii="宋体" w:hAnsi="宋体" w:cs="宋体"/>
              </w:rPr>
            </w:pPr>
            <w:r>
              <w:rPr>
                <w:rFonts w:hint="eastAsia" w:ascii="宋体" w:hAnsi="宋体" w:cs="宋体"/>
              </w:rPr>
              <w:t>填表说明：</w:t>
            </w:r>
          </w:p>
          <w:p w14:paraId="27321746">
            <w:pPr>
              <w:wordWrap w:val="0"/>
              <w:spacing w:line="360" w:lineRule="auto"/>
              <w:rPr>
                <w:rFonts w:ascii="宋体" w:hAnsi="宋体" w:cs="宋体"/>
                <w:kern w:val="0"/>
              </w:rPr>
            </w:pPr>
            <w:r>
              <w:rPr>
                <w:rFonts w:hint="eastAsia" w:ascii="宋体" w:hAnsi="宋体" w:cs="宋体"/>
              </w:rPr>
              <w:t>请填表人认真、准确填写，并加盖单位公章，为便于成交后进行政府采购合同备案，请填写完整。</w:t>
            </w:r>
          </w:p>
        </w:tc>
      </w:tr>
    </w:tbl>
    <w:p w14:paraId="7B8EB10D">
      <w:pPr>
        <w:pStyle w:val="3"/>
        <w:widowControl/>
        <w:spacing w:before="120" w:after="120" w:line="240" w:lineRule="auto"/>
        <w:jc w:val="center"/>
        <w:rPr>
          <w:rStyle w:val="103"/>
          <w:rFonts w:ascii="宋体" w:hAnsi="宋体" w:eastAsia="宋体" w:cs="宋体"/>
          <w:b/>
          <w:bCs/>
          <w:sz w:val="30"/>
          <w:szCs w:val="30"/>
        </w:rPr>
      </w:pPr>
      <w:r>
        <w:rPr>
          <w:rFonts w:ascii="仿宋" w:hAnsi="仿宋" w:eastAsia="仿宋"/>
          <w:kern w:val="0"/>
          <w:szCs w:val="21"/>
        </w:rPr>
        <w:br w:type="page"/>
      </w:r>
      <w:r>
        <w:rPr>
          <w:rStyle w:val="103"/>
          <w:rFonts w:hint="eastAsia" w:ascii="宋体" w:hAnsi="宋体" w:eastAsia="宋体" w:cs="宋体"/>
          <w:b/>
          <w:bCs/>
          <w:sz w:val="30"/>
          <w:szCs w:val="30"/>
        </w:rPr>
        <w:t>五、</w:t>
      </w:r>
      <w:bookmarkEnd w:id="773"/>
      <w:r>
        <w:rPr>
          <w:rStyle w:val="103"/>
          <w:rFonts w:hint="eastAsia" w:ascii="宋体" w:hAnsi="宋体" w:eastAsia="宋体" w:cs="宋体"/>
          <w:b/>
          <w:bCs/>
          <w:sz w:val="30"/>
          <w:szCs w:val="30"/>
        </w:rPr>
        <w:t>中小企业声明函（货物）</w:t>
      </w:r>
    </w:p>
    <w:p w14:paraId="393B17E7">
      <w:pPr>
        <w:pStyle w:val="18"/>
        <w:snapToGrid w:val="0"/>
        <w:spacing w:line="360" w:lineRule="auto"/>
        <w:ind w:firstLine="420" w:firstLineChars="200"/>
        <w:rPr>
          <w:rFonts w:ascii="宋体" w:hAnsi="宋体" w:eastAsia="宋体" w:cs="宋体"/>
          <w:sz w:val="21"/>
          <w:szCs w:val="21"/>
        </w:rPr>
      </w:pPr>
    </w:p>
    <w:p w14:paraId="68AF5B90">
      <w:pPr>
        <w:pStyle w:val="41"/>
        <w:widowControl w:val="0"/>
        <w:autoSpaceDE w:val="0"/>
        <w:autoSpaceDN w:val="0"/>
        <w:snapToGrid w:val="0"/>
        <w:spacing w:before="0" w:beforeAutospacing="0" w:after="0" w:afterAutospacing="0" w:line="360" w:lineRule="auto"/>
        <w:ind w:left="220" w:right="405" w:firstLine="420" w:firstLineChars="200"/>
        <w:rPr>
          <w:rFonts w:cs="宋体"/>
          <w:color w:val="auto"/>
          <w:kern w:val="2"/>
          <w:sz w:val="21"/>
          <w:szCs w:val="21"/>
        </w:rPr>
      </w:pPr>
      <w:r>
        <w:rPr>
          <w:rFonts w:hint="eastAsia" w:cs="宋体"/>
          <w:color w:val="auto"/>
          <w:kern w:val="2"/>
          <w:sz w:val="21"/>
          <w:szCs w:val="21"/>
        </w:rPr>
        <w:t>本公司（联合体）郑重声明，根据《政府采购促进中小企业发展管理办法》（财库﹝2020﹞46号）的规定，本公司（联合体）参加</w:t>
      </w:r>
      <w:r>
        <w:rPr>
          <w:rFonts w:hint="eastAsia" w:cs="宋体"/>
          <w:i/>
          <w:sz w:val="21"/>
          <w:szCs w:val="21"/>
          <w:u w:val="single" w:color="000000"/>
          <w:lang w:bidi="ar"/>
        </w:rPr>
        <w:t>（单位名称）</w:t>
      </w:r>
      <w:r>
        <w:rPr>
          <w:rFonts w:hint="eastAsia" w:cs="宋体"/>
          <w:color w:val="auto"/>
          <w:kern w:val="2"/>
          <w:sz w:val="21"/>
          <w:szCs w:val="21"/>
        </w:rPr>
        <w:t>的</w:t>
      </w:r>
      <w:r>
        <w:rPr>
          <w:rFonts w:hint="eastAsia" w:cs="宋体"/>
          <w:i/>
          <w:sz w:val="21"/>
          <w:szCs w:val="21"/>
          <w:u w:val="single" w:color="000000"/>
          <w:lang w:bidi="ar"/>
        </w:rPr>
        <w:t>（项目名称）</w:t>
      </w:r>
      <w:r>
        <w:rPr>
          <w:rFonts w:hint="eastAsia" w:cs="宋体"/>
          <w:color w:val="auto"/>
          <w:kern w:val="2"/>
          <w:sz w:val="21"/>
          <w:szCs w:val="21"/>
        </w:rPr>
        <w:t>采购活动，提供的货物全部由符合政策要求的中小企业制造。相关企业（含联合体中的中小企业、签订分包意向协议的中小企业）的具体情况如下：</w:t>
      </w:r>
    </w:p>
    <w:p w14:paraId="63EBBEB4">
      <w:pPr>
        <w:pStyle w:val="41"/>
        <w:widowControl w:val="0"/>
        <w:autoSpaceDE w:val="0"/>
        <w:autoSpaceDN w:val="0"/>
        <w:snapToGrid w:val="0"/>
        <w:spacing w:before="0" w:beforeAutospacing="0" w:after="0" w:afterAutospacing="0" w:line="360" w:lineRule="auto"/>
        <w:ind w:left="220" w:right="405" w:firstLine="420" w:firstLineChars="200"/>
        <w:rPr>
          <w:rFonts w:cs="宋体"/>
          <w:color w:val="auto"/>
          <w:kern w:val="2"/>
          <w:sz w:val="21"/>
          <w:szCs w:val="21"/>
        </w:rPr>
      </w:pPr>
      <w:r>
        <w:rPr>
          <w:rFonts w:hint="eastAsia" w:cs="宋体"/>
          <w:color w:val="auto"/>
          <w:kern w:val="2"/>
          <w:sz w:val="21"/>
          <w:szCs w:val="21"/>
        </w:rPr>
        <w:t>1.</w:t>
      </w:r>
      <w:r>
        <w:rPr>
          <w:rFonts w:hint="eastAsia" w:cs="宋体"/>
          <w:i/>
          <w:iCs/>
          <w:color w:val="auto"/>
          <w:kern w:val="2"/>
          <w:sz w:val="21"/>
          <w:szCs w:val="21"/>
          <w:u w:val="single"/>
        </w:rPr>
        <w:t xml:space="preserve"> （标的名称） </w:t>
      </w:r>
      <w:r>
        <w:rPr>
          <w:rFonts w:hint="eastAsia" w:cs="宋体"/>
          <w:color w:val="auto"/>
          <w:kern w:val="2"/>
          <w:sz w:val="21"/>
          <w:szCs w:val="21"/>
        </w:rPr>
        <w:t>，属于</w:t>
      </w:r>
      <w:r>
        <w:rPr>
          <w:rFonts w:hint="eastAsia" w:cs="宋体"/>
          <w:i/>
          <w:iCs/>
          <w:color w:val="auto"/>
          <w:kern w:val="2"/>
          <w:sz w:val="21"/>
          <w:szCs w:val="21"/>
          <w:u w:val="single"/>
        </w:rPr>
        <w:t>（采购文件中明确的所属行业）行业</w:t>
      </w:r>
      <w:r>
        <w:rPr>
          <w:rFonts w:hint="eastAsia" w:cs="宋体"/>
          <w:color w:val="auto"/>
          <w:kern w:val="2"/>
          <w:sz w:val="21"/>
          <w:szCs w:val="21"/>
        </w:rPr>
        <w:t>；制造商为</w:t>
      </w:r>
      <w:r>
        <w:rPr>
          <w:rFonts w:hint="eastAsia" w:cs="宋体"/>
          <w:i/>
          <w:iCs/>
          <w:color w:val="auto"/>
          <w:kern w:val="2"/>
          <w:sz w:val="21"/>
          <w:szCs w:val="21"/>
          <w:u w:val="single"/>
        </w:rPr>
        <w:t>（企业名称）</w:t>
      </w:r>
      <w:r>
        <w:rPr>
          <w:rFonts w:hint="eastAsia" w:cs="宋体"/>
          <w:color w:val="auto"/>
          <w:kern w:val="2"/>
          <w:sz w:val="21"/>
          <w:szCs w:val="21"/>
        </w:rPr>
        <w:t>，从业人员</w:t>
      </w:r>
      <w:r>
        <w:rPr>
          <w:rFonts w:hint="eastAsia" w:cs="宋体"/>
          <w:color w:val="auto"/>
          <w:kern w:val="2"/>
          <w:sz w:val="21"/>
          <w:szCs w:val="21"/>
          <w:u w:val="single"/>
        </w:rPr>
        <w:t xml:space="preserve">     </w:t>
      </w:r>
      <w:r>
        <w:rPr>
          <w:rFonts w:hint="eastAsia" w:cs="宋体"/>
          <w:color w:val="auto"/>
          <w:kern w:val="2"/>
          <w:sz w:val="21"/>
          <w:szCs w:val="21"/>
        </w:rPr>
        <w:t>人，营业收入为</w:t>
      </w:r>
      <w:r>
        <w:rPr>
          <w:rFonts w:hint="eastAsia" w:cs="宋体"/>
          <w:color w:val="auto"/>
          <w:kern w:val="2"/>
          <w:sz w:val="21"/>
          <w:szCs w:val="21"/>
          <w:u w:val="single"/>
        </w:rPr>
        <w:t xml:space="preserve">     </w:t>
      </w:r>
      <w:r>
        <w:rPr>
          <w:rFonts w:hint="eastAsia" w:cs="宋体"/>
          <w:color w:val="auto"/>
          <w:kern w:val="2"/>
          <w:sz w:val="21"/>
          <w:szCs w:val="21"/>
        </w:rPr>
        <w:t>万元，资产总额为</w:t>
      </w:r>
      <w:r>
        <w:rPr>
          <w:rFonts w:hint="eastAsia" w:cs="宋体"/>
          <w:color w:val="auto"/>
          <w:kern w:val="2"/>
          <w:sz w:val="21"/>
          <w:szCs w:val="21"/>
          <w:u w:val="single"/>
        </w:rPr>
        <w:t xml:space="preserve">     </w:t>
      </w:r>
      <w:r>
        <w:rPr>
          <w:rFonts w:hint="eastAsia" w:cs="宋体"/>
          <w:color w:val="auto"/>
          <w:kern w:val="2"/>
          <w:sz w:val="21"/>
          <w:szCs w:val="21"/>
        </w:rPr>
        <w:t>万元</w:t>
      </w:r>
      <w:r>
        <w:rPr>
          <w:rFonts w:hint="eastAsia" w:cs="宋体"/>
          <w:color w:val="auto"/>
          <w:kern w:val="2"/>
          <w:sz w:val="21"/>
          <w:szCs w:val="21"/>
          <w:vertAlign w:val="superscript"/>
        </w:rPr>
        <w:footnoteReference w:id="0"/>
      </w:r>
      <w:r>
        <w:rPr>
          <w:rFonts w:hint="eastAsia" w:cs="宋体"/>
          <w:color w:val="auto"/>
          <w:kern w:val="2"/>
          <w:sz w:val="21"/>
          <w:szCs w:val="21"/>
        </w:rPr>
        <w:t>，属于</w:t>
      </w:r>
      <w:r>
        <w:rPr>
          <w:rFonts w:hint="eastAsia" w:cs="宋体"/>
          <w:i/>
          <w:iCs/>
          <w:color w:val="auto"/>
          <w:kern w:val="2"/>
          <w:sz w:val="21"/>
          <w:szCs w:val="21"/>
          <w:u w:val="single"/>
        </w:rPr>
        <w:t>（中型企业、小型企业、微型企业）</w:t>
      </w:r>
      <w:r>
        <w:rPr>
          <w:rFonts w:hint="eastAsia" w:cs="宋体"/>
          <w:color w:val="auto"/>
          <w:kern w:val="2"/>
          <w:sz w:val="21"/>
          <w:szCs w:val="21"/>
        </w:rPr>
        <w:t>；</w:t>
      </w:r>
    </w:p>
    <w:p w14:paraId="7D2DB50D">
      <w:pPr>
        <w:pStyle w:val="41"/>
        <w:widowControl w:val="0"/>
        <w:autoSpaceDE w:val="0"/>
        <w:autoSpaceDN w:val="0"/>
        <w:snapToGrid w:val="0"/>
        <w:spacing w:before="0" w:beforeAutospacing="0" w:after="0" w:afterAutospacing="0" w:line="360" w:lineRule="auto"/>
        <w:ind w:left="220" w:right="405" w:firstLine="420" w:firstLineChars="200"/>
        <w:rPr>
          <w:rFonts w:cs="宋体"/>
          <w:color w:val="auto"/>
          <w:kern w:val="2"/>
          <w:sz w:val="21"/>
          <w:szCs w:val="21"/>
        </w:rPr>
      </w:pPr>
      <w:r>
        <w:rPr>
          <w:rFonts w:hint="eastAsia" w:cs="宋体"/>
          <w:color w:val="auto"/>
          <w:kern w:val="2"/>
          <w:sz w:val="21"/>
          <w:szCs w:val="21"/>
        </w:rPr>
        <w:t>2.</w:t>
      </w:r>
      <w:r>
        <w:rPr>
          <w:rFonts w:hint="eastAsia" w:cs="宋体"/>
          <w:i/>
          <w:iCs/>
          <w:color w:val="auto"/>
          <w:kern w:val="2"/>
          <w:sz w:val="21"/>
          <w:szCs w:val="21"/>
          <w:u w:val="single"/>
        </w:rPr>
        <w:t xml:space="preserve"> （标的名称） </w:t>
      </w:r>
      <w:r>
        <w:rPr>
          <w:rFonts w:hint="eastAsia" w:cs="宋体"/>
          <w:color w:val="auto"/>
          <w:kern w:val="2"/>
          <w:sz w:val="21"/>
          <w:szCs w:val="21"/>
        </w:rPr>
        <w:t>，属于</w:t>
      </w:r>
      <w:r>
        <w:rPr>
          <w:rFonts w:hint="eastAsia" w:cs="宋体"/>
          <w:i/>
          <w:iCs/>
          <w:color w:val="auto"/>
          <w:kern w:val="2"/>
          <w:sz w:val="21"/>
          <w:szCs w:val="21"/>
          <w:u w:val="single"/>
        </w:rPr>
        <w:t>（采购文件中明确的所属行业）行业</w:t>
      </w:r>
      <w:r>
        <w:rPr>
          <w:rFonts w:hint="eastAsia" w:cs="宋体"/>
          <w:color w:val="auto"/>
          <w:kern w:val="2"/>
          <w:sz w:val="21"/>
          <w:szCs w:val="21"/>
        </w:rPr>
        <w:t>；制造商为</w:t>
      </w:r>
      <w:r>
        <w:rPr>
          <w:rFonts w:hint="eastAsia" w:cs="宋体"/>
          <w:i/>
          <w:iCs/>
          <w:color w:val="auto"/>
          <w:kern w:val="2"/>
          <w:sz w:val="21"/>
          <w:szCs w:val="21"/>
          <w:u w:val="single"/>
        </w:rPr>
        <w:t>（企业名称）</w:t>
      </w:r>
      <w:r>
        <w:rPr>
          <w:rFonts w:hint="eastAsia" w:cs="宋体"/>
          <w:color w:val="auto"/>
          <w:kern w:val="2"/>
          <w:sz w:val="21"/>
          <w:szCs w:val="21"/>
        </w:rPr>
        <w:t>，从业人员</w:t>
      </w:r>
      <w:r>
        <w:rPr>
          <w:rFonts w:hint="eastAsia" w:cs="宋体"/>
          <w:color w:val="auto"/>
          <w:kern w:val="2"/>
          <w:sz w:val="21"/>
          <w:szCs w:val="21"/>
          <w:u w:val="single"/>
        </w:rPr>
        <w:t xml:space="preserve">     </w:t>
      </w:r>
      <w:r>
        <w:rPr>
          <w:rFonts w:hint="eastAsia" w:cs="宋体"/>
          <w:color w:val="auto"/>
          <w:kern w:val="2"/>
          <w:sz w:val="21"/>
          <w:szCs w:val="21"/>
        </w:rPr>
        <w:t>人，营业收入为</w:t>
      </w:r>
      <w:r>
        <w:rPr>
          <w:rFonts w:hint="eastAsia" w:cs="宋体"/>
          <w:color w:val="auto"/>
          <w:kern w:val="2"/>
          <w:sz w:val="21"/>
          <w:szCs w:val="21"/>
          <w:u w:val="single"/>
        </w:rPr>
        <w:t xml:space="preserve">     </w:t>
      </w:r>
      <w:r>
        <w:rPr>
          <w:rFonts w:hint="eastAsia" w:cs="宋体"/>
          <w:color w:val="auto"/>
          <w:kern w:val="2"/>
          <w:sz w:val="21"/>
          <w:szCs w:val="21"/>
        </w:rPr>
        <w:t>万元，资产总额为</w:t>
      </w:r>
      <w:r>
        <w:rPr>
          <w:rFonts w:hint="eastAsia" w:cs="宋体"/>
          <w:color w:val="auto"/>
          <w:kern w:val="2"/>
          <w:sz w:val="21"/>
          <w:szCs w:val="21"/>
          <w:u w:val="single"/>
        </w:rPr>
        <w:t xml:space="preserve">     </w:t>
      </w:r>
      <w:r>
        <w:rPr>
          <w:rFonts w:hint="eastAsia" w:cs="宋体"/>
          <w:color w:val="auto"/>
          <w:kern w:val="2"/>
          <w:sz w:val="21"/>
          <w:szCs w:val="21"/>
        </w:rPr>
        <w:t>万元，属于</w:t>
      </w:r>
      <w:r>
        <w:rPr>
          <w:rFonts w:hint="eastAsia" w:cs="宋体"/>
          <w:i/>
          <w:iCs/>
          <w:color w:val="auto"/>
          <w:kern w:val="2"/>
          <w:sz w:val="21"/>
          <w:szCs w:val="21"/>
          <w:u w:val="single"/>
        </w:rPr>
        <w:t>（中型企业、小型企业、微型企业）</w:t>
      </w:r>
      <w:r>
        <w:rPr>
          <w:rFonts w:hint="eastAsia" w:cs="宋体"/>
          <w:color w:val="auto"/>
          <w:kern w:val="2"/>
          <w:sz w:val="21"/>
          <w:szCs w:val="21"/>
        </w:rPr>
        <w:t>；</w:t>
      </w:r>
    </w:p>
    <w:p w14:paraId="304FE015">
      <w:pPr>
        <w:pStyle w:val="41"/>
        <w:widowControl w:val="0"/>
        <w:autoSpaceDE w:val="0"/>
        <w:autoSpaceDN w:val="0"/>
        <w:snapToGrid w:val="0"/>
        <w:spacing w:before="0" w:beforeAutospacing="0" w:after="0" w:afterAutospacing="0" w:line="360" w:lineRule="auto"/>
        <w:ind w:left="220" w:right="405" w:firstLine="420" w:firstLineChars="200"/>
        <w:rPr>
          <w:rFonts w:cs="宋体"/>
          <w:color w:val="auto"/>
          <w:kern w:val="2"/>
          <w:sz w:val="21"/>
          <w:szCs w:val="21"/>
        </w:rPr>
      </w:pPr>
      <w:r>
        <w:rPr>
          <w:rFonts w:hint="eastAsia" w:cs="宋体"/>
          <w:color w:val="auto"/>
          <w:kern w:val="2"/>
          <w:sz w:val="21"/>
          <w:szCs w:val="21"/>
        </w:rPr>
        <w:t>……</w:t>
      </w:r>
    </w:p>
    <w:p w14:paraId="1D956673">
      <w:pPr>
        <w:pStyle w:val="41"/>
        <w:widowControl w:val="0"/>
        <w:autoSpaceDE w:val="0"/>
        <w:autoSpaceDN w:val="0"/>
        <w:snapToGrid w:val="0"/>
        <w:spacing w:before="0" w:beforeAutospacing="0" w:after="0" w:afterAutospacing="0" w:line="360" w:lineRule="auto"/>
        <w:ind w:right="397" w:rightChars="189" w:firstLine="420" w:firstLineChars="200"/>
        <w:rPr>
          <w:rFonts w:cs="宋体"/>
          <w:snapToGrid w:val="0"/>
          <w:sz w:val="21"/>
          <w:szCs w:val="21"/>
          <w:lang w:bidi="ar"/>
        </w:rPr>
      </w:pPr>
      <w:r>
        <w:rPr>
          <w:rFonts w:hint="eastAsia" w:cs="宋体"/>
          <w:snapToGrid w:val="0"/>
          <w:sz w:val="21"/>
          <w:szCs w:val="21"/>
          <w:lang w:bidi="ar"/>
        </w:rPr>
        <w:t>以上企业，不属于大企业的分支机构，不存在控股股东为大企业的情形，也不存在与大企业的负责人为同一人的情形。</w:t>
      </w:r>
    </w:p>
    <w:p w14:paraId="4E245C47">
      <w:pPr>
        <w:pStyle w:val="41"/>
        <w:widowControl w:val="0"/>
        <w:autoSpaceDE w:val="0"/>
        <w:autoSpaceDN w:val="0"/>
        <w:snapToGrid w:val="0"/>
        <w:spacing w:before="0" w:beforeAutospacing="0" w:after="0" w:afterAutospacing="0" w:line="360" w:lineRule="auto"/>
        <w:ind w:firstLine="420" w:firstLineChars="200"/>
        <w:rPr>
          <w:rFonts w:cs="宋体"/>
          <w:snapToGrid w:val="0"/>
          <w:sz w:val="21"/>
          <w:szCs w:val="21"/>
        </w:rPr>
      </w:pPr>
      <w:r>
        <w:rPr>
          <w:rFonts w:hint="eastAsia" w:cs="宋体"/>
          <w:snapToGrid w:val="0"/>
          <w:sz w:val="21"/>
          <w:szCs w:val="21"/>
          <w:lang w:bidi="ar"/>
        </w:rPr>
        <w:t>本企业对上述声明内容的真实性负责。如有虚假，将依法承担相应责任。</w:t>
      </w:r>
    </w:p>
    <w:p w14:paraId="5C6F79F3">
      <w:pPr>
        <w:pStyle w:val="41"/>
        <w:widowControl w:val="0"/>
        <w:autoSpaceDE w:val="0"/>
        <w:autoSpaceDN w:val="0"/>
        <w:snapToGrid w:val="0"/>
        <w:spacing w:before="35" w:beforeAutospacing="0" w:after="0" w:afterAutospacing="0" w:line="360" w:lineRule="auto"/>
        <w:ind w:left="4060" w:right="2166" w:firstLine="420" w:firstLineChars="200"/>
        <w:rPr>
          <w:rFonts w:cs="宋体"/>
          <w:snapToGrid w:val="0"/>
          <w:sz w:val="21"/>
          <w:szCs w:val="21"/>
          <w:lang w:bidi="ar"/>
        </w:rPr>
      </w:pPr>
      <w:r>
        <w:rPr>
          <w:rFonts w:hint="eastAsia" w:cs="宋体"/>
          <w:snapToGrid w:val="0"/>
          <w:sz w:val="21"/>
          <w:szCs w:val="21"/>
          <w:lang w:bidi="ar"/>
        </w:rPr>
        <w:t>企业名称（盖章）：</w:t>
      </w:r>
    </w:p>
    <w:p w14:paraId="4137900D">
      <w:pPr>
        <w:pStyle w:val="41"/>
        <w:widowControl w:val="0"/>
        <w:autoSpaceDE w:val="0"/>
        <w:autoSpaceDN w:val="0"/>
        <w:snapToGrid w:val="0"/>
        <w:spacing w:before="35" w:beforeAutospacing="0" w:after="0" w:afterAutospacing="0" w:line="360" w:lineRule="auto"/>
        <w:ind w:left="4060" w:right="2166" w:firstLine="420" w:firstLineChars="200"/>
        <w:rPr>
          <w:rFonts w:cs="宋体"/>
          <w:snapToGrid w:val="0"/>
          <w:sz w:val="21"/>
          <w:szCs w:val="21"/>
          <w:lang w:bidi="ar"/>
        </w:rPr>
      </w:pPr>
      <w:r>
        <w:rPr>
          <w:rFonts w:hint="eastAsia" w:cs="宋体"/>
          <w:snapToGrid w:val="0"/>
          <w:sz w:val="21"/>
          <w:szCs w:val="21"/>
          <w:lang w:bidi="ar"/>
        </w:rPr>
        <w:t>日期：</w:t>
      </w:r>
    </w:p>
    <w:p w14:paraId="3A089872">
      <w:pPr>
        <w:pStyle w:val="41"/>
        <w:widowControl w:val="0"/>
        <w:autoSpaceDE w:val="0"/>
        <w:autoSpaceDN w:val="0"/>
        <w:snapToGrid w:val="0"/>
        <w:spacing w:before="0" w:beforeAutospacing="0" w:after="0" w:afterAutospacing="0" w:line="360" w:lineRule="auto"/>
        <w:ind w:firstLine="420" w:firstLineChars="200"/>
        <w:rPr>
          <w:rFonts w:cs="宋体"/>
          <w:snapToGrid w:val="0"/>
          <w:sz w:val="21"/>
          <w:szCs w:val="21"/>
          <w:lang w:bidi="ar"/>
        </w:rPr>
      </w:pPr>
      <w:r>
        <w:rPr>
          <w:rFonts w:hint="eastAsia" w:cs="宋体"/>
          <w:snapToGrid w:val="0"/>
          <w:sz w:val="21"/>
          <w:szCs w:val="21"/>
          <w:lang w:bidi="ar"/>
        </w:rPr>
        <w:t>注一：不符合中小企业扶持政策的，或所有标的信息不能填写全面的，无需提供；请供应商务必全面、准确了解相关政策、产品及制造商等相关信息后，谨慎提交。</w:t>
      </w:r>
    </w:p>
    <w:p w14:paraId="4E837A5F">
      <w:pPr>
        <w:tabs>
          <w:tab w:val="left" w:pos="1183"/>
          <w:tab w:val="left" w:pos="1484"/>
          <w:tab w:val="left" w:pos="4662"/>
          <w:tab w:val="left" w:pos="6903"/>
        </w:tabs>
        <w:snapToGrid w:val="0"/>
        <w:spacing w:line="360" w:lineRule="auto"/>
        <w:ind w:firstLine="442" w:firstLineChars="200"/>
        <w:rPr>
          <w:rFonts w:ascii="宋体" w:hAnsi="宋体"/>
          <w:b/>
          <w:sz w:val="22"/>
          <w:szCs w:val="21"/>
        </w:rPr>
      </w:pPr>
      <w:r>
        <w:rPr>
          <w:rFonts w:hint="eastAsia" w:ascii="宋体" w:hAnsi="宋体"/>
          <w:b/>
          <w:sz w:val="22"/>
          <w:szCs w:val="21"/>
        </w:rPr>
        <w:t>供应商须</w:t>
      </w:r>
      <w:r>
        <w:rPr>
          <w:rFonts w:ascii="宋体" w:hAnsi="宋体"/>
          <w:b/>
          <w:sz w:val="22"/>
          <w:szCs w:val="21"/>
        </w:rPr>
        <w:t>对</w:t>
      </w:r>
      <w:r>
        <w:rPr>
          <w:rFonts w:hint="eastAsia" w:ascii="宋体" w:hAnsi="宋体"/>
          <w:b/>
          <w:sz w:val="22"/>
          <w:szCs w:val="21"/>
        </w:rPr>
        <w:t>《中小企业声明函》</w:t>
      </w:r>
      <w:r>
        <w:rPr>
          <w:rFonts w:ascii="宋体" w:hAnsi="宋体"/>
          <w:b/>
          <w:sz w:val="22"/>
          <w:szCs w:val="21"/>
        </w:rPr>
        <w:t>的真实性负责。如有虚假，</w:t>
      </w:r>
      <w:r>
        <w:rPr>
          <w:rFonts w:ascii="宋体" w:hAnsi="宋体"/>
          <w:b/>
          <w:sz w:val="22"/>
          <w:szCs w:val="21"/>
          <w:lang w:bidi="ar"/>
        </w:rPr>
        <w:t>属于提供虚假材料谋取</w:t>
      </w:r>
      <w:r>
        <w:rPr>
          <w:rFonts w:hint="eastAsia" w:ascii="宋体" w:hAnsi="宋体"/>
          <w:b/>
          <w:sz w:val="22"/>
          <w:szCs w:val="21"/>
          <w:lang w:bidi="ar"/>
        </w:rPr>
        <w:t>成交</w:t>
      </w:r>
      <w:r>
        <w:rPr>
          <w:rFonts w:ascii="宋体" w:hAnsi="宋体"/>
          <w:b/>
          <w:sz w:val="22"/>
          <w:szCs w:val="21"/>
          <w:lang w:bidi="ar"/>
        </w:rPr>
        <w:t>，</w:t>
      </w:r>
      <w:r>
        <w:rPr>
          <w:rFonts w:ascii="宋体" w:hAnsi="宋体"/>
          <w:b/>
          <w:sz w:val="22"/>
          <w:szCs w:val="21"/>
        </w:rPr>
        <w:t>将依法</w:t>
      </w:r>
      <w:r>
        <w:rPr>
          <w:rFonts w:hint="eastAsia" w:ascii="宋体" w:hAnsi="宋体"/>
          <w:b/>
          <w:sz w:val="22"/>
          <w:szCs w:val="21"/>
        </w:rPr>
        <w:t>追究</w:t>
      </w:r>
      <w:r>
        <w:rPr>
          <w:rFonts w:ascii="宋体" w:hAnsi="宋体"/>
          <w:b/>
          <w:sz w:val="22"/>
          <w:szCs w:val="21"/>
        </w:rPr>
        <w:t>相应责任。</w:t>
      </w:r>
      <w:r>
        <w:rPr>
          <w:rFonts w:hint="eastAsia" w:ascii="宋体" w:hAnsi="宋体"/>
          <w:b/>
          <w:sz w:val="22"/>
          <w:szCs w:val="21"/>
        </w:rPr>
        <w:t>供应商可自行登录工业和信息化部官网进行中小企业规模类型自测（查询网址https://www.miit.gov.cn/）。</w:t>
      </w:r>
    </w:p>
    <w:p w14:paraId="7259A679">
      <w:pPr>
        <w:autoSpaceDE w:val="0"/>
        <w:autoSpaceDN w:val="0"/>
        <w:snapToGrid w:val="0"/>
        <w:spacing w:line="360" w:lineRule="auto"/>
        <w:ind w:left="80" w:leftChars="38" w:right="40" w:firstLine="420" w:firstLineChars="200"/>
        <w:rPr>
          <w:rFonts w:ascii="宋体" w:hAnsi="宋体" w:cs="宋体"/>
          <w:szCs w:val="21"/>
        </w:rPr>
      </w:pPr>
      <w:r>
        <w:rPr>
          <w:rFonts w:hint="eastAsia" w:ascii="宋体" w:hAnsi="宋体" w:cs="宋体"/>
          <w:szCs w:val="21"/>
        </w:rPr>
        <w:t>注二：1.监狱企业无需</w:t>
      </w:r>
      <w:r>
        <w:rPr>
          <w:rFonts w:hint="eastAsia" w:ascii="宋体" w:hAnsi="宋体" w:cs="宋体"/>
          <w:spacing w:val="6"/>
          <w:sz w:val="22"/>
        </w:rPr>
        <w:t>提供</w:t>
      </w:r>
      <w:r>
        <w:rPr>
          <w:rFonts w:hint="eastAsia" w:ascii="宋体" w:hAnsi="宋体" w:cs="宋体"/>
          <w:szCs w:val="21"/>
        </w:rPr>
        <w:t>《中小企业声明函》，需要提供由省级以上监狱管理局、戒毒管理局(含新疆生产建设兵团)出具的属于监狱企业的证明文件。</w:t>
      </w:r>
    </w:p>
    <w:p w14:paraId="0ED97201">
      <w:pPr>
        <w:autoSpaceDE w:val="0"/>
        <w:autoSpaceDN w:val="0"/>
        <w:snapToGrid w:val="0"/>
        <w:spacing w:line="360" w:lineRule="auto"/>
        <w:ind w:left="80" w:leftChars="38" w:right="40" w:firstLine="420" w:firstLineChars="200"/>
        <w:rPr>
          <w:rFonts w:ascii="宋体" w:hAnsi="宋体" w:cs="宋体"/>
          <w:szCs w:val="21"/>
        </w:rPr>
      </w:pPr>
      <w:r>
        <w:rPr>
          <w:rFonts w:hint="eastAsia" w:ascii="宋体" w:hAnsi="宋体" w:cs="宋体"/>
          <w:szCs w:val="21"/>
        </w:rPr>
        <w:t>2.残疾人福利性单位无需提供《中小企业声明函》，提供以下格式的《残疾人福利性单位声明函》。</w:t>
      </w:r>
    </w:p>
    <w:p w14:paraId="2FC56F88">
      <w:pPr>
        <w:spacing w:line="360" w:lineRule="auto"/>
        <w:rPr>
          <w:rFonts w:ascii="宋体" w:hAnsi="宋体" w:cs="宋体"/>
        </w:rPr>
      </w:pPr>
      <w:bookmarkStart w:id="774" w:name="OLE_LINK14"/>
      <w:bookmarkStart w:id="775" w:name="OLE_LINK13"/>
    </w:p>
    <w:p w14:paraId="18DB941B">
      <w:pPr>
        <w:spacing w:line="360" w:lineRule="auto"/>
        <w:rPr>
          <w:rFonts w:ascii="宋体" w:hAnsi="宋体" w:cs="宋体"/>
        </w:rPr>
      </w:pPr>
    </w:p>
    <w:p w14:paraId="498D9EFE">
      <w:pPr>
        <w:rPr>
          <w:rFonts w:ascii="宋体" w:hAnsi="宋体" w:cs="宋体"/>
        </w:rPr>
      </w:pPr>
    </w:p>
    <w:p w14:paraId="22B74FBE">
      <w:pPr>
        <w:pStyle w:val="26"/>
        <w:spacing w:line="360" w:lineRule="auto"/>
        <w:jc w:val="center"/>
        <w:rPr>
          <w:rFonts w:hAnsi="宋体" w:cs="宋体"/>
          <w:b/>
          <w:spacing w:val="6"/>
          <w:szCs w:val="24"/>
        </w:rPr>
      </w:pPr>
      <w:r>
        <w:rPr>
          <w:rFonts w:hint="eastAsia" w:hAnsi="宋体" w:cs="宋体"/>
          <w:b/>
          <w:spacing w:val="6"/>
          <w:szCs w:val="24"/>
        </w:rPr>
        <w:t>残疾人福利性单位声明函</w:t>
      </w:r>
    </w:p>
    <w:bookmarkEnd w:id="774"/>
    <w:bookmarkEnd w:id="775"/>
    <w:p w14:paraId="087CAF07">
      <w:pPr>
        <w:autoSpaceDE w:val="0"/>
        <w:autoSpaceDN w:val="0"/>
        <w:snapToGrid w:val="0"/>
        <w:spacing w:line="360" w:lineRule="auto"/>
        <w:ind w:left="80" w:leftChars="38" w:right="40" w:firstLine="464" w:firstLineChars="200"/>
        <w:rPr>
          <w:rFonts w:ascii="宋体" w:hAnsi="宋体" w:cs="宋体"/>
          <w:spacing w:val="6"/>
          <w:sz w:val="22"/>
        </w:rPr>
      </w:pPr>
      <w:r>
        <w:rPr>
          <w:rFonts w:hint="eastAsia" w:ascii="宋体" w:hAnsi="宋体" w:cs="宋体"/>
          <w:spacing w:val="6"/>
          <w:sz w:val="22"/>
        </w:rPr>
        <w:t>本单位郑重声明，根据</w:t>
      </w:r>
      <w:r>
        <w:rPr>
          <w:rFonts w:hint="eastAsia" w:ascii="宋体" w:hAnsi="宋体" w:cs="宋体"/>
          <w:sz w:val="22"/>
          <w:lang w:val="zh-CN"/>
        </w:rPr>
        <w:t>《财政部 民政部 中国残疾人联合会关于促进残疾人就业政府采购政策的通知》</w:t>
      </w:r>
      <w:r>
        <w:rPr>
          <w:rFonts w:hint="eastAsia" w:ascii="宋体" w:hAnsi="宋体" w:cs="宋体"/>
          <w:spacing w:val="6"/>
          <w:sz w:val="22"/>
        </w:rPr>
        <w:t>（财库</w:t>
      </w:r>
      <w:r>
        <w:rPr>
          <w:rFonts w:hint="eastAsia" w:ascii="宋体" w:hAnsi="宋体" w:cs="宋体"/>
          <w:sz w:val="22"/>
        </w:rPr>
        <w:t>〔2017〕141</w:t>
      </w:r>
      <w:r>
        <w:rPr>
          <w:rFonts w:hint="eastAsia" w:ascii="宋体" w:hAnsi="宋体" w:cs="宋体"/>
          <w:spacing w:val="6"/>
          <w:sz w:val="22"/>
        </w:rPr>
        <w:t>号）的规定，本单位为符合条件的残疾人福利性单位，且本单位参加</w:t>
      </w:r>
      <w:r>
        <w:rPr>
          <w:rFonts w:hint="eastAsia" w:ascii="宋体" w:hAnsi="宋体" w:cs="宋体"/>
          <w:spacing w:val="6"/>
          <w:sz w:val="22"/>
          <w:u w:val="single"/>
        </w:rPr>
        <w:t>______</w:t>
      </w:r>
      <w:r>
        <w:rPr>
          <w:rFonts w:hint="eastAsia" w:ascii="宋体" w:hAnsi="宋体" w:cs="宋体"/>
          <w:spacing w:val="6"/>
          <w:sz w:val="22"/>
        </w:rPr>
        <w:t>单位的</w:t>
      </w:r>
      <w:r>
        <w:rPr>
          <w:rFonts w:hint="eastAsia" w:ascii="宋体" w:hAnsi="宋体" w:cs="宋体"/>
          <w:spacing w:val="6"/>
          <w:sz w:val="22"/>
          <w:u w:val="single"/>
        </w:rPr>
        <w:t>______</w:t>
      </w:r>
      <w:r>
        <w:rPr>
          <w:rFonts w:hint="eastAsia" w:ascii="宋体" w:hAnsi="宋体" w:cs="宋体"/>
          <w:spacing w:val="6"/>
          <w:sz w:val="22"/>
        </w:rPr>
        <w:t>项目采购活动提供本单位制造的货物（由本单位承担工程/提供服务），或者提供其他残疾人福利性单位制造的货物（不包括使用非残疾人福利性单位注册商标的货物）。</w:t>
      </w:r>
    </w:p>
    <w:p w14:paraId="19374AEC">
      <w:pPr>
        <w:autoSpaceDE w:val="0"/>
        <w:autoSpaceDN w:val="0"/>
        <w:snapToGrid w:val="0"/>
        <w:spacing w:line="360" w:lineRule="auto"/>
        <w:ind w:left="80" w:leftChars="38" w:right="40" w:firstLine="464" w:firstLineChars="200"/>
        <w:rPr>
          <w:rFonts w:ascii="宋体" w:hAnsi="宋体" w:cs="宋体"/>
          <w:spacing w:val="6"/>
          <w:sz w:val="22"/>
        </w:rPr>
      </w:pPr>
      <w:r>
        <w:rPr>
          <w:rFonts w:hint="eastAsia" w:ascii="宋体" w:hAnsi="宋体" w:cs="宋体"/>
          <w:spacing w:val="6"/>
          <w:sz w:val="22"/>
        </w:rPr>
        <w:t>本单位对上述声明的真实性负责。如有虚假，将依法承担相应责任。</w:t>
      </w:r>
    </w:p>
    <w:p w14:paraId="37ABFBBC">
      <w:pPr>
        <w:autoSpaceDE w:val="0"/>
        <w:autoSpaceDN w:val="0"/>
        <w:snapToGrid w:val="0"/>
        <w:spacing w:line="360" w:lineRule="auto"/>
        <w:ind w:left="80" w:leftChars="38" w:right="40" w:firstLine="464" w:firstLineChars="200"/>
        <w:rPr>
          <w:rFonts w:ascii="宋体" w:hAnsi="宋体" w:cs="宋体"/>
          <w:spacing w:val="6"/>
          <w:sz w:val="22"/>
        </w:rPr>
      </w:pPr>
      <w:r>
        <w:rPr>
          <w:rFonts w:hint="eastAsia" w:ascii="宋体" w:hAnsi="宋体" w:cs="宋体"/>
          <w:spacing w:val="6"/>
          <w:sz w:val="22"/>
        </w:rPr>
        <w:t xml:space="preserve">               单位名称：</w:t>
      </w:r>
      <w:r>
        <w:rPr>
          <w:rFonts w:hint="eastAsia" w:ascii="宋体" w:hAnsi="宋体" w:cs="宋体"/>
          <w:spacing w:val="6"/>
          <w:sz w:val="22"/>
          <w:u w:val="single"/>
        </w:rPr>
        <w:t xml:space="preserve">          </w:t>
      </w:r>
      <w:r>
        <w:rPr>
          <w:rFonts w:hint="eastAsia" w:ascii="宋体" w:hAnsi="宋体" w:cs="宋体"/>
          <w:spacing w:val="6"/>
          <w:sz w:val="22"/>
        </w:rPr>
        <w:t>（盖单位章）</w:t>
      </w:r>
    </w:p>
    <w:p w14:paraId="0A864133">
      <w:pPr>
        <w:autoSpaceDE w:val="0"/>
        <w:autoSpaceDN w:val="0"/>
        <w:snapToGrid w:val="0"/>
        <w:spacing w:line="360" w:lineRule="auto"/>
        <w:ind w:left="80" w:leftChars="38" w:right="40" w:firstLine="464" w:firstLineChars="200"/>
        <w:rPr>
          <w:rFonts w:ascii="宋体" w:hAnsi="宋体" w:cs="宋体"/>
          <w:sz w:val="24"/>
        </w:rPr>
      </w:pPr>
      <w:r>
        <w:rPr>
          <w:rFonts w:hint="eastAsia" w:ascii="宋体" w:hAnsi="宋体" w:cs="宋体"/>
          <w:spacing w:val="6"/>
          <w:sz w:val="22"/>
        </w:rPr>
        <w:t xml:space="preserve">               日  期：</w:t>
      </w:r>
      <w:r>
        <w:rPr>
          <w:rFonts w:hint="eastAsia" w:ascii="宋体" w:hAnsi="宋体" w:cs="宋体"/>
          <w:spacing w:val="6"/>
          <w:sz w:val="22"/>
          <w:u w:val="single"/>
        </w:rPr>
        <w:t xml:space="preserve">                   </w:t>
      </w:r>
      <w:r>
        <w:rPr>
          <w:rFonts w:hint="eastAsia" w:ascii="宋体" w:hAnsi="宋体" w:cs="宋体"/>
          <w:spacing w:val="6"/>
          <w:sz w:val="22"/>
          <w:u w:val="single"/>
        </w:rPr>
        <w:br w:type="page"/>
      </w:r>
      <w:r>
        <w:rPr>
          <w:rFonts w:hint="eastAsia" w:ascii="宋体" w:hAnsi="宋体" w:cs="宋体"/>
          <w:sz w:val="24"/>
        </w:rPr>
        <w:t>附：</w:t>
      </w:r>
    </w:p>
    <w:p w14:paraId="05F4378D">
      <w:pPr>
        <w:widowControl/>
        <w:jc w:val="center"/>
        <w:rPr>
          <w:rFonts w:ascii="宋体" w:hAnsi="宋体" w:cs="宋体"/>
          <w:b/>
          <w:sz w:val="24"/>
          <w:szCs w:val="21"/>
        </w:rPr>
      </w:pPr>
      <w:r>
        <w:rPr>
          <w:rFonts w:hint="eastAsia" w:ascii="宋体" w:hAnsi="宋体" w:cs="宋体"/>
          <w:b/>
          <w:sz w:val="24"/>
          <w:szCs w:val="21"/>
        </w:rPr>
        <w:t>工业和信息化部、国家统计局、国家发展和改革委员会、财政部关于印发中小企业划型标准规定的通知</w:t>
      </w:r>
    </w:p>
    <w:p w14:paraId="2B25365D">
      <w:pPr>
        <w:widowControl/>
        <w:jc w:val="center"/>
        <w:rPr>
          <w:rFonts w:ascii="宋体" w:hAnsi="宋体" w:cs="宋体"/>
          <w:b/>
          <w:sz w:val="24"/>
          <w:szCs w:val="21"/>
        </w:rPr>
      </w:pPr>
      <w:r>
        <w:rPr>
          <w:rFonts w:hint="eastAsia" w:ascii="宋体" w:hAnsi="宋体" w:cs="宋体"/>
          <w:b/>
          <w:sz w:val="24"/>
          <w:szCs w:val="21"/>
        </w:rPr>
        <w:t>（工信部联企业〔2011〕300号）</w:t>
      </w:r>
    </w:p>
    <w:p w14:paraId="14ABBAE2">
      <w:pPr>
        <w:widowControl/>
        <w:adjustRightInd w:val="0"/>
        <w:snapToGrid w:val="0"/>
        <w:spacing w:line="360" w:lineRule="auto"/>
        <w:rPr>
          <w:rFonts w:ascii="宋体" w:hAnsi="宋体" w:cs="宋体"/>
          <w:szCs w:val="21"/>
        </w:rPr>
      </w:pPr>
      <w:r>
        <w:rPr>
          <w:rFonts w:hint="eastAsia" w:ascii="宋体" w:hAnsi="宋体" w:cs="宋体"/>
          <w:szCs w:val="21"/>
        </w:rPr>
        <w:t>各省、自治区、直辖市人民政府，国务院各部委、各直属机构及有关单位：</w:t>
      </w:r>
    </w:p>
    <w:p w14:paraId="0F577272">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52CE172">
      <w:pPr>
        <w:widowControl/>
        <w:jc w:val="right"/>
        <w:rPr>
          <w:rFonts w:ascii="宋体" w:hAnsi="宋体" w:cs="宋体"/>
          <w:szCs w:val="21"/>
        </w:rPr>
      </w:pPr>
      <w:r>
        <w:rPr>
          <w:rFonts w:hint="eastAsia" w:ascii="宋体" w:hAnsi="宋体" w:cs="宋体"/>
          <w:szCs w:val="21"/>
        </w:rPr>
        <w:t>工业和信息化部</w:t>
      </w:r>
    </w:p>
    <w:p w14:paraId="12B69E9C">
      <w:pPr>
        <w:widowControl/>
        <w:jc w:val="right"/>
        <w:rPr>
          <w:rFonts w:ascii="宋体" w:hAnsi="宋体" w:cs="宋体"/>
          <w:szCs w:val="21"/>
        </w:rPr>
      </w:pPr>
      <w:r>
        <w:rPr>
          <w:rFonts w:hint="eastAsia" w:ascii="宋体" w:hAnsi="宋体" w:cs="宋体"/>
          <w:szCs w:val="21"/>
        </w:rPr>
        <w:t>国家统计局</w:t>
      </w:r>
    </w:p>
    <w:p w14:paraId="467E192B">
      <w:pPr>
        <w:widowControl/>
        <w:jc w:val="right"/>
        <w:rPr>
          <w:rFonts w:ascii="宋体" w:hAnsi="宋体" w:cs="宋体"/>
          <w:szCs w:val="21"/>
        </w:rPr>
      </w:pPr>
      <w:r>
        <w:rPr>
          <w:rFonts w:hint="eastAsia" w:ascii="宋体" w:hAnsi="宋体" w:cs="宋体"/>
          <w:szCs w:val="21"/>
        </w:rPr>
        <w:t>国家发展和改革委员会</w:t>
      </w:r>
    </w:p>
    <w:p w14:paraId="57731D96">
      <w:pPr>
        <w:widowControl/>
        <w:jc w:val="right"/>
        <w:rPr>
          <w:rFonts w:ascii="宋体" w:hAnsi="宋体" w:cs="宋体"/>
          <w:szCs w:val="21"/>
        </w:rPr>
      </w:pPr>
      <w:r>
        <w:rPr>
          <w:rFonts w:hint="eastAsia" w:ascii="宋体" w:hAnsi="宋体" w:cs="宋体"/>
          <w:szCs w:val="21"/>
        </w:rPr>
        <w:t>财政部</w:t>
      </w:r>
    </w:p>
    <w:p w14:paraId="6ED01B28">
      <w:pPr>
        <w:widowControl/>
        <w:jc w:val="right"/>
        <w:rPr>
          <w:rFonts w:ascii="宋体" w:hAnsi="宋体" w:cs="宋体"/>
          <w:szCs w:val="21"/>
        </w:rPr>
      </w:pPr>
      <w:r>
        <w:rPr>
          <w:rFonts w:hint="eastAsia" w:ascii="宋体" w:hAnsi="宋体" w:cs="宋体"/>
          <w:szCs w:val="21"/>
        </w:rPr>
        <w:t>二○一一年六月十八日</w:t>
      </w:r>
    </w:p>
    <w:p w14:paraId="439E607E">
      <w:pPr>
        <w:widowControl/>
        <w:spacing w:line="360" w:lineRule="auto"/>
        <w:jc w:val="center"/>
        <w:rPr>
          <w:rFonts w:ascii="宋体" w:hAnsi="宋体" w:cs="宋体"/>
          <w:b/>
          <w:szCs w:val="21"/>
        </w:rPr>
      </w:pPr>
      <w:r>
        <w:rPr>
          <w:rFonts w:hint="eastAsia" w:ascii="宋体" w:hAnsi="宋体" w:cs="宋体"/>
          <w:b/>
          <w:szCs w:val="21"/>
        </w:rPr>
        <w:t>中小企业划型标准规定</w:t>
      </w:r>
    </w:p>
    <w:p w14:paraId="3094607C">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一、根据《中华人民共和国中小企业促进法》和《国务院关于进一步促进中小企业发展的若干意见》（国发〔2009〕36号），制定本规定。</w:t>
      </w:r>
    </w:p>
    <w:p w14:paraId="4B18D164">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二、中小企业划分为中型、小型、微型三种类型，具体标准根据企业从业人员、营业收入、资产总额等指标，结合行业特点制定。</w:t>
      </w:r>
    </w:p>
    <w:p w14:paraId="5831222D">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8D5F52">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四、各行业划型标准为：</w:t>
      </w:r>
    </w:p>
    <w:p w14:paraId="16204AD9">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（一）农、林、牧、渔业。营业收入20000万元以下的为中小微型企业。其中，营业收入500万元及以上的为中型企业，营业收入50万元及以上的为小型企业，营业收入50万元以下的为微型企业。</w:t>
      </w:r>
    </w:p>
    <w:p w14:paraId="564D8DC8">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1EEBA34">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26C09C">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599C011">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8FE563B">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D4552CC">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D27ECD7">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928C44D">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E64BB0E">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D7E5023">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BEEF7E0">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50A2B16">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6B4B458">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2522E43">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D95831">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（十六）其他未列明行业。从业人员300人以下的为中小微型企业。其中，从业人员100人及以上的为中型企业；从业人员10人及以上的为小型企业；从业人员10人以下的为微型企业。</w:t>
      </w:r>
    </w:p>
    <w:p w14:paraId="0B0838FD">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五、企业类型的划分以统计部门的统计数据为依据。</w:t>
      </w:r>
    </w:p>
    <w:p w14:paraId="4F0787C4">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六、本规定适用于在中华人民共和国境内依法设立的各类所有制和各种组织形式的企业。个体工商户和本规定以外的行业，参照本规定进行划型。</w:t>
      </w:r>
    </w:p>
    <w:p w14:paraId="73735C3A">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35643812">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八、本规定由工业和信息化部、国家统计局会同有关部门根据《国民经济行业分类》修订情况和企业发展变化情况适时修订。</w:t>
      </w:r>
    </w:p>
    <w:p w14:paraId="39DC7B3A">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九、本规定由工业和信息化部、国家统计局会同有关部门负责解释。</w:t>
      </w:r>
    </w:p>
    <w:p w14:paraId="3DCEB512">
      <w:pPr>
        <w:widowControl/>
        <w:adjustRightInd w:val="0"/>
        <w:snapToGrid w:val="0"/>
        <w:spacing w:line="360" w:lineRule="auto"/>
        <w:ind w:firstLine="420" w:firstLineChars="200"/>
        <w:rPr>
          <w:rFonts w:ascii="宋体" w:hAnsi="宋体" w:cs="宋体"/>
          <w:szCs w:val="21"/>
        </w:rPr>
      </w:pPr>
      <w:r>
        <w:rPr>
          <w:rFonts w:hint="eastAsia" w:ascii="宋体" w:hAnsi="宋体" w:cs="宋体"/>
          <w:szCs w:val="21"/>
        </w:rPr>
        <w:t>十、本规定自发布之日起执行，原国家经贸委、原国家计委、财政部和国家统计局2003年颁布的《中小企业标准暂行规定》同时废止。</w:t>
      </w:r>
    </w:p>
    <w:p w14:paraId="467FA930">
      <w:pPr>
        <w:widowControl/>
        <w:spacing w:line="200" w:lineRule="atLeast"/>
        <w:rPr>
          <w:rFonts w:ascii="宋体" w:hAnsi="宋体" w:cs="宋体"/>
          <w:kern w:val="0"/>
          <w:sz w:val="20"/>
          <w:szCs w:val="20"/>
        </w:rPr>
        <w:sectPr>
          <w:footnotePr>
            <w:numRestart w:val="eachPage"/>
          </w:footnotePr>
          <w:pgSz w:w="11906" w:h="16838"/>
          <w:pgMar w:top="1134" w:right="1134" w:bottom="1134" w:left="1134" w:header="851" w:footer="851" w:gutter="0"/>
          <w:cols w:space="720" w:num="1"/>
          <w:docGrid w:linePitch="312" w:charSpace="0"/>
        </w:sectPr>
      </w:pPr>
    </w:p>
    <w:p w14:paraId="1BC91293">
      <w:pPr>
        <w:pStyle w:val="3"/>
        <w:widowControl/>
        <w:spacing w:before="120" w:after="120" w:line="240" w:lineRule="auto"/>
        <w:jc w:val="center"/>
        <w:rPr>
          <w:rFonts w:ascii="宋体" w:hAnsi="宋体" w:cs="宋体"/>
          <w:kern w:val="0"/>
          <w:sz w:val="28"/>
          <w:szCs w:val="28"/>
        </w:rPr>
      </w:pPr>
      <w:r>
        <w:rPr>
          <w:rFonts w:hint="eastAsia" w:ascii="宋体" w:hAnsi="宋体" w:cs="宋体"/>
          <w:bCs w:val="0"/>
          <w:kern w:val="0"/>
          <w:sz w:val="28"/>
          <w:szCs w:val="28"/>
        </w:rPr>
        <w:t>六、</w:t>
      </w:r>
      <w:r>
        <w:rPr>
          <w:rFonts w:hint="eastAsia" w:ascii="宋体" w:hAnsi="宋体" w:cs="宋体"/>
          <w:kern w:val="0"/>
          <w:sz w:val="28"/>
          <w:szCs w:val="28"/>
        </w:rPr>
        <w:t>法定代表人（单位负责人）身份证明或授权委托书</w:t>
      </w:r>
    </w:p>
    <w:p w14:paraId="74D164C4">
      <w:pPr>
        <w:jc w:val="center"/>
        <w:rPr>
          <w:rFonts w:ascii="宋体" w:hAnsi="宋体" w:cs="宋体"/>
          <w:b/>
        </w:rPr>
      </w:pPr>
      <w:r>
        <w:rPr>
          <w:rFonts w:hint="eastAsia" w:ascii="宋体" w:hAnsi="宋体" w:cs="宋体"/>
          <w:b/>
          <w:kern w:val="0"/>
          <w:sz w:val="28"/>
          <w:szCs w:val="28"/>
        </w:rPr>
        <w:t>法定代表人（单位负责人）身份证明</w:t>
      </w:r>
    </w:p>
    <w:p w14:paraId="67CC3CE2">
      <w:pPr>
        <w:widowControl/>
        <w:spacing w:line="360" w:lineRule="auto"/>
        <w:rPr>
          <w:rFonts w:ascii="宋体" w:hAnsi="宋体" w:cs="宋体"/>
          <w:spacing w:val="3"/>
          <w:kern w:val="0"/>
        </w:rPr>
      </w:pPr>
      <w:r>
        <w:rPr>
          <w:rFonts w:hint="eastAsia" w:ascii="宋体" w:hAnsi="宋体" w:cs="宋体"/>
          <w:kern w:val="0"/>
        </w:rPr>
        <w:t>供应商名称：</w:t>
      </w:r>
      <w:r>
        <w:rPr>
          <w:rFonts w:hint="eastAsia" w:ascii="宋体" w:hAnsi="宋体" w:cs="宋体"/>
          <w:kern w:val="0"/>
          <w:u w:val="single"/>
        </w:rPr>
        <w:t xml:space="preserve">                                                      </w:t>
      </w:r>
      <w:r>
        <w:rPr>
          <w:rFonts w:hint="eastAsia" w:ascii="宋体" w:hAnsi="宋体" w:cs="宋体"/>
          <w:spacing w:val="3"/>
          <w:kern w:val="0"/>
          <w:u w:val="single"/>
        </w:rPr>
        <w:t xml:space="preserve"> </w:t>
      </w:r>
      <w:r>
        <w:rPr>
          <w:rFonts w:hint="eastAsia" w:ascii="宋体" w:hAnsi="宋体" w:cs="宋体"/>
          <w:spacing w:val="3"/>
          <w:kern w:val="0"/>
        </w:rPr>
        <w:t xml:space="preserve"> </w:t>
      </w:r>
    </w:p>
    <w:p w14:paraId="090A0B1E">
      <w:pPr>
        <w:widowControl/>
        <w:spacing w:line="360" w:lineRule="auto"/>
        <w:rPr>
          <w:rFonts w:ascii="宋体" w:hAnsi="宋体" w:cs="宋体"/>
          <w:spacing w:val="26"/>
          <w:kern w:val="0"/>
        </w:rPr>
      </w:pPr>
      <w:r>
        <w:rPr>
          <w:rFonts w:hint="eastAsia" w:ascii="宋体" w:hAnsi="宋体" w:cs="宋体"/>
          <w:kern w:val="0"/>
        </w:rPr>
        <w:t>单位</w:t>
      </w:r>
      <w:r>
        <w:rPr>
          <w:rFonts w:hint="eastAsia" w:ascii="宋体" w:hAnsi="宋体" w:cs="宋体"/>
          <w:spacing w:val="-1"/>
          <w:kern w:val="0"/>
        </w:rPr>
        <w:t>性</w:t>
      </w:r>
      <w:r>
        <w:rPr>
          <w:rFonts w:hint="eastAsia" w:ascii="宋体" w:hAnsi="宋体" w:cs="宋体"/>
          <w:kern w:val="0"/>
        </w:rPr>
        <w:t>质：</w:t>
      </w:r>
      <w:r>
        <w:rPr>
          <w:rFonts w:hint="eastAsia" w:ascii="宋体" w:hAnsi="宋体" w:cs="宋体"/>
          <w:kern w:val="0"/>
          <w:u w:val="single"/>
        </w:rPr>
        <w:t xml:space="preserve">                                                       </w:t>
      </w:r>
      <w:r>
        <w:rPr>
          <w:rFonts w:hint="eastAsia" w:ascii="宋体" w:hAnsi="宋体" w:cs="宋体"/>
          <w:spacing w:val="26"/>
          <w:kern w:val="0"/>
          <w:u w:val="single"/>
        </w:rPr>
        <w:t xml:space="preserve"> </w:t>
      </w:r>
      <w:r>
        <w:rPr>
          <w:rFonts w:hint="eastAsia" w:ascii="宋体" w:hAnsi="宋体" w:cs="宋体"/>
          <w:spacing w:val="26"/>
          <w:kern w:val="0"/>
        </w:rPr>
        <w:t xml:space="preserve"> </w:t>
      </w:r>
    </w:p>
    <w:p w14:paraId="726A4356">
      <w:pPr>
        <w:widowControl/>
        <w:spacing w:line="360" w:lineRule="auto"/>
        <w:rPr>
          <w:rFonts w:ascii="宋体" w:hAnsi="宋体" w:cs="宋体"/>
          <w:spacing w:val="10"/>
          <w:kern w:val="0"/>
        </w:rPr>
      </w:pPr>
      <w:r>
        <w:rPr>
          <w:rFonts w:hint="eastAsia" w:ascii="宋体" w:hAnsi="宋体" w:cs="宋体"/>
          <w:kern w:val="0"/>
        </w:rPr>
        <w:t>地    址</w:t>
      </w:r>
      <w:r>
        <w:rPr>
          <w:rFonts w:hint="eastAsia" w:ascii="宋体" w:hAnsi="宋体" w:cs="宋体"/>
          <w:spacing w:val="-1"/>
          <w:kern w:val="0"/>
        </w:rPr>
        <w:t>：</w:t>
      </w:r>
      <w:r>
        <w:rPr>
          <w:rFonts w:hint="eastAsia" w:ascii="宋体" w:hAnsi="宋体" w:cs="宋体"/>
          <w:kern w:val="0"/>
          <w:u w:val="single"/>
        </w:rPr>
        <w:t xml:space="preserve">                                                       </w:t>
      </w:r>
      <w:r>
        <w:rPr>
          <w:rFonts w:hint="eastAsia" w:ascii="宋体" w:hAnsi="宋体" w:cs="宋体"/>
          <w:spacing w:val="10"/>
          <w:kern w:val="0"/>
          <w:u w:val="single"/>
        </w:rPr>
        <w:t xml:space="preserve"> </w:t>
      </w:r>
      <w:r>
        <w:rPr>
          <w:rFonts w:hint="eastAsia" w:ascii="宋体" w:hAnsi="宋体" w:cs="宋体"/>
          <w:spacing w:val="10"/>
          <w:kern w:val="0"/>
        </w:rPr>
        <w:t xml:space="preserve"> </w:t>
      </w:r>
    </w:p>
    <w:p w14:paraId="651E340E">
      <w:pPr>
        <w:widowControl/>
        <w:spacing w:line="360" w:lineRule="auto"/>
        <w:rPr>
          <w:rFonts w:ascii="宋体" w:hAnsi="宋体" w:cs="宋体"/>
          <w:kern w:val="0"/>
        </w:rPr>
      </w:pPr>
      <w:r>
        <w:rPr>
          <w:rFonts w:hint="eastAsia" w:ascii="宋体" w:hAnsi="宋体" w:cs="宋体"/>
          <w:kern w:val="0"/>
        </w:rPr>
        <w:t>成立</w:t>
      </w:r>
      <w:r>
        <w:rPr>
          <w:rFonts w:hint="eastAsia" w:ascii="宋体" w:hAnsi="宋体" w:cs="宋体"/>
          <w:spacing w:val="-1"/>
          <w:kern w:val="0"/>
        </w:rPr>
        <w:t>时</w:t>
      </w:r>
      <w:r>
        <w:rPr>
          <w:rFonts w:hint="eastAsia" w:ascii="宋体" w:hAnsi="宋体" w:cs="宋体"/>
          <w:kern w:val="0"/>
        </w:rPr>
        <w:t>间：</w:t>
      </w:r>
      <w:r>
        <w:rPr>
          <w:rFonts w:hint="eastAsia" w:ascii="宋体" w:hAnsi="宋体" w:cs="宋体"/>
          <w:kern w:val="0"/>
          <w:u w:val="single"/>
        </w:rPr>
        <w:t xml:space="preserve">      </w:t>
      </w:r>
      <w:r>
        <w:rPr>
          <w:rFonts w:hint="eastAsia" w:ascii="宋体" w:hAnsi="宋体" w:cs="宋体"/>
          <w:spacing w:val="-6"/>
          <w:kern w:val="0"/>
          <w:u w:val="single"/>
        </w:rPr>
        <w:t xml:space="preserve"> </w:t>
      </w:r>
      <w:r>
        <w:rPr>
          <w:rFonts w:hint="eastAsia" w:ascii="宋体" w:hAnsi="宋体" w:cs="宋体"/>
          <w:spacing w:val="-1"/>
          <w:kern w:val="0"/>
        </w:rPr>
        <w:t>年</w:t>
      </w:r>
      <w:r>
        <w:rPr>
          <w:rFonts w:hint="eastAsia" w:ascii="宋体" w:hAnsi="宋体" w:cs="宋体"/>
          <w:kern w:val="0"/>
          <w:u w:val="single"/>
        </w:rPr>
        <w:t xml:space="preserve">  </w:t>
      </w:r>
      <w:r>
        <w:rPr>
          <w:rFonts w:hint="eastAsia" w:ascii="宋体" w:hAnsi="宋体" w:cs="宋体"/>
          <w:spacing w:val="42"/>
          <w:kern w:val="0"/>
          <w:u w:val="single"/>
        </w:rPr>
        <w:t xml:space="preserve"> </w:t>
      </w:r>
      <w:r>
        <w:rPr>
          <w:rFonts w:hint="eastAsia" w:ascii="宋体" w:hAnsi="宋体" w:cs="宋体"/>
          <w:kern w:val="0"/>
        </w:rPr>
        <w:t>月</w:t>
      </w:r>
      <w:r>
        <w:rPr>
          <w:rFonts w:hint="eastAsia" w:ascii="宋体" w:hAnsi="宋体" w:cs="宋体"/>
          <w:kern w:val="0"/>
          <w:u w:val="single"/>
        </w:rPr>
        <w:t xml:space="preserve">   </w:t>
      </w:r>
      <w:r>
        <w:rPr>
          <w:rFonts w:hint="eastAsia" w:ascii="宋体" w:hAnsi="宋体" w:cs="宋体"/>
          <w:spacing w:val="-49"/>
          <w:kern w:val="0"/>
        </w:rPr>
        <w:t xml:space="preserve"> </w:t>
      </w:r>
      <w:r>
        <w:rPr>
          <w:rFonts w:hint="eastAsia" w:ascii="宋体" w:hAnsi="宋体" w:cs="宋体"/>
          <w:kern w:val="0"/>
        </w:rPr>
        <w:t xml:space="preserve">日 </w:t>
      </w:r>
    </w:p>
    <w:p w14:paraId="0704634D">
      <w:pPr>
        <w:widowControl/>
        <w:spacing w:line="360" w:lineRule="auto"/>
        <w:rPr>
          <w:rFonts w:ascii="宋体" w:hAnsi="宋体" w:cs="宋体"/>
          <w:kern w:val="0"/>
        </w:rPr>
      </w:pPr>
      <w:r>
        <w:rPr>
          <w:rFonts w:hint="eastAsia" w:ascii="宋体" w:hAnsi="宋体" w:cs="宋体"/>
          <w:kern w:val="0"/>
        </w:rPr>
        <w:t>经营</w:t>
      </w:r>
      <w:r>
        <w:rPr>
          <w:rFonts w:hint="eastAsia" w:ascii="宋体" w:hAnsi="宋体" w:cs="宋体"/>
          <w:spacing w:val="-1"/>
          <w:kern w:val="0"/>
        </w:rPr>
        <w:t>期</w:t>
      </w:r>
      <w:r>
        <w:rPr>
          <w:rFonts w:hint="eastAsia" w:ascii="宋体" w:hAnsi="宋体" w:cs="宋体"/>
          <w:kern w:val="0"/>
        </w:rPr>
        <w:t>限：</w:t>
      </w:r>
      <w:r>
        <w:rPr>
          <w:rFonts w:hint="eastAsia" w:ascii="宋体" w:hAnsi="宋体" w:cs="宋体"/>
          <w:kern w:val="0"/>
          <w:u w:val="single"/>
        </w:rPr>
        <w:t xml:space="preserve">                                                         </w:t>
      </w:r>
      <w:r>
        <w:rPr>
          <w:rFonts w:hint="eastAsia" w:ascii="宋体" w:hAnsi="宋体" w:cs="宋体"/>
          <w:spacing w:val="26"/>
          <w:kern w:val="0"/>
          <w:u w:val="single"/>
        </w:rPr>
        <w:t xml:space="preserve"> </w:t>
      </w:r>
    </w:p>
    <w:p w14:paraId="7919ED77">
      <w:pPr>
        <w:widowControl/>
        <w:spacing w:line="360" w:lineRule="auto"/>
        <w:rPr>
          <w:rFonts w:ascii="宋体" w:hAnsi="宋体" w:cs="宋体"/>
          <w:kern w:val="0"/>
        </w:rPr>
      </w:pPr>
      <w:r>
        <w:rPr>
          <w:rFonts w:hint="eastAsia" w:ascii="宋体" w:hAnsi="宋体" w:cs="宋体"/>
          <w:kern w:val="0"/>
        </w:rPr>
        <w:t>姓名：</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性别：</w:t>
      </w:r>
      <w:r>
        <w:rPr>
          <w:rFonts w:hint="eastAsia" w:ascii="宋体" w:hAnsi="宋体" w:cs="宋体"/>
          <w:spacing w:val="42"/>
          <w:kern w:val="0"/>
          <w:u w:val="single"/>
        </w:rPr>
        <w:t xml:space="preserve">    </w:t>
      </w:r>
      <w:r>
        <w:rPr>
          <w:rFonts w:hint="eastAsia" w:ascii="宋体" w:hAnsi="宋体" w:cs="宋体"/>
          <w:kern w:val="0"/>
        </w:rPr>
        <w:t>年</w:t>
      </w:r>
      <w:r>
        <w:rPr>
          <w:rFonts w:hint="eastAsia" w:ascii="宋体" w:hAnsi="宋体" w:cs="宋体"/>
          <w:spacing w:val="-1"/>
          <w:kern w:val="0"/>
        </w:rPr>
        <w:t>龄</w:t>
      </w:r>
      <w:r>
        <w:rPr>
          <w:rFonts w:hint="eastAsia" w:ascii="宋体" w:hAnsi="宋体" w:cs="宋体"/>
          <w:kern w:val="0"/>
        </w:rPr>
        <w:t>：</w:t>
      </w:r>
      <w:r>
        <w:rPr>
          <w:rFonts w:hint="eastAsia" w:ascii="宋体" w:hAnsi="宋体" w:cs="宋体"/>
          <w:spacing w:val="42"/>
          <w:kern w:val="0"/>
          <w:u w:val="single"/>
        </w:rPr>
        <w:t xml:space="preserve">   </w:t>
      </w:r>
      <w:r>
        <w:rPr>
          <w:rFonts w:hint="eastAsia" w:ascii="宋体" w:hAnsi="宋体" w:cs="宋体"/>
          <w:kern w:val="0"/>
        </w:rPr>
        <w:t>职务</w:t>
      </w:r>
      <w:r>
        <w:rPr>
          <w:rFonts w:hint="eastAsia" w:ascii="宋体" w:hAnsi="宋体" w:cs="宋体"/>
          <w:spacing w:val="-1"/>
          <w:kern w:val="0"/>
        </w:rPr>
        <w:t>：</w:t>
      </w:r>
      <w:r>
        <w:rPr>
          <w:rFonts w:hint="eastAsia" w:ascii="宋体" w:hAnsi="宋体" w:cs="宋体"/>
          <w:kern w:val="0"/>
          <w:u w:val="single"/>
        </w:rPr>
        <w:t xml:space="preserve">       </w:t>
      </w:r>
      <w:r>
        <w:rPr>
          <w:rFonts w:hint="eastAsia" w:ascii="宋体" w:hAnsi="宋体" w:cs="宋体"/>
          <w:kern w:val="0"/>
        </w:rPr>
        <w:t xml:space="preserve"> </w:t>
      </w:r>
    </w:p>
    <w:p w14:paraId="7D79F591">
      <w:pPr>
        <w:widowControl/>
        <w:spacing w:line="360" w:lineRule="auto"/>
        <w:rPr>
          <w:rFonts w:ascii="宋体" w:hAnsi="宋体" w:cs="宋体"/>
          <w:kern w:val="0"/>
        </w:rPr>
      </w:pPr>
      <w:r>
        <w:rPr>
          <w:rFonts w:hint="eastAsia" w:ascii="宋体" w:hAnsi="宋体" w:cs="宋体"/>
          <w:kern w:val="0"/>
        </w:rPr>
        <w:t>系</w:t>
      </w:r>
      <w:r>
        <w:rPr>
          <w:rFonts w:hint="eastAsia" w:ascii="宋体" w:hAnsi="宋体" w:cs="宋体"/>
          <w:kern w:val="0"/>
          <w:u w:val="single"/>
        </w:rPr>
        <w:t xml:space="preserve">                                      </w:t>
      </w:r>
      <w:r>
        <w:rPr>
          <w:rFonts w:hint="eastAsia" w:ascii="宋体" w:hAnsi="宋体" w:cs="宋体"/>
          <w:spacing w:val="-1"/>
          <w:kern w:val="0"/>
        </w:rPr>
        <w:t>（</w:t>
      </w:r>
      <w:r>
        <w:rPr>
          <w:rFonts w:hint="eastAsia" w:ascii="宋体" w:hAnsi="宋体" w:cs="宋体"/>
          <w:kern w:val="0"/>
        </w:rPr>
        <w:t>供应商名称）的法定代表人（单位负责人）。</w:t>
      </w:r>
    </w:p>
    <w:p w14:paraId="40677724">
      <w:pPr>
        <w:widowControl/>
        <w:spacing w:line="360" w:lineRule="auto"/>
        <w:ind w:right="6463"/>
        <w:rPr>
          <w:rFonts w:ascii="宋体" w:hAnsi="宋体" w:cs="宋体"/>
          <w:kern w:val="0"/>
        </w:rPr>
      </w:pPr>
      <w:r>
        <w:rPr>
          <w:rFonts w:hint="eastAsia" w:ascii="宋体" w:hAnsi="宋体" w:cs="宋体"/>
          <w:kern w:val="0"/>
        </w:rPr>
        <w:t>特此证明。</w:t>
      </w:r>
    </w:p>
    <w:p w14:paraId="639C61CA">
      <w:pPr>
        <w:widowControl/>
        <w:spacing w:before="12" w:line="360" w:lineRule="auto"/>
        <w:rPr>
          <w:rFonts w:ascii="宋体" w:hAnsi="宋体" w:cs="宋体"/>
          <w:kern w:val="0"/>
        </w:rPr>
      </w:pPr>
      <w:r>
        <w:rPr>
          <w:rFonts w:hint="eastAsia" w:ascii="宋体" w:hAnsi="宋体" w:cs="宋体"/>
          <w:kern w:val="0"/>
        </w:rPr>
        <w:t>附：法定代表人（单位负责人）身份证扫描件。</w:t>
      </w:r>
    </w:p>
    <w:tbl>
      <w:tblPr>
        <w:tblStyle w:val="47"/>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7B11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6" w:hRule="atLeast"/>
        </w:trPr>
        <w:tc>
          <w:tcPr>
            <w:tcW w:w="3898" w:type="dxa"/>
            <w:vAlign w:val="center"/>
          </w:tcPr>
          <w:p w14:paraId="7338073A">
            <w:pPr>
              <w:adjustRightInd w:val="0"/>
              <w:snapToGrid w:val="0"/>
              <w:spacing w:line="360" w:lineRule="auto"/>
              <w:jc w:val="center"/>
              <w:rPr>
                <w:rFonts w:ascii="宋体" w:hAnsi="宋体"/>
                <w:szCs w:val="21"/>
              </w:rPr>
            </w:pPr>
            <w:r>
              <w:rPr>
                <w:rFonts w:hint="eastAsia" w:ascii="宋体" w:hAnsi="宋体"/>
                <w:szCs w:val="21"/>
              </w:rPr>
              <w:t>法定代表人</w:t>
            </w:r>
            <w:r>
              <w:rPr>
                <w:rFonts w:hint="eastAsia" w:ascii="宋体" w:hAnsi="宋体" w:cs="宋体"/>
                <w:kern w:val="0"/>
              </w:rPr>
              <w:t>（单位负责人）</w:t>
            </w:r>
            <w:r>
              <w:rPr>
                <w:rFonts w:hint="eastAsia" w:ascii="宋体" w:hAnsi="宋体"/>
                <w:szCs w:val="21"/>
              </w:rPr>
              <w:t>身份证（正面）</w:t>
            </w:r>
          </w:p>
        </w:tc>
        <w:tc>
          <w:tcPr>
            <w:tcW w:w="3899" w:type="dxa"/>
            <w:vAlign w:val="center"/>
          </w:tcPr>
          <w:p w14:paraId="577413AF">
            <w:pPr>
              <w:adjustRightInd w:val="0"/>
              <w:snapToGrid w:val="0"/>
              <w:spacing w:line="360" w:lineRule="auto"/>
              <w:jc w:val="center"/>
              <w:rPr>
                <w:rFonts w:ascii="宋体" w:hAnsi="宋体"/>
                <w:szCs w:val="21"/>
              </w:rPr>
            </w:pPr>
            <w:r>
              <w:rPr>
                <w:rFonts w:hint="eastAsia" w:ascii="宋体" w:hAnsi="宋体"/>
                <w:szCs w:val="21"/>
              </w:rPr>
              <w:t>法定代表人</w:t>
            </w:r>
            <w:r>
              <w:rPr>
                <w:rFonts w:hint="eastAsia" w:ascii="宋体" w:hAnsi="宋体" w:cs="宋体"/>
                <w:kern w:val="0"/>
              </w:rPr>
              <w:t>（单位负责人）</w:t>
            </w:r>
            <w:r>
              <w:rPr>
                <w:rFonts w:hint="eastAsia" w:ascii="宋体" w:hAnsi="宋体"/>
                <w:szCs w:val="21"/>
              </w:rPr>
              <w:t>身份证（反面）</w:t>
            </w:r>
          </w:p>
        </w:tc>
      </w:tr>
    </w:tbl>
    <w:p w14:paraId="65A2665E">
      <w:pPr>
        <w:widowControl/>
        <w:spacing w:before="12" w:line="360" w:lineRule="auto"/>
        <w:rPr>
          <w:rFonts w:ascii="宋体" w:hAnsi="宋体" w:cs="宋体"/>
          <w:kern w:val="0"/>
        </w:rPr>
      </w:pPr>
    </w:p>
    <w:p w14:paraId="1EE6491A">
      <w:pPr>
        <w:widowControl/>
        <w:spacing w:line="360" w:lineRule="auto"/>
        <w:ind w:left="5068" w:right="-20"/>
        <w:rPr>
          <w:rFonts w:ascii="宋体" w:hAnsi="宋体" w:cs="宋体"/>
          <w:kern w:val="0"/>
        </w:rPr>
      </w:pPr>
      <w:r>
        <w:rPr>
          <w:rFonts w:hint="eastAsia" w:ascii="宋体" w:hAnsi="宋体" w:cs="宋体"/>
          <w:kern w:val="0"/>
          <w:position w:val="-4"/>
        </w:rPr>
        <w:t>供应商：</w:t>
      </w:r>
      <w:r>
        <w:rPr>
          <w:rFonts w:hint="eastAsia" w:ascii="宋体" w:hAnsi="宋体" w:cs="宋体"/>
          <w:spacing w:val="42"/>
          <w:kern w:val="0"/>
          <w:position w:val="-4"/>
          <w:u w:val="single"/>
        </w:rPr>
        <w:t xml:space="preserve"> </w:t>
      </w:r>
      <w:r>
        <w:rPr>
          <w:rFonts w:hint="eastAsia" w:ascii="宋体" w:hAnsi="宋体" w:cs="宋体"/>
          <w:kern w:val="0"/>
          <w:position w:val="-4"/>
          <w:u w:val="single"/>
        </w:rPr>
        <w:t xml:space="preserve">          </w:t>
      </w:r>
      <w:r>
        <w:rPr>
          <w:rFonts w:hint="eastAsia" w:ascii="宋体" w:hAnsi="宋体" w:cs="宋体"/>
          <w:spacing w:val="-1"/>
          <w:kern w:val="0"/>
          <w:position w:val="-4"/>
        </w:rPr>
        <w:t>（</w:t>
      </w:r>
      <w:r>
        <w:rPr>
          <w:rFonts w:hint="eastAsia" w:ascii="宋体" w:hAnsi="宋体" w:cs="宋体"/>
          <w:kern w:val="0"/>
          <w:position w:val="-4"/>
        </w:rPr>
        <w:t>盖单位章）</w:t>
      </w:r>
    </w:p>
    <w:p w14:paraId="52AB18A0">
      <w:pPr>
        <w:widowControl/>
        <w:spacing w:line="360" w:lineRule="auto"/>
        <w:ind w:right="98"/>
        <w:jc w:val="right"/>
        <w:rPr>
          <w:rFonts w:ascii="宋体" w:hAnsi="宋体" w:cs="宋体"/>
          <w:kern w:val="0"/>
        </w:rPr>
      </w:pPr>
      <w:r>
        <w:rPr>
          <w:rFonts w:hint="eastAsia" w:ascii="宋体" w:hAnsi="宋体" w:cs="宋体"/>
          <w:kern w:val="0"/>
          <w:position w:val="-2"/>
          <w:u w:val="single"/>
        </w:rPr>
        <w:t xml:space="preserve">       </w:t>
      </w:r>
      <w:r>
        <w:rPr>
          <w:rFonts w:hint="eastAsia" w:ascii="宋体" w:hAnsi="宋体" w:cs="宋体"/>
          <w:spacing w:val="-1"/>
          <w:kern w:val="0"/>
          <w:position w:val="-2"/>
        </w:rPr>
        <w:t>年</w:t>
      </w:r>
      <w:r>
        <w:rPr>
          <w:rFonts w:hint="eastAsia" w:ascii="宋体" w:hAnsi="宋体" w:cs="宋体"/>
          <w:spacing w:val="42"/>
          <w:kern w:val="0"/>
          <w:position w:val="-2"/>
          <w:u w:val="single"/>
        </w:rPr>
        <w:t xml:space="preserve"> </w:t>
      </w:r>
      <w:r>
        <w:rPr>
          <w:rFonts w:hint="eastAsia" w:ascii="宋体" w:hAnsi="宋体" w:cs="宋体"/>
          <w:kern w:val="0"/>
          <w:position w:val="-2"/>
          <w:u w:val="single"/>
        </w:rPr>
        <w:t xml:space="preserve">  </w:t>
      </w:r>
      <w:r>
        <w:rPr>
          <w:rFonts w:hint="eastAsia" w:ascii="宋体" w:hAnsi="宋体" w:cs="宋体"/>
          <w:kern w:val="0"/>
          <w:position w:val="-2"/>
        </w:rPr>
        <w:t>月</w:t>
      </w:r>
      <w:r>
        <w:rPr>
          <w:rFonts w:hint="eastAsia" w:ascii="宋体" w:hAnsi="宋体" w:cs="宋体"/>
          <w:spacing w:val="42"/>
          <w:kern w:val="0"/>
          <w:position w:val="-2"/>
          <w:u w:val="single"/>
        </w:rPr>
        <w:t xml:space="preserve"> </w:t>
      </w:r>
      <w:r>
        <w:rPr>
          <w:rFonts w:hint="eastAsia" w:ascii="宋体" w:hAnsi="宋体" w:cs="宋体"/>
          <w:kern w:val="0"/>
          <w:position w:val="-2"/>
          <w:u w:val="single"/>
        </w:rPr>
        <w:t xml:space="preserve">   </w:t>
      </w:r>
      <w:r>
        <w:rPr>
          <w:rFonts w:hint="eastAsia" w:ascii="宋体" w:hAnsi="宋体" w:cs="宋体"/>
          <w:kern w:val="0"/>
          <w:position w:val="-2"/>
        </w:rPr>
        <w:t>日</w:t>
      </w:r>
    </w:p>
    <w:p w14:paraId="72DA6D39">
      <w:pPr>
        <w:widowControl/>
        <w:ind w:left="2874" w:right="-20"/>
        <w:rPr>
          <w:rFonts w:ascii="宋体" w:hAnsi="宋体" w:cs="宋体"/>
          <w:kern w:val="0"/>
          <w:sz w:val="28"/>
          <w:szCs w:val="28"/>
        </w:rPr>
      </w:pPr>
    </w:p>
    <w:p w14:paraId="2F0E83E1">
      <w:pPr>
        <w:widowControl/>
        <w:ind w:left="2874" w:right="-20"/>
        <w:rPr>
          <w:rFonts w:ascii="宋体" w:hAnsi="宋体" w:cs="宋体"/>
          <w:b/>
          <w:kern w:val="0"/>
          <w:sz w:val="28"/>
          <w:szCs w:val="28"/>
        </w:rPr>
      </w:pPr>
      <w:r>
        <w:rPr>
          <w:rFonts w:hint="eastAsia" w:ascii="宋体" w:hAnsi="宋体" w:cs="宋体"/>
          <w:b/>
          <w:kern w:val="0"/>
          <w:sz w:val="28"/>
          <w:szCs w:val="28"/>
        </w:rPr>
        <w:t>法定代表人（单位负责人）授权委托书</w:t>
      </w:r>
    </w:p>
    <w:p w14:paraId="344EDE32">
      <w:pPr>
        <w:widowControl/>
        <w:spacing w:before="3" w:line="260" w:lineRule="atLeast"/>
        <w:rPr>
          <w:rFonts w:ascii="宋体" w:hAnsi="宋体" w:cs="宋体"/>
          <w:kern w:val="0"/>
          <w:sz w:val="26"/>
          <w:szCs w:val="26"/>
        </w:rPr>
      </w:pPr>
    </w:p>
    <w:p w14:paraId="24F5687A">
      <w:pPr>
        <w:widowControl/>
        <w:spacing w:line="360" w:lineRule="auto"/>
        <w:ind w:left="120" w:right="31" w:firstLine="421"/>
        <w:rPr>
          <w:rFonts w:ascii="宋体" w:hAnsi="宋体" w:cs="宋体"/>
          <w:kern w:val="0"/>
        </w:rPr>
      </w:pPr>
      <w:r>
        <w:rPr>
          <w:rFonts w:hint="eastAsia" w:ascii="宋体" w:hAnsi="宋体" w:cs="宋体"/>
          <w:kern w:val="0"/>
        </w:rPr>
        <w:t>本人</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w:t>
      </w:r>
      <w:r>
        <w:rPr>
          <w:rFonts w:hint="eastAsia" w:ascii="宋体" w:hAnsi="宋体" w:cs="宋体"/>
          <w:spacing w:val="-1"/>
          <w:kern w:val="0"/>
        </w:rPr>
        <w:t>姓</w:t>
      </w:r>
      <w:r>
        <w:rPr>
          <w:rFonts w:hint="eastAsia" w:ascii="宋体" w:hAnsi="宋体" w:cs="宋体"/>
          <w:kern w:val="0"/>
        </w:rPr>
        <w:t>名）系</w:t>
      </w:r>
      <w:r>
        <w:rPr>
          <w:rFonts w:hint="eastAsia" w:ascii="宋体" w:hAnsi="宋体" w:cs="宋体"/>
          <w:spacing w:val="42"/>
          <w:kern w:val="0"/>
          <w:u w:val="single"/>
        </w:rPr>
        <w:t xml:space="preserve">   </w:t>
      </w:r>
      <w:r>
        <w:rPr>
          <w:rFonts w:hint="eastAsia" w:ascii="宋体" w:hAnsi="宋体" w:cs="宋体"/>
          <w:kern w:val="0"/>
        </w:rPr>
        <w:t>（供应商名称）</w:t>
      </w:r>
      <w:r>
        <w:rPr>
          <w:rFonts w:hint="eastAsia" w:ascii="宋体" w:hAnsi="宋体" w:cs="宋体"/>
          <w:spacing w:val="1"/>
          <w:kern w:val="0"/>
        </w:rPr>
        <w:t>的</w:t>
      </w:r>
      <w:r>
        <w:rPr>
          <w:rFonts w:hint="eastAsia" w:ascii="宋体" w:hAnsi="宋体" w:cs="宋体"/>
          <w:kern w:val="0"/>
        </w:rPr>
        <w:t>法定代表</w:t>
      </w:r>
      <w:r>
        <w:rPr>
          <w:rFonts w:hint="eastAsia" w:ascii="宋体" w:hAnsi="宋体" w:cs="宋体"/>
          <w:spacing w:val="1"/>
          <w:kern w:val="0"/>
        </w:rPr>
        <w:t>人（单位负责人）</w:t>
      </w:r>
      <w:r>
        <w:rPr>
          <w:rFonts w:hint="eastAsia" w:ascii="宋体" w:hAnsi="宋体" w:cs="宋体"/>
          <w:kern w:val="0"/>
        </w:rPr>
        <w:t>，</w:t>
      </w:r>
      <w:r>
        <w:rPr>
          <w:rFonts w:hint="eastAsia" w:ascii="宋体" w:hAnsi="宋体" w:cs="宋体"/>
          <w:spacing w:val="1"/>
          <w:kern w:val="0"/>
        </w:rPr>
        <w:t>现</w:t>
      </w:r>
      <w:r>
        <w:rPr>
          <w:rFonts w:hint="eastAsia" w:ascii="宋体" w:hAnsi="宋体" w:cs="宋体"/>
          <w:kern w:val="0"/>
        </w:rPr>
        <w:t>委托</w:t>
      </w:r>
      <w:r>
        <w:rPr>
          <w:rFonts w:hint="eastAsia" w:ascii="宋体" w:hAnsi="宋体" w:cs="宋体"/>
          <w:spacing w:val="42"/>
          <w:kern w:val="0"/>
          <w:u w:val="single"/>
        </w:rPr>
        <w:t xml:space="preserve">     </w:t>
      </w:r>
      <w:r>
        <w:rPr>
          <w:rFonts w:hint="eastAsia" w:ascii="宋体" w:hAnsi="宋体" w:cs="宋体"/>
          <w:spacing w:val="-1"/>
          <w:kern w:val="0"/>
        </w:rPr>
        <w:t>（</w:t>
      </w:r>
      <w:r>
        <w:rPr>
          <w:rFonts w:hint="eastAsia" w:ascii="宋体" w:hAnsi="宋体" w:cs="宋体"/>
          <w:kern w:val="0"/>
        </w:rPr>
        <w:t>姓名）为我方代理人。代理人根据授权，以我方名义签署、澄清、说明、补正、递交</w:t>
      </w:r>
      <w:r>
        <w:rPr>
          <w:rFonts w:hint="eastAsia" w:ascii="宋体" w:hAnsi="宋体" w:cs="宋体"/>
          <w:spacing w:val="-13"/>
          <w:kern w:val="0"/>
        </w:rPr>
        <w:t>、</w:t>
      </w:r>
      <w:r>
        <w:rPr>
          <w:rFonts w:hint="eastAsia" w:ascii="宋体" w:hAnsi="宋体" w:cs="宋体"/>
          <w:kern w:val="0"/>
        </w:rPr>
        <w:t>撤回</w:t>
      </w:r>
      <w:r>
        <w:rPr>
          <w:rFonts w:hint="eastAsia" w:ascii="宋体" w:hAnsi="宋体" w:cs="宋体"/>
          <w:spacing w:val="-13"/>
          <w:kern w:val="0"/>
        </w:rPr>
        <w:t>、</w:t>
      </w:r>
      <w:r>
        <w:rPr>
          <w:rFonts w:hint="eastAsia" w:ascii="宋体" w:hAnsi="宋体" w:cs="宋体"/>
          <w:kern w:val="0"/>
        </w:rPr>
        <w:t>修改</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（项目名</w:t>
      </w:r>
      <w:r>
        <w:rPr>
          <w:rFonts w:hint="eastAsia" w:ascii="宋体" w:hAnsi="宋体" w:cs="宋体"/>
          <w:spacing w:val="-1"/>
          <w:kern w:val="0"/>
        </w:rPr>
        <w:t>称</w:t>
      </w:r>
      <w:r>
        <w:rPr>
          <w:rFonts w:hint="eastAsia" w:ascii="宋体" w:hAnsi="宋体" w:cs="宋体"/>
          <w:spacing w:val="-13"/>
          <w:kern w:val="0"/>
        </w:rPr>
        <w:t>）</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spacing w:val="-1"/>
          <w:kern w:val="0"/>
        </w:rPr>
        <w:t>（</w:t>
      </w:r>
      <w:r>
        <w:rPr>
          <w:rFonts w:hint="eastAsia" w:ascii="宋体" w:hAnsi="宋体" w:cs="宋体"/>
          <w:kern w:val="0"/>
        </w:rPr>
        <w:t>标包号。未分包的，此处不填写</w:t>
      </w:r>
      <w:r>
        <w:rPr>
          <w:rFonts w:hint="eastAsia" w:ascii="宋体" w:hAnsi="宋体" w:cs="宋体"/>
          <w:spacing w:val="-13"/>
          <w:kern w:val="0"/>
        </w:rPr>
        <w:t>）</w:t>
      </w:r>
      <w:r>
        <w:rPr>
          <w:rFonts w:hint="eastAsia" w:ascii="宋体" w:hAnsi="宋体" w:cs="宋体"/>
          <w:kern w:val="0"/>
        </w:rPr>
        <w:t>响应文件</w:t>
      </w:r>
      <w:r>
        <w:rPr>
          <w:rFonts w:hint="eastAsia" w:ascii="宋体" w:hAnsi="宋体" w:cs="宋体"/>
          <w:spacing w:val="-13"/>
          <w:kern w:val="0"/>
        </w:rPr>
        <w:t>、</w:t>
      </w:r>
      <w:r>
        <w:rPr>
          <w:rFonts w:hint="eastAsia" w:ascii="宋体" w:hAnsi="宋体" w:cs="宋体"/>
          <w:kern w:val="0"/>
        </w:rPr>
        <w:t>签订合同和处理有关事宜，其法律后果由我方承担。</w:t>
      </w:r>
    </w:p>
    <w:p w14:paraId="6303FF49">
      <w:pPr>
        <w:widowControl/>
        <w:spacing w:before="12" w:line="360" w:lineRule="auto"/>
        <w:ind w:left="556" w:right="5491" w:hanging="14"/>
        <w:rPr>
          <w:rFonts w:ascii="宋体" w:hAnsi="宋体" w:cs="宋体"/>
          <w:kern w:val="0"/>
        </w:rPr>
      </w:pPr>
      <w:r>
        <w:rPr>
          <w:rFonts w:hint="eastAsia" w:ascii="宋体" w:hAnsi="宋体" w:cs="宋体"/>
          <w:kern w:val="0"/>
        </w:rPr>
        <w:t>代理人无转委托权。</w:t>
      </w:r>
    </w:p>
    <w:tbl>
      <w:tblPr>
        <w:tblStyle w:val="47"/>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6B9E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3898" w:type="dxa"/>
            <w:vAlign w:val="center"/>
          </w:tcPr>
          <w:p w14:paraId="58FBB72A">
            <w:pPr>
              <w:adjustRightInd w:val="0"/>
              <w:snapToGrid w:val="0"/>
              <w:spacing w:line="360" w:lineRule="auto"/>
              <w:jc w:val="center"/>
              <w:rPr>
                <w:rFonts w:ascii="宋体" w:hAnsi="宋体"/>
                <w:szCs w:val="21"/>
              </w:rPr>
            </w:pPr>
            <w:r>
              <w:rPr>
                <w:rFonts w:hint="eastAsia" w:ascii="宋体" w:hAnsi="宋体"/>
                <w:szCs w:val="21"/>
              </w:rPr>
              <w:t>代理人身份证（正面）</w:t>
            </w:r>
          </w:p>
        </w:tc>
        <w:tc>
          <w:tcPr>
            <w:tcW w:w="3899" w:type="dxa"/>
            <w:vAlign w:val="center"/>
          </w:tcPr>
          <w:p w14:paraId="2C106185">
            <w:pPr>
              <w:adjustRightInd w:val="0"/>
              <w:snapToGrid w:val="0"/>
              <w:spacing w:line="360" w:lineRule="auto"/>
              <w:jc w:val="center"/>
              <w:rPr>
                <w:rFonts w:ascii="宋体" w:hAnsi="宋体"/>
                <w:szCs w:val="21"/>
              </w:rPr>
            </w:pPr>
            <w:r>
              <w:rPr>
                <w:rFonts w:hint="eastAsia" w:ascii="宋体" w:hAnsi="宋体"/>
                <w:szCs w:val="21"/>
              </w:rPr>
              <w:t>代理人身份证（反面）</w:t>
            </w:r>
          </w:p>
        </w:tc>
      </w:tr>
      <w:tr w14:paraId="3AD2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3898" w:type="dxa"/>
            <w:vAlign w:val="center"/>
          </w:tcPr>
          <w:p w14:paraId="565C2B15">
            <w:pPr>
              <w:adjustRightInd w:val="0"/>
              <w:snapToGrid w:val="0"/>
              <w:spacing w:line="360" w:lineRule="auto"/>
              <w:jc w:val="center"/>
              <w:rPr>
                <w:rFonts w:ascii="宋体" w:hAnsi="宋体"/>
                <w:szCs w:val="21"/>
              </w:rPr>
            </w:pPr>
            <w:r>
              <w:rPr>
                <w:rFonts w:hint="eastAsia" w:ascii="宋体" w:hAnsi="宋体"/>
                <w:szCs w:val="21"/>
              </w:rPr>
              <w:t>法定代表人</w:t>
            </w:r>
            <w:r>
              <w:rPr>
                <w:rFonts w:hint="eastAsia" w:ascii="宋体" w:hAnsi="宋体" w:cs="宋体"/>
                <w:kern w:val="0"/>
              </w:rPr>
              <w:t>（单位负责人）</w:t>
            </w:r>
            <w:r>
              <w:rPr>
                <w:rFonts w:hint="eastAsia" w:ascii="宋体" w:hAnsi="宋体"/>
                <w:szCs w:val="21"/>
              </w:rPr>
              <w:t>身份证（正面）</w:t>
            </w:r>
          </w:p>
        </w:tc>
        <w:tc>
          <w:tcPr>
            <w:tcW w:w="3899" w:type="dxa"/>
            <w:vAlign w:val="center"/>
          </w:tcPr>
          <w:p w14:paraId="0C3DCB05">
            <w:pPr>
              <w:adjustRightInd w:val="0"/>
              <w:snapToGrid w:val="0"/>
              <w:spacing w:line="360" w:lineRule="auto"/>
              <w:jc w:val="center"/>
              <w:rPr>
                <w:rFonts w:ascii="宋体" w:hAnsi="宋体"/>
                <w:szCs w:val="21"/>
              </w:rPr>
            </w:pPr>
            <w:r>
              <w:rPr>
                <w:rFonts w:hint="eastAsia" w:ascii="宋体" w:hAnsi="宋体"/>
                <w:szCs w:val="21"/>
              </w:rPr>
              <w:t>法定代表人</w:t>
            </w:r>
            <w:r>
              <w:rPr>
                <w:rFonts w:hint="eastAsia" w:ascii="宋体" w:hAnsi="宋体" w:cs="宋体"/>
                <w:kern w:val="0"/>
              </w:rPr>
              <w:t>（单位负责人）</w:t>
            </w:r>
            <w:r>
              <w:rPr>
                <w:rFonts w:hint="eastAsia" w:ascii="宋体" w:hAnsi="宋体"/>
                <w:szCs w:val="21"/>
              </w:rPr>
              <w:t>身份证（反面）</w:t>
            </w:r>
          </w:p>
        </w:tc>
      </w:tr>
    </w:tbl>
    <w:p w14:paraId="3B6997DF">
      <w:pPr>
        <w:widowControl/>
        <w:spacing w:line="360" w:lineRule="auto"/>
        <w:rPr>
          <w:rFonts w:ascii="宋体" w:hAnsi="宋体" w:cs="宋体"/>
          <w:kern w:val="0"/>
        </w:rPr>
      </w:pPr>
    </w:p>
    <w:p w14:paraId="542FA634">
      <w:pPr>
        <w:pStyle w:val="152"/>
        <w:spacing w:line="360" w:lineRule="auto"/>
        <w:ind w:firstLine="2604" w:firstLineChars="1240"/>
        <w:rPr>
          <w:rFonts w:ascii="宋体" w:hAnsi="宋体" w:cs="宋体"/>
          <w:szCs w:val="24"/>
          <w:u w:val="single"/>
        </w:rPr>
      </w:pPr>
      <w:r>
        <w:rPr>
          <w:rFonts w:hint="eastAsia" w:ascii="宋体" w:hAnsi="宋体" w:cs="宋体"/>
          <w:szCs w:val="24"/>
        </w:rPr>
        <w:t>代理人：</w:t>
      </w:r>
      <w:r>
        <w:rPr>
          <w:rFonts w:hint="eastAsia" w:ascii="宋体" w:hAnsi="宋体" w:cs="宋体"/>
          <w:szCs w:val="24"/>
          <w:u w:val="single"/>
        </w:rPr>
        <w:t xml:space="preserve">              </w:t>
      </w:r>
      <w:r>
        <w:rPr>
          <w:rFonts w:hint="eastAsia" w:ascii="宋体" w:hAnsi="宋体" w:cs="宋体"/>
          <w:szCs w:val="24"/>
        </w:rPr>
        <w:t>性别：</w:t>
      </w:r>
      <w:r>
        <w:rPr>
          <w:rFonts w:hint="eastAsia" w:ascii="宋体" w:hAnsi="宋体" w:cs="宋体"/>
          <w:szCs w:val="24"/>
          <w:u w:val="single"/>
        </w:rPr>
        <w:t xml:space="preserve">     </w:t>
      </w:r>
      <w:r>
        <w:rPr>
          <w:rFonts w:hint="eastAsia" w:ascii="宋体" w:hAnsi="宋体" w:cs="宋体"/>
          <w:szCs w:val="24"/>
        </w:rPr>
        <w:t>年龄：</w:t>
      </w:r>
      <w:r>
        <w:rPr>
          <w:rFonts w:hint="eastAsia" w:ascii="宋体" w:hAnsi="宋体" w:cs="宋体"/>
          <w:szCs w:val="24"/>
          <w:u w:val="single"/>
        </w:rPr>
        <w:t xml:space="preserve">     </w:t>
      </w:r>
    </w:p>
    <w:p w14:paraId="646C5C45">
      <w:pPr>
        <w:pStyle w:val="152"/>
        <w:spacing w:line="360" w:lineRule="auto"/>
        <w:ind w:firstLine="2604" w:firstLineChars="1240"/>
        <w:rPr>
          <w:rFonts w:ascii="宋体" w:hAnsi="宋体" w:cs="宋体"/>
          <w:szCs w:val="24"/>
          <w:u w:val="single"/>
        </w:rPr>
      </w:pPr>
      <w:r>
        <w:rPr>
          <w:rFonts w:hint="eastAsia" w:ascii="宋体" w:hAnsi="宋体" w:cs="宋体"/>
          <w:szCs w:val="24"/>
        </w:rPr>
        <w:t>身份证号码：</w:t>
      </w:r>
      <w:r>
        <w:rPr>
          <w:rFonts w:hint="eastAsia" w:ascii="宋体" w:hAnsi="宋体" w:cs="宋体"/>
          <w:szCs w:val="24"/>
          <w:u w:val="single"/>
        </w:rPr>
        <w:t xml:space="preserve">                   </w:t>
      </w:r>
      <w:r>
        <w:rPr>
          <w:rFonts w:hint="eastAsia" w:ascii="宋体" w:hAnsi="宋体" w:cs="宋体"/>
          <w:szCs w:val="24"/>
        </w:rPr>
        <w:t xml:space="preserve"> 职务：</w:t>
      </w:r>
      <w:r>
        <w:rPr>
          <w:rFonts w:hint="eastAsia" w:ascii="宋体" w:hAnsi="宋体" w:cs="宋体"/>
          <w:szCs w:val="24"/>
          <w:u w:val="single"/>
        </w:rPr>
        <w:t xml:space="preserve">      </w:t>
      </w:r>
    </w:p>
    <w:p w14:paraId="25A0F072">
      <w:pPr>
        <w:pStyle w:val="152"/>
        <w:spacing w:line="360" w:lineRule="auto"/>
        <w:ind w:firstLine="2604" w:firstLineChars="1240"/>
        <w:rPr>
          <w:rFonts w:ascii="宋体" w:hAnsi="宋体" w:cs="宋体"/>
          <w:szCs w:val="24"/>
          <w:u w:val="single"/>
        </w:rPr>
      </w:pPr>
      <w:r>
        <w:rPr>
          <w:rFonts w:hint="eastAsia" w:ascii="宋体" w:hAnsi="宋体" w:cs="宋体"/>
          <w:szCs w:val="24"/>
        </w:rPr>
        <w:t>供应商：</w:t>
      </w:r>
      <w:r>
        <w:rPr>
          <w:rFonts w:hint="eastAsia" w:ascii="宋体" w:hAnsi="宋体" w:cs="宋体"/>
          <w:szCs w:val="24"/>
          <w:u w:val="single"/>
        </w:rPr>
        <w:t xml:space="preserve">                            （盖单位章）</w:t>
      </w:r>
    </w:p>
    <w:p w14:paraId="3F765000">
      <w:pPr>
        <w:pStyle w:val="152"/>
        <w:spacing w:line="360" w:lineRule="auto"/>
        <w:ind w:firstLine="2604" w:firstLineChars="1240"/>
        <w:rPr>
          <w:rFonts w:ascii="宋体" w:hAnsi="宋体" w:cs="宋体"/>
          <w:szCs w:val="24"/>
          <w:u w:val="single"/>
        </w:rPr>
      </w:pPr>
      <w:r>
        <w:rPr>
          <w:rFonts w:hint="eastAsia" w:ascii="宋体" w:hAnsi="宋体" w:cs="宋体"/>
          <w:szCs w:val="24"/>
        </w:rPr>
        <w:t>法定代表人（单位负责人）：</w:t>
      </w:r>
      <w:r>
        <w:rPr>
          <w:rFonts w:hint="eastAsia" w:ascii="宋体" w:hAnsi="宋体" w:cs="宋体"/>
          <w:szCs w:val="24"/>
          <w:u w:val="single"/>
        </w:rPr>
        <w:t xml:space="preserve">                   （签字或盖章）</w:t>
      </w:r>
    </w:p>
    <w:p w14:paraId="5B86B263">
      <w:pPr>
        <w:pStyle w:val="152"/>
        <w:spacing w:line="360" w:lineRule="auto"/>
        <w:ind w:firstLine="2604" w:firstLineChars="1240"/>
        <w:rPr>
          <w:rFonts w:ascii="宋体" w:hAnsi="宋体" w:cs="宋体"/>
          <w:szCs w:val="24"/>
        </w:rPr>
      </w:pPr>
      <w:r>
        <w:rPr>
          <w:rFonts w:hint="eastAsia" w:ascii="宋体" w:hAnsi="宋体" w:cs="宋体"/>
          <w:szCs w:val="24"/>
        </w:rPr>
        <w:t>授权委托日期：</w:t>
      </w: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50FA85E8">
      <w:pPr>
        <w:widowControl/>
        <w:spacing w:line="295" w:lineRule="atLeast"/>
        <w:ind w:left="556" w:right="-20"/>
        <w:rPr>
          <w:rFonts w:ascii="宋体" w:hAnsi="宋体" w:cs="宋体"/>
          <w:kern w:val="0"/>
          <w:szCs w:val="21"/>
        </w:rPr>
      </w:pPr>
    </w:p>
    <w:p w14:paraId="51866B96">
      <w:pPr>
        <w:widowControl/>
        <w:jc w:val="left"/>
        <w:rPr>
          <w:rFonts w:ascii="宋体" w:hAnsi="宋体" w:cs="宋体"/>
          <w:spacing w:val="12"/>
          <w:kern w:val="0"/>
          <w:position w:val="-3"/>
          <w:sz w:val="24"/>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4D5B8D3">
      <w:pPr>
        <w:pStyle w:val="3"/>
        <w:widowControl/>
        <w:spacing w:before="120" w:after="120" w:line="240" w:lineRule="auto"/>
        <w:jc w:val="center"/>
        <w:rPr>
          <w:rFonts w:ascii="宋体" w:hAnsi="宋体" w:cs="宋体"/>
          <w:kern w:val="0"/>
          <w:sz w:val="28"/>
          <w:szCs w:val="28"/>
        </w:rPr>
      </w:pPr>
      <w:r>
        <w:rPr>
          <w:rFonts w:hint="eastAsia" w:ascii="宋体" w:hAnsi="宋体" w:cs="宋体"/>
          <w:bCs w:val="0"/>
          <w:color w:val="000000"/>
        </w:rPr>
        <w:t>七</w:t>
      </w:r>
      <w:r>
        <w:rPr>
          <w:rFonts w:hint="eastAsia" w:ascii="宋体" w:hAnsi="宋体" w:cs="宋体"/>
          <w:bCs w:val="0"/>
        </w:rPr>
        <w:t>、</w:t>
      </w:r>
      <w:r>
        <w:rPr>
          <w:rFonts w:hint="eastAsia" w:ascii="宋体" w:hAnsi="宋体" w:cs="宋体"/>
          <w:kern w:val="0"/>
          <w:sz w:val="28"/>
          <w:szCs w:val="28"/>
        </w:rPr>
        <w:t>联合体协议书（本项目不适用）</w:t>
      </w:r>
    </w:p>
    <w:p w14:paraId="1459740C">
      <w:pPr>
        <w:widowControl/>
        <w:spacing w:before="7" w:line="110" w:lineRule="atLeast"/>
        <w:rPr>
          <w:rFonts w:ascii="宋体" w:hAnsi="宋体" w:cs="宋体"/>
          <w:kern w:val="0"/>
          <w:sz w:val="11"/>
          <w:szCs w:val="11"/>
        </w:rPr>
      </w:pPr>
      <w:r>
        <w:rPr>
          <w:rFonts w:hint="eastAsia" w:ascii="宋体" w:hAnsi="宋体" w:cs="宋体"/>
          <w:kern w:val="0"/>
          <w:sz w:val="11"/>
          <w:szCs w:val="11"/>
        </w:rPr>
        <w:t xml:space="preserve"> </w:t>
      </w:r>
    </w:p>
    <w:p w14:paraId="18112DE1">
      <w:pPr>
        <w:pStyle w:val="152"/>
        <w:topLinePunct/>
        <w:spacing w:line="440" w:lineRule="atLeast"/>
        <w:ind w:firstLine="420"/>
        <w:rPr>
          <w:rFonts w:ascii="宋体" w:hAnsi="宋体" w:cs="宋体"/>
          <w:szCs w:val="24"/>
        </w:rPr>
      </w:pPr>
      <w:r>
        <w:rPr>
          <w:rFonts w:hint="eastAsia" w:ascii="宋体" w:hAnsi="宋体" w:cs="宋体"/>
          <w:szCs w:val="24"/>
          <w:u w:val="single"/>
        </w:rPr>
        <w:t xml:space="preserve">       </w:t>
      </w:r>
      <w:r>
        <w:rPr>
          <w:rFonts w:hint="eastAsia" w:ascii="宋体" w:hAnsi="宋体" w:cs="宋体"/>
          <w:szCs w:val="24"/>
        </w:rPr>
        <w:t>（所有成员单位名称）自愿组成联合体，共同参加【项目名称】的采购活动。现就联合体响应事宜订立如下协议。</w:t>
      </w:r>
    </w:p>
    <w:p w14:paraId="092EE873">
      <w:pPr>
        <w:pStyle w:val="152"/>
        <w:topLinePunct/>
        <w:spacing w:line="440" w:lineRule="atLeast"/>
        <w:ind w:firstLine="420"/>
        <w:rPr>
          <w:rFonts w:ascii="宋体" w:hAnsi="宋体" w:cs="宋体"/>
          <w:szCs w:val="24"/>
        </w:rPr>
      </w:pPr>
      <w:r>
        <w:rPr>
          <w:rFonts w:hint="eastAsia" w:ascii="宋体" w:hAnsi="宋体" w:cs="宋体"/>
          <w:szCs w:val="24"/>
        </w:rPr>
        <w:t>1、</w:t>
      </w:r>
      <w:r>
        <w:rPr>
          <w:rFonts w:hint="eastAsia" w:ascii="宋体" w:hAnsi="宋体" w:cs="宋体"/>
          <w:szCs w:val="24"/>
          <w:u w:val="single"/>
        </w:rPr>
        <w:t xml:space="preserve">       </w:t>
      </w:r>
      <w:r>
        <w:rPr>
          <w:rFonts w:hint="eastAsia" w:ascii="宋体" w:hAnsi="宋体" w:cs="宋体"/>
          <w:szCs w:val="24"/>
        </w:rPr>
        <w:t>（某成员单位名称）为牵头人。</w:t>
      </w:r>
    </w:p>
    <w:p w14:paraId="6DE3AA42">
      <w:pPr>
        <w:pStyle w:val="152"/>
        <w:topLinePunct/>
        <w:spacing w:line="440" w:lineRule="atLeast"/>
        <w:ind w:firstLine="420"/>
        <w:rPr>
          <w:rFonts w:ascii="宋体" w:hAnsi="宋体" w:cs="宋体"/>
          <w:szCs w:val="24"/>
        </w:rPr>
      </w:pPr>
      <w:r>
        <w:rPr>
          <w:rFonts w:hint="eastAsia" w:ascii="宋体" w:hAnsi="宋体" w:cs="宋体"/>
          <w:szCs w:val="24"/>
        </w:rPr>
        <w:t>2、联合体牵头人合法代表联合体各成员负责本采购项目响应文件编制和合同谈判活动，并代表联合体提交和接收相关的资料、信息及指示，并处理与之有关的一切事务，负责合同实施阶段的主办、组织和协调工作。</w:t>
      </w:r>
    </w:p>
    <w:p w14:paraId="4EA68869">
      <w:pPr>
        <w:pStyle w:val="152"/>
        <w:topLinePunct/>
        <w:spacing w:line="440" w:lineRule="atLeast"/>
        <w:ind w:firstLine="420"/>
        <w:rPr>
          <w:rFonts w:ascii="宋体" w:hAnsi="宋体" w:cs="宋体"/>
          <w:szCs w:val="24"/>
        </w:rPr>
      </w:pPr>
      <w:r>
        <w:rPr>
          <w:rFonts w:hint="eastAsia" w:ascii="宋体" w:hAnsi="宋体" w:cs="宋体"/>
          <w:szCs w:val="24"/>
        </w:rPr>
        <w:t>3、联合体将严格按照采购文件的各项要求，递交响应文件，履行合同，并对外承担连带责任。</w:t>
      </w:r>
    </w:p>
    <w:p w14:paraId="4C68C965">
      <w:pPr>
        <w:pStyle w:val="152"/>
        <w:topLinePunct/>
        <w:spacing w:line="440" w:lineRule="atLeast"/>
        <w:ind w:firstLine="420"/>
        <w:rPr>
          <w:rFonts w:ascii="宋体" w:hAnsi="宋体" w:cs="宋体"/>
          <w:szCs w:val="24"/>
        </w:rPr>
      </w:pPr>
      <w:r>
        <w:rPr>
          <w:rFonts w:hint="eastAsia" w:ascii="宋体" w:hAnsi="宋体" w:cs="宋体"/>
          <w:szCs w:val="24"/>
        </w:rPr>
        <w:t>4、联合体各成员单位内部的职责分工如下：</w:t>
      </w:r>
    </w:p>
    <w:p w14:paraId="6F469001">
      <w:pPr>
        <w:pStyle w:val="152"/>
        <w:topLinePunct/>
        <w:spacing w:line="440" w:lineRule="atLeast"/>
        <w:ind w:firstLine="420"/>
        <w:rPr>
          <w:rFonts w:ascii="宋体" w:hAnsi="宋体" w:cs="宋体"/>
          <w:szCs w:val="24"/>
          <w:u w:val="single"/>
        </w:rPr>
      </w:pPr>
      <w:r>
        <w:rPr>
          <w:rFonts w:hint="eastAsia" w:ascii="宋体" w:hAnsi="宋体" w:cs="宋体"/>
          <w:szCs w:val="24"/>
        </w:rPr>
        <w:t>（1）牵头人单位：</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，承揽合同份额占合同金额的    %</w:t>
      </w:r>
    </w:p>
    <w:p w14:paraId="7436D142">
      <w:pPr>
        <w:pStyle w:val="152"/>
        <w:topLinePunct/>
        <w:spacing w:line="440" w:lineRule="atLeast"/>
        <w:ind w:firstLine="420"/>
        <w:rPr>
          <w:rFonts w:ascii="宋体" w:hAnsi="宋体" w:cs="宋体"/>
          <w:szCs w:val="24"/>
          <w:u w:val="single"/>
        </w:rPr>
      </w:pPr>
      <w:r>
        <w:rPr>
          <w:rFonts w:hint="eastAsia" w:ascii="宋体" w:hAnsi="宋体" w:cs="宋体"/>
          <w:szCs w:val="24"/>
        </w:rPr>
        <w:t>（2）成员单位一：</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，承揽合同份额占合同金额的    %</w:t>
      </w:r>
    </w:p>
    <w:p w14:paraId="7AAF060C">
      <w:pPr>
        <w:pStyle w:val="152"/>
        <w:topLinePunct/>
        <w:spacing w:line="440" w:lineRule="atLeast"/>
        <w:ind w:firstLine="420"/>
        <w:rPr>
          <w:rFonts w:ascii="宋体" w:hAnsi="宋体" w:cs="宋体"/>
          <w:szCs w:val="24"/>
          <w:u w:val="single"/>
        </w:rPr>
      </w:pPr>
      <w:r>
        <w:rPr>
          <w:rFonts w:hint="eastAsia" w:ascii="宋体" w:hAnsi="宋体" w:cs="宋体"/>
          <w:szCs w:val="24"/>
        </w:rPr>
        <w:t>（2）成员单位二：</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，承揽合同份额占合同金额的    %</w:t>
      </w:r>
    </w:p>
    <w:p w14:paraId="79AAD545">
      <w:pPr>
        <w:pStyle w:val="152"/>
        <w:topLinePunct/>
        <w:spacing w:line="440" w:lineRule="atLeast"/>
        <w:ind w:firstLine="420"/>
        <w:rPr>
          <w:rFonts w:ascii="宋体" w:hAnsi="宋体" w:cs="宋体"/>
          <w:szCs w:val="24"/>
        </w:rPr>
      </w:pPr>
      <w:r>
        <w:rPr>
          <w:rFonts w:hint="eastAsia" w:ascii="宋体" w:hAnsi="宋体" w:cs="宋体"/>
          <w:szCs w:val="24"/>
        </w:rPr>
        <w:t>…</w:t>
      </w:r>
    </w:p>
    <w:p w14:paraId="6FDB630F">
      <w:pPr>
        <w:pStyle w:val="152"/>
        <w:topLinePunct/>
        <w:spacing w:line="440" w:lineRule="atLeast"/>
        <w:ind w:firstLine="420"/>
        <w:rPr>
          <w:rFonts w:ascii="宋体" w:hAnsi="宋体" w:cs="宋体"/>
          <w:szCs w:val="24"/>
        </w:rPr>
      </w:pPr>
      <w:r>
        <w:rPr>
          <w:rFonts w:hint="eastAsia" w:ascii="宋体" w:hAnsi="宋体" w:cs="宋体"/>
          <w:szCs w:val="24"/>
        </w:rPr>
        <w:t xml:space="preserve">5、本协议书自签署之日起生效，合同履行完毕后自动失效。 </w:t>
      </w:r>
    </w:p>
    <w:p w14:paraId="524EA7D6">
      <w:pPr>
        <w:pStyle w:val="152"/>
        <w:topLinePunct/>
        <w:spacing w:line="440" w:lineRule="atLeast"/>
        <w:ind w:firstLine="420"/>
        <w:rPr>
          <w:rFonts w:ascii="宋体" w:hAnsi="宋体" w:cs="宋体"/>
          <w:szCs w:val="24"/>
        </w:rPr>
      </w:pPr>
      <w:r>
        <w:rPr>
          <w:rFonts w:hint="eastAsia" w:ascii="宋体" w:hAnsi="宋体" w:cs="宋体"/>
          <w:szCs w:val="24"/>
        </w:rPr>
        <w:t>6、本协议书一式</w:t>
      </w:r>
      <w:r>
        <w:rPr>
          <w:rFonts w:hint="eastAsia" w:ascii="宋体" w:hAnsi="宋体" w:cs="宋体"/>
          <w:szCs w:val="24"/>
          <w:u w:val="single"/>
        </w:rPr>
        <w:t xml:space="preserve">      </w:t>
      </w:r>
      <w:r>
        <w:rPr>
          <w:rFonts w:hint="eastAsia" w:ascii="宋体" w:hAnsi="宋体" w:cs="宋体"/>
          <w:szCs w:val="24"/>
        </w:rPr>
        <w:t>份，联合体牵头人、成员和采购人各执一份。</w:t>
      </w:r>
    </w:p>
    <w:p w14:paraId="3983FE3A">
      <w:pPr>
        <w:pStyle w:val="152"/>
        <w:topLinePunct/>
        <w:spacing w:line="440" w:lineRule="atLeast"/>
        <w:rPr>
          <w:rFonts w:ascii="宋体" w:hAnsi="宋体" w:cs="宋体"/>
          <w:szCs w:val="24"/>
        </w:rPr>
      </w:pPr>
    </w:p>
    <w:p w14:paraId="0732B7F5">
      <w:pPr>
        <w:pStyle w:val="152"/>
        <w:topLinePunct/>
        <w:spacing w:line="440" w:lineRule="atLeast"/>
        <w:rPr>
          <w:rFonts w:ascii="宋体" w:hAnsi="宋体" w:cs="宋体"/>
          <w:szCs w:val="24"/>
        </w:rPr>
      </w:pPr>
      <w:r>
        <w:rPr>
          <w:rFonts w:hint="eastAsia" w:ascii="宋体" w:hAnsi="宋体" w:cs="宋体"/>
          <w:szCs w:val="24"/>
        </w:rPr>
        <w:t>牵头人名称：</w:t>
      </w:r>
      <w:r>
        <w:rPr>
          <w:rFonts w:hint="eastAsia" w:ascii="宋体" w:hAnsi="宋体" w:cs="宋体"/>
          <w:szCs w:val="24"/>
          <w:u w:val="single"/>
        </w:rPr>
        <w:t xml:space="preserve">                                 </w:t>
      </w:r>
      <w:r>
        <w:rPr>
          <w:rFonts w:hint="eastAsia" w:ascii="宋体" w:hAnsi="宋体" w:cs="宋体"/>
          <w:szCs w:val="24"/>
        </w:rPr>
        <w:t>（盖单位章）</w:t>
      </w:r>
    </w:p>
    <w:p w14:paraId="36EF66FC">
      <w:pPr>
        <w:pStyle w:val="152"/>
        <w:topLinePunct/>
        <w:spacing w:line="440" w:lineRule="atLeast"/>
        <w:rPr>
          <w:rFonts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17EE7765">
      <w:pPr>
        <w:pStyle w:val="152"/>
        <w:topLinePunct/>
        <w:spacing w:line="440" w:lineRule="atLeast"/>
        <w:rPr>
          <w:rFonts w:ascii="宋体" w:hAnsi="宋体" w:cs="宋体"/>
          <w:szCs w:val="24"/>
        </w:rPr>
      </w:pPr>
      <w:r>
        <w:rPr>
          <w:rFonts w:hint="eastAsia" w:ascii="宋体" w:hAnsi="宋体" w:cs="宋体"/>
          <w:szCs w:val="24"/>
        </w:rPr>
        <w:t xml:space="preserve"> </w:t>
      </w:r>
    </w:p>
    <w:p w14:paraId="2C42C286">
      <w:pPr>
        <w:pStyle w:val="152"/>
        <w:topLinePunct/>
        <w:spacing w:line="440" w:lineRule="atLeast"/>
        <w:rPr>
          <w:rFonts w:ascii="宋体" w:hAnsi="宋体" w:cs="宋体"/>
          <w:szCs w:val="24"/>
        </w:rPr>
      </w:pPr>
      <w:r>
        <w:rPr>
          <w:rFonts w:hint="eastAsia" w:ascii="宋体" w:hAnsi="宋体" w:cs="宋体"/>
          <w:szCs w:val="24"/>
        </w:rPr>
        <w:t>成员一名称：</w:t>
      </w:r>
      <w:r>
        <w:rPr>
          <w:rFonts w:hint="eastAsia" w:ascii="宋体" w:hAnsi="宋体" w:cs="宋体"/>
          <w:szCs w:val="24"/>
          <w:u w:val="single"/>
        </w:rPr>
        <w:t xml:space="preserve">                                 </w:t>
      </w:r>
      <w:r>
        <w:rPr>
          <w:rFonts w:hint="eastAsia" w:ascii="宋体" w:hAnsi="宋体" w:cs="宋体"/>
          <w:szCs w:val="24"/>
        </w:rPr>
        <w:t>（盖单位章）</w:t>
      </w:r>
    </w:p>
    <w:p w14:paraId="0A03A087">
      <w:pPr>
        <w:pStyle w:val="152"/>
        <w:topLinePunct/>
        <w:spacing w:line="440" w:lineRule="atLeast"/>
        <w:rPr>
          <w:rFonts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536B5B1F">
      <w:pPr>
        <w:pStyle w:val="152"/>
        <w:topLinePunct/>
        <w:spacing w:line="440" w:lineRule="atLeast"/>
        <w:rPr>
          <w:rFonts w:ascii="宋体" w:hAnsi="宋体" w:cs="宋体"/>
          <w:szCs w:val="24"/>
        </w:rPr>
      </w:pPr>
      <w:r>
        <w:rPr>
          <w:rFonts w:hint="eastAsia" w:ascii="宋体" w:hAnsi="宋体" w:cs="宋体"/>
          <w:szCs w:val="24"/>
        </w:rPr>
        <w:t xml:space="preserve"> </w:t>
      </w:r>
    </w:p>
    <w:p w14:paraId="6F8F80A5">
      <w:pPr>
        <w:pStyle w:val="152"/>
        <w:topLinePunct/>
        <w:spacing w:line="440" w:lineRule="atLeast"/>
        <w:rPr>
          <w:rFonts w:ascii="宋体" w:hAnsi="宋体" w:cs="宋体"/>
          <w:szCs w:val="24"/>
        </w:rPr>
      </w:pPr>
      <w:r>
        <w:rPr>
          <w:rFonts w:hint="eastAsia" w:ascii="宋体" w:hAnsi="宋体" w:cs="宋体"/>
          <w:szCs w:val="24"/>
        </w:rPr>
        <w:t>成员二名称：</w:t>
      </w:r>
      <w:r>
        <w:rPr>
          <w:rFonts w:hint="eastAsia" w:ascii="宋体" w:hAnsi="宋体" w:cs="宋体"/>
          <w:szCs w:val="24"/>
          <w:u w:val="single"/>
        </w:rPr>
        <w:t xml:space="preserve">                                 </w:t>
      </w:r>
      <w:r>
        <w:rPr>
          <w:rFonts w:hint="eastAsia" w:ascii="宋体" w:hAnsi="宋体" w:cs="宋体"/>
          <w:szCs w:val="24"/>
        </w:rPr>
        <w:t>（盖单位章）</w:t>
      </w:r>
    </w:p>
    <w:p w14:paraId="37CEF5F6">
      <w:pPr>
        <w:pStyle w:val="152"/>
        <w:topLinePunct/>
        <w:spacing w:line="440" w:lineRule="atLeast"/>
        <w:rPr>
          <w:rFonts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5C567710">
      <w:pPr>
        <w:pStyle w:val="152"/>
        <w:topLinePunct/>
        <w:spacing w:line="440" w:lineRule="atLeast"/>
        <w:rPr>
          <w:rFonts w:ascii="宋体" w:hAnsi="宋体" w:cs="宋体"/>
          <w:szCs w:val="24"/>
        </w:rPr>
      </w:pPr>
      <w:r>
        <w:rPr>
          <w:rFonts w:hint="eastAsia" w:ascii="宋体" w:hAnsi="宋体" w:cs="宋体"/>
          <w:szCs w:val="24"/>
        </w:rPr>
        <w:t>……</w:t>
      </w:r>
    </w:p>
    <w:p w14:paraId="3D152BD8">
      <w:pPr>
        <w:pStyle w:val="152"/>
        <w:ind w:firstLine="2879"/>
        <w:rPr>
          <w:rFonts w:ascii="宋体" w:hAnsi="宋体" w:cs="宋体"/>
          <w:szCs w:val="24"/>
        </w:rPr>
      </w:pP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6FA6EF7D">
      <w:pPr>
        <w:pStyle w:val="3"/>
        <w:widowControl/>
        <w:spacing w:before="120" w:after="120" w:line="240" w:lineRule="auto"/>
        <w:jc w:val="center"/>
        <w:rPr>
          <w:rFonts w:ascii="宋体" w:hAnsi="宋体" w:cs="宋体"/>
          <w:kern w:val="0"/>
          <w:sz w:val="28"/>
          <w:szCs w:val="28"/>
        </w:rPr>
      </w:pPr>
      <w:r>
        <w:rPr>
          <w:rFonts w:hint="eastAsia" w:ascii="宋体" w:hAnsi="宋体" w:cs="宋体"/>
          <w:bCs w:val="0"/>
          <w:kern w:val="0"/>
          <w:sz w:val="28"/>
          <w:szCs w:val="28"/>
        </w:rPr>
        <w:br w:type="page"/>
      </w:r>
      <w:r>
        <w:rPr>
          <w:rFonts w:hint="eastAsia" w:ascii="宋体" w:hAnsi="宋体" w:cs="宋体"/>
          <w:bCs w:val="0"/>
          <w:kern w:val="0"/>
          <w:sz w:val="28"/>
          <w:szCs w:val="28"/>
        </w:rPr>
        <w:t>八、分</w:t>
      </w:r>
      <w:r>
        <w:rPr>
          <w:rFonts w:hint="eastAsia" w:ascii="宋体" w:hAnsi="宋体" w:cs="宋体"/>
          <w:kern w:val="0"/>
          <w:sz w:val="28"/>
          <w:szCs w:val="28"/>
        </w:rPr>
        <w:t>包意向协议书（本项目不适用）</w:t>
      </w:r>
    </w:p>
    <w:p w14:paraId="0B14FE7E">
      <w:pPr>
        <w:pStyle w:val="152"/>
        <w:topLinePunct/>
        <w:spacing w:line="440" w:lineRule="atLeast"/>
        <w:ind w:firstLine="420"/>
        <w:rPr>
          <w:rFonts w:ascii="宋体" w:hAnsi="宋体" w:cs="宋体"/>
          <w:szCs w:val="24"/>
        </w:rPr>
      </w:pPr>
      <w:r>
        <w:rPr>
          <w:rFonts w:hint="eastAsia" w:ascii="宋体" w:hAnsi="宋体" w:cs="宋体"/>
          <w:szCs w:val="24"/>
        </w:rPr>
        <w:t>我方承诺一旦在【项目名称】中获得采购合同，拟按下表进行分包。在本项目中签署的一切文件和处理的一切事宜，我方及分包单位均予以承认。分包单位将严格按照采购文件、响应文件的各项要求履行合同，且不再次分包，我方对外承担连带责任。</w:t>
      </w:r>
    </w:p>
    <w:p w14:paraId="0367A07D">
      <w:pPr>
        <w:pStyle w:val="152"/>
        <w:topLinePunct/>
        <w:spacing w:line="440" w:lineRule="atLeast"/>
        <w:ind w:firstLine="420"/>
        <w:rPr>
          <w:rFonts w:ascii="宋体" w:hAnsi="宋体" w:cs="宋体"/>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2300"/>
        <w:gridCol w:w="1266"/>
        <w:gridCol w:w="1322"/>
        <w:gridCol w:w="2389"/>
      </w:tblGrid>
      <w:tr w14:paraId="7423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14:paraId="3E3DE6F7">
            <w:pPr>
              <w:pStyle w:val="152"/>
              <w:topLinePunct/>
              <w:jc w:val="center"/>
              <w:rPr>
                <w:rFonts w:ascii="宋体" w:hAnsi="宋体" w:cs="宋体"/>
                <w:b/>
                <w:bCs/>
                <w:szCs w:val="24"/>
              </w:rPr>
            </w:pPr>
            <w:r>
              <w:rPr>
                <w:rFonts w:hint="eastAsia" w:ascii="宋体" w:hAnsi="宋体" w:cs="宋体"/>
                <w:b/>
                <w:bCs/>
                <w:szCs w:val="24"/>
              </w:rPr>
              <w:t>序号</w:t>
            </w:r>
          </w:p>
        </w:tc>
        <w:tc>
          <w:tcPr>
            <w:tcW w:w="2300" w:type="dxa"/>
            <w:vAlign w:val="center"/>
          </w:tcPr>
          <w:p w14:paraId="0EACC669">
            <w:pPr>
              <w:pStyle w:val="152"/>
              <w:topLinePunct/>
              <w:jc w:val="center"/>
              <w:rPr>
                <w:rFonts w:ascii="宋体" w:hAnsi="宋体" w:cs="宋体"/>
                <w:b/>
                <w:bCs/>
                <w:szCs w:val="24"/>
              </w:rPr>
            </w:pPr>
            <w:r>
              <w:rPr>
                <w:rFonts w:hint="eastAsia" w:ascii="宋体" w:hAnsi="宋体" w:cs="宋体"/>
                <w:b/>
                <w:bCs/>
                <w:szCs w:val="24"/>
              </w:rPr>
              <w:t>单位名称</w:t>
            </w:r>
          </w:p>
          <w:p w14:paraId="251BE88A">
            <w:pPr>
              <w:pStyle w:val="152"/>
              <w:topLinePunct/>
              <w:jc w:val="center"/>
              <w:rPr>
                <w:rFonts w:ascii="宋体" w:hAnsi="宋体" w:cs="宋体"/>
                <w:b/>
                <w:bCs/>
                <w:szCs w:val="24"/>
              </w:rPr>
            </w:pPr>
            <w:r>
              <w:rPr>
                <w:rFonts w:hint="eastAsia" w:ascii="宋体" w:hAnsi="宋体" w:cs="宋体"/>
                <w:b/>
                <w:bCs/>
                <w:szCs w:val="24"/>
              </w:rPr>
              <w:t>（分包单位）</w:t>
            </w:r>
          </w:p>
        </w:tc>
        <w:tc>
          <w:tcPr>
            <w:tcW w:w="1266" w:type="dxa"/>
            <w:vAlign w:val="center"/>
          </w:tcPr>
          <w:p w14:paraId="0D3AB1CF">
            <w:pPr>
              <w:pStyle w:val="152"/>
              <w:topLinePunct/>
              <w:jc w:val="center"/>
              <w:rPr>
                <w:rFonts w:ascii="宋体" w:hAnsi="宋体" w:cs="宋体"/>
                <w:b/>
                <w:bCs/>
                <w:szCs w:val="24"/>
              </w:rPr>
            </w:pPr>
            <w:r>
              <w:rPr>
                <w:rFonts w:hint="eastAsia" w:ascii="宋体" w:hAnsi="宋体" w:cs="宋体"/>
                <w:b/>
                <w:bCs/>
                <w:szCs w:val="24"/>
              </w:rPr>
              <w:t>资质</w:t>
            </w:r>
          </w:p>
          <w:p w14:paraId="2FDDFF07">
            <w:pPr>
              <w:pStyle w:val="152"/>
              <w:topLinePunct/>
              <w:jc w:val="center"/>
              <w:rPr>
                <w:rFonts w:ascii="宋体" w:hAnsi="宋体" w:cs="宋体"/>
                <w:b/>
                <w:bCs/>
                <w:szCs w:val="24"/>
              </w:rPr>
            </w:pPr>
            <w:r>
              <w:rPr>
                <w:rFonts w:hint="eastAsia" w:ascii="宋体" w:hAnsi="宋体" w:cs="宋体"/>
                <w:b/>
                <w:bCs/>
                <w:szCs w:val="24"/>
              </w:rPr>
              <w:t>（如有）</w:t>
            </w:r>
          </w:p>
        </w:tc>
        <w:tc>
          <w:tcPr>
            <w:tcW w:w="1322" w:type="dxa"/>
            <w:vAlign w:val="center"/>
          </w:tcPr>
          <w:p w14:paraId="2F924A60">
            <w:pPr>
              <w:pStyle w:val="152"/>
              <w:topLinePunct/>
              <w:jc w:val="center"/>
              <w:rPr>
                <w:rFonts w:ascii="宋体" w:hAnsi="宋体" w:cs="宋体"/>
                <w:b/>
                <w:bCs/>
                <w:szCs w:val="24"/>
              </w:rPr>
            </w:pPr>
            <w:r>
              <w:rPr>
                <w:rFonts w:hint="eastAsia" w:ascii="宋体" w:hAnsi="宋体" w:cs="宋体"/>
                <w:b/>
                <w:bCs/>
                <w:szCs w:val="24"/>
              </w:rPr>
              <w:t>拟分包内容</w:t>
            </w:r>
          </w:p>
        </w:tc>
        <w:tc>
          <w:tcPr>
            <w:tcW w:w="2389" w:type="dxa"/>
            <w:vAlign w:val="center"/>
          </w:tcPr>
          <w:p w14:paraId="4EB1F10D">
            <w:pPr>
              <w:pStyle w:val="152"/>
              <w:topLinePunct/>
              <w:jc w:val="center"/>
              <w:rPr>
                <w:rFonts w:ascii="宋体" w:hAnsi="宋体" w:cs="宋体"/>
                <w:b/>
                <w:bCs/>
                <w:szCs w:val="24"/>
              </w:rPr>
            </w:pPr>
            <w:r>
              <w:rPr>
                <w:rFonts w:hint="eastAsia" w:ascii="宋体" w:hAnsi="宋体" w:cs="宋体"/>
                <w:b/>
                <w:bCs/>
                <w:szCs w:val="24"/>
              </w:rPr>
              <w:t>拟分包合同金额占合同金额的比例</w:t>
            </w:r>
          </w:p>
        </w:tc>
      </w:tr>
      <w:tr w14:paraId="58DF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Pr>
          <w:p w14:paraId="77E6DC58">
            <w:pPr>
              <w:pStyle w:val="152"/>
              <w:topLinePunct/>
              <w:jc w:val="left"/>
              <w:rPr>
                <w:rFonts w:ascii="宋体" w:hAnsi="宋体" w:cs="宋体"/>
                <w:szCs w:val="24"/>
              </w:rPr>
            </w:pPr>
            <w:r>
              <w:rPr>
                <w:rFonts w:hint="eastAsia" w:ascii="宋体" w:hAnsi="宋体" w:cs="宋体"/>
                <w:szCs w:val="24"/>
              </w:rPr>
              <w:t>1</w:t>
            </w:r>
          </w:p>
        </w:tc>
        <w:tc>
          <w:tcPr>
            <w:tcW w:w="2300" w:type="dxa"/>
          </w:tcPr>
          <w:p w14:paraId="671C0D43">
            <w:pPr>
              <w:pStyle w:val="152"/>
              <w:topLinePunct/>
              <w:jc w:val="left"/>
              <w:rPr>
                <w:rFonts w:ascii="宋体" w:hAnsi="宋体" w:cs="宋体"/>
                <w:szCs w:val="24"/>
              </w:rPr>
            </w:pPr>
          </w:p>
        </w:tc>
        <w:tc>
          <w:tcPr>
            <w:tcW w:w="1266" w:type="dxa"/>
          </w:tcPr>
          <w:p w14:paraId="35FA1CD4">
            <w:pPr>
              <w:pStyle w:val="152"/>
              <w:topLinePunct/>
              <w:jc w:val="left"/>
              <w:rPr>
                <w:rFonts w:ascii="宋体" w:hAnsi="宋体" w:cs="宋体"/>
                <w:szCs w:val="24"/>
              </w:rPr>
            </w:pPr>
          </w:p>
        </w:tc>
        <w:tc>
          <w:tcPr>
            <w:tcW w:w="1322" w:type="dxa"/>
          </w:tcPr>
          <w:p w14:paraId="63969B01">
            <w:pPr>
              <w:pStyle w:val="152"/>
              <w:topLinePunct/>
              <w:jc w:val="left"/>
              <w:rPr>
                <w:rFonts w:ascii="宋体" w:hAnsi="宋体" w:cs="宋体"/>
                <w:szCs w:val="24"/>
              </w:rPr>
            </w:pPr>
          </w:p>
        </w:tc>
        <w:tc>
          <w:tcPr>
            <w:tcW w:w="2389" w:type="dxa"/>
          </w:tcPr>
          <w:p w14:paraId="238B4CFF">
            <w:pPr>
              <w:pStyle w:val="152"/>
              <w:topLinePunct/>
              <w:jc w:val="left"/>
              <w:rPr>
                <w:rFonts w:ascii="宋体" w:hAnsi="宋体" w:cs="宋体"/>
                <w:szCs w:val="24"/>
              </w:rPr>
            </w:pPr>
          </w:p>
        </w:tc>
      </w:tr>
      <w:tr w14:paraId="7018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Pr>
          <w:p w14:paraId="4ABAD432">
            <w:pPr>
              <w:pStyle w:val="152"/>
              <w:topLinePunct/>
              <w:jc w:val="left"/>
              <w:rPr>
                <w:rFonts w:ascii="宋体" w:hAnsi="宋体" w:cs="宋体"/>
                <w:szCs w:val="24"/>
              </w:rPr>
            </w:pPr>
            <w:r>
              <w:rPr>
                <w:rFonts w:hint="eastAsia" w:ascii="宋体" w:hAnsi="宋体" w:cs="宋体"/>
                <w:szCs w:val="24"/>
              </w:rPr>
              <w:t>2</w:t>
            </w:r>
          </w:p>
        </w:tc>
        <w:tc>
          <w:tcPr>
            <w:tcW w:w="2300" w:type="dxa"/>
          </w:tcPr>
          <w:p w14:paraId="1F6005C5">
            <w:pPr>
              <w:pStyle w:val="152"/>
              <w:topLinePunct/>
              <w:jc w:val="left"/>
              <w:rPr>
                <w:rFonts w:ascii="宋体" w:hAnsi="宋体" w:cs="宋体"/>
                <w:szCs w:val="24"/>
              </w:rPr>
            </w:pPr>
          </w:p>
        </w:tc>
        <w:tc>
          <w:tcPr>
            <w:tcW w:w="1266" w:type="dxa"/>
          </w:tcPr>
          <w:p w14:paraId="165C9821">
            <w:pPr>
              <w:pStyle w:val="152"/>
              <w:topLinePunct/>
              <w:jc w:val="left"/>
              <w:rPr>
                <w:rFonts w:ascii="宋体" w:hAnsi="宋体" w:cs="宋体"/>
                <w:szCs w:val="24"/>
              </w:rPr>
            </w:pPr>
          </w:p>
        </w:tc>
        <w:tc>
          <w:tcPr>
            <w:tcW w:w="1322" w:type="dxa"/>
          </w:tcPr>
          <w:p w14:paraId="23CC3295">
            <w:pPr>
              <w:pStyle w:val="152"/>
              <w:topLinePunct/>
              <w:jc w:val="left"/>
              <w:rPr>
                <w:rFonts w:ascii="宋体" w:hAnsi="宋体" w:cs="宋体"/>
                <w:szCs w:val="24"/>
              </w:rPr>
            </w:pPr>
          </w:p>
        </w:tc>
        <w:tc>
          <w:tcPr>
            <w:tcW w:w="2389" w:type="dxa"/>
          </w:tcPr>
          <w:p w14:paraId="3BC1F9B1">
            <w:pPr>
              <w:pStyle w:val="152"/>
              <w:topLinePunct/>
              <w:jc w:val="left"/>
              <w:rPr>
                <w:rFonts w:ascii="宋体" w:hAnsi="宋体" w:cs="宋体"/>
                <w:szCs w:val="24"/>
              </w:rPr>
            </w:pPr>
          </w:p>
        </w:tc>
      </w:tr>
      <w:tr w14:paraId="1C0C3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tcPr>
          <w:p w14:paraId="087C967D">
            <w:pPr>
              <w:pStyle w:val="152"/>
              <w:topLinePunct/>
              <w:jc w:val="left"/>
              <w:rPr>
                <w:rFonts w:ascii="宋体" w:hAnsi="宋体" w:cs="宋体"/>
                <w:szCs w:val="24"/>
              </w:rPr>
            </w:pPr>
            <w:r>
              <w:rPr>
                <w:rFonts w:hint="eastAsia" w:ascii="宋体" w:hAnsi="宋体" w:cs="宋体"/>
                <w:szCs w:val="24"/>
              </w:rPr>
              <w:t>...</w:t>
            </w:r>
          </w:p>
        </w:tc>
        <w:tc>
          <w:tcPr>
            <w:tcW w:w="2300" w:type="dxa"/>
          </w:tcPr>
          <w:p w14:paraId="1F83D11F">
            <w:pPr>
              <w:pStyle w:val="152"/>
              <w:topLinePunct/>
              <w:jc w:val="left"/>
              <w:rPr>
                <w:rFonts w:ascii="宋体" w:hAnsi="宋体" w:cs="宋体"/>
                <w:szCs w:val="24"/>
              </w:rPr>
            </w:pPr>
          </w:p>
        </w:tc>
        <w:tc>
          <w:tcPr>
            <w:tcW w:w="1266" w:type="dxa"/>
          </w:tcPr>
          <w:p w14:paraId="584F76CA">
            <w:pPr>
              <w:pStyle w:val="152"/>
              <w:topLinePunct/>
              <w:jc w:val="left"/>
              <w:rPr>
                <w:rFonts w:ascii="宋体" w:hAnsi="宋体" w:cs="宋体"/>
                <w:szCs w:val="24"/>
              </w:rPr>
            </w:pPr>
          </w:p>
        </w:tc>
        <w:tc>
          <w:tcPr>
            <w:tcW w:w="1322" w:type="dxa"/>
          </w:tcPr>
          <w:p w14:paraId="16B18E94">
            <w:pPr>
              <w:pStyle w:val="152"/>
              <w:topLinePunct/>
              <w:jc w:val="left"/>
              <w:rPr>
                <w:rFonts w:ascii="宋体" w:hAnsi="宋体" w:cs="宋体"/>
                <w:szCs w:val="24"/>
              </w:rPr>
            </w:pPr>
          </w:p>
        </w:tc>
        <w:tc>
          <w:tcPr>
            <w:tcW w:w="2389" w:type="dxa"/>
          </w:tcPr>
          <w:p w14:paraId="5FBC0531">
            <w:pPr>
              <w:pStyle w:val="152"/>
              <w:topLinePunct/>
              <w:jc w:val="left"/>
              <w:rPr>
                <w:rFonts w:ascii="宋体" w:hAnsi="宋体" w:cs="宋体"/>
                <w:szCs w:val="24"/>
              </w:rPr>
            </w:pPr>
          </w:p>
        </w:tc>
      </w:tr>
    </w:tbl>
    <w:p w14:paraId="5EAA7F56">
      <w:pPr>
        <w:pStyle w:val="152"/>
        <w:topLinePunct/>
        <w:spacing w:line="440" w:lineRule="atLeast"/>
        <w:rPr>
          <w:rFonts w:ascii="宋体" w:hAnsi="宋体" w:cs="宋体"/>
          <w:szCs w:val="24"/>
        </w:rPr>
      </w:pPr>
      <w:r>
        <w:rPr>
          <w:rFonts w:hint="eastAsia" w:ascii="宋体" w:hAnsi="宋体" w:cs="宋体"/>
          <w:szCs w:val="24"/>
        </w:rPr>
        <w:t>注：</w:t>
      </w:r>
    </w:p>
    <w:p w14:paraId="45DF84E3">
      <w:pPr>
        <w:pStyle w:val="152"/>
        <w:topLinePunct/>
        <w:spacing w:line="440" w:lineRule="atLeast"/>
        <w:rPr>
          <w:rFonts w:ascii="宋体" w:hAnsi="宋体" w:cs="宋体"/>
          <w:szCs w:val="24"/>
        </w:rPr>
      </w:pPr>
      <w:r>
        <w:rPr>
          <w:rFonts w:hint="eastAsia" w:ascii="宋体" w:hAnsi="宋体" w:cs="宋体"/>
          <w:szCs w:val="24"/>
        </w:rPr>
        <w:t>1.如本项目允许分包，且供应商拟进行分包时，必须提供；如未提供，或提供了但未填写拟签订分包合同的单位名称、拟分包合同金额占合同总金额的比例，响应无效。</w:t>
      </w:r>
    </w:p>
    <w:p w14:paraId="0AB0150E">
      <w:pPr>
        <w:pStyle w:val="152"/>
        <w:topLinePunct/>
        <w:spacing w:line="440" w:lineRule="atLeast"/>
        <w:rPr>
          <w:rFonts w:ascii="宋体" w:hAnsi="宋体" w:cs="宋体"/>
          <w:szCs w:val="24"/>
        </w:rPr>
      </w:pPr>
      <w:r>
        <w:rPr>
          <w:rFonts w:hint="eastAsia" w:ascii="宋体" w:hAnsi="宋体" w:cs="宋体"/>
          <w:szCs w:val="24"/>
        </w:rPr>
        <w:t>2.如竞争性磋商公告载明的资格要求与拟分包内容相关，则供应商须在本表中列明分包单位的相应资质，并附资质证书的扫描件或电子证书，否则响应无效。</w:t>
      </w:r>
    </w:p>
    <w:p w14:paraId="1A33231F">
      <w:pPr>
        <w:pStyle w:val="152"/>
        <w:topLinePunct/>
        <w:spacing w:line="440" w:lineRule="atLeast"/>
        <w:rPr>
          <w:rFonts w:ascii="宋体" w:hAnsi="宋体" w:cs="宋体"/>
          <w:szCs w:val="24"/>
        </w:rPr>
      </w:pPr>
      <w:r>
        <w:rPr>
          <w:rFonts w:hint="eastAsia" w:ascii="宋体" w:hAnsi="宋体" w:cs="宋体"/>
          <w:szCs w:val="24"/>
        </w:rPr>
        <w:t>3.供应商为享受政府采购支持中小企业发展政策而向中小微企业分包时，须同时提供分包单位的中小企业声明函，分包单位的企业划型标准以中小企业声明函作为判断依据。</w:t>
      </w:r>
    </w:p>
    <w:p w14:paraId="74C1B195">
      <w:pPr>
        <w:pStyle w:val="152"/>
        <w:topLinePunct/>
        <w:spacing w:line="440" w:lineRule="atLeast"/>
        <w:jc w:val="right"/>
        <w:rPr>
          <w:rFonts w:ascii="宋体" w:hAnsi="宋体" w:cs="宋体"/>
          <w:szCs w:val="24"/>
        </w:rPr>
      </w:pPr>
    </w:p>
    <w:p w14:paraId="61F60769">
      <w:pPr>
        <w:pStyle w:val="152"/>
        <w:topLinePunct/>
        <w:spacing w:line="440" w:lineRule="atLeast"/>
        <w:rPr>
          <w:rFonts w:ascii="宋体" w:hAnsi="宋体" w:cs="宋体"/>
          <w:szCs w:val="24"/>
        </w:rPr>
      </w:pPr>
      <w:r>
        <w:rPr>
          <w:rFonts w:hint="eastAsia" w:ascii="宋体" w:hAnsi="宋体" w:cs="宋体"/>
          <w:szCs w:val="24"/>
        </w:rPr>
        <w:t>供应商名称：</w:t>
      </w:r>
      <w:r>
        <w:rPr>
          <w:rFonts w:hint="eastAsia" w:ascii="宋体" w:hAnsi="宋体" w:cs="宋体"/>
          <w:szCs w:val="24"/>
          <w:u w:val="single"/>
        </w:rPr>
        <w:t xml:space="preserve">                                 </w:t>
      </w:r>
      <w:r>
        <w:rPr>
          <w:rFonts w:hint="eastAsia" w:ascii="宋体" w:hAnsi="宋体" w:cs="宋体"/>
          <w:szCs w:val="24"/>
        </w:rPr>
        <w:t>（盖单位章）</w:t>
      </w:r>
    </w:p>
    <w:p w14:paraId="3AE18900">
      <w:pPr>
        <w:pStyle w:val="152"/>
        <w:topLinePunct/>
        <w:spacing w:line="440" w:lineRule="atLeast"/>
        <w:rPr>
          <w:rFonts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352283B7">
      <w:pPr>
        <w:pStyle w:val="152"/>
        <w:topLinePunct/>
        <w:spacing w:line="440" w:lineRule="atLeast"/>
        <w:rPr>
          <w:rFonts w:ascii="宋体" w:hAnsi="宋体" w:cs="宋体"/>
          <w:szCs w:val="24"/>
        </w:rPr>
      </w:pPr>
    </w:p>
    <w:p w14:paraId="02DA3B0A">
      <w:pPr>
        <w:pStyle w:val="152"/>
        <w:topLinePunct/>
        <w:spacing w:line="440" w:lineRule="atLeast"/>
        <w:rPr>
          <w:rFonts w:ascii="宋体" w:hAnsi="宋体" w:cs="宋体"/>
          <w:szCs w:val="24"/>
        </w:rPr>
      </w:pPr>
      <w:r>
        <w:rPr>
          <w:rFonts w:hint="eastAsia" w:ascii="宋体" w:hAnsi="宋体" w:cs="宋体"/>
          <w:szCs w:val="24"/>
        </w:rPr>
        <w:t>分包单位一名称：</w:t>
      </w:r>
      <w:r>
        <w:rPr>
          <w:rFonts w:hint="eastAsia" w:ascii="宋体" w:hAnsi="宋体" w:cs="宋体"/>
          <w:szCs w:val="24"/>
          <w:u w:val="single"/>
        </w:rPr>
        <w:t xml:space="preserve">                                 </w:t>
      </w:r>
      <w:r>
        <w:rPr>
          <w:rFonts w:hint="eastAsia" w:ascii="宋体" w:hAnsi="宋体" w:cs="宋体"/>
          <w:szCs w:val="24"/>
        </w:rPr>
        <w:t>（盖单位章）</w:t>
      </w:r>
    </w:p>
    <w:p w14:paraId="36A344EF">
      <w:pPr>
        <w:pStyle w:val="152"/>
        <w:topLinePunct/>
        <w:spacing w:line="440" w:lineRule="atLeast"/>
        <w:rPr>
          <w:rFonts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452F23AC">
      <w:pPr>
        <w:pStyle w:val="152"/>
        <w:topLinePunct/>
        <w:spacing w:line="440" w:lineRule="atLeast"/>
        <w:rPr>
          <w:rFonts w:ascii="宋体" w:hAnsi="宋体" w:cs="宋体"/>
          <w:szCs w:val="24"/>
        </w:rPr>
      </w:pPr>
    </w:p>
    <w:p w14:paraId="21E9D8AC">
      <w:pPr>
        <w:pStyle w:val="152"/>
        <w:topLinePunct/>
        <w:spacing w:line="440" w:lineRule="atLeast"/>
        <w:rPr>
          <w:rFonts w:ascii="宋体" w:hAnsi="宋体" w:cs="宋体"/>
          <w:szCs w:val="24"/>
        </w:rPr>
      </w:pPr>
      <w:r>
        <w:rPr>
          <w:rFonts w:hint="eastAsia" w:ascii="宋体" w:hAnsi="宋体" w:cs="宋体"/>
          <w:szCs w:val="24"/>
        </w:rPr>
        <w:t>分包单位二名称：</w:t>
      </w:r>
      <w:r>
        <w:rPr>
          <w:rFonts w:hint="eastAsia" w:ascii="宋体" w:hAnsi="宋体" w:cs="宋体"/>
          <w:szCs w:val="24"/>
          <w:u w:val="single"/>
        </w:rPr>
        <w:t xml:space="preserve">                                 </w:t>
      </w:r>
      <w:r>
        <w:rPr>
          <w:rFonts w:hint="eastAsia" w:ascii="宋体" w:hAnsi="宋体" w:cs="宋体"/>
          <w:szCs w:val="24"/>
        </w:rPr>
        <w:t>（盖单位章）</w:t>
      </w:r>
    </w:p>
    <w:p w14:paraId="64D90667">
      <w:pPr>
        <w:pStyle w:val="152"/>
        <w:topLinePunct/>
        <w:spacing w:line="440" w:lineRule="atLeast"/>
        <w:rPr>
          <w:rFonts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0C03656A">
      <w:pPr>
        <w:pStyle w:val="152"/>
        <w:topLinePunct/>
        <w:spacing w:line="440" w:lineRule="atLeast"/>
        <w:rPr>
          <w:rFonts w:ascii="宋体" w:hAnsi="宋体" w:cs="宋体"/>
          <w:szCs w:val="24"/>
        </w:rPr>
      </w:pPr>
      <w:r>
        <w:rPr>
          <w:rFonts w:hint="eastAsia" w:ascii="宋体" w:hAnsi="宋体" w:cs="宋体"/>
          <w:szCs w:val="24"/>
        </w:rPr>
        <w:t>……</w:t>
      </w:r>
    </w:p>
    <w:p w14:paraId="38FA12BF">
      <w:pPr>
        <w:pStyle w:val="152"/>
        <w:ind w:firstLine="2879"/>
        <w:rPr>
          <w:rFonts w:ascii="宋体" w:hAnsi="宋体" w:cs="宋体"/>
          <w:szCs w:val="24"/>
        </w:rPr>
      </w:pP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75C173BC">
      <w:pPr>
        <w:spacing w:line="440" w:lineRule="exact"/>
        <w:rPr>
          <w:rFonts w:ascii="宋体" w:hAnsi="宋体" w:cs="宋体"/>
          <w:szCs w:val="21"/>
        </w:rPr>
      </w:pPr>
    </w:p>
    <w:p w14:paraId="12708DD8">
      <w:pPr>
        <w:widowControl/>
        <w:rPr>
          <w:rFonts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59AC9FB">
      <w:pPr>
        <w:pStyle w:val="3"/>
        <w:widowControl/>
        <w:spacing w:before="120" w:after="120" w:line="240" w:lineRule="auto"/>
        <w:jc w:val="center"/>
        <w:rPr>
          <w:rStyle w:val="103"/>
          <w:rFonts w:ascii="宋体" w:hAnsi="宋体" w:eastAsia="宋体" w:cs="宋体"/>
          <w:b/>
          <w:bCs w:val="0"/>
          <w:sz w:val="30"/>
          <w:szCs w:val="30"/>
        </w:rPr>
      </w:pPr>
      <w:r>
        <w:rPr>
          <w:rStyle w:val="103"/>
          <w:rFonts w:hint="eastAsia" w:ascii="宋体" w:hAnsi="宋体" w:eastAsia="宋体" w:cs="宋体"/>
          <w:b/>
          <w:bCs w:val="0"/>
          <w:sz w:val="30"/>
          <w:szCs w:val="30"/>
        </w:rPr>
        <w:t>九、资格审查材料</w:t>
      </w:r>
    </w:p>
    <w:p w14:paraId="377C22DC">
      <w:pPr>
        <w:widowControl/>
        <w:tabs>
          <w:tab w:val="left" w:pos="5580"/>
        </w:tabs>
        <w:wordWrap w:val="0"/>
        <w:adjustRightInd w:val="0"/>
        <w:snapToGrid w:val="0"/>
        <w:spacing w:line="400" w:lineRule="exact"/>
        <w:rPr>
          <w:rFonts w:ascii="宋体" w:hAnsi="宋体" w:cs="宋体"/>
          <w:b/>
          <w:szCs w:val="21"/>
        </w:rPr>
      </w:pPr>
      <w:r>
        <w:rPr>
          <w:rFonts w:hint="eastAsia" w:ascii="宋体" w:hAnsi="宋体" w:cs="宋体"/>
          <w:b/>
          <w:szCs w:val="21"/>
        </w:rPr>
        <w:t>特别提醒：</w:t>
      </w:r>
    </w:p>
    <w:p w14:paraId="1622EA9B">
      <w:pPr>
        <w:widowControl/>
        <w:tabs>
          <w:tab w:val="left" w:pos="5580"/>
        </w:tabs>
        <w:wordWrap w:val="0"/>
        <w:adjustRightInd w:val="0"/>
        <w:snapToGrid w:val="0"/>
        <w:spacing w:line="400" w:lineRule="exact"/>
        <w:rPr>
          <w:rFonts w:ascii="宋体" w:hAnsi="宋体" w:cs="宋体"/>
          <w:szCs w:val="21"/>
        </w:rPr>
      </w:pPr>
      <w:r>
        <w:rPr>
          <w:rFonts w:hint="eastAsia" w:ascii="宋体" w:hAnsi="宋体" w:cs="宋体"/>
          <w:szCs w:val="21"/>
        </w:rPr>
        <w:t>1．提供证明材料</w:t>
      </w:r>
      <w:r>
        <w:rPr>
          <w:rFonts w:hint="eastAsia" w:ascii="宋体" w:hAnsi="宋体" w:cs="宋体"/>
          <w:b/>
          <w:szCs w:val="21"/>
        </w:rPr>
        <w:t>扫描件或电子证照</w:t>
      </w:r>
      <w:r>
        <w:rPr>
          <w:rFonts w:hint="eastAsia" w:ascii="宋体" w:hAnsi="宋体" w:cs="宋体"/>
          <w:szCs w:val="21"/>
        </w:rPr>
        <w:t>；</w:t>
      </w:r>
    </w:p>
    <w:p w14:paraId="153956E2">
      <w:pPr>
        <w:widowControl/>
        <w:tabs>
          <w:tab w:val="left" w:pos="5580"/>
        </w:tabs>
        <w:wordWrap w:val="0"/>
        <w:adjustRightInd w:val="0"/>
        <w:snapToGrid w:val="0"/>
        <w:spacing w:line="400" w:lineRule="exact"/>
        <w:rPr>
          <w:rFonts w:ascii="宋体" w:hAnsi="宋体" w:cs="宋体"/>
          <w:szCs w:val="21"/>
        </w:rPr>
      </w:pPr>
      <w:r>
        <w:rPr>
          <w:rFonts w:hint="eastAsia" w:ascii="宋体" w:hAnsi="宋体" w:cs="宋体"/>
          <w:szCs w:val="21"/>
        </w:rPr>
        <w:t>2．建议设置审查索引，以便磋商小组顺利开展审查工作；</w:t>
      </w:r>
    </w:p>
    <w:p w14:paraId="4C00B105">
      <w:pPr>
        <w:widowControl/>
        <w:tabs>
          <w:tab w:val="left" w:pos="5580"/>
        </w:tabs>
        <w:wordWrap w:val="0"/>
        <w:adjustRightInd w:val="0"/>
        <w:snapToGrid w:val="0"/>
        <w:spacing w:line="400" w:lineRule="exact"/>
        <w:rPr>
          <w:rFonts w:ascii="宋体" w:hAnsi="宋体" w:cs="宋体"/>
          <w:szCs w:val="21"/>
        </w:rPr>
      </w:pPr>
      <w:r>
        <w:rPr>
          <w:rFonts w:hint="eastAsia" w:ascii="宋体" w:hAnsi="宋体" w:cs="宋体"/>
          <w:szCs w:val="21"/>
        </w:rPr>
        <w:t>3．内容须清晰、明确，若提供相关资料内容模糊不清或无法辨认，磋商小组有权不予认可。</w:t>
      </w:r>
    </w:p>
    <w:p w14:paraId="7659332B"/>
    <w:p w14:paraId="037CCF76">
      <w:pPr>
        <w:pStyle w:val="4"/>
        <w:keepNext w:val="0"/>
        <w:tabs>
          <w:tab w:val="left" w:pos="1260"/>
        </w:tabs>
        <w:jc w:val="center"/>
        <w:rPr>
          <w:rFonts w:cs="宋体"/>
          <w:sz w:val="24"/>
          <w:lang w:eastAsia="zh-CN"/>
        </w:rPr>
      </w:pPr>
      <w:r>
        <w:rPr>
          <w:rFonts w:hint="eastAsia" w:cs="宋体"/>
          <w:bCs w:val="0"/>
          <w:sz w:val="24"/>
          <w:lang w:eastAsia="zh-CN"/>
        </w:rPr>
        <w:t>（一）采购文件要求的相关资格证明</w:t>
      </w:r>
    </w:p>
    <w:p w14:paraId="3D515B51">
      <w:pPr>
        <w:rPr>
          <w:rFonts w:ascii="宋体" w:hAnsi="宋体" w:cs="宋体"/>
          <w:b/>
        </w:rPr>
      </w:pPr>
      <w:r>
        <w:rPr>
          <w:rFonts w:hint="eastAsia" w:ascii="宋体" w:hAnsi="宋体" w:cs="宋体"/>
          <w:b/>
        </w:rPr>
        <w:t>1-1营业执照等证明材料扫描件或电子证照</w:t>
      </w:r>
    </w:p>
    <w:p w14:paraId="6BB480FD">
      <w:pPr>
        <w:rPr>
          <w:rFonts w:ascii="宋体" w:hAnsi="宋体" w:cs="宋体"/>
          <w:sz w:val="18"/>
          <w:szCs w:val="18"/>
        </w:rPr>
      </w:pPr>
      <w:r>
        <w:rPr>
          <w:rFonts w:hint="eastAsia" w:ascii="宋体" w:hAnsi="宋体" w:cs="宋体"/>
          <w:sz w:val="18"/>
          <w:szCs w:val="18"/>
        </w:rPr>
        <w:t>供应商为企业（包括公司、合伙企业、个人独资企业）的，提供有效的营业执照；</w:t>
      </w:r>
    </w:p>
    <w:p w14:paraId="214E35EA">
      <w:pPr>
        <w:rPr>
          <w:rFonts w:ascii="宋体" w:hAnsi="宋体" w:cs="宋体"/>
          <w:sz w:val="18"/>
          <w:szCs w:val="18"/>
        </w:rPr>
      </w:pPr>
      <w:r>
        <w:rPr>
          <w:rFonts w:hint="eastAsia" w:ascii="宋体" w:hAnsi="宋体" w:cs="宋体"/>
          <w:sz w:val="18"/>
          <w:szCs w:val="18"/>
        </w:rPr>
        <w:t>供应商为事业单位的，提供有效的事业单位法人证书；</w:t>
      </w:r>
    </w:p>
    <w:p w14:paraId="11316E09">
      <w:pPr>
        <w:rPr>
          <w:rFonts w:ascii="宋体" w:hAnsi="宋体" w:cs="宋体"/>
          <w:sz w:val="18"/>
          <w:szCs w:val="18"/>
        </w:rPr>
      </w:pPr>
      <w:r>
        <w:rPr>
          <w:rFonts w:hint="eastAsia" w:ascii="宋体" w:hAnsi="宋体" w:cs="宋体"/>
          <w:sz w:val="18"/>
          <w:szCs w:val="18"/>
        </w:rPr>
        <w:t>供应商为社会团体的，提供有效的社会团体法人登记证书；</w:t>
      </w:r>
    </w:p>
    <w:p w14:paraId="5712DD44">
      <w:pPr>
        <w:rPr>
          <w:rFonts w:ascii="宋体" w:hAnsi="宋体" w:cs="宋体"/>
          <w:sz w:val="18"/>
          <w:szCs w:val="18"/>
        </w:rPr>
      </w:pPr>
      <w:r>
        <w:rPr>
          <w:rFonts w:hint="eastAsia" w:ascii="宋体" w:hAnsi="宋体" w:cs="宋体"/>
          <w:sz w:val="18"/>
          <w:szCs w:val="18"/>
        </w:rPr>
        <w:t>供应商为个体工商户的，提供有效的营业执照；</w:t>
      </w:r>
    </w:p>
    <w:p w14:paraId="335FC952">
      <w:pPr>
        <w:rPr>
          <w:rFonts w:ascii="宋体" w:hAnsi="宋体" w:cs="宋体"/>
          <w:sz w:val="18"/>
          <w:szCs w:val="18"/>
        </w:rPr>
      </w:pPr>
      <w:r>
        <w:rPr>
          <w:rFonts w:hint="eastAsia" w:ascii="宋体" w:hAnsi="宋体" w:cs="宋体"/>
          <w:sz w:val="18"/>
          <w:szCs w:val="18"/>
        </w:rPr>
        <w:t>供应商为不具法人资格的专业服务机构的，提供有效的执业许可证等证明材料；</w:t>
      </w:r>
    </w:p>
    <w:p w14:paraId="491266C1">
      <w:pPr>
        <w:rPr>
          <w:rFonts w:ascii="宋体" w:hAnsi="宋体" w:cs="宋体"/>
          <w:sz w:val="18"/>
          <w:szCs w:val="18"/>
        </w:rPr>
      </w:pPr>
      <w:r>
        <w:rPr>
          <w:rFonts w:hint="eastAsia" w:ascii="宋体" w:hAnsi="宋体" w:cs="宋体"/>
          <w:sz w:val="18"/>
          <w:szCs w:val="18"/>
        </w:rPr>
        <w:t>供应商为自然人的，提供有效的自然人身份证明；</w:t>
      </w:r>
    </w:p>
    <w:p w14:paraId="1064B60E">
      <w:pPr>
        <w:rPr>
          <w:rFonts w:ascii="宋体" w:hAnsi="宋体" w:cs="宋体"/>
          <w:sz w:val="18"/>
          <w:szCs w:val="18"/>
        </w:rPr>
      </w:pPr>
      <w:r>
        <w:rPr>
          <w:rFonts w:hint="eastAsia" w:ascii="宋体" w:hAnsi="宋体" w:cs="宋体"/>
          <w:sz w:val="18"/>
          <w:szCs w:val="18"/>
        </w:rPr>
        <w:t>其他供应商应按照有关法律、法规和规章规定，提供有效的相应证明材料。</w:t>
      </w:r>
    </w:p>
    <w:p w14:paraId="19764089">
      <w:pPr>
        <w:rPr>
          <w:rFonts w:ascii="宋体" w:hAnsi="宋体" w:cs="宋体"/>
          <w:sz w:val="18"/>
          <w:szCs w:val="18"/>
        </w:rPr>
      </w:pPr>
      <w:r>
        <w:rPr>
          <w:rFonts w:hint="eastAsia" w:ascii="宋体" w:hAnsi="宋体" w:cs="宋体"/>
          <w:sz w:val="18"/>
          <w:szCs w:val="18"/>
        </w:rPr>
        <w:t>注：</w:t>
      </w:r>
    </w:p>
    <w:p w14:paraId="181700A7">
      <w:pPr>
        <w:rPr>
          <w:rFonts w:ascii="宋体" w:hAnsi="宋体" w:cs="宋体"/>
          <w:sz w:val="18"/>
          <w:szCs w:val="18"/>
        </w:rPr>
      </w:pPr>
      <w:r>
        <w:rPr>
          <w:rFonts w:hint="eastAsia" w:ascii="宋体" w:hAnsi="宋体" w:cs="宋体"/>
          <w:sz w:val="18"/>
          <w:szCs w:val="18"/>
        </w:rPr>
        <w:t>1.联合体响应的联合体各方均须提供。</w:t>
      </w:r>
    </w:p>
    <w:p w14:paraId="75694EDB">
      <w:pPr>
        <w:rPr>
          <w:rFonts w:ascii="宋体" w:hAnsi="宋体" w:cs="宋体"/>
          <w:sz w:val="18"/>
          <w:szCs w:val="18"/>
        </w:rPr>
      </w:pPr>
      <w:r>
        <w:rPr>
          <w:rFonts w:hint="eastAsia" w:ascii="宋体" w:hAnsi="宋体" w:cs="宋体"/>
          <w:sz w:val="18"/>
          <w:szCs w:val="18"/>
        </w:rPr>
        <w:t>2.分支机构以分支机构名义参加响应的，应提供该分支机构的上述证明文件；同时还应提供其所属法人/其他组织出具的授权书（格式自拟，须加盖其所属法人/其他组织的公章）；</w:t>
      </w:r>
    </w:p>
    <w:p w14:paraId="62B792BC">
      <w:pPr>
        <w:rPr>
          <w:rFonts w:ascii="宋体" w:hAnsi="宋体" w:cs="宋体"/>
          <w:sz w:val="18"/>
          <w:szCs w:val="18"/>
        </w:rPr>
      </w:pPr>
      <w:r>
        <w:rPr>
          <w:rFonts w:hint="eastAsia" w:ascii="宋体" w:hAnsi="宋体" w:cs="宋体"/>
          <w:sz w:val="18"/>
          <w:szCs w:val="18"/>
        </w:rPr>
        <w:t>3.分支机构以其所属法人/其他组织名义参加响应的，应提供其所属法人/其他组织的上述证明文件；同时还应提供其所属法人/其他组织出具的授权书（格式自拟，须加盖其所属法人/其他组织的公章）；</w:t>
      </w:r>
    </w:p>
    <w:p w14:paraId="1830D57A">
      <w:pPr>
        <w:rPr>
          <w:rFonts w:ascii="宋体" w:hAnsi="宋体" w:cs="宋体"/>
          <w:color w:val="FF0000"/>
          <w:szCs w:val="21"/>
        </w:rPr>
      </w:pPr>
      <w:r>
        <w:rPr>
          <w:rFonts w:hint="eastAsia" w:ascii="宋体" w:hAnsi="宋体" w:cs="宋体"/>
          <w:sz w:val="18"/>
          <w:szCs w:val="18"/>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489C9E2E">
      <w:pPr>
        <w:pStyle w:val="89"/>
      </w:pPr>
    </w:p>
    <w:p w14:paraId="4B0C116B">
      <w:pPr>
        <w:rPr>
          <w:rFonts w:ascii="宋体" w:hAnsi="宋体" w:cs="宋体"/>
          <w:b/>
        </w:rPr>
      </w:pPr>
      <w:r>
        <w:rPr>
          <w:rFonts w:hint="eastAsia" w:ascii="宋体" w:hAnsi="宋体" w:cs="宋体"/>
          <w:b/>
        </w:rPr>
        <w:t>1-2资质证书（如有）</w:t>
      </w:r>
    </w:p>
    <w:p w14:paraId="1E0CE986">
      <w:pPr>
        <w:rPr>
          <w:rFonts w:ascii="宋体" w:hAnsi="宋体" w:cs="宋体"/>
          <w:snapToGrid w:val="0"/>
          <w:sz w:val="18"/>
          <w:szCs w:val="18"/>
        </w:rPr>
      </w:pPr>
      <w:r>
        <w:rPr>
          <w:rFonts w:hint="eastAsia" w:ascii="宋体" w:hAnsi="宋体" w:cs="宋体"/>
          <w:sz w:val="18"/>
          <w:szCs w:val="18"/>
        </w:rPr>
        <w:t>注：</w:t>
      </w:r>
      <w:r>
        <w:rPr>
          <w:rFonts w:hint="eastAsia" w:ascii="宋体" w:hAnsi="宋体" w:cs="宋体"/>
          <w:snapToGrid w:val="0"/>
          <w:sz w:val="18"/>
          <w:szCs w:val="18"/>
        </w:rPr>
        <w:t>资质证书包括但不限于响应货物生产（制造）、销售、服务（安装、改造、维修、保养）许可证及有关响应货物（产品）有效鉴定证明等材料。</w:t>
      </w:r>
    </w:p>
    <w:p w14:paraId="5C86A78C">
      <w:pPr>
        <w:rPr>
          <w:rFonts w:ascii="宋体" w:hAnsi="宋体" w:cs="宋体"/>
          <w:color w:val="FF0000"/>
          <w:szCs w:val="21"/>
        </w:rPr>
      </w:pPr>
    </w:p>
    <w:p w14:paraId="5C6DA6BA">
      <w:pPr>
        <w:rPr>
          <w:rFonts w:ascii="宋体" w:hAnsi="宋体" w:cs="宋体"/>
          <w:b/>
        </w:rPr>
      </w:pPr>
      <w:r>
        <w:rPr>
          <w:rFonts w:hint="eastAsia" w:ascii="宋体" w:hAnsi="宋体" w:cs="宋体"/>
          <w:b/>
        </w:rPr>
        <w:t>1-3制造商的相关资质证明（如有）</w:t>
      </w:r>
    </w:p>
    <w:p w14:paraId="64B3E691">
      <w:pPr>
        <w:rPr>
          <w:rFonts w:ascii="宋体" w:hAnsi="宋体" w:cs="宋体"/>
          <w:b/>
        </w:rPr>
      </w:pPr>
    </w:p>
    <w:p w14:paraId="74F73CF3">
      <w:pPr>
        <w:rPr>
          <w:rFonts w:ascii="宋体" w:hAnsi="宋体" w:cs="宋体"/>
          <w:b/>
        </w:rPr>
      </w:pPr>
      <w:r>
        <w:rPr>
          <w:rFonts w:hint="eastAsia" w:ascii="宋体" w:hAnsi="宋体" w:cs="宋体"/>
          <w:b/>
        </w:rPr>
        <w:t>1-4产品的相关资质证明文件（如有）</w:t>
      </w:r>
    </w:p>
    <w:p w14:paraId="1EEFB140">
      <w:pPr>
        <w:rPr>
          <w:rFonts w:ascii="宋体" w:hAnsi="宋体" w:cs="宋体"/>
          <w:b/>
        </w:rPr>
      </w:pPr>
    </w:p>
    <w:p w14:paraId="03234E2A">
      <w:pPr>
        <w:rPr>
          <w:rFonts w:ascii="宋体" w:hAnsi="宋体" w:cs="宋体"/>
          <w:b/>
        </w:rPr>
      </w:pPr>
      <w:r>
        <w:rPr>
          <w:rFonts w:hint="eastAsia" w:ascii="宋体" w:hAnsi="宋体" w:cs="宋体"/>
          <w:b/>
        </w:rPr>
        <w:t>1-5其他要求的相关</w:t>
      </w:r>
      <w:r>
        <w:rPr>
          <w:rFonts w:hint="eastAsia" w:ascii="宋体" w:hAnsi="宋体" w:cs="宋体"/>
          <w:b/>
          <w:szCs w:val="21"/>
        </w:rPr>
        <w:t>资格证明材料</w:t>
      </w:r>
      <w:r>
        <w:rPr>
          <w:rFonts w:hint="eastAsia" w:ascii="宋体" w:hAnsi="宋体" w:cs="宋体"/>
          <w:b/>
        </w:rPr>
        <w:t>（如有）</w:t>
      </w:r>
    </w:p>
    <w:p w14:paraId="410D33C7">
      <w:pPr>
        <w:widowControl/>
        <w:tabs>
          <w:tab w:val="left" w:pos="5580"/>
        </w:tabs>
        <w:spacing w:line="360" w:lineRule="auto"/>
        <w:rPr>
          <w:rFonts w:ascii="宋体" w:hAnsi="宋体" w:cs="宋体"/>
          <w:szCs w:val="21"/>
        </w:rPr>
      </w:pPr>
    </w:p>
    <w:p w14:paraId="4651DF9C">
      <w:pPr>
        <w:widowControl/>
        <w:tabs>
          <w:tab w:val="left" w:pos="5580"/>
        </w:tabs>
        <w:spacing w:line="360" w:lineRule="auto"/>
        <w:rPr>
          <w:rFonts w:ascii="宋体" w:hAnsi="宋体" w:cs="宋体"/>
          <w:b/>
          <w:szCs w:val="21"/>
        </w:rPr>
      </w:pPr>
      <w:r>
        <w:rPr>
          <w:rFonts w:hint="eastAsia" w:ascii="宋体" w:hAnsi="宋体" w:cs="宋体"/>
          <w:b/>
          <w:szCs w:val="21"/>
        </w:rPr>
        <w:t>注意对照采购公告及评审办法规定，提供各类资格证明材料</w:t>
      </w:r>
    </w:p>
    <w:p w14:paraId="3E4D8877">
      <w:pPr>
        <w:widowControl/>
        <w:tabs>
          <w:tab w:val="left" w:pos="5580"/>
        </w:tabs>
        <w:spacing w:line="360" w:lineRule="auto"/>
        <w:jc w:val="center"/>
        <w:outlineLvl w:val="2"/>
        <w:rPr>
          <w:rFonts w:ascii="宋体" w:hAnsi="宋体" w:cs="宋体"/>
          <w:b/>
          <w:sz w:val="24"/>
        </w:rPr>
      </w:pPr>
      <w:r>
        <w:rPr>
          <w:rFonts w:hint="eastAsia" w:ascii="宋体" w:hAnsi="宋体" w:cs="宋体"/>
          <w:b/>
          <w:szCs w:val="21"/>
        </w:rPr>
        <w:br w:type="page"/>
      </w:r>
      <w:r>
        <w:rPr>
          <w:rFonts w:hint="eastAsia" w:ascii="宋体" w:hAnsi="宋体" w:cs="宋体"/>
          <w:b/>
          <w:bCs/>
          <w:kern w:val="0"/>
          <w:sz w:val="24"/>
          <w:lang w:bidi="en-US"/>
        </w:rPr>
        <w:t>（二）政府采购供应商资格承诺函</w:t>
      </w:r>
    </w:p>
    <w:p w14:paraId="3EF2310B">
      <w:pPr>
        <w:snapToGrid w:val="0"/>
        <w:spacing w:line="360" w:lineRule="auto"/>
        <w:rPr>
          <w:rFonts w:ascii="宋体" w:hAnsi="宋体" w:cs="宋体"/>
          <w:u w:val="single"/>
          <w:lang w:bidi="en-US"/>
        </w:rPr>
      </w:pPr>
      <w:r>
        <w:rPr>
          <w:rFonts w:hint="eastAsia" w:ascii="宋体" w:hAnsi="宋体" w:cs="宋体"/>
          <w:lang w:bidi="en-US"/>
        </w:rPr>
        <w:t>致：【采购人名称】</w:t>
      </w:r>
    </w:p>
    <w:p w14:paraId="1D4605AC">
      <w:pPr>
        <w:snapToGrid w:val="0"/>
        <w:spacing w:line="360" w:lineRule="auto"/>
        <w:rPr>
          <w:rFonts w:ascii="宋体" w:hAnsi="宋体" w:cs="宋体"/>
          <w:lang w:bidi="en-US"/>
        </w:rPr>
      </w:pPr>
      <w:r>
        <w:rPr>
          <w:rFonts w:hint="eastAsia" w:ascii="宋体" w:hAnsi="宋体" w:cs="宋体"/>
          <w:lang w:bidi="en-US"/>
        </w:rPr>
        <w:t xml:space="preserve">    安徽省招标集团股份有限公司</w:t>
      </w:r>
    </w:p>
    <w:p w14:paraId="0D9200ED">
      <w:pPr>
        <w:widowControl/>
        <w:tabs>
          <w:tab w:val="left" w:pos="5580"/>
        </w:tabs>
        <w:spacing w:line="360" w:lineRule="auto"/>
        <w:ind w:firstLine="420" w:firstLineChars="200"/>
        <w:jc w:val="left"/>
        <w:rPr>
          <w:rFonts w:ascii="宋体" w:hAnsi="宋体" w:cs="宋体"/>
          <w:szCs w:val="21"/>
        </w:rPr>
      </w:pPr>
      <w:r>
        <w:rPr>
          <w:rFonts w:hint="eastAsia" w:ascii="宋体" w:hAnsi="宋体" w:cs="宋体"/>
          <w:szCs w:val="21"/>
        </w:rPr>
        <w:t>我方</w:t>
      </w:r>
      <w:r>
        <w:rPr>
          <w:rFonts w:hint="eastAsia" w:ascii="宋体" w:hAnsi="宋体" w:cs="宋体"/>
          <w:lang w:bidi="en-US"/>
        </w:rPr>
        <w:t>郑重承诺，根据《中华人民共和国政府采购法》及《中华人民共和国政府采购法实施条例》的规定，</w:t>
      </w:r>
      <w:r>
        <w:rPr>
          <w:rFonts w:hint="eastAsia" w:ascii="宋体" w:hAnsi="宋体" w:cs="宋体"/>
          <w:szCs w:val="21"/>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543240C9">
      <w:pPr>
        <w:widowControl/>
        <w:tabs>
          <w:tab w:val="left" w:pos="5580"/>
        </w:tabs>
        <w:spacing w:line="360" w:lineRule="auto"/>
        <w:ind w:firstLine="420" w:firstLineChars="200"/>
        <w:jc w:val="left"/>
        <w:rPr>
          <w:rFonts w:ascii="宋体" w:hAnsi="宋体" w:cs="宋体"/>
          <w:bCs/>
          <w:szCs w:val="21"/>
        </w:rPr>
      </w:pPr>
      <w:r>
        <w:rPr>
          <w:rFonts w:hint="eastAsia" w:ascii="宋体" w:hAnsi="宋体" w:cs="宋体"/>
          <w:bCs/>
          <w:szCs w:val="21"/>
        </w:rPr>
        <w:t>（一）具有独立承担民事责任的能力。</w:t>
      </w:r>
    </w:p>
    <w:p w14:paraId="6CEE0CA1">
      <w:pPr>
        <w:widowControl/>
        <w:tabs>
          <w:tab w:val="left" w:pos="5580"/>
        </w:tabs>
        <w:spacing w:line="360" w:lineRule="auto"/>
        <w:ind w:firstLine="420" w:firstLineChars="200"/>
        <w:jc w:val="left"/>
        <w:rPr>
          <w:rFonts w:ascii="宋体" w:hAnsi="宋体" w:cs="宋体"/>
          <w:bCs/>
          <w:szCs w:val="21"/>
        </w:rPr>
      </w:pPr>
      <w:r>
        <w:rPr>
          <w:rFonts w:hint="eastAsia" w:ascii="宋体" w:hAnsi="宋体" w:cs="宋体"/>
          <w:bCs/>
          <w:szCs w:val="21"/>
        </w:rPr>
        <w:t>（二）具有良好的商业信誉和健全的财务会计制度。</w:t>
      </w:r>
    </w:p>
    <w:p w14:paraId="58721913">
      <w:pPr>
        <w:widowControl/>
        <w:tabs>
          <w:tab w:val="left" w:pos="5580"/>
        </w:tabs>
        <w:spacing w:line="360" w:lineRule="auto"/>
        <w:ind w:firstLine="420" w:firstLineChars="200"/>
        <w:jc w:val="left"/>
        <w:rPr>
          <w:rFonts w:ascii="宋体" w:hAnsi="宋体" w:cs="宋体"/>
          <w:bCs/>
          <w:szCs w:val="21"/>
        </w:rPr>
      </w:pPr>
      <w:r>
        <w:rPr>
          <w:rFonts w:hint="eastAsia" w:ascii="宋体" w:hAnsi="宋体" w:cs="宋体"/>
          <w:bCs/>
          <w:szCs w:val="21"/>
        </w:rPr>
        <w:t>（三）具有履行合同所必需的设备和专业技术能力。</w:t>
      </w:r>
    </w:p>
    <w:p w14:paraId="6B5BC798">
      <w:pPr>
        <w:widowControl/>
        <w:tabs>
          <w:tab w:val="left" w:pos="5580"/>
        </w:tabs>
        <w:spacing w:line="360" w:lineRule="auto"/>
        <w:ind w:firstLine="420" w:firstLineChars="200"/>
        <w:jc w:val="left"/>
        <w:rPr>
          <w:rFonts w:ascii="宋体" w:hAnsi="宋体" w:cs="宋体"/>
          <w:bCs/>
          <w:szCs w:val="21"/>
        </w:rPr>
      </w:pPr>
      <w:r>
        <w:rPr>
          <w:rFonts w:hint="eastAsia" w:ascii="宋体" w:hAnsi="宋体" w:cs="宋体"/>
          <w:bCs/>
          <w:szCs w:val="21"/>
        </w:rPr>
        <w:t>（四）有依法缴纳税收和社会保障资金的良好记录。</w:t>
      </w:r>
    </w:p>
    <w:p w14:paraId="11F1C773">
      <w:pPr>
        <w:widowControl/>
        <w:tabs>
          <w:tab w:val="left" w:pos="5580"/>
        </w:tabs>
        <w:spacing w:line="360" w:lineRule="auto"/>
        <w:ind w:firstLine="420" w:firstLineChars="200"/>
        <w:jc w:val="left"/>
        <w:rPr>
          <w:rFonts w:ascii="宋体" w:hAnsi="宋体" w:cs="宋体"/>
          <w:bCs/>
          <w:szCs w:val="21"/>
        </w:rPr>
      </w:pPr>
      <w:r>
        <w:rPr>
          <w:rFonts w:hint="eastAsia" w:ascii="宋体" w:hAnsi="宋体" w:cs="宋体"/>
          <w:bCs/>
          <w:szCs w:val="21"/>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3E30183C">
      <w:pPr>
        <w:widowControl/>
        <w:tabs>
          <w:tab w:val="left" w:pos="5580"/>
        </w:tabs>
        <w:spacing w:line="360" w:lineRule="auto"/>
        <w:ind w:firstLine="420" w:firstLineChars="200"/>
        <w:jc w:val="left"/>
        <w:rPr>
          <w:rFonts w:ascii="宋体" w:hAnsi="宋体" w:cs="宋体"/>
          <w:bCs/>
          <w:szCs w:val="21"/>
        </w:rPr>
      </w:pPr>
      <w:r>
        <w:rPr>
          <w:rFonts w:hint="eastAsia" w:ascii="宋体" w:hAnsi="宋体" w:cs="宋体"/>
          <w:bCs/>
          <w:szCs w:val="21"/>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0F00AC1F">
      <w:pPr>
        <w:widowControl/>
        <w:tabs>
          <w:tab w:val="left" w:pos="5580"/>
        </w:tabs>
        <w:spacing w:line="360" w:lineRule="auto"/>
        <w:ind w:firstLine="420" w:firstLineChars="200"/>
        <w:jc w:val="left"/>
        <w:rPr>
          <w:rFonts w:ascii="宋体" w:hAnsi="宋体" w:cs="宋体"/>
          <w:bCs/>
          <w:szCs w:val="21"/>
        </w:rPr>
      </w:pPr>
      <w:r>
        <w:rPr>
          <w:rFonts w:hint="eastAsia" w:ascii="宋体" w:hAnsi="宋体" w:cs="宋体"/>
          <w:bCs/>
          <w:szCs w:val="21"/>
        </w:rPr>
        <w:t>（七）符合其他法律法规规定的政府采购供应商条件。</w:t>
      </w:r>
    </w:p>
    <w:p w14:paraId="288AF024">
      <w:pPr>
        <w:widowControl/>
        <w:tabs>
          <w:tab w:val="left" w:pos="5580"/>
        </w:tabs>
        <w:spacing w:line="360" w:lineRule="auto"/>
        <w:ind w:firstLine="420" w:firstLineChars="200"/>
        <w:jc w:val="left"/>
        <w:rPr>
          <w:rFonts w:ascii="宋体" w:hAnsi="宋体" w:cs="宋体"/>
          <w:bCs/>
          <w:szCs w:val="21"/>
        </w:rPr>
      </w:pPr>
    </w:p>
    <w:p w14:paraId="0376240B">
      <w:pPr>
        <w:widowControl/>
        <w:tabs>
          <w:tab w:val="left" w:pos="5580"/>
        </w:tabs>
        <w:spacing w:line="360" w:lineRule="auto"/>
        <w:ind w:firstLine="420" w:firstLineChars="200"/>
        <w:jc w:val="left"/>
        <w:rPr>
          <w:rFonts w:ascii="宋体" w:hAnsi="宋体" w:cs="宋体"/>
          <w:bCs/>
          <w:szCs w:val="21"/>
        </w:rPr>
      </w:pPr>
      <w:r>
        <w:rPr>
          <w:rFonts w:hint="eastAsia" w:ascii="宋体" w:hAnsi="宋体" w:cs="宋体"/>
          <w:bCs/>
          <w:szCs w:val="21"/>
        </w:rPr>
        <w:t>我方对上述承诺事项的真实性负责，授权并配合采购人所在同级财政部门及其委托机构，对上述承诺事项进行查证。</w:t>
      </w:r>
    </w:p>
    <w:p w14:paraId="12085004">
      <w:pPr>
        <w:widowControl/>
        <w:tabs>
          <w:tab w:val="left" w:pos="5580"/>
        </w:tabs>
        <w:spacing w:line="360" w:lineRule="auto"/>
        <w:ind w:firstLine="420" w:firstLineChars="200"/>
        <w:jc w:val="left"/>
        <w:rPr>
          <w:rFonts w:ascii="宋体" w:hAnsi="宋体" w:cs="宋体"/>
          <w:b/>
          <w:szCs w:val="21"/>
        </w:rPr>
      </w:pPr>
      <w:r>
        <w:rPr>
          <w:rFonts w:hint="eastAsia" w:ascii="宋体" w:hAnsi="宋体" w:cs="宋体"/>
          <w:bCs/>
          <w:szCs w:val="21"/>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32D8E628">
      <w:pPr>
        <w:jc w:val="right"/>
        <w:rPr>
          <w:rFonts w:ascii="宋体" w:hAnsi="宋体" w:cs="宋体"/>
          <w:u w:val="single"/>
          <w:lang w:bidi="en-US"/>
        </w:rPr>
      </w:pPr>
      <w:r>
        <w:rPr>
          <w:rFonts w:hint="eastAsia" w:ascii="宋体" w:hAnsi="宋体" w:cs="宋体"/>
          <w:lang w:bidi="en-US"/>
        </w:rPr>
        <w:t>供应商：</w:t>
      </w:r>
      <w:r>
        <w:rPr>
          <w:rFonts w:hint="eastAsia" w:ascii="宋体" w:hAnsi="宋体" w:cs="宋体"/>
          <w:u w:val="single"/>
          <w:lang w:bidi="en-US"/>
        </w:rPr>
        <w:t xml:space="preserve">       （盖单位章）</w:t>
      </w:r>
    </w:p>
    <w:p w14:paraId="57E8CBA9">
      <w:pPr>
        <w:bidi/>
        <w:jc w:val="left"/>
        <w:rPr>
          <w:rFonts w:ascii="仿宋" w:hAnsi="仿宋" w:eastAsia="仿宋" w:cs="仿宋"/>
          <w:lang w:bidi="en-US"/>
        </w:rPr>
      </w:pPr>
      <w:r>
        <w:rPr>
          <w:rFonts w:hint="eastAsia" w:ascii="宋体" w:hAnsi="宋体" w:cs="宋体"/>
          <w:lang w:bidi="en-US"/>
        </w:rPr>
        <w:t>日  期：</w:t>
      </w:r>
      <w:r>
        <w:rPr>
          <w:rFonts w:hint="eastAsia" w:ascii="宋体" w:hAnsi="宋体" w:cs="宋体"/>
          <w:u w:val="single"/>
          <w:lang w:bidi="en-US"/>
        </w:rPr>
        <w:t xml:space="preserve">                   </w:t>
      </w:r>
    </w:p>
    <w:p w14:paraId="03DF21D8">
      <w:pPr>
        <w:tabs>
          <w:tab w:val="left" w:pos="5580"/>
        </w:tabs>
        <w:jc w:val="center"/>
        <w:outlineLvl w:val="2"/>
        <w:rPr>
          <w:rFonts w:ascii="宋体" w:hAnsi="宋体" w:cs="宋体"/>
          <w:b/>
          <w:bCs/>
          <w:kern w:val="0"/>
          <w:sz w:val="24"/>
          <w:lang w:bidi="en-US"/>
        </w:rPr>
      </w:pPr>
      <w:r>
        <w:rPr>
          <w:rFonts w:hint="eastAsia" w:ascii="宋体" w:hAnsi="宋体" w:cs="宋体"/>
          <w:szCs w:val="21"/>
        </w:rPr>
        <w:br w:type="page"/>
      </w:r>
      <w:r>
        <w:rPr>
          <w:rFonts w:hint="eastAsia" w:ascii="宋体" w:hAnsi="宋体" w:cs="宋体"/>
          <w:b/>
          <w:bCs/>
          <w:kern w:val="0"/>
          <w:sz w:val="24"/>
          <w:lang w:bidi="en-US"/>
        </w:rPr>
        <w:t>（三）用于资格审查的业绩证明材料（本项目不适用）</w:t>
      </w:r>
    </w:p>
    <w:p w14:paraId="619F0E14">
      <w:pPr>
        <w:spacing w:line="360" w:lineRule="auto"/>
        <w:jc w:val="center"/>
        <w:rPr>
          <w:rFonts w:ascii="宋体" w:hAnsi="宋体" w:cs="宋体"/>
          <w:b/>
          <w:bCs/>
          <w:color w:val="000000"/>
          <w:szCs w:val="21"/>
        </w:rPr>
      </w:pPr>
      <w:r>
        <w:rPr>
          <w:rFonts w:hint="eastAsia" w:ascii="宋体" w:hAnsi="宋体" w:cs="宋体"/>
          <w:b/>
          <w:bCs/>
          <w:color w:val="000000"/>
          <w:sz w:val="24"/>
        </w:rPr>
        <w:t>1、业绩承诺函</w:t>
      </w:r>
      <w:r>
        <w:rPr>
          <w:rFonts w:hint="eastAsia" w:ascii="宋体" w:hAnsi="宋体" w:cs="宋体"/>
          <w:b/>
          <w:bCs/>
          <w:kern w:val="0"/>
          <w:sz w:val="24"/>
          <w:lang w:bidi="en-US"/>
        </w:rPr>
        <w:t>（本项目不适用）</w:t>
      </w:r>
    </w:p>
    <w:p w14:paraId="10CEE04E">
      <w:pPr>
        <w:pStyle w:val="26"/>
        <w:spacing w:line="360" w:lineRule="auto"/>
        <w:rPr>
          <w:rFonts w:hAnsi="宋体" w:cs="宋体"/>
          <w:b/>
          <w:color w:val="000000"/>
          <w:sz w:val="21"/>
          <w:szCs w:val="21"/>
          <w:u w:val="single"/>
        </w:rPr>
      </w:pPr>
      <w:r>
        <w:rPr>
          <w:rFonts w:hint="eastAsia" w:hAnsi="宋体" w:cs="宋体"/>
          <w:color w:val="000000"/>
          <w:sz w:val="21"/>
          <w:szCs w:val="21"/>
        </w:rPr>
        <w:t>致：</w:t>
      </w:r>
      <w:r>
        <w:rPr>
          <w:rFonts w:hint="eastAsia" w:hAnsi="宋体" w:cs="宋体"/>
          <w:color w:val="000000"/>
          <w:sz w:val="21"/>
          <w:szCs w:val="21"/>
          <w:lang w:bidi="en-US"/>
        </w:rPr>
        <w:t>【采购人名称】</w:t>
      </w:r>
    </w:p>
    <w:p w14:paraId="6B1AD0A7">
      <w:pPr>
        <w:spacing w:line="360" w:lineRule="auto"/>
        <w:ind w:firstLine="435"/>
        <w:rPr>
          <w:rFonts w:ascii="宋体" w:hAnsi="宋体" w:cs="宋体"/>
          <w:color w:val="000000"/>
          <w:szCs w:val="21"/>
        </w:rPr>
      </w:pPr>
      <w:r>
        <w:rPr>
          <w:rFonts w:hint="eastAsia" w:ascii="宋体" w:hAnsi="宋体" w:cs="宋体"/>
          <w:color w:val="000000"/>
          <w:szCs w:val="21"/>
        </w:rPr>
        <w:t>我方承诺：响应文件中所提供的业绩均真实有效，若有质疑，我方承诺会将2个工作日内可就以下业绩信息提供(合同、对应的发票、验收报告或用户评价意见)原件供贵单位核对。若被发现存在任何虚假、隐瞒情况，我公司承担由此产生的一切后果。同时我方承诺贵方可就我方业绩进行公布。</w:t>
      </w:r>
    </w:p>
    <w:p w14:paraId="6A769EDE">
      <w:pPr>
        <w:spacing w:line="360" w:lineRule="auto"/>
        <w:ind w:firstLine="3700" w:firstLineChars="1762"/>
        <w:rPr>
          <w:rFonts w:ascii="宋体" w:hAnsi="宋体" w:cs="宋体"/>
          <w:color w:val="000000"/>
          <w:szCs w:val="21"/>
          <w:u w:val="single"/>
        </w:rPr>
      </w:pPr>
      <w:r>
        <w:rPr>
          <w:rFonts w:hint="eastAsia" w:ascii="宋体" w:hAnsi="宋体" w:cs="宋体"/>
          <w:color w:val="000000"/>
          <w:szCs w:val="21"/>
        </w:rPr>
        <w:t>供应商：</w:t>
      </w:r>
      <w:r>
        <w:rPr>
          <w:rFonts w:hint="eastAsia" w:ascii="宋体" w:hAnsi="宋体" w:cs="宋体"/>
          <w:color w:val="000000"/>
          <w:szCs w:val="21"/>
          <w:u w:val="single"/>
        </w:rPr>
        <w:t xml:space="preserve">              </w:t>
      </w:r>
      <w:r>
        <w:rPr>
          <w:rFonts w:hint="eastAsia" w:ascii="宋体" w:hAnsi="宋体" w:cs="宋体"/>
          <w:color w:val="000000"/>
          <w:szCs w:val="21"/>
        </w:rPr>
        <w:t>（盖单位章）</w:t>
      </w:r>
    </w:p>
    <w:p w14:paraId="639D2203">
      <w:pPr>
        <w:tabs>
          <w:tab w:val="left" w:pos="630"/>
        </w:tabs>
        <w:spacing w:line="360" w:lineRule="auto"/>
        <w:ind w:firstLine="3700" w:firstLineChars="1762"/>
        <w:rPr>
          <w:rFonts w:ascii="宋体" w:hAnsi="宋体" w:cs="宋体"/>
          <w:color w:val="000000"/>
          <w:szCs w:val="21"/>
        </w:rPr>
      </w:pPr>
      <w:r>
        <w:rPr>
          <w:rFonts w:hint="eastAsia" w:ascii="宋体" w:hAnsi="宋体" w:cs="宋体"/>
          <w:color w:val="000000"/>
          <w:szCs w:val="21"/>
        </w:rPr>
        <w:t>日  期：</w:t>
      </w:r>
      <w:r>
        <w:rPr>
          <w:rFonts w:hint="eastAsia" w:ascii="宋体" w:hAnsi="宋体" w:cs="宋体"/>
          <w:color w:val="000000"/>
          <w:szCs w:val="21"/>
          <w:u w:val="single"/>
        </w:rPr>
        <w:t xml:space="preserve">                     </w:t>
      </w:r>
    </w:p>
    <w:p w14:paraId="74A29B1F">
      <w:pPr>
        <w:jc w:val="center"/>
        <w:rPr>
          <w:rFonts w:ascii="宋体" w:hAnsi="宋体" w:cs="宋体"/>
          <w:color w:val="000000"/>
          <w:sz w:val="28"/>
        </w:rPr>
      </w:pPr>
    </w:p>
    <w:p w14:paraId="107EF493">
      <w:pPr>
        <w:jc w:val="center"/>
        <w:rPr>
          <w:rFonts w:ascii="宋体" w:hAnsi="宋体" w:cs="宋体"/>
          <w:color w:val="000000"/>
          <w:sz w:val="28"/>
        </w:rPr>
      </w:pPr>
      <w:r>
        <w:rPr>
          <w:rFonts w:hint="eastAsia" w:ascii="宋体" w:hAnsi="宋体" w:cs="宋体"/>
          <w:b/>
          <w:bCs/>
          <w:color w:val="000000"/>
          <w:sz w:val="24"/>
        </w:rPr>
        <w:t>2.业绩汇总表</w:t>
      </w:r>
      <w:r>
        <w:rPr>
          <w:rFonts w:hint="eastAsia" w:ascii="宋体" w:hAnsi="宋体" w:cs="宋体"/>
          <w:b/>
          <w:bCs/>
          <w:color w:val="000000"/>
          <w:kern w:val="0"/>
          <w:sz w:val="24"/>
          <w:lang w:bidi="en-US"/>
        </w:rPr>
        <w:t>（本项目不适用）</w:t>
      </w:r>
    </w:p>
    <w:tbl>
      <w:tblPr>
        <w:tblStyle w:val="47"/>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66"/>
        <w:gridCol w:w="1845"/>
        <w:gridCol w:w="1247"/>
        <w:gridCol w:w="1865"/>
        <w:gridCol w:w="1535"/>
        <w:gridCol w:w="926"/>
      </w:tblGrid>
      <w:tr w14:paraId="6968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496EAC4D">
            <w:pPr>
              <w:jc w:val="center"/>
              <w:rPr>
                <w:rFonts w:ascii="宋体" w:hAnsi="宋体" w:cs="宋体"/>
                <w:b/>
                <w:color w:val="000000"/>
              </w:rPr>
            </w:pPr>
            <w:r>
              <w:rPr>
                <w:rFonts w:hint="eastAsia" w:ascii="宋体" w:hAnsi="宋体" w:cs="宋体"/>
                <w:b/>
                <w:color w:val="000000"/>
              </w:rPr>
              <w:t>序号</w:t>
            </w:r>
          </w:p>
        </w:tc>
        <w:tc>
          <w:tcPr>
            <w:tcW w:w="757" w:type="pct"/>
            <w:vAlign w:val="center"/>
          </w:tcPr>
          <w:p w14:paraId="64DBDBC2">
            <w:pPr>
              <w:jc w:val="center"/>
              <w:rPr>
                <w:rFonts w:ascii="宋体" w:hAnsi="宋体" w:cs="宋体"/>
                <w:b/>
                <w:color w:val="000000"/>
              </w:rPr>
            </w:pPr>
            <w:r>
              <w:rPr>
                <w:rFonts w:hint="eastAsia" w:ascii="宋体" w:hAnsi="宋体" w:cs="宋体"/>
                <w:b/>
                <w:color w:val="000000"/>
              </w:rPr>
              <w:t>项目名称</w:t>
            </w:r>
          </w:p>
        </w:tc>
        <w:tc>
          <w:tcPr>
            <w:tcW w:w="953" w:type="pct"/>
            <w:vAlign w:val="center"/>
          </w:tcPr>
          <w:p w14:paraId="0FD0E31B">
            <w:pPr>
              <w:widowControl/>
              <w:jc w:val="center"/>
              <w:rPr>
                <w:rFonts w:ascii="宋体" w:hAnsi="宋体" w:cs="宋体"/>
                <w:b/>
                <w:color w:val="000000"/>
              </w:rPr>
            </w:pPr>
            <w:r>
              <w:rPr>
                <w:rFonts w:hint="eastAsia" w:ascii="宋体" w:hAnsi="宋体" w:cs="宋体"/>
                <w:b/>
                <w:color w:val="000000"/>
              </w:rPr>
              <w:t>合同主要内容</w:t>
            </w:r>
          </w:p>
        </w:tc>
        <w:tc>
          <w:tcPr>
            <w:tcW w:w="644" w:type="pct"/>
            <w:vAlign w:val="center"/>
          </w:tcPr>
          <w:p w14:paraId="6DC9D3C8">
            <w:pPr>
              <w:jc w:val="center"/>
              <w:rPr>
                <w:rFonts w:ascii="宋体" w:hAnsi="宋体" w:cs="宋体"/>
                <w:b/>
                <w:color w:val="000000"/>
              </w:rPr>
            </w:pPr>
            <w:r>
              <w:rPr>
                <w:rFonts w:hint="eastAsia" w:ascii="宋体" w:hAnsi="宋体" w:cs="宋体"/>
                <w:b/>
                <w:color w:val="000000"/>
              </w:rPr>
              <w:t>签约合同价金额</w:t>
            </w:r>
          </w:p>
        </w:tc>
        <w:tc>
          <w:tcPr>
            <w:tcW w:w="963" w:type="pct"/>
            <w:vAlign w:val="center"/>
          </w:tcPr>
          <w:p w14:paraId="7194C633">
            <w:pPr>
              <w:jc w:val="center"/>
              <w:rPr>
                <w:rFonts w:ascii="宋体" w:hAnsi="宋体" w:cs="宋体"/>
                <w:b/>
                <w:color w:val="000000"/>
              </w:rPr>
            </w:pPr>
            <w:r>
              <w:rPr>
                <w:rFonts w:hint="eastAsia" w:ascii="宋体" w:hAnsi="宋体" w:cs="宋体"/>
                <w:b/>
                <w:color w:val="000000"/>
              </w:rPr>
              <w:t>业主单位</w:t>
            </w:r>
          </w:p>
          <w:p w14:paraId="5B654A4A">
            <w:pPr>
              <w:jc w:val="center"/>
              <w:rPr>
                <w:rFonts w:ascii="宋体" w:hAnsi="宋体" w:cs="宋体"/>
                <w:b/>
                <w:color w:val="000000"/>
              </w:rPr>
            </w:pPr>
            <w:r>
              <w:rPr>
                <w:rFonts w:hint="eastAsia" w:ascii="宋体" w:hAnsi="宋体" w:cs="宋体"/>
                <w:b/>
                <w:color w:val="000000"/>
              </w:rPr>
              <w:t>及联系电话</w:t>
            </w:r>
          </w:p>
        </w:tc>
        <w:tc>
          <w:tcPr>
            <w:tcW w:w="793" w:type="pct"/>
            <w:vAlign w:val="center"/>
          </w:tcPr>
          <w:p w14:paraId="0B23349A">
            <w:pPr>
              <w:jc w:val="center"/>
              <w:rPr>
                <w:rFonts w:ascii="宋体" w:hAnsi="宋体" w:cs="宋体"/>
                <w:b/>
                <w:color w:val="000000"/>
              </w:rPr>
            </w:pPr>
            <w:r>
              <w:rPr>
                <w:rFonts w:hint="eastAsia" w:ascii="宋体" w:hAnsi="宋体" w:cs="宋体"/>
                <w:b/>
                <w:color w:val="000000"/>
              </w:rPr>
              <w:t>合同签订时间</w:t>
            </w:r>
          </w:p>
        </w:tc>
        <w:tc>
          <w:tcPr>
            <w:tcW w:w="478" w:type="pct"/>
            <w:vAlign w:val="center"/>
          </w:tcPr>
          <w:p w14:paraId="194B2341">
            <w:pPr>
              <w:jc w:val="center"/>
              <w:rPr>
                <w:rFonts w:ascii="宋体" w:hAnsi="宋体" w:cs="宋体"/>
                <w:b/>
                <w:color w:val="000000"/>
              </w:rPr>
            </w:pPr>
            <w:r>
              <w:rPr>
                <w:rFonts w:hint="eastAsia" w:ascii="宋体" w:hAnsi="宋体" w:cs="宋体"/>
                <w:b/>
                <w:color w:val="000000"/>
              </w:rPr>
              <w:t>备注</w:t>
            </w:r>
          </w:p>
        </w:tc>
      </w:tr>
      <w:tr w14:paraId="0478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0904CC14">
            <w:pPr>
              <w:jc w:val="center"/>
              <w:rPr>
                <w:rFonts w:ascii="宋体" w:hAnsi="宋体" w:cs="宋体"/>
                <w:color w:val="000000"/>
              </w:rPr>
            </w:pPr>
            <w:r>
              <w:rPr>
                <w:rFonts w:hint="eastAsia" w:ascii="宋体" w:hAnsi="宋体" w:cs="宋体"/>
                <w:color w:val="000000"/>
              </w:rPr>
              <w:t>1</w:t>
            </w:r>
          </w:p>
        </w:tc>
        <w:tc>
          <w:tcPr>
            <w:tcW w:w="757" w:type="pct"/>
            <w:vAlign w:val="center"/>
          </w:tcPr>
          <w:p w14:paraId="2C689EA3">
            <w:pPr>
              <w:rPr>
                <w:rFonts w:ascii="宋体" w:hAnsi="宋体" w:cs="宋体"/>
                <w:color w:val="000000"/>
              </w:rPr>
            </w:pPr>
          </w:p>
        </w:tc>
        <w:tc>
          <w:tcPr>
            <w:tcW w:w="953" w:type="pct"/>
            <w:vAlign w:val="center"/>
          </w:tcPr>
          <w:p w14:paraId="0BF6916E">
            <w:pPr>
              <w:rPr>
                <w:rFonts w:ascii="宋体" w:hAnsi="宋体" w:cs="宋体"/>
                <w:color w:val="000000"/>
              </w:rPr>
            </w:pPr>
          </w:p>
        </w:tc>
        <w:tc>
          <w:tcPr>
            <w:tcW w:w="644" w:type="pct"/>
            <w:vAlign w:val="center"/>
          </w:tcPr>
          <w:p w14:paraId="6E20C020">
            <w:pPr>
              <w:rPr>
                <w:rFonts w:ascii="宋体" w:hAnsi="宋体" w:cs="宋体"/>
                <w:color w:val="000000"/>
              </w:rPr>
            </w:pPr>
          </w:p>
        </w:tc>
        <w:tc>
          <w:tcPr>
            <w:tcW w:w="963" w:type="pct"/>
            <w:vAlign w:val="center"/>
          </w:tcPr>
          <w:p w14:paraId="38F542B4">
            <w:pPr>
              <w:rPr>
                <w:rFonts w:ascii="宋体" w:hAnsi="宋体" w:cs="宋体"/>
                <w:color w:val="000000"/>
              </w:rPr>
            </w:pPr>
          </w:p>
        </w:tc>
        <w:tc>
          <w:tcPr>
            <w:tcW w:w="793" w:type="pct"/>
          </w:tcPr>
          <w:p w14:paraId="55A82F1E">
            <w:pPr>
              <w:rPr>
                <w:rFonts w:ascii="宋体" w:hAnsi="宋体" w:cs="宋体"/>
                <w:color w:val="000000"/>
              </w:rPr>
            </w:pPr>
          </w:p>
        </w:tc>
        <w:tc>
          <w:tcPr>
            <w:tcW w:w="478" w:type="pct"/>
            <w:vAlign w:val="center"/>
          </w:tcPr>
          <w:p w14:paraId="4EA9FAC5">
            <w:pPr>
              <w:rPr>
                <w:rFonts w:ascii="宋体" w:hAnsi="宋体" w:cs="宋体"/>
                <w:color w:val="000000"/>
              </w:rPr>
            </w:pPr>
          </w:p>
        </w:tc>
      </w:tr>
      <w:tr w14:paraId="267B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4DFBB0A7">
            <w:pPr>
              <w:jc w:val="center"/>
              <w:rPr>
                <w:rFonts w:ascii="宋体" w:hAnsi="宋体" w:cs="宋体"/>
                <w:color w:val="000000"/>
              </w:rPr>
            </w:pPr>
            <w:r>
              <w:rPr>
                <w:rFonts w:hint="eastAsia" w:ascii="宋体" w:hAnsi="宋体" w:cs="宋体"/>
                <w:color w:val="000000"/>
              </w:rPr>
              <w:t>2</w:t>
            </w:r>
          </w:p>
        </w:tc>
        <w:tc>
          <w:tcPr>
            <w:tcW w:w="757" w:type="pct"/>
            <w:vAlign w:val="center"/>
          </w:tcPr>
          <w:p w14:paraId="38C5EF77">
            <w:pPr>
              <w:rPr>
                <w:rFonts w:ascii="宋体" w:hAnsi="宋体" w:cs="宋体"/>
                <w:color w:val="000000"/>
              </w:rPr>
            </w:pPr>
          </w:p>
        </w:tc>
        <w:tc>
          <w:tcPr>
            <w:tcW w:w="953" w:type="pct"/>
            <w:vAlign w:val="center"/>
          </w:tcPr>
          <w:p w14:paraId="2B8C3B7E">
            <w:pPr>
              <w:rPr>
                <w:rFonts w:ascii="宋体" w:hAnsi="宋体" w:cs="宋体"/>
                <w:color w:val="000000"/>
              </w:rPr>
            </w:pPr>
          </w:p>
        </w:tc>
        <w:tc>
          <w:tcPr>
            <w:tcW w:w="644" w:type="pct"/>
            <w:vAlign w:val="center"/>
          </w:tcPr>
          <w:p w14:paraId="5EE2715F">
            <w:pPr>
              <w:rPr>
                <w:rFonts w:ascii="宋体" w:hAnsi="宋体" w:cs="宋体"/>
                <w:color w:val="000000"/>
              </w:rPr>
            </w:pPr>
          </w:p>
        </w:tc>
        <w:tc>
          <w:tcPr>
            <w:tcW w:w="963" w:type="pct"/>
            <w:vAlign w:val="center"/>
          </w:tcPr>
          <w:p w14:paraId="775B2350">
            <w:pPr>
              <w:rPr>
                <w:rFonts w:ascii="宋体" w:hAnsi="宋体" w:cs="宋体"/>
                <w:color w:val="000000"/>
              </w:rPr>
            </w:pPr>
          </w:p>
        </w:tc>
        <w:tc>
          <w:tcPr>
            <w:tcW w:w="793" w:type="pct"/>
          </w:tcPr>
          <w:p w14:paraId="1CC542A3">
            <w:pPr>
              <w:rPr>
                <w:rFonts w:ascii="宋体" w:hAnsi="宋体" w:cs="宋体"/>
                <w:color w:val="000000"/>
              </w:rPr>
            </w:pPr>
          </w:p>
        </w:tc>
        <w:tc>
          <w:tcPr>
            <w:tcW w:w="478" w:type="pct"/>
            <w:vAlign w:val="center"/>
          </w:tcPr>
          <w:p w14:paraId="0BF36A20">
            <w:pPr>
              <w:rPr>
                <w:rFonts w:ascii="宋体" w:hAnsi="宋体" w:cs="宋体"/>
                <w:color w:val="000000"/>
              </w:rPr>
            </w:pPr>
          </w:p>
        </w:tc>
      </w:tr>
      <w:tr w14:paraId="69D9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244B3BAC">
            <w:pPr>
              <w:jc w:val="center"/>
              <w:rPr>
                <w:rFonts w:ascii="宋体" w:hAnsi="宋体" w:cs="宋体"/>
                <w:color w:val="000000"/>
              </w:rPr>
            </w:pPr>
            <w:r>
              <w:rPr>
                <w:rFonts w:hint="eastAsia" w:ascii="宋体" w:hAnsi="宋体" w:cs="宋体"/>
                <w:color w:val="000000"/>
              </w:rPr>
              <w:t>3</w:t>
            </w:r>
          </w:p>
        </w:tc>
        <w:tc>
          <w:tcPr>
            <w:tcW w:w="757" w:type="pct"/>
            <w:vAlign w:val="center"/>
          </w:tcPr>
          <w:p w14:paraId="7479BA0B">
            <w:pPr>
              <w:rPr>
                <w:rFonts w:ascii="宋体" w:hAnsi="宋体" w:cs="宋体"/>
                <w:color w:val="000000"/>
              </w:rPr>
            </w:pPr>
          </w:p>
        </w:tc>
        <w:tc>
          <w:tcPr>
            <w:tcW w:w="953" w:type="pct"/>
            <w:vAlign w:val="center"/>
          </w:tcPr>
          <w:p w14:paraId="7BF9BA38">
            <w:pPr>
              <w:rPr>
                <w:rFonts w:ascii="宋体" w:hAnsi="宋体" w:cs="宋体"/>
                <w:color w:val="000000"/>
              </w:rPr>
            </w:pPr>
          </w:p>
        </w:tc>
        <w:tc>
          <w:tcPr>
            <w:tcW w:w="644" w:type="pct"/>
            <w:vAlign w:val="center"/>
          </w:tcPr>
          <w:p w14:paraId="48102F98">
            <w:pPr>
              <w:rPr>
                <w:rFonts w:ascii="宋体" w:hAnsi="宋体" w:cs="宋体"/>
                <w:color w:val="000000"/>
              </w:rPr>
            </w:pPr>
          </w:p>
        </w:tc>
        <w:tc>
          <w:tcPr>
            <w:tcW w:w="963" w:type="pct"/>
            <w:vAlign w:val="center"/>
          </w:tcPr>
          <w:p w14:paraId="20434BE0">
            <w:pPr>
              <w:rPr>
                <w:rFonts w:ascii="宋体" w:hAnsi="宋体" w:cs="宋体"/>
                <w:color w:val="000000"/>
              </w:rPr>
            </w:pPr>
          </w:p>
        </w:tc>
        <w:tc>
          <w:tcPr>
            <w:tcW w:w="793" w:type="pct"/>
          </w:tcPr>
          <w:p w14:paraId="493EA5CE">
            <w:pPr>
              <w:rPr>
                <w:rFonts w:ascii="宋体" w:hAnsi="宋体" w:cs="宋体"/>
                <w:color w:val="000000"/>
              </w:rPr>
            </w:pPr>
          </w:p>
        </w:tc>
        <w:tc>
          <w:tcPr>
            <w:tcW w:w="478" w:type="pct"/>
            <w:vAlign w:val="center"/>
          </w:tcPr>
          <w:p w14:paraId="506E2C0C">
            <w:pPr>
              <w:rPr>
                <w:rFonts w:ascii="宋体" w:hAnsi="宋体" w:cs="宋体"/>
                <w:color w:val="000000"/>
              </w:rPr>
            </w:pPr>
          </w:p>
        </w:tc>
      </w:tr>
      <w:tr w14:paraId="2DF1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2C26B773">
            <w:pPr>
              <w:jc w:val="center"/>
              <w:rPr>
                <w:rFonts w:ascii="宋体" w:hAnsi="宋体" w:cs="宋体"/>
                <w:color w:val="000000"/>
              </w:rPr>
            </w:pPr>
            <w:r>
              <w:rPr>
                <w:rFonts w:hint="eastAsia" w:ascii="宋体" w:hAnsi="宋体" w:cs="宋体"/>
                <w:color w:val="000000"/>
              </w:rPr>
              <w:t>4</w:t>
            </w:r>
          </w:p>
        </w:tc>
        <w:tc>
          <w:tcPr>
            <w:tcW w:w="757" w:type="pct"/>
            <w:vAlign w:val="center"/>
          </w:tcPr>
          <w:p w14:paraId="689045D5">
            <w:pPr>
              <w:rPr>
                <w:rFonts w:ascii="宋体" w:hAnsi="宋体" w:cs="宋体"/>
                <w:color w:val="000000"/>
              </w:rPr>
            </w:pPr>
          </w:p>
        </w:tc>
        <w:tc>
          <w:tcPr>
            <w:tcW w:w="953" w:type="pct"/>
            <w:vAlign w:val="center"/>
          </w:tcPr>
          <w:p w14:paraId="66F880A6">
            <w:pPr>
              <w:rPr>
                <w:rFonts w:ascii="宋体" w:hAnsi="宋体" w:cs="宋体"/>
                <w:color w:val="000000"/>
              </w:rPr>
            </w:pPr>
          </w:p>
        </w:tc>
        <w:tc>
          <w:tcPr>
            <w:tcW w:w="644" w:type="pct"/>
            <w:vAlign w:val="center"/>
          </w:tcPr>
          <w:p w14:paraId="0D6835BD">
            <w:pPr>
              <w:rPr>
                <w:rFonts w:ascii="宋体" w:hAnsi="宋体" w:cs="宋体"/>
                <w:color w:val="000000"/>
              </w:rPr>
            </w:pPr>
          </w:p>
        </w:tc>
        <w:tc>
          <w:tcPr>
            <w:tcW w:w="963" w:type="pct"/>
            <w:vAlign w:val="center"/>
          </w:tcPr>
          <w:p w14:paraId="0134E914">
            <w:pPr>
              <w:rPr>
                <w:rFonts w:ascii="宋体" w:hAnsi="宋体" w:cs="宋体"/>
                <w:color w:val="000000"/>
              </w:rPr>
            </w:pPr>
          </w:p>
        </w:tc>
        <w:tc>
          <w:tcPr>
            <w:tcW w:w="793" w:type="pct"/>
          </w:tcPr>
          <w:p w14:paraId="12BA8A9C">
            <w:pPr>
              <w:rPr>
                <w:rFonts w:ascii="宋体" w:hAnsi="宋体" w:cs="宋体"/>
                <w:color w:val="000000"/>
              </w:rPr>
            </w:pPr>
          </w:p>
        </w:tc>
        <w:tc>
          <w:tcPr>
            <w:tcW w:w="478" w:type="pct"/>
            <w:vAlign w:val="center"/>
          </w:tcPr>
          <w:p w14:paraId="0C0D8BB6">
            <w:pPr>
              <w:rPr>
                <w:rFonts w:ascii="宋体" w:hAnsi="宋体" w:cs="宋体"/>
                <w:color w:val="000000"/>
              </w:rPr>
            </w:pPr>
          </w:p>
        </w:tc>
      </w:tr>
      <w:tr w14:paraId="78B1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172FD1A4">
            <w:pPr>
              <w:jc w:val="center"/>
              <w:rPr>
                <w:rFonts w:ascii="宋体" w:hAnsi="宋体" w:cs="宋体"/>
                <w:color w:val="000000"/>
              </w:rPr>
            </w:pPr>
            <w:r>
              <w:rPr>
                <w:rFonts w:hint="eastAsia" w:ascii="宋体" w:hAnsi="宋体" w:cs="宋体"/>
                <w:color w:val="000000"/>
              </w:rPr>
              <w:t>5</w:t>
            </w:r>
          </w:p>
        </w:tc>
        <w:tc>
          <w:tcPr>
            <w:tcW w:w="757" w:type="pct"/>
            <w:vAlign w:val="center"/>
          </w:tcPr>
          <w:p w14:paraId="2930831B">
            <w:pPr>
              <w:rPr>
                <w:rFonts w:ascii="宋体" w:hAnsi="宋体" w:cs="宋体"/>
                <w:color w:val="000000"/>
              </w:rPr>
            </w:pPr>
          </w:p>
        </w:tc>
        <w:tc>
          <w:tcPr>
            <w:tcW w:w="953" w:type="pct"/>
            <w:vAlign w:val="center"/>
          </w:tcPr>
          <w:p w14:paraId="31CD3A5C">
            <w:pPr>
              <w:rPr>
                <w:rFonts w:ascii="宋体" w:hAnsi="宋体" w:cs="宋体"/>
                <w:color w:val="000000"/>
              </w:rPr>
            </w:pPr>
          </w:p>
        </w:tc>
        <w:tc>
          <w:tcPr>
            <w:tcW w:w="644" w:type="pct"/>
            <w:vAlign w:val="center"/>
          </w:tcPr>
          <w:p w14:paraId="4B4FC514">
            <w:pPr>
              <w:rPr>
                <w:rFonts w:ascii="宋体" w:hAnsi="宋体" w:cs="宋体"/>
                <w:color w:val="000000"/>
              </w:rPr>
            </w:pPr>
          </w:p>
        </w:tc>
        <w:tc>
          <w:tcPr>
            <w:tcW w:w="963" w:type="pct"/>
            <w:vAlign w:val="center"/>
          </w:tcPr>
          <w:p w14:paraId="7E6A4506">
            <w:pPr>
              <w:rPr>
                <w:rFonts w:ascii="宋体" w:hAnsi="宋体" w:cs="宋体"/>
                <w:color w:val="000000"/>
              </w:rPr>
            </w:pPr>
          </w:p>
        </w:tc>
        <w:tc>
          <w:tcPr>
            <w:tcW w:w="793" w:type="pct"/>
          </w:tcPr>
          <w:p w14:paraId="13251B56">
            <w:pPr>
              <w:rPr>
                <w:rFonts w:ascii="宋体" w:hAnsi="宋体" w:cs="宋体"/>
                <w:color w:val="000000"/>
              </w:rPr>
            </w:pPr>
          </w:p>
        </w:tc>
        <w:tc>
          <w:tcPr>
            <w:tcW w:w="478" w:type="pct"/>
            <w:vAlign w:val="center"/>
          </w:tcPr>
          <w:p w14:paraId="4D3CC9D9">
            <w:pPr>
              <w:rPr>
                <w:rFonts w:ascii="宋体" w:hAnsi="宋体" w:cs="宋体"/>
                <w:color w:val="000000"/>
              </w:rPr>
            </w:pPr>
          </w:p>
        </w:tc>
      </w:tr>
      <w:tr w14:paraId="400C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1C1D3314">
            <w:pPr>
              <w:jc w:val="center"/>
              <w:rPr>
                <w:rFonts w:ascii="宋体" w:hAnsi="宋体" w:cs="宋体"/>
                <w:color w:val="000000"/>
              </w:rPr>
            </w:pPr>
            <w:r>
              <w:rPr>
                <w:rFonts w:hint="eastAsia" w:ascii="宋体" w:hAnsi="宋体" w:cs="宋体"/>
                <w:color w:val="000000"/>
              </w:rPr>
              <w:t>……</w:t>
            </w:r>
          </w:p>
        </w:tc>
        <w:tc>
          <w:tcPr>
            <w:tcW w:w="757" w:type="pct"/>
            <w:vAlign w:val="center"/>
          </w:tcPr>
          <w:p w14:paraId="6F0E0DAD">
            <w:pPr>
              <w:rPr>
                <w:rFonts w:ascii="宋体" w:hAnsi="宋体" w:cs="宋体"/>
                <w:color w:val="000000"/>
              </w:rPr>
            </w:pPr>
          </w:p>
        </w:tc>
        <w:tc>
          <w:tcPr>
            <w:tcW w:w="953" w:type="pct"/>
            <w:vAlign w:val="center"/>
          </w:tcPr>
          <w:p w14:paraId="525A6EF5">
            <w:pPr>
              <w:rPr>
                <w:rFonts w:ascii="宋体" w:hAnsi="宋体" w:cs="宋体"/>
                <w:color w:val="000000"/>
              </w:rPr>
            </w:pPr>
          </w:p>
        </w:tc>
        <w:tc>
          <w:tcPr>
            <w:tcW w:w="644" w:type="pct"/>
            <w:vAlign w:val="center"/>
          </w:tcPr>
          <w:p w14:paraId="2049AE41">
            <w:pPr>
              <w:rPr>
                <w:rFonts w:ascii="宋体" w:hAnsi="宋体" w:cs="宋体"/>
                <w:color w:val="000000"/>
              </w:rPr>
            </w:pPr>
          </w:p>
        </w:tc>
        <w:tc>
          <w:tcPr>
            <w:tcW w:w="963" w:type="pct"/>
            <w:vAlign w:val="center"/>
          </w:tcPr>
          <w:p w14:paraId="237594B1">
            <w:pPr>
              <w:rPr>
                <w:rFonts w:ascii="宋体" w:hAnsi="宋体" w:cs="宋体"/>
                <w:color w:val="000000"/>
              </w:rPr>
            </w:pPr>
          </w:p>
        </w:tc>
        <w:tc>
          <w:tcPr>
            <w:tcW w:w="793" w:type="pct"/>
          </w:tcPr>
          <w:p w14:paraId="13496215">
            <w:pPr>
              <w:rPr>
                <w:rFonts w:ascii="宋体" w:hAnsi="宋体" w:cs="宋体"/>
                <w:color w:val="000000"/>
              </w:rPr>
            </w:pPr>
          </w:p>
        </w:tc>
        <w:tc>
          <w:tcPr>
            <w:tcW w:w="478" w:type="pct"/>
            <w:vAlign w:val="center"/>
          </w:tcPr>
          <w:p w14:paraId="0D2E0EEF">
            <w:pPr>
              <w:rPr>
                <w:rFonts w:ascii="宋体" w:hAnsi="宋体" w:cs="宋体"/>
                <w:color w:val="000000"/>
              </w:rPr>
            </w:pPr>
          </w:p>
        </w:tc>
      </w:tr>
    </w:tbl>
    <w:p w14:paraId="3340807B">
      <w:pPr>
        <w:widowControl/>
        <w:jc w:val="left"/>
        <w:rPr>
          <w:rFonts w:ascii="宋体" w:hAnsi="宋体" w:cs="宋体"/>
          <w:color w:val="000000"/>
          <w:szCs w:val="21"/>
        </w:rPr>
      </w:pPr>
      <w:r>
        <w:rPr>
          <w:rFonts w:hint="eastAsia" w:ascii="宋体" w:hAnsi="宋体" w:cs="宋体"/>
          <w:color w:val="000000"/>
          <w:szCs w:val="21"/>
        </w:rPr>
        <w:t>注：应附中标/成交通知书（如有）和合同协议书，以及验收证表（验收证明文件）（如有）等材料（具体以资格要求为准），具体年份时间要求见采购公告。</w:t>
      </w:r>
    </w:p>
    <w:p w14:paraId="18AA085D">
      <w:pPr>
        <w:rPr>
          <w:rFonts w:ascii="宋体" w:hAnsi="宋体" w:cs="宋体"/>
          <w:color w:val="000000"/>
          <w:lang w:bidi="en-US"/>
        </w:rPr>
      </w:pPr>
    </w:p>
    <w:p w14:paraId="723CABC2">
      <w:pPr>
        <w:rPr>
          <w:rFonts w:ascii="宋体" w:hAnsi="宋体" w:cs="宋体"/>
          <w:color w:val="000000"/>
          <w:lang w:bidi="en-US"/>
        </w:rPr>
      </w:pPr>
    </w:p>
    <w:p w14:paraId="20C637FC">
      <w:pPr>
        <w:rPr>
          <w:rFonts w:ascii="宋体" w:hAnsi="宋体" w:cs="宋体"/>
          <w:lang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86A2D5A">
      <w:pPr>
        <w:pStyle w:val="4"/>
        <w:keepNext w:val="0"/>
        <w:tabs>
          <w:tab w:val="left" w:pos="1260"/>
        </w:tabs>
        <w:jc w:val="center"/>
        <w:rPr>
          <w:rFonts w:cs="宋体"/>
          <w:bCs w:val="0"/>
          <w:sz w:val="24"/>
          <w:lang w:eastAsia="zh-CN"/>
        </w:rPr>
      </w:pPr>
      <w:r>
        <w:rPr>
          <w:rFonts w:hint="eastAsia" w:cs="宋体"/>
          <w:bCs w:val="0"/>
          <w:sz w:val="24"/>
          <w:lang w:eastAsia="zh-CN"/>
        </w:rPr>
        <w:t>（四）制造商授权书</w:t>
      </w:r>
      <w:r>
        <w:rPr>
          <w:rFonts w:hint="eastAsia" w:cs="宋体"/>
          <w:sz w:val="24"/>
          <w:lang w:eastAsia="zh-CN"/>
        </w:rPr>
        <w:t>（本项目不适用）</w:t>
      </w:r>
    </w:p>
    <w:p w14:paraId="39626E27">
      <w:pPr>
        <w:jc w:val="center"/>
        <w:rPr>
          <w:b/>
          <w:bCs/>
          <w:color w:val="000000"/>
        </w:rPr>
      </w:pPr>
      <w:r>
        <w:rPr>
          <w:rFonts w:hint="eastAsia"/>
          <w:b/>
          <w:bCs/>
          <w:color w:val="000000"/>
        </w:rPr>
        <w:t>注：非进口产品无需提供制造商授权书</w:t>
      </w:r>
    </w:p>
    <w:p w14:paraId="5E75AD6F">
      <w:pPr>
        <w:rPr>
          <w:color w:val="000000"/>
        </w:rPr>
      </w:pPr>
    </w:p>
    <w:p w14:paraId="3CAF0FC8">
      <w:pPr>
        <w:tabs>
          <w:tab w:val="left" w:pos="0"/>
        </w:tabs>
        <w:spacing w:line="440" w:lineRule="exact"/>
        <w:rPr>
          <w:rFonts w:ascii="宋体" w:hAnsi="宋体" w:cs="宋体"/>
          <w:color w:val="000000"/>
          <w:szCs w:val="21"/>
        </w:rPr>
      </w:pPr>
      <w:r>
        <w:rPr>
          <w:rFonts w:hint="eastAsia" w:ascii="宋体" w:hAnsi="宋体" w:cs="宋体"/>
          <w:color w:val="000000"/>
          <w:szCs w:val="21"/>
        </w:rPr>
        <w:t>致：</w:t>
      </w:r>
      <w:r>
        <w:rPr>
          <w:rFonts w:hint="eastAsia" w:ascii="宋体" w:hAnsi="宋体" w:cs="宋体"/>
          <w:color w:val="000000"/>
          <w:lang w:bidi="en-US"/>
        </w:rPr>
        <w:t>【采购人名称】</w:t>
      </w:r>
    </w:p>
    <w:p w14:paraId="3B171240">
      <w:pPr>
        <w:tabs>
          <w:tab w:val="left" w:pos="0"/>
        </w:tabs>
        <w:spacing w:line="440" w:lineRule="exact"/>
        <w:ind w:left="105" w:leftChars="50" w:firstLine="420" w:firstLineChars="200"/>
        <w:rPr>
          <w:rFonts w:ascii="宋体" w:hAnsi="宋体" w:cs="宋体"/>
          <w:color w:val="000000"/>
          <w:szCs w:val="21"/>
        </w:rPr>
      </w:pPr>
      <w:r>
        <w:rPr>
          <w:rFonts w:hint="eastAsia" w:ascii="宋体" w:hAnsi="宋体" w:cs="宋体"/>
          <w:color w:val="000000"/>
          <w:szCs w:val="21"/>
        </w:rPr>
        <w:t>我单位</w:t>
      </w:r>
      <w:r>
        <w:rPr>
          <w:rFonts w:hint="eastAsia" w:ascii="宋体" w:hAnsi="宋体" w:cs="宋体"/>
          <w:color w:val="000000"/>
          <w:szCs w:val="21"/>
          <w:u w:val="single"/>
        </w:rPr>
        <w:t xml:space="preserve">                </w:t>
      </w:r>
      <w:r>
        <w:rPr>
          <w:rFonts w:hint="eastAsia" w:ascii="宋体" w:hAnsi="宋体" w:cs="宋体"/>
          <w:color w:val="000000"/>
          <w:szCs w:val="21"/>
        </w:rPr>
        <w:t>（制造商名称）是按</w:t>
      </w:r>
      <w:r>
        <w:rPr>
          <w:rFonts w:hint="eastAsia" w:ascii="宋体" w:hAnsi="宋体" w:cs="宋体"/>
          <w:color w:val="000000"/>
          <w:szCs w:val="21"/>
          <w:u w:val="single"/>
        </w:rPr>
        <w:t xml:space="preserve">         </w:t>
      </w:r>
      <w:r>
        <w:rPr>
          <w:rFonts w:hint="eastAsia" w:ascii="宋体" w:hAnsi="宋体" w:cs="宋体"/>
          <w:color w:val="000000"/>
          <w:szCs w:val="21"/>
        </w:rPr>
        <w:t>（国家/地区名称）法律成立的制造商，主要营业地点设在</w:t>
      </w:r>
      <w:r>
        <w:rPr>
          <w:rFonts w:hint="eastAsia" w:ascii="宋体" w:hAnsi="宋体" w:cs="宋体"/>
          <w:color w:val="000000"/>
          <w:szCs w:val="21"/>
          <w:u w:val="single"/>
        </w:rPr>
        <w:t xml:space="preserve">                      </w:t>
      </w:r>
      <w:r>
        <w:rPr>
          <w:rFonts w:hint="eastAsia" w:ascii="宋体" w:hAnsi="宋体" w:cs="宋体"/>
          <w:color w:val="000000"/>
          <w:szCs w:val="21"/>
        </w:rPr>
        <w:t>（制造商地址）。兹指派按中华人民共和国的法律正式成立的，主要营业地点设在</w:t>
      </w:r>
      <w:r>
        <w:rPr>
          <w:rFonts w:hint="eastAsia" w:ascii="宋体" w:hAnsi="宋体" w:cs="宋体"/>
          <w:color w:val="000000"/>
          <w:szCs w:val="21"/>
          <w:u w:val="single"/>
        </w:rPr>
        <w:t xml:space="preserve">             </w:t>
      </w:r>
      <w:r>
        <w:rPr>
          <w:rFonts w:hint="eastAsia" w:ascii="宋体" w:hAnsi="宋体" w:cs="宋体"/>
          <w:color w:val="000000"/>
          <w:szCs w:val="21"/>
        </w:rPr>
        <w:t>（供应商地址）的</w:t>
      </w:r>
      <w:r>
        <w:rPr>
          <w:rFonts w:hint="eastAsia" w:ascii="宋体" w:hAnsi="宋体" w:cs="宋体"/>
          <w:color w:val="000000"/>
          <w:szCs w:val="21"/>
          <w:u w:val="single"/>
        </w:rPr>
        <w:t xml:space="preserve">           </w:t>
      </w:r>
      <w:r>
        <w:rPr>
          <w:rFonts w:hint="eastAsia" w:ascii="宋体" w:hAnsi="宋体" w:cs="宋体"/>
          <w:color w:val="000000"/>
          <w:szCs w:val="21"/>
        </w:rPr>
        <w:t>（供应商名称）进行</w:t>
      </w:r>
      <w:r>
        <w:rPr>
          <w:rFonts w:hint="eastAsia" w:ascii="宋体" w:hAnsi="宋体" w:cs="宋体"/>
          <w:color w:val="000000"/>
          <w:szCs w:val="21"/>
          <w:u w:val="single"/>
        </w:rPr>
        <w:t xml:space="preserve">         </w:t>
      </w:r>
      <w:r>
        <w:rPr>
          <w:rFonts w:hint="eastAsia" w:ascii="宋体" w:hAnsi="宋体" w:cs="宋体"/>
          <w:color w:val="000000"/>
          <w:szCs w:val="21"/>
        </w:rPr>
        <w:t>（项目名称）竞争性磋商活动。我单位同意按照成交合同供货，并对产品质量承担责任。</w:t>
      </w:r>
    </w:p>
    <w:p w14:paraId="027D59B5">
      <w:pPr>
        <w:tabs>
          <w:tab w:val="left" w:pos="0"/>
        </w:tabs>
        <w:spacing w:after="120" w:line="440" w:lineRule="exact"/>
        <w:ind w:left="105" w:leftChars="50" w:right="105" w:rightChars="50" w:firstLine="420" w:firstLineChars="200"/>
        <w:rPr>
          <w:rFonts w:ascii="宋体" w:hAnsi="宋体" w:cs="宋体"/>
          <w:szCs w:val="21"/>
        </w:rPr>
      </w:pPr>
    </w:p>
    <w:p w14:paraId="70108BA7">
      <w:pPr>
        <w:tabs>
          <w:tab w:val="left" w:pos="0"/>
        </w:tabs>
        <w:spacing w:after="120" w:line="440" w:lineRule="exact"/>
        <w:ind w:left="105" w:leftChars="50" w:right="105" w:rightChars="50" w:firstLine="420" w:firstLineChars="200"/>
        <w:rPr>
          <w:rFonts w:ascii="宋体" w:hAnsi="宋体" w:cs="宋体"/>
          <w:szCs w:val="21"/>
        </w:rPr>
      </w:pPr>
      <w:r>
        <w:rPr>
          <w:rFonts w:hint="eastAsia" w:ascii="宋体" w:hAnsi="宋体" w:cs="宋体"/>
          <w:szCs w:val="21"/>
        </w:rPr>
        <w:t>供应商名称</w:t>
      </w:r>
      <w:r>
        <w:rPr>
          <w:rFonts w:hint="eastAsia" w:ascii="宋体" w:hAnsi="宋体" w:cs="宋体"/>
          <w:szCs w:val="21"/>
          <w:u w:val="single"/>
        </w:rPr>
        <w:t xml:space="preserve">               </w:t>
      </w:r>
      <w:r>
        <w:rPr>
          <w:rFonts w:hint="eastAsia" w:ascii="宋体" w:hAnsi="宋体" w:cs="宋体"/>
          <w:szCs w:val="21"/>
        </w:rPr>
        <w:t xml:space="preserve">（盖单位章）  制造商名称 </w:t>
      </w:r>
      <w:r>
        <w:rPr>
          <w:rFonts w:hint="eastAsia" w:ascii="宋体" w:hAnsi="宋体" w:cs="宋体"/>
          <w:szCs w:val="21"/>
          <w:u w:val="single"/>
        </w:rPr>
        <w:t xml:space="preserve">              </w:t>
      </w:r>
      <w:r>
        <w:rPr>
          <w:rFonts w:hint="eastAsia" w:ascii="宋体" w:hAnsi="宋体" w:cs="宋体"/>
          <w:szCs w:val="21"/>
        </w:rPr>
        <w:t>（盖单位章）</w:t>
      </w:r>
    </w:p>
    <w:p w14:paraId="7D16A912">
      <w:pPr>
        <w:tabs>
          <w:tab w:val="left" w:pos="0"/>
        </w:tabs>
        <w:spacing w:after="120" w:line="440" w:lineRule="exact"/>
        <w:ind w:left="105" w:leftChars="50" w:right="105" w:rightChars="50" w:firstLine="420" w:firstLineChars="200"/>
        <w:rPr>
          <w:rFonts w:ascii="宋体" w:hAnsi="宋体" w:cs="宋体"/>
          <w:szCs w:val="21"/>
        </w:rPr>
      </w:pPr>
      <w:r>
        <w:rPr>
          <w:rFonts w:hint="eastAsia" w:ascii="宋体" w:hAnsi="宋体" w:cs="宋体"/>
          <w:szCs w:val="21"/>
        </w:rPr>
        <w:t>签字人职务</w:t>
      </w:r>
      <w:r>
        <w:rPr>
          <w:rFonts w:hint="eastAsia" w:ascii="宋体" w:hAnsi="宋体" w:cs="宋体"/>
          <w:szCs w:val="21"/>
          <w:u w:val="single"/>
        </w:rPr>
        <w:t xml:space="preserve">                         </w:t>
      </w:r>
      <w:r>
        <w:rPr>
          <w:rFonts w:hint="eastAsia" w:ascii="宋体" w:hAnsi="宋体" w:cs="宋体"/>
          <w:szCs w:val="21"/>
        </w:rPr>
        <w:t xml:space="preserve">    签字人职务</w:t>
      </w:r>
      <w:r>
        <w:rPr>
          <w:rFonts w:hint="eastAsia" w:ascii="宋体" w:hAnsi="宋体" w:cs="宋体"/>
          <w:szCs w:val="21"/>
          <w:u w:val="single"/>
        </w:rPr>
        <w:t xml:space="preserve">                             </w:t>
      </w:r>
    </w:p>
    <w:p w14:paraId="46EC1AE7">
      <w:pPr>
        <w:tabs>
          <w:tab w:val="left" w:pos="0"/>
        </w:tabs>
        <w:spacing w:after="120" w:line="440" w:lineRule="exact"/>
        <w:ind w:left="105" w:leftChars="50" w:right="105" w:rightChars="50" w:firstLine="420" w:firstLineChars="200"/>
        <w:rPr>
          <w:rFonts w:ascii="宋体" w:hAnsi="宋体" w:cs="宋体"/>
          <w:szCs w:val="21"/>
        </w:rPr>
      </w:pPr>
      <w:r>
        <w:rPr>
          <w:rFonts w:hint="eastAsia" w:ascii="宋体" w:hAnsi="宋体" w:cs="宋体"/>
          <w:szCs w:val="21"/>
        </w:rPr>
        <w:t>签字人姓名</w:t>
      </w:r>
      <w:r>
        <w:rPr>
          <w:rFonts w:hint="eastAsia" w:ascii="宋体" w:hAnsi="宋体" w:cs="宋体"/>
          <w:szCs w:val="21"/>
          <w:u w:val="single"/>
        </w:rPr>
        <w:t xml:space="preserve">                         </w:t>
      </w:r>
      <w:r>
        <w:rPr>
          <w:rFonts w:hint="eastAsia" w:ascii="宋体" w:hAnsi="宋体" w:cs="宋体"/>
          <w:szCs w:val="21"/>
        </w:rPr>
        <w:t xml:space="preserve">    签字人姓名</w:t>
      </w:r>
      <w:r>
        <w:rPr>
          <w:rFonts w:hint="eastAsia" w:ascii="宋体" w:hAnsi="宋体" w:cs="宋体"/>
          <w:szCs w:val="21"/>
          <w:u w:val="single"/>
        </w:rPr>
        <w:t xml:space="preserve">                             </w:t>
      </w:r>
    </w:p>
    <w:p w14:paraId="560C2924">
      <w:pPr>
        <w:tabs>
          <w:tab w:val="left" w:pos="0"/>
        </w:tabs>
        <w:spacing w:after="120" w:line="440" w:lineRule="exact"/>
        <w:ind w:left="105" w:leftChars="50" w:right="105" w:rightChars="50" w:firstLine="420" w:firstLineChars="200"/>
        <w:rPr>
          <w:rFonts w:ascii="宋体" w:hAnsi="宋体" w:cs="宋体"/>
          <w:szCs w:val="21"/>
        </w:rPr>
      </w:pPr>
      <w:r>
        <w:rPr>
          <w:rFonts w:hint="eastAsia" w:ascii="宋体" w:hAnsi="宋体" w:cs="宋体"/>
          <w:szCs w:val="21"/>
        </w:rPr>
        <w:t>签字人签名</w:t>
      </w:r>
      <w:r>
        <w:rPr>
          <w:rFonts w:hint="eastAsia" w:ascii="宋体" w:hAnsi="宋体" w:cs="宋体"/>
          <w:szCs w:val="21"/>
          <w:u w:val="single"/>
        </w:rPr>
        <w:t xml:space="preserve">                         </w:t>
      </w:r>
      <w:r>
        <w:rPr>
          <w:rFonts w:hint="eastAsia" w:ascii="宋体" w:hAnsi="宋体" w:cs="宋体"/>
          <w:szCs w:val="21"/>
        </w:rPr>
        <w:t xml:space="preserve">    签字人签名</w:t>
      </w:r>
      <w:r>
        <w:rPr>
          <w:rFonts w:hint="eastAsia" w:ascii="宋体" w:hAnsi="宋体" w:cs="宋体"/>
          <w:szCs w:val="21"/>
          <w:u w:val="single"/>
        </w:rPr>
        <w:t xml:space="preserve">                             </w:t>
      </w:r>
    </w:p>
    <w:p w14:paraId="27AFD8E5">
      <w:pPr>
        <w:widowControl/>
        <w:spacing w:before="5" w:line="200" w:lineRule="atLeast"/>
        <w:rPr>
          <w:rFonts w:ascii="宋体" w:hAnsi="宋体" w:cs="宋体"/>
          <w:kern w:val="0"/>
          <w:sz w:val="20"/>
          <w:szCs w:val="20"/>
        </w:rPr>
      </w:pPr>
    </w:p>
    <w:p w14:paraId="29C7EBCF">
      <w:pPr>
        <w:widowControl/>
        <w:spacing w:line="200" w:lineRule="atLeast"/>
        <w:rPr>
          <w:rFonts w:ascii="宋体" w:hAnsi="宋体" w:cs="宋体"/>
          <w:kern w:val="0"/>
          <w:sz w:val="20"/>
          <w:szCs w:val="20"/>
        </w:rPr>
      </w:pPr>
    </w:p>
    <w:p w14:paraId="0F41B367">
      <w:pPr>
        <w:widowControl/>
        <w:spacing w:line="200" w:lineRule="atLeast"/>
        <w:rPr>
          <w:rFonts w:ascii="宋体" w:hAnsi="宋体" w:cs="宋体"/>
          <w:kern w:val="0"/>
          <w:sz w:val="22"/>
        </w:rPr>
      </w:pPr>
    </w:p>
    <w:p w14:paraId="3B1F7EE3">
      <w:pPr>
        <w:widowControl/>
        <w:spacing w:line="261" w:lineRule="auto"/>
        <w:ind w:left="120" w:right="40"/>
        <w:rPr>
          <w:rFonts w:ascii="宋体" w:hAnsi="宋体" w:cs="宋体"/>
          <w:kern w:val="0"/>
          <w:szCs w:val="21"/>
        </w:rPr>
      </w:pPr>
      <w:r>
        <w:rPr>
          <w:rFonts w:hint="eastAsia" w:ascii="宋体" w:hAnsi="宋体" w:cs="宋体"/>
          <w:kern w:val="0"/>
          <w:szCs w:val="21"/>
        </w:rPr>
        <w:br w:type="page"/>
      </w:r>
    </w:p>
    <w:p w14:paraId="1297F9D1">
      <w:pPr>
        <w:pStyle w:val="3"/>
        <w:widowControl/>
        <w:spacing w:before="120" w:after="120" w:line="240" w:lineRule="auto"/>
        <w:jc w:val="center"/>
        <w:rPr>
          <w:rStyle w:val="103"/>
          <w:rFonts w:ascii="宋体" w:hAnsi="宋体" w:eastAsia="宋体" w:cs="宋体"/>
          <w:b/>
          <w:bCs/>
          <w:sz w:val="30"/>
          <w:szCs w:val="30"/>
        </w:rPr>
      </w:pPr>
      <w:r>
        <w:rPr>
          <w:rStyle w:val="103"/>
          <w:rFonts w:hint="eastAsia" w:ascii="宋体" w:hAnsi="宋体" w:eastAsia="宋体" w:cs="宋体"/>
          <w:b/>
          <w:bCs w:val="0"/>
          <w:sz w:val="30"/>
          <w:szCs w:val="30"/>
        </w:rPr>
        <w:t>十</w:t>
      </w:r>
      <w:r>
        <w:rPr>
          <w:rStyle w:val="103"/>
          <w:rFonts w:hint="eastAsia" w:ascii="宋体" w:hAnsi="宋体" w:eastAsia="宋体" w:cs="宋体"/>
          <w:b/>
          <w:bCs/>
          <w:sz w:val="30"/>
          <w:szCs w:val="30"/>
        </w:rPr>
        <w:t>、符合性审查与详细评审材料</w:t>
      </w:r>
    </w:p>
    <w:p w14:paraId="75EB36C0">
      <w:pPr>
        <w:widowControl/>
        <w:tabs>
          <w:tab w:val="left" w:pos="5580"/>
        </w:tabs>
        <w:wordWrap w:val="0"/>
        <w:adjustRightInd w:val="0"/>
        <w:snapToGrid w:val="0"/>
        <w:spacing w:line="400" w:lineRule="exact"/>
        <w:rPr>
          <w:rFonts w:ascii="宋体" w:hAnsi="宋体" w:cs="宋体"/>
          <w:b/>
          <w:szCs w:val="21"/>
        </w:rPr>
      </w:pPr>
      <w:r>
        <w:rPr>
          <w:rFonts w:hint="eastAsia" w:ascii="宋体" w:hAnsi="宋体" w:cs="宋体"/>
          <w:b/>
          <w:szCs w:val="21"/>
        </w:rPr>
        <w:t>特别提醒：</w:t>
      </w:r>
    </w:p>
    <w:p w14:paraId="147DFB26">
      <w:pPr>
        <w:widowControl/>
        <w:tabs>
          <w:tab w:val="left" w:pos="5580"/>
        </w:tabs>
        <w:wordWrap w:val="0"/>
        <w:adjustRightInd w:val="0"/>
        <w:snapToGrid w:val="0"/>
        <w:spacing w:line="400" w:lineRule="exact"/>
        <w:rPr>
          <w:rFonts w:ascii="宋体" w:hAnsi="宋体" w:cs="宋体"/>
          <w:szCs w:val="21"/>
        </w:rPr>
      </w:pPr>
      <w:r>
        <w:rPr>
          <w:rFonts w:hint="eastAsia" w:ascii="宋体" w:hAnsi="宋体" w:cs="宋体"/>
          <w:szCs w:val="21"/>
        </w:rPr>
        <w:t>1．提供证明材料</w:t>
      </w:r>
      <w:r>
        <w:rPr>
          <w:rFonts w:hint="eastAsia" w:ascii="宋体" w:hAnsi="宋体" w:cs="宋体"/>
          <w:b/>
          <w:szCs w:val="21"/>
        </w:rPr>
        <w:t>扫描件或电子证照</w:t>
      </w:r>
      <w:r>
        <w:rPr>
          <w:rFonts w:hint="eastAsia" w:ascii="宋体" w:hAnsi="宋体" w:cs="宋体"/>
          <w:szCs w:val="21"/>
        </w:rPr>
        <w:t>；</w:t>
      </w:r>
    </w:p>
    <w:p w14:paraId="4D97F157">
      <w:pPr>
        <w:widowControl/>
        <w:tabs>
          <w:tab w:val="left" w:pos="5580"/>
        </w:tabs>
        <w:wordWrap w:val="0"/>
        <w:adjustRightInd w:val="0"/>
        <w:snapToGrid w:val="0"/>
        <w:spacing w:line="400" w:lineRule="exact"/>
        <w:rPr>
          <w:rFonts w:ascii="宋体" w:hAnsi="宋体" w:cs="宋体"/>
          <w:szCs w:val="21"/>
        </w:rPr>
      </w:pPr>
      <w:r>
        <w:rPr>
          <w:rFonts w:hint="eastAsia" w:ascii="宋体" w:hAnsi="宋体" w:cs="宋体"/>
          <w:szCs w:val="21"/>
        </w:rPr>
        <w:t>2．建议设置评审索引，以便磋商小组顺利开展评审工作；</w:t>
      </w:r>
    </w:p>
    <w:p w14:paraId="2B8C2011">
      <w:pPr>
        <w:widowControl/>
        <w:tabs>
          <w:tab w:val="left" w:pos="5580"/>
        </w:tabs>
        <w:wordWrap w:val="0"/>
        <w:adjustRightInd w:val="0"/>
        <w:snapToGrid w:val="0"/>
        <w:spacing w:line="400" w:lineRule="exact"/>
        <w:rPr>
          <w:rFonts w:ascii="宋体" w:hAnsi="宋体" w:cs="宋体"/>
          <w:szCs w:val="21"/>
        </w:rPr>
      </w:pPr>
      <w:r>
        <w:rPr>
          <w:rFonts w:hint="eastAsia" w:ascii="宋体" w:hAnsi="宋体" w:cs="宋体"/>
          <w:szCs w:val="21"/>
        </w:rPr>
        <w:t>3．内容须清晰、明确，若提供相关资料内容模糊不清或无法辨认，磋商小组有权不予认可。</w:t>
      </w:r>
    </w:p>
    <w:p w14:paraId="4BAEC8E6">
      <w:pPr>
        <w:pStyle w:val="4"/>
        <w:spacing w:before="120" w:after="120" w:line="240" w:lineRule="auto"/>
        <w:jc w:val="center"/>
        <w:rPr>
          <w:rStyle w:val="103"/>
          <w:rFonts w:ascii="宋体" w:hAnsi="宋体" w:eastAsia="宋体" w:cs="宋体"/>
          <w:b/>
          <w:bCs/>
          <w:sz w:val="30"/>
          <w:szCs w:val="30"/>
        </w:rPr>
      </w:pPr>
      <w:r>
        <w:rPr>
          <w:rFonts w:hint="eastAsia" w:cs="宋体"/>
          <w:sz w:val="24"/>
          <w:lang w:eastAsia="zh-CN"/>
        </w:rPr>
        <w:t>（一）商务要求偏离表</w:t>
      </w:r>
    </w:p>
    <w:tbl>
      <w:tblPr>
        <w:tblStyle w:val="47"/>
        <w:tblW w:w="9978" w:type="dxa"/>
        <w:tblInd w:w="0" w:type="dxa"/>
        <w:tblLayout w:type="fixed"/>
        <w:tblCellMar>
          <w:top w:w="0" w:type="dxa"/>
          <w:left w:w="108" w:type="dxa"/>
          <w:bottom w:w="0" w:type="dxa"/>
          <w:right w:w="108" w:type="dxa"/>
        </w:tblCellMar>
      </w:tblPr>
      <w:tblGrid>
        <w:gridCol w:w="738"/>
        <w:gridCol w:w="1370"/>
        <w:gridCol w:w="2382"/>
        <w:gridCol w:w="2553"/>
        <w:gridCol w:w="1570"/>
        <w:gridCol w:w="1365"/>
      </w:tblGrid>
      <w:tr w14:paraId="5BD1A7BB">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1536E2FF">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1370" w:type="dxa"/>
            <w:tcBorders>
              <w:top w:val="single" w:color="000000" w:sz="4" w:space="0"/>
              <w:left w:val="nil"/>
              <w:bottom w:val="single" w:color="000000" w:sz="4" w:space="0"/>
              <w:right w:val="single" w:color="000000" w:sz="4" w:space="0"/>
            </w:tcBorders>
            <w:vAlign w:val="center"/>
          </w:tcPr>
          <w:p w14:paraId="686276E2">
            <w:pPr>
              <w:widowControl/>
              <w:jc w:val="center"/>
              <w:rPr>
                <w:rFonts w:ascii="宋体" w:hAnsi="宋体" w:cs="宋体"/>
                <w:b/>
                <w:color w:val="000000"/>
                <w:kern w:val="0"/>
                <w:szCs w:val="21"/>
              </w:rPr>
            </w:pPr>
            <w:r>
              <w:rPr>
                <w:rFonts w:hint="eastAsia" w:ascii="宋体" w:hAnsi="宋体" w:cs="宋体"/>
                <w:b/>
                <w:color w:val="000000"/>
                <w:kern w:val="0"/>
                <w:szCs w:val="21"/>
              </w:rPr>
              <w:t>商务要求项</w:t>
            </w:r>
          </w:p>
        </w:tc>
        <w:tc>
          <w:tcPr>
            <w:tcW w:w="2382" w:type="dxa"/>
            <w:tcBorders>
              <w:top w:val="single" w:color="000000" w:sz="4" w:space="0"/>
              <w:left w:val="nil"/>
              <w:bottom w:val="single" w:color="000000" w:sz="4" w:space="0"/>
              <w:right w:val="single" w:color="000000" w:sz="4" w:space="0"/>
            </w:tcBorders>
            <w:vAlign w:val="center"/>
          </w:tcPr>
          <w:p w14:paraId="2040812B">
            <w:pPr>
              <w:widowControl/>
              <w:jc w:val="center"/>
              <w:rPr>
                <w:rFonts w:ascii="宋体" w:hAnsi="宋体" w:cs="宋体"/>
                <w:b/>
                <w:color w:val="000000"/>
                <w:kern w:val="0"/>
                <w:szCs w:val="21"/>
              </w:rPr>
            </w:pPr>
            <w:r>
              <w:rPr>
                <w:rFonts w:hint="eastAsia" w:ascii="宋体" w:hAnsi="宋体" w:cs="宋体"/>
                <w:b/>
                <w:color w:val="000000"/>
                <w:kern w:val="0"/>
                <w:szCs w:val="21"/>
              </w:rPr>
              <w:t>采购文件的条款</w:t>
            </w:r>
          </w:p>
        </w:tc>
        <w:tc>
          <w:tcPr>
            <w:tcW w:w="2553" w:type="dxa"/>
            <w:tcBorders>
              <w:top w:val="single" w:color="000000" w:sz="4" w:space="0"/>
              <w:left w:val="nil"/>
              <w:bottom w:val="single" w:color="000000" w:sz="4" w:space="0"/>
              <w:right w:val="single" w:color="000000" w:sz="4" w:space="0"/>
            </w:tcBorders>
            <w:vAlign w:val="center"/>
          </w:tcPr>
          <w:p w14:paraId="6D8A2FBB">
            <w:pPr>
              <w:widowControl/>
              <w:jc w:val="center"/>
              <w:rPr>
                <w:rFonts w:ascii="宋体" w:hAnsi="宋体" w:cs="宋体"/>
                <w:b/>
                <w:color w:val="000000"/>
                <w:kern w:val="0"/>
                <w:szCs w:val="21"/>
              </w:rPr>
            </w:pPr>
            <w:r>
              <w:rPr>
                <w:rFonts w:hint="eastAsia" w:ascii="宋体" w:hAnsi="宋体" w:cs="宋体"/>
                <w:b/>
                <w:color w:val="000000"/>
                <w:kern w:val="0"/>
                <w:szCs w:val="21"/>
              </w:rPr>
              <w:t>响应文件的条款</w:t>
            </w:r>
          </w:p>
        </w:tc>
        <w:tc>
          <w:tcPr>
            <w:tcW w:w="1570" w:type="dxa"/>
            <w:tcBorders>
              <w:top w:val="single" w:color="000000" w:sz="4" w:space="0"/>
              <w:left w:val="nil"/>
              <w:bottom w:val="single" w:color="000000" w:sz="4" w:space="0"/>
              <w:right w:val="single" w:color="000000" w:sz="4" w:space="0"/>
            </w:tcBorders>
            <w:vAlign w:val="center"/>
          </w:tcPr>
          <w:p w14:paraId="02C8A751">
            <w:pPr>
              <w:widowControl/>
              <w:jc w:val="center"/>
              <w:rPr>
                <w:rFonts w:ascii="宋体" w:hAnsi="宋体" w:cs="宋体"/>
                <w:b/>
                <w:color w:val="000000"/>
                <w:kern w:val="0"/>
                <w:szCs w:val="21"/>
              </w:rPr>
            </w:pPr>
            <w:r>
              <w:rPr>
                <w:rFonts w:hint="eastAsia" w:ascii="宋体" w:hAnsi="宋体" w:cs="宋体"/>
                <w:b/>
                <w:color w:val="000000"/>
                <w:kern w:val="0"/>
                <w:szCs w:val="21"/>
              </w:rPr>
              <w:t>偏离说明</w:t>
            </w:r>
          </w:p>
        </w:tc>
        <w:tc>
          <w:tcPr>
            <w:tcW w:w="1365" w:type="dxa"/>
            <w:tcBorders>
              <w:top w:val="single" w:color="000000" w:sz="4" w:space="0"/>
              <w:left w:val="nil"/>
              <w:bottom w:val="single" w:color="000000" w:sz="4" w:space="0"/>
              <w:right w:val="single" w:color="000000" w:sz="4" w:space="0"/>
            </w:tcBorders>
            <w:vAlign w:val="center"/>
          </w:tcPr>
          <w:p w14:paraId="6D86CA77">
            <w:pPr>
              <w:widowControl/>
              <w:jc w:val="center"/>
              <w:rPr>
                <w:rFonts w:ascii="宋体" w:hAnsi="宋体" w:cs="宋体"/>
                <w:b/>
                <w:color w:val="000000"/>
                <w:kern w:val="0"/>
                <w:szCs w:val="21"/>
              </w:rPr>
            </w:pPr>
            <w:r>
              <w:rPr>
                <w:rFonts w:hint="eastAsia" w:ascii="宋体" w:hAnsi="宋体" w:cs="宋体"/>
                <w:b/>
                <w:color w:val="000000"/>
                <w:kern w:val="0"/>
                <w:szCs w:val="21"/>
              </w:rPr>
              <w:t>备注</w:t>
            </w:r>
          </w:p>
        </w:tc>
      </w:tr>
      <w:tr w14:paraId="32EF657A">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1401A82">
            <w:pPr>
              <w:widowControl/>
              <w:jc w:val="center"/>
              <w:rPr>
                <w:rFonts w:ascii="宋体" w:hAnsi="宋体" w:cs="宋体"/>
                <w:kern w:val="0"/>
                <w:szCs w:val="21"/>
              </w:rPr>
            </w:pPr>
            <w:r>
              <w:rPr>
                <w:rFonts w:hint="eastAsia" w:ascii="宋体" w:hAnsi="宋体" w:cs="宋体"/>
                <w:kern w:val="0"/>
                <w:szCs w:val="21"/>
              </w:rPr>
              <w:t>1</w:t>
            </w:r>
          </w:p>
        </w:tc>
        <w:tc>
          <w:tcPr>
            <w:tcW w:w="1370" w:type="dxa"/>
            <w:tcBorders>
              <w:top w:val="single" w:color="000000" w:sz="4" w:space="0"/>
              <w:left w:val="nil"/>
              <w:bottom w:val="single" w:color="000000" w:sz="4" w:space="0"/>
              <w:right w:val="single" w:color="000000" w:sz="4" w:space="0"/>
            </w:tcBorders>
            <w:vAlign w:val="center"/>
          </w:tcPr>
          <w:p w14:paraId="2325429E">
            <w:pPr>
              <w:widowControl/>
              <w:jc w:val="center"/>
              <w:rPr>
                <w:rFonts w:ascii="宋体" w:hAnsi="宋体" w:cs="宋体"/>
                <w:kern w:val="0"/>
                <w:szCs w:val="21"/>
              </w:rPr>
            </w:pPr>
            <w:r>
              <w:rPr>
                <w:rFonts w:hint="eastAsia" w:ascii="宋体" w:hAnsi="宋体" w:cs="宋体"/>
                <w:kern w:val="0"/>
                <w:szCs w:val="21"/>
              </w:rPr>
              <w:t>交付的时间</w:t>
            </w:r>
          </w:p>
        </w:tc>
        <w:tc>
          <w:tcPr>
            <w:tcW w:w="2382" w:type="dxa"/>
            <w:tcBorders>
              <w:top w:val="single" w:color="000000" w:sz="4" w:space="0"/>
              <w:left w:val="nil"/>
              <w:bottom w:val="single" w:color="000000" w:sz="4" w:space="0"/>
              <w:right w:val="single" w:color="000000" w:sz="4" w:space="0"/>
            </w:tcBorders>
            <w:vAlign w:val="center"/>
          </w:tcPr>
          <w:p w14:paraId="03CB84C8">
            <w:pPr>
              <w:widowControl/>
              <w:jc w:val="center"/>
              <w:rPr>
                <w:rFonts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1563E6A8">
            <w:pPr>
              <w:widowControl/>
              <w:jc w:val="center"/>
              <w:rPr>
                <w:rFonts w:ascii="宋体" w:hAnsi="宋体" w:cs="宋体"/>
                <w:color w:val="000000"/>
                <w:kern w:val="0"/>
                <w:szCs w:val="21"/>
              </w:rPr>
            </w:pPr>
          </w:p>
        </w:tc>
        <w:tc>
          <w:tcPr>
            <w:tcW w:w="1570" w:type="dxa"/>
            <w:tcBorders>
              <w:top w:val="single" w:color="000000" w:sz="4" w:space="0"/>
              <w:left w:val="nil"/>
              <w:bottom w:val="single" w:color="000000" w:sz="4" w:space="0"/>
              <w:right w:val="single" w:color="000000" w:sz="4" w:space="0"/>
            </w:tcBorders>
            <w:vAlign w:val="center"/>
          </w:tcPr>
          <w:p w14:paraId="7AC3DE4D">
            <w:pPr>
              <w:widowControl/>
              <w:jc w:val="center"/>
              <w:rPr>
                <w:rFonts w:ascii="宋体" w:hAnsi="宋体" w:cs="宋体"/>
                <w:color w:val="000000"/>
                <w:kern w:val="0"/>
                <w:szCs w:val="21"/>
              </w:rPr>
            </w:pPr>
          </w:p>
        </w:tc>
        <w:tc>
          <w:tcPr>
            <w:tcW w:w="1365" w:type="dxa"/>
            <w:tcBorders>
              <w:top w:val="single" w:color="000000" w:sz="4" w:space="0"/>
              <w:left w:val="nil"/>
              <w:bottom w:val="single" w:color="000000" w:sz="4" w:space="0"/>
              <w:right w:val="single" w:color="000000" w:sz="4" w:space="0"/>
            </w:tcBorders>
            <w:vAlign w:val="center"/>
          </w:tcPr>
          <w:p w14:paraId="00DEDF7A">
            <w:pPr>
              <w:widowControl/>
              <w:jc w:val="center"/>
              <w:rPr>
                <w:rFonts w:ascii="宋体" w:hAnsi="宋体" w:cs="宋体"/>
                <w:color w:val="000000"/>
                <w:kern w:val="0"/>
                <w:szCs w:val="21"/>
              </w:rPr>
            </w:pPr>
          </w:p>
        </w:tc>
      </w:tr>
      <w:tr w14:paraId="6F9A90E8">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732A166B">
            <w:pPr>
              <w:widowControl/>
              <w:jc w:val="center"/>
              <w:rPr>
                <w:rFonts w:ascii="宋体" w:hAnsi="宋体" w:cs="宋体"/>
                <w:kern w:val="0"/>
                <w:szCs w:val="21"/>
              </w:rPr>
            </w:pPr>
            <w:r>
              <w:rPr>
                <w:rFonts w:hint="eastAsia" w:ascii="宋体" w:hAnsi="宋体" w:cs="宋体"/>
                <w:kern w:val="0"/>
                <w:szCs w:val="21"/>
              </w:rPr>
              <w:t>2</w:t>
            </w:r>
          </w:p>
        </w:tc>
        <w:tc>
          <w:tcPr>
            <w:tcW w:w="1370" w:type="dxa"/>
            <w:tcBorders>
              <w:top w:val="single" w:color="000000" w:sz="4" w:space="0"/>
              <w:left w:val="nil"/>
              <w:bottom w:val="single" w:color="000000" w:sz="4" w:space="0"/>
              <w:right w:val="single" w:color="000000" w:sz="4" w:space="0"/>
            </w:tcBorders>
            <w:vAlign w:val="center"/>
          </w:tcPr>
          <w:p w14:paraId="5A662731">
            <w:pPr>
              <w:widowControl/>
              <w:jc w:val="center"/>
              <w:rPr>
                <w:rFonts w:ascii="宋体" w:hAnsi="宋体" w:cs="宋体"/>
                <w:kern w:val="0"/>
                <w:szCs w:val="21"/>
              </w:rPr>
            </w:pPr>
            <w:r>
              <w:rPr>
                <w:rFonts w:hint="eastAsia" w:ascii="宋体" w:hAnsi="宋体" w:cs="宋体"/>
                <w:kern w:val="0"/>
                <w:szCs w:val="21"/>
              </w:rPr>
              <w:t>交付的地点</w:t>
            </w:r>
          </w:p>
        </w:tc>
        <w:tc>
          <w:tcPr>
            <w:tcW w:w="2382" w:type="dxa"/>
            <w:tcBorders>
              <w:top w:val="single" w:color="000000" w:sz="4" w:space="0"/>
              <w:left w:val="nil"/>
              <w:bottom w:val="single" w:color="000000" w:sz="4" w:space="0"/>
              <w:right w:val="single" w:color="000000" w:sz="4" w:space="0"/>
            </w:tcBorders>
            <w:vAlign w:val="center"/>
          </w:tcPr>
          <w:p w14:paraId="079EFBF3">
            <w:pPr>
              <w:widowControl/>
              <w:jc w:val="center"/>
              <w:rPr>
                <w:rFonts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2852F933">
            <w:pPr>
              <w:widowControl/>
              <w:jc w:val="center"/>
              <w:rPr>
                <w:rFonts w:ascii="宋体" w:hAnsi="宋体" w:cs="宋体"/>
                <w:color w:val="000000"/>
                <w:kern w:val="0"/>
                <w:szCs w:val="21"/>
              </w:rPr>
            </w:pPr>
          </w:p>
        </w:tc>
        <w:tc>
          <w:tcPr>
            <w:tcW w:w="1570" w:type="dxa"/>
            <w:tcBorders>
              <w:top w:val="single" w:color="000000" w:sz="4" w:space="0"/>
              <w:left w:val="nil"/>
              <w:bottom w:val="single" w:color="000000" w:sz="4" w:space="0"/>
              <w:right w:val="single" w:color="000000" w:sz="4" w:space="0"/>
            </w:tcBorders>
            <w:vAlign w:val="center"/>
          </w:tcPr>
          <w:p w14:paraId="40FA7AA8">
            <w:pPr>
              <w:widowControl/>
              <w:jc w:val="center"/>
              <w:rPr>
                <w:rFonts w:ascii="宋体" w:hAnsi="宋体" w:cs="宋体"/>
                <w:color w:val="000000"/>
                <w:kern w:val="0"/>
                <w:szCs w:val="21"/>
              </w:rPr>
            </w:pPr>
          </w:p>
        </w:tc>
        <w:tc>
          <w:tcPr>
            <w:tcW w:w="1365" w:type="dxa"/>
            <w:tcBorders>
              <w:top w:val="single" w:color="000000" w:sz="4" w:space="0"/>
              <w:left w:val="nil"/>
              <w:bottom w:val="single" w:color="000000" w:sz="4" w:space="0"/>
              <w:right w:val="single" w:color="000000" w:sz="4" w:space="0"/>
            </w:tcBorders>
            <w:vAlign w:val="center"/>
          </w:tcPr>
          <w:p w14:paraId="2F336DDF">
            <w:pPr>
              <w:widowControl/>
              <w:jc w:val="center"/>
              <w:rPr>
                <w:rFonts w:ascii="宋体" w:hAnsi="宋体" w:cs="宋体"/>
                <w:color w:val="000000"/>
                <w:kern w:val="0"/>
                <w:szCs w:val="21"/>
              </w:rPr>
            </w:pPr>
          </w:p>
        </w:tc>
      </w:tr>
      <w:tr w14:paraId="2EC71F4E">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3DC3D749">
            <w:pPr>
              <w:widowControl/>
              <w:jc w:val="center"/>
              <w:rPr>
                <w:rFonts w:ascii="宋体" w:hAnsi="宋体" w:cs="宋体"/>
                <w:kern w:val="0"/>
                <w:szCs w:val="21"/>
              </w:rPr>
            </w:pPr>
            <w:r>
              <w:rPr>
                <w:rFonts w:hint="eastAsia" w:ascii="宋体" w:hAnsi="宋体" w:cs="宋体"/>
                <w:kern w:val="0"/>
                <w:szCs w:val="21"/>
              </w:rPr>
              <w:t>3</w:t>
            </w:r>
          </w:p>
        </w:tc>
        <w:tc>
          <w:tcPr>
            <w:tcW w:w="1370" w:type="dxa"/>
            <w:tcBorders>
              <w:top w:val="single" w:color="000000" w:sz="4" w:space="0"/>
              <w:left w:val="nil"/>
              <w:bottom w:val="single" w:color="000000" w:sz="4" w:space="0"/>
              <w:right w:val="single" w:color="000000" w:sz="4" w:space="0"/>
            </w:tcBorders>
            <w:vAlign w:val="center"/>
          </w:tcPr>
          <w:p w14:paraId="19DA2C69">
            <w:pPr>
              <w:widowControl/>
              <w:jc w:val="center"/>
              <w:rPr>
                <w:rFonts w:ascii="宋体" w:hAnsi="宋体" w:cs="宋体"/>
                <w:kern w:val="0"/>
                <w:szCs w:val="21"/>
              </w:rPr>
            </w:pPr>
            <w:r>
              <w:rPr>
                <w:rFonts w:hint="eastAsia" w:ascii="宋体" w:hAnsi="宋体" w:cs="宋体"/>
                <w:kern w:val="0"/>
                <w:szCs w:val="21"/>
              </w:rPr>
              <w:t>付款方式</w:t>
            </w:r>
          </w:p>
        </w:tc>
        <w:tc>
          <w:tcPr>
            <w:tcW w:w="2382" w:type="dxa"/>
            <w:tcBorders>
              <w:top w:val="single" w:color="000000" w:sz="4" w:space="0"/>
              <w:left w:val="nil"/>
              <w:bottom w:val="single" w:color="000000" w:sz="4" w:space="0"/>
              <w:right w:val="single" w:color="000000" w:sz="4" w:space="0"/>
            </w:tcBorders>
            <w:vAlign w:val="center"/>
          </w:tcPr>
          <w:p w14:paraId="1BA16D55">
            <w:pPr>
              <w:widowControl/>
              <w:jc w:val="center"/>
              <w:rPr>
                <w:rFonts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23AA08A0">
            <w:pPr>
              <w:widowControl/>
              <w:jc w:val="center"/>
              <w:rPr>
                <w:rFonts w:ascii="宋体" w:hAnsi="宋体" w:cs="宋体"/>
                <w:color w:val="000000"/>
                <w:kern w:val="0"/>
                <w:szCs w:val="21"/>
              </w:rPr>
            </w:pPr>
          </w:p>
        </w:tc>
        <w:tc>
          <w:tcPr>
            <w:tcW w:w="1570" w:type="dxa"/>
            <w:tcBorders>
              <w:top w:val="single" w:color="000000" w:sz="4" w:space="0"/>
              <w:left w:val="nil"/>
              <w:bottom w:val="single" w:color="000000" w:sz="4" w:space="0"/>
              <w:right w:val="single" w:color="000000" w:sz="4" w:space="0"/>
            </w:tcBorders>
            <w:vAlign w:val="center"/>
          </w:tcPr>
          <w:p w14:paraId="092C9D89">
            <w:pPr>
              <w:widowControl/>
              <w:jc w:val="center"/>
              <w:rPr>
                <w:rFonts w:ascii="宋体" w:hAnsi="宋体" w:cs="宋体"/>
                <w:color w:val="000000"/>
                <w:kern w:val="0"/>
                <w:szCs w:val="21"/>
              </w:rPr>
            </w:pPr>
          </w:p>
        </w:tc>
        <w:tc>
          <w:tcPr>
            <w:tcW w:w="1365" w:type="dxa"/>
            <w:tcBorders>
              <w:top w:val="single" w:color="000000" w:sz="4" w:space="0"/>
              <w:left w:val="nil"/>
              <w:bottom w:val="single" w:color="000000" w:sz="4" w:space="0"/>
              <w:right w:val="single" w:color="000000" w:sz="4" w:space="0"/>
            </w:tcBorders>
            <w:vAlign w:val="center"/>
          </w:tcPr>
          <w:p w14:paraId="5C58B5C0">
            <w:pPr>
              <w:widowControl/>
              <w:jc w:val="center"/>
              <w:rPr>
                <w:rFonts w:ascii="宋体" w:hAnsi="宋体" w:cs="宋体"/>
                <w:color w:val="000000"/>
                <w:kern w:val="0"/>
                <w:szCs w:val="21"/>
              </w:rPr>
            </w:pPr>
          </w:p>
        </w:tc>
      </w:tr>
      <w:tr w14:paraId="334B0AB1">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17D56BBC">
            <w:pPr>
              <w:widowControl/>
              <w:jc w:val="center"/>
              <w:rPr>
                <w:rFonts w:ascii="宋体" w:hAnsi="宋体" w:cs="宋体"/>
                <w:kern w:val="0"/>
                <w:szCs w:val="21"/>
              </w:rPr>
            </w:pPr>
            <w:r>
              <w:rPr>
                <w:rFonts w:hint="eastAsia" w:ascii="宋体" w:hAnsi="宋体" w:cs="宋体"/>
                <w:kern w:val="0"/>
                <w:szCs w:val="21"/>
              </w:rPr>
              <w:t>4</w:t>
            </w:r>
          </w:p>
        </w:tc>
        <w:tc>
          <w:tcPr>
            <w:tcW w:w="1370" w:type="dxa"/>
            <w:tcBorders>
              <w:top w:val="single" w:color="000000" w:sz="4" w:space="0"/>
              <w:left w:val="nil"/>
              <w:bottom w:val="single" w:color="000000" w:sz="4" w:space="0"/>
              <w:right w:val="single" w:color="000000" w:sz="4" w:space="0"/>
            </w:tcBorders>
            <w:vAlign w:val="center"/>
          </w:tcPr>
          <w:p w14:paraId="5B0109BB">
            <w:pPr>
              <w:widowControl/>
              <w:jc w:val="center"/>
              <w:rPr>
                <w:rFonts w:ascii="宋体" w:hAnsi="宋体" w:cs="宋体"/>
                <w:kern w:val="0"/>
                <w:szCs w:val="21"/>
              </w:rPr>
            </w:pPr>
            <w:r>
              <w:rPr>
                <w:rFonts w:hint="eastAsia" w:ascii="宋体" w:hAnsi="宋体" w:cs="宋体"/>
                <w:kern w:val="0"/>
                <w:szCs w:val="21"/>
              </w:rPr>
              <w:t>质量保证期</w:t>
            </w:r>
          </w:p>
        </w:tc>
        <w:tc>
          <w:tcPr>
            <w:tcW w:w="2382" w:type="dxa"/>
            <w:tcBorders>
              <w:top w:val="single" w:color="000000" w:sz="4" w:space="0"/>
              <w:left w:val="nil"/>
              <w:bottom w:val="single" w:color="000000" w:sz="4" w:space="0"/>
              <w:right w:val="single" w:color="000000" w:sz="4" w:space="0"/>
            </w:tcBorders>
            <w:vAlign w:val="center"/>
          </w:tcPr>
          <w:p w14:paraId="212EE394">
            <w:pPr>
              <w:widowControl/>
              <w:jc w:val="center"/>
              <w:rPr>
                <w:rFonts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4ACDBFB3">
            <w:pPr>
              <w:widowControl/>
              <w:jc w:val="center"/>
              <w:rPr>
                <w:rFonts w:ascii="宋体" w:hAnsi="宋体" w:cs="宋体"/>
                <w:color w:val="000000"/>
                <w:kern w:val="0"/>
                <w:szCs w:val="21"/>
              </w:rPr>
            </w:pPr>
          </w:p>
        </w:tc>
        <w:tc>
          <w:tcPr>
            <w:tcW w:w="1570" w:type="dxa"/>
            <w:tcBorders>
              <w:top w:val="single" w:color="000000" w:sz="4" w:space="0"/>
              <w:left w:val="nil"/>
              <w:bottom w:val="single" w:color="000000" w:sz="4" w:space="0"/>
              <w:right w:val="single" w:color="000000" w:sz="4" w:space="0"/>
            </w:tcBorders>
            <w:vAlign w:val="center"/>
          </w:tcPr>
          <w:p w14:paraId="03FAFED6">
            <w:pPr>
              <w:widowControl/>
              <w:jc w:val="center"/>
              <w:rPr>
                <w:rFonts w:ascii="宋体" w:hAnsi="宋体" w:cs="宋体"/>
                <w:color w:val="000000"/>
                <w:kern w:val="0"/>
                <w:szCs w:val="21"/>
              </w:rPr>
            </w:pPr>
          </w:p>
        </w:tc>
        <w:tc>
          <w:tcPr>
            <w:tcW w:w="1365" w:type="dxa"/>
            <w:tcBorders>
              <w:top w:val="single" w:color="000000" w:sz="4" w:space="0"/>
              <w:left w:val="nil"/>
              <w:bottom w:val="single" w:color="000000" w:sz="4" w:space="0"/>
              <w:right w:val="single" w:color="000000" w:sz="4" w:space="0"/>
            </w:tcBorders>
            <w:vAlign w:val="center"/>
          </w:tcPr>
          <w:p w14:paraId="145C5F3F">
            <w:pPr>
              <w:widowControl/>
              <w:jc w:val="center"/>
              <w:rPr>
                <w:rFonts w:ascii="宋体" w:hAnsi="宋体" w:cs="宋体"/>
                <w:color w:val="000000"/>
                <w:kern w:val="0"/>
                <w:szCs w:val="21"/>
              </w:rPr>
            </w:pPr>
          </w:p>
        </w:tc>
      </w:tr>
      <w:tr w14:paraId="348F1B54">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vAlign w:val="center"/>
          </w:tcPr>
          <w:p w14:paraId="2F23BA39">
            <w:pPr>
              <w:widowControl/>
              <w:jc w:val="center"/>
              <w:rPr>
                <w:rFonts w:ascii="宋体" w:hAnsi="宋体" w:cs="宋体"/>
                <w:kern w:val="0"/>
                <w:szCs w:val="21"/>
              </w:rPr>
            </w:pPr>
          </w:p>
        </w:tc>
        <w:tc>
          <w:tcPr>
            <w:tcW w:w="1370" w:type="dxa"/>
            <w:tcBorders>
              <w:top w:val="single" w:color="000000" w:sz="4" w:space="0"/>
              <w:left w:val="nil"/>
              <w:bottom w:val="single" w:color="000000" w:sz="4" w:space="0"/>
              <w:right w:val="single" w:color="000000" w:sz="4" w:space="0"/>
            </w:tcBorders>
            <w:vAlign w:val="center"/>
          </w:tcPr>
          <w:p w14:paraId="28FBEC88">
            <w:pPr>
              <w:widowControl/>
              <w:jc w:val="center"/>
              <w:rPr>
                <w:rFonts w:ascii="宋体" w:hAnsi="宋体" w:cs="宋体"/>
                <w:kern w:val="0"/>
                <w:szCs w:val="21"/>
              </w:rPr>
            </w:pPr>
          </w:p>
        </w:tc>
        <w:tc>
          <w:tcPr>
            <w:tcW w:w="2382" w:type="dxa"/>
            <w:tcBorders>
              <w:top w:val="single" w:color="000000" w:sz="4" w:space="0"/>
              <w:left w:val="nil"/>
              <w:bottom w:val="single" w:color="000000" w:sz="4" w:space="0"/>
              <w:right w:val="single" w:color="000000" w:sz="4" w:space="0"/>
            </w:tcBorders>
            <w:vAlign w:val="center"/>
          </w:tcPr>
          <w:p w14:paraId="0D97B485">
            <w:pPr>
              <w:widowControl/>
              <w:jc w:val="center"/>
              <w:rPr>
                <w:rFonts w:ascii="宋体" w:hAnsi="宋体" w:cs="宋体"/>
                <w:kern w:val="0"/>
                <w:szCs w:val="21"/>
              </w:rPr>
            </w:pPr>
          </w:p>
        </w:tc>
        <w:tc>
          <w:tcPr>
            <w:tcW w:w="2553" w:type="dxa"/>
            <w:tcBorders>
              <w:top w:val="single" w:color="000000" w:sz="4" w:space="0"/>
              <w:left w:val="nil"/>
              <w:bottom w:val="single" w:color="000000" w:sz="4" w:space="0"/>
              <w:right w:val="single" w:color="000000" w:sz="4" w:space="0"/>
            </w:tcBorders>
            <w:vAlign w:val="center"/>
          </w:tcPr>
          <w:p w14:paraId="71D2FC86">
            <w:pPr>
              <w:widowControl/>
              <w:jc w:val="center"/>
              <w:rPr>
                <w:rFonts w:ascii="宋体" w:hAnsi="宋体" w:cs="宋体"/>
                <w:color w:val="000000"/>
                <w:kern w:val="0"/>
                <w:szCs w:val="21"/>
              </w:rPr>
            </w:pPr>
          </w:p>
        </w:tc>
        <w:tc>
          <w:tcPr>
            <w:tcW w:w="1570" w:type="dxa"/>
            <w:tcBorders>
              <w:top w:val="single" w:color="000000" w:sz="4" w:space="0"/>
              <w:left w:val="nil"/>
              <w:bottom w:val="single" w:color="000000" w:sz="4" w:space="0"/>
              <w:right w:val="single" w:color="000000" w:sz="4" w:space="0"/>
            </w:tcBorders>
            <w:vAlign w:val="center"/>
          </w:tcPr>
          <w:p w14:paraId="100F08BF">
            <w:pPr>
              <w:widowControl/>
              <w:jc w:val="center"/>
              <w:rPr>
                <w:rFonts w:ascii="宋体" w:hAnsi="宋体" w:cs="宋体"/>
                <w:color w:val="000000"/>
                <w:kern w:val="0"/>
                <w:szCs w:val="21"/>
              </w:rPr>
            </w:pPr>
          </w:p>
        </w:tc>
        <w:tc>
          <w:tcPr>
            <w:tcW w:w="1365" w:type="dxa"/>
            <w:tcBorders>
              <w:top w:val="single" w:color="000000" w:sz="4" w:space="0"/>
              <w:left w:val="nil"/>
              <w:bottom w:val="single" w:color="000000" w:sz="4" w:space="0"/>
              <w:right w:val="single" w:color="000000" w:sz="4" w:space="0"/>
            </w:tcBorders>
            <w:vAlign w:val="center"/>
          </w:tcPr>
          <w:p w14:paraId="48CCA9AE">
            <w:pPr>
              <w:widowControl/>
              <w:jc w:val="center"/>
              <w:rPr>
                <w:rFonts w:ascii="宋体" w:hAnsi="宋体" w:cs="宋体"/>
                <w:color w:val="000000"/>
                <w:kern w:val="0"/>
                <w:szCs w:val="21"/>
              </w:rPr>
            </w:pPr>
          </w:p>
        </w:tc>
      </w:tr>
    </w:tbl>
    <w:p w14:paraId="665E7F04">
      <w:pPr>
        <w:rPr>
          <w:rFonts w:ascii="宋体" w:hAnsi="宋体" w:cs="宋体"/>
          <w:szCs w:val="21"/>
        </w:rPr>
      </w:pPr>
      <w:r>
        <w:rPr>
          <w:rFonts w:hint="eastAsia" w:ascii="宋体" w:hAnsi="宋体" w:cs="宋体"/>
          <w:szCs w:val="21"/>
        </w:rPr>
        <w:t>供应商保证：除商务要求偏离表列出的偏差外，供应商响应采购文件的全部要求。</w:t>
      </w:r>
    </w:p>
    <w:p w14:paraId="650567A0">
      <w:pPr>
        <w:widowControl/>
        <w:spacing w:line="360" w:lineRule="exact"/>
        <w:ind w:firstLine="411" w:firstLineChars="196"/>
        <w:rPr>
          <w:rFonts w:ascii="宋体" w:hAnsi="宋体" w:cs="宋体"/>
          <w:color w:val="000000"/>
        </w:rPr>
      </w:pPr>
    </w:p>
    <w:p w14:paraId="59712C73">
      <w:pPr>
        <w:pStyle w:val="4"/>
        <w:spacing w:before="120" w:after="120" w:line="240" w:lineRule="auto"/>
        <w:jc w:val="center"/>
        <w:rPr>
          <w:rStyle w:val="103"/>
          <w:rFonts w:ascii="宋体" w:hAnsi="宋体" w:eastAsia="宋体" w:cs="宋体"/>
          <w:b/>
          <w:bCs w:val="0"/>
          <w:sz w:val="30"/>
          <w:szCs w:val="30"/>
        </w:rPr>
      </w:pPr>
      <w:r>
        <w:rPr>
          <w:rFonts w:hint="eastAsia" w:cs="宋体"/>
          <w:sz w:val="24"/>
          <w:lang w:eastAsia="zh-CN"/>
        </w:rPr>
        <w:t>（二）技术要求偏离表</w:t>
      </w:r>
    </w:p>
    <w:tbl>
      <w:tblPr>
        <w:tblStyle w:val="47"/>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6F96883B">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vAlign w:val="center"/>
          </w:tcPr>
          <w:p w14:paraId="57759FDB">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1372" w:type="dxa"/>
            <w:tcBorders>
              <w:top w:val="single" w:color="000000" w:sz="4" w:space="0"/>
              <w:left w:val="nil"/>
              <w:bottom w:val="single" w:color="auto" w:sz="4" w:space="0"/>
              <w:right w:val="single" w:color="000000" w:sz="4" w:space="0"/>
            </w:tcBorders>
            <w:vAlign w:val="center"/>
          </w:tcPr>
          <w:p w14:paraId="6899D2D3">
            <w:pPr>
              <w:widowControl/>
              <w:jc w:val="center"/>
              <w:rPr>
                <w:rFonts w:ascii="宋体" w:hAnsi="宋体" w:cs="宋体"/>
                <w:b/>
                <w:color w:val="000000"/>
                <w:kern w:val="0"/>
                <w:szCs w:val="21"/>
              </w:rPr>
            </w:pPr>
            <w:r>
              <w:rPr>
                <w:rFonts w:hint="eastAsia" w:ascii="宋体" w:hAnsi="宋体" w:cs="宋体"/>
                <w:b/>
                <w:color w:val="000000"/>
                <w:kern w:val="0"/>
                <w:szCs w:val="21"/>
              </w:rPr>
              <w:t>技术要求项</w:t>
            </w:r>
          </w:p>
          <w:p w14:paraId="34E9BED4">
            <w:pPr>
              <w:widowControl/>
              <w:jc w:val="center"/>
              <w:rPr>
                <w:rFonts w:ascii="宋体" w:hAnsi="宋体" w:cs="宋体"/>
                <w:b/>
                <w:color w:val="000000"/>
                <w:kern w:val="0"/>
                <w:szCs w:val="21"/>
              </w:rPr>
            </w:pPr>
            <w:r>
              <w:rPr>
                <w:rFonts w:hint="eastAsia" w:ascii="宋体" w:hAnsi="宋体" w:cs="宋体"/>
                <w:b/>
                <w:color w:val="000000"/>
                <w:kern w:val="0"/>
                <w:szCs w:val="21"/>
              </w:rPr>
              <w:t>条款号</w:t>
            </w:r>
          </w:p>
        </w:tc>
        <w:tc>
          <w:tcPr>
            <w:tcW w:w="2173" w:type="dxa"/>
            <w:tcBorders>
              <w:top w:val="single" w:color="000000" w:sz="4" w:space="0"/>
              <w:left w:val="nil"/>
              <w:bottom w:val="single" w:color="000000" w:sz="4" w:space="0"/>
              <w:right w:val="single" w:color="000000" w:sz="4" w:space="0"/>
            </w:tcBorders>
            <w:vAlign w:val="center"/>
          </w:tcPr>
          <w:p w14:paraId="7360A71F">
            <w:pPr>
              <w:widowControl/>
              <w:jc w:val="center"/>
              <w:rPr>
                <w:rFonts w:ascii="宋体" w:hAnsi="宋体" w:cs="宋体"/>
                <w:b/>
                <w:color w:val="000000"/>
                <w:kern w:val="0"/>
                <w:szCs w:val="21"/>
              </w:rPr>
            </w:pPr>
            <w:r>
              <w:rPr>
                <w:rFonts w:hint="eastAsia" w:ascii="宋体" w:hAnsi="宋体" w:cs="宋体"/>
                <w:b/>
                <w:color w:val="000000"/>
                <w:kern w:val="0"/>
                <w:szCs w:val="21"/>
              </w:rPr>
              <w:t>采购文件的条款</w:t>
            </w:r>
          </w:p>
        </w:tc>
        <w:tc>
          <w:tcPr>
            <w:tcW w:w="2107" w:type="dxa"/>
            <w:tcBorders>
              <w:top w:val="single" w:color="000000" w:sz="4" w:space="0"/>
              <w:left w:val="nil"/>
              <w:bottom w:val="single" w:color="000000" w:sz="4" w:space="0"/>
              <w:right w:val="single" w:color="000000" w:sz="4" w:space="0"/>
            </w:tcBorders>
            <w:vAlign w:val="center"/>
          </w:tcPr>
          <w:p w14:paraId="55598B9E">
            <w:pPr>
              <w:widowControl/>
              <w:jc w:val="center"/>
              <w:rPr>
                <w:rFonts w:ascii="宋体" w:hAnsi="宋体" w:cs="宋体"/>
                <w:b/>
                <w:color w:val="000000"/>
                <w:kern w:val="0"/>
                <w:szCs w:val="21"/>
              </w:rPr>
            </w:pPr>
            <w:r>
              <w:rPr>
                <w:rFonts w:hint="eastAsia" w:ascii="宋体" w:hAnsi="宋体" w:cs="宋体"/>
                <w:b/>
                <w:color w:val="000000"/>
                <w:kern w:val="0"/>
                <w:szCs w:val="21"/>
              </w:rPr>
              <w:t>响应文件的条款</w:t>
            </w:r>
          </w:p>
        </w:tc>
        <w:tc>
          <w:tcPr>
            <w:tcW w:w="1845" w:type="dxa"/>
            <w:tcBorders>
              <w:top w:val="single" w:color="000000" w:sz="4" w:space="0"/>
              <w:left w:val="nil"/>
              <w:bottom w:val="single" w:color="000000" w:sz="4" w:space="0"/>
              <w:right w:val="single" w:color="000000" w:sz="4" w:space="0"/>
            </w:tcBorders>
            <w:vAlign w:val="center"/>
          </w:tcPr>
          <w:p w14:paraId="3B8DE7A1">
            <w:pPr>
              <w:widowControl/>
              <w:jc w:val="center"/>
              <w:rPr>
                <w:rFonts w:ascii="宋体" w:hAnsi="宋体" w:cs="宋体"/>
                <w:b/>
                <w:color w:val="000000"/>
                <w:kern w:val="0"/>
                <w:szCs w:val="21"/>
              </w:rPr>
            </w:pPr>
            <w:r>
              <w:rPr>
                <w:rFonts w:hint="eastAsia" w:ascii="宋体" w:hAnsi="宋体" w:cs="宋体"/>
                <w:b/>
                <w:color w:val="000000"/>
                <w:kern w:val="0"/>
                <w:szCs w:val="21"/>
              </w:rPr>
              <w:t>偏离说明</w:t>
            </w:r>
          </w:p>
        </w:tc>
        <w:tc>
          <w:tcPr>
            <w:tcW w:w="1418" w:type="dxa"/>
            <w:tcBorders>
              <w:top w:val="single" w:color="000000" w:sz="4" w:space="0"/>
              <w:left w:val="nil"/>
              <w:bottom w:val="single" w:color="000000" w:sz="4" w:space="0"/>
              <w:right w:val="single" w:color="000000" w:sz="4" w:space="0"/>
            </w:tcBorders>
            <w:vAlign w:val="center"/>
          </w:tcPr>
          <w:p w14:paraId="6B0689AD">
            <w:pPr>
              <w:widowControl/>
              <w:jc w:val="center"/>
              <w:rPr>
                <w:rFonts w:ascii="宋体" w:hAnsi="宋体" w:cs="宋体"/>
                <w:b/>
                <w:color w:val="000000"/>
                <w:kern w:val="0"/>
                <w:szCs w:val="21"/>
              </w:rPr>
            </w:pPr>
            <w:r>
              <w:rPr>
                <w:rFonts w:hint="eastAsia" w:ascii="宋体" w:hAnsi="宋体" w:cs="宋体"/>
                <w:b/>
                <w:color w:val="000000"/>
                <w:kern w:val="0"/>
                <w:szCs w:val="21"/>
              </w:rPr>
              <w:t>备注</w:t>
            </w:r>
          </w:p>
        </w:tc>
      </w:tr>
      <w:tr w14:paraId="5B7E38F0">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vAlign w:val="center"/>
          </w:tcPr>
          <w:p w14:paraId="48A09560">
            <w:pPr>
              <w:widowControl/>
              <w:rPr>
                <w:rFonts w:ascii="宋体" w:hAnsi="宋体" w:cs="宋体"/>
                <w:bCs/>
                <w:color w:val="000000"/>
                <w:kern w:val="0"/>
                <w:sz w:val="24"/>
              </w:rPr>
            </w:pPr>
          </w:p>
        </w:tc>
        <w:tc>
          <w:tcPr>
            <w:tcW w:w="1372" w:type="dxa"/>
            <w:vMerge w:val="restart"/>
            <w:tcBorders>
              <w:top w:val="single" w:color="auto" w:sz="4" w:space="0"/>
              <w:left w:val="nil"/>
              <w:bottom w:val="single" w:color="000000" w:sz="4" w:space="0"/>
              <w:right w:val="single" w:color="000000" w:sz="4" w:space="0"/>
            </w:tcBorders>
            <w:vAlign w:val="center"/>
          </w:tcPr>
          <w:p w14:paraId="539DA709">
            <w:pPr>
              <w:widowControl/>
              <w:rPr>
                <w:rFonts w:ascii="宋体" w:hAnsi="宋体" w:cs="宋体"/>
                <w:color w:val="000000"/>
                <w:kern w:val="0"/>
                <w:sz w:val="24"/>
              </w:rPr>
            </w:pPr>
          </w:p>
        </w:tc>
        <w:tc>
          <w:tcPr>
            <w:tcW w:w="2173" w:type="dxa"/>
            <w:tcBorders>
              <w:top w:val="single" w:color="000000" w:sz="4" w:space="0"/>
              <w:left w:val="nil"/>
              <w:bottom w:val="single" w:color="000000" w:sz="4" w:space="0"/>
              <w:right w:val="single" w:color="000000" w:sz="4" w:space="0"/>
            </w:tcBorders>
            <w:vAlign w:val="center"/>
          </w:tcPr>
          <w:p w14:paraId="0244B42F">
            <w:pPr>
              <w:widowControl/>
              <w:rPr>
                <w:rFonts w:ascii="宋体" w:hAnsi="宋体" w:cs="宋体"/>
                <w:color w:val="000000"/>
                <w:kern w:val="0"/>
                <w:sz w:val="24"/>
              </w:rPr>
            </w:pPr>
          </w:p>
        </w:tc>
        <w:tc>
          <w:tcPr>
            <w:tcW w:w="2107" w:type="dxa"/>
            <w:tcBorders>
              <w:top w:val="single" w:color="000000" w:sz="4" w:space="0"/>
              <w:left w:val="nil"/>
              <w:bottom w:val="single" w:color="000000" w:sz="4" w:space="0"/>
              <w:right w:val="single" w:color="000000" w:sz="4" w:space="0"/>
            </w:tcBorders>
            <w:vAlign w:val="center"/>
          </w:tcPr>
          <w:p w14:paraId="0C74C59E">
            <w:pPr>
              <w:widowControl/>
              <w:jc w:val="center"/>
              <w:rPr>
                <w:rFonts w:ascii="宋体" w:hAnsi="宋体" w:cs="宋体"/>
                <w:color w:val="000000"/>
                <w:kern w:val="0"/>
                <w:szCs w:val="21"/>
              </w:rPr>
            </w:pPr>
          </w:p>
        </w:tc>
        <w:tc>
          <w:tcPr>
            <w:tcW w:w="1845" w:type="dxa"/>
            <w:tcBorders>
              <w:top w:val="single" w:color="000000" w:sz="4" w:space="0"/>
              <w:left w:val="nil"/>
              <w:bottom w:val="single" w:color="000000" w:sz="4" w:space="0"/>
              <w:right w:val="single" w:color="000000" w:sz="4" w:space="0"/>
            </w:tcBorders>
          </w:tcPr>
          <w:p w14:paraId="059E0C06">
            <w:pPr>
              <w:widowControl/>
              <w:jc w:val="center"/>
              <w:rPr>
                <w:rFonts w:ascii="宋体" w:hAnsi="宋体" w:cs="宋体"/>
                <w:color w:val="000000"/>
                <w:kern w:val="0"/>
                <w:szCs w:val="21"/>
              </w:rPr>
            </w:pPr>
          </w:p>
        </w:tc>
        <w:tc>
          <w:tcPr>
            <w:tcW w:w="1418" w:type="dxa"/>
            <w:tcBorders>
              <w:top w:val="single" w:color="000000" w:sz="4" w:space="0"/>
              <w:left w:val="nil"/>
              <w:bottom w:val="single" w:color="000000" w:sz="4" w:space="0"/>
              <w:right w:val="single" w:color="000000" w:sz="4" w:space="0"/>
            </w:tcBorders>
          </w:tcPr>
          <w:p w14:paraId="4E3D18E2">
            <w:pPr>
              <w:widowControl/>
              <w:jc w:val="center"/>
              <w:rPr>
                <w:rFonts w:ascii="宋体" w:hAnsi="宋体" w:cs="宋体"/>
                <w:color w:val="000000"/>
                <w:kern w:val="0"/>
                <w:szCs w:val="21"/>
              </w:rPr>
            </w:pPr>
          </w:p>
        </w:tc>
      </w:tr>
      <w:tr w14:paraId="2C12C8AA">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7799432F">
            <w:pPr>
              <w:widowControl/>
              <w:jc w:val="left"/>
              <w:rPr>
                <w:rFonts w:ascii="宋体" w:hAnsi="宋体" w:cs="宋体"/>
                <w:bCs/>
                <w:color w:val="000000"/>
                <w:kern w:val="0"/>
                <w:sz w:val="24"/>
              </w:rPr>
            </w:pPr>
          </w:p>
        </w:tc>
        <w:tc>
          <w:tcPr>
            <w:tcW w:w="1372" w:type="dxa"/>
            <w:vMerge w:val="continue"/>
            <w:tcBorders>
              <w:top w:val="nil"/>
              <w:left w:val="nil"/>
              <w:bottom w:val="single" w:color="000000" w:sz="4" w:space="0"/>
              <w:right w:val="single" w:color="000000" w:sz="4" w:space="0"/>
            </w:tcBorders>
            <w:vAlign w:val="center"/>
          </w:tcPr>
          <w:p w14:paraId="61E7C4CB">
            <w:pPr>
              <w:widowControl/>
              <w:jc w:val="left"/>
              <w:rPr>
                <w:rFonts w:ascii="宋体" w:hAnsi="宋体" w:cs="宋体"/>
                <w:color w:val="000000"/>
                <w:kern w:val="0"/>
                <w:sz w:val="24"/>
              </w:rPr>
            </w:pPr>
          </w:p>
        </w:tc>
        <w:tc>
          <w:tcPr>
            <w:tcW w:w="2173" w:type="dxa"/>
            <w:tcBorders>
              <w:top w:val="single" w:color="000000" w:sz="4" w:space="0"/>
              <w:left w:val="nil"/>
              <w:bottom w:val="single" w:color="000000" w:sz="4" w:space="0"/>
              <w:right w:val="single" w:color="000000" w:sz="4" w:space="0"/>
            </w:tcBorders>
            <w:vAlign w:val="center"/>
          </w:tcPr>
          <w:p w14:paraId="0BC7ECD6">
            <w:pPr>
              <w:widowControl/>
              <w:jc w:val="left"/>
              <w:rPr>
                <w:rFonts w:ascii="宋体" w:hAnsi="宋体" w:cs="宋体"/>
                <w:color w:val="000000"/>
                <w:kern w:val="0"/>
                <w:sz w:val="24"/>
              </w:rPr>
            </w:pPr>
          </w:p>
        </w:tc>
        <w:tc>
          <w:tcPr>
            <w:tcW w:w="2107" w:type="dxa"/>
            <w:tcBorders>
              <w:top w:val="single" w:color="000000" w:sz="4" w:space="0"/>
              <w:left w:val="nil"/>
              <w:bottom w:val="single" w:color="000000" w:sz="4" w:space="0"/>
              <w:right w:val="single" w:color="000000" w:sz="4" w:space="0"/>
            </w:tcBorders>
          </w:tcPr>
          <w:p w14:paraId="419494B1">
            <w:pPr>
              <w:widowControl/>
              <w:jc w:val="center"/>
              <w:rPr>
                <w:rFonts w:ascii="宋体" w:hAnsi="宋体" w:cs="宋体"/>
                <w:color w:val="000000"/>
                <w:kern w:val="0"/>
                <w:szCs w:val="21"/>
              </w:rPr>
            </w:pPr>
          </w:p>
        </w:tc>
        <w:tc>
          <w:tcPr>
            <w:tcW w:w="1845" w:type="dxa"/>
            <w:tcBorders>
              <w:top w:val="single" w:color="000000" w:sz="4" w:space="0"/>
              <w:left w:val="nil"/>
              <w:bottom w:val="single" w:color="000000" w:sz="4" w:space="0"/>
              <w:right w:val="single" w:color="000000" w:sz="4" w:space="0"/>
            </w:tcBorders>
          </w:tcPr>
          <w:p w14:paraId="10CD83E1">
            <w:pPr>
              <w:widowControl/>
              <w:jc w:val="center"/>
              <w:rPr>
                <w:rFonts w:ascii="宋体" w:hAnsi="宋体" w:cs="宋体"/>
                <w:color w:val="000000"/>
                <w:kern w:val="0"/>
                <w:szCs w:val="21"/>
              </w:rPr>
            </w:pPr>
          </w:p>
        </w:tc>
        <w:tc>
          <w:tcPr>
            <w:tcW w:w="1418" w:type="dxa"/>
            <w:tcBorders>
              <w:top w:val="single" w:color="000000" w:sz="4" w:space="0"/>
              <w:left w:val="nil"/>
              <w:bottom w:val="single" w:color="000000" w:sz="4" w:space="0"/>
              <w:right w:val="single" w:color="000000" w:sz="4" w:space="0"/>
            </w:tcBorders>
          </w:tcPr>
          <w:p w14:paraId="55604179">
            <w:pPr>
              <w:widowControl/>
              <w:jc w:val="center"/>
              <w:rPr>
                <w:rFonts w:ascii="宋体" w:hAnsi="宋体" w:cs="宋体"/>
                <w:color w:val="000000"/>
                <w:kern w:val="0"/>
                <w:szCs w:val="21"/>
              </w:rPr>
            </w:pPr>
          </w:p>
        </w:tc>
      </w:tr>
      <w:tr w14:paraId="6173D50A">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vAlign w:val="center"/>
          </w:tcPr>
          <w:p w14:paraId="41E8A3DD">
            <w:pPr>
              <w:widowControl/>
              <w:jc w:val="left"/>
              <w:rPr>
                <w:rFonts w:ascii="宋体" w:hAnsi="宋体" w:cs="宋体"/>
                <w:bCs/>
                <w:color w:val="000000"/>
                <w:kern w:val="0"/>
                <w:sz w:val="24"/>
              </w:rPr>
            </w:pPr>
          </w:p>
        </w:tc>
        <w:tc>
          <w:tcPr>
            <w:tcW w:w="1372" w:type="dxa"/>
            <w:vMerge w:val="continue"/>
            <w:tcBorders>
              <w:top w:val="nil"/>
              <w:left w:val="nil"/>
              <w:bottom w:val="single" w:color="auto" w:sz="4" w:space="0"/>
              <w:right w:val="single" w:color="000000" w:sz="4" w:space="0"/>
            </w:tcBorders>
            <w:vAlign w:val="center"/>
          </w:tcPr>
          <w:p w14:paraId="714FA371">
            <w:pPr>
              <w:widowControl/>
              <w:jc w:val="left"/>
              <w:rPr>
                <w:rFonts w:ascii="宋体" w:hAnsi="宋体" w:cs="宋体"/>
                <w:color w:val="000000"/>
                <w:kern w:val="0"/>
                <w:sz w:val="24"/>
              </w:rPr>
            </w:pPr>
          </w:p>
        </w:tc>
        <w:tc>
          <w:tcPr>
            <w:tcW w:w="2173" w:type="dxa"/>
            <w:tcBorders>
              <w:top w:val="single" w:color="000000" w:sz="4" w:space="0"/>
              <w:left w:val="nil"/>
              <w:bottom w:val="single" w:color="000000" w:sz="4" w:space="0"/>
              <w:right w:val="single" w:color="000000" w:sz="4" w:space="0"/>
            </w:tcBorders>
            <w:vAlign w:val="center"/>
          </w:tcPr>
          <w:p w14:paraId="66A1AF1F">
            <w:pPr>
              <w:widowControl/>
              <w:jc w:val="left"/>
              <w:rPr>
                <w:rFonts w:ascii="宋体" w:hAnsi="宋体" w:cs="宋体"/>
                <w:color w:val="000000"/>
                <w:kern w:val="0"/>
                <w:sz w:val="24"/>
              </w:rPr>
            </w:pPr>
          </w:p>
        </w:tc>
        <w:tc>
          <w:tcPr>
            <w:tcW w:w="2107" w:type="dxa"/>
            <w:tcBorders>
              <w:top w:val="single" w:color="000000" w:sz="4" w:space="0"/>
              <w:left w:val="nil"/>
              <w:bottom w:val="single" w:color="000000" w:sz="4" w:space="0"/>
              <w:right w:val="single" w:color="000000" w:sz="4" w:space="0"/>
            </w:tcBorders>
          </w:tcPr>
          <w:p w14:paraId="11C10A60">
            <w:pPr>
              <w:widowControl/>
              <w:jc w:val="center"/>
              <w:rPr>
                <w:rFonts w:ascii="宋体" w:hAnsi="宋体" w:cs="宋体"/>
                <w:color w:val="000000"/>
                <w:kern w:val="0"/>
                <w:szCs w:val="21"/>
              </w:rPr>
            </w:pPr>
          </w:p>
        </w:tc>
        <w:tc>
          <w:tcPr>
            <w:tcW w:w="1845" w:type="dxa"/>
            <w:tcBorders>
              <w:top w:val="single" w:color="000000" w:sz="4" w:space="0"/>
              <w:left w:val="nil"/>
              <w:bottom w:val="single" w:color="000000" w:sz="4" w:space="0"/>
              <w:right w:val="single" w:color="000000" w:sz="4" w:space="0"/>
            </w:tcBorders>
          </w:tcPr>
          <w:p w14:paraId="7147923A">
            <w:pPr>
              <w:widowControl/>
              <w:jc w:val="center"/>
              <w:rPr>
                <w:rFonts w:ascii="宋体" w:hAnsi="宋体" w:cs="宋体"/>
                <w:color w:val="000000"/>
                <w:kern w:val="0"/>
                <w:szCs w:val="21"/>
              </w:rPr>
            </w:pPr>
          </w:p>
        </w:tc>
        <w:tc>
          <w:tcPr>
            <w:tcW w:w="1418" w:type="dxa"/>
            <w:tcBorders>
              <w:top w:val="single" w:color="000000" w:sz="4" w:space="0"/>
              <w:left w:val="nil"/>
              <w:bottom w:val="single" w:color="000000" w:sz="4" w:space="0"/>
              <w:right w:val="single" w:color="000000" w:sz="4" w:space="0"/>
            </w:tcBorders>
          </w:tcPr>
          <w:p w14:paraId="59B83010">
            <w:pPr>
              <w:widowControl/>
              <w:jc w:val="center"/>
              <w:rPr>
                <w:rFonts w:ascii="宋体" w:hAnsi="宋体" w:cs="宋体"/>
                <w:color w:val="000000"/>
                <w:kern w:val="0"/>
                <w:szCs w:val="21"/>
              </w:rPr>
            </w:pPr>
          </w:p>
        </w:tc>
      </w:tr>
      <w:tr w14:paraId="090EE9C7">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vAlign w:val="center"/>
          </w:tcPr>
          <w:p w14:paraId="55C6FA40">
            <w:pPr>
              <w:widowControl/>
              <w:jc w:val="left"/>
              <w:rPr>
                <w:rFonts w:ascii="宋体" w:hAnsi="宋体" w:cs="宋体"/>
                <w:bCs/>
                <w:color w:val="000000"/>
                <w:kern w:val="0"/>
                <w:sz w:val="24"/>
              </w:rPr>
            </w:pPr>
          </w:p>
        </w:tc>
        <w:tc>
          <w:tcPr>
            <w:tcW w:w="1372" w:type="dxa"/>
            <w:vMerge w:val="restart"/>
            <w:tcBorders>
              <w:top w:val="single" w:color="auto" w:sz="4" w:space="0"/>
              <w:left w:val="nil"/>
              <w:bottom w:val="single" w:color="000000" w:sz="4" w:space="0"/>
              <w:right w:val="single" w:color="000000" w:sz="4" w:space="0"/>
            </w:tcBorders>
            <w:vAlign w:val="center"/>
          </w:tcPr>
          <w:p w14:paraId="5337139F">
            <w:pPr>
              <w:widowControl/>
              <w:jc w:val="left"/>
              <w:rPr>
                <w:rFonts w:ascii="宋体" w:hAnsi="宋体" w:cs="宋体"/>
                <w:color w:val="000000"/>
                <w:kern w:val="0"/>
                <w:sz w:val="24"/>
              </w:rPr>
            </w:pPr>
          </w:p>
        </w:tc>
        <w:tc>
          <w:tcPr>
            <w:tcW w:w="2173" w:type="dxa"/>
            <w:tcBorders>
              <w:top w:val="single" w:color="000000" w:sz="4" w:space="0"/>
              <w:left w:val="nil"/>
              <w:bottom w:val="single" w:color="000000" w:sz="4" w:space="0"/>
              <w:right w:val="single" w:color="000000" w:sz="4" w:space="0"/>
            </w:tcBorders>
            <w:vAlign w:val="center"/>
          </w:tcPr>
          <w:p w14:paraId="0310A6F6">
            <w:pPr>
              <w:widowControl/>
              <w:jc w:val="left"/>
              <w:rPr>
                <w:rFonts w:ascii="宋体" w:hAnsi="宋体" w:cs="宋体"/>
                <w:color w:val="000000"/>
                <w:kern w:val="0"/>
                <w:sz w:val="24"/>
              </w:rPr>
            </w:pPr>
          </w:p>
        </w:tc>
        <w:tc>
          <w:tcPr>
            <w:tcW w:w="2107" w:type="dxa"/>
            <w:tcBorders>
              <w:top w:val="single" w:color="000000" w:sz="4" w:space="0"/>
              <w:left w:val="nil"/>
              <w:bottom w:val="single" w:color="000000" w:sz="4" w:space="0"/>
              <w:right w:val="single" w:color="000000" w:sz="4" w:space="0"/>
            </w:tcBorders>
          </w:tcPr>
          <w:p w14:paraId="5D808CBA">
            <w:pPr>
              <w:widowControl/>
              <w:jc w:val="center"/>
              <w:rPr>
                <w:rFonts w:ascii="宋体" w:hAnsi="宋体" w:cs="宋体"/>
                <w:color w:val="000000"/>
                <w:kern w:val="0"/>
                <w:szCs w:val="21"/>
              </w:rPr>
            </w:pPr>
          </w:p>
        </w:tc>
        <w:tc>
          <w:tcPr>
            <w:tcW w:w="1845" w:type="dxa"/>
            <w:tcBorders>
              <w:top w:val="single" w:color="000000" w:sz="4" w:space="0"/>
              <w:left w:val="nil"/>
              <w:bottom w:val="single" w:color="000000" w:sz="4" w:space="0"/>
              <w:right w:val="single" w:color="000000" w:sz="4" w:space="0"/>
            </w:tcBorders>
          </w:tcPr>
          <w:p w14:paraId="27210C43">
            <w:pPr>
              <w:widowControl/>
              <w:jc w:val="center"/>
              <w:rPr>
                <w:rFonts w:ascii="宋体" w:hAnsi="宋体" w:cs="宋体"/>
                <w:color w:val="000000"/>
                <w:kern w:val="0"/>
                <w:szCs w:val="21"/>
              </w:rPr>
            </w:pPr>
          </w:p>
        </w:tc>
        <w:tc>
          <w:tcPr>
            <w:tcW w:w="1418" w:type="dxa"/>
            <w:tcBorders>
              <w:top w:val="single" w:color="000000" w:sz="4" w:space="0"/>
              <w:left w:val="nil"/>
              <w:bottom w:val="single" w:color="000000" w:sz="4" w:space="0"/>
              <w:right w:val="single" w:color="000000" w:sz="4" w:space="0"/>
            </w:tcBorders>
          </w:tcPr>
          <w:p w14:paraId="11477FD0">
            <w:pPr>
              <w:widowControl/>
              <w:jc w:val="center"/>
              <w:rPr>
                <w:rFonts w:ascii="宋体" w:hAnsi="宋体" w:cs="宋体"/>
                <w:color w:val="000000"/>
                <w:kern w:val="0"/>
                <w:szCs w:val="21"/>
              </w:rPr>
            </w:pPr>
          </w:p>
        </w:tc>
      </w:tr>
      <w:tr w14:paraId="44DFDA5C">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2D3802CF">
            <w:pPr>
              <w:widowControl/>
              <w:jc w:val="left"/>
              <w:rPr>
                <w:rFonts w:ascii="宋体" w:hAnsi="宋体" w:cs="宋体"/>
                <w:bCs/>
                <w:color w:val="000000"/>
                <w:kern w:val="0"/>
                <w:sz w:val="24"/>
              </w:rPr>
            </w:pPr>
          </w:p>
        </w:tc>
        <w:tc>
          <w:tcPr>
            <w:tcW w:w="1372" w:type="dxa"/>
            <w:vMerge w:val="continue"/>
            <w:tcBorders>
              <w:top w:val="nil"/>
              <w:left w:val="nil"/>
              <w:bottom w:val="single" w:color="000000" w:sz="4" w:space="0"/>
              <w:right w:val="single" w:color="000000" w:sz="4" w:space="0"/>
            </w:tcBorders>
            <w:vAlign w:val="center"/>
          </w:tcPr>
          <w:p w14:paraId="0B570338">
            <w:pPr>
              <w:widowControl/>
              <w:jc w:val="left"/>
              <w:rPr>
                <w:rFonts w:ascii="宋体" w:hAnsi="宋体" w:cs="宋体"/>
                <w:color w:val="000000"/>
                <w:kern w:val="0"/>
                <w:sz w:val="24"/>
              </w:rPr>
            </w:pPr>
          </w:p>
        </w:tc>
        <w:tc>
          <w:tcPr>
            <w:tcW w:w="2173" w:type="dxa"/>
            <w:tcBorders>
              <w:top w:val="single" w:color="000000" w:sz="4" w:space="0"/>
              <w:left w:val="nil"/>
              <w:bottom w:val="single" w:color="000000" w:sz="4" w:space="0"/>
              <w:right w:val="single" w:color="000000" w:sz="4" w:space="0"/>
            </w:tcBorders>
            <w:vAlign w:val="center"/>
          </w:tcPr>
          <w:p w14:paraId="407D54B2">
            <w:pPr>
              <w:widowControl/>
              <w:jc w:val="left"/>
              <w:rPr>
                <w:rFonts w:ascii="宋体" w:hAnsi="宋体" w:cs="宋体"/>
                <w:color w:val="000000"/>
                <w:kern w:val="0"/>
                <w:sz w:val="24"/>
              </w:rPr>
            </w:pPr>
          </w:p>
        </w:tc>
        <w:tc>
          <w:tcPr>
            <w:tcW w:w="2107" w:type="dxa"/>
            <w:tcBorders>
              <w:top w:val="single" w:color="000000" w:sz="4" w:space="0"/>
              <w:left w:val="nil"/>
              <w:bottom w:val="single" w:color="000000" w:sz="4" w:space="0"/>
              <w:right w:val="single" w:color="000000" w:sz="4" w:space="0"/>
            </w:tcBorders>
          </w:tcPr>
          <w:p w14:paraId="632ACB57">
            <w:pPr>
              <w:widowControl/>
              <w:jc w:val="center"/>
              <w:rPr>
                <w:rFonts w:ascii="宋体" w:hAnsi="宋体" w:cs="宋体"/>
                <w:color w:val="000000"/>
                <w:kern w:val="0"/>
                <w:szCs w:val="21"/>
              </w:rPr>
            </w:pPr>
          </w:p>
        </w:tc>
        <w:tc>
          <w:tcPr>
            <w:tcW w:w="1845" w:type="dxa"/>
            <w:tcBorders>
              <w:top w:val="single" w:color="000000" w:sz="4" w:space="0"/>
              <w:left w:val="nil"/>
              <w:bottom w:val="single" w:color="000000" w:sz="4" w:space="0"/>
              <w:right w:val="single" w:color="000000" w:sz="4" w:space="0"/>
            </w:tcBorders>
          </w:tcPr>
          <w:p w14:paraId="0DAB5FAF">
            <w:pPr>
              <w:widowControl/>
              <w:jc w:val="center"/>
              <w:rPr>
                <w:rFonts w:ascii="宋体" w:hAnsi="宋体" w:cs="宋体"/>
                <w:color w:val="000000"/>
                <w:kern w:val="0"/>
                <w:szCs w:val="21"/>
              </w:rPr>
            </w:pPr>
          </w:p>
        </w:tc>
        <w:tc>
          <w:tcPr>
            <w:tcW w:w="1418" w:type="dxa"/>
            <w:tcBorders>
              <w:top w:val="single" w:color="000000" w:sz="4" w:space="0"/>
              <w:left w:val="nil"/>
              <w:bottom w:val="single" w:color="000000" w:sz="4" w:space="0"/>
              <w:right w:val="single" w:color="000000" w:sz="4" w:space="0"/>
            </w:tcBorders>
          </w:tcPr>
          <w:p w14:paraId="45B1CF8E">
            <w:pPr>
              <w:widowControl/>
              <w:jc w:val="center"/>
              <w:rPr>
                <w:rFonts w:ascii="宋体" w:hAnsi="宋体" w:cs="宋体"/>
                <w:color w:val="000000"/>
                <w:kern w:val="0"/>
                <w:szCs w:val="21"/>
              </w:rPr>
            </w:pPr>
          </w:p>
        </w:tc>
      </w:tr>
      <w:tr w14:paraId="25B27781">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vAlign w:val="center"/>
          </w:tcPr>
          <w:p w14:paraId="5EAAEB0B">
            <w:pPr>
              <w:widowControl/>
              <w:jc w:val="left"/>
              <w:rPr>
                <w:rFonts w:ascii="宋体" w:hAnsi="宋体" w:cs="宋体"/>
                <w:bCs/>
                <w:color w:val="000000"/>
                <w:kern w:val="0"/>
                <w:sz w:val="24"/>
              </w:rPr>
            </w:pPr>
          </w:p>
        </w:tc>
        <w:tc>
          <w:tcPr>
            <w:tcW w:w="1372" w:type="dxa"/>
            <w:vMerge w:val="continue"/>
            <w:tcBorders>
              <w:top w:val="nil"/>
              <w:left w:val="nil"/>
              <w:bottom w:val="single" w:color="000000" w:sz="4" w:space="0"/>
              <w:right w:val="single" w:color="000000" w:sz="4" w:space="0"/>
            </w:tcBorders>
            <w:vAlign w:val="center"/>
          </w:tcPr>
          <w:p w14:paraId="5A2044A6">
            <w:pPr>
              <w:widowControl/>
              <w:jc w:val="left"/>
              <w:rPr>
                <w:rFonts w:ascii="宋体" w:hAnsi="宋体" w:cs="宋体"/>
                <w:color w:val="000000"/>
                <w:kern w:val="0"/>
                <w:sz w:val="24"/>
              </w:rPr>
            </w:pPr>
          </w:p>
        </w:tc>
        <w:tc>
          <w:tcPr>
            <w:tcW w:w="2173" w:type="dxa"/>
            <w:tcBorders>
              <w:top w:val="single" w:color="000000" w:sz="4" w:space="0"/>
              <w:left w:val="nil"/>
              <w:bottom w:val="single" w:color="000000" w:sz="4" w:space="0"/>
              <w:right w:val="single" w:color="000000" w:sz="4" w:space="0"/>
            </w:tcBorders>
            <w:vAlign w:val="center"/>
          </w:tcPr>
          <w:p w14:paraId="794D89FD">
            <w:pPr>
              <w:widowControl/>
              <w:jc w:val="left"/>
              <w:rPr>
                <w:rFonts w:ascii="宋体" w:hAnsi="宋体" w:cs="宋体"/>
                <w:color w:val="000000"/>
                <w:kern w:val="0"/>
                <w:sz w:val="24"/>
              </w:rPr>
            </w:pPr>
          </w:p>
        </w:tc>
        <w:tc>
          <w:tcPr>
            <w:tcW w:w="2107" w:type="dxa"/>
            <w:tcBorders>
              <w:top w:val="single" w:color="000000" w:sz="4" w:space="0"/>
              <w:left w:val="nil"/>
              <w:bottom w:val="single" w:color="000000" w:sz="4" w:space="0"/>
              <w:right w:val="single" w:color="000000" w:sz="4" w:space="0"/>
            </w:tcBorders>
          </w:tcPr>
          <w:p w14:paraId="454DC274">
            <w:pPr>
              <w:widowControl/>
              <w:jc w:val="center"/>
              <w:rPr>
                <w:rFonts w:ascii="宋体" w:hAnsi="宋体" w:cs="宋体"/>
                <w:color w:val="000000"/>
                <w:kern w:val="0"/>
                <w:szCs w:val="21"/>
              </w:rPr>
            </w:pPr>
          </w:p>
        </w:tc>
        <w:tc>
          <w:tcPr>
            <w:tcW w:w="1845" w:type="dxa"/>
            <w:tcBorders>
              <w:top w:val="single" w:color="000000" w:sz="4" w:space="0"/>
              <w:left w:val="nil"/>
              <w:bottom w:val="single" w:color="000000" w:sz="4" w:space="0"/>
              <w:right w:val="single" w:color="000000" w:sz="4" w:space="0"/>
            </w:tcBorders>
          </w:tcPr>
          <w:p w14:paraId="4994B68C">
            <w:pPr>
              <w:widowControl/>
              <w:jc w:val="center"/>
              <w:rPr>
                <w:rFonts w:ascii="宋体" w:hAnsi="宋体" w:cs="宋体"/>
                <w:color w:val="000000"/>
                <w:kern w:val="0"/>
                <w:szCs w:val="21"/>
              </w:rPr>
            </w:pPr>
          </w:p>
        </w:tc>
        <w:tc>
          <w:tcPr>
            <w:tcW w:w="1418" w:type="dxa"/>
            <w:tcBorders>
              <w:top w:val="single" w:color="000000" w:sz="4" w:space="0"/>
              <w:left w:val="nil"/>
              <w:bottom w:val="single" w:color="000000" w:sz="4" w:space="0"/>
              <w:right w:val="single" w:color="000000" w:sz="4" w:space="0"/>
            </w:tcBorders>
          </w:tcPr>
          <w:p w14:paraId="2F99C251">
            <w:pPr>
              <w:widowControl/>
              <w:jc w:val="center"/>
              <w:rPr>
                <w:rFonts w:ascii="宋体" w:hAnsi="宋体" w:cs="宋体"/>
                <w:color w:val="000000"/>
                <w:kern w:val="0"/>
                <w:szCs w:val="21"/>
              </w:rPr>
            </w:pPr>
          </w:p>
        </w:tc>
      </w:tr>
    </w:tbl>
    <w:p w14:paraId="6C867355">
      <w:pPr>
        <w:rPr>
          <w:rFonts w:ascii="宋体" w:hAnsi="宋体" w:cs="宋体"/>
          <w:szCs w:val="21"/>
        </w:rPr>
      </w:pPr>
      <w:r>
        <w:rPr>
          <w:rFonts w:hint="eastAsia" w:ascii="宋体" w:hAnsi="宋体" w:cs="宋体"/>
          <w:szCs w:val="21"/>
        </w:rPr>
        <w:t>供应商保证：除技术要求偏离表列出的偏差外，供应商响应采购文件的全部要求。</w:t>
      </w:r>
    </w:p>
    <w:p w14:paraId="4CC19AD0">
      <w:pPr>
        <w:widowControl/>
        <w:spacing w:line="360" w:lineRule="exact"/>
        <w:ind w:firstLine="470" w:firstLineChars="196"/>
        <w:rPr>
          <w:rFonts w:ascii="宋体" w:hAnsi="宋体" w:cs="宋体"/>
          <w:color w:val="000000"/>
          <w:kern w:val="0"/>
          <w:sz w:val="24"/>
        </w:rPr>
      </w:pPr>
      <w:r>
        <w:rPr>
          <w:rFonts w:hint="eastAsia" w:ascii="宋体" w:hAnsi="宋体" w:cs="宋体"/>
          <w:color w:val="000000"/>
          <w:kern w:val="0"/>
          <w:sz w:val="24"/>
        </w:rPr>
        <w:t xml:space="preserve"> </w:t>
      </w:r>
    </w:p>
    <w:p w14:paraId="4C6ED0EE">
      <w:pPr>
        <w:widowControl/>
        <w:spacing w:line="360" w:lineRule="exact"/>
        <w:ind w:firstLine="470" w:firstLineChars="196"/>
        <w:rPr>
          <w:rFonts w:ascii="宋体" w:hAnsi="宋体" w:cs="宋体"/>
          <w:color w:val="000000"/>
          <w:kern w:val="0"/>
          <w:sz w:val="24"/>
        </w:rPr>
      </w:pPr>
    </w:p>
    <w:p w14:paraId="40B4A8B5">
      <w:pPr>
        <w:pStyle w:val="4"/>
        <w:jc w:val="center"/>
        <w:rPr>
          <w:rStyle w:val="103"/>
          <w:rFonts w:ascii="宋体" w:hAnsi="宋体" w:eastAsia="宋体" w:cs="宋体"/>
          <w:b/>
          <w:bCs w:val="0"/>
          <w:sz w:val="24"/>
          <w:szCs w:val="24"/>
        </w:rPr>
      </w:pPr>
      <w:r>
        <w:rPr>
          <w:rFonts w:hint="eastAsia" w:cs="宋体"/>
          <w:lang w:eastAsia="zh-CN"/>
        </w:rPr>
        <w:br w:type="page"/>
      </w:r>
      <w:r>
        <w:rPr>
          <w:rFonts w:hint="eastAsia" w:cs="宋体"/>
          <w:sz w:val="24"/>
          <w:lang w:eastAsia="zh-CN"/>
        </w:rPr>
        <w:t>（三）</w:t>
      </w:r>
      <w:r>
        <w:rPr>
          <w:rStyle w:val="103"/>
          <w:rFonts w:hint="eastAsia" w:ascii="宋体" w:hAnsi="宋体" w:eastAsia="宋体" w:cs="宋体"/>
          <w:b/>
          <w:bCs w:val="0"/>
          <w:sz w:val="24"/>
          <w:szCs w:val="24"/>
        </w:rPr>
        <w:t>技术响应资料</w:t>
      </w:r>
    </w:p>
    <w:p w14:paraId="0F1A0919">
      <w:pPr>
        <w:pStyle w:val="5"/>
        <w:keepNext w:val="0"/>
        <w:tabs>
          <w:tab w:val="left" w:pos="1260"/>
        </w:tabs>
        <w:jc w:val="center"/>
        <w:rPr>
          <w:rFonts w:cs="宋体"/>
          <w:b w:val="0"/>
          <w:bCs w:val="0"/>
          <w:sz w:val="24"/>
          <w:lang w:eastAsia="zh-CN"/>
        </w:rPr>
      </w:pPr>
      <w:r>
        <w:rPr>
          <w:rFonts w:hint="eastAsia" w:cs="宋体"/>
          <w:sz w:val="24"/>
          <w:lang w:eastAsia="zh-CN"/>
        </w:rPr>
        <w:t>1.货物（服务）主要技术指标和性能的详细说明</w:t>
      </w:r>
    </w:p>
    <w:tbl>
      <w:tblPr>
        <w:tblStyle w:val="47"/>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26117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Align w:val="center"/>
          </w:tcPr>
          <w:p w14:paraId="618F3ACB">
            <w:pPr>
              <w:widowControl/>
              <w:jc w:val="center"/>
              <w:rPr>
                <w:rFonts w:ascii="宋体" w:hAnsi="宋体" w:cs="宋体"/>
                <w:b/>
                <w:bCs/>
                <w:color w:val="000000"/>
                <w:kern w:val="0"/>
                <w:sz w:val="24"/>
              </w:rPr>
            </w:pPr>
            <w:r>
              <w:rPr>
                <w:rFonts w:hint="eastAsia" w:ascii="宋体" w:hAnsi="宋体" w:cs="宋体"/>
                <w:b/>
                <w:bCs/>
                <w:color w:val="000000"/>
                <w:kern w:val="0"/>
                <w:sz w:val="24"/>
              </w:rPr>
              <w:t>货物名称</w:t>
            </w:r>
          </w:p>
        </w:tc>
        <w:tc>
          <w:tcPr>
            <w:tcW w:w="1701" w:type="dxa"/>
            <w:vAlign w:val="center"/>
          </w:tcPr>
          <w:p w14:paraId="5DF7F62C">
            <w:pPr>
              <w:widowControl/>
              <w:jc w:val="center"/>
              <w:rPr>
                <w:rFonts w:ascii="宋体" w:hAnsi="宋体" w:cs="宋体"/>
                <w:b/>
                <w:bCs/>
                <w:color w:val="000000"/>
                <w:kern w:val="0"/>
                <w:sz w:val="24"/>
              </w:rPr>
            </w:pPr>
            <w:r>
              <w:rPr>
                <w:rFonts w:hint="eastAsia" w:ascii="宋体" w:hAnsi="宋体" w:cs="宋体"/>
                <w:b/>
                <w:bCs/>
                <w:color w:val="000000"/>
                <w:kern w:val="0"/>
                <w:sz w:val="24"/>
              </w:rPr>
              <w:t>主要部件或功能配置名称</w:t>
            </w:r>
          </w:p>
        </w:tc>
        <w:tc>
          <w:tcPr>
            <w:tcW w:w="1134" w:type="dxa"/>
            <w:vAlign w:val="center"/>
          </w:tcPr>
          <w:p w14:paraId="6432476B">
            <w:pPr>
              <w:widowControl/>
              <w:jc w:val="center"/>
              <w:rPr>
                <w:rFonts w:ascii="宋体" w:hAnsi="宋体" w:cs="宋体"/>
                <w:b/>
                <w:sz w:val="24"/>
              </w:rPr>
            </w:pPr>
            <w:r>
              <w:rPr>
                <w:rFonts w:hint="eastAsia" w:ascii="宋体" w:hAnsi="宋体" w:cs="宋体"/>
                <w:b/>
                <w:sz w:val="24"/>
              </w:rPr>
              <w:t>规格/型号</w:t>
            </w:r>
          </w:p>
        </w:tc>
        <w:tc>
          <w:tcPr>
            <w:tcW w:w="1984" w:type="dxa"/>
            <w:vAlign w:val="center"/>
          </w:tcPr>
          <w:p w14:paraId="413E3FBA">
            <w:pPr>
              <w:widowControl/>
              <w:jc w:val="center"/>
              <w:rPr>
                <w:rFonts w:ascii="宋体" w:hAnsi="宋体" w:cs="宋体"/>
                <w:b/>
                <w:sz w:val="24"/>
              </w:rPr>
            </w:pPr>
            <w:r>
              <w:rPr>
                <w:rFonts w:hint="eastAsia" w:ascii="宋体" w:hAnsi="宋体" w:cs="宋体"/>
                <w:b/>
                <w:sz w:val="24"/>
              </w:rPr>
              <w:t>产地、品牌及制造商名称</w:t>
            </w:r>
          </w:p>
        </w:tc>
        <w:tc>
          <w:tcPr>
            <w:tcW w:w="2269" w:type="dxa"/>
            <w:vAlign w:val="center"/>
          </w:tcPr>
          <w:p w14:paraId="59A731D3">
            <w:pPr>
              <w:widowControl/>
              <w:jc w:val="center"/>
              <w:rPr>
                <w:rFonts w:ascii="宋体" w:hAnsi="宋体" w:cs="宋体"/>
                <w:b/>
                <w:sz w:val="24"/>
              </w:rPr>
            </w:pPr>
            <w:r>
              <w:rPr>
                <w:rFonts w:hint="eastAsia" w:ascii="宋体" w:hAnsi="宋体" w:cs="宋体"/>
                <w:b/>
                <w:sz w:val="24"/>
              </w:rPr>
              <w:t>主要技术指标及功能描述</w:t>
            </w:r>
          </w:p>
        </w:tc>
        <w:tc>
          <w:tcPr>
            <w:tcW w:w="1135" w:type="dxa"/>
            <w:vAlign w:val="center"/>
          </w:tcPr>
          <w:p w14:paraId="6E581796">
            <w:pPr>
              <w:widowControl/>
              <w:jc w:val="center"/>
              <w:rPr>
                <w:rFonts w:ascii="宋体" w:hAnsi="宋体" w:cs="宋体"/>
                <w:b/>
                <w:bCs/>
                <w:color w:val="000000"/>
                <w:kern w:val="0"/>
                <w:sz w:val="24"/>
              </w:rPr>
            </w:pPr>
            <w:r>
              <w:rPr>
                <w:rFonts w:hint="eastAsia" w:ascii="宋体" w:hAnsi="宋体" w:cs="宋体"/>
                <w:b/>
                <w:bCs/>
                <w:color w:val="000000"/>
                <w:kern w:val="0"/>
                <w:sz w:val="24"/>
              </w:rPr>
              <w:t>备注</w:t>
            </w:r>
          </w:p>
        </w:tc>
      </w:tr>
      <w:tr w14:paraId="62D77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vAlign w:val="center"/>
          </w:tcPr>
          <w:p w14:paraId="03993525">
            <w:pPr>
              <w:widowControl/>
              <w:rPr>
                <w:rFonts w:ascii="宋体" w:hAnsi="宋体" w:cs="宋体"/>
                <w:color w:val="000000"/>
                <w:kern w:val="0"/>
                <w:sz w:val="24"/>
              </w:rPr>
            </w:pPr>
          </w:p>
        </w:tc>
        <w:tc>
          <w:tcPr>
            <w:tcW w:w="1701" w:type="dxa"/>
          </w:tcPr>
          <w:p w14:paraId="634B8FFF">
            <w:pPr>
              <w:widowControl/>
              <w:jc w:val="center"/>
              <w:rPr>
                <w:rFonts w:ascii="宋体" w:hAnsi="宋体" w:cs="宋体"/>
                <w:b/>
                <w:sz w:val="24"/>
              </w:rPr>
            </w:pPr>
          </w:p>
        </w:tc>
        <w:tc>
          <w:tcPr>
            <w:tcW w:w="1134" w:type="dxa"/>
            <w:vAlign w:val="center"/>
          </w:tcPr>
          <w:p w14:paraId="41CAEE53">
            <w:pPr>
              <w:widowControl/>
              <w:jc w:val="center"/>
              <w:rPr>
                <w:rFonts w:ascii="宋体" w:hAnsi="宋体" w:cs="宋体"/>
                <w:b/>
                <w:sz w:val="24"/>
              </w:rPr>
            </w:pPr>
          </w:p>
        </w:tc>
        <w:tc>
          <w:tcPr>
            <w:tcW w:w="1984" w:type="dxa"/>
            <w:vAlign w:val="center"/>
          </w:tcPr>
          <w:p w14:paraId="457F752B">
            <w:pPr>
              <w:widowControl/>
              <w:jc w:val="center"/>
              <w:rPr>
                <w:rFonts w:ascii="宋体" w:hAnsi="宋体" w:cs="宋体"/>
                <w:b/>
                <w:sz w:val="24"/>
              </w:rPr>
            </w:pPr>
          </w:p>
        </w:tc>
        <w:tc>
          <w:tcPr>
            <w:tcW w:w="2269" w:type="dxa"/>
          </w:tcPr>
          <w:p w14:paraId="1DAD64CC">
            <w:pPr>
              <w:widowControl/>
              <w:jc w:val="center"/>
              <w:rPr>
                <w:rFonts w:ascii="宋体" w:hAnsi="宋体" w:cs="宋体"/>
                <w:color w:val="000000"/>
                <w:kern w:val="0"/>
                <w:sz w:val="24"/>
              </w:rPr>
            </w:pPr>
          </w:p>
        </w:tc>
        <w:tc>
          <w:tcPr>
            <w:tcW w:w="1135" w:type="dxa"/>
            <w:vAlign w:val="center"/>
          </w:tcPr>
          <w:p w14:paraId="3D163AF4">
            <w:pPr>
              <w:widowControl/>
              <w:jc w:val="center"/>
              <w:rPr>
                <w:rFonts w:ascii="宋体" w:hAnsi="宋体" w:cs="宋体"/>
                <w:color w:val="000000"/>
                <w:kern w:val="0"/>
                <w:sz w:val="24"/>
              </w:rPr>
            </w:pPr>
          </w:p>
        </w:tc>
      </w:tr>
      <w:tr w14:paraId="201F0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vAlign w:val="center"/>
          </w:tcPr>
          <w:p w14:paraId="34DF50DD">
            <w:pPr>
              <w:widowControl/>
              <w:rPr>
                <w:rFonts w:ascii="宋体" w:hAnsi="宋体" w:cs="宋体"/>
                <w:color w:val="000000"/>
                <w:kern w:val="0"/>
                <w:sz w:val="24"/>
              </w:rPr>
            </w:pPr>
          </w:p>
        </w:tc>
        <w:tc>
          <w:tcPr>
            <w:tcW w:w="1701" w:type="dxa"/>
          </w:tcPr>
          <w:p w14:paraId="3C4454ED">
            <w:pPr>
              <w:widowControl/>
              <w:jc w:val="center"/>
              <w:rPr>
                <w:rFonts w:ascii="宋体" w:hAnsi="宋体" w:cs="宋体"/>
                <w:b/>
                <w:sz w:val="24"/>
              </w:rPr>
            </w:pPr>
          </w:p>
        </w:tc>
        <w:tc>
          <w:tcPr>
            <w:tcW w:w="1134" w:type="dxa"/>
            <w:vAlign w:val="center"/>
          </w:tcPr>
          <w:p w14:paraId="4389ACA2">
            <w:pPr>
              <w:widowControl/>
              <w:jc w:val="center"/>
              <w:rPr>
                <w:rFonts w:ascii="宋体" w:hAnsi="宋体" w:cs="宋体"/>
                <w:b/>
                <w:sz w:val="24"/>
              </w:rPr>
            </w:pPr>
          </w:p>
        </w:tc>
        <w:tc>
          <w:tcPr>
            <w:tcW w:w="1984" w:type="dxa"/>
            <w:vAlign w:val="center"/>
          </w:tcPr>
          <w:p w14:paraId="05400F87">
            <w:pPr>
              <w:widowControl/>
              <w:jc w:val="center"/>
              <w:rPr>
                <w:rFonts w:ascii="宋体" w:hAnsi="宋体" w:cs="宋体"/>
                <w:color w:val="000000"/>
                <w:kern w:val="0"/>
                <w:sz w:val="24"/>
              </w:rPr>
            </w:pPr>
          </w:p>
        </w:tc>
        <w:tc>
          <w:tcPr>
            <w:tcW w:w="2269" w:type="dxa"/>
          </w:tcPr>
          <w:p w14:paraId="1EDEC698">
            <w:pPr>
              <w:widowControl/>
              <w:jc w:val="center"/>
              <w:rPr>
                <w:rFonts w:ascii="宋体" w:hAnsi="宋体" w:cs="宋体"/>
                <w:color w:val="000000"/>
                <w:kern w:val="0"/>
                <w:sz w:val="24"/>
              </w:rPr>
            </w:pPr>
          </w:p>
        </w:tc>
        <w:tc>
          <w:tcPr>
            <w:tcW w:w="1135" w:type="dxa"/>
            <w:vAlign w:val="center"/>
          </w:tcPr>
          <w:p w14:paraId="0630D22C">
            <w:pPr>
              <w:widowControl/>
              <w:jc w:val="center"/>
              <w:rPr>
                <w:rFonts w:ascii="宋体" w:hAnsi="宋体" w:cs="宋体"/>
                <w:color w:val="000000"/>
                <w:kern w:val="0"/>
                <w:sz w:val="24"/>
              </w:rPr>
            </w:pPr>
          </w:p>
        </w:tc>
      </w:tr>
      <w:tr w14:paraId="24D3A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vAlign w:val="center"/>
          </w:tcPr>
          <w:p w14:paraId="5FE00E4C">
            <w:pPr>
              <w:widowControl/>
              <w:rPr>
                <w:rFonts w:ascii="宋体" w:hAnsi="宋体" w:cs="宋体"/>
                <w:color w:val="000000"/>
                <w:kern w:val="0"/>
                <w:sz w:val="24"/>
              </w:rPr>
            </w:pPr>
          </w:p>
        </w:tc>
        <w:tc>
          <w:tcPr>
            <w:tcW w:w="1701" w:type="dxa"/>
          </w:tcPr>
          <w:p w14:paraId="51F734CB">
            <w:pPr>
              <w:widowControl/>
              <w:jc w:val="center"/>
              <w:rPr>
                <w:rFonts w:ascii="宋体" w:hAnsi="宋体" w:cs="宋体"/>
                <w:color w:val="000000"/>
                <w:kern w:val="0"/>
                <w:sz w:val="24"/>
              </w:rPr>
            </w:pPr>
          </w:p>
        </w:tc>
        <w:tc>
          <w:tcPr>
            <w:tcW w:w="1134" w:type="dxa"/>
            <w:vAlign w:val="center"/>
          </w:tcPr>
          <w:p w14:paraId="3CF2361A">
            <w:pPr>
              <w:widowControl/>
              <w:jc w:val="center"/>
              <w:rPr>
                <w:rFonts w:ascii="宋体" w:hAnsi="宋体" w:cs="宋体"/>
                <w:color w:val="000000"/>
                <w:kern w:val="0"/>
                <w:sz w:val="24"/>
              </w:rPr>
            </w:pPr>
          </w:p>
        </w:tc>
        <w:tc>
          <w:tcPr>
            <w:tcW w:w="1984" w:type="dxa"/>
            <w:vAlign w:val="center"/>
          </w:tcPr>
          <w:p w14:paraId="6F2E0AE3">
            <w:pPr>
              <w:widowControl/>
              <w:jc w:val="center"/>
              <w:rPr>
                <w:rFonts w:ascii="宋体" w:hAnsi="宋体" w:cs="宋体"/>
                <w:color w:val="000000"/>
                <w:kern w:val="0"/>
                <w:sz w:val="24"/>
              </w:rPr>
            </w:pPr>
          </w:p>
        </w:tc>
        <w:tc>
          <w:tcPr>
            <w:tcW w:w="2269" w:type="dxa"/>
          </w:tcPr>
          <w:p w14:paraId="009E2A4B">
            <w:pPr>
              <w:widowControl/>
              <w:jc w:val="center"/>
              <w:rPr>
                <w:rFonts w:ascii="宋体" w:hAnsi="宋体" w:cs="宋体"/>
                <w:color w:val="000000"/>
                <w:kern w:val="0"/>
                <w:sz w:val="24"/>
              </w:rPr>
            </w:pPr>
          </w:p>
        </w:tc>
        <w:tc>
          <w:tcPr>
            <w:tcW w:w="1135" w:type="dxa"/>
            <w:vAlign w:val="center"/>
          </w:tcPr>
          <w:p w14:paraId="2C8E916A">
            <w:pPr>
              <w:widowControl/>
              <w:jc w:val="center"/>
              <w:rPr>
                <w:rFonts w:ascii="宋体" w:hAnsi="宋体" w:cs="宋体"/>
                <w:color w:val="000000"/>
                <w:kern w:val="0"/>
                <w:sz w:val="24"/>
              </w:rPr>
            </w:pPr>
          </w:p>
        </w:tc>
      </w:tr>
      <w:tr w14:paraId="6DB39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vAlign w:val="center"/>
          </w:tcPr>
          <w:p w14:paraId="0C4D399A">
            <w:pPr>
              <w:widowControl/>
              <w:rPr>
                <w:rFonts w:ascii="宋体" w:hAnsi="宋体" w:cs="宋体"/>
                <w:color w:val="000000"/>
                <w:kern w:val="0"/>
                <w:sz w:val="24"/>
              </w:rPr>
            </w:pPr>
          </w:p>
        </w:tc>
        <w:tc>
          <w:tcPr>
            <w:tcW w:w="1701" w:type="dxa"/>
          </w:tcPr>
          <w:p w14:paraId="057829BE">
            <w:pPr>
              <w:widowControl/>
              <w:jc w:val="center"/>
              <w:rPr>
                <w:rFonts w:ascii="宋体" w:hAnsi="宋体" w:cs="宋体"/>
                <w:color w:val="000000"/>
                <w:kern w:val="0"/>
                <w:sz w:val="24"/>
              </w:rPr>
            </w:pPr>
          </w:p>
        </w:tc>
        <w:tc>
          <w:tcPr>
            <w:tcW w:w="1134" w:type="dxa"/>
            <w:vAlign w:val="center"/>
          </w:tcPr>
          <w:p w14:paraId="7BA18BB6">
            <w:pPr>
              <w:widowControl/>
              <w:jc w:val="center"/>
              <w:rPr>
                <w:rFonts w:ascii="宋体" w:hAnsi="宋体" w:cs="宋体"/>
                <w:color w:val="000000"/>
                <w:kern w:val="0"/>
                <w:sz w:val="24"/>
              </w:rPr>
            </w:pPr>
          </w:p>
        </w:tc>
        <w:tc>
          <w:tcPr>
            <w:tcW w:w="1984" w:type="dxa"/>
            <w:vAlign w:val="center"/>
          </w:tcPr>
          <w:p w14:paraId="44C61957">
            <w:pPr>
              <w:widowControl/>
              <w:jc w:val="center"/>
              <w:rPr>
                <w:rFonts w:ascii="宋体" w:hAnsi="宋体" w:cs="宋体"/>
                <w:color w:val="000000"/>
                <w:kern w:val="0"/>
                <w:sz w:val="24"/>
              </w:rPr>
            </w:pPr>
          </w:p>
        </w:tc>
        <w:tc>
          <w:tcPr>
            <w:tcW w:w="2269" w:type="dxa"/>
          </w:tcPr>
          <w:p w14:paraId="7B6DC717">
            <w:pPr>
              <w:widowControl/>
              <w:jc w:val="center"/>
              <w:rPr>
                <w:rFonts w:ascii="宋体" w:hAnsi="宋体" w:cs="宋体"/>
                <w:color w:val="000000"/>
                <w:kern w:val="0"/>
                <w:sz w:val="24"/>
              </w:rPr>
            </w:pPr>
          </w:p>
        </w:tc>
        <w:tc>
          <w:tcPr>
            <w:tcW w:w="1135" w:type="dxa"/>
            <w:vAlign w:val="center"/>
          </w:tcPr>
          <w:p w14:paraId="41036E92">
            <w:pPr>
              <w:widowControl/>
              <w:jc w:val="center"/>
              <w:rPr>
                <w:rFonts w:ascii="宋体" w:hAnsi="宋体" w:cs="宋体"/>
                <w:color w:val="000000"/>
                <w:kern w:val="0"/>
                <w:sz w:val="24"/>
              </w:rPr>
            </w:pPr>
          </w:p>
        </w:tc>
      </w:tr>
      <w:tr w14:paraId="47919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vAlign w:val="center"/>
          </w:tcPr>
          <w:p w14:paraId="12C86A6B">
            <w:pPr>
              <w:widowControl/>
              <w:rPr>
                <w:rFonts w:ascii="宋体" w:hAnsi="宋体" w:cs="宋体"/>
                <w:color w:val="000000"/>
                <w:kern w:val="0"/>
                <w:sz w:val="24"/>
              </w:rPr>
            </w:pPr>
          </w:p>
        </w:tc>
        <w:tc>
          <w:tcPr>
            <w:tcW w:w="1701" w:type="dxa"/>
          </w:tcPr>
          <w:p w14:paraId="609691F4">
            <w:pPr>
              <w:widowControl/>
              <w:jc w:val="center"/>
              <w:rPr>
                <w:rFonts w:ascii="宋体" w:hAnsi="宋体" w:cs="宋体"/>
                <w:color w:val="000000"/>
                <w:kern w:val="0"/>
                <w:sz w:val="24"/>
              </w:rPr>
            </w:pPr>
          </w:p>
        </w:tc>
        <w:tc>
          <w:tcPr>
            <w:tcW w:w="1134" w:type="dxa"/>
            <w:vAlign w:val="center"/>
          </w:tcPr>
          <w:p w14:paraId="58D9E788">
            <w:pPr>
              <w:widowControl/>
              <w:jc w:val="center"/>
              <w:rPr>
                <w:rFonts w:ascii="宋体" w:hAnsi="宋体" w:cs="宋体"/>
                <w:color w:val="000000"/>
                <w:kern w:val="0"/>
                <w:sz w:val="24"/>
              </w:rPr>
            </w:pPr>
          </w:p>
        </w:tc>
        <w:tc>
          <w:tcPr>
            <w:tcW w:w="1984" w:type="dxa"/>
            <w:vAlign w:val="center"/>
          </w:tcPr>
          <w:p w14:paraId="0E3EC8C1">
            <w:pPr>
              <w:widowControl/>
              <w:jc w:val="center"/>
              <w:rPr>
                <w:rFonts w:ascii="宋体" w:hAnsi="宋体" w:cs="宋体"/>
                <w:color w:val="000000"/>
                <w:kern w:val="0"/>
                <w:sz w:val="24"/>
              </w:rPr>
            </w:pPr>
          </w:p>
        </w:tc>
        <w:tc>
          <w:tcPr>
            <w:tcW w:w="2269" w:type="dxa"/>
          </w:tcPr>
          <w:p w14:paraId="6FFFAD56">
            <w:pPr>
              <w:widowControl/>
              <w:jc w:val="center"/>
              <w:rPr>
                <w:rFonts w:ascii="宋体" w:hAnsi="宋体" w:cs="宋体"/>
                <w:color w:val="000000"/>
                <w:kern w:val="0"/>
                <w:sz w:val="24"/>
              </w:rPr>
            </w:pPr>
          </w:p>
        </w:tc>
        <w:tc>
          <w:tcPr>
            <w:tcW w:w="1135" w:type="dxa"/>
            <w:vAlign w:val="center"/>
          </w:tcPr>
          <w:p w14:paraId="451B5C5B">
            <w:pPr>
              <w:widowControl/>
              <w:jc w:val="center"/>
              <w:rPr>
                <w:rFonts w:ascii="宋体" w:hAnsi="宋体" w:cs="宋体"/>
                <w:color w:val="000000"/>
                <w:kern w:val="0"/>
                <w:sz w:val="24"/>
              </w:rPr>
            </w:pPr>
          </w:p>
        </w:tc>
      </w:tr>
      <w:tr w14:paraId="0A57F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vAlign w:val="center"/>
          </w:tcPr>
          <w:p w14:paraId="4A091C08">
            <w:pPr>
              <w:widowControl/>
              <w:rPr>
                <w:rFonts w:ascii="宋体" w:hAnsi="宋体" w:cs="宋体"/>
                <w:color w:val="000000"/>
                <w:kern w:val="0"/>
                <w:sz w:val="24"/>
              </w:rPr>
            </w:pPr>
          </w:p>
        </w:tc>
        <w:tc>
          <w:tcPr>
            <w:tcW w:w="1701" w:type="dxa"/>
          </w:tcPr>
          <w:p w14:paraId="5E2B0963">
            <w:pPr>
              <w:widowControl/>
              <w:jc w:val="center"/>
              <w:rPr>
                <w:rFonts w:ascii="宋体" w:hAnsi="宋体" w:cs="宋体"/>
                <w:color w:val="000000"/>
                <w:kern w:val="0"/>
                <w:sz w:val="24"/>
              </w:rPr>
            </w:pPr>
          </w:p>
        </w:tc>
        <w:tc>
          <w:tcPr>
            <w:tcW w:w="1134" w:type="dxa"/>
            <w:vAlign w:val="center"/>
          </w:tcPr>
          <w:p w14:paraId="0B39D6C8">
            <w:pPr>
              <w:widowControl/>
              <w:jc w:val="center"/>
              <w:rPr>
                <w:rFonts w:ascii="宋体" w:hAnsi="宋体" w:cs="宋体"/>
                <w:color w:val="000000"/>
                <w:kern w:val="0"/>
                <w:sz w:val="24"/>
              </w:rPr>
            </w:pPr>
          </w:p>
        </w:tc>
        <w:tc>
          <w:tcPr>
            <w:tcW w:w="1984" w:type="dxa"/>
            <w:vAlign w:val="center"/>
          </w:tcPr>
          <w:p w14:paraId="1CB0D5B7">
            <w:pPr>
              <w:widowControl/>
              <w:jc w:val="center"/>
              <w:rPr>
                <w:rFonts w:ascii="宋体" w:hAnsi="宋体" w:cs="宋体"/>
                <w:color w:val="000000"/>
                <w:kern w:val="0"/>
                <w:sz w:val="24"/>
              </w:rPr>
            </w:pPr>
          </w:p>
        </w:tc>
        <w:tc>
          <w:tcPr>
            <w:tcW w:w="2269" w:type="dxa"/>
          </w:tcPr>
          <w:p w14:paraId="5836AB55">
            <w:pPr>
              <w:widowControl/>
              <w:jc w:val="center"/>
              <w:rPr>
                <w:rFonts w:ascii="宋体" w:hAnsi="宋体" w:cs="宋体"/>
                <w:color w:val="000000"/>
                <w:kern w:val="0"/>
                <w:sz w:val="24"/>
              </w:rPr>
            </w:pPr>
          </w:p>
        </w:tc>
        <w:tc>
          <w:tcPr>
            <w:tcW w:w="1135" w:type="dxa"/>
            <w:vAlign w:val="center"/>
          </w:tcPr>
          <w:p w14:paraId="47CF549C">
            <w:pPr>
              <w:widowControl/>
              <w:jc w:val="center"/>
              <w:rPr>
                <w:rFonts w:ascii="宋体" w:hAnsi="宋体" w:cs="宋体"/>
                <w:color w:val="000000"/>
                <w:kern w:val="0"/>
                <w:sz w:val="24"/>
              </w:rPr>
            </w:pPr>
          </w:p>
        </w:tc>
      </w:tr>
      <w:tr w14:paraId="33CC5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Align w:val="center"/>
          </w:tcPr>
          <w:p w14:paraId="3A44AFCD">
            <w:pPr>
              <w:widowControl/>
              <w:rPr>
                <w:rFonts w:ascii="宋体" w:hAnsi="宋体" w:cs="宋体"/>
                <w:color w:val="000000"/>
                <w:kern w:val="0"/>
                <w:sz w:val="24"/>
              </w:rPr>
            </w:pPr>
          </w:p>
        </w:tc>
        <w:tc>
          <w:tcPr>
            <w:tcW w:w="1701" w:type="dxa"/>
          </w:tcPr>
          <w:p w14:paraId="73DA4D86">
            <w:pPr>
              <w:widowControl/>
              <w:jc w:val="center"/>
              <w:rPr>
                <w:rFonts w:ascii="宋体" w:hAnsi="宋体" w:cs="宋体"/>
                <w:color w:val="000000"/>
                <w:kern w:val="0"/>
                <w:sz w:val="24"/>
              </w:rPr>
            </w:pPr>
          </w:p>
        </w:tc>
        <w:tc>
          <w:tcPr>
            <w:tcW w:w="1134" w:type="dxa"/>
            <w:vAlign w:val="center"/>
          </w:tcPr>
          <w:p w14:paraId="6D02DE0C">
            <w:pPr>
              <w:widowControl/>
              <w:jc w:val="center"/>
              <w:rPr>
                <w:rFonts w:ascii="宋体" w:hAnsi="宋体" w:cs="宋体"/>
                <w:color w:val="000000"/>
                <w:kern w:val="0"/>
                <w:sz w:val="24"/>
              </w:rPr>
            </w:pPr>
          </w:p>
        </w:tc>
        <w:tc>
          <w:tcPr>
            <w:tcW w:w="1984" w:type="dxa"/>
            <w:vAlign w:val="center"/>
          </w:tcPr>
          <w:p w14:paraId="771C4957">
            <w:pPr>
              <w:widowControl/>
              <w:jc w:val="center"/>
              <w:rPr>
                <w:rFonts w:ascii="宋体" w:hAnsi="宋体" w:cs="宋体"/>
                <w:color w:val="000000"/>
                <w:kern w:val="0"/>
                <w:sz w:val="24"/>
              </w:rPr>
            </w:pPr>
          </w:p>
        </w:tc>
        <w:tc>
          <w:tcPr>
            <w:tcW w:w="2269" w:type="dxa"/>
          </w:tcPr>
          <w:p w14:paraId="61195DFD">
            <w:pPr>
              <w:widowControl/>
              <w:jc w:val="center"/>
              <w:rPr>
                <w:rFonts w:ascii="宋体" w:hAnsi="宋体" w:cs="宋体"/>
                <w:color w:val="000000"/>
                <w:kern w:val="0"/>
                <w:sz w:val="24"/>
              </w:rPr>
            </w:pPr>
          </w:p>
        </w:tc>
        <w:tc>
          <w:tcPr>
            <w:tcW w:w="1135" w:type="dxa"/>
            <w:vAlign w:val="center"/>
          </w:tcPr>
          <w:p w14:paraId="4956653C">
            <w:pPr>
              <w:widowControl/>
              <w:jc w:val="center"/>
              <w:rPr>
                <w:rFonts w:ascii="宋体" w:hAnsi="宋体" w:cs="宋体"/>
                <w:color w:val="000000"/>
                <w:kern w:val="0"/>
                <w:sz w:val="24"/>
              </w:rPr>
            </w:pPr>
          </w:p>
        </w:tc>
      </w:tr>
      <w:tr w14:paraId="28E9E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Align w:val="center"/>
          </w:tcPr>
          <w:p w14:paraId="1E5032FD">
            <w:pPr>
              <w:widowControl/>
              <w:rPr>
                <w:rFonts w:ascii="宋体" w:hAnsi="宋体" w:cs="宋体"/>
                <w:color w:val="000000"/>
                <w:kern w:val="0"/>
                <w:sz w:val="24"/>
              </w:rPr>
            </w:pPr>
          </w:p>
        </w:tc>
        <w:tc>
          <w:tcPr>
            <w:tcW w:w="1701" w:type="dxa"/>
          </w:tcPr>
          <w:p w14:paraId="1A1866BB">
            <w:pPr>
              <w:widowControl/>
              <w:jc w:val="center"/>
              <w:rPr>
                <w:rFonts w:ascii="宋体" w:hAnsi="宋体" w:cs="宋体"/>
                <w:color w:val="000000"/>
                <w:kern w:val="0"/>
                <w:sz w:val="24"/>
              </w:rPr>
            </w:pPr>
          </w:p>
        </w:tc>
        <w:tc>
          <w:tcPr>
            <w:tcW w:w="1134" w:type="dxa"/>
            <w:vAlign w:val="center"/>
          </w:tcPr>
          <w:p w14:paraId="01993ABE">
            <w:pPr>
              <w:widowControl/>
              <w:jc w:val="center"/>
              <w:rPr>
                <w:rFonts w:ascii="宋体" w:hAnsi="宋体" w:cs="宋体"/>
                <w:color w:val="000000"/>
                <w:kern w:val="0"/>
                <w:sz w:val="24"/>
              </w:rPr>
            </w:pPr>
          </w:p>
        </w:tc>
        <w:tc>
          <w:tcPr>
            <w:tcW w:w="1984" w:type="dxa"/>
            <w:vAlign w:val="center"/>
          </w:tcPr>
          <w:p w14:paraId="44BDA614">
            <w:pPr>
              <w:widowControl/>
              <w:jc w:val="center"/>
              <w:rPr>
                <w:rFonts w:ascii="宋体" w:hAnsi="宋体" w:cs="宋体"/>
                <w:color w:val="000000"/>
                <w:kern w:val="0"/>
                <w:sz w:val="24"/>
              </w:rPr>
            </w:pPr>
          </w:p>
        </w:tc>
        <w:tc>
          <w:tcPr>
            <w:tcW w:w="2269" w:type="dxa"/>
          </w:tcPr>
          <w:p w14:paraId="5095003A">
            <w:pPr>
              <w:widowControl/>
              <w:jc w:val="center"/>
              <w:rPr>
                <w:rFonts w:ascii="宋体" w:hAnsi="宋体" w:cs="宋体"/>
                <w:color w:val="000000"/>
                <w:kern w:val="0"/>
                <w:sz w:val="24"/>
              </w:rPr>
            </w:pPr>
          </w:p>
        </w:tc>
        <w:tc>
          <w:tcPr>
            <w:tcW w:w="1135" w:type="dxa"/>
            <w:vAlign w:val="center"/>
          </w:tcPr>
          <w:p w14:paraId="5A8666B2">
            <w:pPr>
              <w:widowControl/>
              <w:jc w:val="center"/>
              <w:rPr>
                <w:rFonts w:ascii="宋体" w:hAnsi="宋体" w:cs="宋体"/>
                <w:color w:val="000000"/>
                <w:kern w:val="0"/>
                <w:sz w:val="24"/>
              </w:rPr>
            </w:pPr>
          </w:p>
        </w:tc>
      </w:tr>
      <w:tr w14:paraId="2E223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Align w:val="center"/>
          </w:tcPr>
          <w:p w14:paraId="11D6C69A">
            <w:pPr>
              <w:widowControl/>
              <w:rPr>
                <w:rFonts w:ascii="宋体" w:hAnsi="宋体" w:cs="宋体"/>
                <w:color w:val="000000"/>
                <w:kern w:val="0"/>
                <w:sz w:val="24"/>
              </w:rPr>
            </w:pPr>
          </w:p>
        </w:tc>
        <w:tc>
          <w:tcPr>
            <w:tcW w:w="1701" w:type="dxa"/>
          </w:tcPr>
          <w:p w14:paraId="2FBD2BA3">
            <w:pPr>
              <w:widowControl/>
              <w:jc w:val="center"/>
              <w:rPr>
                <w:rFonts w:ascii="宋体" w:hAnsi="宋体" w:cs="宋体"/>
                <w:color w:val="000000"/>
                <w:kern w:val="0"/>
                <w:sz w:val="24"/>
              </w:rPr>
            </w:pPr>
          </w:p>
        </w:tc>
        <w:tc>
          <w:tcPr>
            <w:tcW w:w="1134" w:type="dxa"/>
            <w:vAlign w:val="center"/>
          </w:tcPr>
          <w:p w14:paraId="69381DBC">
            <w:pPr>
              <w:widowControl/>
              <w:jc w:val="center"/>
              <w:rPr>
                <w:rFonts w:ascii="宋体" w:hAnsi="宋体" w:cs="宋体"/>
                <w:color w:val="000000"/>
                <w:kern w:val="0"/>
                <w:sz w:val="24"/>
              </w:rPr>
            </w:pPr>
          </w:p>
        </w:tc>
        <w:tc>
          <w:tcPr>
            <w:tcW w:w="1984" w:type="dxa"/>
            <w:vAlign w:val="center"/>
          </w:tcPr>
          <w:p w14:paraId="03EF120F">
            <w:pPr>
              <w:widowControl/>
              <w:jc w:val="center"/>
              <w:rPr>
                <w:rFonts w:ascii="宋体" w:hAnsi="宋体" w:cs="宋体"/>
                <w:color w:val="000000"/>
                <w:kern w:val="0"/>
                <w:sz w:val="24"/>
              </w:rPr>
            </w:pPr>
          </w:p>
        </w:tc>
        <w:tc>
          <w:tcPr>
            <w:tcW w:w="2269" w:type="dxa"/>
          </w:tcPr>
          <w:p w14:paraId="6DC854D6">
            <w:pPr>
              <w:widowControl/>
              <w:jc w:val="center"/>
              <w:rPr>
                <w:rFonts w:ascii="宋体" w:hAnsi="宋体" w:cs="宋体"/>
                <w:color w:val="000000"/>
                <w:kern w:val="0"/>
                <w:sz w:val="24"/>
              </w:rPr>
            </w:pPr>
          </w:p>
        </w:tc>
        <w:tc>
          <w:tcPr>
            <w:tcW w:w="1135" w:type="dxa"/>
            <w:vAlign w:val="center"/>
          </w:tcPr>
          <w:p w14:paraId="5147E7F0">
            <w:pPr>
              <w:widowControl/>
              <w:jc w:val="center"/>
              <w:rPr>
                <w:rFonts w:ascii="宋体" w:hAnsi="宋体" w:cs="宋体"/>
                <w:color w:val="000000"/>
                <w:kern w:val="0"/>
                <w:sz w:val="24"/>
              </w:rPr>
            </w:pPr>
          </w:p>
        </w:tc>
      </w:tr>
    </w:tbl>
    <w:p w14:paraId="4992BC7C">
      <w:pPr>
        <w:widowControl/>
        <w:jc w:val="left"/>
        <w:rPr>
          <w:rFonts w:ascii="宋体" w:hAnsi="宋体" w:cs="宋体"/>
          <w:sz w:val="24"/>
        </w:rPr>
      </w:pPr>
      <w:r>
        <w:rPr>
          <w:rFonts w:hint="eastAsia" w:ascii="宋体" w:hAnsi="宋体" w:cs="宋体"/>
          <w:sz w:val="24"/>
        </w:rPr>
        <w:t>注：供应商应将提供产品拆分为相关主要部件分别描述。</w:t>
      </w:r>
    </w:p>
    <w:p w14:paraId="6CBB12D1">
      <w:pPr>
        <w:widowControl/>
        <w:jc w:val="left"/>
        <w:rPr>
          <w:rFonts w:ascii="宋体" w:hAnsi="宋体" w:cs="宋体"/>
          <w:sz w:val="24"/>
        </w:rPr>
      </w:pPr>
    </w:p>
    <w:p w14:paraId="2A210496">
      <w:pPr>
        <w:pStyle w:val="5"/>
        <w:keepNext w:val="0"/>
        <w:tabs>
          <w:tab w:val="left" w:pos="1260"/>
        </w:tabs>
        <w:jc w:val="center"/>
        <w:rPr>
          <w:rFonts w:cs="宋体"/>
          <w:bCs w:val="0"/>
          <w:sz w:val="24"/>
          <w:lang w:eastAsia="zh-CN"/>
        </w:rPr>
      </w:pPr>
      <w:r>
        <w:rPr>
          <w:rFonts w:hint="eastAsia" w:cs="宋体"/>
          <w:sz w:val="24"/>
          <w:lang w:eastAsia="zh-CN"/>
        </w:rPr>
        <w:t>2.货物（服务）说明（按此格式或者供应商自定格式）</w:t>
      </w:r>
    </w:p>
    <w:tbl>
      <w:tblPr>
        <w:tblStyle w:val="47"/>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5930"/>
      </w:tblGrid>
      <w:tr w14:paraId="39E72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3109" w:type="dxa"/>
            <w:vAlign w:val="center"/>
          </w:tcPr>
          <w:p w14:paraId="38583798">
            <w:pPr>
              <w:widowControl/>
              <w:jc w:val="center"/>
              <w:rPr>
                <w:rFonts w:ascii="宋体" w:hAnsi="宋体" w:cs="宋体"/>
                <w:b/>
                <w:bCs/>
                <w:color w:val="000000"/>
                <w:kern w:val="0"/>
                <w:sz w:val="24"/>
              </w:rPr>
            </w:pPr>
            <w:r>
              <w:rPr>
                <w:rFonts w:hint="eastAsia" w:ascii="宋体" w:hAnsi="宋体" w:cs="宋体"/>
                <w:b/>
                <w:bCs/>
                <w:color w:val="000000"/>
                <w:kern w:val="0"/>
                <w:sz w:val="24"/>
              </w:rPr>
              <w:t>货物名称</w:t>
            </w:r>
          </w:p>
        </w:tc>
        <w:tc>
          <w:tcPr>
            <w:tcW w:w="5930" w:type="dxa"/>
            <w:vAlign w:val="center"/>
          </w:tcPr>
          <w:p w14:paraId="345CD91C">
            <w:pPr>
              <w:widowControl/>
              <w:jc w:val="center"/>
              <w:rPr>
                <w:rFonts w:ascii="宋体" w:hAnsi="宋体" w:cs="宋体"/>
                <w:b/>
                <w:bCs/>
                <w:color w:val="000000"/>
                <w:kern w:val="0"/>
                <w:sz w:val="24"/>
              </w:rPr>
            </w:pPr>
          </w:p>
        </w:tc>
      </w:tr>
      <w:tr w14:paraId="2DDEE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trPr>
        <w:tc>
          <w:tcPr>
            <w:tcW w:w="9039" w:type="dxa"/>
            <w:gridSpan w:val="2"/>
            <w:vAlign w:val="center"/>
          </w:tcPr>
          <w:p w14:paraId="31D8822C">
            <w:pPr>
              <w:widowControl/>
              <w:rPr>
                <w:rFonts w:ascii="宋体" w:hAnsi="宋体" w:cs="宋体"/>
                <w:b/>
                <w:bCs/>
                <w:color w:val="000000"/>
                <w:kern w:val="0"/>
                <w:sz w:val="24"/>
              </w:rPr>
            </w:pPr>
            <w:r>
              <w:rPr>
                <w:rFonts w:hint="eastAsia" w:ascii="宋体" w:hAnsi="宋体" w:cs="宋体"/>
                <w:b/>
                <w:bCs/>
                <w:color w:val="000000"/>
                <w:kern w:val="0"/>
                <w:sz w:val="24"/>
              </w:rPr>
              <w:t>供货范围</w:t>
            </w:r>
          </w:p>
        </w:tc>
      </w:tr>
      <w:tr w14:paraId="73E36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trPr>
        <w:tc>
          <w:tcPr>
            <w:tcW w:w="9039" w:type="dxa"/>
            <w:gridSpan w:val="2"/>
            <w:vAlign w:val="center"/>
          </w:tcPr>
          <w:p w14:paraId="751A80DE">
            <w:pPr>
              <w:widowControl/>
              <w:rPr>
                <w:rFonts w:ascii="宋体" w:hAnsi="宋体" w:cs="宋体"/>
                <w:b/>
                <w:bCs/>
                <w:color w:val="000000"/>
                <w:kern w:val="0"/>
                <w:sz w:val="24"/>
              </w:rPr>
            </w:pPr>
            <w:r>
              <w:rPr>
                <w:rFonts w:hint="eastAsia" w:ascii="宋体" w:hAnsi="宋体" w:cs="宋体"/>
                <w:b/>
                <w:bCs/>
                <w:color w:val="000000"/>
                <w:kern w:val="0"/>
                <w:sz w:val="24"/>
              </w:rPr>
              <w:t>工艺、参数等货物（服务）详细说明</w:t>
            </w:r>
          </w:p>
        </w:tc>
      </w:tr>
    </w:tbl>
    <w:p w14:paraId="6CE42E17">
      <w:pPr>
        <w:widowControl/>
        <w:jc w:val="left"/>
        <w:rPr>
          <w:rFonts w:ascii="宋体" w:hAnsi="宋体" w:cs="宋体"/>
          <w:sz w:val="24"/>
        </w:rPr>
      </w:pPr>
    </w:p>
    <w:p w14:paraId="0CD37D2C">
      <w:pPr>
        <w:pStyle w:val="5"/>
        <w:keepNext w:val="0"/>
        <w:tabs>
          <w:tab w:val="left" w:pos="1260"/>
        </w:tabs>
        <w:jc w:val="center"/>
        <w:rPr>
          <w:rFonts w:cs="宋体"/>
          <w:bCs w:val="0"/>
          <w:sz w:val="24"/>
          <w:lang w:eastAsia="zh-CN"/>
        </w:rPr>
      </w:pPr>
      <w:r>
        <w:rPr>
          <w:rFonts w:hint="eastAsia" w:cs="宋体"/>
          <w:sz w:val="24"/>
          <w:lang w:eastAsia="zh-CN"/>
        </w:rPr>
        <w:t>3.供货安装（调试）方案</w:t>
      </w:r>
    </w:p>
    <w:p w14:paraId="52C4C377">
      <w:pPr>
        <w:rPr>
          <w:rFonts w:ascii="宋体" w:hAnsi="宋体" w:cs="宋体"/>
          <w:sz w:val="24"/>
          <w:lang w:bidi="en-US"/>
        </w:rPr>
      </w:pPr>
    </w:p>
    <w:p w14:paraId="6C618A58">
      <w:pPr>
        <w:pStyle w:val="5"/>
        <w:tabs>
          <w:tab w:val="left" w:pos="1260"/>
        </w:tabs>
        <w:jc w:val="center"/>
        <w:rPr>
          <w:rFonts w:cs="宋体"/>
          <w:bCs w:val="0"/>
          <w:sz w:val="24"/>
          <w:lang w:eastAsia="zh-CN"/>
        </w:rPr>
      </w:pPr>
      <w:r>
        <w:rPr>
          <w:rFonts w:hint="eastAsia" w:cs="宋体"/>
          <w:sz w:val="24"/>
          <w:lang w:eastAsia="zh-CN"/>
        </w:rPr>
        <w:t>4.维保、售后服务体系与维保方案</w:t>
      </w:r>
    </w:p>
    <w:p w14:paraId="0C83E114">
      <w:pPr>
        <w:rPr>
          <w:rFonts w:ascii="宋体" w:hAnsi="宋体" w:cs="宋体"/>
          <w:sz w:val="24"/>
          <w:lang w:bidi="en-US"/>
        </w:rPr>
      </w:pPr>
    </w:p>
    <w:p w14:paraId="528B442E">
      <w:pPr>
        <w:pStyle w:val="5"/>
        <w:tabs>
          <w:tab w:val="left" w:pos="1260"/>
        </w:tabs>
        <w:jc w:val="center"/>
        <w:rPr>
          <w:rFonts w:cs="宋体"/>
          <w:bCs w:val="0"/>
          <w:sz w:val="24"/>
          <w:lang w:eastAsia="zh-CN"/>
        </w:rPr>
      </w:pPr>
      <w:r>
        <w:rPr>
          <w:rFonts w:hint="eastAsia" w:cs="宋体"/>
          <w:sz w:val="24"/>
          <w:lang w:eastAsia="zh-CN"/>
        </w:rPr>
        <w:t>5.培训方案</w:t>
      </w:r>
    </w:p>
    <w:p w14:paraId="3EBB3E51">
      <w:pPr>
        <w:rPr>
          <w:rFonts w:ascii="宋体" w:hAnsi="宋体" w:cs="宋体"/>
          <w:sz w:val="24"/>
          <w:lang w:bidi="en-US"/>
        </w:rPr>
      </w:pPr>
    </w:p>
    <w:p w14:paraId="11AA1B24">
      <w:pPr>
        <w:pStyle w:val="5"/>
        <w:tabs>
          <w:tab w:val="left" w:pos="1260"/>
        </w:tabs>
        <w:jc w:val="center"/>
        <w:rPr>
          <w:rFonts w:cs="宋体"/>
          <w:bCs w:val="0"/>
          <w:sz w:val="24"/>
          <w:lang w:eastAsia="zh-CN"/>
        </w:rPr>
      </w:pPr>
      <w:r>
        <w:rPr>
          <w:rFonts w:hint="eastAsia" w:cs="宋体"/>
          <w:sz w:val="24"/>
          <w:lang w:eastAsia="zh-CN"/>
        </w:rPr>
        <w:t>6.提供货物（服务）的技术资料或样本或检测报告等</w:t>
      </w:r>
    </w:p>
    <w:p w14:paraId="3D814763">
      <w:pPr>
        <w:widowControl/>
        <w:jc w:val="left"/>
        <w:rPr>
          <w:rFonts w:ascii="宋体" w:hAnsi="宋体" w:cs="宋体"/>
        </w:rPr>
      </w:pPr>
    </w:p>
    <w:p w14:paraId="25053A20">
      <w:pPr>
        <w:widowControl/>
        <w:jc w:val="left"/>
        <w:rPr>
          <w:rFonts w:ascii="宋体" w:hAnsi="宋体" w:cs="宋体"/>
        </w:rPr>
      </w:pPr>
    </w:p>
    <w:p w14:paraId="154874C4">
      <w:pPr>
        <w:widowControl/>
        <w:jc w:val="left"/>
        <w:rPr>
          <w:rFonts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8624662">
      <w:pPr>
        <w:spacing w:line="360" w:lineRule="auto"/>
        <w:jc w:val="center"/>
        <w:outlineLvl w:val="2"/>
        <w:rPr>
          <w:rFonts w:ascii="宋体" w:hAnsi="宋体" w:cs="宋体"/>
          <w:b/>
          <w:bCs/>
          <w:kern w:val="0"/>
          <w:sz w:val="24"/>
          <w:lang w:bidi="en-US"/>
        </w:rPr>
      </w:pPr>
      <w:bookmarkStart w:id="776" w:name="_Hlk11531103"/>
      <w:r>
        <w:rPr>
          <w:rFonts w:hint="eastAsia" w:ascii="宋体" w:hAnsi="宋体" w:cs="宋体"/>
          <w:b/>
          <w:bCs/>
          <w:kern w:val="0"/>
          <w:sz w:val="24"/>
          <w:lang w:bidi="en-US"/>
        </w:rPr>
        <w:t>（四）用于评审的业绩证明材料</w:t>
      </w:r>
    </w:p>
    <w:p w14:paraId="4836064B">
      <w:pPr>
        <w:spacing w:line="360" w:lineRule="auto"/>
        <w:jc w:val="center"/>
        <w:rPr>
          <w:rFonts w:ascii="宋体" w:hAnsi="宋体" w:cs="宋体"/>
          <w:b/>
          <w:bCs/>
          <w:color w:val="000000"/>
          <w:sz w:val="24"/>
        </w:rPr>
      </w:pPr>
      <w:r>
        <w:rPr>
          <w:rFonts w:hint="eastAsia" w:ascii="宋体" w:hAnsi="宋体" w:cs="宋体"/>
          <w:b/>
          <w:bCs/>
          <w:color w:val="000000"/>
          <w:sz w:val="24"/>
        </w:rPr>
        <w:t>1.业绩承诺函</w:t>
      </w:r>
    </w:p>
    <w:p w14:paraId="6972F9A4">
      <w:pPr>
        <w:pStyle w:val="26"/>
        <w:spacing w:line="360" w:lineRule="auto"/>
        <w:rPr>
          <w:rFonts w:hAnsi="宋体" w:cs="宋体"/>
          <w:b/>
          <w:color w:val="000000"/>
          <w:sz w:val="21"/>
          <w:u w:val="single"/>
        </w:rPr>
      </w:pPr>
      <w:r>
        <w:rPr>
          <w:rFonts w:hint="eastAsia" w:hAnsi="宋体" w:cs="宋体"/>
          <w:color w:val="000000"/>
          <w:sz w:val="21"/>
        </w:rPr>
        <w:t>致：</w:t>
      </w:r>
      <w:r>
        <w:rPr>
          <w:rFonts w:hint="eastAsia" w:hAnsi="宋体" w:cs="宋体"/>
          <w:color w:val="000000"/>
          <w:sz w:val="21"/>
          <w:u w:val="single"/>
        </w:rPr>
        <w:t>【采购人名称】</w:t>
      </w:r>
    </w:p>
    <w:p w14:paraId="14C524C1">
      <w:pPr>
        <w:spacing w:line="360" w:lineRule="auto"/>
        <w:ind w:firstLine="435"/>
        <w:rPr>
          <w:rFonts w:ascii="宋体" w:hAnsi="宋体" w:cs="宋体"/>
          <w:color w:val="000000"/>
        </w:rPr>
      </w:pPr>
      <w:r>
        <w:rPr>
          <w:rFonts w:hint="eastAsia" w:ascii="宋体" w:hAnsi="宋体" w:cs="宋体"/>
          <w:color w:val="000000"/>
          <w:szCs w:val="21"/>
        </w:rPr>
        <w:t>我方承诺：响应文件中所提供的业绩均真实有效，若有质疑，我方承诺会将2个工作日内可就以下业绩信息提供(合同、对应的发票、验收报告或用户评价意见)原件供贵单位核对。若被发现存在任何虚假、隐瞒情况，我公司承担由此产生的一切后果。同时我方承诺贵方可就我方业绩进行公布。</w:t>
      </w:r>
    </w:p>
    <w:p w14:paraId="3146540C">
      <w:pPr>
        <w:spacing w:line="360" w:lineRule="auto"/>
        <w:ind w:firstLine="3700" w:firstLineChars="1762"/>
        <w:rPr>
          <w:rFonts w:ascii="宋体" w:hAnsi="宋体" w:cs="宋体"/>
          <w:color w:val="000000"/>
          <w:u w:val="single"/>
        </w:rPr>
      </w:pPr>
      <w:r>
        <w:rPr>
          <w:rFonts w:hint="eastAsia" w:ascii="宋体" w:hAnsi="宋体" w:cs="宋体"/>
          <w:color w:val="000000"/>
        </w:rPr>
        <w:t>供应商：</w:t>
      </w:r>
      <w:r>
        <w:rPr>
          <w:rFonts w:hint="eastAsia" w:ascii="宋体" w:hAnsi="宋体" w:cs="宋体"/>
          <w:color w:val="000000"/>
          <w:u w:val="single"/>
        </w:rPr>
        <w:t xml:space="preserve">              </w:t>
      </w:r>
      <w:r>
        <w:rPr>
          <w:rFonts w:hint="eastAsia" w:ascii="宋体" w:hAnsi="宋体" w:cs="宋体"/>
          <w:color w:val="000000"/>
        </w:rPr>
        <w:t>（盖单位章）</w:t>
      </w:r>
    </w:p>
    <w:p w14:paraId="3AA758C3">
      <w:pPr>
        <w:tabs>
          <w:tab w:val="left" w:pos="630"/>
        </w:tabs>
        <w:spacing w:line="360" w:lineRule="auto"/>
        <w:ind w:firstLine="3700" w:firstLineChars="1762"/>
        <w:rPr>
          <w:rFonts w:ascii="宋体" w:hAnsi="宋体" w:cs="宋体"/>
          <w:color w:val="000000"/>
        </w:rPr>
      </w:pPr>
      <w:r>
        <w:rPr>
          <w:rFonts w:hint="eastAsia" w:ascii="宋体" w:hAnsi="宋体" w:cs="宋体"/>
          <w:color w:val="000000"/>
        </w:rPr>
        <w:t>日  期：</w:t>
      </w:r>
      <w:r>
        <w:rPr>
          <w:rFonts w:hint="eastAsia" w:ascii="宋体" w:hAnsi="宋体" w:cs="宋体"/>
          <w:color w:val="000000"/>
          <w:u w:val="single"/>
        </w:rPr>
        <w:t xml:space="preserve">                     </w:t>
      </w:r>
    </w:p>
    <w:p w14:paraId="47B9A67F">
      <w:pPr>
        <w:jc w:val="center"/>
        <w:rPr>
          <w:rFonts w:ascii="宋体" w:hAnsi="宋体" w:cs="宋体"/>
          <w:color w:val="000000"/>
          <w:sz w:val="28"/>
        </w:rPr>
      </w:pPr>
    </w:p>
    <w:p w14:paraId="45DBAB0E">
      <w:pPr>
        <w:jc w:val="center"/>
        <w:rPr>
          <w:rFonts w:ascii="宋体" w:hAnsi="宋体" w:cs="宋体"/>
          <w:color w:val="000000"/>
          <w:sz w:val="28"/>
        </w:rPr>
      </w:pPr>
      <w:r>
        <w:rPr>
          <w:rFonts w:hint="eastAsia" w:ascii="宋体" w:hAnsi="宋体" w:cs="宋体"/>
          <w:b/>
          <w:bCs/>
          <w:color w:val="000000"/>
          <w:sz w:val="24"/>
        </w:rPr>
        <w:t>2.业绩汇总表</w:t>
      </w:r>
    </w:p>
    <w:tbl>
      <w:tblPr>
        <w:tblStyle w:val="47"/>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66"/>
        <w:gridCol w:w="1845"/>
        <w:gridCol w:w="1247"/>
        <w:gridCol w:w="1865"/>
        <w:gridCol w:w="1535"/>
        <w:gridCol w:w="926"/>
      </w:tblGrid>
      <w:tr w14:paraId="4167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52B4A88A">
            <w:pPr>
              <w:jc w:val="center"/>
              <w:rPr>
                <w:rFonts w:ascii="宋体" w:hAnsi="宋体" w:cs="宋体"/>
                <w:b/>
              </w:rPr>
            </w:pPr>
            <w:r>
              <w:rPr>
                <w:rFonts w:hint="eastAsia" w:ascii="宋体" w:hAnsi="宋体" w:cs="宋体"/>
                <w:b/>
              </w:rPr>
              <w:t>序号</w:t>
            </w:r>
          </w:p>
        </w:tc>
        <w:tc>
          <w:tcPr>
            <w:tcW w:w="757" w:type="pct"/>
            <w:vAlign w:val="center"/>
          </w:tcPr>
          <w:p w14:paraId="0D78E86D">
            <w:pPr>
              <w:jc w:val="center"/>
              <w:rPr>
                <w:rFonts w:ascii="宋体" w:hAnsi="宋体" w:cs="宋体"/>
                <w:b/>
              </w:rPr>
            </w:pPr>
            <w:r>
              <w:rPr>
                <w:rFonts w:hint="eastAsia" w:ascii="宋体" w:hAnsi="宋体" w:cs="宋体"/>
                <w:b/>
              </w:rPr>
              <w:t>项目名称</w:t>
            </w:r>
          </w:p>
        </w:tc>
        <w:tc>
          <w:tcPr>
            <w:tcW w:w="953" w:type="pct"/>
            <w:vAlign w:val="center"/>
          </w:tcPr>
          <w:p w14:paraId="1CF49040">
            <w:pPr>
              <w:widowControl/>
              <w:jc w:val="center"/>
              <w:rPr>
                <w:rFonts w:ascii="宋体" w:hAnsi="宋体" w:cs="宋体"/>
                <w:b/>
              </w:rPr>
            </w:pPr>
            <w:r>
              <w:rPr>
                <w:rFonts w:hint="eastAsia" w:ascii="宋体" w:hAnsi="宋体" w:cs="宋体"/>
                <w:b/>
              </w:rPr>
              <w:t>合同主要内容</w:t>
            </w:r>
          </w:p>
        </w:tc>
        <w:tc>
          <w:tcPr>
            <w:tcW w:w="644" w:type="pct"/>
            <w:vAlign w:val="center"/>
          </w:tcPr>
          <w:p w14:paraId="43996EBF">
            <w:pPr>
              <w:jc w:val="center"/>
              <w:rPr>
                <w:rFonts w:ascii="宋体" w:hAnsi="宋体" w:cs="宋体"/>
                <w:b/>
              </w:rPr>
            </w:pPr>
            <w:r>
              <w:rPr>
                <w:rFonts w:hint="eastAsia" w:ascii="宋体" w:hAnsi="宋体" w:cs="宋体"/>
                <w:b/>
              </w:rPr>
              <w:t>签约合同价金额</w:t>
            </w:r>
          </w:p>
        </w:tc>
        <w:tc>
          <w:tcPr>
            <w:tcW w:w="963" w:type="pct"/>
            <w:vAlign w:val="center"/>
          </w:tcPr>
          <w:p w14:paraId="31D82B48">
            <w:pPr>
              <w:jc w:val="center"/>
              <w:rPr>
                <w:rFonts w:ascii="宋体" w:hAnsi="宋体" w:cs="宋体"/>
                <w:b/>
              </w:rPr>
            </w:pPr>
            <w:r>
              <w:rPr>
                <w:rFonts w:hint="eastAsia" w:ascii="宋体" w:hAnsi="宋体" w:cs="宋体"/>
                <w:b/>
              </w:rPr>
              <w:t>业主单位</w:t>
            </w:r>
          </w:p>
          <w:p w14:paraId="6C674330">
            <w:pPr>
              <w:jc w:val="center"/>
              <w:rPr>
                <w:rFonts w:ascii="宋体" w:hAnsi="宋体" w:cs="宋体"/>
                <w:b/>
              </w:rPr>
            </w:pPr>
            <w:r>
              <w:rPr>
                <w:rFonts w:hint="eastAsia" w:ascii="宋体" w:hAnsi="宋体" w:cs="宋体"/>
                <w:b/>
              </w:rPr>
              <w:t>及联系电话</w:t>
            </w:r>
          </w:p>
        </w:tc>
        <w:tc>
          <w:tcPr>
            <w:tcW w:w="793" w:type="pct"/>
            <w:vAlign w:val="center"/>
          </w:tcPr>
          <w:p w14:paraId="7458338D">
            <w:pPr>
              <w:jc w:val="center"/>
              <w:rPr>
                <w:rFonts w:ascii="宋体" w:hAnsi="宋体" w:cs="宋体"/>
                <w:b/>
              </w:rPr>
            </w:pPr>
            <w:r>
              <w:rPr>
                <w:rFonts w:hint="eastAsia" w:ascii="宋体" w:hAnsi="宋体" w:cs="宋体"/>
                <w:b/>
              </w:rPr>
              <w:t>合同签订时间</w:t>
            </w:r>
          </w:p>
        </w:tc>
        <w:tc>
          <w:tcPr>
            <w:tcW w:w="478" w:type="pct"/>
            <w:vAlign w:val="center"/>
          </w:tcPr>
          <w:p w14:paraId="4B647433">
            <w:pPr>
              <w:jc w:val="center"/>
              <w:rPr>
                <w:rFonts w:ascii="宋体" w:hAnsi="宋体" w:cs="宋体"/>
                <w:b/>
              </w:rPr>
            </w:pPr>
            <w:r>
              <w:rPr>
                <w:rFonts w:hint="eastAsia" w:ascii="宋体" w:hAnsi="宋体" w:cs="宋体"/>
                <w:b/>
              </w:rPr>
              <w:t>备注</w:t>
            </w:r>
          </w:p>
        </w:tc>
      </w:tr>
      <w:tr w14:paraId="281B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6B329D74">
            <w:pPr>
              <w:jc w:val="center"/>
              <w:rPr>
                <w:rFonts w:ascii="宋体" w:hAnsi="宋体" w:cs="宋体"/>
                <w:color w:val="000000"/>
              </w:rPr>
            </w:pPr>
            <w:r>
              <w:rPr>
                <w:rFonts w:hint="eastAsia" w:ascii="宋体" w:hAnsi="宋体" w:cs="宋体"/>
                <w:color w:val="000000"/>
              </w:rPr>
              <w:t>1</w:t>
            </w:r>
          </w:p>
        </w:tc>
        <w:tc>
          <w:tcPr>
            <w:tcW w:w="757" w:type="pct"/>
            <w:vAlign w:val="center"/>
          </w:tcPr>
          <w:p w14:paraId="01E85C5B">
            <w:pPr>
              <w:rPr>
                <w:rFonts w:ascii="宋体" w:hAnsi="宋体" w:cs="宋体"/>
                <w:color w:val="000000"/>
              </w:rPr>
            </w:pPr>
          </w:p>
        </w:tc>
        <w:tc>
          <w:tcPr>
            <w:tcW w:w="953" w:type="pct"/>
            <w:vAlign w:val="center"/>
          </w:tcPr>
          <w:p w14:paraId="54A0FF81">
            <w:pPr>
              <w:rPr>
                <w:rFonts w:ascii="宋体" w:hAnsi="宋体" w:cs="宋体"/>
                <w:color w:val="000000"/>
              </w:rPr>
            </w:pPr>
          </w:p>
        </w:tc>
        <w:tc>
          <w:tcPr>
            <w:tcW w:w="644" w:type="pct"/>
            <w:vAlign w:val="center"/>
          </w:tcPr>
          <w:p w14:paraId="130C2ED6">
            <w:pPr>
              <w:rPr>
                <w:rFonts w:ascii="宋体" w:hAnsi="宋体" w:cs="宋体"/>
                <w:color w:val="000000"/>
              </w:rPr>
            </w:pPr>
          </w:p>
        </w:tc>
        <w:tc>
          <w:tcPr>
            <w:tcW w:w="963" w:type="pct"/>
            <w:vAlign w:val="center"/>
          </w:tcPr>
          <w:p w14:paraId="104D6B7F">
            <w:pPr>
              <w:rPr>
                <w:rFonts w:ascii="宋体" w:hAnsi="宋体" w:cs="宋体"/>
                <w:color w:val="000000"/>
              </w:rPr>
            </w:pPr>
          </w:p>
        </w:tc>
        <w:tc>
          <w:tcPr>
            <w:tcW w:w="793" w:type="pct"/>
          </w:tcPr>
          <w:p w14:paraId="7BA957ED">
            <w:pPr>
              <w:rPr>
                <w:rFonts w:ascii="宋体" w:hAnsi="宋体" w:cs="宋体"/>
                <w:color w:val="000000"/>
              </w:rPr>
            </w:pPr>
          </w:p>
        </w:tc>
        <w:tc>
          <w:tcPr>
            <w:tcW w:w="478" w:type="pct"/>
            <w:vAlign w:val="center"/>
          </w:tcPr>
          <w:p w14:paraId="01337CDC">
            <w:pPr>
              <w:rPr>
                <w:rFonts w:ascii="宋体" w:hAnsi="宋体" w:cs="宋体"/>
                <w:color w:val="000000"/>
              </w:rPr>
            </w:pPr>
          </w:p>
        </w:tc>
      </w:tr>
      <w:tr w14:paraId="4AE6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703CE7FF">
            <w:pPr>
              <w:jc w:val="center"/>
              <w:rPr>
                <w:rFonts w:ascii="宋体" w:hAnsi="宋体" w:cs="宋体"/>
                <w:color w:val="000000"/>
              </w:rPr>
            </w:pPr>
            <w:r>
              <w:rPr>
                <w:rFonts w:hint="eastAsia" w:ascii="宋体" w:hAnsi="宋体" w:cs="宋体"/>
                <w:color w:val="000000"/>
              </w:rPr>
              <w:t>2</w:t>
            </w:r>
          </w:p>
        </w:tc>
        <w:tc>
          <w:tcPr>
            <w:tcW w:w="757" w:type="pct"/>
            <w:vAlign w:val="center"/>
          </w:tcPr>
          <w:p w14:paraId="4C076312">
            <w:pPr>
              <w:rPr>
                <w:rFonts w:ascii="宋体" w:hAnsi="宋体" w:cs="宋体"/>
                <w:color w:val="000000"/>
              </w:rPr>
            </w:pPr>
          </w:p>
        </w:tc>
        <w:tc>
          <w:tcPr>
            <w:tcW w:w="953" w:type="pct"/>
            <w:vAlign w:val="center"/>
          </w:tcPr>
          <w:p w14:paraId="0901021E">
            <w:pPr>
              <w:rPr>
                <w:rFonts w:ascii="宋体" w:hAnsi="宋体" w:cs="宋体"/>
                <w:color w:val="000000"/>
              </w:rPr>
            </w:pPr>
          </w:p>
        </w:tc>
        <w:tc>
          <w:tcPr>
            <w:tcW w:w="644" w:type="pct"/>
            <w:vAlign w:val="center"/>
          </w:tcPr>
          <w:p w14:paraId="65174916">
            <w:pPr>
              <w:rPr>
                <w:rFonts w:ascii="宋体" w:hAnsi="宋体" w:cs="宋体"/>
                <w:color w:val="000000"/>
              </w:rPr>
            </w:pPr>
          </w:p>
        </w:tc>
        <w:tc>
          <w:tcPr>
            <w:tcW w:w="963" w:type="pct"/>
            <w:vAlign w:val="center"/>
          </w:tcPr>
          <w:p w14:paraId="2F244C57">
            <w:pPr>
              <w:rPr>
                <w:rFonts w:ascii="宋体" w:hAnsi="宋体" w:cs="宋体"/>
                <w:color w:val="000000"/>
              </w:rPr>
            </w:pPr>
          </w:p>
        </w:tc>
        <w:tc>
          <w:tcPr>
            <w:tcW w:w="793" w:type="pct"/>
          </w:tcPr>
          <w:p w14:paraId="144E8156">
            <w:pPr>
              <w:rPr>
                <w:rFonts w:ascii="宋体" w:hAnsi="宋体" w:cs="宋体"/>
                <w:color w:val="000000"/>
              </w:rPr>
            </w:pPr>
          </w:p>
        </w:tc>
        <w:tc>
          <w:tcPr>
            <w:tcW w:w="478" w:type="pct"/>
            <w:vAlign w:val="center"/>
          </w:tcPr>
          <w:p w14:paraId="561D2C98">
            <w:pPr>
              <w:rPr>
                <w:rFonts w:ascii="宋体" w:hAnsi="宋体" w:cs="宋体"/>
                <w:color w:val="000000"/>
              </w:rPr>
            </w:pPr>
          </w:p>
        </w:tc>
      </w:tr>
      <w:tr w14:paraId="7C08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235B5127">
            <w:pPr>
              <w:jc w:val="center"/>
              <w:rPr>
                <w:rFonts w:ascii="宋体" w:hAnsi="宋体" w:cs="宋体"/>
                <w:color w:val="000000"/>
              </w:rPr>
            </w:pPr>
            <w:r>
              <w:rPr>
                <w:rFonts w:hint="eastAsia" w:ascii="宋体" w:hAnsi="宋体" w:cs="宋体"/>
                <w:color w:val="000000"/>
              </w:rPr>
              <w:t>3</w:t>
            </w:r>
          </w:p>
        </w:tc>
        <w:tc>
          <w:tcPr>
            <w:tcW w:w="757" w:type="pct"/>
            <w:vAlign w:val="center"/>
          </w:tcPr>
          <w:p w14:paraId="6F92C22C">
            <w:pPr>
              <w:rPr>
                <w:rFonts w:ascii="宋体" w:hAnsi="宋体" w:cs="宋体"/>
                <w:color w:val="000000"/>
              </w:rPr>
            </w:pPr>
          </w:p>
        </w:tc>
        <w:tc>
          <w:tcPr>
            <w:tcW w:w="953" w:type="pct"/>
            <w:vAlign w:val="center"/>
          </w:tcPr>
          <w:p w14:paraId="566A00CC">
            <w:pPr>
              <w:rPr>
                <w:rFonts w:ascii="宋体" w:hAnsi="宋体" w:cs="宋体"/>
                <w:color w:val="000000"/>
              </w:rPr>
            </w:pPr>
          </w:p>
        </w:tc>
        <w:tc>
          <w:tcPr>
            <w:tcW w:w="644" w:type="pct"/>
            <w:vAlign w:val="center"/>
          </w:tcPr>
          <w:p w14:paraId="3FA49786">
            <w:pPr>
              <w:rPr>
                <w:rFonts w:ascii="宋体" w:hAnsi="宋体" w:cs="宋体"/>
                <w:color w:val="000000"/>
              </w:rPr>
            </w:pPr>
          </w:p>
        </w:tc>
        <w:tc>
          <w:tcPr>
            <w:tcW w:w="963" w:type="pct"/>
            <w:vAlign w:val="center"/>
          </w:tcPr>
          <w:p w14:paraId="1E82DD8F">
            <w:pPr>
              <w:rPr>
                <w:rFonts w:ascii="宋体" w:hAnsi="宋体" w:cs="宋体"/>
                <w:color w:val="000000"/>
              </w:rPr>
            </w:pPr>
          </w:p>
        </w:tc>
        <w:tc>
          <w:tcPr>
            <w:tcW w:w="793" w:type="pct"/>
          </w:tcPr>
          <w:p w14:paraId="4348ADFE">
            <w:pPr>
              <w:rPr>
                <w:rFonts w:ascii="宋体" w:hAnsi="宋体" w:cs="宋体"/>
                <w:color w:val="000000"/>
              </w:rPr>
            </w:pPr>
          </w:p>
        </w:tc>
        <w:tc>
          <w:tcPr>
            <w:tcW w:w="478" w:type="pct"/>
            <w:vAlign w:val="center"/>
          </w:tcPr>
          <w:p w14:paraId="70CF3647">
            <w:pPr>
              <w:rPr>
                <w:rFonts w:ascii="宋体" w:hAnsi="宋体" w:cs="宋体"/>
                <w:color w:val="000000"/>
              </w:rPr>
            </w:pPr>
          </w:p>
        </w:tc>
      </w:tr>
      <w:tr w14:paraId="03D8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7BA46F58">
            <w:pPr>
              <w:jc w:val="center"/>
              <w:rPr>
                <w:rFonts w:ascii="宋体" w:hAnsi="宋体" w:cs="宋体"/>
                <w:color w:val="000000"/>
              </w:rPr>
            </w:pPr>
            <w:r>
              <w:rPr>
                <w:rFonts w:hint="eastAsia" w:ascii="宋体" w:hAnsi="宋体" w:cs="宋体"/>
                <w:color w:val="000000"/>
              </w:rPr>
              <w:t>4</w:t>
            </w:r>
          </w:p>
        </w:tc>
        <w:tc>
          <w:tcPr>
            <w:tcW w:w="757" w:type="pct"/>
            <w:vAlign w:val="center"/>
          </w:tcPr>
          <w:p w14:paraId="11374413">
            <w:pPr>
              <w:rPr>
                <w:rFonts w:ascii="宋体" w:hAnsi="宋体" w:cs="宋体"/>
                <w:color w:val="000000"/>
              </w:rPr>
            </w:pPr>
          </w:p>
        </w:tc>
        <w:tc>
          <w:tcPr>
            <w:tcW w:w="953" w:type="pct"/>
            <w:vAlign w:val="center"/>
          </w:tcPr>
          <w:p w14:paraId="5EC59B95">
            <w:pPr>
              <w:rPr>
                <w:rFonts w:ascii="宋体" w:hAnsi="宋体" w:cs="宋体"/>
                <w:color w:val="000000"/>
              </w:rPr>
            </w:pPr>
          </w:p>
        </w:tc>
        <w:tc>
          <w:tcPr>
            <w:tcW w:w="644" w:type="pct"/>
            <w:vAlign w:val="center"/>
          </w:tcPr>
          <w:p w14:paraId="68B088E0">
            <w:pPr>
              <w:rPr>
                <w:rFonts w:ascii="宋体" w:hAnsi="宋体" w:cs="宋体"/>
                <w:color w:val="000000"/>
              </w:rPr>
            </w:pPr>
          </w:p>
        </w:tc>
        <w:tc>
          <w:tcPr>
            <w:tcW w:w="963" w:type="pct"/>
            <w:vAlign w:val="center"/>
          </w:tcPr>
          <w:p w14:paraId="0A8C995F">
            <w:pPr>
              <w:rPr>
                <w:rFonts w:ascii="宋体" w:hAnsi="宋体" w:cs="宋体"/>
                <w:color w:val="000000"/>
              </w:rPr>
            </w:pPr>
          </w:p>
        </w:tc>
        <w:tc>
          <w:tcPr>
            <w:tcW w:w="793" w:type="pct"/>
          </w:tcPr>
          <w:p w14:paraId="042179DF">
            <w:pPr>
              <w:rPr>
                <w:rFonts w:ascii="宋体" w:hAnsi="宋体" w:cs="宋体"/>
                <w:color w:val="000000"/>
              </w:rPr>
            </w:pPr>
          </w:p>
        </w:tc>
        <w:tc>
          <w:tcPr>
            <w:tcW w:w="478" w:type="pct"/>
            <w:vAlign w:val="center"/>
          </w:tcPr>
          <w:p w14:paraId="5C7850EC">
            <w:pPr>
              <w:rPr>
                <w:rFonts w:ascii="宋体" w:hAnsi="宋体" w:cs="宋体"/>
                <w:color w:val="000000"/>
              </w:rPr>
            </w:pPr>
          </w:p>
        </w:tc>
      </w:tr>
      <w:tr w14:paraId="66B8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540ABC9A">
            <w:pPr>
              <w:jc w:val="center"/>
              <w:rPr>
                <w:rFonts w:ascii="宋体" w:hAnsi="宋体" w:cs="宋体"/>
                <w:color w:val="000000"/>
              </w:rPr>
            </w:pPr>
            <w:r>
              <w:rPr>
                <w:rFonts w:hint="eastAsia" w:ascii="宋体" w:hAnsi="宋体" w:cs="宋体"/>
                <w:color w:val="000000"/>
              </w:rPr>
              <w:t>5</w:t>
            </w:r>
          </w:p>
        </w:tc>
        <w:tc>
          <w:tcPr>
            <w:tcW w:w="757" w:type="pct"/>
            <w:vAlign w:val="center"/>
          </w:tcPr>
          <w:p w14:paraId="4893378A">
            <w:pPr>
              <w:rPr>
                <w:rFonts w:ascii="宋体" w:hAnsi="宋体" w:cs="宋体"/>
                <w:color w:val="000000"/>
              </w:rPr>
            </w:pPr>
          </w:p>
        </w:tc>
        <w:tc>
          <w:tcPr>
            <w:tcW w:w="953" w:type="pct"/>
            <w:vAlign w:val="center"/>
          </w:tcPr>
          <w:p w14:paraId="0CA1759B">
            <w:pPr>
              <w:rPr>
                <w:rFonts w:ascii="宋体" w:hAnsi="宋体" w:cs="宋体"/>
                <w:color w:val="000000"/>
              </w:rPr>
            </w:pPr>
          </w:p>
        </w:tc>
        <w:tc>
          <w:tcPr>
            <w:tcW w:w="644" w:type="pct"/>
            <w:vAlign w:val="center"/>
          </w:tcPr>
          <w:p w14:paraId="1C1F49DD">
            <w:pPr>
              <w:rPr>
                <w:rFonts w:ascii="宋体" w:hAnsi="宋体" w:cs="宋体"/>
                <w:color w:val="000000"/>
              </w:rPr>
            </w:pPr>
          </w:p>
        </w:tc>
        <w:tc>
          <w:tcPr>
            <w:tcW w:w="963" w:type="pct"/>
            <w:vAlign w:val="center"/>
          </w:tcPr>
          <w:p w14:paraId="104F96B7">
            <w:pPr>
              <w:rPr>
                <w:rFonts w:ascii="宋体" w:hAnsi="宋体" w:cs="宋体"/>
                <w:color w:val="000000"/>
              </w:rPr>
            </w:pPr>
          </w:p>
        </w:tc>
        <w:tc>
          <w:tcPr>
            <w:tcW w:w="793" w:type="pct"/>
          </w:tcPr>
          <w:p w14:paraId="48F77EDE">
            <w:pPr>
              <w:rPr>
                <w:rFonts w:ascii="宋体" w:hAnsi="宋体" w:cs="宋体"/>
                <w:color w:val="000000"/>
              </w:rPr>
            </w:pPr>
          </w:p>
        </w:tc>
        <w:tc>
          <w:tcPr>
            <w:tcW w:w="478" w:type="pct"/>
            <w:vAlign w:val="center"/>
          </w:tcPr>
          <w:p w14:paraId="43CE5317">
            <w:pPr>
              <w:rPr>
                <w:rFonts w:ascii="宋体" w:hAnsi="宋体" w:cs="宋体"/>
                <w:color w:val="000000"/>
              </w:rPr>
            </w:pPr>
          </w:p>
        </w:tc>
      </w:tr>
      <w:tr w14:paraId="0901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vAlign w:val="center"/>
          </w:tcPr>
          <w:p w14:paraId="2BB94AC3">
            <w:pPr>
              <w:jc w:val="center"/>
              <w:rPr>
                <w:rFonts w:ascii="宋体" w:hAnsi="宋体" w:cs="宋体"/>
                <w:color w:val="000000"/>
              </w:rPr>
            </w:pPr>
            <w:r>
              <w:rPr>
                <w:rFonts w:hint="eastAsia" w:ascii="宋体" w:hAnsi="宋体" w:cs="宋体"/>
                <w:color w:val="000000"/>
              </w:rPr>
              <w:t>……</w:t>
            </w:r>
          </w:p>
        </w:tc>
        <w:tc>
          <w:tcPr>
            <w:tcW w:w="757" w:type="pct"/>
            <w:vAlign w:val="center"/>
          </w:tcPr>
          <w:p w14:paraId="509E3540">
            <w:pPr>
              <w:rPr>
                <w:rFonts w:ascii="宋体" w:hAnsi="宋体" w:cs="宋体"/>
                <w:color w:val="000000"/>
              </w:rPr>
            </w:pPr>
          </w:p>
        </w:tc>
        <w:tc>
          <w:tcPr>
            <w:tcW w:w="953" w:type="pct"/>
            <w:vAlign w:val="center"/>
          </w:tcPr>
          <w:p w14:paraId="45F6DAAD">
            <w:pPr>
              <w:rPr>
                <w:rFonts w:ascii="宋体" w:hAnsi="宋体" w:cs="宋体"/>
                <w:color w:val="000000"/>
              </w:rPr>
            </w:pPr>
          </w:p>
        </w:tc>
        <w:tc>
          <w:tcPr>
            <w:tcW w:w="644" w:type="pct"/>
            <w:vAlign w:val="center"/>
          </w:tcPr>
          <w:p w14:paraId="3A4DDC60">
            <w:pPr>
              <w:rPr>
                <w:rFonts w:ascii="宋体" w:hAnsi="宋体" w:cs="宋体"/>
                <w:color w:val="000000"/>
              </w:rPr>
            </w:pPr>
          </w:p>
        </w:tc>
        <w:tc>
          <w:tcPr>
            <w:tcW w:w="963" w:type="pct"/>
            <w:vAlign w:val="center"/>
          </w:tcPr>
          <w:p w14:paraId="1D6694FA">
            <w:pPr>
              <w:rPr>
                <w:rFonts w:ascii="宋体" w:hAnsi="宋体" w:cs="宋体"/>
                <w:color w:val="000000"/>
              </w:rPr>
            </w:pPr>
          </w:p>
        </w:tc>
        <w:tc>
          <w:tcPr>
            <w:tcW w:w="793" w:type="pct"/>
          </w:tcPr>
          <w:p w14:paraId="22408F61">
            <w:pPr>
              <w:rPr>
                <w:rFonts w:ascii="宋体" w:hAnsi="宋体" w:cs="宋体"/>
                <w:color w:val="000000"/>
              </w:rPr>
            </w:pPr>
          </w:p>
        </w:tc>
        <w:tc>
          <w:tcPr>
            <w:tcW w:w="478" w:type="pct"/>
            <w:vAlign w:val="center"/>
          </w:tcPr>
          <w:p w14:paraId="650A4880">
            <w:pPr>
              <w:rPr>
                <w:rFonts w:ascii="宋体" w:hAnsi="宋体" w:cs="宋体"/>
                <w:color w:val="000000"/>
              </w:rPr>
            </w:pPr>
          </w:p>
        </w:tc>
      </w:tr>
    </w:tbl>
    <w:p w14:paraId="6B590D8F">
      <w:pPr>
        <w:widowControl/>
        <w:jc w:val="left"/>
        <w:rPr>
          <w:rFonts w:ascii="宋体" w:hAnsi="宋体" w:cs="宋体"/>
          <w:color w:val="000000"/>
          <w:szCs w:val="21"/>
        </w:rPr>
      </w:pPr>
      <w:r>
        <w:rPr>
          <w:rFonts w:hint="eastAsia" w:ascii="宋体" w:hAnsi="宋体" w:cs="宋体"/>
          <w:color w:val="000000"/>
          <w:szCs w:val="21"/>
        </w:rPr>
        <w:t>注：应附合同扫描件，具体年份时间要求见评审办法章节。</w:t>
      </w:r>
    </w:p>
    <w:p w14:paraId="57F2C756">
      <w:pPr>
        <w:rPr>
          <w:rFonts w:ascii="宋体" w:hAnsi="宋体" w:cs="宋体"/>
          <w:lang w:bidi="en-US"/>
        </w:rPr>
      </w:pPr>
    </w:p>
    <w:p w14:paraId="78D4167E">
      <w:pPr>
        <w:rPr>
          <w:rFonts w:ascii="宋体" w:hAnsi="宋体" w:cs="宋体"/>
          <w:lang w:bidi="en-US"/>
        </w:rPr>
      </w:pPr>
    </w:p>
    <w:p w14:paraId="7EED3167">
      <w:pPr>
        <w:rPr>
          <w:rFonts w:ascii="宋体" w:hAnsi="宋体" w:cs="宋体"/>
          <w:lang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2368ACE">
      <w:pPr>
        <w:pStyle w:val="4"/>
        <w:tabs>
          <w:tab w:val="left" w:pos="1260"/>
        </w:tabs>
        <w:jc w:val="center"/>
        <w:rPr>
          <w:rFonts w:cs="宋体"/>
          <w:sz w:val="24"/>
          <w:lang w:eastAsia="zh-CN"/>
        </w:rPr>
      </w:pPr>
      <w:r>
        <w:rPr>
          <w:rFonts w:hint="eastAsia" w:cs="宋体"/>
          <w:sz w:val="24"/>
          <w:lang w:eastAsia="zh-CN"/>
        </w:rPr>
        <w:t>（五）样品（本项目不适用）</w:t>
      </w:r>
    </w:p>
    <w:p w14:paraId="4B66D381">
      <w:pPr>
        <w:jc w:val="center"/>
      </w:pPr>
      <w:r>
        <w:rPr>
          <w:rFonts w:hint="eastAsia" w:ascii="宋体" w:hAnsi="宋体" w:cs="宋体"/>
        </w:rPr>
        <w:t>如采购文件要求提供样品，请按规定提供。</w:t>
      </w:r>
    </w:p>
    <w:p w14:paraId="70032F7A"/>
    <w:p w14:paraId="4D99348D">
      <w:pPr>
        <w:pStyle w:val="4"/>
        <w:tabs>
          <w:tab w:val="left" w:pos="1260"/>
        </w:tabs>
        <w:jc w:val="center"/>
        <w:rPr>
          <w:rFonts w:cs="宋体"/>
          <w:color w:val="0000FF"/>
          <w:sz w:val="24"/>
          <w:lang w:eastAsia="zh-CN"/>
        </w:rPr>
      </w:pPr>
      <w:r>
        <w:rPr>
          <w:rFonts w:hint="eastAsia" w:cs="宋体"/>
          <w:sz w:val="24"/>
          <w:lang w:eastAsia="zh-CN"/>
        </w:rPr>
        <w:t>（六）其他材料</w:t>
      </w:r>
    </w:p>
    <w:p w14:paraId="2A3FD5A2">
      <w:pPr>
        <w:widowControl/>
        <w:jc w:val="left"/>
        <w:rPr>
          <w:rFonts w:ascii="宋体" w:hAnsi="宋体" w:cs="宋体"/>
        </w:rPr>
      </w:pPr>
    </w:p>
    <w:p w14:paraId="3CC0DAC0">
      <w:pPr>
        <w:spacing w:line="360" w:lineRule="auto"/>
        <w:jc w:val="center"/>
        <w:outlineLvl w:val="1"/>
        <w:rPr>
          <w:rFonts w:ascii="宋体" w:hAnsi="宋体"/>
          <w:b/>
          <w:sz w:val="24"/>
        </w:rPr>
      </w:pPr>
      <w:r>
        <w:rPr>
          <w:rStyle w:val="103"/>
          <w:rFonts w:hint="eastAsia" w:ascii="宋体" w:hAnsi="宋体" w:eastAsia="宋体" w:cs="宋体"/>
          <w:sz w:val="30"/>
          <w:szCs w:val="30"/>
        </w:rPr>
        <w:t>十一、主要标的承诺函</w:t>
      </w:r>
    </w:p>
    <w:p w14:paraId="6ABE0ED5">
      <w:pPr>
        <w:jc w:val="center"/>
      </w:pPr>
      <w:r>
        <w:rPr>
          <w:rFonts w:hint="eastAsia" w:ascii="宋体" w:hAnsi="宋体"/>
          <w:b/>
          <w:sz w:val="24"/>
        </w:rPr>
        <w:t>（列出采购文件标明</w:t>
      </w:r>
      <w:r>
        <w:rPr>
          <w:rFonts w:hint="eastAsia" w:ascii="仿宋" w:hAnsi="仿宋" w:eastAsia="仿宋" w:cs="仿宋"/>
          <w:sz w:val="24"/>
        </w:rPr>
        <w:t>▲</w:t>
      </w:r>
      <w:r>
        <w:rPr>
          <w:rFonts w:hint="eastAsia" w:ascii="宋体" w:hAnsi="宋体"/>
          <w:b/>
          <w:sz w:val="24"/>
        </w:rPr>
        <w:t>货物的信息）</w:t>
      </w:r>
    </w:p>
    <w:p w14:paraId="261173AF">
      <w:pPr>
        <w:widowControl/>
        <w:tabs>
          <w:tab w:val="left" w:leader="underscore" w:pos="2880"/>
        </w:tabs>
        <w:spacing w:line="360" w:lineRule="auto"/>
        <w:rPr>
          <w:rFonts w:ascii="宋体" w:hAnsi="宋体" w:cs="宋体"/>
          <w:szCs w:val="21"/>
        </w:rPr>
      </w:pPr>
    </w:p>
    <w:p w14:paraId="0A791D05">
      <w:pPr>
        <w:widowControl/>
        <w:tabs>
          <w:tab w:val="left" w:leader="underscore" w:pos="2880"/>
        </w:tabs>
        <w:spacing w:line="360" w:lineRule="auto"/>
        <w:rPr>
          <w:rFonts w:ascii="宋体" w:hAnsi="宋体" w:cs="宋体"/>
          <w:b/>
          <w:szCs w:val="21"/>
          <w:u w:val="single"/>
        </w:rPr>
      </w:pPr>
      <w:r>
        <w:rPr>
          <w:rFonts w:hint="eastAsia" w:ascii="宋体" w:hAnsi="宋体" w:cs="宋体"/>
          <w:szCs w:val="21"/>
        </w:rPr>
        <w:t>致：</w:t>
      </w:r>
      <w:r>
        <w:rPr>
          <w:rFonts w:hint="eastAsia" w:ascii="宋体" w:hAnsi="宋体" w:cs="宋体"/>
          <w:szCs w:val="21"/>
          <w:u w:val="single"/>
        </w:rPr>
        <w:t>（采购人名称)</w:t>
      </w:r>
    </w:p>
    <w:p w14:paraId="358C8467">
      <w:pPr>
        <w:widowControl/>
        <w:spacing w:line="360" w:lineRule="auto"/>
        <w:ind w:firstLine="420" w:firstLineChars="200"/>
        <w:rPr>
          <w:rFonts w:ascii="宋体" w:hAnsi="宋体" w:cs="宋体"/>
          <w:szCs w:val="21"/>
        </w:rPr>
      </w:pPr>
      <w:r>
        <w:rPr>
          <w:rFonts w:hint="eastAsia" w:ascii="宋体" w:hAnsi="宋体" w:cs="宋体"/>
          <w:szCs w:val="21"/>
          <w:u w:val="single"/>
        </w:rPr>
        <w:t xml:space="preserve">  安徽省招标集团股份有限公司  </w:t>
      </w:r>
      <w:r>
        <w:rPr>
          <w:rFonts w:hint="eastAsia" w:ascii="宋体" w:hAnsi="宋体" w:cs="宋体"/>
          <w:szCs w:val="21"/>
        </w:rPr>
        <w:t>（采购代理名称)</w:t>
      </w:r>
    </w:p>
    <w:p w14:paraId="2A84A9BD">
      <w:pPr>
        <w:spacing w:line="360" w:lineRule="auto"/>
        <w:ind w:firstLine="435"/>
        <w:rPr>
          <w:rFonts w:ascii="宋体" w:hAnsi="宋体"/>
          <w:szCs w:val="21"/>
        </w:rPr>
      </w:pPr>
      <w:r>
        <w:rPr>
          <w:rFonts w:hint="eastAsia" w:ascii="宋体" w:hAnsi="宋体"/>
          <w:szCs w:val="21"/>
        </w:rPr>
        <w:t>我单位同意成交结果公告中公告以下主要标的信息并承诺：响应文件中所提供的主要标的信息均真实有效。若被发现存在任何虚假、隐瞒情况，我单位承担由此产生的一切后果。</w:t>
      </w:r>
    </w:p>
    <w:tbl>
      <w:tblPr>
        <w:tblStyle w:val="47"/>
        <w:tblW w:w="51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2031"/>
        <w:gridCol w:w="1165"/>
        <w:gridCol w:w="1343"/>
        <w:gridCol w:w="1948"/>
        <w:gridCol w:w="1863"/>
        <w:gridCol w:w="1033"/>
      </w:tblGrid>
      <w:tr w14:paraId="6809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371" w:type="pct"/>
            <w:vAlign w:val="center"/>
          </w:tcPr>
          <w:p w14:paraId="3A277247">
            <w:pPr>
              <w:widowControl/>
              <w:jc w:val="center"/>
              <w:rPr>
                <w:rFonts w:ascii="宋体" w:hAnsi="宋体"/>
                <w:szCs w:val="21"/>
              </w:rPr>
            </w:pPr>
            <w:r>
              <w:rPr>
                <w:rFonts w:hint="eastAsia" w:ascii="宋体" w:hAnsi="宋体"/>
                <w:szCs w:val="21"/>
              </w:rPr>
              <w:t>序号</w:t>
            </w:r>
          </w:p>
        </w:tc>
        <w:tc>
          <w:tcPr>
            <w:tcW w:w="1001" w:type="pct"/>
            <w:vAlign w:val="center"/>
          </w:tcPr>
          <w:p w14:paraId="295B6B43">
            <w:pPr>
              <w:widowControl/>
              <w:jc w:val="center"/>
              <w:rPr>
                <w:rFonts w:ascii="宋体" w:hAnsi="宋体"/>
                <w:szCs w:val="21"/>
              </w:rPr>
            </w:pPr>
            <w:r>
              <w:rPr>
                <w:rFonts w:hint="eastAsia" w:ascii="宋体" w:hAnsi="宋体"/>
                <w:szCs w:val="21"/>
              </w:rPr>
              <w:t>名称</w:t>
            </w:r>
          </w:p>
        </w:tc>
        <w:tc>
          <w:tcPr>
            <w:tcW w:w="574" w:type="pct"/>
            <w:vAlign w:val="center"/>
          </w:tcPr>
          <w:p w14:paraId="02EE0BA1">
            <w:pPr>
              <w:widowControl/>
              <w:jc w:val="center"/>
              <w:rPr>
                <w:rFonts w:ascii="宋体" w:hAnsi="宋体"/>
                <w:szCs w:val="21"/>
              </w:rPr>
            </w:pPr>
            <w:r>
              <w:rPr>
                <w:rFonts w:hint="eastAsia" w:ascii="宋体" w:hAnsi="宋体"/>
                <w:szCs w:val="21"/>
              </w:rPr>
              <w:t>品牌</w:t>
            </w:r>
          </w:p>
        </w:tc>
        <w:tc>
          <w:tcPr>
            <w:tcW w:w="662" w:type="pct"/>
            <w:vAlign w:val="center"/>
          </w:tcPr>
          <w:p w14:paraId="60610BEB">
            <w:pPr>
              <w:widowControl/>
              <w:jc w:val="center"/>
              <w:rPr>
                <w:rFonts w:ascii="宋体" w:hAnsi="宋体"/>
                <w:szCs w:val="21"/>
              </w:rPr>
            </w:pPr>
            <w:r>
              <w:rPr>
                <w:rFonts w:hint="eastAsia" w:ascii="宋体" w:hAnsi="宋体"/>
                <w:szCs w:val="21"/>
              </w:rPr>
              <w:t>规格型号</w:t>
            </w:r>
          </w:p>
        </w:tc>
        <w:tc>
          <w:tcPr>
            <w:tcW w:w="960" w:type="pct"/>
            <w:vAlign w:val="center"/>
          </w:tcPr>
          <w:p w14:paraId="1FED71A2">
            <w:pPr>
              <w:widowControl/>
              <w:jc w:val="center"/>
              <w:rPr>
                <w:rFonts w:ascii="宋体" w:hAnsi="宋体"/>
                <w:szCs w:val="21"/>
              </w:rPr>
            </w:pPr>
            <w:r>
              <w:rPr>
                <w:rFonts w:hint="eastAsia" w:ascii="宋体" w:hAnsi="宋体"/>
                <w:szCs w:val="21"/>
              </w:rPr>
              <w:t>数量</w:t>
            </w:r>
          </w:p>
        </w:tc>
        <w:tc>
          <w:tcPr>
            <w:tcW w:w="918" w:type="pct"/>
            <w:vAlign w:val="center"/>
          </w:tcPr>
          <w:p w14:paraId="6C9C46FF">
            <w:pPr>
              <w:widowControl/>
              <w:jc w:val="center"/>
              <w:rPr>
                <w:rFonts w:ascii="宋体" w:hAnsi="宋体"/>
                <w:szCs w:val="21"/>
              </w:rPr>
            </w:pPr>
            <w:r>
              <w:rPr>
                <w:rFonts w:hint="eastAsia" w:ascii="宋体" w:hAnsi="宋体"/>
                <w:szCs w:val="21"/>
              </w:rPr>
              <w:t>单价</w:t>
            </w:r>
          </w:p>
        </w:tc>
        <w:tc>
          <w:tcPr>
            <w:tcW w:w="509" w:type="pct"/>
            <w:vAlign w:val="center"/>
          </w:tcPr>
          <w:p w14:paraId="1A4937B1">
            <w:pPr>
              <w:widowControl/>
              <w:jc w:val="center"/>
              <w:rPr>
                <w:rFonts w:ascii="宋体" w:hAnsi="宋体"/>
                <w:szCs w:val="21"/>
              </w:rPr>
            </w:pPr>
            <w:r>
              <w:rPr>
                <w:rFonts w:hint="eastAsia" w:ascii="宋体" w:hAnsi="宋体"/>
                <w:szCs w:val="21"/>
              </w:rPr>
              <w:t>备注</w:t>
            </w:r>
          </w:p>
        </w:tc>
      </w:tr>
      <w:tr w14:paraId="60F8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371" w:type="pct"/>
            <w:vAlign w:val="center"/>
          </w:tcPr>
          <w:p w14:paraId="7D8F2FF8">
            <w:pPr>
              <w:spacing w:line="360" w:lineRule="auto"/>
              <w:jc w:val="center"/>
              <w:rPr>
                <w:rFonts w:ascii="宋体" w:hAnsi="宋体"/>
                <w:szCs w:val="21"/>
              </w:rPr>
            </w:pPr>
            <w:r>
              <w:rPr>
                <w:rFonts w:hint="eastAsia" w:ascii="宋体" w:hAnsi="宋体"/>
                <w:szCs w:val="21"/>
              </w:rPr>
              <w:t>1</w:t>
            </w:r>
          </w:p>
        </w:tc>
        <w:tc>
          <w:tcPr>
            <w:tcW w:w="1001" w:type="pct"/>
            <w:vAlign w:val="center"/>
          </w:tcPr>
          <w:p w14:paraId="71A13CE2">
            <w:pPr>
              <w:spacing w:line="360" w:lineRule="auto"/>
              <w:jc w:val="center"/>
              <w:rPr>
                <w:rFonts w:ascii="宋体" w:hAnsi="宋体"/>
                <w:szCs w:val="21"/>
              </w:rPr>
            </w:pPr>
          </w:p>
        </w:tc>
        <w:tc>
          <w:tcPr>
            <w:tcW w:w="574" w:type="pct"/>
            <w:vAlign w:val="center"/>
          </w:tcPr>
          <w:p w14:paraId="7A5E0CFE">
            <w:pPr>
              <w:spacing w:line="360" w:lineRule="auto"/>
              <w:rPr>
                <w:rFonts w:ascii="宋体" w:hAnsi="宋体"/>
                <w:szCs w:val="21"/>
              </w:rPr>
            </w:pPr>
          </w:p>
        </w:tc>
        <w:tc>
          <w:tcPr>
            <w:tcW w:w="662" w:type="pct"/>
            <w:vAlign w:val="center"/>
          </w:tcPr>
          <w:p w14:paraId="7FE3DE43">
            <w:pPr>
              <w:spacing w:line="360" w:lineRule="auto"/>
              <w:rPr>
                <w:rFonts w:ascii="宋体" w:hAnsi="宋体"/>
                <w:szCs w:val="21"/>
              </w:rPr>
            </w:pPr>
          </w:p>
        </w:tc>
        <w:tc>
          <w:tcPr>
            <w:tcW w:w="960" w:type="pct"/>
            <w:vAlign w:val="center"/>
          </w:tcPr>
          <w:p w14:paraId="259BE696">
            <w:pPr>
              <w:spacing w:line="360" w:lineRule="auto"/>
              <w:jc w:val="center"/>
              <w:rPr>
                <w:rFonts w:ascii="宋体" w:hAnsi="宋体"/>
                <w:szCs w:val="21"/>
              </w:rPr>
            </w:pPr>
          </w:p>
        </w:tc>
        <w:tc>
          <w:tcPr>
            <w:tcW w:w="918" w:type="pct"/>
            <w:vAlign w:val="center"/>
          </w:tcPr>
          <w:p w14:paraId="7BB77F93">
            <w:pPr>
              <w:spacing w:line="360" w:lineRule="auto"/>
              <w:rPr>
                <w:rFonts w:ascii="宋体" w:hAnsi="宋体"/>
                <w:szCs w:val="21"/>
              </w:rPr>
            </w:pPr>
          </w:p>
        </w:tc>
        <w:tc>
          <w:tcPr>
            <w:tcW w:w="509" w:type="pct"/>
            <w:vAlign w:val="center"/>
          </w:tcPr>
          <w:p w14:paraId="03F4225C">
            <w:pPr>
              <w:spacing w:line="360" w:lineRule="auto"/>
              <w:rPr>
                <w:rFonts w:ascii="宋体" w:hAnsi="宋体"/>
                <w:szCs w:val="21"/>
              </w:rPr>
            </w:pPr>
          </w:p>
        </w:tc>
      </w:tr>
    </w:tbl>
    <w:p w14:paraId="4D3E9379">
      <w:pPr>
        <w:adjustRightInd w:val="0"/>
        <w:snapToGrid w:val="0"/>
        <w:spacing w:line="360" w:lineRule="auto"/>
        <w:rPr>
          <w:rFonts w:ascii="宋体" w:hAnsi="宋体"/>
          <w:b/>
          <w:bCs/>
          <w:szCs w:val="21"/>
        </w:rPr>
      </w:pPr>
    </w:p>
    <w:p w14:paraId="4E3F3F04">
      <w:pPr>
        <w:adjustRightInd w:val="0"/>
        <w:snapToGrid w:val="0"/>
        <w:spacing w:line="360" w:lineRule="auto"/>
        <w:rPr>
          <w:rFonts w:ascii="宋体" w:hAnsi="宋体"/>
          <w:b/>
          <w:bCs/>
          <w:szCs w:val="21"/>
        </w:rPr>
      </w:pPr>
      <w:r>
        <w:rPr>
          <w:rFonts w:hint="eastAsia" w:ascii="宋体" w:hAnsi="宋体"/>
          <w:b/>
          <w:bCs/>
          <w:szCs w:val="21"/>
        </w:rPr>
        <w:t>备注：</w:t>
      </w:r>
    </w:p>
    <w:p w14:paraId="26421EB7">
      <w:pPr>
        <w:spacing w:line="360" w:lineRule="auto"/>
        <w:ind w:firstLine="435"/>
        <w:rPr>
          <w:rFonts w:ascii="宋体" w:hAnsi="宋体"/>
          <w:bCs/>
          <w:szCs w:val="21"/>
        </w:rPr>
      </w:pPr>
      <w:r>
        <w:rPr>
          <w:rFonts w:hint="eastAsia" w:ascii="宋体" w:hAnsi="宋体"/>
          <w:bCs/>
          <w:szCs w:val="21"/>
        </w:rPr>
        <w:t>1.</w:t>
      </w:r>
      <w:r>
        <w:rPr>
          <w:rFonts w:hint="eastAsia" w:ascii="宋体" w:hAnsi="宋体"/>
          <w:szCs w:val="21"/>
        </w:rPr>
        <w:t>表中所列内容为满足本项目要求的</w:t>
      </w:r>
      <w:r>
        <w:rPr>
          <w:rFonts w:hint="eastAsia" w:ascii="宋体" w:hAnsi="宋体"/>
          <w:bCs/>
          <w:szCs w:val="21"/>
        </w:rPr>
        <w:t>主要标的信息；</w:t>
      </w:r>
    </w:p>
    <w:p w14:paraId="414961F3">
      <w:pPr>
        <w:spacing w:line="360" w:lineRule="auto"/>
        <w:ind w:firstLine="435"/>
        <w:rPr>
          <w:rFonts w:ascii="宋体" w:hAnsi="宋体"/>
          <w:szCs w:val="21"/>
        </w:rPr>
      </w:pPr>
      <w:r>
        <w:rPr>
          <w:rFonts w:hint="eastAsia" w:ascii="宋体" w:hAnsi="宋体"/>
          <w:bCs/>
          <w:szCs w:val="21"/>
        </w:rPr>
        <w:t>2.</w:t>
      </w:r>
      <w:r>
        <w:rPr>
          <w:rFonts w:hint="eastAsia" w:ascii="宋体" w:hAnsi="宋体"/>
          <w:szCs w:val="21"/>
        </w:rPr>
        <w:t>供应商提供的以上承诺情况（含名称、品牌、规格型号、数量、单价），经磋商小组确认后，将按约定随成交结果公告同时公告。</w:t>
      </w:r>
    </w:p>
    <w:bookmarkEnd w:id="776"/>
    <w:p w14:paraId="2D9671AD">
      <w:pPr>
        <w:spacing w:line="360" w:lineRule="auto"/>
        <w:rPr>
          <w:rFonts w:ascii="宋体" w:hAnsi="宋体"/>
          <w:szCs w:val="21"/>
        </w:rPr>
      </w:pPr>
    </w:p>
    <w:p w14:paraId="03952FB3">
      <w:pPr>
        <w:pStyle w:val="3"/>
        <w:widowControl/>
        <w:spacing w:before="120" w:after="120" w:line="240" w:lineRule="auto"/>
        <w:jc w:val="center"/>
        <w:rPr>
          <w:rStyle w:val="103"/>
          <w:rFonts w:ascii="宋体" w:hAnsi="宋体" w:eastAsia="宋体" w:cs="宋体"/>
          <w:b/>
          <w:bCs/>
          <w:sz w:val="30"/>
          <w:szCs w:val="30"/>
        </w:rPr>
      </w:pPr>
      <w:r>
        <w:rPr>
          <w:rStyle w:val="103"/>
          <w:rFonts w:hint="eastAsia" w:ascii="宋体" w:hAnsi="宋体" w:eastAsia="宋体" w:cs="宋体"/>
          <w:b/>
          <w:bCs/>
          <w:sz w:val="30"/>
          <w:szCs w:val="30"/>
        </w:rPr>
        <w:br w:type="page"/>
      </w:r>
      <w:r>
        <w:rPr>
          <w:rStyle w:val="103"/>
          <w:rFonts w:hint="eastAsia" w:ascii="宋体" w:hAnsi="宋体" w:eastAsia="宋体" w:cs="宋体"/>
          <w:b/>
          <w:bCs/>
          <w:sz w:val="30"/>
          <w:szCs w:val="30"/>
        </w:rPr>
        <w:t>十二、供应商认为应该提供的其他资料</w:t>
      </w:r>
    </w:p>
    <w:p w14:paraId="60524DCD">
      <w:pPr>
        <w:widowControl/>
        <w:jc w:val="left"/>
        <w:rPr>
          <w:rFonts w:hint="eastAsia" w:ascii="宋体" w:hAnsi="宋体" w:eastAsia="宋体" w:cs="宋体"/>
          <w:szCs w:val="21"/>
          <w:lang w:val="en-US" w:eastAsia="zh-CN"/>
        </w:rPr>
      </w:pPr>
    </w:p>
    <w:p w14:paraId="6A540EC2">
      <w:pPr>
        <w:widowControl/>
        <w:jc w:val="left"/>
        <w:rPr>
          <w:rFonts w:hint="eastAsia" w:ascii="宋体" w:hAnsi="宋体" w:eastAsia="宋体" w:cs="宋体"/>
          <w:szCs w:val="21"/>
          <w:lang w:val="en-US" w:eastAsia="zh-CN"/>
        </w:rPr>
      </w:pPr>
    </w:p>
    <w:p w14:paraId="3393D258">
      <w:pPr>
        <w:widowControl/>
        <w:jc w:val="left"/>
        <w:rPr>
          <w:rFonts w:hint="eastAsia" w:ascii="宋体" w:hAnsi="宋体" w:eastAsia="宋体" w:cs="宋体"/>
          <w:szCs w:val="21"/>
          <w:lang w:val="en-US" w:eastAsia="zh-CN"/>
        </w:rPr>
      </w:pPr>
    </w:p>
    <w:p w14:paraId="2B97E89C">
      <w:pPr>
        <w:widowControl/>
        <w:jc w:val="left"/>
        <w:rPr>
          <w:rFonts w:hint="eastAsia" w:ascii="宋体" w:hAnsi="宋体" w:eastAsia="宋体" w:cs="宋体"/>
          <w:szCs w:val="21"/>
          <w:lang w:val="en-US" w:eastAsia="zh-CN"/>
        </w:rPr>
      </w:pPr>
    </w:p>
    <w:p w14:paraId="2DAE69A8">
      <w:pPr>
        <w:widowControl/>
        <w:jc w:val="left"/>
        <w:rPr>
          <w:rFonts w:hint="eastAsia" w:ascii="宋体" w:hAnsi="宋体" w:eastAsia="宋体" w:cs="宋体"/>
          <w:szCs w:val="21"/>
          <w:lang w:val="en-US" w:eastAsia="zh-CN"/>
        </w:rPr>
      </w:pPr>
    </w:p>
    <w:p w14:paraId="4F6393D9">
      <w:pPr>
        <w:widowControl/>
        <w:jc w:val="left"/>
        <w:rPr>
          <w:rFonts w:hint="eastAsia" w:ascii="宋体" w:hAnsi="宋体" w:eastAsia="宋体" w:cs="宋体"/>
          <w:szCs w:val="21"/>
          <w:lang w:val="en-US" w:eastAsia="zh-CN"/>
        </w:rPr>
      </w:pPr>
    </w:p>
    <w:p w14:paraId="3A7AA851">
      <w:pPr>
        <w:widowControl/>
        <w:jc w:val="left"/>
        <w:rPr>
          <w:rFonts w:hint="eastAsia" w:ascii="宋体" w:hAnsi="宋体" w:eastAsia="宋体" w:cs="宋体"/>
          <w:szCs w:val="21"/>
          <w:lang w:val="en-US" w:eastAsia="zh-CN"/>
        </w:rPr>
      </w:pPr>
    </w:p>
    <w:p w14:paraId="0B14C47E">
      <w:pPr>
        <w:widowControl/>
        <w:jc w:val="left"/>
        <w:rPr>
          <w:rFonts w:hint="eastAsia" w:ascii="宋体" w:hAnsi="宋体" w:eastAsia="宋体" w:cs="宋体"/>
          <w:szCs w:val="21"/>
          <w:lang w:val="en-US" w:eastAsia="zh-CN"/>
        </w:rPr>
      </w:pPr>
    </w:p>
    <w:p w14:paraId="58B0E23B">
      <w:pPr>
        <w:widowControl/>
        <w:jc w:val="left"/>
        <w:rPr>
          <w:rFonts w:hint="eastAsia" w:ascii="宋体" w:hAnsi="宋体" w:eastAsia="宋体" w:cs="宋体"/>
          <w:szCs w:val="21"/>
          <w:lang w:val="en-US" w:eastAsia="zh-CN"/>
        </w:rPr>
      </w:pPr>
    </w:p>
    <w:p w14:paraId="373695BE">
      <w:pPr>
        <w:widowControl/>
        <w:jc w:val="left"/>
        <w:rPr>
          <w:rFonts w:hint="eastAsia" w:ascii="宋体" w:hAnsi="宋体" w:eastAsia="宋体" w:cs="宋体"/>
          <w:szCs w:val="21"/>
          <w:lang w:val="en-US" w:eastAsia="zh-CN"/>
        </w:rPr>
      </w:pPr>
    </w:p>
    <w:p w14:paraId="4833DE00">
      <w:pPr>
        <w:widowControl/>
        <w:jc w:val="left"/>
        <w:rPr>
          <w:rFonts w:hint="eastAsia" w:ascii="宋体" w:hAnsi="宋体" w:eastAsia="宋体" w:cs="宋体"/>
          <w:szCs w:val="21"/>
          <w:lang w:val="en-US" w:eastAsia="zh-CN"/>
        </w:rPr>
      </w:pPr>
    </w:p>
    <w:p w14:paraId="6C065770">
      <w:pPr>
        <w:widowControl/>
        <w:jc w:val="left"/>
        <w:rPr>
          <w:rFonts w:hint="eastAsia" w:ascii="宋体" w:hAnsi="宋体" w:eastAsia="宋体" w:cs="宋体"/>
          <w:szCs w:val="21"/>
          <w:lang w:val="en-US" w:eastAsia="zh-CN"/>
        </w:rPr>
      </w:pPr>
    </w:p>
    <w:p w14:paraId="59EE9921">
      <w:pPr>
        <w:widowControl/>
        <w:jc w:val="left"/>
        <w:rPr>
          <w:rFonts w:hint="eastAsia" w:ascii="宋体" w:hAnsi="宋体" w:eastAsia="宋体" w:cs="宋体"/>
          <w:szCs w:val="21"/>
          <w:lang w:val="en-US" w:eastAsia="zh-CN"/>
        </w:rPr>
      </w:pPr>
    </w:p>
    <w:p w14:paraId="553342A7">
      <w:pPr>
        <w:widowControl/>
        <w:jc w:val="left"/>
        <w:rPr>
          <w:rFonts w:hint="eastAsia" w:ascii="宋体" w:hAnsi="宋体" w:eastAsia="宋体" w:cs="宋体"/>
          <w:szCs w:val="21"/>
          <w:lang w:val="en-US" w:eastAsia="zh-CN"/>
        </w:rPr>
      </w:pPr>
    </w:p>
    <w:p w14:paraId="0EBBE035">
      <w:pPr>
        <w:widowControl/>
        <w:jc w:val="left"/>
        <w:rPr>
          <w:rFonts w:hint="eastAsia" w:ascii="宋体" w:hAnsi="宋体" w:eastAsia="宋体" w:cs="宋体"/>
          <w:szCs w:val="21"/>
          <w:lang w:val="en-US" w:eastAsia="zh-CN"/>
        </w:rPr>
      </w:pPr>
    </w:p>
    <w:p w14:paraId="78EE5798">
      <w:pPr>
        <w:widowControl/>
        <w:jc w:val="left"/>
        <w:rPr>
          <w:rFonts w:hint="eastAsia" w:ascii="宋体" w:hAnsi="宋体" w:eastAsia="宋体" w:cs="宋体"/>
          <w:szCs w:val="21"/>
          <w:lang w:val="en-US" w:eastAsia="zh-CN"/>
        </w:rPr>
      </w:pPr>
    </w:p>
    <w:p w14:paraId="15E28DDC">
      <w:pPr>
        <w:widowControl/>
        <w:jc w:val="left"/>
        <w:rPr>
          <w:rFonts w:hint="eastAsia" w:ascii="宋体" w:hAnsi="宋体" w:eastAsia="宋体" w:cs="宋体"/>
          <w:szCs w:val="21"/>
          <w:lang w:val="en-US" w:eastAsia="zh-CN"/>
        </w:rPr>
      </w:pPr>
    </w:p>
    <w:p w14:paraId="5B690E74">
      <w:pPr>
        <w:widowControl/>
        <w:jc w:val="left"/>
        <w:rPr>
          <w:rFonts w:hint="eastAsia" w:ascii="宋体" w:hAnsi="宋体" w:eastAsia="宋体" w:cs="宋体"/>
          <w:szCs w:val="21"/>
          <w:lang w:val="en-US" w:eastAsia="zh-CN"/>
        </w:rPr>
      </w:pPr>
    </w:p>
    <w:p w14:paraId="6ECF3F3B">
      <w:pPr>
        <w:widowControl/>
        <w:jc w:val="left"/>
        <w:rPr>
          <w:rFonts w:hint="eastAsia" w:ascii="宋体" w:hAnsi="宋体" w:eastAsia="宋体" w:cs="宋体"/>
          <w:szCs w:val="21"/>
          <w:lang w:val="en-US" w:eastAsia="zh-CN"/>
        </w:rPr>
      </w:pPr>
    </w:p>
    <w:p w14:paraId="26F77860">
      <w:pPr>
        <w:widowControl/>
        <w:jc w:val="left"/>
        <w:rPr>
          <w:rFonts w:hint="eastAsia" w:ascii="宋体" w:hAnsi="宋体" w:eastAsia="宋体" w:cs="宋体"/>
          <w:szCs w:val="21"/>
          <w:lang w:val="en-US" w:eastAsia="zh-CN"/>
        </w:rPr>
      </w:pPr>
    </w:p>
    <w:p w14:paraId="775252A0">
      <w:pPr>
        <w:widowControl/>
        <w:jc w:val="left"/>
        <w:rPr>
          <w:rFonts w:hint="eastAsia" w:ascii="宋体" w:hAnsi="宋体" w:eastAsia="宋体" w:cs="宋体"/>
          <w:szCs w:val="21"/>
          <w:lang w:val="en-US" w:eastAsia="zh-CN"/>
        </w:rPr>
      </w:pPr>
    </w:p>
    <w:p w14:paraId="68E6443C">
      <w:pPr>
        <w:widowControl/>
        <w:jc w:val="left"/>
        <w:rPr>
          <w:rFonts w:hint="eastAsia" w:ascii="宋体" w:hAnsi="宋体" w:eastAsia="宋体" w:cs="宋体"/>
          <w:szCs w:val="21"/>
          <w:lang w:val="en-US" w:eastAsia="zh-CN"/>
        </w:rPr>
      </w:pPr>
    </w:p>
    <w:p w14:paraId="58231D90">
      <w:pPr>
        <w:widowControl/>
        <w:jc w:val="left"/>
        <w:rPr>
          <w:rFonts w:hint="eastAsia" w:ascii="宋体" w:hAnsi="宋体" w:eastAsia="宋体" w:cs="宋体"/>
          <w:szCs w:val="21"/>
          <w:lang w:val="en-US" w:eastAsia="zh-CN"/>
        </w:rPr>
      </w:pPr>
    </w:p>
    <w:p w14:paraId="46BA5897">
      <w:pPr>
        <w:widowControl/>
        <w:jc w:val="left"/>
        <w:rPr>
          <w:rFonts w:hint="eastAsia" w:ascii="宋体" w:hAnsi="宋体" w:eastAsia="宋体" w:cs="宋体"/>
          <w:szCs w:val="21"/>
          <w:lang w:val="en-US" w:eastAsia="zh-CN"/>
        </w:rPr>
      </w:pPr>
    </w:p>
    <w:p w14:paraId="1DA01FC3">
      <w:pPr>
        <w:widowControl/>
        <w:jc w:val="left"/>
        <w:rPr>
          <w:rFonts w:hint="eastAsia" w:ascii="宋体" w:hAnsi="宋体" w:eastAsia="宋体" w:cs="宋体"/>
          <w:szCs w:val="21"/>
          <w:lang w:val="en-US" w:eastAsia="zh-CN"/>
        </w:rPr>
      </w:pPr>
    </w:p>
    <w:p w14:paraId="71EFDCCE">
      <w:pPr>
        <w:widowControl/>
        <w:jc w:val="left"/>
        <w:rPr>
          <w:rFonts w:hint="eastAsia" w:ascii="宋体" w:hAnsi="宋体" w:eastAsia="宋体" w:cs="宋体"/>
          <w:szCs w:val="21"/>
          <w:lang w:val="en-US" w:eastAsia="zh-CN"/>
        </w:rPr>
      </w:pPr>
    </w:p>
    <w:p w14:paraId="57E5FAE7">
      <w:pPr>
        <w:widowControl/>
        <w:jc w:val="left"/>
        <w:rPr>
          <w:rFonts w:hint="eastAsia" w:ascii="宋体" w:hAnsi="宋体" w:eastAsia="宋体" w:cs="宋体"/>
          <w:szCs w:val="21"/>
          <w:lang w:val="en-US" w:eastAsia="zh-CN"/>
        </w:rPr>
      </w:pPr>
    </w:p>
    <w:p w14:paraId="0F52A45C">
      <w:pPr>
        <w:widowControl/>
        <w:jc w:val="left"/>
        <w:rPr>
          <w:rFonts w:hint="eastAsia" w:ascii="宋体" w:hAnsi="宋体" w:eastAsia="宋体" w:cs="宋体"/>
          <w:szCs w:val="21"/>
          <w:lang w:val="en-US" w:eastAsia="zh-CN"/>
        </w:rPr>
      </w:pPr>
    </w:p>
    <w:p w14:paraId="7284D5B8">
      <w:pPr>
        <w:widowControl/>
        <w:jc w:val="left"/>
        <w:rPr>
          <w:rFonts w:hint="eastAsia" w:ascii="宋体" w:hAnsi="宋体" w:eastAsia="宋体" w:cs="宋体"/>
          <w:szCs w:val="21"/>
          <w:lang w:val="en-US" w:eastAsia="zh-CN"/>
        </w:rPr>
      </w:pPr>
    </w:p>
    <w:p w14:paraId="048CE9F6">
      <w:pPr>
        <w:widowControl/>
        <w:jc w:val="left"/>
        <w:rPr>
          <w:rFonts w:hint="eastAsia" w:ascii="宋体" w:hAnsi="宋体" w:eastAsia="宋体" w:cs="宋体"/>
          <w:szCs w:val="21"/>
          <w:lang w:val="en-US" w:eastAsia="zh-CN"/>
        </w:rPr>
      </w:pPr>
    </w:p>
    <w:p w14:paraId="0495DB7F">
      <w:pPr>
        <w:widowControl/>
        <w:jc w:val="left"/>
        <w:rPr>
          <w:rFonts w:hint="eastAsia" w:ascii="宋体" w:hAnsi="宋体" w:eastAsia="宋体" w:cs="宋体"/>
          <w:szCs w:val="21"/>
          <w:lang w:val="en-US" w:eastAsia="zh-CN"/>
        </w:rPr>
      </w:pPr>
    </w:p>
    <w:p w14:paraId="2B836820">
      <w:pPr>
        <w:widowControl/>
        <w:jc w:val="left"/>
        <w:rPr>
          <w:rFonts w:hint="eastAsia" w:ascii="宋体" w:hAnsi="宋体" w:eastAsia="宋体" w:cs="宋体"/>
          <w:szCs w:val="21"/>
          <w:lang w:val="en-US" w:eastAsia="zh-CN"/>
        </w:rPr>
      </w:pPr>
    </w:p>
    <w:p w14:paraId="5DDCC702">
      <w:pPr>
        <w:widowControl/>
        <w:jc w:val="left"/>
        <w:rPr>
          <w:rFonts w:hint="eastAsia" w:ascii="宋体" w:hAnsi="宋体" w:eastAsia="宋体" w:cs="宋体"/>
          <w:szCs w:val="21"/>
          <w:lang w:val="en-US" w:eastAsia="zh-CN"/>
        </w:rPr>
      </w:pPr>
    </w:p>
    <w:p w14:paraId="596D1E3C">
      <w:pPr>
        <w:widowControl/>
        <w:jc w:val="left"/>
        <w:rPr>
          <w:rFonts w:hint="eastAsia" w:ascii="宋体" w:hAnsi="宋体" w:eastAsia="宋体" w:cs="宋体"/>
          <w:szCs w:val="21"/>
          <w:lang w:val="en-US" w:eastAsia="zh-CN"/>
        </w:rPr>
      </w:pPr>
    </w:p>
    <w:p w14:paraId="070459B2">
      <w:pPr>
        <w:widowControl/>
        <w:jc w:val="left"/>
        <w:rPr>
          <w:rFonts w:hint="eastAsia" w:ascii="宋体" w:hAnsi="宋体" w:eastAsia="宋体" w:cs="宋体"/>
          <w:szCs w:val="21"/>
          <w:lang w:val="en-US" w:eastAsia="zh-CN"/>
        </w:rPr>
      </w:pPr>
    </w:p>
    <w:p w14:paraId="3F6E32D4">
      <w:pPr>
        <w:widowControl/>
        <w:jc w:val="left"/>
        <w:rPr>
          <w:rFonts w:hint="eastAsia" w:ascii="宋体" w:hAnsi="宋体" w:eastAsia="宋体" w:cs="宋体"/>
          <w:szCs w:val="21"/>
          <w:lang w:val="en-US" w:eastAsia="zh-CN"/>
        </w:rPr>
      </w:pPr>
    </w:p>
    <w:p w14:paraId="36A27405">
      <w:pPr>
        <w:widowControl/>
        <w:jc w:val="left"/>
        <w:rPr>
          <w:rFonts w:hint="eastAsia" w:ascii="宋体" w:hAnsi="宋体" w:eastAsia="宋体" w:cs="宋体"/>
          <w:szCs w:val="21"/>
          <w:lang w:val="en-US" w:eastAsia="zh-CN"/>
        </w:rPr>
      </w:pPr>
    </w:p>
    <w:p w14:paraId="4D3E64AE">
      <w:pPr>
        <w:widowControl/>
        <w:jc w:val="left"/>
        <w:rPr>
          <w:rFonts w:hint="eastAsia" w:ascii="宋体" w:hAnsi="宋体" w:eastAsia="宋体" w:cs="宋体"/>
          <w:szCs w:val="21"/>
          <w:lang w:val="en-US" w:eastAsia="zh-CN"/>
        </w:rPr>
      </w:pPr>
    </w:p>
    <w:p w14:paraId="0925F6D9">
      <w:pPr>
        <w:widowControl/>
        <w:jc w:val="left"/>
        <w:rPr>
          <w:rFonts w:hint="eastAsia" w:ascii="宋体" w:hAnsi="宋体" w:eastAsia="宋体" w:cs="宋体"/>
          <w:szCs w:val="21"/>
          <w:lang w:val="en-US" w:eastAsia="zh-CN"/>
        </w:rPr>
      </w:pPr>
    </w:p>
    <w:p w14:paraId="2F3597D0">
      <w:pPr>
        <w:widowControl/>
        <w:jc w:val="left"/>
        <w:rPr>
          <w:rFonts w:hint="eastAsia" w:ascii="宋体" w:hAnsi="宋体" w:eastAsia="宋体" w:cs="宋体"/>
          <w:szCs w:val="21"/>
          <w:lang w:val="en-US" w:eastAsia="zh-CN"/>
        </w:rPr>
      </w:pPr>
    </w:p>
    <w:p w14:paraId="0D8B6087">
      <w:pPr>
        <w:widowControl/>
        <w:jc w:val="left"/>
        <w:rPr>
          <w:rFonts w:hint="eastAsia" w:ascii="宋体" w:hAnsi="宋体" w:eastAsia="宋体" w:cs="宋体"/>
          <w:szCs w:val="21"/>
          <w:lang w:val="en-US" w:eastAsia="zh-CN"/>
        </w:rPr>
      </w:pPr>
    </w:p>
    <w:p w14:paraId="01178E57">
      <w:pPr>
        <w:widowControl/>
        <w:jc w:val="left"/>
        <w:rPr>
          <w:rFonts w:hint="eastAsia" w:ascii="宋体" w:hAnsi="宋体" w:eastAsia="宋体" w:cs="宋体"/>
          <w:szCs w:val="21"/>
          <w:lang w:val="en-US" w:eastAsia="zh-CN"/>
        </w:rPr>
      </w:pPr>
    </w:p>
    <w:p w14:paraId="466348D7">
      <w:pPr>
        <w:widowControl/>
        <w:jc w:val="left"/>
        <w:rPr>
          <w:rFonts w:hint="eastAsia" w:ascii="宋体" w:hAnsi="宋体" w:eastAsia="宋体" w:cs="宋体"/>
          <w:szCs w:val="21"/>
          <w:lang w:val="en-US" w:eastAsia="zh-CN"/>
        </w:rPr>
      </w:pPr>
    </w:p>
    <w:p w14:paraId="68F53677">
      <w:pPr>
        <w:widowControl/>
        <w:jc w:val="left"/>
        <w:rPr>
          <w:rFonts w:hint="eastAsia" w:ascii="宋体" w:hAnsi="宋体" w:eastAsia="宋体" w:cs="宋体"/>
          <w:szCs w:val="21"/>
          <w:lang w:val="en-US" w:eastAsia="zh-CN"/>
        </w:rPr>
      </w:pPr>
    </w:p>
    <w:p w14:paraId="553BA981">
      <w:pPr>
        <w:widowControl/>
        <w:jc w:val="left"/>
        <w:rPr>
          <w:rFonts w:hint="eastAsia" w:ascii="宋体" w:hAnsi="宋体" w:eastAsia="宋体" w:cs="宋体"/>
          <w:szCs w:val="21"/>
          <w:lang w:val="en-US" w:eastAsia="zh-CN"/>
        </w:rPr>
      </w:pPr>
    </w:p>
    <w:p w14:paraId="2A14582A">
      <w:pPr>
        <w:widowControl/>
        <w:jc w:val="left"/>
        <w:rPr>
          <w:rFonts w:hint="eastAsia" w:ascii="宋体" w:hAnsi="宋体" w:eastAsia="宋体" w:cs="宋体"/>
          <w:szCs w:val="21"/>
          <w:lang w:val="en-US" w:eastAsia="zh-CN"/>
        </w:rPr>
      </w:pPr>
    </w:p>
    <w:p w14:paraId="0AF6DD8D">
      <w:pPr>
        <w:widowControl/>
        <w:jc w:val="left"/>
        <w:rPr>
          <w:rFonts w:hint="eastAsia" w:ascii="宋体" w:hAnsi="宋体" w:eastAsia="宋体" w:cs="宋体"/>
          <w:szCs w:val="21"/>
          <w:lang w:val="en-US" w:eastAsia="zh-CN"/>
        </w:rPr>
      </w:pPr>
    </w:p>
    <w:p w14:paraId="2A9C0362">
      <w:pPr>
        <w:widowControl/>
        <w:jc w:val="left"/>
        <w:rPr>
          <w:rFonts w:hint="eastAsia" w:ascii="宋体" w:hAnsi="宋体" w:eastAsia="宋体" w:cs="宋体"/>
          <w:szCs w:val="21"/>
          <w:lang w:val="en-US" w:eastAsia="zh-CN"/>
        </w:rPr>
      </w:pPr>
    </w:p>
    <w:p w14:paraId="0A289F8E">
      <w:pPr>
        <w:widowControl/>
        <w:jc w:val="left"/>
        <w:rPr>
          <w:rFonts w:hint="eastAsia" w:ascii="宋体" w:hAnsi="宋体" w:eastAsia="宋体" w:cs="宋体"/>
          <w:szCs w:val="21"/>
          <w:lang w:val="en-US" w:eastAsia="zh-CN"/>
        </w:rPr>
      </w:pPr>
    </w:p>
    <w:p w14:paraId="636CE8A4">
      <w:pPr>
        <w:widowControl/>
        <w:jc w:val="left"/>
        <w:rPr>
          <w:rFonts w:hint="eastAsia" w:ascii="宋体" w:hAnsi="宋体" w:eastAsia="宋体" w:cs="宋体"/>
          <w:szCs w:val="21"/>
          <w:lang w:val="en-US" w:eastAsia="zh-CN"/>
        </w:rPr>
      </w:pPr>
    </w:p>
    <w:p w14:paraId="72A308B1">
      <w:pPr>
        <w:widowControl/>
        <w:jc w:val="left"/>
        <w:rPr>
          <w:rFonts w:hint="eastAsia" w:ascii="宋体" w:hAnsi="宋体" w:eastAsia="宋体" w:cs="宋体"/>
          <w:szCs w:val="21"/>
          <w:lang w:val="en-US" w:eastAsia="zh-CN"/>
        </w:rPr>
      </w:pPr>
    </w:p>
    <w:p w14:paraId="2EF4DB80">
      <w:pPr>
        <w:pStyle w:val="4"/>
        <w:keepNext w:val="0"/>
        <w:keepLines w:val="0"/>
        <w:widowControl/>
        <w:suppressLineNumbers w:val="0"/>
        <w:spacing w:line="560" w:lineRule="atLeast"/>
        <w:ind w:left="0" w:firstLine="0"/>
        <w:jc w:val="center"/>
        <w:rPr>
          <w:rFonts w:hint="eastAsia" w:ascii="宋体" w:hAnsi="宋体" w:eastAsia="宋体" w:cs="宋体"/>
          <w:i w:val="0"/>
          <w:iCs w:val="0"/>
          <w:caps w:val="0"/>
          <w:color w:val="000000"/>
          <w:spacing w:val="0"/>
          <w:sz w:val="44"/>
          <w:szCs w:val="44"/>
          <w:lang w:val="en-US" w:eastAsia="zh-CN"/>
        </w:rPr>
      </w:pPr>
      <w:r>
        <w:rPr>
          <w:rFonts w:hint="eastAsia" w:ascii="宋体" w:hAnsi="宋体" w:eastAsia="宋体" w:cs="宋体"/>
          <w:i w:val="0"/>
          <w:iCs w:val="0"/>
          <w:caps w:val="0"/>
          <w:color w:val="000000"/>
          <w:spacing w:val="0"/>
          <w:sz w:val="44"/>
          <w:szCs w:val="44"/>
          <w:lang w:val="en-US" w:eastAsia="zh-CN"/>
        </w:rPr>
        <w:t>安徽省煤炭科学研究院矿山灾害调查治理及检测技术能力建设项目更正公告</w:t>
      </w:r>
    </w:p>
    <w:p w14:paraId="3CC5CD96">
      <w:pPr>
        <w:rPr>
          <w:rFonts w:hint="eastAsia"/>
          <w:lang w:val="en-US" w:eastAsia="zh-CN"/>
        </w:rPr>
      </w:pPr>
    </w:p>
    <w:p w14:paraId="0EC04A9C">
      <w:pPr>
        <w:pStyle w:val="41"/>
        <w:keepNext w:val="0"/>
        <w:keepLines w:val="0"/>
        <w:pageBreakBefore w:val="0"/>
        <w:widowControl/>
        <w:suppressLineNumbers w:val="0"/>
        <w:kinsoku/>
        <w:wordWrap w:val="0"/>
        <w:overflowPunct/>
        <w:topLinePunct w:val="0"/>
        <w:bidi w:val="0"/>
        <w:spacing w:before="0" w:beforeAutospacing="0" w:after="0" w:afterAutospacing="0" w:line="560" w:lineRule="exact"/>
        <w:ind w:left="0" w:right="0" w:firstLine="0"/>
        <w:textAlignment w:val="auto"/>
        <w:rPr>
          <w:rFonts w:hint="eastAsia" w:ascii="微软雅黑" w:hAnsi="微软雅黑" w:eastAsia="微软雅黑" w:cs="微软雅黑"/>
          <w:i w:val="0"/>
          <w:iCs w:val="0"/>
          <w:caps w:val="0"/>
          <w:color w:val="000000"/>
          <w:spacing w:val="0"/>
          <w:sz w:val="27"/>
          <w:szCs w:val="27"/>
        </w:rPr>
      </w:pPr>
      <w:r>
        <w:rPr>
          <w:rFonts w:ascii="黑体" w:hAnsi="宋体" w:eastAsia="黑体" w:cs="黑体"/>
          <w:i w:val="0"/>
          <w:iCs w:val="0"/>
          <w:caps w:val="0"/>
          <w:color w:val="000000"/>
          <w:spacing w:val="0"/>
          <w:sz w:val="28"/>
          <w:szCs w:val="28"/>
        </w:rPr>
        <w:t>一、项目基本情况</w:t>
      </w:r>
    </w:p>
    <w:p w14:paraId="7A51FAF4">
      <w:pPr>
        <w:keepNext w:val="0"/>
        <w:keepLines w:val="0"/>
        <w:pageBreakBefore w:val="0"/>
        <w:tabs>
          <w:tab w:val="left" w:pos="2410"/>
        </w:tabs>
        <w:kinsoku/>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项目编号：</w:t>
      </w:r>
      <w:r>
        <w:rPr>
          <w:rFonts w:hint="eastAsia" w:ascii="仿宋" w:hAnsi="仿宋" w:eastAsia="仿宋" w:cs="仿宋"/>
          <w:sz w:val="28"/>
          <w:szCs w:val="28"/>
        </w:rPr>
        <w:t>FS34000120255461号</w:t>
      </w:r>
      <w:r>
        <w:rPr>
          <w:rFonts w:hint="eastAsia" w:ascii="仿宋" w:hAnsi="仿宋" w:eastAsia="仿宋" w:cs="仿宋"/>
          <w:sz w:val="28"/>
          <w:szCs w:val="28"/>
          <w:lang w:val="en-US" w:eastAsia="zh-CN"/>
        </w:rPr>
        <w:t>/ZF2025-03-1233</w:t>
      </w:r>
    </w:p>
    <w:p w14:paraId="411F0445">
      <w:pPr>
        <w:keepNext w:val="0"/>
        <w:keepLines w:val="0"/>
        <w:pageBreakBefore w:val="0"/>
        <w:tabs>
          <w:tab w:val="left" w:pos="2410"/>
        </w:tabs>
        <w:kinsoku/>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sz w:val="28"/>
          <w:szCs w:val="28"/>
          <w:lang w:val="en-US" w:eastAsia="zh-CN"/>
        </w:rPr>
        <w:t>项目名称：</w:t>
      </w:r>
      <w:r>
        <w:rPr>
          <w:rFonts w:hint="eastAsia" w:ascii="仿宋" w:hAnsi="仿宋" w:eastAsia="仿宋" w:cs="仿宋"/>
          <w:sz w:val="28"/>
          <w:szCs w:val="28"/>
        </w:rPr>
        <w:t>安徽省煤炭科学研究院矿山灾害调查治理及检测技术能力建设项目</w:t>
      </w:r>
    </w:p>
    <w:p w14:paraId="583EB5CA">
      <w:pPr>
        <w:keepNext w:val="0"/>
        <w:keepLines w:val="0"/>
        <w:pageBreakBefore w:val="0"/>
        <w:tabs>
          <w:tab w:val="left" w:pos="2410"/>
        </w:tabs>
        <w:kinsoku/>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首次公告日期：2025年</w:t>
      </w:r>
      <w:r>
        <w:rPr>
          <w:rFonts w:hint="eastAsia" w:ascii="仿宋" w:hAnsi="仿宋" w:eastAsia="仿宋" w:cs="仿宋"/>
          <w:sz w:val="28"/>
          <w:szCs w:val="28"/>
          <w:lang w:val="en-US" w:eastAsia="zh-CN"/>
        </w:rPr>
        <w:t>8</w:t>
      </w:r>
      <w:r>
        <w:rPr>
          <w:rFonts w:hint="eastAsia" w:ascii="仿宋" w:hAnsi="仿宋" w:eastAsia="仿宋" w:cs="仿宋"/>
          <w:sz w:val="28"/>
          <w:szCs w:val="28"/>
        </w:rPr>
        <w:t>月</w:t>
      </w:r>
      <w:r>
        <w:rPr>
          <w:rFonts w:hint="eastAsia" w:ascii="仿宋" w:hAnsi="仿宋" w:eastAsia="仿宋" w:cs="仿宋"/>
          <w:sz w:val="28"/>
          <w:szCs w:val="28"/>
          <w:lang w:val="en-US" w:eastAsia="zh-CN"/>
        </w:rPr>
        <w:t>25</w:t>
      </w:r>
      <w:r>
        <w:rPr>
          <w:rFonts w:hint="eastAsia" w:ascii="仿宋" w:hAnsi="仿宋" w:eastAsia="仿宋" w:cs="仿宋"/>
          <w:sz w:val="28"/>
          <w:szCs w:val="28"/>
        </w:rPr>
        <w:t>日</w:t>
      </w:r>
    </w:p>
    <w:p w14:paraId="4EA59004">
      <w:pPr>
        <w:pStyle w:val="41"/>
        <w:keepNext w:val="0"/>
        <w:keepLines w:val="0"/>
        <w:pageBreakBefore w:val="0"/>
        <w:widowControl/>
        <w:suppressLineNumbers w:val="0"/>
        <w:kinsoku/>
        <w:wordWrap w:val="0"/>
        <w:overflowPunct/>
        <w:topLinePunct w:val="0"/>
        <w:bidi w:val="0"/>
        <w:spacing w:before="0" w:beforeAutospacing="0" w:after="0" w:afterAutospacing="0" w:line="560" w:lineRule="exact"/>
        <w:ind w:left="0" w:right="0" w:firstLine="0"/>
        <w:textAlignment w:val="auto"/>
        <w:rPr>
          <w:rFonts w:hint="eastAsia" w:ascii="黑体" w:hAnsi="宋体" w:eastAsia="黑体" w:cs="黑体"/>
          <w:i w:val="0"/>
          <w:iCs w:val="0"/>
          <w:caps w:val="0"/>
          <w:color w:val="000000"/>
          <w:spacing w:val="0"/>
          <w:sz w:val="28"/>
          <w:szCs w:val="28"/>
          <w:lang w:val="en-US" w:eastAsia="zh-CN"/>
        </w:rPr>
      </w:pPr>
      <w:r>
        <w:rPr>
          <w:rFonts w:hint="eastAsia" w:ascii="黑体" w:hAnsi="宋体" w:eastAsia="黑体" w:cs="黑体"/>
          <w:i w:val="0"/>
          <w:iCs w:val="0"/>
          <w:caps w:val="0"/>
          <w:color w:val="000000"/>
          <w:spacing w:val="0"/>
          <w:sz w:val="28"/>
          <w:szCs w:val="28"/>
          <w:lang w:val="en-US" w:eastAsia="zh-CN"/>
        </w:rPr>
        <w:t>二、更正信息</w:t>
      </w:r>
    </w:p>
    <w:p w14:paraId="5C386864">
      <w:pPr>
        <w:keepNext w:val="0"/>
        <w:keepLines w:val="0"/>
        <w:pageBreakBefore w:val="0"/>
        <w:tabs>
          <w:tab w:val="left" w:pos="2410"/>
        </w:tabs>
        <w:kinsoku/>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更正事项：□ 采购公告    ☑ 采购文件   □ 采购结果</w:t>
      </w:r>
    </w:p>
    <w:p w14:paraId="1D121B87">
      <w:pPr>
        <w:keepNext w:val="0"/>
        <w:keepLines w:val="0"/>
        <w:pageBreakBefore w:val="0"/>
        <w:tabs>
          <w:tab w:val="left" w:pos="2410"/>
        </w:tabs>
        <w:kinsoku/>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更正内容：</w:t>
      </w:r>
    </w:p>
    <w:p w14:paraId="1C6D81A1">
      <w:pPr>
        <w:keepNext w:val="0"/>
        <w:keepLines w:val="0"/>
        <w:pageBreakBefore w:val="0"/>
        <w:numPr>
          <w:ilvl w:val="0"/>
          <w:numId w:val="23"/>
        </w:numPr>
        <w:tabs>
          <w:tab w:val="left" w:pos="2410"/>
        </w:tabs>
        <w:kinsoku/>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本项目招标文件第三章采购需求中“4.2技术要求表”现更正如下：</w:t>
      </w:r>
    </w:p>
    <w:tbl>
      <w:tblPr>
        <w:tblStyle w:val="47"/>
        <w:tblW w:w="9184"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942"/>
        <w:gridCol w:w="2297"/>
        <w:gridCol w:w="5945"/>
      </w:tblGrid>
      <w:tr w14:paraId="52C29CF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CC7A1D">
            <w:pPr>
              <w:widowControl/>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D9EE094">
            <w:pPr>
              <w:widowControl/>
              <w:autoSpaceDN w:val="0"/>
              <w:spacing w:line="360" w:lineRule="auto"/>
              <w:jc w:val="center"/>
              <w:rPr>
                <w:rFonts w:ascii="仿宋" w:hAnsi="仿宋" w:eastAsia="仿宋" w:cs="仿宋"/>
                <w:sz w:val="24"/>
              </w:rPr>
            </w:pPr>
            <w:r>
              <w:rPr>
                <w:rFonts w:hint="eastAsia" w:ascii="仿宋" w:hAnsi="仿宋" w:eastAsia="仿宋" w:cs="仿宋"/>
                <w:sz w:val="24"/>
              </w:rPr>
              <w:t>标的名称</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2A2D39">
            <w:pPr>
              <w:widowControl/>
              <w:autoSpaceDN w:val="0"/>
              <w:spacing w:line="360" w:lineRule="auto"/>
              <w:jc w:val="center"/>
              <w:rPr>
                <w:rFonts w:ascii="仿宋" w:hAnsi="仿宋" w:eastAsia="仿宋" w:cs="仿宋"/>
                <w:sz w:val="24"/>
              </w:rPr>
            </w:pPr>
            <w:r>
              <w:rPr>
                <w:rFonts w:hint="eastAsia" w:ascii="仿宋" w:hAnsi="仿宋" w:eastAsia="仿宋" w:cs="仿宋"/>
                <w:sz w:val="24"/>
              </w:rPr>
              <w:t>技术性能参数</w:t>
            </w:r>
          </w:p>
        </w:tc>
      </w:tr>
      <w:tr w14:paraId="46A067BB">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2A11A8">
            <w:pPr>
              <w:widowControl/>
              <w:autoSpaceDN w:val="0"/>
              <w:spacing w:line="360" w:lineRule="auto"/>
              <w:jc w:val="center"/>
              <w:rPr>
                <w:rFonts w:ascii="仿宋" w:hAnsi="仿宋" w:eastAsia="仿宋" w:cs="仿宋"/>
                <w:sz w:val="24"/>
              </w:rPr>
            </w:pPr>
            <w:r>
              <w:rPr>
                <w:rFonts w:hint="eastAsia" w:ascii="仿宋" w:hAnsi="仿宋" w:eastAsia="仿宋" w:cs="仿宋"/>
                <w:sz w:val="24"/>
              </w:rPr>
              <w:t>1</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27E192">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jc w:val="center"/>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微型地震探测仪台站</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77AE8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★（5）动态范围：不低于130dB</w:t>
            </w:r>
          </w:p>
          <w:p w14:paraId="2E15C08D">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default"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137E29F8">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●（5）动态范围：不低于130dB</w:t>
            </w:r>
          </w:p>
          <w:p w14:paraId="4DE7DEE2">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p>
          <w:p w14:paraId="486F37C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★（8）时钟同步偏差：GPS/北斗卫星同步。时钟同步误差小于1μs</w:t>
            </w:r>
          </w:p>
          <w:p w14:paraId="0DE4745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17EDA578">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●（8）时钟同步偏差：GPS/北斗卫星同步。时钟同步误差小于1μs</w:t>
            </w:r>
          </w:p>
        </w:tc>
      </w:tr>
      <w:tr w14:paraId="6CA2A735">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DD3028">
            <w:pPr>
              <w:widowControl/>
              <w:autoSpaceDN w:val="0"/>
              <w:spacing w:line="360" w:lineRule="auto"/>
              <w:jc w:val="center"/>
              <w:rPr>
                <w:rFonts w:ascii="仿宋" w:hAnsi="仿宋" w:eastAsia="仿宋" w:cs="仿宋"/>
                <w:sz w:val="24"/>
              </w:rPr>
            </w:pPr>
            <w:r>
              <w:rPr>
                <w:rFonts w:hint="eastAsia" w:ascii="仿宋" w:hAnsi="仿宋" w:eastAsia="仿宋" w:cs="仿宋"/>
                <w:sz w:val="24"/>
              </w:rPr>
              <w:t>7</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940A618">
            <w:pPr>
              <w:pStyle w:val="2"/>
              <w:widowControl/>
              <w:spacing w:before="480" w:after="0" w:line="360" w:lineRule="auto"/>
              <w:jc w:val="center"/>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煤岩试样自动加工及数据采集系统</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C55F26">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★3.6 速度范围：8～10米/秒（可调），投标文件中提供第三方检测机构出具带CMA 标识的检测报告扫描件</w:t>
            </w:r>
          </w:p>
          <w:p w14:paraId="54C157D4">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7467036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●3.6 速度范围：8～10米/秒（可调），投标文件中提供第三方检测机构出具带CMA 标识的检测报告扫描件</w:t>
            </w:r>
          </w:p>
          <w:p w14:paraId="6E325ED7">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p>
          <w:p w14:paraId="7336C207">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★3.8 粗糙度/µm：Ra≤2.5，投标文件中提供第三方检测机构出具带CMA标识的检测报告扫描件</w:t>
            </w:r>
          </w:p>
          <w:p w14:paraId="0BF74524">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22A9EB25">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ascii="仿宋" w:hAnsi="仿宋" w:eastAsia="仿宋" w:cs="仿宋"/>
                <w:b/>
                <w:bCs/>
                <w:sz w:val="24"/>
              </w:rPr>
            </w:pPr>
            <w:r>
              <w:rPr>
                <w:rFonts w:hint="eastAsia" w:ascii="仿宋" w:hAnsi="仿宋" w:eastAsia="仿宋" w:cs="仿宋"/>
                <w:b w:val="0"/>
                <w:bCs w:val="0"/>
                <w:i w:val="0"/>
                <w:iCs w:val="0"/>
                <w:caps w:val="0"/>
                <w:color w:val="000000"/>
                <w:spacing w:val="0"/>
                <w:kern w:val="0"/>
                <w:sz w:val="28"/>
                <w:szCs w:val="28"/>
                <w:lang w:val="en-US" w:eastAsia="zh-CN" w:bidi="ar"/>
              </w:rPr>
              <w:t>●3.8 粗糙度/µm：Ra≤2.5，投标文件中提供第三方检测机构出具带CMA标识的检测报告扫描件</w:t>
            </w:r>
          </w:p>
        </w:tc>
      </w:tr>
      <w:tr w14:paraId="6ADBD726">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9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E09FD4">
            <w:pPr>
              <w:widowControl/>
              <w:autoSpaceDN w:val="0"/>
              <w:spacing w:line="360" w:lineRule="auto"/>
              <w:jc w:val="center"/>
              <w:rPr>
                <w:rFonts w:ascii="仿宋" w:hAnsi="仿宋" w:eastAsia="仿宋" w:cs="仿宋"/>
                <w:sz w:val="24"/>
              </w:rPr>
            </w:pPr>
            <w:r>
              <w:rPr>
                <w:rFonts w:hint="eastAsia" w:ascii="仿宋" w:hAnsi="仿宋" w:eastAsia="仿宋" w:cs="仿宋"/>
                <w:sz w:val="24"/>
              </w:rPr>
              <w:t>8</w:t>
            </w:r>
          </w:p>
        </w:tc>
        <w:tc>
          <w:tcPr>
            <w:tcW w:w="22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16C576">
            <w:pPr>
              <w:pStyle w:val="2"/>
              <w:widowControl/>
              <w:spacing w:before="480" w:after="0" w:line="360" w:lineRule="auto"/>
              <w:jc w:val="center"/>
              <w:rPr>
                <w:rFonts w:ascii="仿宋" w:hAnsi="仿宋" w:eastAsia="仿宋" w:cs="仿宋"/>
                <w:b w:val="0"/>
                <w:bCs w:val="0"/>
                <w:kern w:val="2"/>
                <w:sz w:val="24"/>
                <w:szCs w:val="24"/>
              </w:rPr>
            </w:pPr>
            <w:r>
              <w:rPr>
                <w:rFonts w:hint="eastAsia" w:ascii="仿宋" w:hAnsi="仿宋" w:eastAsia="仿宋" w:cs="仿宋"/>
                <w:b w:val="0"/>
                <w:bCs w:val="0"/>
                <w:i w:val="0"/>
                <w:iCs w:val="0"/>
                <w:caps w:val="0"/>
                <w:color w:val="000000"/>
                <w:spacing w:val="0"/>
                <w:kern w:val="0"/>
                <w:sz w:val="28"/>
                <w:szCs w:val="28"/>
                <w:lang w:val="en-US" w:eastAsia="zh-CN" w:bidi="ar"/>
              </w:rPr>
              <w:t>热重分析仪</w:t>
            </w:r>
          </w:p>
        </w:tc>
        <w:tc>
          <w:tcPr>
            <w:tcW w:w="594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D6FFE8E">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★5.炉体冷却方式：水冷无尘方式循环冷却设计（投标时须提供实物图或官网截图证明）</w:t>
            </w:r>
          </w:p>
          <w:p w14:paraId="22D8DA44">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44590537">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●5.炉体冷却方式：水冷无尘方式循环冷却设计（投标时须提供实物图或官网截图证明）</w:t>
            </w:r>
          </w:p>
          <w:p w14:paraId="1592C469">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p>
          <w:p w14:paraId="25FA02F2">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★7.天平类型：高性能恒温光电天平，具备一键锁定技术（投标时须提供实物图或官网截图证明）</w:t>
            </w:r>
          </w:p>
          <w:p w14:paraId="4DD95F46">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4C04B716">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●7.天平类型：高性能恒温光电天平，具备一键锁定技术（投标时须提供实物图或官网截图证明）</w:t>
            </w:r>
          </w:p>
          <w:p w14:paraId="3B59712C">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p>
          <w:p w14:paraId="27F75846">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★8.称量范围：+/- 200 mg 或 +/- 1000 mg；双量程自动切换（投标时须提供产品彩页或官网截图证明）</w:t>
            </w:r>
          </w:p>
          <w:p w14:paraId="2B61C332">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6BA2327A">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●8.称量范围：+/- 200 mg 或 +/- 1000 mg；双量程自动切换（投标时须提供产品彩页或官网截图证明）</w:t>
            </w:r>
          </w:p>
          <w:p w14:paraId="5EA4BE9F">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p>
          <w:p w14:paraId="5D71427B">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★9.热重分辨率：≤0.05μg（投标时须提供产品彩页或官网截图证明）</w:t>
            </w:r>
          </w:p>
          <w:p w14:paraId="341DC91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4B73A406">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●9.热重分辨率：≤0.05μg（投标时须提供产品彩页或官网截图证明）</w:t>
            </w:r>
          </w:p>
          <w:p w14:paraId="404F084B">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p>
          <w:p w14:paraId="435C9FA1">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★12.传感器：具有导向设计的TG-DSC同步传感器，无需焊接，支持自由热插拔，即插即用（投标时须提供设计示意图）</w:t>
            </w:r>
          </w:p>
          <w:p w14:paraId="605FFBCF">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2FD5EA6B">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●12.传感器：具有导向设计的TG-DSC同步传感器，无需焊接，支持自由热插拔，即插即用（投标时须提供设计示意图）</w:t>
            </w:r>
          </w:p>
          <w:p w14:paraId="17DD3EF6">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p>
          <w:p w14:paraId="29BAE896">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★15.数据处理单元 CPU：i5-11400及以上；≥8G DDR4 2666MHz内存，最大支持16G及以上；≥256G固态硬盘；≥8个USB接口，前置4个USB 3.2 Gen1，后置4个USB 2.0；产品通过有关人体辐射的电磁场测量方法，低频电磁辐射值小于或等于0.62%；通过高低温、湿热试验，达到工作温度：-25℃~60℃（120小时）；工作条件下相对湿度：20%-93%（48小时）；通过碳合规排放体系认证即ISO14064温室气体排放体系认证（投标时须提供第三方检测机构出具带CMA或CNAS 标识的检测报告扫描件）。</w:t>
            </w:r>
          </w:p>
          <w:p w14:paraId="58CE651D">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14DE66C8">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●15.数据处理单元 CPU：i5-11400及以上；≥8G DDR4 2666MHz内存，最大支持16G及以上；≥256G固态硬盘；≥8个USB接口，前置4个USB 3.2 Gen1，后置4个USB 2.0；产品通过有关人体辐射的电磁场测量方法，低频电磁辐射值小于或等于0.62%；通过高低温、湿热试验，达到工作温度：-25℃~60℃（120小时）；工作条件下相对湿度：20%-93%（48小时）；通过碳合规排放体系认证即ISO14064温室气体排放体系认证（投标时须提供第三方检测机构出具带CMA或CNAS 标识的检测报告扫描件）。</w:t>
            </w:r>
          </w:p>
          <w:p w14:paraId="27FAA6B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p>
          <w:p w14:paraId="1004B342">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16.强大的热效应处理功能，支持中英文等操作界面切换，本模块包括单个和多个质量变化、剩余质量、DTG、扣除空白、DSC积分等，所投设备的多模式方案可行性需由国内学者发表的SCI文章证明（投标时须提供SCI文章和SCI期刊的影响因子的截图证明材料不低于5份）。</w:t>
            </w:r>
          </w:p>
          <w:p w14:paraId="250D5CF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p w14:paraId="2583D789">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16.强大的热效应处理功能，支持中英文等操作界面切换，本模块包括单个和多个质量变化、剩余质量、DTG、扣除空白、DSC积分等，所投设备的多模式方案可行性需由国内学者发表的SCI文章证明（投标时须提供SCI文章和SCI期刊的影响因子的截图证明材料不低于5份）。</w:t>
            </w:r>
          </w:p>
        </w:tc>
      </w:tr>
    </w:tbl>
    <w:p w14:paraId="63E64E00">
      <w:pPr>
        <w:pStyle w:val="46"/>
        <w:numPr>
          <w:ilvl w:val="0"/>
          <w:numId w:val="23"/>
        </w:numPr>
        <w:ind w:left="0" w:leftChars="0" w:firstLine="560" w:firstLineChars="200"/>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本项目招标文件第四章“磋商和评审办法”中3.3.3（2）技术部分，更正如下：</w:t>
      </w:r>
    </w:p>
    <w:tbl>
      <w:tblPr>
        <w:tblStyle w:val="47"/>
        <w:tblW w:w="95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6237"/>
      </w:tblGrid>
      <w:tr w14:paraId="151F2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1" w:type="dxa"/>
            <w:vAlign w:val="center"/>
          </w:tcPr>
          <w:p w14:paraId="3F43D7FF">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所投产品技术参数及要求响应情况（35分）</w:t>
            </w:r>
          </w:p>
        </w:tc>
        <w:tc>
          <w:tcPr>
            <w:tcW w:w="6237" w:type="dxa"/>
            <w:vAlign w:val="center"/>
          </w:tcPr>
          <w:p w14:paraId="6FA03AA1">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根据第三章采购技术要求表中的“技术性能参数”要求的响应情况进行综合评分：</w:t>
            </w:r>
          </w:p>
          <w:p w14:paraId="32CB22BE">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所投产品技术参数满足采购文件中技术参数要求标*条款的，每有一项（技术要求表中的“技术性能参数”标注序号“（1）或（2）或（3）……”均分别按一项计算，如无序号“（1）、（2）、（3）……”，则以序号“1、2、3……作为一项计算）得2分，最高得35分</w:t>
            </w:r>
          </w:p>
          <w:p w14:paraId="534B8DCF">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（2）采购文件中技术参数要求标*条款的，为不可偏离项，不满足视为不响应采购文件。</w:t>
            </w:r>
          </w:p>
          <w:p w14:paraId="611FF9C5">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备注：以采购文件中的技术要求偏离表及相应技术参数中要求提供的证明材料作为评审依据。要求提供证明材料的，未提供证明材料或提供的证明材料不符合要求的，视为负偏离；未要求提供证明材料的，以技术要求偏离表作为评审依据。</w:t>
            </w:r>
          </w:p>
        </w:tc>
      </w:tr>
    </w:tbl>
    <w:p w14:paraId="0DA4871A">
      <w:pPr>
        <w:pStyle w:val="46"/>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textAlignment w:val="auto"/>
        <w:rPr>
          <w:rFonts w:hint="default"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更正为：</w:t>
      </w:r>
    </w:p>
    <w:tbl>
      <w:tblPr>
        <w:tblStyle w:val="47"/>
        <w:tblW w:w="95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6237"/>
      </w:tblGrid>
      <w:tr w14:paraId="630EA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01" w:type="dxa"/>
            <w:vAlign w:val="center"/>
          </w:tcPr>
          <w:p w14:paraId="52D175DB">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所投产品技术参数及要求响应情况（35分）</w:t>
            </w:r>
          </w:p>
        </w:tc>
        <w:tc>
          <w:tcPr>
            <w:tcW w:w="6237" w:type="dxa"/>
            <w:vAlign w:val="center"/>
          </w:tcPr>
          <w:p w14:paraId="69F7ACE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根据第三章采购技术要求表中的“技术性能参数”要求的响应情况进行综合评分：</w:t>
            </w:r>
          </w:p>
          <w:p w14:paraId="3EA50D3C">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所投产品技术参数满足采购文件中技术参数要求标●条款的为重要参数，每有一项（技术要求表中的“技术性能参数”标注序号“（1）或（2）或（3）……”均分别按一项计算，如无序号“（1）、（2）、（3）……”，则以序号“1、2、3……作为一项计算）得3.5分，最高得35分</w:t>
            </w:r>
          </w:p>
          <w:p w14:paraId="1742CB13">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（2）采购文件中技术参数要求标★条款的，为不可偏离项，不满足视为不响应采购文件。</w:t>
            </w:r>
          </w:p>
          <w:p w14:paraId="201BE7C9">
            <w:pPr>
              <w:keepNext w:val="0"/>
              <w:keepLines w:val="0"/>
              <w:pageBreakBefore w:val="0"/>
              <w:numPr>
                <w:ilvl w:val="0"/>
                <w:numId w:val="0"/>
              </w:numPr>
              <w:tabs>
                <w:tab w:val="left" w:pos="2410"/>
              </w:tabs>
              <w:kinsoku/>
              <w:overflowPunct/>
              <w:topLinePunct w:val="0"/>
              <w:autoSpaceDE w:val="0"/>
              <w:autoSpaceDN w:val="0"/>
              <w:bidi w:val="0"/>
              <w:adjustRightInd w:val="0"/>
              <w:snapToGrid w:val="0"/>
              <w:spacing w:line="560" w:lineRule="exact"/>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备注：以采购文件中的技术要求偏离表及相应技术参数中要求提供的证明材料作为评审依据。要求提供证明材料的，未提供证明材料或提供的证明材料不符合要求的，视为负偏离；未要求提供证明材料的，以技术要求偏离表作为评审依据。</w:t>
            </w:r>
          </w:p>
        </w:tc>
      </w:tr>
    </w:tbl>
    <w:p w14:paraId="67976A82">
      <w:pPr>
        <w:pStyle w:val="46"/>
        <w:numPr>
          <w:ilvl w:val="0"/>
          <w:numId w:val="0"/>
        </w:numPr>
        <w:ind w:leftChars="200"/>
        <w:rPr>
          <w:rFonts w:hint="default" w:ascii="仿宋" w:hAnsi="仿宋" w:eastAsia="仿宋" w:cs="仿宋"/>
          <w:b w:val="0"/>
          <w:bCs w:val="0"/>
          <w:i w:val="0"/>
          <w:iCs w:val="0"/>
          <w:caps w:val="0"/>
          <w:color w:val="000000"/>
          <w:spacing w:val="0"/>
          <w:kern w:val="0"/>
          <w:sz w:val="28"/>
          <w:szCs w:val="28"/>
          <w:lang w:val="en-US" w:eastAsia="zh-CN" w:bidi="ar"/>
        </w:rPr>
      </w:pPr>
    </w:p>
    <w:p w14:paraId="42D7E388">
      <w:pPr>
        <w:keepNext w:val="0"/>
        <w:keepLines w:val="0"/>
        <w:pageBreakBefore w:val="0"/>
        <w:tabs>
          <w:tab w:val="left" w:pos="2410"/>
        </w:tabs>
        <w:kinsoku/>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更正日期：2025年08月25日</w:t>
      </w:r>
    </w:p>
    <w:p w14:paraId="0455A316">
      <w:pPr>
        <w:pStyle w:val="41"/>
        <w:keepNext w:val="0"/>
        <w:keepLines w:val="0"/>
        <w:pageBreakBefore w:val="0"/>
        <w:widowControl/>
        <w:suppressLineNumbers w:val="0"/>
        <w:kinsoku/>
        <w:wordWrap w:val="0"/>
        <w:overflowPunct/>
        <w:topLinePunct w:val="0"/>
        <w:bidi w:val="0"/>
        <w:spacing w:before="0" w:beforeAutospacing="0" w:after="0" w:afterAutospacing="0" w:line="560" w:lineRule="exact"/>
        <w:ind w:left="0" w:right="0" w:firstLine="0"/>
        <w:textAlignment w:val="auto"/>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28"/>
          <w:szCs w:val="28"/>
        </w:rPr>
        <w:t>三、其他补充事宜</w:t>
      </w:r>
    </w:p>
    <w:p w14:paraId="037BEC12">
      <w:pPr>
        <w:keepNext w:val="0"/>
        <w:keepLines w:val="0"/>
        <w:pageBreakBefore w:val="0"/>
        <w:tabs>
          <w:tab w:val="left" w:pos="2410"/>
        </w:tabs>
        <w:kinsoku/>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1.本项目实施全流程电子化交易，投标文件实施网上远程解密，投标人无需前往开标现场。</w:t>
      </w:r>
      <w:r>
        <w:rPr>
          <w:rFonts w:hint="eastAsia" w:ascii="仿宋" w:hAnsi="仿宋" w:eastAsia="仿宋" w:cs="仿宋"/>
          <w:b w:val="0"/>
          <w:bCs w:val="0"/>
          <w:i w:val="0"/>
          <w:iCs w:val="0"/>
          <w:caps w:val="0"/>
          <w:color w:val="000000"/>
          <w:spacing w:val="0"/>
          <w:kern w:val="0"/>
          <w:sz w:val="28"/>
          <w:szCs w:val="28"/>
          <w:lang w:val="en-US" w:eastAsia="zh-CN" w:bidi="ar"/>
        </w:rPr>
        <w:br w:type="textWrapping"/>
      </w:r>
      <w:r>
        <w:rPr>
          <w:rFonts w:hint="eastAsia" w:ascii="仿宋" w:hAnsi="仿宋" w:eastAsia="仿宋" w:cs="仿宋"/>
          <w:b w:val="0"/>
          <w:bCs w:val="0"/>
          <w:i w:val="0"/>
          <w:iCs w:val="0"/>
          <w:caps w:val="0"/>
          <w:color w:val="000000"/>
          <w:spacing w:val="0"/>
          <w:kern w:val="0"/>
          <w:sz w:val="28"/>
          <w:szCs w:val="28"/>
          <w:lang w:val="en-US" w:eastAsia="zh-CN" w:bidi="ar"/>
        </w:rPr>
        <w:t xml:space="preserve">     2.此公告视同招标文件的组成部分，与招标文件具有同等法律效力。请投标人及时下载。</w:t>
      </w:r>
    </w:p>
    <w:p w14:paraId="006EE4C0">
      <w:pPr>
        <w:pStyle w:val="41"/>
        <w:keepNext w:val="0"/>
        <w:keepLines w:val="0"/>
        <w:pageBreakBefore w:val="0"/>
        <w:widowControl/>
        <w:suppressLineNumbers w:val="0"/>
        <w:kinsoku/>
        <w:wordWrap w:val="0"/>
        <w:overflowPunct/>
        <w:topLinePunct w:val="0"/>
        <w:bidi w:val="0"/>
        <w:spacing w:before="0" w:beforeAutospacing="0" w:after="0" w:afterAutospacing="0" w:line="560" w:lineRule="exact"/>
        <w:ind w:left="0" w:right="0" w:firstLine="0"/>
        <w:textAlignment w:val="auto"/>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28"/>
          <w:szCs w:val="28"/>
        </w:rPr>
        <w:t>四、凡对本次公告内容提出询问，请按以下方式联系</w:t>
      </w:r>
    </w:p>
    <w:p w14:paraId="7E0F5CE0">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1.采购人信息</w:t>
      </w:r>
    </w:p>
    <w:p w14:paraId="27F5FA2C">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名    称：安徽省煤炭科学研究院         </w:t>
      </w:r>
    </w:p>
    <w:p w14:paraId="6ABC825B">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地    址：合肥市包河区宣城路81号         </w:t>
      </w:r>
    </w:p>
    <w:p w14:paraId="4DC450A6">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联系方式：18019902070 </w:t>
      </w:r>
    </w:p>
    <w:p w14:paraId="79187C54">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2.采购代理机构信息</w:t>
      </w:r>
    </w:p>
    <w:p w14:paraId="1879DFBE">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名    称：安徽省招标集团股份有限公司             </w:t>
      </w:r>
    </w:p>
    <w:p w14:paraId="663CCF91">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地    址：安徽省合肥市包河区紫云路888号安徽省招标集团总部基地                          </w:t>
      </w:r>
    </w:p>
    <w:p w14:paraId="0F810D5C">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联系方式：</w:t>
      </w:r>
      <w:r>
        <w:rPr>
          <w:rFonts w:hint="eastAsia" w:ascii="仿宋" w:hAnsi="仿宋" w:eastAsia="仿宋" w:cs="仿宋"/>
          <w:sz w:val="28"/>
          <w:szCs w:val="28"/>
        </w:rPr>
        <w:t>18298001230</w:t>
      </w:r>
    </w:p>
    <w:p w14:paraId="1434B258">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3.项目联系方式</w:t>
      </w:r>
    </w:p>
    <w:p w14:paraId="5CD5AEDA">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项目联系人：许沁</w:t>
      </w:r>
    </w:p>
    <w:p w14:paraId="17C21DC5">
      <w:pPr>
        <w:keepNext w:val="0"/>
        <w:keepLines w:val="0"/>
        <w:pageBreakBefore w:val="0"/>
        <w:widowControl w:val="0"/>
        <w:tabs>
          <w:tab w:val="left" w:pos="2410"/>
        </w:tabs>
        <w:kinsoku/>
        <w:wordWrap/>
        <w:overflowPunct/>
        <w:topLinePunct w:val="0"/>
        <w:autoSpaceDE w:val="0"/>
        <w:autoSpaceDN w:val="0"/>
        <w:bidi w:val="0"/>
        <w:adjustRightInd w:val="0"/>
        <w:snapToGrid w:val="0"/>
        <w:spacing w:line="560" w:lineRule="exact"/>
        <w:ind w:firstLine="560" w:firstLineChars="200"/>
        <w:textAlignment w:val="auto"/>
        <w:rPr>
          <w:rFonts w:hint="eastAsia" w:ascii="仿宋" w:hAnsi="仿宋" w:eastAsia="仿宋" w:cs="仿宋"/>
          <w:b w:val="0"/>
          <w:bCs w:val="0"/>
          <w:i w:val="0"/>
          <w:iCs w:val="0"/>
          <w:caps w:val="0"/>
          <w:color w:val="000000"/>
          <w:spacing w:val="0"/>
          <w:kern w:val="0"/>
          <w:sz w:val="28"/>
          <w:szCs w:val="28"/>
          <w:lang w:val="en-US" w:eastAsia="zh-CN" w:bidi="ar"/>
        </w:rPr>
      </w:pPr>
      <w:r>
        <w:rPr>
          <w:rFonts w:hint="eastAsia" w:ascii="仿宋" w:hAnsi="仿宋" w:eastAsia="仿宋" w:cs="仿宋"/>
          <w:b w:val="0"/>
          <w:bCs w:val="0"/>
          <w:i w:val="0"/>
          <w:iCs w:val="0"/>
          <w:caps w:val="0"/>
          <w:color w:val="000000"/>
          <w:spacing w:val="0"/>
          <w:kern w:val="0"/>
          <w:sz w:val="28"/>
          <w:szCs w:val="28"/>
          <w:lang w:val="en-US" w:eastAsia="zh-CN" w:bidi="ar"/>
        </w:rPr>
        <w:t>电       话：</w:t>
      </w:r>
      <w:r>
        <w:rPr>
          <w:rFonts w:hint="eastAsia" w:ascii="仿宋" w:hAnsi="仿宋" w:eastAsia="仿宋" w:cs="仿宋"/>
          <w:sz w:val="28"/>
          <w:szCs w:val="28"/>
        </w:rPr>
        <w:t>18298001230</w:t>
      </w:r>
    </w:p>
    <w:p w14:paraId="196BC156">
      <w:pPr>
        <w:widowControl/>
        <w:jc w:val="left"/>
        <w:rPr>
          <w:rFonts w:hint="eastAsia" w:ascii="宋体" w:hAnsi="宋体" w:eastAsia="宋体" w:cs="宋体"/>
          <w:szCs w:val="21"/>
          <w:lang w:val="en-US" w:eastAsia="zh-CN"/>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2FE616-2D62-47BA-AE29-07EFB092561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1868D467-AE9A-4519-B147-CB5FABB5A5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DBE05DD-DEB2-4C62-BDE9-32D0A75BC884}"/>
  </w:font>
  <w:font w:name="Cambria">
    <w:panose1 w:val="02040503050406030204"/>
    <w:charset w:val="00"/>
    <w:family w:val="roman"/>
    <w:pitch w:val="default"/>
    <w:sig w:usb0="E00006FF" w:usb1="420024FF" w:usb2="02000000" w:usb3="00000000" w:csb0="2000019F" w:csb1="00000000"/>
    <w:embedRegular r:id="rId4" w:fontKey="{CD496D7C-6EA2-4960-A610-DC5643AA919E}"/>
  </w:font>
  <w:font w:name="仿宋_GB2312">
    <w:altName w:val="仿宋"/>
    <w:panose1 w:val="00000000000000000000"/>
    <w:charset w:val="86"/>
    <w:family w:val="modern"/>
    <w:pitch w:val="default"/>
    <w:sig w:usb0="00000000" w:usb1="00000000" w:usb2="00000000" w:usb3="00000000" w:csb0="00040000" w:csb1="00000000"/>
    <w:embedRegular r:id="rId5" w:fontKey="{965A2562-7CB3-469D-AC4C-6D868833E222}"/>
  </w:font>
  <w:font w:name="仿宋">
    <w:panose1 w:val="02010609060101010101"/>
    <w:charset w:val="86"/>
    <w:family w:val="modern"/>
    <w:pitch w:val="default"/>
    <w:sig w:usb0="800002BF" w:usb1="38CF7CFA" w:usb2="00000016" w:usb3="00000000" w:csb0="00040001" w:csb1="00000000"/>
    <w:embedRegular r:id="rId6" w:fontKey="{E925B019-CA4E-4799-A7F3-627ACEEB19D2}"/>
  </w:font>
  <w:font w:name="PMingLiU">
    <w:panose1 w:val="02020500000000000000"/>
    <w:charset w:val="88"/>
    <w:family w:val="roman"/>
    <w:pitch w:val="default"/>
    <w:sig w:usb0="A00002FF" w:usb1="28CFFCFA" w:usb2="00000016" w:usb3="00000000" w:csb0="00100001" w:csb1="00000000"/>
    <w:embedRegular r:id="rId7" w:fontKey="{9E8A090E-E9A4-4D45-81C3-5F67B91FFE6C}"/>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书宋简体">
    <w:altName w:val="宋体"/>
    <w:panose1 w:val="00000000000000000000"/>
    <w:charset w:val="86"/>
    <w:family w:val="auto"/>
    <w:pitch w:val="default"/>
    <w:sig w:usb0="00000000" w:usb1="00000000" w:usb2="00000010" w:usb3="00000000" w:csb0="00040000" w:csb1="00000000"/>
    <w:embedRegular r:id="rId8" w:fontKey="{7F6BDC7F-9999-4DCD-B045-3679A7D48FB8}"/>
  </w:font>
  <w:font w:name="方正小标宋简体">
    <w:panose1 w:val="02000000000000000000"/>
    <w:charset w:val="86"/>
    <w:family w:val="script"/>
    <w:pitch w:val="default"/>
    <w:sig w:usb0="00000001" w:usb1="08000000" w:usb2="00000000" w:usb3="00000000" w:csb0="00040000" w:csb1="00000000"/>
    <w:embedRegular r:id="rId9" w:fontKey="{AFB2F4E3-9302-45B9-B746-196A96691F85}"/>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10" w:fontKey="{A87917CE-7BD6-449B-B448-9A11CE307A70}"/>
  </w:font>
  <w:font w:name="华文楷体">
    <w:panose1 w:val="02010600040101010101"/>
    <w:charset w:val="86"/>
    <w:family w:val="auto"/>
    <w:pitch w:val="default"/>
    <w:sig w:usb0="00000287" w:usb1="080F0000" w:usb2="00000000" w:usb3="00000000" w:csb0="0004009F" w:csb1="DFD70000"/>
    <w:embedRegular r:id="rId11" w:fontKey="{BE72C057-793A-4BCF-A2A7-9AB9F8675ABE}"/>
  </w:font>
  <w:font w:name="楷体_GB2312">
    <w:altName w:val="楷体"/>
    <w:panose1 w:val="00000000000000000000"/>
    <w:charset w:val="86"/>
    <w:family w:val="modern"/>
    <w:pitch w:val="default"/>
    <w:sig w:usb0="00000000" w:usb1="00000000" w:usb2="00000000" w:usb3="00000000" w:csb0="00040000" w:csb1="00000000"/>
    <w:embedRegular r:id="rId12" w:fontKey="{A27830E7-63A0-41C6-9198-D1E846252D71}"/>
  </w:font>
  <w:font w:name="Microsoft JhengHei">
    <w:panose1 w:val="020B0604030504040204"/>
    <w:charset w:val="88"/>
    <w:family w:val="swiss"/>
    <w:pitch w:val="default"/>
    <w:sig w:usb0="000002A7" w:usb1="28CF4400" w:usb2="00000016" w:usb3="00000000" w:csb0="00100009" w:csb1="00000000"/>
    <w:embedRegular r:id="rId13" w:fontKey="{CDA9F4B8-BF17-48F8-BBA8-F6D95FD98984}"/>
  </w:font>
  <w:font w:name="MS Mincho">
    <w:panose1 w:val="02020609040205080304"/>
    <w:charset w:val="80"/>
    <w:family w:val="modern"/>
    <w:pitch w:val="default"/>
    <w:sig w:usb0="A00002BF" w:usb1="68C7FCFB" w:usb2="00000010" w:usb3="00000000" w:csb0="4002009F" w:csb1="DFD70000"/>
    <w:embedRegular r:id="rId14" w:fontKey="{19C6C0F4-3A1E-49D4-AC6E-2F09DA319880}"/>
  </w:font>
  <w:font w:name="Lucida Sans Unicode">
    <w:panose1 w:val="020B0602030504020204"/>
    <w:charset w:val="00"/>
    <w:family w:val="swiss"/>
    <w:pitch w:val="default"/>
    <w:sig w:usb0="80001AFF" w:usb1="0000396B" w:usb2="00000000" w:usb3="00000000" w:csb0="200000BF" w:csb1="D7F70000"/>
    <w:embedRegular r:id="rId15" w:fontKey="{09744206-9ABF-46E7-A928-6A4E878FE975}"/>
  </w:font>
  <w:font w:name="华文中宋">
    <w:panose1 w:val="02010600040101010101"/>
    <w:charset w:val="86"/>
    <w:family w:val="auto"/>
    <w:pitch w:val="default"/>
    <w:sig w:usb0="00000287" w:usb1="080F0000" w:usb2="00000000" w:usb3="00000000" w:csb0="0004009F" w:csb1="DFD70000"/>
    <w:embedRegular r:id="rId16" w:fontKey="{A84BE308-487F-4CCF-A18E-178587CA36AE}"/>
  </w:font>
  <w:font w:name="微软雅黑">
    <w:panose1 w:val="020B0503020204020204"/>
    <w:charset w:val="86"/>
    <w:family w:val="auto"/>
    <w:pitch w:val="default"/>
    <w:sig w:usb0="80000287" w:usb1="2ACF3C50" w:usb2="00000016" w:usb3="00000000" w:csb0="0004001F" w:csb1="00000000"/>
    <w:embedRegular r:id="rId17" w:fontKey="{D38FD2BC-3137-4574-9080-D4FE12F886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EDC94">
    <w:pPr>
      <w:pStyle w:val="30"/>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340B">
    <w:pPr>
      <w:pStyle w:val="30"/>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770C7">
    <w:pPr>
      <w:pStyle w:val="30"/>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92A98">
    <w:pPr>
      <w:pStyle w:val="30"/>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B4A13">
    <w:pPr>
      <w:pStyle w:val="30"/>
      <w:framePr w:wrap="around" w:vAnchor="text" w:hAnchor="margin" w:xAlign="center" w:y="1"/>
      <w:rPr>
        <w:rStyle w:val="52"/>
      </w:rPr>
    </w:pPr>
    <w:r>
      <w:fldChar w:fldCharType="begin"/>
    </w:r>
    <w:r>
      <w:rPr>
        <w:rStyle w:val="52"/>
      </w:rPr>
      <w:instrText xml:space="preserve">PAGE  </w:instrText>
    </w:r>
    <w:r>
      <w:fldChar w:fldCharType="separate"/>
    </w:r>
    <w:r>
      <w:fldChar w:fldCharType="end"/>
    </w:r>
  </w:p>
  <w:p w14:paraId="555610C0">
    <w:pPr>
      <w:pStyle w:val="3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E9640DC">
      <w:pPr>
        <w:widowControl/>
        <w:jc w:val="left"/>
        <w:rPr>
          <w:rFonts w:eastAsia="仿宋"/>
        </w:rPr>
      </w:pPr>
      <w:r>
        <w:rPr>
          <w:rStyle w:val="59"/>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E8844">
    <w:pPr>
      <w:pStyle w:val="31"/>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505C7"/>
    <w:multiLevelType w:val="singleLevel"/>
    <w:tmpl w:val="86A505C7"/>
    <w:lvl w:ilvl="0" w:tentative="0">
      <w:start w:val="1"/>
      <w:numFmt w:val="decimal"/>
      <w:suff w:val="nothing"/>
      <w:lvlText w:val="（%1）"/>
      <w:lvlJc w:val="left"/>
    </w:lvl>
  </w:abstractNum>
  <w:abstractNum w:abstractNumId="1">
    <w:nsid w:val="99455623"/>
    <w:multiLevelType w:val="singleLevel"/>
    <w:tmpl w:val="99455623"/>
    <w:lvl w:ilvl="0" w:tentative="0">
      <w:start w:val="5"/>
      <w:numFmt w:val="decimal"/>
      <w:suff w:val="space"/>
      <w:lvlText w:val="%1."/>
      <w:lvlJc w:val="left"/>
    </w:lvl>
  </w:abstractNum>
  <w:abstractNum w:abstractNumId="2">
    <w:nsid w:val="B37F9CDB"/>
    <w:multiLevelType w:val="singleLevel"/>
    <w:tmpl w:val="B37F9CDB"/>
    <w:lvl w:ilvl="0" w:tentative="0">
      <w:start w:val="1"/>
      <w:numFmt w:val="decimal"/>
      <w:suff w:val="nothing"/>
      <w:lvlText w:val="（%1）"/>
      <w:lvlJc w:val="left"/>
    </w:lvl>
  </w:abstractNum>
  <w:abstractNum w:abstractNumId="3">
    <w:nsid w:val="B64A2BE4"/>
    <w:multiLevelType w:val="singleLevel"/>
    <w:tmpl w:val="B64A2BE4"/>
    <w:lvl w:ilvl="0" w:tentative="0">
      <w:start w:val="1"/>
      <w:numFmt w:val="decimal"/>
      <w:suff w:val="nothing"/>
      <w:lvlText w:val="（%1）"/>
      <w:lvlJc w:val="left"/>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6">
    <w:nsid w:val="CF903514"/>
    <w:multiLevelType w:val="singleLevel"/>
    <w:tmpl w:val="CF903514"/>
    <w:lvl w:ilvl="0" w:tentative="0">
      <w:start w:val="3"/>
      <w:numFmt w:val="decimal"/>
      <w:suff w:val="nothing"/>
      <w:lvlText w:val="%1、"/>
      <w:lvlJc w:val="left"/>
    </w:lvl>
  </w:abstractNum>
  <w:abstractNum w:abstractNumId="7">
    <w:nsid w:val="CFE7C3F8"/>
    <w:multiLevelType w:val="singleLevel"/>
    <w:tmpl w:val="CFE7C3F8"/>
    <w:lvl w:ilvl="0" w:tentative="0">
      <w:start w:val="1"/>
      <w:numFmt w:val="decimal"/>
      <w:suff w:val="nothing"/>
      <w:lvlText w:val="（%1）"/>
      <w:lvlJc w:val="left"/>
    </w:lvl>
  </w:abstractNum>
  <w:abstractNum w:abstractNumId="8">
    <w:nsid w:val="DACE9126"/>
    <w:multiLevelType w:val="singleLevel"/>
    <w:tmpl w:val="DACE9126"/>
    <w:lvl w:ilvl="0" w:tentative="0">
      <w:start w:val="1"/>
      <w:numFmt w:val="decimal"/>
      <w:suff w:val="nothing"/>
      <w:lvlText w:val="%1、"/>
      <w:lvlJc w:val="left"/>
    </w:lvl>
  </w:abstractNum>
  <w:abstractNum w:abstractNumId="9">
    <w:nsid w:val="DDECD3BC"/>
    <w:multiLevelType w:val="singleLevel"/>
    <w:tmpl w:val="DDECD3BC"/>
    <w:lvl w:ilvl="0" w:tentative="0">
      <w:start w:val="6"/>
      <w:numFmt w:val="decimal"/>
      <w:suff w:val="space"/>
      <w:lvlText w:val="%1."/>
      <w:lvlJc w:val="left"/>
    </w:lvl>
  </w:abstractNum>
  <w:abstractNum w:abstractNumId="10">
    <w:nsid w:val="DE759F4B"/>
    <w:multiLevelType w:val="singleLevel"/>
    <w:tmpl w:val="DE759F4B"/>
    <w:lvl w:ilvl="0" w:tentative="0">
      <w:start w:val="2"/>
      <w:numFmt w:val="decimal"/>
      <w:suff w:val="space"/>
      <w:lvlText w:val="%1."/>
      <w:lvlJc w:val="left"/>
    </w:lvl>
  </w:abstractNum>
  <w:abstractNum w:abstractNumId="11">
    <w:nsid w:val="DEABE1DB"/>
    <w:multiLevelType w:val="singleLevel"/>
    <w:tmpl w:val="DEABE1DB"/>
    <w:lvl w:ilvl="0" w:tentative="0">
      <w:start w:val="23"/>
      <w:numFmt w:val="decimal"/>
      <w:suff w:val="space"/>
      <w:lvlText w:val="%1."/>
      <w:lvlJc w:val="left"/>
    </w:lvl>
  </w:abstractNum>
  <w:abstractNum w:abstractNumId="12">
    <w:nsid w:val="FF8DD6B3"/>
    <w:multiLevelType w:val="singleLevel"/>
    <w:tmpl w:val="FF8DD6B3"/>
    <w:lvl w:ilvl="0" w:tentative="0">
      <w:start w:val="1"/>
      <w:numFmt w:val="decimal"/>
      <w:suff w:val="nothing"/>
      <w:lvlText w:val="（%1）"/>
      <w:lvlJc w:val="left"/>
    </w:lvl>
  </w:abstractNum>
  <w:abstractNum w:abstractNumId="13">
    <w:nsid w:val="FFEFC674"/>
    <w:multiLevelType w:val="singleLevel"/>
    <w:tmpl w:val="FFEFC674"/>
    <w:lvl w:ilvl="0" w:tentative="0">
      <w:start w:val="1"/>
      <w:numFmt w:val="decimal"/>
      <w:suff w:val="nothing"/>
      <w:lvlText w:val="（%1）"/>
      <w:lvlJc w:val="left"/>
    </w:lvl>
  </w:abstractNum>
  <w:abstractNum w:abstractNumId="14">
    <w:nsid w:val="097B2245"/>
    <w:multiLevelType w:val="singleLevel"/>
    <w:tmpl w:val="097B2245"/>
    <w:lvl w:ilvl="0" w:tentative="0">
      <w:start w:val="1"/>
      <w:numFmt w:val="decimal"/>
      <w:suff w:val="nothing"/>
      <w:lvlText w:val="（%1）"/>
      <w:lvlJc w:val="left"/>
    </w:lvl>
  </w:abstractNum>
  <w:abstractNum w:abstractNumId="15">
    <w:nsid w:val="103B0217"/>
    <w:multiLevelType w:val="singleLevel"/>
    <w:tmpl w:val="103B0217"/>
    <w:lvl w:ilvl="0" w:tentative="0">
      <w:start w:val="1"/>
      <w:numFmt w:val="decimal"/>
      <w:suff w:val="nothing"/>
      <w:lvlText w:val="（%1）"/>
      <w:lvlJc w:val="left"/>
    </w:lvl>
  </w:abstractNum>
  <w:abstractNum w:abstractNumId="16">
    <w:nsid w:val="2AC8790B"/>
    <w:multiLevelType w:val="multilevel"/>
    <w:tmpl w:val="2AC8790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328A863F"/>
    <w:multiLevelType w:val="singleLevel"/>
    <w:tmpl w:val="328A863F"/>
    <w:lvl w:ilvl="0" w:tentative="0">
      <w:start w:val="1"/>
      <w:numFmt w:val="decimal"/>
      <w:suff w:val="nothing"/>
      <w:lvlText w:val="（%1）"/>
      <w:lvlJc w:val="left"/>
    </w:lvl>
  </w:abstractNum>
  <w:abstractNum w:abstractNumId="18">
    <w:nsid w:val="3B2AEED1"/>
    <w:multiLevelType w:val="singleLevel"/>
    <w:tmpl w:val="3B2AEED1"/>
    <w:lvl w:ilvl="0" w:tentative="0">
      <w:start w:val="1"/>
      <w:numFmt w:val="decimal"/>
      <w:suff w:val="nothing"/>
      <w:lvlText w:val="（%1）"/>
      <w:lvlJc w:val="left"/>
    </w:lvl>
  </w:abstractNum>
  <w:abstractNum w:abstractNumId="19">
    <w:nsid w:val="57B1A4C7"/>
    <w:multiLevelType w:val="singleLevel"/>
    <w:tmpl w:val="57B1A4C7"/>
    <w:lvl w:ilvl="0" w:tentative="0">
      <w:start w:val="4"/>
      <w:numFmt w:val="decimal"/>
      <w:lvlText w:val="%1."/>
      <w:lvlJc w:val="left"/>
      <w:pPr>
        <w:tabs>
          <w:tab w:val="left" w:pos="312"/>
        </w:tabs>
      </w:pPr>
    </w:lvl>
  </w:abstractNum>
  <w:abstractNum w:abstractNumId="20">
    <w:nsid w:val="76035D58"/>
    <w:multiLevelType w:val="singleLevel"/>
    <w:tmpl w:val="76035D58"/>
    <w:lvl w:ilvl="0" w:tentative="0">
      <w:start w:val="1"/>
      <w:numFmt w:val="decimal"/>
      <w:suff w:val="nothing"/>
      <w:lvlText w:val="%1、"/>
      <w:lvlJc w:val="left"/>
    </w:lvl>
  </w:abstractNum>
  <w:abstractNum w:abstractNumId="21">
    <w:nsid w:val="77261420"/>
    <w:multiLevelType w:val="singleLevel"/>
    <w:tmpl w:val="77261420"/>
    <w:lvl w:ilvl="0" w:tentative="0">
      <w:start w:val="1"/>
      <w:numFmt w:val="decimal"/>
      <w:suff w:val="nothing"/>
      <w:lvlText w:val="（%1）"/>
      <w:lvlJc w:val="left"/>
    </w:lvl>
  </w:abstractNum>
  <w:abstractNum w:abstractNumId="22">
    <w:nsid w:val="7A0F6431"/>
    <w:multiLevelType w:val="singleLevel"/>
    <w:tmpl w:val="7A0F6431"/>
    <w:lvl w:ilvl="0" w:tentative="0">
      <w:start w:val="1"/>
      <w:numFmt w:val="decimal"/>
      <w:suff w:val="space"/>
      <w:lvlText w:val="%1."/>
      <w:lvlJc w:val="left"/>
    </w:lvl>
  </w:abstractNum>
  <w:num w:numId="1">
    <w:abstractNumId w:val="16"/>
  </w:num>
  <w:num w:numId="2">
    <w:abstractNumId w:val="2"/>
  </w:num>
  <w:num w:numId="3">
    <w:abstractNumId w:val="14"/>
  </w:num>
  <w:num w:numId="4">
    <w:abstractNumId w:val="21"/>
  </w:num>
  <w:num w:numId="5">
    <w:abstractNumId w:val="12"/>
  </w:num>
  <w:num w:numId="6">
    <w:abstractNumId w:val="3"/>
  </w:num>
  <w:num w:numId="7">
    <w:abstractNumId w:val="0"/>
  </w:num>
  <w:num w:numId="8">
    <w:abstractNumId w:val="18"/>
  </w:num>
  <w:num w:numId="9">
    <w:abstractNumId w:val="15"/>
  </w:num>
  <w:num w:numId="10">
    <w:abstractNumId w:val="19"/>
  </w:num>
  <w:num w:numId="11">
    <w:abstractNumId w:val="17"/>
  </w:num>
  <w:num w:numId="12">
    <w:abstractNumId w:val="8"/>
  </w:num>
  <w:num w:numId="13">
    <w:abstractNumId w:val="1"/>
  </w:num>
  <w:num w:numId="14">
    <w:abstractNumId w:val="6"/>
  </w:num>
  <w:num w:numId="15">
    <w:abstractNumId w:val="22"/>
  </w:num>
  <w:num w:numId="16">
    <w:abstractNumId w:val="7"/>
  </w:num>
  <w:num w:numId="17">
    <w:abstractNumId w:val="13"/>
  </w:num>
  <w:num w:numId="18">
    <w:abstractNumId w:val="10"/>
  </w:num>
  <w:num w:numId="19">
    <w:abstractNumId w:val="9"/>
  </w:num>
  <w:num w:numId="20">
    <w:abstractNumId w:val="4"/>
  </w:num>
  <w:num w:numId="21">
    <w:abstractNumId w:val="11"/>
  </w:num>
  <w:num w:numId="22">
    <w:abstractNumId w:val="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xZWY5YTRiNjUyOGY0NGQ4NjBlZDczYzUzYzRkOTYifQ=="/>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736"/>
    <w:rsid w:val="000D279E"/>
    <w:rsid w:val="000D3FE0"/>
    <w:rsid w:val="000D4E5D"/>
    <w:rsid w:val="000D7B48"/>
    <w:rsid w:val="000E11B8"/>
    <w:rsid w:val="000E21BD"/>
    <w:rsid w:val="000E4AD6"/>
    <w:rsid w:val="000E5ADA"/>
    <w:rsid w:val="000E6D50"/>
    <w:rsid w:val="000F01D6"/>
    <w:rsid w:val="000F0D8B"/>
    <w:rsid w:val="000F2211"/>
    <w:rsid w:val="000F2F23"/>
    <w:rsid w:val="000F4ADB"/>
    <w:rsid w:val="000F53CC"/>
    <w:rsid w:val="000F584F"/>
    <w:rsid w:val="000F5D14"/>
    <w:rsid w:val="000F667F"/>
    <w:rsid w:val="000F7880"/>
    <w:rsid w:val="000F7E56"/>
    <w:rsid w:val="001025F4"/>
    <w:rsid w:val="0010348B"/>
    <w:rsid w:val="00107FD5"/>
    <w:rsid w:val="00112587"/>
    <w:rsid w:val="00112E2C"/>
    <w:rsid w:val="00112EE6"/>
    <w:rsid w:val="0011378C"/>
    <w:rsid w:val="001152D7"/>
    <w:rsid w:val="00116812"/>
    <w:rsid w:val="00116960"/>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BF1"/>
    <w:rsid w:val="00134D87"/>
    <w:rsid w:val="0013669F"/>
    <w:rsid w:val="00140F5C"/>
    <w:rsid w:val="00141914"/>
    <w:rsid w:val="00142F60"/>
    <w:rsid w:val="00143525"/>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27"/>
    <w:rsid w:val="00172A35"/>
    <w:rsid w:val="00175802"/>
    <w:rsid w:val="001771D6"/>
    <w:rsid w:val="0018065B"/>
    <w:rsid w:val="00180FD4"/>
    <w:rsid w:val="001828E4"/>
    <w:rsid w:val="00182FAC"/>
    <w:rsid w:val="001841F8"/>
    <w:rsid w:val="00186BF0"/>
    <w:rsid w:val="00186E39"/>
    <w:rsid w:val="00187020"/>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F51"/>
    <w:rsid w:val="00206CE4"/>
    <w:rsid w:val="00210DFF"/>
    <w:rsid w:val="002112BC"/>
    <w:rsid w:val="0021199B"/>
    <w:rsid w:val="002128A6"/>
    <w:rsid w:val="002128BE"/>
    <w:rsid w:val="00212B56"/>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A12"/>
    <w:rsid w:val="00246076"/>
    <w:rsid w:val="0025032C"/>
    <w:rsid w:val="00251733"/>
    <w:rsid w:val="00255049"/>
    <w:rsid w:val="00257657"/>
    <w:rsid w:val="0026067A"/>
    <w:rsid w:val="00260BEB"/>
    <w:rsid w:val="00261B38"/>
    <w:rsid w:val="00263356"/>
    <w:rsid w:val="0026531B"/>
    <w:rsid w:val="00265615"/>
    <w:rsid w:val="00266066"/>
    <w:rsid w:val="00266565"/>
    <w:rsid w:val="00266B0E"/>
    <w:rsid w:val="0027098A"/>
    <w:rsid w:val="002715A1"/>
    <w:rsid w:val="00271C5D"/>
    <w:rsid w:val="00272008"/>
    <w:rsid w:val="0027397F"/>
    <w:rsid w:val="00273E55"/>
    <w:rsid w:val="00274241"/>
    <w:rsid w:val="00274F39"/>
    <w:rsid w:val="00276080"/>
    <w:rsid w:val="00276280"/>
    <w:rsid w:val="002769A2"/>
    <w:rsid w:val="00276FE3"/>
    <w:rsid w:val="00277535"/>
    <w:rsid w:val="00281123"/>
    <w:rsid w:val="00281D54"/>
    <w:rsid w:val="00281D9F"/>
    <w:rsid w:val="0028213E"/>
    <w:rsid w:val="00283136"/>
    <w:rsid w:val="0028363E"/>
    <w:rsid w:val="00284E56"/>
    <w:rsid w:val="00286EAC"/>
    <w:rsid w:val="0028769B"/>
    <w:rsid w:val="00287DFF"/>
    <w:rsid w:val="0029320E"/>
    <w:rsid w:val="00295C13"/>
    <w:rsid w:val="00296F58"/>
    <w:rsid w:val="002A01F0"/>
    <w:rsid w:val="002A0879"/>
    <w:rsid w:val="002A1C9C"/>
    <w:rsid w:val="002A444F"/>
    <w:rsid w:val="002A5D60"/>
    <w:rsid w:val="002A5EBD"/>
    <w:rsid w:val="002A5F75"/>
    <w:rsid w:val="002B08BA"/>
    <w:rsid w:val="002B12B6"/>
    <w:rsid w:val="002B1A96"/>
    <w:rsid w:val="002B1C7D"/>
    <w:rsid w:val="002B2078"/>
    <w:rsid w:val="002B2FA7"/>
    <w:rsid w:val="002B4A27"/>
    <w:rsid w:val="002B4AE4"/>
    <w:rsid w:val="002B70C1"/>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7141"/>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CE5"/>
    <w:rsid w:val="003C1E21"/>
    <w:rsid w:val="003C2C89"/>
    <w:rsid w:val="003C3393"/>
    <w:rsid w:val="003C64C5"/>
    <w:rsid w:val="003C704C"/>
    <w:rsid w:val="003C7640"/>
    <w:rsid w:val="003D16BD"/>
    <w:rsid w:val="003D4199"/>
    <w:rsid w:val="003D621D"/>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D35"/>
    <w:rsid w:val="00412C19"/>
    <w:rsid w:val="00413192"/>
    <w:rsid w:val="00413208"/>
    <w:rsid w:val="00422301"/>
    <w:rsid w:val="00425ABC"/>
    <w:rsid w:val="00431932"/>
    <w:rsid w:val="004347EE"/>
    <w:rsid w:val="00434D17"/>
    <w:rsid w:val="00435BA2"/>
    <w:rsid w:val="00436185"/>
    <w:rsid w:val="004371D0"/>
    <w:rsid w:val="004372C8"/>
    <w:rsid w:val="00437397"/>
    <w:rsid w:val="00440C74"/>
    <w:rsid w:val="00444894"/>
    <w:rsid w:val="00450901"/>
    <w:rsid w:val="00451450"/>
    <w:rsid w:val="004516C9"/>
    <w:rsid w:val="00455BFC"/>
    <w:rsid w:val="004560B8"/>
    <w:rsid w:val="0046162D"/>
    <w:rsid w:val="00461BED"/>
    <w:rsid w:val="00461C22"/>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EBD"/>
    <w:rsid w:val="004851D5"/>
    <w:rsid w:val="004877F5"/>
    <w:rsid w:val="00490556"/>
    <w:rsid w:val="00490764"/>
    <w:rsid w:val="004911F3"/>
    <w:rsid w:val="00493FBE"/>
    <w:rsid w:val="00494B58"/>
    <w:rsid w:val="004954D9"/>
    <w:rsid w:val="00495CAE"/>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495"/>
    <w:rsid w:val="004D4E39"/>
    <w:rsid w:val="004D5913"/>
    <w:rsid w:val="004D6D3C"/>
    <w:rsid w:val="004E0C6D"/>
    <w:rsid w:val="004E2397"/>
    <w:rsid w:val="004E2AC2"/>
    <w:rsid w:val="004E3242"/>
    <w:rsid w:val="004E3821"/>
    <w:rsid w:val="004E6F07"/>
    <w:rsid w:val="004F03D0"/>
    <w:rsid w:val="004F08DE"/>
    <w:rsid w:val="004F4659"/>
    <w:rsid w:val="004F5655"/>
    <w:rsid w:val="004F57F5"/>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425C4"/>
    <w:rsid w:val="00542B90"/>
    <w:rsid w:val="005436DB"/>
    <w:rsid w:val="00543B7C"/>
    <w:rsid w:val="00544428"/>
    <w:rsid w:val="00544533"/>
    <w:rsid w:val="0054740D"/>
    <w:rsid w:val="00550089"/>
    <w:rsid w:val="00550AC5"/>
    <w:rsid w:val="00550C4F"/>
    <w:rsid w:val="00550C66"/>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704"/>
    <w:rsid w:val="005915AC"/>
    <w:rsid w:val="005921FC"/>
    <w:rsid w:val="00595FA3"/>
    <w:rsid w:val="00596FBF"/>
    <w:rsid w:val="005A1BFB"/>
    <w:rsid w:val="005A1E00"/>
    <w:rsid w:val="005A2E2F"/>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174D"/>
    <w:rsid w:val="005E177A"/>
    <w:rsid w:val="005E22E1"/>
    <w:rsid w:val="005E5081"/>
    <w:rsid w:val="005E5E31"/>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146D"/>
    <w:rsid w:val="00612482"/>
    <w:rsid w:val="006128E2"/>
    <w:rsid w:val="006132F9"/>
    <w:rsid w:val="006139AE"/>
    <w:rsid w:val="00613A30"/>
    <w:rsid w:val="00613A8D"/>
    <w:rsid w:val="00613F12"/>
    <w:rsid w:val="00620484"/>
    <w:rsid w:val="0062098B"/>
    <w:rsid w:val="00621D5C"/>
    <w:rsid w:val="0062338C"/>
    <w:rsid w:val="0062359C"/>
    <w:rsid w:val="0062741C"/>
    <w:rsid w:val="00627C85"/>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A01E6"/>
    <w:rsid w:val="006A052D"/>
    <w:rsid w:val="006A1AE6"/>
    <w:rsid w:val="006A21C2"/>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D1D18"/>
    <w:rsid w:val="006D2135"/>
    <w:rsid w:val="006D3E2B"/>
    <w:rsid w:val="006D4460"/>
    <w:rsid w:val="006D5F5C"/>
    <w:rsid w:val="006E18D3"/>
    <w:rsid w:val="006E26B6"/>
    <w:rsid w:val="006E2A24"/>
    <w:rsid w:val="006E3D11"/>
    <w:rsid w:val="006E4886"/>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D64"/>
    <w:rsid w:val="0073257C"/>
    <w:rsid w:val="0073499C"/>
    <w:rsid w:val="007349BC"/>
    <w:rsid w:val="007356AA"/>
    <w:rsid w:val="007357B7"/>
    <w:rsid w:val="00735D2F"/>
    <w:rsid w:val="0073689F"/>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38EF"/>
    <w:rsid w:val="008551CC"/>
    <w:rsid w:val="0086283F"/>
    <w:rsid w:val="00862AE0"/>
    <w:rsid w:val="00862E3A"/>
    <w:rsid w:val="00865AA7"/>
    <w:rsid w:val="00865BAF"/>
    <w:rsid w:val="00867433"/>
    <w:rsid w:val="00870B60"/>
    <w:rsid w:val="008723C3"/>
    <w:rsid w:val="00872B0B"/>
    <w:rsid w:val="00873FED"/>
    <w:rsid w:val="00874CD5"/>
    <w:rsid w:val="00874F8C"/>
    <w:rsid w:val="0087724E"/>
    <w:rsid w:val="00881457"/>
    <w:rsid w:val="0088324D"/>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DA2"/>
    <w:rsid w:val="00942484"/>
    <w:rsid w:val="00943649"/>
    <w:rsid w:val="00944BED"/>
    <w:rsid w:val="00944E56"/>
    <w:rsid w:val="00947140"/>
    <w:rsid w:val="0095107C"/>
    <w:rsid w:val="009520D2"/>
    <w:rsid w:val="00952EB0"/>
    <w:rsid w:val="0095321B"/>
    <w:rsid w:val="00953F92"/>
    <w:rsid w:val="00954D1F"/>
    <w:rsid w:val="00955751"/>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862"/>
    <w:rsid w:val="009954E5"/>
    <w:rsid w:val="00995595"/>
    <w:rsid w:val="009964F2"/>
    <w:rsid w:val="009A0865"/>
    <w:rsid w:val="009A1ACC"/>
    <w:rsid w:val="009A2D43"/>
    <w:rsid w:val="009A2E3F"/>
    <w:rsid w:val="009A41ED"/>
    <w:rsid w:val="009A45E6"/>
    <w:rsid w:val="009A4B78"/>
    <w:rsid w:val="009A5DB5"/>
    <w:rsid w:val="009B154D"/>
    <w:rsid w:val="009B26AC"/>
    <w:rsid w:val="009B50E4"/>
    <w:rsid w:val="009B5640"/>
    <w:rsid w:val="009B63BE"/>
    <w:rsid w:val="009C29D1"/>
    <w:rsid w:val="009C3563"/>
    <w:rsid w:val="009C512B"/>
    <w:rsid w:val="009C528C"/>
    <w:rsid w:val="009C52F1"/>
    <w:rsid w:val="009C666F"/>
    <w:rsid w:val="009D0A16"/>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3E35"/>
    <w:rsid w:val="00A24F09"/>
    <w:rsid w:val="00A2607F"/>
    <w:rsid w:val="00A2695E"/>
    <w:rsid w:val="00A27CB8"/>
    <w:rsid w:val="00A30E48"/>
    <w:rsid w:val="00A32560"/>
    <w:rsid w:val="00A4092C"/>
    <w:rsid w:val="00A419CF"/>
    <w:rsid w:val="00A4249E"/>
    <w:rsid w:val="00A44DEE"/>
    <w:rsid w:val="00A45096"/>
    <w:rsid w:val="00A45599"/>
    <w:rsid w:val="00A45B14"/>
    <w:rsid w:val="00A50060"/>
    <w:rsid w:val="00A50CED"/>
    <w:rsid w:val="00A52CAE"/>
    <w:rsid w:val="00A54350"/>
    <w:rsid w:val="00A54E80"/>
    <w:rsid w:val="00A57508"/>
    <w:rsid w:val="00A57793"/>
    <w:rsid w:val="00A60C03"/>
    <w:rsid w:val="00A62E30"/>
    <w:rsid w:val="00A641B8"/>
    <w:rsid w:val="00A66080"/>
    <w:rsid w:val="00A67471"/>
    <w:rsid w:val="00A67DB7"/>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5E7D"/>
    <w:rsid w:val="00A96A66"/>
    <w:rsid w:val="00A96E1A"/>
    <w:rsid w:val="00A96F39"/>
    <w:rsid w:val="00A97345"/>
    <w:rsid w:val="00AA2449"/>
    <w:rsid w:val="00AA29AF"/>
    <w:rsid w:val="00AA3307"/>
    <w:rsid w:val="00AA3C9F"/>
    <w:rsid w:val="00AA4649"/>
    <w:rsid w:val="00AA7FCA"/>
    <w:rsid w:val="00AB0FF2"/>
    <w:rsid w:val="00AB2335"/>
    <w:rsid w:val="00AB329D"/>
    <w:rsid w:val="00AB3CD8"/>
    <w:rsid w:val="00AB6154"/>
    <w:rsid w:val="00AB6FD8"/>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34AC"/>
    <w:rsid w:val="00B052C3"/>
    <w:rsid w:val="00B05D97"/>
    <w:rsid w:val="00B07CA0"/>
    <w:rsid w:val="00B11565"/>
    <w:rsid w:val="00B1179D"/>
    <w:rsid w:val="00B11988"/>
    <w:rsid w:val="00B1379A"/>
    <w:rsid w:val="00B13DB1"/>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7CD"/>
    <w:rsid w:val="00B4674F"/>
    <w:rsid w:val="00B46C41"/>
    <w:rsid w:val="00B51E45"/>
    <w:rsid w:val="00B51EA8"/>
    <w:rsid w:val="00B52858"/>
    <w:rsid w:val="00B5297E"/>
    <w:rsid w:val="00B552ED"/>
    <w:rsid w:val="00B57D63"/>
    <w:rsid w:val="00B64BCA"/>
    <w:rsid w:val="00B72F51"/>
    <w:rsid w:val="00B734D0"/>
    <w:rsid w:val="00B74A9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797"/>
    <w:rsid w:val="00BC6DDD"/>
    <w:rsid w:val="00BD1D25"/>
    <w:rsid w:val="00BD1EDE"/>
    <w:rsid w:val="00BD23CD"/>
    <w:rsid w:val="00BD28C1"/>
    <w:rsid w:val="00BD3126"/>
    <w:rsid w:val="00BD3E9D"/>
    <w:rsid w:val="00BD4880"/>
    <w:rsid w:val="00BD6195"/>
    <w:rsid w:val="00BD66C5"/>
    <w:rsid w:val="00BD6C67"/>
    <w:rsid w:val="00BE1F09"/>
    <w:rsid w:val="00BE2D05"/>
    <w:rsid w:val="00BE48CF"/>
    <w:rsid w:val="00BE4C93"/>
    <w:rsid w:val="00BE50B9"/>
    <w:rsid w:val="00BF0DEE"/>
    <w:rsid w:val="00BF0EC7"/>
    <w:rsid w:val="00BF1A5D"/>
    <w:rsid w:val="00BF23F6"/>
    <w:rsid w:val="00BF2B44"/>
    <w:rsid w:val="00BF3F28"/>
    <w:rsid w:val="00BF5EEB"/>
    <w:rsid w:val="00BF64DD"/>
    <w:rsid w:val="00BF7A93"/>
    <w:rsid w:val="00BF7B0B"/>
    <w:rsid w:val="00C00D5C"/>
    <w:rsid w:val="00C02486"/>
    <w:rsid w:val="00C04F90"/>
    <w:rsid w:val="00C05A4D"/>
    <w:rsid w:val="00C05C2F"/>
    <w:rsid w:val="00C07E7D"/>
    <w:rsid w:val="00C10318"/>
    <w:rsid w:val="00C10B98"/>
    <w:rsid w:val="00C10C67"/>
    <w:rsid w:val="00C119B7"/>
    <w:rsid w:val="00C120AF"/>
    <w:rsid w:val="00C126D9"/>
    <w:rsid w:val="00C127DF"/>
    <w:rsid w:val="00C138B3"/>
    <w:rsid w:val="00C15B04"/>
    <w:rsid w:val="00C170F7"/>
    <w:rsid w:val="00C2180A"/>
    <w:rsid w:val="00C24593"/>
    <w:rsid w:val="00C24D16"/>
    <w:rsid w:val="00C2569A"/>
    <w:rsid w:val="00C258FB"/>
    <w:rsid w:val="00C267C4"/>
    <w:rsid w:val="00C306E7"/>
    <w:rsid w:val="00C30778"/>
    <w:rsid w:val="00C31A9A"/>
    <w:rsid w:val="00C31F71"/>
    <w:rsid w:val="00C3203F"/>
    <w:rsid w:val="00C32803"/>
    <w:rsid w:val="00C32F38"/>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EE1"/>
    <w:rsid w:val="00C7356D"/>
    <w:rsid w:val="00C73771"/>
    <w:rsid w:val="00C7455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B11D3"/>
    <w:rsid w:val="00CB1CE8"/>
    <w:rsid w:val="00CB2237"/>
    <w:rsid w:val="00CB239A"/>
    <w:rsid w:val="00CB49C4"/>
    <w:rsid w:val="00CB4AE3"/>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205E9"/>
    <w:rsid w:val="00D20F9F"/>
    <w:rsid w:val="00D221CA"/>
    <w:rsid w:val="00D235F4"/>
    <w:rsid w:val="00D240D1"/>
    <w:rsid w:val="00D30AE9"/>
    <w:rsid w:val="00D30C76"/>
    <w:rsid w:val="00D31EB3"/>
    <w:rsid w:val="00D32643"/>
    <w:rsid w:val="00D32B95"/>
    <w:rsid w:val="00D337F1"/>
    <w:rsid w:val="00D35D1C"/>
    <w:rsid w:val="00D365AB"/>
    <w:rsid w:val="00D409E5"/>
    <w:rsid w:val="00D40FA3"/>
    <w:rsid w:val="00D415C6"/>
    <w:rsid w:val="00D42421"/>
    <w:rsid w:val="00D436D0"/>
    <w:rsid w:val="00D47E7C"/>
    <w:rsid w:val="00D526AD"/>
    <w:rsid w:val="00D539FB"/>
    <w:rsid w:val="00D542A7"/>
    <w:rsid w:val="00D54E5A"/>
    <w:rsid w:val="00D55452"/>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A488D"/>
    <w:rsid w:val="00DA4C68"/>
    <w:rsid w:val="00DA4FAA"/>
    <w:rsid w:val="00DA7577"/>
    <w:rsid w:val="00DA78C2"/>
    <w:rsid w:val="00DB17CE"/>
    <w:rsid w:val="00DB1C99"/>
    <w:rsid w:val="00DB1FC0"/>
    <w:rsid w:val="00DB2A4E"/>
    <w:rsid w:val="00DB502A"/>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DC8"/>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12A4"/>
    <w:rsid w:val="00F62CDB"/>
    <w:rsid w:val="00F6352E"/>
    <w:rsid w:val="00F63880"/>
    <w:rsid w:val="00F64D8F"/>
    <w:rsid w:val="00F65ABD"/>
    <w:rsid w:val="00F65B88"/>
    <w:rsid w:val="00F65DFE"/>
    <w:rsid w:val="00F663A3"/>
    <w:rsid w:val="00F677C3"/>
    <w:rsid w:val="00F7059D"/>
    <w:rsid w:val="00F71123"/>
    <w:rsid w:val="00F7155B"/>
    <w:rsid w:val="00F717EF"/>
    <w:rsid w:val="00F7338F"/>
    <w:rsid w:val="00F73B7B"/>
    <w:rsid w:val="00F74AF2"/>
    <w:rsid w:val="00F75115"/>
    <w:rsid w:val="00F752CF"/>
    <w:rsid w:val="00F770EC"/>
    <w:rsid w:val="00F81615"/>
    <w:rsid w:val="00F81B58"/>
    <w:rsid w:val="00F82F75"/>
    <w:rsid w:val="00F835BC"/>
    <w:rsid w:val="00F847B7"/>
    <w:rsid w:val="00F8772A"/>
    <w:rsid w:val="00F90A1B"/>
    <w:rsid w:val="00F93020"/>
    <w:rsid w:val="00F948C0"/>
    <w:rsid w:val="00F94FCE"/>
    <w:rsid w:val="00F95520"/>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412F"/>
    <w:rsid w:val="00FF4200"/>
    <w:rsid w:val="00FF589A"/>
    <w:rsid w:val="00FF7E9E"/>
    <w:rsid w:val="0100390C"/>
    <w:rsid w:val="010351AA"/>
    <w:rsid w:val="013A0E1B"/>
    <w:rsid w:val="013C2B82"/>
    <w:rsid w:val="01453498"/>
    <w:rsid w:val="015D1EF7"/>
    <w:rsid w:val="01791910"/>
    <w:rsid w:val="018207C5"/>
    <w:rsid w:val="018C1643"/>
    <w:rsid w:val="019978BC"/>
    <w:rsid w:val="019D115B"/>
    <w:rsid w:val="019F1CAA"/>
    <w:rsid w:val="01C43648"/>
    <w:rsid w:val="01E557E7"/>
    <w:rsid w:val="01FC2DC5"/>
    <w:rsid w:val="02117849"/>
    <w:rsid w:val="021F7210"/>
    <w:rsid w:val="022E1C2A"/>
    <w:rsid w:val="022E44A8"/>
    <w:rsid w:val="024A36EB"/>
    <w:rsid w:val="025A2F9E"/>
    <w:rsid w:val="02735EC6"/>
    <w:rsid w:val="028642E4"/>
    <w:rsid w:val="02954528"/>
    <w:rsid w:val="02BF2AD7"/>
    <w:rsid w:val="02C40969"/>
    <w:rsid w:val="02F456F2"/>
    <w:rsid w:val="02F72AEC"/>
    <w:rsid w:val="031B6DD5"/>
    <w:rsid w:val="033435C8"/>
    <w:rsid w:val="03353A41"/>
    <w:rsid w:val="036D4168"/>
    <w:rsid w:val="037C672A"/>
    <w:rsid w:val="03975FBE"/>
    <w:rsid w:val="03A76C6E"/>
    <w:rsid w:val="03A95345"/>
    <w:rsid w:val="03D64DF8"/>
    <w:rsid w:val="03E272F9"/>
    <w:rsid w:val="03E7460F"/>
    <w:rsid w:val="043F0BEF"/>
    <w:rsid w:val="046917C8"/>
    <w:rsid w:val="046948F3"/>
    <w:rsid w:val="047B2D9D"/>
    <w:rsid w:val="04912ACD"/>
    <w:rsid w:val="04B05EB6"/>
    <w:rsid w:val="04B74C29"/>
    <w:rsid w:val="04D72BD5"/>
    <w:rsid w:val="04E90B5B"/>
    <w:rsid w:val="04E946B7"/>
    <w:rsid w:val="04F0495F"/>
    <w:rsid w:val="04FD384B"/>
    <w:rsid w:val="05066DF9"/>
    <w:rsid w:val="05227593"/>
    <w:rsid w:val="055F2BCB"/>
    <w:rsid w:val="05767713"/>
    <w:rsid w:val="05926700"/>
    <w:rsid w:val="059F368D"/>
    <w:rsid w:val="05A52CD4"/>
    <w:rsid w:val="05D7202B"/>
    <w:rsid w:val="05E62C39"/>
    <w:rsid w:val="05E825F7"/>
    <w:rsid w:val="05E97064"/>
    <w:rsid w:val="05F477B7"/>
    <w:rsid w:val="06127C3D"/>
    <w:rsid w:val="0631210F"/>
    <w:rsid w:val="064969C8"/>
    <w:rsid w:val="06650974"/>
    <w:rsid w:val="06745018"/>
    <w:rsid w:val="069F7723"/>
    <w:rsid w:val="06B31420"/>
    <w:rsid w:val="06D0125C"/>
    <w:rsid w:val="06E4782C"/>
    <w:rsid w:val="07061550"/>
    <w:rsid w:val="071C5217"/>
    <w:rsid w:val="07262586"/>
    <w:rsid w:val="07287718"/>
    <w:rsid w:val="07572125"/>
    <w:rsid w:val="076C0976"/>
    <w:rsid w:val="077539C2"/>
    <w:rsid w:val="078057A6"/>
    <w:rsid w:val="07893F2F"/>
    <w:rsid w:val="07B45450"/>
    <w:rsid w:val="07F43A9E"/>
    <w:rsid w:val="08144141"/>
    <w:rsid w:val="08186CD8"/>
    <w:rsid w:val="08274BAD"/>
    <w:rsid w:val="08470072"/>
    <w:rsid w:val="084762C4"/>
    <w:rsid w:val="085E56AE"/>
    <w:rsid w:val="08626C5A"/>
    <w:rsid w:val="08687981"/>
    <w:rsid w:val="086F1B39"/>
    <w:rsid w:val="08750F07"/>
    <w:rsid w:val="08766CE3"/>
    <w:rsid w:val="08874912"/>
    <w:rsid w:val="088F37C7"/>
    <w:rsid w:val="08AC1E68"/>
    <w:rsid w:val="08AE3F90"/>
    <w:rsid w:val="08B11C07"/>
    <w:rsid w:val="08B63438"/>
    <w:rsid w:val="08BD68A7"/>
    <w:rsid w:val="092A57F7"/>
    <w:rsid w:val="092B34F0"/>
    <w:rsid w:val="0940002E"/>
    <w:rsid w:val="094F29F6"/>
    <w:rsid w:val="09677298"/>
    <w:rsid w:val="096C2B3B"/>
    <w:rsid w:val="097237E4"/>
    <w:rsid w:val="097468F3"/>
    <w:rsid w:val="097862A6"/>
    <w:rsid w:val="097A6225"/>
    <w:rsid w:val="099105C3"/>
    <w:rsid w:val="09A908B8"/>
    <w:rsid w:val="09C000DC"/>
    <w:rsid w:val="09C15C02"/>
    <w:rsid w:val="09F9091A"/>
    <w:rsid w:val="09FA34EB"/>
    <w:rsid w:val="09FC4E8C"/>
    <w:rsid w:val="0A132C02"/>
    <w:rsid w:val="0A1C72DC"/>
    <w:rsid w:val="0A266660"/>
    <w:rsid w:val="0A287A2F"/>
    <w:rsid w:val="0A4D66CF"/>
    <w:rsid w:val="0A4F6F4F"/>
    <w:rsid w:val="0A557BB7"/>
    <w:rsid w:val="0A585B6A"/>
    <w:rsid w:val="0A5A32F8"/>
    <w:rsid w:val="0A652A31"/>
    <w:rsid w:val="0A692E7A"/>
    <w:rsid w:val="0A7A00E7"/>
    <w:rsid w:val="0A8A5D79"/>
    <w:rsid w:val="0AA25A34"/>
    <w:rsid w:val="0AB47859"/>
    <w:rsid w:val="0ABE2142"/>
    <w:rsid w:val="0AD61B81"/>
    <w:rsid w:val="0AF25605"/>
    <w:rsid w:val="0B0A1F19"/>
    <w:rsid w:val="0B1B531E"/>
    <w:rsid w:val="0B3442CC"/>
    <w:rsid w:val="0B36617C"/>
    <w:rsid w:val="0B4E7969"/>
    <w:rsid w:val="0B57681E"/>
    <w:rsid w:val="0B61144B"/>
    <w:rsid w:val="0B73302D"/>
    <w:rsid w:val="0BA73406"/>
    <w:rsid w:val="0BB377CC"/>
    <w:rsid w:val="0BBA6DAD"/>
    <w:rsid w:val="0BC02C20"/>
    <w:rsid w:val="0BC96FF0"/>
    <w:rsid w:val="0BCA54C1"/>
    <w:rsid w:val="0BD172B9"/>
    <w:rsid w:val="0BDF6813"/>
    <w:rsid w:val="0BE45BD8"/>
    <w:rsid w:val="0BE8071C"/>
    <w:rsid w:val="0BE93BEF"/>
    <w:rsid w:val="0BEB340A"/>
    <w:rsid w:val="0C2506CA"/>
    <w:rsid w:val="0C364685"/>
    <w:rsid w:val="0C4A304C"/>
    <w:rsid w:val="0C4F5747"/>
    <w:rsid w:val="0C5237CD"/>
    <w:rsid w:val="0C566AD6"/>
    <w:rsid w:val="0C5F2EAB"/>
    <w:rsid w:val="0C7B02EA"/>
    <w:rsid w:val="0C9615C8"/>
    <w:rsid w:val="0CAD06C0"/>
    <w:rsid w:val="0CBC5489"/>
    <w:rsid w:val="0CE2480D"/>
    <w:rsid w:val="0CE916F8"/>
    <w:rsid w:val="0D240982"/>
    <w:rsid w:val="0D312C9C"/>
    <w:rsid w:val="0D34161D"/>
    <w:rsid w:val="0D3737A0"/>
    <w:rsid w:val="0D381061"/>
    <w:rsid w:val="0D4A7030"/>
    <w:rsid w:val="0D543BFA"/>
    <w:rsid w:val="0D5C5365"/>
    <w:rsid w:val="0D5D3E94"/>
    <w:rsid w:val="0D870F11"/>
    <w:rsid w:val="0D8853B5"/>
    <w:rsid w:val="0D9D62C2"/>
    <w:rsid w:val="0DA467D8"/>
    <w:rsid w:val="0DBD78FC"/>
    <w:rsid w:val="0DE43DD8"/>
    <w:rsid w:val="0DE843A2"/>
    <w:rsid w:val="0E2C4F72"/>
    <w:rsid w:val="0E302745"/>
    <w:rsid w:val="0E364E11"/>
    <w:rsid w:val="0E372937"/>
    <w:rsid w:val="0E7476E7"/>
    <w:rsid w:val="0E8611C8"/>
    <w:rsid w:val="0E8C4A31"/>
    <w:rsid w:val="0E960DA4"/>
    <w:rsid w:val="0EAF7D3D"/>
    <w:rsid w:val="0EB6385C"/>
    <w:rsid w:val="0EB83A78"/>
    <w:rsid w:val="0ECC12D1"/>
    <w:rsid w:val="0ECC7523"/>
    <w:rsid w:val="0ECE36AE"/>
    <w:rsid w:val="0EDE1004"/>
    <w:rsid w:val="0EE02FCE"/>
    <w:rsid w:val="0EE06B2A"/>
    <w:rsid w:val="0EF32D02"/>
    <w:rsid w:val="0EFE61C3"/>
    <w:rsid w:val="0F0526A1"/>
    <w:rsid w:val="0F1C0260"/>
    <w:rsid w:val="0F27226E"/>
    <w:rsid w:val="0F3F674F"/>
    <w:rsid w:val="0F434C0A"/>
    <w:rsid w:val="0F4F60D6"/>
    <w:rsid w:val="0F5F1EEF"/>
    <w:rsid w:val="0F625791"/>
    <w:rsid w:val="0F655282"/>
    <w:rsid w:val="0F656091"/>
    <w:rsid w:val="0F977D7B"/>
    <w:rsid w:val="0F984030"/>
    <w:rsid w:val="0F9C6EF5"/>
    <w:rsid w:val="0FB352D7"/>
    <w:rsid w:val="0FD536FB"/>
    <w:rsid w:val="100A086B"/>
    <w:rsid w:val="100B5727"/>
    <w:rsid w:val="101412D3"/>
    <w:rsid w:val="102562D8"/>
    <w:rsid w:val="1026403A"/>
    <w:rsid w:val="1026710D"/>
    <w:rsid w:val="104355C3"/>
    <w:rsid w:val="10611EED"/>
    <w:rsid w:val="107439CE"/>
    <w:rsid w:val="107C2883"/>
    <w:rsid w:val="10826892"/>
    <w:rsid w:val="109B6D62"/>
    <w:rsid w:val="10B34A9A"/>
    <w:rsid w:val="10DC1574"/>
    <w:rsid w:val="10EB2890"/>
    <w:rsid w:val="110C7035"/>
    <w:rsid w:val="112C24FB"/>
    <w:rsid w:val="11390774"/>
    <w:rsid w:val="113A4C18"/>
    <w:rsid w:val="11407D54"/>
    <w:rsid w:val="11603F18"/>
    <w:rsid w:val="1160532F"/>
    <w:rsid w:val="11627CCB"/>
    <w:rsid w:val="11692E07"/>
    <w:rsid w:val="117B6FDE"/>
    <w:rsid w:val="118869FA"/>
    <w:rsid w:val="118E6D12"/>
    <w:rsid w:val="11A16A45"/>
    <w:rsid w:val="11C646FD"/>
    <w:rsid w:val="11D5049D"/>
    <w:rsid w:val="11ED785C"/>
    <w:rsid w:val="120E7E53"/>
    <w:rsid w:val="1222745A"/>
    <w:rsid w:val="122B27B2"/>
    <w:rsid w:val="12301ADC"/>
    <w:rsid w:val="123A700C"/>
    <w:rsid w:val="12592A8C"/>
    <w:rsid w:val="12850115"/>
    <w:rsid w:val="128B14A3"/>
    <w:rsid w:val="12AF0CEE"/>
    <w:rsid w:val="12CF4E33"/>
    <w:rsid w:val="12DA1AE3"/>
    <w:rsid w:val="1302191C"/>
    <w:rsid w:val="130354DD"/>
    <w:rsid w:val="131F3AA2"/>
    <w:rsid w:val="136F66CF"/>
    <w:rsid w:val="137D3290"/>
    <w:rsid w:val="13897791"/>
    <w:rsid w:val="138E4DA7"/>
    <w:rsid w:val="13A24CF6"/>
    <w:rsid w:val="13B50586"/>
    <w:rsid w:val="13D529D6"/>
    <w:rsid w:val="13F20130"/>
    <w:rsid w:val="13F54E26"/>
    <w:rsid w:val="143359AE"/>
    <w:rsid w:val="14397409"/>
    <w:rsid w:val="143A3E96"/>
    <w:rsid w:val="143D67CD"/>
    <w:rsid w:val="144769FF"/>
    <w:rsid w:val="14694157"/>
    <w:rsid w:val="146B333A"/>
    <w:rsid w:val="148461AA"/>
    <w:rsid w:val="14A512BD"/>
    <w:rsid w:val="14B040EF"/>
    <w:rsid w:val="150870B3"/>
    <w:rsid w:val="15264D8E"/>
    <w:rsid w:val="15317B3B"/>
    <w:rsid w:val="15545B7C"/>
    <w:rsid w:val="15785D0F"/>
    <w:rsid w:val="158D108E"/>
    <w:rsid w:val="158F3A95"/>
    <w:rsid w:val="15A01BE5"/>
    <w:rsid w:val="15A9411A"/>
    <w:rsid w:val="15B52ECF"/>
    <w:rsid w:val="15B91CD3"/>
    <w:rsid w:val="15BD5E17"/>
    <w:rsid w:val="15CF0F3E"/>
    <w:rsid w:val="15F5735F"/>
    <w:rsid w:val="16066474"/>
    <w:rsid w:val="16374DDB"/>
    <w:rsid w:val="164125A5"/>
    <w:rsid w:val="16571DC8"/>
    <w:rsid w:val="16620CD3"/>
    <w:rsid w:val="167B0653"/>
    <w:rsid w:val="167C182F"/>
    <w:rsid w:val="16810BF3"/>
    <w:rsid w:val="16A94950"/>
    <w:rsid w:val="16AA0906"/>
    <w:rsid w:val="16B8213B"/>
    <w:rsid w:val="16D70F4D"/>
    <w:rsid w:val="16F6136F"/>
    <w:rsid w:val="16F92E7F"/>
    <w:rsid w:val="16FD0098"/>
    <w:rsid w:val="170035E4"/>
    <w:rsid w:val="171351AA"/>
    <w:rsid w:val="172D0D7B"/>
    <w:rsid w:val="172E39E8"/>
    <w:rsid w:val="17342109"/>
    <w:rsid w:val="173E758D"/>
    <w:rsid w:val="17481711"/>
    <w:rsid w:val="174E431E"/>
    <w:rsid w:val="174E4322"/>
    <w:rsid w:val="17521617"/>
    <w:rsid w:val="175C5BC1"/>
    <w:rsid w:val="17A252C5"/>
    <w:rsid w:val="17BD4979"/>
    <w:rsid w:val="17C012EF"/>
    <w:rsid w:val="17DB38DF"/>
    <w:rsid w:val="17F35B20"/>
    <w:rsid w:val="17F41136"/>
    <w:rsid w:val="17F96393"/>
    <w:rsid w:val="18001FEB"/>
    <w:rsid w:val="1802172D"/>
    <w:rsid w:val="18065125"/>
    <w:rsid w:val="18133ACD"/>
    <w:rsid w:val="1839702E"/>
    <w:rsid w:val="183A54FD"/>
    <w:rsid w:val="184823B8"/>
    <w:rsid w:val="1862744F"/>
    <w:rsid w:val="18707171"/>
    <w:rsid w:val="18842C1C"/>
    <w:rsid w:val="188B7B07"/>
    <w:rsid w:val="18BA67B2"/>
    <w:rsid w:val="18D53478"/>
    <w:rsid w:val="18EA6F23"/>
    <w:rsid w:val="18F953B8"/>
    <w:rsid w:val="192B08D4"/>
    <w:rsid w:val="193C2941"/>
    <w:rsid w:val="19605C43"/>
    <w:rsid w:val="19683FBD"/>
    <w:rsid w:val="197762DD"/>
    <w:rsid w:val="197D69CC"/>
    <w:rsid w:val="19801636"/>
    <w:rsid w:val="19B4308D"/>
    <w:rsid w:val="19CC655E"/>
    <w:rsid w:val="19CF2F48"/>
    <w:rsid w:val="19EB5772"/>
    <w:rsid w:val="1A115971"/>
    <w:rsid w:val="1A240213"/>
    <w:rsid w:val="1A252036"/>
    <w:rsid w:val="1A400DC5"/>
    <w:rsid w:val="1A472154"/>
    <w:rsid w:val="1A4F0751"/>
    <w:rsid w:val="1A5403CD"/>
    <w:rsid w:val="1A580DF8"/>
    <w:rsid w:val="1A756CC1"/>
    <w:rsid w:val="1A782D25"/>
    <w:rsid w:val="1A850BA8"/>
    <w:rsid w:val="1A914743"/>
    <w:rsid w:val="1ABB7E7A"/>
    <w:rsid w:val="1AD334BF"/>
    <w:rsid w:val="1AE6371B"/>
    <w:rsid w:val="1AE950FA"/>
    <w:rsid w:val="1B3E3603"/>
    <w:rsid w:val="1B6D1746"/>
    <w:rsid w:val="1B7032B1"/>
    <w:rsid w:val="1B711290"/>
    <w:rsid w:val="1B860A5A"/>
    <w:rsid w:val="1B9403E7"/>
    <w:rsid w:val="1BB5545E"/>
    <w:rsid w:val="1BBE1FA1"/>
    <w:rsid w:val="1BDE0896"/>
    <w:rsid w:val="1BE7599C"/>
    <w:rsid w:val="1BE97440"/>
    <w:rsid w:val="1C071B9A"/>
    <w:rsid w:val="1C0A3439"/>
    <w:rsid w:val="1C17728B"/>
    <w:rsid w:val="1C1F5136"/>
    <w:rsid w:val="1C2C1601"/>
    <w:rsid w:val="1C2F2E9F"/>
    <w:rsid w:val="1C427076"/>
    <w:rsid w:val="1C4C7CC3"/>
    <w:rsid w:val="1C8A69E1"/>
    <w:rsid w:val="1CA218C3"/>
    <w:rsid w:val="1CBA28AA"/>
    <w:rsid w:val="1CF15B94"/>
    <w:rsid w:val="1D022894"/>
    <w:rsid w:val="1D047E88"/>
    <w:rsid w:val="1D156539"/>
    <w:rsid w:val="1D216C8C"/>
    <w:rsid w:val="1D61442A"/>
    <w:rsid w:val="1D623D91"/>
    <w:rsid w:val="1D6F55A4"/>
    <w:rsid w:val="1D7E04F4"/>
    <w:rsid w:val="1DED20B4"/>
    <w:rsid w:val="1E077C8E"/>
    <w:rsid w:val="1E0D2131"/>
    <w:rsid w:val="1E135665"/>
    <w:rsid w:val="1E1423D7"/>
    <w:rsid w:val="1E307789"/>
    <w:rsid w:val="1E3231A6"/>
    <w:rsid w:val="1E5352A7"/>
    <w:rsid w:val="1E5906A7"/>
    <w:rsid w:val="1E652BA8"/>
    <w:rsid w:val="1E6E088F"/>
    <w:rsid w:val="1E8C45D9"/>
    <w:rsid w:val="1EB3600A"/>
    <w:rsid w:val="1EBF0EDC"/>
    <w:rsid w:val="1EE61F3B"/>
    <w:rsid w:val="1EFF3D83"/>
    <w:rsid w:val="1F0028D1"/>
    <w:rsid w:val="1F02211F"/>
    <w:rsid w:val="1F126F73"/>
    <w:rsid w:val="1F170346"/>
    <w:rsid w:val="1F1A472F"/>
    <w:rsid w:val="1F1C0F96"/>
    <w:rsid w:val="1F4E5D32"/>
    <w:rsid w:val="1F725038"/>
    <w:rsid w:val="1F7A6B27"/>
    <w:rsid w:val="1F9A0F77"/>
    <w:rsid w:val="1FBB33C8"/>
    <w:rsid w:val="1FBB4BD6"/>
    <w:rsid w:val="1FCD30FB"/>
    <w:rsid w:val="1FCF304C"/>
    <w:rsid w:val="1FCF7AFB"/>
    <w:rsid w:val="1FFB3446"/>
    <w:rsid w:val="200F7274"/>
    <w:rsid w:val="20191E9C"/>
    <w:rsid w:val="201A220D"/>
    <w:rsid w:val="20407429"/>
    <w:rsid w:val="20436F19"/>
    <w:rsid w:val="20474C5B"/>
    <w:rsid w:val="204F58BE"/>
    <w:rsid w:val="20515CDA"/>
    <w:rsid w:val="205630F0"/>
    <w:rsid w:val="207B1149"/>
    <w:rsid w:val="208B6917"/>
    <w:rsid w:val="20971013"/>
    <w:rsid w:val="20A774A8"/>
    <w:rsid w:val="20B00359"/>
    <w:rsid w:val="20B87907"/>
    <w:rsid w:val="20BC2B08"/>
    <w:rsid w:val="20D858B3"/>
    <w:rsid w:val="20EE50D7"/>
    <w:rsid w:val="20F87D04"/>
    <w:rsid w:val="210E54DE"/>
    <w:rsid w:val="21352D06"/>
    <w:rsid w:val="21475F62"/>
    <w:rsid w:val="21486EDD"/>
    <w:rsid w:val="216C71A5"/>
    <w:rsid w:val="216C7565"/>
    <w:rsid w:val="21785FE4"/>
    <w:rsid w:val="21871088"/>
    <w:rsid w:val="21921716"/>
    <w:rsid w:val="21B7296D"/>
    <w:rsid w:val="21F4671D"/>
    <w:rsid w:val="22145011"/>
    <w:rsid w:val="221B1EC0"/>
    <w:rsid w:val="222334A6"/>
    <w:rsid w:val="22245FA1"/>
    <w:rsid w:val="22266AF2"/>
    <w:rsid w:val="22405E06"/>
    <w:rsid w:val="22511DC1"/>
    <w:rsid w:val="22714212"/>
    <w:rsid w:val="22956D55"/>
    <w:rsid w:val="22AA51F5"/>
    <w:rsid w:val="22B45EAC"/>
    <w:rsid w:val="22BD28C6"/>
    <w:rsid w:val="22BE26E0"/>
    <w:rsid w:val="22DB2820"/>
    <w:rsid w:val="22E569AE"/>
    <w:rsid w:val="22ED607D"/>
    <w:rsid w:val="233C6721"/>
    <w:rsid w:val="236553F8"/>
    <w:rsid w:val="236560AB"/>
    <w:rsid w:val="23713D9D"/>
    <w:rsid w:val="2381161B"/>
    <w:rsid w:val="2381693A"/>
    <w:rsid w:val="239006C7"/>
    <w:rsid w:val="2393640A"/>
    <w:rsid w:val="239857CE"/>
    <w:rsid w:val="23B9512F"/>
    <w:rsid w:val="23CE0F75"/>
    <w:rsid w:val="23D87D85"/>
    <w:rsid w:val="23FF75FB"/>
    <w:rsid w:val="2401386A"/>
    <w:rsid w:val="241F1903"/>
    <w:rsid w:val="244F0582"/>
    <w:rsid w:val="24612064"/>
    <w:rsid w:val="246D6C5B"/>
    <w:rsid w:val="247578BD"/>
    <w:rsid w:val="248C70E1"/>
    <w:rsid w:val="248D111F"/>
    <w:rsid w:val="249B37C8"/>
    <w:rsid w:val="24BE74B6"/>
    <w:rsid w:val="24DE7EDC"/>
    <w:rsid w:val="24DF5ADD"/>
    <w:rsid w:val="24EA7B48"/>
    <w:rsid w:val="25107F16"/>
    <w:rsid w:val="253F4153"/>
    <w:rsid w:val="254E4396"/>
    <w:rsid w:val="2555500A"/>
    <w:rsid w:val="256B319A"/>
    <w:rsid w:val="256F74FA"/>
    <w:rsid w:val="2585493F"/>
    <w:rsid w:val="25866F31"/>
    <w:rsid w:val="25AC5B1F"/>
    <w:rsid w:val="25F30CBD"/>
    <w:rsid w:val="25FD5DBC"/>
    <w:rsid w:val="261255FF"/>
    <w:rsid w:val="26343C96"/>
    <w:rsid w:val="264E03C6"/>
    <w:rsid w:val="266F0A68"/>
    <w:rsid w:val="26795443"/>
    <w:rsid w:val="267E1B60"/>
    <w:rsid w:val="267F3064"/>
    <w:rsid w:val="269B3FD2"/>
    <w:rsid w:val="26B24DF9"/>
    <w:rsid w:val="26C16DEA"/>
    <w:rsid w:val="26D51F6D"/>
    <w:rsid w:val="26E53821"/>
    <w:rsid w:val="26F31699"/>
    <w:rsid w:val="27027B2E"/>
    <w:rsid w:val="27032D56"/>
    <w:rsid w:val="270F3FF9"/>
    <w:rsid w:val="271C4A6F"/>
    <w:rsid w:val="276B56D3"/>
    <w:rsid w:val="276E51C4"/>
    <w:rsid w:val="278B7844"/>
    <w:rsid w:val="278C3449"/>
    <w:rsid w:val="278C526B"/>
    <w:rsid w:val="27906CB2"/>
    <w:rsid w:val="27914A0E"/>
    <w:rsid w:val="279A3137"/>
    <w:rsid w:val="27A97085"/>
    <w:rsid w:val="27AC17B9"/>
    <w:rsid w:val="27B24E2E"/>
    <w:rsid w:val="27BE67C9"/>
    <w:rsid w:val="27BF157B"/>
    <w:rsid w:val="27F31225"/>
    <w:rsid w:val="28090A48"/>
    <w:rsid w:val="28217234"/>
    <w:rsid w:val="284B1574"/>
    <w:rsid w:val="285C326E"/>
    <w:rsid w:val="28D23530"/>
    <w:rsid w:val="28DE0127"/>
    <w:rsid w:val="28F0207E"/>
    <w:rsid w:val="29546686"/>
    <w:rsid w:val="295E6B72"/>
    <w:rsid w:val="29695805"/>
    <w:rsid w:val="29903404"/>
    <w:rsid w:val="29A273A6"/>
    <w:rsid w:val="29BA64EB"/>
    <w:rsid w:val="29BA6E37"/>
    <w:rsid w:val="2A1F4553"/>
    <w:rsid w:val="2A430E87"/>
    <w:rsid w:val="2A7D3457"/>
    <w:rsid w:val="2A946CEF"/>
    <w:rsid w:val="2AAF3B29"/>
    <w:rsid w:val="2ABC4E3A"/>
    <w:rsid w:val="2AD96DF8"/>
    <w:rsid w:val="2B29508C"/>
    <w:rsid w:val="2B2A5CCA"/>
    <w:rsid w:val="2B4F0E68"/>
    <w:rsid w:val="2B5B2897"/>
    <w:rsid w:val="2B620444"/>
    <w:rsid w:val="2B6820A6"/>
    <w:rsid w:val="2B7E0FC3"/>
    <w:rsid w:val="2B8054ED"/>
    <w:rsid w:val="2B991FF2"/>
    <w:rsid w:val="2BBA71F5"/>
    <w:rsid w:val="2BD3551E"/>
    <w:rsid w:val="2BD43A5C"/>
    <w:rsid w:val="2BD82C0B"/>
    <w:rsid w:val="2BE75544"/>
    <w:rsid w:val="2C567FD4"/>
    <w:rsid w:val="2C595D41"/>
    <w:rsid w:val="2C8114F5"/>
    <w:rsid w:val="2CB40C39"/>
    <w:rsid w:val="2CBE62A5"/>
    <w:rsid w:val="2CBF5B79"/>
    <w:rsid w:val="2CC82C80"/>
    <w:rsid w:val="2CF6099E"/>
    <w:rsid w:val="2D0A773C"/>
    <w:rsid w:val="2D0F08AF"/>
    <w:rsid w:val="2D214A86"/>
    <w:rsid w:val="2D2154E0"/>
    <w:rsid w:val="2D241E80"/>
    <w:rsid w:val="2D297497"/>
    <w:rsid w:val="2D3B5B48"/>
    <w:rsid w:val="2D46629B"/>
    <w:rsid w:val="2D5B4C0F"/>
    <w:rsid w:val="2D6A3D37"/>
    <w:rsid w:val="2DB61363"/>
    <w:rsid w:val="2DD91921"/>
    <w:rsid w:val="2DD935D3"/>
    <w:rsid w:val="2DE41277"/>
    <w:rsid w:val="2DE66F76"/>
    <w:rsid w:val="2E126BCA"/>
    <w:rsid w:val="2E3010A6"/>
    <w:rsid w:val="2E36329E"/>
    <w:rsid w:val="2E383E35"/>
    <w:rsid w:val="2E3C1B78"/>
    <w:rsid w:val="2E3C1BBC"/>
    <w:rsid w:val="2E3D144C"/>
    <w:rsid w:val="2E4872C7"/>
    <w:rsid w:val="2E564673"/>
    <w:rsid w:val="2E627104"/>
    <w:rsid w:val="2E7310E3"/>
    <w:rsid w:val="2EAA5CB6"/>
    <w:rsid w:val="2EBA484A"/>
    <w:rsid w:val="2EBF4ACA"/>
    <w:rsid w:val="2EBF6305"/>
    <w:rsid w:val="2EFC41EE"/>
    <w:rsid w:val="2F083808"/>
    <w:rsid w:val="2F141D40"/>
    <w:rsid w:val="2F326AD7"/>
    <w:rsid w:val="2F366A04"/>
    <w:rsid w:val="2F4D3828"/>
    <w:rsid w:val="2F5C441E"/>
    <w:rsid w:val="2F5C6564"/>
    <w:rsid w:val="2F6055E3"/>
    <w:rsid w:val="2F622FA8"/>
    <w:rsid w:val="2F6C3552"/>
    <w:rsid w:val="2F7A262F"/>
    <w:rsid w:val="2FA03AA3"/>
    <w:rsid w:val="2FC02334"/>
    <w:rsid w:val="2FD7142C"/>
    <w:rsid w:val="2FF558A8"/>
    <w:rsid w:val="2FF63FA8"/>
    <w:rsid w:val="30087265"/>
    <w:rsid w:val="30104446"/>
    <w:rsid w:val="30161F54"/>
    <w:rsid w:val="302477D8"/>
    <w:rsid w:val="302E77A9"/>
    <w:rsid w:val="30430644"/>
    <w:rsid w:val="304C7B53"/>
    <w:rsid w:val="3065199C"/>
    <w:rsid w:val="306A22EC"/>
    <w:rsid w:val="3078546E"/>
    <w:rsid w:val="309D61D2"/>
    <w:rsid w:val="30E62404"/>
    <w:rsid w:val="30E91A28"/>
    <w:rsid w:val="31065EDB"/>
    <w:rsid w:val="310D2C36"/>
    <w:rsid w:val="31865A40"/>
    <w:rsid w:val="31D945ED"/>
    <w:rsid w:val="3200767E"/>
    <w:rsid w:val="322E6ED1"/>
    <w:rsid w:val="32457FA9"/>
    <w:rsid w:val="32566F80"/>
    <w:rsid w:val="325B4596"/>
    <w:rsid w:val="325F5E35"/>
    <w:rsid w:val="32992418"/>
    <w:rsid w:val="329B78D9"/>
    <w:rsid w:val="32A257EC"/>
    <w:rsid w:val="32A65523"/>
    <w:rsid w:val="32FE389F"/>
    <w:rsid w:val="3301294A"/>
    <w:rsid w:val="33114C55"/>
    <w:rsid w:val="33353039"/>
    <w:rsid w:val="335221F8"/>
    <w:rsid w:val="33545CD9"/>
    <w:rsid w:val="33596D28"/>
    <w:rsid w:val="335A4FFA"/>
    <w:rsid w:val="335F1E64"/>
    <w:rsid w:val="33615BDC"/>
    <w:rsid w:val="33661445"/>
    <w:rsid w:val="33686F6B"/>
    <w:rsid w:val="336A3155"/>
    <w:rsid w:val="337376BE"/>
    <w:rsid w:val="33754FA3"/>
    <w:rsid w:val="339636B4"/>
    <w:rsid w:val="33E16D1D"/>
    <w:rsid w:val="343706EB"/>
    <w:rsid w:val="346258FD"/>
    <w:rsid w:val="34637732"/>
    <w:rsid w:val="346C2A8B"/>
    <w:rsid w:val="348222AE"/>
    <w:rsid w:val="348C6C89"/>
    <w:rsid w:val="3495510D"/>
    <w:rsid w:val="349C35B5"/>
    <w:rsid w:val="34AE4E51"/>
    <w:rsid w:val="34B53812"/>
    <w:rsid w:val="34C74165"/>
    <w:rsid w:val="34C957E7"/>
    <w:rsid w:val="350B22A4"/>
    <w:rsid w:val="354B6B44"/>
    <w:rsid w:val="35514A96"/>
    <w:rsid w:val="356E5B3C"/>
    <w:rsid w:val="35703BE5"/>
    <w:rsid w:val="35771225"/>
    <w:rsid w:val="35847294"/>
    <w:rsid w:val="35960B5E"/>
    <w:rsid w:val="3598434D"/>
    <w:rsid w:val="35A029A5"/>
    <w:rsid w:val="35CF6FF8"/>
    <w:rsid w:val="35E0728C"/>
    <w:rsid w:val="35ED589A"/>
    <w:rsid w:val="361D460D"/>
    <w:rsid w:val="36211653"/>
    <w:rsid w:val="3629779E"/>
    <w:rsid w:val="3639320E"/>
    <w:rsid w:val="366559E4"/>
    <w:rsid w:val="3679323D"/>
    <w:rsid w:val="367E5FDC"/>
    <w:rsid w:val="36802434"/>
    <w:rsid w:val="369B1405"/>
    <w:rsid w:val="36A76752"/>
    <w:rsid w:val="36B349A1"/>
    <w:rsid w:val="36C579F2"/>
    <w:rsid w:val="36C96F41"/>
    <w:rsid w:val="36F34D9D"/>
    <w:rsid w:val="3703111F"/>
    <w:rsid w:val="37054AD1"/>
    <w:rsid w:val="37313B18"/>
    <w:rsid w:val="37624C68"/>
    <w:rsid w:val="376E2676"/>
    <w:rsid w:val="377624E8"/>
    <w:rsid w:val="377834F5"/>
    <w:rsid w:val="37820C94"/>
    <w:rsid w:val="37B409D1"/>
    <w:rsid w:val="37BF7375"/>
    <w:rsid w:val="37C134DB"/>
    <w:rsid w:val="37CA01F4"/>
    <w:rsid w:val="37CE0538"/>
    <w:rsid w:val="37D72911"/>
    <w:rsid w:val="37DA41AF"/>
    <w:rsid w:val="37EF7C5B"/>
    <w:rsid w:val="37F232A7"/>
    <w:rsid w:val="381C2DF7"/>
    <w:rsid w:val="38370CC4"/>
    <w:rsid w:val="38392C84"/>
    <w:rsid w:val="383E473E"/>
    <w:rsid w:val="3848736B"/>
    <w:rsid w:val="386121DB"/>
    <w:rsid w:val="386F2B4A"/>
    <w:rsid w:val="386F2FDB"/>
    <w:rsid w:val="3874313D"/>
    <w:rsid w:val="38A5581F"/>
    <w:rsid w:val="38C22C79"/>
    <w:rsid w:val="38CD0DC8"/>
    <w:rsid w:val="38D317F4"/>
    <w:rsid w:val="38E3051F"/>
    <w:rsid w:val="38E726E0"/>
    <w:rsid w:val="38FA7508"/>
    <w:rsid w:val="38FD63A7"/>
    <w:rsid w:val="39094D4C"/>
    <w:rsid w:val="391D25A6"/>
    <w:rsid w:val="392032FC"/>
    <w:rsid w:val="393B38EF"/>
    <w:rsid w:val="39567866"/>
    <w:rsid w:val="396708A0"/>
    <w:rsid w:val="398322DC"/>
    <w:rsid w:val="39B20F40"/>
    <w:rsid w:val="39D03040"/>
    <w:rsid w:val="39D30EAD"/>
    <w:rsid w:val="39E12F34"/>
    <w:rsid w:val="39F06BFD"/>
    <w:rsid w:val="39F318CA"/>
    <w:rsid w:val="3A080B60"/>
    <w:rsid w:val="3A103EB8"/>
    <w:rsid w:val="3A2B1428"/>
    <w:rsid w:val="3A322081"/>
    <w:rsid w:val="3A4A340B"/>
    <w:rsid w:val="3A571384"/>
    <w:rsid w:val="3A725701"/>
    <w:rsid w:val="3A900F1E"/>
    <w:rsid w:val="3AD15273"/>
    <w:rsid w:val="3AD34A1B"/>
    <w:rsid w:val="3AE04BE4"/>
    <w:rsid w:val="3AF42518"/>
    <w:rsid w:val="3B261CFB"/>
    <w:rsid w:val="3B3C4395"/>
    <w:rsid w:val="3B6F58DE"/>
    <w:rsid w:val="3B800BCA"/>
    <w:rsid w:val="3B882877"/>
    <w:rsid w:val="3BB54DB0"/>
    <w:rsid w:val="3BB56AC5"/>
    <w:rsid w:val="3BCE7B87"/>
    <w:rsid w:val="3BD333EF"/>
    <w:rsid w:val="3C125DCE"/>
    <w:rsid w:val="3C177780"/>
    <w:rsid w:val="3C1852A6"/>
    <w:rsid w:val="3C3E4D0D"/>
    <w:rsid w:val="3C422F3E"/>
    <w:rsid w:val="3C4B567C"/>
    <w:rsid w:val="3C53794D"/>
    <w:rsid w:val="3C6504EB"/>
    <w:rsid w:val="3C713683"/>
    <w:rsid w:val="3C746980"/>
    <w:rsid w:val="3C797AF3"/>
    <w:rsid w:val="3C8A61A4"/>
    <w:rsid w:val="3C8B6ACE"/>
    <w:rsid w:val="3C9568F7"/>
    <w:rsid w:val="3CD25997"/>
    <w:rsid w:val="3CE07B72"/>
    <w:rsid w:val="3CEA09F1"/>
    <w:rsid w:val="3D0870C9"/>
    <w:rsid w:val="3D3A1978"/>
    <w:rsid w:val="3D3B56F0"/>
    <w:rsid w:val="3D591958"/>
    <w:rsid w:val="3D5F318D"/>
    <w:rsid w:val="3D6320AE"/>
    <w:rsid w:val="3D632551"/>
    <w:rsid w:val="3D6B67D2"/>
    <w:rsid w:val="3D70539A"/>
    <w:rsid w:val="3D73032B"/>
    <w:rsid w:val="3D7F04B3"/>
    <w:rsid w:val="3D7F382F"/>
    <w:rsid w:val="3D823CE7"/>
    <w:rsid w:val="3D842BF3"/>
    <w:rsid w:val="3D887631"/>
    <w:rsid w:val="3DC4168B"/>
    <w:rsid w:val="3DD516A1"/>
    <w:rsid w:val="3DE418E4"/>
    <w:rsid w:val="3DF32C30"/>
    <w:rsid w:val="3E0856D8"/>
    <w:rsid w:val="3E186EBA"/>
    <w:rsid w:val="3E340DB0"/>
    <w:rsid w:val="3E3D1DE7"/>
    <w:rsid w:val="3E546A69"/>
    <w:rsid w:val="3E8E1705"/>
    <w:rsid w:val="3EC7747B"/>
    <w:rsid w:val="3EE31B9B"/>
    <w:rsid w:val="3EE37DED"/>
    <w:rsid w:val="3EE6168C"/>
    <w:rsid w:val="3F0C10F2"/>
    <w:rsid w:val="3F161F71"/>
    <w:rsid w:val="3F191BEA"/>
    <w:rsid w:val="3F1F34F0"/>
    <w:rsid w:val="3F3C12AC"/>
    <w:rsid w:val="3F51605E"/>
    <w:rsid w:val="3F593C0C"/>
    <w:rsid w:val="3F634A8A"/>
    <w:rsid w:val="3F7647BE"/>
    <w:rsid w:val="3F8E439A"/>
    <w:rsid w:val="3F982986"/>
    <w:rsid w:val="3F984F0D"/>
    <w:rsid w:val="3FBB0422"/>
    <w:rsid w:val="3FC813FA"/>
    <w:rsid w:val="3FCA4B09"/>
    <w:rsid w:val="3FEE07F8"/>
    <w:rsid w:val="3FF1653A"/>
    <w:rsid w:val="400224F5"/>
    <w:rsid w:val="401A783F"/>
    <w:rsid w:val="404C40AC"/>
    <w:rsid w:val="40582115"/>
    <w:rsid w:val="405C7E57"/>
    <w:rsid w:val="406867FC"/>
    <w:rsid w:val="407F76A2"/>
    <w:rsid w:val="408F76DC"/>
    <w:rsid w:val="40931A53"/>
    <w:rsid w:val="40B53071"/>
    <w:rsid w:val="40E045E4"/>
    <w:rsid w:val="40FD4530"/>
    <w:rsid w:val="412071E1"/>
    <w:rsid w:val="416E7A1D"/>
    <w:rsid w:val="41744230"/>
    <w:rsid w:val="41875415"/>
    <w:rsid w:val="418A5041"/>
    <w:rsid w:val="419D4283"/>
    <w:rsid w:val="41A265EF"/>
    <w:rsid w:val="41D016DB"/>
    <w:rsid w:val="41E40104"/>
    <w:rsid w:val="422E75D1"/>
    <w:rsid w:val="423B3E49"/>
    <w:rsid w:val="42497F67"/>
    <w:rsid w:val="42562684"/>
    <w:rsid w:val="4258464E"/>
    <w:rsid w:val="42621029"/>
    <w:rsid w:val="427431DA"/>
    <w:rsid w:val="427521D5"/>
    <w:rsid w:val="427841F9"/>
    <w:rsid w:val="428B3394"/>
    <w:rsid w:val="429513FF"/>
    <w:rsid w:val="429E73C3"/>
    <w:rsid w:val="42A54AC6"/>
    <w:rsid w:val="42AF1AB8"/>
    <w:rsid w:val="42C92DB7"/>
    <w:rsid w:val="42F223AD"/>
    <w:rsid w:val="43010842"/>
    <w:rsid w:val="43056584"/>
    <w:rsid w:val="430D6FF5"/>
    <w:rsid w:val="43133AA1"/>
    <w:rsid w:val="431745FE"/>
    <w:rsid w:val="433429C6"/>
    <w:rsid w:val="43482915"/>
    <w:rsid w:val="434846C3"/>
    <w:rsid w:val="4350530C"/>
    <w:rsid w:val="43525542"/>
    <w:rsid w:val="43635059"/>
    <w:rsid w:val="43963F1E"/>
    <w:rsid w:val="43A2087C"/>
    <w:rsid w:val="43B92ECB"/>
    <w:rsid w:val="43DE09D2"/>
    <w:rsid w:val="43F65ECD"/>
    <w:rsid w:val="441822E7"/>
    <w:rsid w:val="44426629"/>
    <w:rsid w:val="44507864"/>
    <w:rsid w:val="44532C51"/>
    <w:rsid w:val="44652ACA"/>
    <w:rsid w:val="44936155"/>
    <w:rsid w:val="44A21BB1"/>
    <w:rsid w:val="44A44849"/>
    <w:rsid w:val="44A771C7"/>
    <w:rsid w:val="44DB5566"/>
    <w:rsid w:val="44F72A5D"/>
    <w:rsid w:val="44FE772F"/>
    <w:rsid w:val="44FF7003"/>
    <w:rsid w:val="450C60CA"/>
    <w:rsid w:val="451F76A5"/>
    <w:rsid w:val="458967A2"/>
    <w:rsid w:val="45904F76"/>
    <w:rsid w:val="45917D94"/>
    <w:rsid w:val="459D3BC2"/>
    <w:rsid w:val="46184820"/>
    <w:rsid w:val="461E6DF1"/>
    <w:rsid w:val="46291A0F"/>
    <w:rsid w:val="462B3790"/>
    <w:rsid w:val="463762D1"/>
    <w:rsid w:val="46494FE1"/>
    <w:rsid w:val="464D0C32"/>
    <w:rsid w:val="4652669D"/>
    <w:rsid w:val="46644A5F"/>
    <w:rsid w:val="466A4950"/>
    <w:rsid w:val="467557CF"/>
    <w:rsid w:val="467B0194"/>
    <w:rsid w:val="468E4AE3"/>
    <w:rsid w:val="468F19EB"/>
    <w:rsid w:val="46AE3A11"/>
    <w:rsid w:val="46C61AAB"/>
    <w:rsid w:val="46E14C12"/>
    <w:rsid w:val="472114B3"/>
    <w:rsid w:val="47332F94"/>
    <w:rsid w:val="474004D4"/>
    <w:rsid w:val="475073D7"/>
    <w:rsid w:val="476843AC"/>
    <w:rsid w:val="476E221E"/>
    <w:rsid w:val="477F37B9"/>
    <w:rsid w:val="47971775"/>
    <w:rsid w:val="47AA2318"/>
    <w:rsid w:val="47BB2E28"/>
    <w:rsid w:val="47C167F2"/>
    <w:rsid w:val="47EE3067"/>
    <w:rsid w:val="47F25430"/>
    <w:rsid w:val="4807758D"/>
    <w:rsid w:val="48323EE8"/>
    <w:rsid w:val="48453261"/>
    <w:rsid w:val="48515DC8"/>
    <w:rsid w:val="486378A9"/>
    <w:rsid w:val="48937470"/>
    <w:rsid w:val="489B1B33"/>
    <w:rsid w:val="48A81AA5"/>
    <w:rsid w:val="48AE03C2"/>
    <w:rsid w:val="48AE5485"/>
    <w:rsid w:val="48B60321"/>
    <w:rsid w:val="48C46856"/>
    <w:rsid w:val="48EC1A58"/>
    <w:rsid w:val="49107A31"/>
    <w:rsid w:val="49325BF9"/>
    <w:rsid w:val="49706721"/>
    <w:rsid w:val="497E2BEC"/>
    <w:rsid w:val="49814566"/>
    <w:rsid w:val="49A87C69"/>
    <w:rsid w:val="49AD1724"/>
    <w:rsid w:val="49C02B87"/>
    <w:rsid w:val="49D120EC"/>
    <w:rsid w:val="49D433EE"/>
    <w:rsid w:val="49FD42A4"/>
    <w:rsid w:val="4A3B0ADD"/>
    <w:rsid w:val="4A4C2CEB"/>
    <w:rsid w:val="4A5E73C4"/>
    <w:rsid w:val="4A770517"/>
    <w:rsid w:val="4A8330FE"/>
    <w:rsid w:val="4A8C758B"/>
    <w:rsid w:val="4AB14E2D"/>
    <w:rsid w:val="4AB368C6"/>
    <w:rsid w:val="4AD50ED4"/>
    <w:rsid w:val="4AE44CD1"/>
    <w:rsid w:val="4AE747C1"/>
    <w:rsid w:val="4AF13892"/>
    <w:rsid w:val="4AF22945"/>
    <w:rsid w:val="4AF63F02"/>
    <w:rsid w:val="4B0340A4"/>
    <w:rsid w:val="4B090BDC"/>
    <w:rsid w:val="4B197B96"/>
    <w:rsid w:val="4B30028E"/>
    <w:rsid w:val="4B531E57"/>
    <w:rsid w:val="4B6422B6"/>
    <w:rsid w:val="4BAF3531"/>
    <w:rsid w:val="4BC468B1"/>
    <w:rsid w:val="4BD44D46"/>
    <w:rsid w:val="4BD73BBC"/>
    <w:rsid w:val="4BDA4326"/>
    <w:rsid w:val="4BEB208F"/>
    <w:rsid w:val="4BFC604B"/>
    <w:rsid w:val="4C2542C6"/>
    <w:rsid w:val="4C435E96"/>
    <w:rsid w:val="4C673E0C"/>
    <w:rsid w:val="4C842195"/>
    <w:rsid w:val="4C8844D8"/>
    <w:rsid w:val="4C8A69D2"/>
    <w:rsid w:val="4C9E7102"/>
    <w:rsid w:val="4CAC7CCD"/>
    <w:rsid w:val="4CB07870"/>
    <w:rsid w:val="4CC21042"/>
    <w:rsid w:val="4D217F10"/>
    <w:rsid w:val="4D25439B"/>
    <w:rsid w:val="4D540897"/>
    <w:rsid w:val="4D657A67"/>
    <w:rsid w:val="4D924EB8"/>
    <w:rsid w:val="4D92750F"/>
    <w:rsid w:val="4DB36BDD"/>
    <w:rsid w:val="4DBE5CAD"/>
    <w:rsid w:val="4DD83BCC"/>
    <w:rsid w:val="4DEB6377"/>
    <w:rsid w:val="4DF1636E"/>
    <w:rsid w:val="4E016821"/>
    <w:rsid w:val="4E0765A5"/>
    <w:rsid w:val="4E1115CD"/>
    <w:rsid w:val="4E1924EF"/>
    <w:rsid w:val="4E1B3100"/>
    <w:rsid w:val="4E224CE2"/>
    <w:rsid w:val="4E2E5373"/>
    <w:rsid w:val="4E3D34F2"/>
    <w:rsid w:val="4E54216E"/>
    <w:rsid w:val="4E745CB6"/>
    <w:rsid w:val="4EB90223"/>
    <w:rsid w:val="4EC07803"/>
    <w:rsid w:val="4ECC7F56"/>
    <w:rsid w:val="4ED82187"/>
    <w:rsid w:val="4EE27577"/>
    <w:rsid w:val="4F45117A"/>
    <w:rsid w:val="4F4665CF"/>
    <w:rsid w:val="4F49480A"/>
    <w:rsid w:val="4F513BA5"/>
    <w:rsid w:val="4F560168"/>
    <w:rsid w:val="4F561D44"/>
    <w:rsid w:val="4F604B42"/>
    <w:rsid w:val="4F660E74"/>
    <w:rsid w:val="4F6D0752"/>
    <w:rsid w:val="4F786D37"/>
    <w:rsid w:val="4F994174"/>
    <w:rsid w:val="4FC12593"/>
    <w:rsid w:val="4FD0705F"/>
    <w:rsid w:val="4FDE142C"/>
    <w:rsid w:val="5011774A"/>
    <w:rsid w:val="50146059"/>
    <w:rsid w:val="50301C11"/>
    <w:rsid w:val="505C6EFD"/>
    <w:rsid w:val="50630D8E"/>
    <w:rsid w:val="5064466C"/>
    <w:rsid w:val="506F736F"/>
    <w:rsid w:val="5080549C"/>
    <w:rsid w:val="50854E71"/>
    <w:rsid w:val="508B3E41"/>
    <w:rsid w:val="509E5922"/>
    <w:rsid w:val="50B25872"/>
    <w:rsid w:val="50BF5CCD"/>
    <w:rsid w:val="50DE6667"/>
    <w:rsid w:val="50F87728"/>
    <w:rsid w:val="51044B29"/>
    <w:rsid w:val="515A3F3F"/>
    <w:rsid w:val="515E7330"/>
    <w:rsid w:val="51741B9B"/>
    <w:rsid w:val="518A6C1F"/>
    <w:rsid w:val="51944BC6"/>
    <w:rsid w:val="51A2330C"/>
    <w:rsid w:val="51AB05F0"/>
    <w:rsid w:val="51AC0513"/>
    <w:rsid w:val="51B24883"/>
    <w:rsid w:val="51B6604B"/>
    <w:rsid w:val="51C40A1F"/>
    <w:rsid w:val="51CB489B"/>
    <w:rsid w:val="521F2A93"/>
    <w:rsid w:val="5221680B"/>
    <w:rsid w:val="522E717A"/>
    <w:rsid w:val="52315F1A"/>
    <w:rsid w:val="523C1897"/>
    <w:rsid w:val="524E3378"/>
    <w:rsid w:val="52546BE0"/>
    <w:rsid w:val="52B25C24"/>
    <w:rsid w:val="52BE1DF5"/>
    <w:rsid w:val="52C353B1"/>
    <w:rsid w:val="52C87D18"/>
    <w:rsid w:val="52CC4FD9"/>
    <w:rsid w:val="52D4289E"/>
    <w:rsid w:val="52E31F46"/>
    <w:rsid w:val="5325057D"/>
    <w:rsid w:val="53410230"/>
    <w:rsid w:val="53427D34"/>
    <w:rsid w:val="53642E53"/>
    <w:rsid w:val="538452A3"/>
    <w:rsid w:val="539B439B"/>
    <w:rsid w:val="539F20DD"/>
    <w:rsid w:val="53A30849"/>
    <w:rsid w:val="53B43B75"/>
    <w:rsid w:val="53DE5743"/>
    <w:rsid w:val="53E329CC"/>
    <w:rsid w:val="53FA7313"/>
    <w:rsid w:val="54040192"/>
    <w:rsid w:val="540A2204"/>
    <w:rsid w:val="54332825"/>
    <w:rsid w:val="54443C25"/>
    <w:rsid w:val="544F3B03"/>
    <w:rsid w:val="545033D7"/>
    <w:rsid w:val="545C3887"/>
    <w:rsid w:val="545D78A2"/>
    <w:rsid w:val="5462506D"/>
    <w:rsid w:val="549239F0"/>
    <w:rsid w:val="54CF07A0"/>
    <w:rsid w:val="54DF725F"/>
    <w:rsid w:val="54F7539A"/>
    <w:rsid w:val="55006BAB"/>
    <w:rsid w:val="551C775D"/>
    <w:rsid w:val="5522237F"/>
    <w:rsid w:val="553D7E00"/>
    <w:rsid w:val="55525CA4"/>
    <w:rsid w:val="55545149"/>
    <w:rsid w:val="559957C1"/>
    <w:rsid w:val="559D0BD6"/>
    <w:rsid w:val="55CE055B"/>
    <w:rsid w:val="55D32512"/>
    <w:rsid w:val="55D65B5E"/>
    <w:rsid w:val="56044DAE"/>
    <w:rsid w:val="56091A90"/>
    <w:rsid w:val="561B17C3"/>
    <w:rsid w:val="561F5757"/>
    <w:rsid w:val="562D159C"/>
    <w:rsid w:val="5639752B"/>
    <w:rsid w:val="564A6822"/>
    <w:rsid w:val="56546D4A"/>
    <w:rsid w:val="567A6A7A"/>
    <w:rsid w:val="56D022B5"/>
    <w:rsid w:val="56D27821"/>
    <w:rsid w:val="56E20D30"/>
    <w:rsid w:val="56F52014"/>
    <w:rsid w:val="57064221"/>
    <w:rsid w:val="57071993"/>
    <w:rsid w:val="571C70F4"/>
    <w:rsid w:val="57305813"/>
    <w:rsid w:val="57434A85"/>
    <w:rsid w:val="574511ED"/>
    <w:rsid w:val="5748004A"/>
    <w:rsid w:val="57511940"/>
    <w:rsid w:val="57742E61"/>
    <w:rsid w:val="57792C45"/>
    <w:rsid w:val="578F06BB"/>
    <w:rsid w:val="57A44166"/>
    <w:rsid w:val="57B420FD"/>
    <w:rsid w:val="57B91AD0"/>
    <w:rsid w:val="57D85BBE"/>
    <w:rsid w:val="57DC6353"/>
    <w:rsid w:val="57E02DDB"/>
    <w:rsid w:val="57F80965"/>
    <w:rsid w:val="57F95B34"/>
    <w:rsid w:val="58507E4A"/>
    <w:rsid w:val="587353B9"/>
    <w:rsid w:val="587578B0"/>
    <w:rsid w:val="588418A2"/>
    <w:rsid w:val="589C0C1E"/>
    <w:rsid w:val="58A8566F"/>
    <w:rsid w:val="58AC2BA6"/>
    <w:rsid w:val="58B303D9"/>
    <w:rsid w:val="58E45E55"/>
    <w:rsid w:val="59101387"/>
    <w:rsid w:val="59103135"/>
    <w:rsid w:val="59367672"/>
    <w:rsid w:val="593701BB"/>
    <w:rsid w:val="59701765"/>
    <w:rsid w:val="59914276"/>
    <w:rsid w:val="599876AE"/>
    <w:rsid w:val="5999137D"/>
    <w:rsid w:val="599C08D7"/>
    <w:rsid w:val="5A015BBF"/>
    <w:rsid w:val="5A026F22"/>
    <w:rsid w:val="5A1B6236"/>
    <w:rsid w:val="5A204D11"/>
    <w:rsid w:val="5A271555"/>
    <w:rsid w:val="5A8319A8"/>
    <w:rsid w:val="5A8453A2"/>
    <w:rsid w:val="5A9A35FE"/>
    <w:rsid w:val="5AA20705"/>
    <w:rsid w:val="5AA4622B"/>
    <w:rsid w:val="5AB04BD0"/>
    <w:rsid w:val="5AD563E4"/>
    <w:rsid w:val="5AEC77FB"/>
    <w:rsid w:val="5AEE74A6"/>
    <w:rsid w:val="5AFB31F4"/>
    <w:rsid w:val="5B2353A2"/>
    <w:rsid w:val="5B383448"/>
    <w:rsid w:val="5B597015"/>
    <w:rsid w:val="5B953DC6"/>
    <w:rsid w:val="5B9E711E"/>
    <w:rsid w:val="5BB85C75"/>
    <w:rsid w:val="5BBA55DA"/>
    <w:rsid w:val="5BBB7CD0"/>
    <w:rsid w:val="5BBF7D40"/>
    <w:rsid w:val="5BCC5A39"/>
    <w:rsid w:val="5BF46D3E"/>
    <w:rsid w:val="5C062BE6"/>
    <w:rsid w:val="5C1271C4"/>
    <w:rsid w:val="5C272C70"/>
    <w:rsid w:val="5C2C472A"/>
    <w:rsid w:val="5C447CC6"/>
    <w:rsid w:val="5C537F09"/>
    <w:rsid w:val="5C6043D4"/>
    <w:rsid w:val="5C95407D"/>
    <w:rsid w:val="5CA644DC"/>
    <w:rsid w:val="5CB843CC"/>
    <w:rsid w:val="5CBC2B81"/>
    <w:rsid w:val="5CBF10FA"/>
    <w:rsid w:val="5CC76201"/>
    <w:rsid w:val="5D0505F2"/>
    <w:rsid w:val="5D0E5BDE"/>
    <w:rsid w:val="5D1551BE"/>
    <w:rsid w:val="5D2F624B"/>
    <w:rsid w:val="5D504448"/>
    <w:rsid w:val="5D7111F5"/>
    <w:rsid w:val="5D7E0FB5"/>
    <w:rsid w:val="5D944135"/>
    <w:rsid w:val="5DAD36A2"/>
    <w:rsid w:val="5DB364B4"/>
    <w:rsid w:val="5DD010E5"/>
    <w:rsid w:val="5DE14A9D"/>
    <w:rsid w:val="5E0A2849"/>
    <w:rsid w:val="5E0E0CB3"/>
    <w:rsid w:val="5E0F1C0D"/>
    <w:rsid w:val="5E1216FE"/>
    <w:rsid w:val="5E1D772E"/>
    <w:rsid w:val="5E2145D5"/>
    <w:rsid w:val="5E2532E6"/>
    <w:rsid w:val="5E2E29DB"/>
    <w:rsid w:val="5E624433"/>
    <w:rsid w:val="5E647C88"/>
    <w:rsid w:val="5E662E3D"/>
    <w:rsid w:val="5E9513BD"/>
    <w:rsid w:val="5EB033F0"/>
    <w:rsid w:val="5ED668DC"/>
    <w:rsid w:val="5EE667F8"/>
    <w:rsid w:val="5EFA0B0F"/>
    <w:rsid w:val="5F340108"/>
    <w:rsid w:val="5F3670FF"/>
    <w:rsid w:val="5F3C14E7"/>
    <w:rsid w:val="5F43646F"/>
    <w:rsid w:val="5F531FCE"/>
    <w:rsid w:val="5F6C5C7E"/>
    <w:rsid w:val="5F796DF2"/>
    <w:rsid w:val="5F830B05"/>
    <w:rsid w:val="5F8761F4"/>
    <w:rsid w:val="5F8C7892"/>
    <w:rsid w:val="5F926F9A"/>
    <w:rsid w:val="5FA0070D"/>
    <w:rsid w:val="5FA7456C"/>
    <w:rsid w:val="5FA75A77"/>
    <w:rsid w:val="5FAD7C21"/>
    <w:rsid w:val="5FC82259"/>
    <w:rsid w:val="5FCB425A"/>
    <w:rsid w:val="5FCF3D4A"/>
    <w:rsid w:val="5FDC0215"/>
    <w:rsid w:val="5FE13A7D"/>
    <w:rsid w:val="5FE64BF0"/>
    <w:rsid w:val="5FF84DBC"/>
    <w:rsid w:val="600F05EB"/>
    <w:rsid w:val="601114CB"/>
    <w:rsid w:val="60222E0D"/>
    <w:rsid w:val="60235E44"/>
    <w:rsid w:val="603142B4"/>
    <w:rsid w:val="606A75CF"/>
    <w:rsid w:val="609A4358"/>
    <w:rsid w:val="60C44F62"/>
    <w:rsid w:val="60C74A21"/>
    <w:rsid w:val="60C969EB"/>
    <w:rsid w:val="60D31CC9"/>
    <w:rsid w:val="60F26B13"/>
    <w:rsid w:val="60F92BAD"/>
    <w:rsid w:val="60FE7C06"/>
    <w:rsid w:val="61137C66"/>
    <w:rsid w:val="61281925"/>
    <w:rsid w:val="615763BF"/>
    <w:rsid w:val="616D2946"/>
    <w:rsid w:val="61A60ADB"/>
    <w:rsid w:val="61AC29D7"/>
    <w:rsid w:val="61CB0541"/>
    <w:rsid w:val="61DB4C28"/>
    <w:rsid w:val="61E56882"/>
    <w:rsid w:val="61F1160C"/>
    <w:rsid w:val="621D6164"/>
    <w:rsid w:val="622540F5"/>
    <w:rsid w:val="622A5268"/>
    <w:rsid w:val="62443927"/>
    <w:rsid w:val="6263240A"/>
    <w:rsid w:val="627666FF"/>
    <w:rsid w:val="627B3759"/>
    <w:rsid w:val="6296758D"/>
    <w:rsid w:val="62AA720C"/>
    <w:rsid w:val="62AC3ECF"/>
    <w:rsid w:val="62BF00A6"/>
    <w:rsid w:val="62C254F0"/>
    <w:rsid w:val="62C76F5B"/>
    <w:rsid w:val="62CD2097"/>
    <w:rsid w:val="62DA64E4"/>
    <w:rsid w:val="62FE28D2"/>
    <w:rsid w:val="63141A74"/>
    <w:rsid w:val="63646678"/>
    <w:rsid w:val="636B1FDC"/>
    <w:rsid w:val="636C365E"/>
    <w:rsid w:val="63830241"/>
    <w:rsid w:val="638B6166"/>
    <w:rsid w:val="638C3D00"/>
    <w:rsid w:val="63952BB5"/>
    <w:rsid w:val="639F57E1"/>
    <w:rsid w:val="63B115A6"/>
    <w:rsid w:val="63D538F9"/>
    <w:rsid w:val="63D57455"/>
    <w:rsid w:val="63DF0D42"/>
    <w:rsid w:val="63E21F44"/>
    <w:rsid w:val="64121A53"/>
    <w:rsid w:val="643E0106"/>
    <w:rsid w:val="644833A9"/>
    <w:rsid w:val="644F7B8E"/>
    <w:rsid w:val="64836EB1"/>
    <w:rsid w:val="64850E7B"/>
    <w:rsid w:val="64BA1560"/>
    <w:rsid w:val="64C37BF6"/>
    <w:rsid w:val="64E75692"/>
    <w:rsid w:val="64EE7C0A"/>
    <w:rsid w:val="64F4744C"/>
    <w:rsid w:val="65075D34"/>
    <w:rsid w:val="652C579B"/>
    <w:rsid w:val="653C50AB"/>
    <w:rsid w:val="65534AD5"/>
    <w:rsid w:val="656374C8"/>
    <w:rsid w:val="65644F35"/>
    <w:rsid w:val="65744A4C"/>
    <w:rsid w:val="658253BB"/>
    <w:rsid w:val="658B078D"/>
    <w:rsid w:val="65A25A5D"/>
    <w:rsid w:val="65A43583"/>
    <w:rsid w:val="65A74E21"/>
    <w:rsid w:val="65B64922"/>
    <w:rsid w:val="65D379C4"/>
    <w:rsid w:val="65DC0F6F"/>
    <w:rsid w:val="65DF6369"/>
    <w:rsid w:val="65E46529"/>
    <w:rsid w:val="65F52031"/>
    <w:rsid w:val="65FC6F1B"/>
    <w:rsid w:val="660364FC"/>
    <w:rsid w:val="66112985"/>
    <w:rsid w:val="66195D1F"/>
    <w:rsid w:val="66352F1F"/>
    <w:rsid w:val="663F505A"/>
    <w:rsid w:val="664663E8"/>
    <w:rsid w:val="6654401A"/>
    <w:rsid w:val="66846F11"/>
    <w:rsid w:val="66871EA3"/>
    <w:rsid w:val="669910B5"/>
    <w:rsid w:val="66C73043"/>
    <w:rsid w:val="66D165D2"/>
    <w:rsid w:val="671539F5"/>
    <w:rsid w:val="67193AFD"/>
    <w:rsid w:val="672C1A82"/>
    <w:rsid w:val="67386679"/>
    <w:rsid w:val="67395F4D"/>
    <w:rsid w:val="6762293F"/>
    <w:rsid w:val="676254A4"/>
    <w:rsid w:val="676E5BF7"/>
    <w:rsid w:val="678B2775"/>
    <w:rsid w:val="67A45CF9"/>
    <w:rsid w:val="67D85766"/>
    <w:rsid w:val="67DB403A"/>
    <w:rsid w:val="67E265E5"/>
    <w:rsid w:val="68055F4C"/>
    <w:rsid w:val="68057AA9"/>
    <w:rsid w:val="6818150B"/>
    <w:rsid w:val="684B51DE"/>
    <w:rsid w:val="684B5F38"/>
    <w:rsid w:val="684C45B0"/>
    <w:rsid w:val="687A4A6F"/>
    <w:rsid w:val="688A022F"/>
    <w:rsid w:val="68B7537B"/>
    <w:rsid w:val="69054339"/>
    <w:rsid w:val="690B02EE"/>
    <w:rsid w:val="691664EE"/>
    <w:rsid w:val="69272501"/>
    <w:rsid w:val="69855479"/>
    <w:rsid w:val="69AA4EE0"/>
    <w:rsid w:val="69C26753"/>
    <w:rsid w:val="69E14DA6"/>
    <w:rsid w:val="69F525FF"/>
    <w:rsid w:val="69F864CC"/>
    <w:rsid w:val="6A1360A0"/>
    <w:rsid w:val="6A1A0092"/>
    <w:rsid w:val="6A246A40"/>
    <w:rsid w:val="6A260884"/>
    <w:rsid w:val="6A2D62D3"/>
    <w:rsid w:val="6A507835"/>
    <w:rsid w:val="6A6631B8"/>
    <w:rsid w:val="6A70612A"/>
    <w:rsid w:val="6A7C062B"/>
    <w:rsid w:val="6A81400C"/>
    <w:rsid w:val="6A877238"/>
    <w:rsid w:val="6A95793E"/>
    <w:rsid w:val="6AA778F8"/>
    <w:rsid w:val="6ABA1153"/>
    <w:rsid w:val="6ACD4FC1"/>
    <w:rsid w:val="6AD04302"/>
    <w:rsid w:val="6AD246EE"/>
    <w:rsid w:val="6B146AB5"/>
    <w:rsid w:val="6B163FCD"/>
    <w:rsid w:val="6B1E5B86"/>
    <w:rsid w:val="6B80414A"/>
    <w:rsid w:val="6B826B1A"/>
    <w:rsid w:val="6B8C2AEF"/>
    <w:rsid w:val="6B8F0831"/>
    <w:rsid w:val="6BA20565"/>
    <w:rsid w:val="6BAA0E8B"/>
    <w:rsid w:val="6BBB1626"/>
    <w:rsid w:val="6BC26511"/>
    <w:rsid w:val="6BE446D9"/>
    <w:rsid w:val="6BFD01D8"/>
    <w:rsid w:val="6C303DC2"/>
    <w:rsid w:val="6C3D1C31"/>
    <w:rsid w:val="6C5F4D83"/>
    <w:rsid w:val="6C6E48EB"/>
    <w:rsid w:val="6C7D3F41"/>
    <w:rsid w:val="6CE0072A"/>
    <w:rsid w:val="6CFA1CDB"/>
    <w:rsid w:val="6D1B60CC"/>
    <w:rsid w:val="6D286848"/>
    <w:rsid w:val="6D3451EC"/>
    <w:rsid w:val="6D3F05F3"/>
    <w:rsid w:val="6D4314DE"/>
    <w:rsid w:val="6D454EE9"/>
    <w:rsid w:val="6D5A032D"/>
    <w:rsid w:val="6D5C4743"/>
    <w:rsid w:val="6D604F27"/>
    <w:rsid w:val="6D7872BE"/>
    <w:rsid w:val="6DAC1227"/>
    <w:rsid w:val="6DE8556D"/>
    <w:rsid w:val="6E007062"/>
    <w:rsid w:val="6E11406C"/>
    <w:rsid w:val="6E151448"/>
    <w:rsid w:val="6E781A51"/>
    <w:rsid w:val="6E815015"/>
    <w:rsid w:val="6E964F1F"/>
    <w:rsid w:val="6EAE7329"/>
    <w:rsid w:val="6EB119DC"/>
    <w:rsid w:val="6EB80735"/>
    <w:rsid w:val="6EC407F2"/>
    <w:rsid w:val="6EC4144C"/>
    <w:rsid w:val="6EC95E08"/>
    <w:rsid w:val="6EE3511C"/>
    <w:rsid w:val="6EF410D7"/>
    <w:rsid w:val="6EFD1AEA"/>
    <w:rsid w:val="6F072A92"/>
    <w:rsid w:val="6F09008D"/>
    <w:rsid w:val="6F1B0286"/>
    <w:rsid w:val="6F4D3531"/>
    <w:rsid w:val="6F571EE4"/>
    <w:rsid w:val="6F6C5073"/>
    <w:rsid w:val="6F7C10CD"/>
    <w:rsid w:val="6FAD1286"/>
    <w:rsid w:val="6FB70357"/>
    <w:rsid w:val="6FB81C02"/>
    <w:rsid w:val="6FBD567D"/>
    <w:rsid w:val="6FD81F6C"/>
    <w:rsid w:val="700A26FE"/>
    <w:rsid w:val="70187047"/>
    <w:rsid w:val="702275C0"/>
    <w:rsid w:val="702B51F4"/>
    <w:rsid w:val="702C6118"/>
    <w:rsid w:val="702E0619"/>
    <w:rsid w:val="703E226E"/>
    <w:rsid w:val="70463DEA"/>
    <w:rsid w:val="70497201"/>
    <w:rsid w:val="706A53C9"/>
    <w:rsid w:val="707C1572"/>
    <w:rsid w:val="707D7387"/>
    <w:rsid w:val="707F70C6"/>
    <w:rsid w:val="70866D14"/>
    <w:rsid w:val="70AB646B"/>
    <w:rsid w:val="70BB1864"/>
    <w:rsid w:val="70C1148D"/>
    <w:rsid w:val="70F80C27"/>
    <w:rsid w:val="710504EC"/>
    <w:rsid w:val="7105445C"/>
    <w:rsid w:val="71080E6A"/>
    <w:rsid w:val="711C24DA"/>
    <w:rsid w:val="713F0604"/>
    <w:rsid w:val="71520337"/>
    <w:rsid w:val="717E112C"/>
    <w:rsid w:val="71940C37"/>
    <w:rsid w:val="71A14E1B"/>
    <w:rsid w:val="71BA7C8A"/>
    <w:rsid w:val="71BB4D6E"/>
    <w:rsid w:val="71E240E2"/>
    <w:rsid w:val="71E644D0"/>
    <w:rsid w:val="71F72C8D"/>
    <w:rsid w:val="71F80EDE"/>
    <w:rsid w:val="72054E52"/>
    <w:rsid w:val="7224305C"/>
    <w:rsid w:val="723B0DCB"/>
    <w:rsid w:val="72404633"/>
    <w:rsid w:val="72554F0C"/>
    <w:rsid w:val="72757BBD"/>
    <w:rsid w:val="727C2292"/>
    <w:rsid w:val="72AD0E60"/>
    <w:rsid w:val="72AF1B77"/>
    <w:rsid w:val="72B821FC"/>
    <w:rsid w:val="72D651FD"/>
    <w:rsid w:val="72DD1906"/>
    <w:rsid w:val="72E60F84"/>
    <w:rsid w:val="72E923EA"/>
    <w:rsid w:val="72F91763"/>
    <w:rsid w:val="73027B3B"/>
    <w:rsid w:val="73124222"/>
    <w:rsid w:val="73165394"/>
    <w:rsid w:val="733A5527"/>
    <w:rsid w:val="734142A1"/>
    <w:rsid w:val="7343262D"/>
    <w:rsid w:val="73506AF8"/>
    <w:rsid w:val="73774085"/>
    <w:rsid w:val="73AD7AA7"/>
    <w:rsid w:val="73C6500C"/>
    <w:rsid w:val="73D541D6"/>
    <w:rsid w:val="73DC65DE"/>
    <w:rsid w:val="73FD152F"/>
    <w:rsid w:val="73FE47A6"/>
    <w:rsid w:val="7407365B"/>
    <w:rsid w:val="74132B02"/>
    <w:rsid w:val="743B5D19"/>
    <w:rsid w:val="74562CFF"/>
    <w:rsid w:val="745C0A49"/>
    <w:rsid w:val="746B4DE1"/>
    <w:rsid w:val="74980757"/>
    <w:rsid w:val="74CB28DA"/>
    <w:rsid w:val="74E474F8"/>
    <w:rsid w:val="74E55980"/>
    <w:rsid w:val="74FA31C0"/>
    <w:rsid w:val="750A2CD7"/>
    <w:rsid w:val="7519750B"/>
    <w:rsid w:val="751C3136"/>
    <w:rsid w:val="751E44B5"/>
    <w:rsid w:val="751F2C26"/>
    <w:rsid w:val="75297059"/>
    <w:rsid w:val="754506F8"/>
    <w:rsid w:val="75542870"/>
    <w:rsid w:val="75643487"/>
    <w:rsid w:val="75842A89"/>
    <w:rsid w:val="758F3263"/>
    <w:rsid w:val="75952EE8"/>
    <w:rsid w:val="75A650F5"/>
    <w:rsid w:val="75AD3D8E"/>
    <w:rsid w:val="75C15A8B"/>
    <w:rsid w:val="75D73501"/>
    <w:rsid w:val="75DB4288"/>
    <w:rsid w:val="76193FBE"/>
    <w:rsid w:val="762865F3"/>
    <w:rsid w:val="76297DEC"/>
    <w:rsid w:val="764E21C9"/>
    <w:rsid w:val="76531987"/>
    <w:rsid w:val="766669DF"/>
    <w:rsid w:val="76763C9B"/>
    <w:rsid w:val="767B616B"/>
    <w:rsid w:val="76AA190D"/>
    <w:rsid w:val="76B92C06"/>
    <w:rsid w:val="76B94B5B"/>
    <w:rsid w:val="76BD0317"/>
    <w:rsid w:val="76D35A76"/>
    <w:rsid w:val="76D57A40"/>
    <w:rsid w:val="77131B98"/>
    <w:rsid w:val="771B10EA"/>
    <w:rsid w:val="771B225C"/>
    <w:rsid w:val="77512E3F"/>
    <w:rsid w:val="77562A2D"/>
    <w:rsid w:val="775E11DE"/>
    <w:rsid w:val="778803B6"/>
    <w:rsid w:val="77924BEB"/>
    <w:rsid w:val="779F5E92"/>
    <w:rsid w:val="77B57CE6"/>
    <w:rsid w:val="77CB2BF1"/>
    <w:rsid w:val="77DA2E34"/>
    <w:rsid w:val="77E45A61"/>
    <w:rsid w:val="77FE2FC7"/>
    <w:rsid w:val="783B7D77"/>
    <w:rsid w:val="784F2557"/>
    <w:rsid w:val="78661439"/>
    <w:rsid w:val="78665094"/>
    <w:rsid w:val="78874D6A"/>
    <w:rsid w:val="78A83DBD"/>
    <w:rsid w:val="78B35B5F"/>
    <w:rsid w:val="78CC05E7"/>
    <w:rsid w:val="78E24DCB"/>
    <w:rsid w:val="78F849C2"/>
    <w:rsid w:val="78FC310E"/>
    <w:rsid w:val="79045E32"/>
    <w:rsid w:val="79294073"/>
    <w:rsid w:val="792A0134"/>
    <w:rsid w:val="792F486C"/>
    <w:rsid w:val="793F7353"/>
    <w:rsid w:val="794D6E3B"/>
    <w:rsid w:val="794D78F2"/>
    <w:rsid w:val="79701CA2"/>
    <w:rsid w:val="79752E15"/>
    <w:rsid w:val="79773031"/>
    <w:rsid w:val="797C0A9B"/>
    <w:rsid w:val="797D7F1B"/>
    <w:rsid w:val="7985309E"/>
    <w:rsid w:val="79AE1324"/>
    <w:rsid w:val="79BF6786"/>
    <w:rsid w:val="79C478F8"/>
    <w:rsid w:val="79C73545"/>
    <w:rsid w:val="79CD432C"/>
    <w:rsid w:val="79E57CFB"/>
    <w:rsid w:val="7A0B3779"/>
    <w:rsid w:val="7A3E76AA"/>
    <w:rsid w:val="7A5A5398"/>
    <w:rsid w:val="7A5E5F9F"/>
    <w:rsid w:val="7A655559"/>
    <w:rsid w:val="7A7B13B1"/>
    <w:rsid w:val="7A831561"/>
    <w:rsid w:val="7A8F6158"/>
    <w:rsid w:val="7AAC4F5C"/>
    <w:rsid w:val="7ABB0CFB"/>
    <w:rsid w:val="7AD93B54"/>
    <w:rsid w:val="7AEF309B"/>
    <w:rsid w:val="7AEF6BF7"/>
    <w:rsid w:val="7B4E6013"/>
    <w:rsid w:val="7B56326B"/>
    <w:rsid w:val="7B592AEB"/>
    <w:rsid w:val="7B5C2E58"/>
    <w:rsid w:val="7B7125C5"/>
    <w:rsid w:val="7B7A0FC8"/>
    <w:rsid w:val="7B7D06A6"/>
    <w:rsid w:val="7B931C78"/>
    <w:rsid w:val="7B9854E0"/>
    <w:rsid w:val="7BB10350"/>
    <w:rsid w:val="7BB33D4C"/>
    <w:rsid w:val="7BBA2624"/>
    <w:rsid w:val="7BD06A28"/>
    <w:rsid w:val="7BE619F0"/>
    <w:rsid w:val="7BF00D90"/>
    <w:rsid w:val="7C142DB9"/>
    <w:rsid w:val="7C1639FF"/>
    <w:rsid w:val="7C235C41"/>
    <w:rsid w:val="7C2707E3"/>
    <w:rsid w:val="7C372603"/>
    <w:rsid w:val="7C3A6A8B"/>
    <w:rsid w:val="7C661068"/>
    <w:rsid w:val="7C6D037C"/>
    <w:rsid w:val="7CCF49B2"/>
    <w:rsid w:val="7CD73DE6"/>
    <w:rsid w:val="7CF404F4"/>
    <w:rsid w:val="7D07647A"/>
    <w:rsid w:val="7D20217D"/>
    <w:rsid w:val="7D20753B"/>
    <w:rsid w:val="7D2F59D0"/>
    <w:rsid w:val="7D311748"/>
    <w:rsid w:val="7D454D0B"/>
    <w:rsid w:val="7D7D04EA"/>
    <w:rsid w:val="7D7D498E"/>
    <w:rsid w:val="7D93181C"/>
    <w:rsid w:val="7D9C12B8"/>
    <w:rsid w:val="7D9E69C0"/>
    <w:rsid w:val="7DB3106F"/>
    <w:rsid w:val="7DF03702"/>
    <w:rsid w:val="7E0B3D48"/>
    <w:rsid w:val="7E1075B0"/>
    <w:rsid w:val="7E2C4AFF"/>
    <w:rsid w:val="7E3A462D"/>
    <w:rsid w:val="7E5E63ED"/>
    <w:rsid w:val="7E885398"/>
    <w:rsid w:val="7ECD724F"/>
    <w:rsid w:val="7EF02F3D"/>
    <w:rsid w:val="7F1B6380"/>
    <w:rsid w:val="7F21759B"/>
    <w:rsid w:val="7F26481D"/>
    <w:rsid w:val="7F460DAF"/>
    <w:rsid w:val="7F631C00"/>
    <w:rsid w:val="7F761695"/>
    <w:rsid w:val="7FA96376"/>
    <w:rsid w:val="7FF15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64"/>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65"/>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6"/>
    <w:qFormat/>
    <w:uiPriority w:val="0"/>
    <w:pPr>
      <w:keepNext/>
      <w:keepLines/>
      <w:widowControl/>
      <w:spacing w:before="200" w:line="276" w:lineRule="auto"/>
      <w:jc w:val="left"/>
      <w:outlineLvl w:val="3"/>
    </w:pPr>
    <w:rPr>
      <w:rFonts w:ascii="宋体" w:hAnsi="宋体"/>
      <w:b/>
      <w:bCs/>
      <w:iCs/>
      <w:color w:val="000000"/>
      <w:kern w:val="0"/>
      <w:lang w:eastAsia="en-US" w:bidi="en-US"/>
    </w:rPr>
  </w:style>
  <w:style w:type="paragraph" w:styleId="6">
    <w:name w:val="heading 5"/>
    <w:basedOn w:val="1"/>
    <w:next w:val="1"/>
    <w:link w:val="67"/>
    <w:qFormat/>
    <w:uiPriority w:val="0"/>
    <w:pPr>
      <w:keepNext/>
      <w:keepLines/>
      <w:widowControl/>
      <w:spacing w:before="200" w:line="276" w:lineRule="auto"/>
      <w:jc w:val="left"/>
      <w:outlineLvl w:val="4"/>
    </w:pPr>
    <w:rPr>
      <w:rFonts w:ascii="Cambria" w:hAnsi="Cambria"/>
      <w:color w:val="243F60"/>
      <w:kern w:val="0"/>
      <w:sz w:val="22"/>
      <w:lang w:eastAsia="en-US" w:bidi="en-US"/>
    </w:rPr>
  </w:style>
  <w:style w:type="paragraph" w:styleId="7">
    <w:name w:val="heading 6"/>
    <w:basedOn w:val="1"/>
    <w:next w:val="1"/>
    <w:link w:val="68"/>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69"/>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7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71"/>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after="160" w:line="360" w:lineRule="atLeast"/>
      <w:jc w:val="left"/>
      <w:textAlignment w:val="baseline"/>
    </w:pPr>
    <w:rPr>
      <w:rFonts w:ascii="Arial" w:hAnsi="Arial" w:eastAsia="黑体"/>
      <w:kern w:val="0"/>
      <w:sz w:val="24"/>
    </w:rPr>
  </w:style>
  <w:style w:type="paragraph" w:styleId="14">
    <w:name w:val="Document Map"/>
    <w:basedOn w:val="1"/>
    <w:link w:val="72"/>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3"/>
    <w:semiHidden/>
    <w:qFormat/>
    <w:uiPriority w:val="0"/>
    <w:pPr>
      <w:jc w:val="left"/>
    </w:pPr>
  </w:style>
  <w:style w:type="paragraph" w:styleId="17">
    <w:name w:val="Body Text 3"/>
    <w:basedOn w:val="1"/>
    <w:link w:val="74"/>
    <w:qFormat/>
    <w:uiPriority w:val="0"/>
    <w:pPr>
      <w:spacing w:after="120"/>
    </w:pPr>
    <w:rPr>
      <w:sz w:val="16"/>
      <w:szCs w:val="16"/>
    </w:rPr>
  </w:style>
  <w:style w:type="paragraph" w:styleId="18">
    <w:name w:val="Body Text"/>
    <w:basedOn w:val="1"/>
    <w:link w:val="75"/>
    <w:qFormat/>
    <w:uiPriority w:val="0"/>
    <w:rPr>
      <w:rFonts w:eastAsia="黑体"/>
      <w:sz w:val="36"/>
    </w:rPr>
  </w:style>
  <w:style w:type="paragraph" w:styleId="19">
    <w:name w:val="Body Text Indent"/>
    <w:basedOn w:val="1"/>
    <w:next w:val="20"/>
    <w:link w:val="62"/>
    <w:qFormat/>
    <w:uiPriority w:val="0"/>
    <w:pPr>
      <w:spacing w:after="120"/>
      <w:ind w:left="420" w:leftChars="200"/>
    </w:pPr>
  </w:style>
  <w:style w:type="paragraph" w:styleId="20">
    <w:name w:val="envelope return"/>
    <w:basedOn w:val="1"/>
    <w:qFormat/>
    <w:uiPriority w:val="0"/>
    <w:pPr>
      <w:snapToGrid w:val="0"/>
    </w:pPr>
    <w:rPr>
      <w:rFonts w:ascii="Arial" w:hAnsi="Arial"/>
    </w:rPr>
  </w:style>
  <w:style w:type="paragraph" w:styleId="21">
    <w:name w:val="Block Text"/>
    <w:basedOn w:val="1"/>
    <w:qFormat/>
    <w:uiPriority w:val="0"/>
    <w:pPr>
      <w:spacing w:after="120"/>
      <w:ind w:left="1440" w:leftChars="700" w:right="1440" w:rightChars="700"/>
    </w:pPr>
  </w:style>
  <w:style w:type="paragraph" w:styleId="22">
    <w:name w:val="toc 5"/>
    <w:basedOn w:val="1"/>
    <w:next w:val="1"/>
    <w:qFormat/>
    <w:uiPriority w:val="39"/>
    <w:pPr>
      <w:ind w:left="840"/>
      <w:jc w:val="left"/>
    </w:pPr>
    <w:rPr>
      <w:rFonts w:ascii="Calibri" w:hAnsi="Calibri"/>
      <w:sz w:val="18"/>
      <w:szCs w:val="18"/>
    </w:rPr>
  </w:style>
  <w:style w:type="paragraph" w:styleId="23">
    <w:name w:val="toc 3"/>
    <w:basedOn w:val="1"/>
    <w:next w:val="1"/>
    <w:qFormat/>
    <w:uiPriority w:val="39"/>
    <w:pPr>
      <w:ind w:left="420"/>
      <w:jc w:val="left"/>
    </w:pPr>
    <w:rPr>
      <w:rFonts w:ascii="Calibri" w:hAnsi="Calibri"/>
      <w:i/>
      <w:iCs/>
      <w:sz w:val="20"/>
      <w:szCs w:val="20"/>
    </w:rPr>
  </w:style>
  <w:style w:type="paragraph" w:styleId="24">
    <w:name w:val="Plain Text"/>
    <w:basedOn w:val="1"/>
    <w:link w:val="76"/>
    <w:qFormat/>
    <w:uiPriority w:val="0"/>
    <w:rPr>
      <w:rFonts w:ascii="宋体" w:hAnsi="Courier New"/>
      <w:szCs w:val="21"/>
    </w:rPr>
  </w:style>
  <w:style w:type="paragraph" w:styleId="25">
    <w:name w:val="toc 8"/>
    <w:basedOn w:val="1"/>
    <w:next w:val="1"/>
    <w:unhideWhenUsed/>
    <w:qFormat/>
    <w:uiPriority w:val="39"/>
    <w:pPr>
      <w:ind w:left="1470"/>
      <w:jc w:val="left"/>
    </w:pPr>
    <w:rPr>
      <w:rFonts w:ascii="Calibri" w:hAnsi="Calibri"/>
      <w:sz w:val="18"/>
      <w:szCs w:val="18"/>
    </w:rPr>
  </w:style>
  <w:style w:type="paragraph" w:styleId="26">
    <w:name w:val="Date"/>
    <w:basedOn w:val="1"/>
    <w:next w:val="1"/>
    <w:link w:val="77"/>
    <w:qFormat/>
    <w:uiPriority w:val="0"/>
    <w:pPr>
      <w:adjustRightInd w:val="0"/>
      <w:spacing w:line="360" w:lineRule="atLeast"/>
    </w:pPr>
    <w:rPr>
      <w:rFonts w:ascii="宋体"/>
      <w:kern w:val="0"/>
      <w:sz w:val="24"/>
      <w:szCs w:val="20"/>
    </w:rPr>
  </w:style>
  <w:style w:type="paragraph" w:styleId="27">
    <w:name w:val="Body Text Indent 2"/>
    <w:basedOn w:val="1"/>
    <w:link w:val="78"/>
    <w:qFormat/>
    <w:uiPriority w:val="0"/>
    <w:pPr>
      <w:spacing w:after="120" w:line="480" w:lineRule="auto"/>
      <w:ind w:left="420" w:leftChars="200"/>
    </w:pPr>
  </w:style>
  <w:style w:type="paragraph" w:styleId="28">
    <w:name w:val="endnote text"/>
    <w:basedOn w:val="1"/>
    <w:link w:val="79"/>
    <w:qFormat/>
    <w:uiPriority w:val="0"/>
    <w:pPr>
      <w:snapToGrid w:val="0"/>
      <w:jc w:val="left"/>
    </w:pPr>
  </w:style>
  <w:style w:type="paragraph" w:styleId="29">
    <w:name w:val="Balloon Text"/>
    <w:basedOn w:val="1"/>
    <w:link w:val="80"/>
    <w:semiHidden/>
    <w:qFormat/>
    <w:uiPriority w:val="0"/>
    <w:rPr>
      <w:sz w:val="18"/>
      <w:szCs w:val="18"/>
    </w:rPr>
  </w:style>
  <w:style w:type="paragraph" w:styleId="30">
    <w:name w:val="footer"/>
    <w:basedOn w:val="1"/>
    <w:link w:val="81"/>
    <w:unhideWhenUsed/>
    <w:qFormat/>
    <w:uiPriority w:val="99"/>
    <w:pPr>
      <w:tabs>
        <w:tab w:val="center" w:pos="4153"/>
        <w:tab w:val="right" w:pos="8306"/>
      </w:tabs>
      <w:snapToGrid w:val="0"/>
      <w:jc w:val="left"/>
    </w:pPr>
    <w:rPr>
      <w:kern w:val="0"/>
      <w:sz w:val="18"/>
      <w:szCs w:val="18"/>
    </w:rPr>
  </w:style>
  <w:style w:type="paragraph" w:styleId="31">
    <w:name w:val="header"/>
    <w:basedOn w:val="1"/>
    <w:link w:val="82"/>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spacing w:before="120" w:after="120"/>
      <w:jc w:val="left"/>
    </w:pPr>
    <w:rPr>
      <w:rFonts w:ascii="Calibri" w:hAnsi="Calibri"/>
      <w:b/>
      <w:bCs/>
      <w:caps/>
      <w:sz w:val="20"/>
      <w:szCs w:val="20"/>
    </w:rPr>
  </w:style>
  <w:style w:type="paragraph" w:styleId="33">
    <w:name w:val="toc 4"/>
    <w:basedOn w:val="1"/>
    <w:next w:val="1"/>
    <w:qFormat/>
    <w:uiPriority w:val="39"/>
    <w:pPr>
      <w:ind w:left="630"/>
      <w:jc w:val="left"/>
    </w:pPr>
    <w:rPr>
      <w:rFonts w:ascii="Calibri" w:hAnsi="Calibri"/>
      <w:sz w:val="18"/>
      <w:szCs w:val="18"/>
    </w:rPr>
  </w:style>
  <w:style w:type="paragraph" w:styleId="34">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5">
    <w:name w:val="footnote text"/>
    <w:basedOn w:val="1"/>
    <w:link w:val="83"/>
    <w:qFormat/>
    <w:uiPriority w:val="99"/>
    <w:pPr>
      <w:snapToGrid w:val="0"/>
      <w:jc w:val="left"/>
    </w:pPr>
    <w:rPr>
      <w:sz w:val="18"/>
      <w:szCs w:val="18"/>
    </w:rPr>
  </w:style>
  <w:style w:type="paragraph" w:styleId="36">
    <w:name w:val="toc 6"/>
    <w:basedOn w:val="1"/>
    <w:next w:val="1"/>
    <w:unhideWhenUsed/>
    <w:qFormat/>
    <w:uiPriority w:val="39"/>
    <w:pPr>
      <w:ind w:left="1050"/>
      <w:jc w:val="left"/>
    </w:pPr>
    <w:rPr>
      <w:rFonts w:ascii="Calibri" w:hAnsi="Calibri"/>
      <w:sz w:val="18"/>
      <w:szCs w:val="18"/>
    </w:rPr>
  </w:style>
  <w:style w:type="paragraph" w:styleId="37">
    <w:name w:val="Body Text Indent 3"/>
    <w:basedOn w:val="1"/>
    <w:link w:val="84"/>
    <w:qFormat/>
    <w:uiPriority w:val="0"/>
    <w:pPr>
      <w:spacing w:after="120"/>
      <w:ind w:left="420" w:leftChars="200"/>
    </w:pPr>
    <w:rPr>
      <w:sz w:val="16"/>
      <w:szCs w:val="16"/>
    </w:rPr>
  </w:style>
  <w:style w:type="paragraph" w:styleId="38">
    <w:name w:val="toc 2"/>
    <w:basedOn w:val="1"/>
    <w:next w:val="1"/>
    <w:qFormat/>
    <w:uiPriority w:val="39"/>
    <w:pPr>
      <w:ind w:left="210"/>
      <w:jc w:val="left"/>
    </w:pPr>
    <w:rPr>
      <w:rFonts w:ascii="Calibri" w:hAnsi="Calibri"/>
      <w:smallCaps/>
      <w:sz w:val="20"/>
      <w:szCs w:val="20"/>
    </w:rPr>
  </w:style>
  <w:style w:type="paragraph" w:styleId="39">
    <w:name w:val="toc 9"/>
    <w:basedOn w:val="1"/>
    <w:next w:val="1"/>
    <w:unhideWhenUsed/>
    <w:qFormat/>
    <w:uiPriority w:val="39"/>
    <w:pPr>
      <w:ind w:left="1680"/>
      <w:jc w:val="left"/>
    </w:pPr>
    <w:rPr>
      <w:rFonts w:ascii="Calibri" w:hAnsi="Calibri"/>
      <w:sz w:val="18"/>
      <w:szCs w:val="18"/>
    </w:rPr>
  </w:style>
  <w:style w:type="paragraph" w:styleId="40">
    <w:name w:val="Body Text 2"/>
    <w:basedOn w:val="1"/>
    <w:link w:val="85"/>
    <w:qFormat/>
    <w:uiPriority w:val="0"/>
    <w:pPr>
      <w:jc w:val="center"/>
    </w:pPr>
    <w:rPr>
      <w:rFonts w:eastAsia="黑体"/>
      <w:bCs/>
      <w:sz w:val="72"/>
    </w:rPr>
  </w:style>
  <w:style w:type="paragraph" w:styleId="41">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42">
    <w:name w:val="index 1"/>
    <w:basedOn w:val="1"/>
    <w:next w:val="1"/>
    <w:semiHidden/>
    <w:qFormat/>
    <w:uiPriority w:val="0"/>
    <w:pPr>
      <w:spacing w:line="220" w:lineRule="exact"/>
      <w:jc w:val="center"/>
    </w:pPr>
    <w:rPr>
      <w:rFonts w:ascii="仿宋_GB2312" w:eastAsia="仿宋_GB2312"/>
      <w:szCs w:val="21"/>
    </w:rPr>
  </w:style>
  <w:style w:type="paragraph" w:styleId="43">
    <w:name w:val="Title"/>
    <w:basedOn w:val="1"/>
    <w:link w:val="86"/>
    <w:qFormat/>
    <w:uiPriority w:val="0"/>
    <w:pPr>
      <w:adjustRightInd w:val="0"/>
      <w:spacing w:before="240" w:after="60" w:line="360" w:lineRule="atLeast"/>
      <w:jc w:val="center"/>
      <w:outlineLvl w:val="0"/>
    </w:pPr>
    <w:rPr>
      <w:rFonts w:ascii="Arial" w:hAnsi="Arial"/>
      <w:b/>
      <w:kern w:val="0"/>
      <w:sz w:val="32"/>
      <w:szCs w:val="20"/>
    </w:rPr>
  </w:style>
  <w:style w:type="paragraph" w:styleId="44">
    <w:name w:val="annotation subject"/>
    <w:basedOn w:val="16"/>
    <w:next w:val="16"/>
    <w:link w:val="87"/>
    <w:semiHidden/>
    <w:qFormat/>
    <w:uiPriority w:val="0"/>
    <w:rPr>
      <w:b/>
      <w:bCs/>
    </w:rPr>
  </w:style>
  <w:style w:type="paragraph" w:styleId="45">
    <w:name w:val="Body Text First Indent"/>
    <w:basedOn w:val="18"/>
    <w:link w:val="88"/>
    <w:qFormat/>
    <w:uiPriority w:val="0"/>
    <w:pPr>
      <w:tabs>
        <w:tab w:val="left" w:pos="1418"/>
      </w:tabs>
      <w:autoSpaceDE w:val="0"/>
      <w:autoSpaceDN w:val="0"/>
      <w:adjustRightInd w:val="0"/>
      <w:spacing w:before="120" w:after="120"/>
      <w:ind w:left="1418" w:hanging="567"/>
      <w:jc w:val="left"/>
    </w:pPr>
    <w:rPr>
      <w:rFonts w:eastAsia="PMingLiU"/>
      <w:lang w:eastAsia="zh-TW"/>
    </w:rPr>
  </w:style>
  <w:style w:type="paragraph" w:styleId="46">
    <w:name w:val="Body Text First Indent 2"/>
    <w:basedOn w:val="19"/>
    <w:unhideWhenUsed/>
    <w:qFormat/>
    <w:uiPriority w:val="99"/>
    <w:pPr>
      <w:ind w:firstLine="420" w:firstLineChars="200"/>
    </w:pPr>
    <w:rPr>
      <w:szCs w:val="22"/>
    </w:rPr>
  </w:style>
  <w:style w:type="table" w:styleId="48">
    <w:name w:val="Table Grid"/>
    <w:basedOn w:val="47"/>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endnote reference"/>
    <w:qFormat/>
    <w:uiPriority w:val="0"/>
    <w:rPr>
      <w:vertAlign w:val="superscript"/>
    </w:rPr>
  </w:style>
  <w:style w:type="character" w:styleId="52">
    <w:name w:val="page number"/>
    <w:qFormat/>
    <w:uiPriority w:val="0"/>
  </w:style>
  <w:style w:type="character" w:styleId="53">
    <w:name w:val="FollowedHyperlink"/>
    <w:basedOn w:val="49"/>
    <w:qFormat/>
    <w:uiPriority w:val="0"/>
    <w:rPr>
      <w:color w:val="333333"/>
      <w:u w:val="none"/>
    </w:rPr>
  </w:style>
  <w:style w:type="character" w:styleId="54">
    <w:name w:val="HTML Definition"/>
    <w:basedOn w:val="49"/>
    <w:qFormat/>
    <w:uiPriority w:val="0"/>
    <w:rPr>
      <w:i/>
      <w:iCs/>
    </w:rPr>
  </w:style>
  <w:style w:type="character" w:styleId="55">
    <w:name w:val="HTML Acronym"/>
    <w:basedOn w:val="49"/>
    <w:qFormat/>
    <w:uiPriority w:val="0"/>
    <w:rPr>
      <w:color w:val="222E3A"/>
      <w:sz w:val="25"/>
      <w:szCs w:val="25"/>
    </w:rPr>
  </w:style>
  <w:style w:type="character" w:styleId="56">
    <w:name w:val="Hyperlink"/>
    <w:basedOn w:val="49"/>
    <w:qFormat/>
    <w:uiPriority w:val="99"/>
    <w:rPr>
      <w:color w:val="333333"/>
      <w:u w:val="none"/>
    </w:rPr>
  </w:style>
  <w:style w:type="character" w:styleId="57">
    <w:name w:val="HTML Code"/>
    <w:basedOn w:val="49"/>
    <w:qFormat/>
    <w:uiPriority w:val="0"/>
    <w:rPr>
      <w:rFonts w:hint="default" w:ascii="monospace" w:hAnsi="monospace" w:eastAsia="monospace" w:cs="monospace"/>
      <w:sz w:val="21"/>
      <w:szCs w:val="21"/>
    </w:rPr>
  </w:style>
  <w:style w:type="character" w:styleId="58">
    <w:name w:val="annotation reference"/>
    <w:qFormat/>
    <w:uiPriority w:val="0"/>
    <w:rPr>
      <w:sz w:val="21"/>
      <w:szCs w:val="21"/>
    </w:rPr>
  </w:style>
  <w:style w:type="character" w:styleId="59">
    <w:name w:val="footnote reference"/>
    <w:qFormat/>
    <w:uiPriority w:val="99"/>
    <w:rPr>
      <w:vertAlign w:val="superscript"/>
    </w:rPr>
  </w:style>
  <w:style w:type="character" w:styleId="60">
    <w:name w:val="HTML Keyboard"/>
    <w:basedOn w:val="49"/>
    <w:qFormat/>
    <w:uiPriority w:val="0"/>
    <w:rPr>
      <w:rFonts w:ascii="monospace" w:hAnsi="monospace" w:eastAsia="monospace" w:cs="monospace"/>
      <w:sz w:val="21"/>
      <w:szCs w:val="21"/>
    </w:rPr>
  </w:style>
  <w:style w:type="character" w:styleId="61">
    <w:name w:val="HTML Sample"/>
    <w:basedOn w:val="49"/>
    <w:qFormat/>
    <w:uiPriority w:val="0"/>
    <w:rPr>
      <w:rFonts w:hint="default" w:ascii="monospace" w:hAnsi="monospace" w:eastAsia="monospace" w:cs="monospace"/>
      <w:sz w:val="21"/>
      <w:szCs w:val="21"/>
    </w:rPr>
  </w:style>
  <w:style w:type="character" w:customStyle="1" w:styleId="62">
    <w:name w:val="正文文本缩进 字符"/>
    <w:link w:val="19"/>
    <w:qFormat/>
    <w:uiPriority w:val="0"/>
    <w:rPr>
      <w:rFonts w:eastAsia="宋体"/>
      <w:kern w:val="2"/>
      <w:sz w:val="21"/>
      <w:szCs w:val="24"/>
      <w:lang w:val="en-US" w:eastAsia="zh-CN" w:bidi="ar-SA"/>
    </w:rPr>
  </w:style>
  <w:style w:type="character" w:customStyle="1" w:styleId="63">
    <w:name w:val="标题 1 字符"/>
    <w:link w:val="2"/>
    <w:qFormat/>
    <w:uiPriority w:val="9"/>
    <w:rPr>
      <w:rFonts w:eastAsia="宋体"/>
      <w:b/>
      <w:bCs/>
      <w:kern w:val="44"/>
      <w:sz w:val="44"/>
      <w:szCs w:val="44"/>
      <w:lang w:val="en-US" w:eastAsia="zh-CN" w:bidi="ar-SA"/>
    </w:rPr>
  </w:style>
  <w:style w:type="character" w:customStyle="1" w:styleId="64">
    <w:name w:val="标题 2 字符"/>
    <w:link w:val="3"/>
    <w:qFormat/>
    <w:uiPriority w:val="9"/>
    <w:rPr>
      <w:rFonts w:ascii="Cambria" w:hAnsi="Cambria" w:eastAsia="宋体"/>
      <w:b/>
      <w:bCs/>
      <w:kern w:val="2"/>
      <w:sz w:val="32"/>
      <w:szCs w:val="32"/>
      <w:lang w:val="en-US" w:eastAsia="zh-CN" w:bidi="ar-SA"/>
    </w:rPr>
  </w:style>
  <w:style w:type="character" w:customStyle="1" w:styleId="65">
    <w:name w:val="标题 3 字符"/>
    <w:link w:val="4"/>
    <w:qFormat/>
    <w:uiPriority w:val="0"/>
    <w:rPr>
      <w:rFonts w:ascii="宋体" w:hAnsi="宋体" w:eastAsia="宋体"/>
      <w:b/>
      <w:bCs/>
      <w:sz w:val="28"/>
      <w:szCs w:val="24"/>
      <w:lang w:eastAsia="en-US" w:bidi="en-US"/>
    </w:rPr>
  </w:style>
  <w:style w:type="character" w:customStyle="1" w:styleId="66">
    <w:name w:val="标题 4 字符"/>
    <w:link w:val="5"/>
    <w:qFormat/>
    <w:uiPriority w:val="0"/>
    <w:rPr>
      <w:rFonts w:ascii="宋体" w:hAnsi="宋体" w:eastAsia="宋体"/>
      <w:b/>
      <w:bCs/>
      <w:iCs/>
      <w:color w:val="000000"/>
      <w:sz w:val="21"/>
      <w:szCs w:val="24"/>
      <w:lang w:val="en-US" w:eastAsia="en-US" w:bidi="en-US"/>
    </w:rPr>
  </w:style>
  <w:style w:type="character" w:customStyle="1" w:styleId="67">
    <w:name w:val="标题 5 字符"/>
    <w:link w:val="6"/>
    <w:qFormat/>
    <w:uiPriority w:val="0"/>
    <w:rPr>
      <w:rFonts w:ascii="Cambria" w:hAnsi="Cambria" w:eastAsia="宋体"/>
      <w:color w:val="243F60"/>
      <w:sz w:val="22"/>
      <w:szCs w:val="24"/>
      <w:lang w:val="en-US" w:eastAsia="en-US" w:bidi="en-US"/>
    </w:rPr>
  </w:style>
  <w:style w:type="character" w:customStyle="1" w:styleId="68">
    <w:name w:val="标题 6 字符"/>
    <w:link w:val="7"/>
    <w:qFormat/>
    <w:uiPriority w:val="0"/>
    <w:rPr>
      <w:rFonts w:ascii="Arial" w:hAnsi="Arial" w:eastAsia="黑体"/>
      <w:b/>
      <w:sz w:val="24"/>
      <w:lang w:val="en-US" w:eastAsia="zh-CN" w:bidi="ar-SA"/>
    </w:rPr>
  </w:style>
  <w:style w:type="character" w:customStyle="1" w:styleId="69">
    <w:name w:val="标题 7 字符"/>
    <w:link w:val="8"/>
    <w:qFormat/>
    <w:uiPriority w:val="0"/>
    <w:rPr>
      <w:rFonts w:eastAsia="宋体"/>
      <w:b/>
      <w:sz w:val="24"/>
      <w:lang w:val="en-US" w:eastAsia="zh-CN" w:bidi="ar-SA"/>
    </w:rPr>
  </w:style>
  <w:style w:type="character" w:customStyle="1" w:styleId="70">
    <w:name w:val="标题 8 字符"/>
    <w:link w:val="9"/>
    <w:qFormat/>
    <w:uiPriority w:val="0"/>
    <w:rPr>
      <w:rFonts w:ascii="Arial" w:hAnsi="Arial" w:eastAsia="黑体"/>
      <w:sz w:val="24"/>
      <w:lang w:val="en-US" w:eastAsia="zh-CN" w:bidi="ar-SA"/>
    </w:rPr>
  </w:style>
  <w:style w:type="character" w:customStyle="1" w:styleId="71">
    <w:name w:val="标题 9 字符"/>
    <w:link w:val="10"/>
    <w:qFormat/>
    <w:uiPriority w:val="0"/>
    <w:rPr>
      <w:rFonts w:ascii="Arial" w:hAnsi="Arial" w:eastAsia="黑体"/>
      <w:sz w:val="21"/>
      <w:lang w:val="en-US" w:eastAsia="zh-CN" w:bidi="ar-SA"/>
    </w:rPr>
  </w:style>
  <w:style w:type="character" w:customStyle="1" w:styleId="72">
    <w:name w:val="文档结构图 字符"/>
    <w:link w:val="14"/>
    <w:semiHidden/>
    <w:qFormat/>
    <w:uiPriority w:val="0"/>
    <w:rPr>
      <w:rFonts w:eastAsia="宋体"/>
      <w:kern w:val="2"/>
      <w:sz w:val="21"/>
      <w:szCs w:val="24"/>
      <w:lang w:val="en-US" w:eastAsia="zh-CN" w:bidi="ar-SA"/>
    </w:rPr>
  </w:style>
  <w:style w:type="character" w:customStyle="1" w:styleId="73">
    <w:name w:val="批注文字 字符"/>
    <w:link w:val="16"/>
    <w:semiHidden/>
    <w:qFormat/>
    <w:uiPriority w:val="0"/>
    <w:rPr>
      <w:rFonts w:eastAsia="宋体"/>
      <w:kern w:val="2"/>
      <w:sz w:val="21"/>
      <w:szCs w:val="24"/>
      <w:lang w:val="en-US" w:eastAsia="zh-CN" w:bidi="ar-SA"/>
    </w:rPr>
  </w:style>
  <w:style w:type="character" w:customStyle="1" w:styleId="74">
    <w:name w:val="正文文本 3 字符"/>
    <w:link w:val="17"/>
    <w:qFormat/>
    <w:uiPriority w:val="0"/>
    <w:rPr>
      <w:rFonts w:eastAsia="宋体"/>
      <w:kern w:val="2"/>
      <w:sz w:val="16"/>
      <w:szCs w:val="16"/>
      <w:lang w:val="en-US" w:eastAsia="zh-CN" w:bidi="ar-SA"/>
    </w:rPr>
  </w:style>
  <w:style w:type="character" w:customStyle="1" w:styleId="75">
    <w:name w:val="正文文本 字符"/>
    <w:link w:val="18"/>
    <w:qFormat/>
    <w:uiPriority w:val="0"/>
    <w:rPr>
      <w:rFonts w:eastAsia="黑体"/>
      <w:kern w:val="2"/>
      <w:sz w:val="36"/>
      <w:szCs w:val="24"/>
      <w:lang w:val="en-US" w:eastAsia="zh-CN" w:bidi="ar-SA"/>
    </w:rPr>
  </w:style>
  <w:style w:type="character" w:customStyle="1" w:styleId="76">
    <w:name w:val="纯文本 字符"/>
    <w:link w:val="24"/>
    <w:qFormat/>
    <w:uiPriority w:val="0"/>
    <w:rPr>
      <w:rFonts w:ascii="宋体" w:hAnsi="Courier New" w:eastAsia="宋体"/>
      <w:kern w:val="2"/>
      <w:sz w:val="21"/>
      <w:szCs w:val="21"/>
      <w:lang w:val="en-US" w:eastAsia="zh-CN" w:bidi="ar-SA"/>
    </w:rPr>
  </w:style>
  <w:style w:type="character" w:customStyle="1" w:styleId="77">
    <w:name w:val="日期 字符"/>
    <w:link w:val="26"/>
    <w:qFormat/>
    <w:uiPriority w:val="0"/>
    <w:rPr>
      <w:rFonts w:ascii="宋体" w:eastAsia="宋体"/>
      <w:sz w:val="24"/>
      <w:lang w:val="en-US" w:eastAsia="zh-CN" w:bidi="ar-SA"/>
    </w:rPr>
  </w:style>
  <w:style w:type="character" w:customStyle="1" w:styleId="78">
    <w:name w:val="正文文本缩进 2 字符"/>
    <w:link w:val="27"/>
    <w:qFormat/>
    <w:uiPriority w:val="0"/>
    <w:rPr>
      <w:rFonts w:eastAsia="宋体"/>
      <w:kern w:val="2"/>
      <w:sz w:val="21"/>
      <w:szCs w:val="24"/>
      <w:lang w:val="en-US" w:eastAsia="zh-CN" w:bidi="ar-SA"/>
    </w:rPr>
  </w:style>
  <w:style w:type="character" w:customStyle="1" w:styleId="79">
    <w:name w:val="尾注文本 字符"/>
    <w:link w:val="28"/>
    <w:qFormat/>
    <w:uiPriority w:val="0"/>
    <w:rPr>
      <w:kern w:val="2"/>
      <w:sz w:val="21"/>
      <w:szCs w:val="24"/>
    </w:rPr>
  </w:style>
  <w:style w:type="character" w:customStyle="1" w:styleId="80">
    <w:name w:val="批注框文本 字符"/>
    <w:link w:val="29"/>
    <w:semiHidden/>
    <w:qFormat/>
    <w:uiPriority w:val="0"/>
    <w:rPr>
      <w:rFonts w:eastAsia="宋体"/>
      <w:kern w:val="2"/>
      <w:sz w:val="18"/>
      <w:szCs w:val="18"/>
      <w:lang w:val="en-US" w:eastAsia="zh-CN" w:bidi="ar-SA"/>
    </w:rPr>
  </w:style>
  <w:style w:type="character" w:customStyle="1" w:styleId="81">
    <w:name w:val="页脚 字符"/>
    <w:link w:val="30"/>
    <w:qFormat/>
    <w:uiPriority w:val="99"/>
    <w:rPr>
      <w:rFonts w:eastAsia="宋体"/>
      <w:sz w:val="18"/>
      <w:szCs w:val="18"/>
      <w:lang w:val="en-US" w:eastAsia="zh-CN" w:bidi="ar-SA"/>
    </w:rPr>
  </w:style>
  <w:style w:type="character" w:customStyle="1" w:styleId="82">
    <w:name w:val="页眉 字符"/>
    <w:link w:val="31"/>
    <w:qFormat/>
    <w:uiPriority w:val="0"/>
    <w:rPr>
      <w:rFonts w:eastAsia="宋体"/>
      <w:sz w:val="18"/>
      <w:szCs w:val="18"/>
      <w:lang w:val="en-US" w:eastAsia="zh-CN" w:bidi="ar-SA"/>
    </w:rPr>
  </w:style>
  <w:style w:type="character" w:customStyle="1" w:styleId="83">
    <w:name w:val="脚注文本 字符"/>
    <w:link w:val="35"/>
    <w:qFormat/>
    <w:uiPriority w:val="99"/>
    <w:rPr>
      <w:kern w:val="2"/>
      <w:sz w:val="18"/>
      <w:szCs w:val="18"/>
    </w:rPr>
  </w:style>
  <w:style w:type="character" w:customStyle="1" w:styleId="84">
    <w:name w:val="正文文本缩进 3 字符"/>
    <w:link w:val="37"/>
    <w:qFormat/>
    <w:uiPriority w:val="0"/>
    <w:rPr>
      <w:rFonts w:eastAsia="宋体"/>
      <w:kern w:val="2"/>
      <w:sz w:val="16"/>
      <w:szCs w:val="16"/>
      <w:lang w:val="en-US" w:eastAsia="zh-CN" w:bidi="ar-SA"/>
    </w:rPr>
  </w:style>
  <w:style w:type="character" w:customStyle="1" w:styleId="85">
    <w:name w:val="正文文本 2 字符"/>
    <w:link w:val="40"/>
    <w:qFormat/>
    <w:uiPriority w:val="0"/>
    <w:rPr>
      <w:rFonts w:eastAsia="黑体"/>
      <w:bCs/>
      <w:kern w:val="2"/>
      <w:sz w:val="72"/>
      <w:szCs w:val="24"/>
      <w:lang w:val="en-US" w:eastAsia="zh-CN" w:bidi="ar-SA"/>
    </w:rPr>
  </w:style>
  <w:style w:type="character" w:customStyle="1" w:styleId="86">
    <w:name w:val="标题 字符"/>
    <w:link w:val="43"/>
    <w:qFormat/>
    <w:uiPriority w:val="0"/>
    <w:rPr>
      <w:rFonts w:ascii="Arial" w:hAnsi="Arial" w:eastAsia="宋体"/>
      <w:b/>
      <w:sz w:val="32"/>
      <w:lang w:val="en-US" w:eastAsia="zh-CN" w:bidi="ar-SA"/>
    </w:rPr>
  </w:style>
  <w:style w:type="character" w:customStyle="1" w:styleId="87">
    <w:name w:val="批注主题 字符"/>
    <w:link w:val="44"/>
    <w:semiHidden/>
    <w:qFormat/>
    <w:uiPriority w:val="0"/>
    <w:rPr>
      <w:rFonts w:eastAsia="宋体"/>
      <w:b/>
      <w:bCs/>
      <w:kern w:val="2"/>
      <w:sz w:val="21"/>
      <w:szCs w:val="24"/>
      <w:lang w:val="en-US" w:eastAsia="zh-CN" w:bidi="ar-SA"/>
    </w:rPr>
  </w:style>
  <w:style w:type="character" w:customStyle="1" w:styleId="88">
    <w:name w:val="正文文本首行缩进 字符"/>
    <w:link w:val="45"/>
    <w:qFormat/>
    <w:uiPriority w:val="0"/>
    <w:rPr>
      <w:rFonts w:eastAsia="PMingLiU"/>
      <w:kern w:val="2"/>
      <w:sz w:val="36"/>
      <w:szCs w:val="24"/>
      <w:lang w:val="en-US" w:eastAsia="zh-TW" w:bidi="ar-SA"/>
    </w:rPr>
  </w:style>
  <w:style w:type="paragraph" w:customStyle="1" w:styleId="89">
    <w:name w:val="列出段落1"/>
    <w:basedOn w:val="1"/>
    <w:qFormat/>
    <w:uiPriority w:val="0"/>
    <w:pPr>
      <w:ind w:firstLine="420" w:firstLineChars="200"/>
    </w:pPr>
  </w:style>
  <w:style w:type="character" w:customStyle="1" w:styleId="90">
    <w:name w:val="脚注文本 字符1"/>
    <w:qFormat/>
    <w:uiPriority w:val="0"/>
    <w:rPr>
      <w:kern w:val="2"/>
      <w:sz w:val="18"/>
      <w:szCs w:val="18"/>
    </w:rPr>
  </w:style>
  <w:style w:type="character" w:customStyle="1" w:styleId="91">
    <w:name w:val="font161"/>
    <w:qFormat/>
    <w:uiPriority w:val="0"/>
    <w:rPr>
      <w:b/>
      <w:bCs/>
      <w:sz w:val="32"/>
      <w:szCs w:val="32"/>
    </w:rPr>
  </w:style>
  <w:style w:type="character" w:customStyle="1" w:styleId="92">
    <w:name w:val="Char Char11"/>
    <w:qFormat/>
    <w:uiPriority w:val="0"/>
    <w:rPr>
      <w:rFonts w:ascii="宋体" w:eastAsia="宋体" w:cs="Times New Roman"/>
      <w:sz w:val="24"/>
      <w:lang w:val="en-US" w:eastAsia="zh-CN" w:bidi="ar-SA"/>
    </w:rPr>
  </w:style>
  <w:style w:type="character" w:customStyle="1" w:styleId="93">
    <w:name w:val="Heading 1 Char"/>
    <w:qFormat/>
    <w:locked/>
    <w:uiPriority w:val="0"/>
    <w:rPr>
      <w:rFonts w:ascii="Times New Roman" w:hAnsi="Times New Roman" w:eastAsia="宋体" w:cs="Times New Roman"/>
      <w:b/>
      <w:bCs/>
      <w:kern w:val="44"/>
      <w:sz w:val="44"/>
      <w:szCs w:val="44"/>
    </w:rPr>
  </w:style>
  <w:style w:type="character" w:customStyle="1" w:styleId="94">
    <w:name w:val="Footer Char"/>
    <w:qFormat/>
    <w:locked/>
    <w:uiPriority w:val="0"/>
    <w:rPr>
      <w:rFonts w:ascii="宋体" w:cs="Times New Roman"/>
      <w:sz w:val="24"/>
      <w:szCs w:val="24"/>
    </w:rPr>
  </w:style>
  <w:style w:type="character" w:customStyle="1" w:styleId="95">
    <w:name w:val="Char Char1"/>
    <w:qFormat/>
    <w:uiPriority w:val="0"/>
    <w:rPr>
      <w:rFonts w:eastAsia="宋体"/>
      <w:kern w:val="2"/>
      <w:sz w:val="24"/>
      <w:lang w:val="en-US" w:eastAsia="zh-CN" w:bidi="ar-SA"/>
    </w:rPr>
  </w:style>
  <w:style w:type="character" w:customStyle="1" w:styleId="96">
    <w:name w:val="f14b1"/>
    <w:qFormat/>
    <w:uiPriority w:val="0"/>
    <w:rPr>
      <w:rFonts w:cs="Times New Roman"/>
      <w:b/>
      <w:bCs/>
      <w:sz w:val="21"/>
      <w:szCs w:val="21"/>
    </w:rPr>
  </w:style>
  <w:style w:type="character" w:customStyle="1" w:styleId="97">
    <w:name w:val="Plain Text Char"/>
    <w:qFormat/>
    <w:locked/>
    <w:uiPriority w:val="0"/>
    <w:rPr>
      <w:rFonts w:ascii="宋体" w:hAnsi="宋体" w:eastAsia="宋体" w:cs="宋体"/>
      <w:kern w:val="0"/>
      <w:sz w:val="24"/>
      <w:szCs w:val="24"/>
    </w:rPr>
  </w:style>
  <w:style w:type="character" w:customStyle="1" w:styleId="98">
    <w:name w:val="apple-converted-space"/>
    <w:qFormat/>
    <w:uiPriority w:val="0"/>
  </w:style>
  <w:style w:type="character" w:customStyle="1" w:styleId="99">
    <w:name w:val="Heading 2 Char"/>
    <w:qFormat/>
    <w:locked/>
    <w:uiPriority w:val="0"/>
    <w:rPr>
      <w:rFonts w:ascii="宋体" w:hAnsi="宋体" w:eastAsia="宋体" w:cs="Times New Roman"/>
      <w:kern w:val="0"/>
      <w:sz w:val="20"/>
      <w:szCs w:val="20"/>
    </w:rPr>
  </w:style>
  <w:style w:type="character" w:customStyle="1" w:styleId="100">
    <w:name w:val="Char Char"/>
    <w:qFormat/>
    <w:uiPriority w:val="0"/>
    <w:rPr>
      <w:rFonts w:ascii="Arial" w:hAnsi="Arial" w:eastAsia="黑体"/>
      <w:b/>
      <w:bCs/>
      <w:kern w:val="2"/>
      <w:sz w:val="32"/>
      <w:szCs w:val="32"/>
      <w:lang w:val="en-US" w:eastAsia="zh-CN" w:bidi="ar-SA"/>
    </w:rPr>
  </w:style>
  <w:style w:type="character" w:customStyle="1" w:styleId="101">
    <w:name w:val="Date Char"/>
    <w:qFormat/>
    <w:locked/>
    <w:uiPriority w:val="0"/>
    <w:rPr>
      <w:rFonts w:eastAsia="宋体"/>
      <w:sz w:val="24"/>
    </w:rPr>
  </w:style>
  <w:style w:type="character" w:customStyle="1" w:styleId="102">
    <w:name w:val="样式 粉红"/>
    <w:qFormat/>
    <w:uiPriority w:val="0"/>
    <w:rPr>
      <w:color w:val="auto"/>
      <w:u w:val="none"/>
    </w:rPr>
  </w:style>
  <w:style w:type="character" w:customStyle="1" w:styleId="103">
    <w:name w:val="标题 2 Char Char"/>
    <w:qFormat/>
    <w:uiPriority w:val="0"/>
    <w:rPr>
      <w:rFonts w:ascii="Arial" w:hAnsi="Arial" w:eastAsia="黑体" w:cs="Times New Roman"/>
      <w:b/>
      <w:bCs/>
      <w:kern w:val="2"/>
      <w:sz w:val="32"/>
      <w:szCs w:val="32"/>
      <w:lang w:val="en-US" w:eastAsia="zh-CN" w:bidi="ar-SA"/>
    </w:rPr>
  </w:style>
  <w:style w:type="character" w:customStyle="1" w:styleId="104">
    <w:name w:val="缩进正文 Char"/>
    <w:link w:val="105"/>
    <w:qFormat/>
    <w:locked/>
    <w:uiPriority w:val="0"/>
    <w:rPr>
      <w:rFonts w:ascii="宋体" w:hAnsi="宋体"/>
      <w:spacing w:val="30"/>
      <w:sz w:val="24"/>
      <w:szCs w:val="24"/>
      <w:lang w:val="en-GB" w:eastAsia="zh-CN" w:bidi="ar-SA"/>
    </w:rPr>
  </w:style>
  <w:style w:type="paragraph" w:customStyle="1" w:styleId="105">
    <w:name w:val="缩进正文"/>
    <w:link w:val="104"/>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06">
    <w:name w:val="样式3 Char Char"/>
    <w:link w:val="107"/>
    <w:qFormat/>
    <w:locked/>
    <w:uiPriority w:val="0"/>
    <w:rPr>
      <w:rFonts w:ascii="宋体" w:hAnsi="宋体" w:eastAsia="黑体"/>
      <w:sz w:val="36"/>
      <w:szCs w:val="36"/>
      <w:lang w:bidi="ar-SA"/>
    </w:rPr>
  </w:style>
  <w:style w:type="paragraph" w:customStyle="1" w:styleId="107">
    <w:name w:val="样式3"/>
    <w:basedOn w:val="1"/>
    <w:link w:val="106"/>
    <w:qFormat/>
    <w:uiPriority w:val="0"/>
    <w:pPr>
      <w:spacing w:line="940" w:lineRule="exact"/>
      <w:jc w:val="center"/>
    </w:pPr>
    <w:rPr>
      <w:rFonts w:ascii="宋体" w:hAnsi="宋体" w:eastAsia="黑体"/>
      <w:kern w:val="0"/>
      <w:sz w:val="36"/>
      <w:szCs w:val="36"/>
    </w:rPr>
  </w:style>
  <w:style w:type="character" w:customStyle="1" w:styleId="108">
    <w:name w:val="普通文字1 Char"/>
    <w:qFormat/>
    <w:uiPriority w:val="0"/>
    <w:rPr>
      <w:rFonts w:ascii="宋体" w:hAnsi="Courier New" w:eastAsia="宋体"/>
      <w:kern w:val="2"/>
      <w:sz w:val="21"/>
      <w:lang w:val="en-US" w:eastAsia="zh-CN" w:bidi="ar-SA"/>
    </w:rPr>
  </w:style>
  <w:style w:type="character" w:customStyle="1" w:styleId="109">
    <w:name w:val="Char Char6"/>
    <w:qFormat/>
    <w:uiPriority w:val="0"/>
    <w:rPr>
      <w:rFonts w:eastAsia="宋体"/>
      <w:b/>
      <w:bCs/>
      <w:kern w:val="2"/>
      <w:sz w:val="32"/>
      <w:szCs w:val="32"/>
      <w:lang w:val="en-US" w:eastAsia="zh-CN" w:bidi="ar-SA"/>
    </w:rPr>
  </w:style>
  <w:style w:type="character" w:customStyle="1" w:styleId="110">
    <w:name w:val="Heading 3 Char"/>
    <w:qFormat/>
    <w:locked/>
    <w:uiPriority w:val="0"/>
    <w:rPr>
      <w:rFonts w:ascii="Cambria" w:hAnsi="Cambria" w:eastAsia="宋体" w:cs="Times New Roman"/>
      <w:b/>
      <w:bCs/>
      <w:color w:val="4F81BD"/>
      <w:kern w:val="0"/>
      <w:sz w:val="22"/>
      <w:lang w:eastAsia="en-US"/>
    </w:rPr>
  </w:style>
  <w:style w:type="character" w:customStyle="1" w:styleId="111">
    <w:name w:val="Header Char"/>
    <w:qFormat/>
    <w:locked/>
    <w:uiPriority w:val="0"/>
    <w:rPr>
      <w:rFonts w:ascii="宋体" w:cs="Times New Roman"/>
      <w:sz w:val="24"/>
      <w:szCs w:val="24"/>
    </w:rPr>
  </w:style>
  <w:style w:type="paragraph" w:customStyle="1" w:styleId="112">
    <w:name w:val="2"/>
    <w:basedOn w:val="1"/>
    <w:next w:val="19"/>
    <w:qFormat/>
    <w:uiPriority w:val="0"/>
    <w:pPr>
      <w:ind w:left="432"/>
    </w:pPr>
    <w:rPr>
      <w:szCs w:val="20"/>
    </w:rPr>
  </w:style>
  <w:style w:type="paragraph" w:customStyle="1" w:styleId="113">
    <w:name w:val="样式 标题 2 + (西文) 方正书宋简体 (中文) 方正黑体简体 非加粗 黑色 段前: 0 磅 段后: 0 磅 行..."/>
    <w:basedOn w:val="3"/>
    <w:qFormat/>
    <w:uiPriority w:val="0"/>
    <w:pPr>
      <w:spacing w:before="0" w:after="0" w:line="300" w:lineRule="exact"/>
      <w:jc w:val="left"/>
    </w:pPr>
    <w:rPr>
      <w:rFonts w:ascii="方正书宋简体" w:hAnsi="宋体" w:eastAsia="方正小标宋简体" w:cs="宋体"/>
      <w:b w:val="0"/>
      <w:bCs w:val="0"/>
      <w:color w:val="000000"/>
      <w:sz w:val="21"/>
      <w:szCs w:val="20"/>
    </w:rPr>
  </w:style>
  <w:style w:type="paragraph" w:customStyle="1" w:styleId="114">
    <w:name w:val="Char Char Char Char"/>
    <w:basedOn w:val="1"/>
    <w:qFormat/>
    <w:uiPriority w:val="0"/>
    <w:rPr>
      <w:rFonts w:ascii="Tahoma" w:hAnsi="Tahoma"/>
      <w:sz w:val="24"/>
      <w:szCs w:val="20"/>
    </w:rPr>
  </w:style>
  <w:style w:type="paragraph" w:customStyle="1" w:styleId="115">
    <w:name w:val="1"/>
    <w:basedOn w:val="1"/>
    <w:qFormat/>
    <w:uiPriority w:val="0"/>
  </w:style>
  <w:style w:type="paragraph" w:customStyle="1" w:styleId="116">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sz w:val="28"/>
      <w:szCs w:val="20"/>
    </w:rPr>
  </w:style>
  <w:style w:type="paragraph" w:customStyle="1" w:styleId="117">
    <w:name w:val="3"/>
    <w:basedOn w:val="1"/>
    <w:next w:val="17"/>
    <w:qFormat/>
    <w:uiPriority w:val="0"/>
    <w:rPr>
      <w:rFonts w:ascii="宋体"/>
      <w:sz w:val="24"/>
      <w:szCs w:val="20"/>
    </w:rPr>
  </w:style>
  <w:style w:type="paragraph" w:customStyle="1" w:styleId="118">
    <w:name w:val="Char Char Char1"/>
    <w:basedOn w:val="1"/>
    <w:qFormat/>
    <w:uiPriority w:val="0"/>
    <w:rPr>
      <w:szCs w:val="20"/>
    </w:rPr>
  </w:style>
  <w:style w:type="paragraph" w:customStyle="1" w:styleId="119">
    <w:name w:val="。"/>
    <w:basedOn w:val="1"/>
    <w:qFormat/>
    <w:uiPriority w:val="0"/>
    <w:pPr>
      <w:adjustRightInd w:val="0"/>
      <w:spacing w:line="360" w:lineRule="atLeast"/>
      <w:ind w:right="679"/>
      <w:jc w:val="left"/>
      <w:textAlignment w:val="baseline"/>
    </w:pPr>
    <w:rPr>
      <w:rFonts w:ascii="宋体"/>
      <w:sz w:val="24"/>
    </w:rPr>
  </w:style>
  <w:style w:type="paragraph" w:customStyle="1" w:styleId="120">
    <w:name w:val="Char1"/>
    <w:basedOn w:val="1"/>
    <w:qFormat/>
    <w:uiPriority w:val="0"/>
    <w:rPr>
      <w:rFonts w:ascii="Tahoma" w:hAnsi="Tahoma"/>
      <w:sz w:val="24"/>
      <w:szCs w:val="20"/>
    </w:rPr>
  </w:style>
  <w:style w:type="paragraph" w:customStyle="1" w:styleId="121">
    <w:name w:val="p17"/>
    <w:basedOn w:val="1"/>
    <w:qFormat/>
    <w:uiPriority w:val="0"/>
    <w:pPr>
      <w:widowControl/>
    </w:pPr>
    <w:rPr>
      <w:kern w:val="0"/>
      <w:szCs w:val="21"/>
    </w:rPr>
  </w:style>
  <w:style w:type="paragraph" w:customStyle="1" w:styleId="122">
    <w:name w:val="5"/>
    <w:basedOn w:val="1"/>
    <w:qFormat/>
    <w:uiPriority w:val="0"/>
    <w:rPr>
      <w:rFonts w:ascii="Tahoma" w:hAnsi="Tahoma"/>
      <w:sz w:val="24"/>
      <w:szCs w:val="20"/>
    </w:rPr>
  </w:style>
  <w:style w:type="paragraph" w:customStyle="1" w:styleId="123">
    <w:name w:val="样式1"/>
    <w:basedOn w:val="1"/>
    <w:next w:val="12"/>
    <w:qFormat/>
    <w:uiPriority w:val="0"/>
    <w:rPr>
      <w:rFonts w:ascii="宋体" w:hAnsi="Arial Unicode MS"/>
      <w:color w:val="000000"/>
      <w:kern w:val="0"/>
      <w:sz w:val="24"/>
      <w:szCs w:val="36"/>
    </w:rPr>
  </w:style>
  <w:style w:type="paragraph" w:customStyle="1" w:styleId="124">
    <w:name w:val="列出段落2"/>
    <w:basedOn w:val="1"/>
    <w:qFormat/>
    <w:uiPriority w:val="0"/>
    <w:pPr>
      <w:ind w:firstLine="420" w:firstLineChars="200"/>
    </w:pPr>
  </w:style>
  <w:style w:type="paragraph" w:customStyle="1" w:styleId="125">
    <w:name w:val="Char Char Char"/>
    <w:basedOn w:val="1"/>
    <w:qFormat/>
    <w:uiPriority w:val="0"/>
    <w:rPr>
      <w:szCs w:val="20"/>
    </w:rPr>
  </w:style>
  <w:style w:type="paragraph" w:customStyle="1" w:styleId="126">
    <w:name w:val="表格"/>
    <w:basedOn w:val="1"/>
    <w:qFormat/>
    <w:uiPriority w:val="0"/>
    <w:pPr>
      <w:jc w:val="center"/>
      <w:textAlignment w:val="center"/>
    </w:pPr>
    <w:rPr>
      <w:rFonts w:ascii="华文细黑" w:hAnsi="华文细黑"/>
      <w:kern w:val="0"/>
      <w:szCs w:val="20"/>
    </w:rPr>
  </w:style>
  <w:style w:type="paragraph" w:customStyle="1" w:styleId="127">
    <w:name w:val="Char Char Char Char Char Char2 Char1"/>
    <w:basedOn w:val="1"/>
    <w:qFormat/>
    <w:uiPriority w:val="0"/>
    <w:pPr>
      <w:spacing w:line="360" w:lineRule="auto"/>
      <w:ind w:firstLine="200" w:firstLineChars="200"/>
    </w:pPr>
    <w:rPr>
      <w:rFonts w:ascii="宋体" w:hAnsi="宋体" w:cs="宋体"/>
      <w:sz w:val="24"/>
    </w:rPr>
  </w:style>
  <w:style w:type="paragraph" w:styleId="128">
    <w:name w:val="List Paragraph"/>
    <w:basedOn w:val="1"/>
    <w:qFormat/>
    <w:uiPriority w:val="34"/>
    <w:pPr>
      <w:ind w:firstLine="420" w:firstLineChars="200"/>
    </w:pPr>
  </w:style>
  <w:style w:type="paragraph" w:customStyle="1" w:styleId="129">
    <w:name w:val="样式 标题 2 + (西文) 方正书宋简体 (中文) 方正黑体简体 非加粗 黑色 行距: 固定值 15 磅1"/>
    <w:basedOn w:val="3"/>
    <w:qFormat/>
    <w:uiPriority w:val="0"/>
    <w:pPr>
      <w:spacing w:before="0" w:after="0" w:line="300" w:lineRule="exact"/>
      <w:jc w:val="left"/>
    </w:pPr>
    <w:rPr>
      <w:rFonts w:ascii="方正书宋简体" w:hAnsi="宋体" w:eastAsia="方正小标宋简体" w:cs="宋体"/>
      <w:b w:val="0"/>
      <w:bCs w:val="0"/>
      <w:color w:val="000000"/>
      <w:sz w:val="21"/>
      <w:szCs w:val="20"/>
    </w:rPr>
  </w:style>
  <w:style w:type="paragraph" w:customStyle="1" w:styleId="130">
    <w:name w:val="xl24"/>
    <w:basedOn w:val="1"/>
    <w:qFormat/>
    <w:uiPriority w:val="0"/>
    <w:pPr>
      <w:widowControl/>
      <w:spacing w:before="100" w:after="100"/>
      <w:jc w:val="center"/>
      <w:textAlignment w:val="center"/>
    </w:pPr>
    <w:rPr>
      <w:rFonts w:ascii="宋体" w:hAnsi="宋体"/>
      <w:kern w:val="0"/>
      <w:sz w:val="24"/>
      <w:szCs w:val="20"/>
    </w:rPr>
  </w:style>
  <w:style w:type="paragraph" w:customStyle="1" w:styleId="131">
    <w:name w:val="Char Char Char Char Char Char Char Char Char Char Char Char Char"/>
    <w:basedOn w:val="1"/>
    <w:qFormat/>
    <w:uiPriority w:val="0"/>
    <w:rPr>
      <w:rFonts w:ascii="仿宋_GB2312" w:eastAsia="仿宋_GB2312"/>
      <w:b/>
      <w:sz w:val="32"/>
      <w:szCs w:val="32"/>
    </w:rPr>
  </w:style>
  <w:style w:type="paragraph" w:customStyle="1" w:styleId="132">
    <w:name w:val="表格文字"/>
    <w:basedOn w:val="1"/>
    <w:qFormat/>
    <w:uiPriority w:val="0"/>
    <w:pPr>
      <w:adjustRightInd w:val="0"/>
      <w:spacing w:line="420" w:lineRule="atLeast"/>
      <w:jc w:val="left"/>
      <w:textAlignment w:val="baseline"/>
    </w:pPr>
    <w:rPr>
      <w:kern w:val="0"/>
      <w:szCs w:val="20"/>
    </w:rPr>
  </w:style>
  <w:style w:type="paragraph" w:customStyle="1" w:styleId="133">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134">
    <w:name w:val="样式 标题 3 + (中文) 黑体 小四 非加粗 段前: 7.8 磅 段后: 0 磅 行距: 固定值 20 磅"/>
    <w:basedOn w:val="4"/>
    <w:qFormat/>
    <w:uiPriority w:val="0"/>
    <w:pPr>
      <w:widowControl w:val="0"/>
      <w:spacing w:line="400" w:lineRule="exact"/>
      <w:jc w:val="both"/>
    </w:pPr>
    <w:rPr>
      <w:rFonts w:ascii="Times New Roman" w:hAnsi="Times New Roman" w:eastAsia="黑体"/>
      <w:b w:val="0"/>
      <w:bCs w:val="0"/>
      <w:kern w:val="2"/>
      <w:sz w:val="24"/>
      <w:szCs w:val="20"/>
      <w:lang w:bidi="ar-SA"/>
    </w:rPr>
  </w:style>
  <w:style w:type="paragraph" w:customStyle="1" w:styleId="135">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36">
    <w:name w:val="_Style 135"/>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37">
    <w:name w:val="列出段落3"/>
    <w:basedOn w:val="1"/>
    <w:qFormat/>
    <w:uiPriority w:val="0"/>
    <w:pPr>
      <w:ind w:firstLine="420" w:firstLineChars="200"/>
    </w:pPr>
  </w:style>
  <w:style w:type="paragraph" w:customStyle="1" w:styleId="138">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0">
    <w:name w:val="XW正文"/>
    <w:basedOn w:val="19"/>
    <w:qFormat/>
    <w:uiPriority w:val="0"/>
    <w:pPr>
      <w:adjustRightInd w:val="0"/>
      <w:snapToGrid w:val="0"/>
      <w:spacing w:after="0" w:line="300" w:lineRule="auto"/>
      <w:ind w:left="0" w:leftChars="0" w:firstLine="520" w:firstLineChars="200"/>
      <w:jc w:val="left"/>
    </w:pPr>
    <w:rPr>
      <w:kern w:val="0"/>
    </w:rPr>
  </w:style>
  <w:style w:type="paragraph" w:customStyle="1" w:styleId="14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2">
    <w:name w:val="金安桥正文"/>
    <w:basedOn w:val="19"/>
    <w:qFormat/>
    <w:uiPriority w:val="0"/>
    <w:pPr>
      <w:adjustRightInd w:val="0"/>
      <w:spacing w:after="0" w:line="300" w:lineRule="auto"/>
      <w:ind w:left="0" w:leftChars="0" w:firstLine="200" w:firstLineChars="200"/>
      <w:jc w:val="left"/>
    </w:pPr>
    <w:rPr>
      <w:kern w:val="0"/>
      <w:sz w:val="24"/>
      <w:szCs w:val="20"/>
    </w:rPr>
  </w:style>
  <w:style w:type="paragraph" w:customStyle="1" w:styleId="143">
    <w:name w:val="cntrt"/>
    <w:basedOn w:val="1"/>
    <w:qFormat/>
    <w:uiPriority w:val="0"/>
    <w:pPr>
      <w:widowControl/>
      <w:jc w:val="left"/>
    </w:pPr>
    <w:rPr>
      <w:rFonts w:ascii="Arial" w:hAnsi="Arial" w:cs="Arial"/>
      <w:kern w:val="0"/>
      <w:sz w:val="20"/>
      <w:szCs w:val="20"/>
      <w:lang w:val="en-AU"/>
    </w:rPr>
  </w:style>
  <w:style w:type="paragraph" w:customStyle="1" w:styleId="144">
    <w:name w:val="Char"/>
    <w:basedOn w:val="1"/>
    <w:qFormat/>
    <w:uiPriority w:val="0"/>
  </w:style>
  <w:style w:type="paragraph" w:customStyle="1" w:styleId="145">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46">
    <w:name w:val="默认段落字体 Para Char"/>
    <w:basedOn w:val="1"/>
    <w:qFormat/>
    <w:uiPriority w:val="0"/>
    <w:rPr>
      <w:szCs w:val="20"/>
    </w:rPr>
  </w:style>
  <w:style w:type="paragraph" w:customStyle="1" w:styleId="147">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48">
    <w:name w:val="4"/>
    <w:basedOn w:val="1"/>
    <w:qFormat/>
    <w:uiPriority w:val="0"/>
    <w:rPr>
      <w:rFonts w:ascii="Tahoma" w:hAnsi="Tahoma"/>
      <w:sz w:val="24"/>
      <w:szCs w:val="20"/>
    </w:rPr>
  </w:style>
  <w:style w:type="paragraph" w:customStyle="1" w:styleId="149">
    <w:name w:val="Char2"/>
    <w:basedOn w:val="1"/>
    <w:qFormat/>
    <w:uiPriority w:val="0"/>
    <w:rPr>
      <w:rFonts w:ascii="Tahoma" w:hAnsi="Tahoma"/>
      <w:sz w:val="24"/>
      <w:szCs w:val="20"/>
    </w:rPr>
  </w:style>
  <w:style w:type="paragraph" w:customStyle="1" w:styleId="150">
    <w:name w:val="List Paragraph1"/>
    <w:basedOn w:val="1"/>
    <w:qFormat/>
    <w:uiPriority w:val="0"/>
    <w:pPr>
      <w:ind w:firstLine="420" w:firstLineChars="200"/>
    </w:pPr>
  </w:style>
  <w:style w:type="paragraph" w:customStyle="1" w:styleId="151">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2">
    <w:name w:val="p0"/>
    <w:basedOn w:val="1"/>
    <w:qFormat/>
    <w:uiPriority w:val="0"/>
    <w:pPr>
      <w:widowControl/>
    </w:pPr>
    <w:rPr>
      <w:kern w:val="0"/>
      <w:szCs w:val="21"/>
    </w:rPr>
  </w:style>
  <w:style w:type="paragraph" w:customStyle="1" w:styleId="153">
    <w:name w:val="p15"/>
    <w:basedOn w:val="1"/>
    <w:qFormat/>
    <w:uiPriority w:val="0"/>
    <w:pPr>
      <w:widowControl/>
      <w:spacing w:before="100" w:line="400" w:lineRule="atLeast"/>
    </w:pPr>
    <w:rPr>
      <w:kern w:val="0"/>
      <w:sz w:val="28"/>
      <w:szCs w:val="28"/>
    </w:rPr>
  </w:style>
  <w:style w:type="paragraph" w:customStyle="1" w:styleId="154">
    <w:name w:val="p18"/>
    <w:basedOn w:val="1"/>
    <w:qFormat/>
    <w:uiPriority w:val="0"/>
    <w:pPr>
      <w:widowControl/>
    </w:pPr>
    <w:rPr>
      <w:rFonts w:ascii="宋体" w:hAnsi="宋体" w:cs="宋体"/>
      <w:kern w:val="0"/>
      <w:szCs w:val="21"/>
    </w:rPr>
  </w:style>
  <w:style w:type="paragraph" w:customStyle="1" w:styleId="155">
    <w:name w:val="Default Paragraph Char Char Char Char"/>
    <w:basedOn w:val="1"/>
    <w:next w:val="1"/>
    <w:qFormat/>
    <w:uiPriority w:val="0"/>
    <w:pPr>
      <w:widowControl/>
      <w:spacing w:line="360" w:lineRule="auto"/>
      <w:jc w:val="left"/>
    </w:pPr>
    <w:rPr>
      <w:kern w:val="0"/>
      <w:szCs w:val="20"/>
      <w:lang w:eastAsia="en-US"/>
    </w:rPr>
  </w:style>
  <w:style w:type="character" w:customStyle="1" w:styleId="156">
    <w:name w:val="正文文本缩进 2 Char1"/>
    <w:semiHidden/>
    <w:qFormat/>
    <w:uiPriority w:val="99"/>
    <w:rPr>
      <w:kern w:val="2"/>
      <w:sz w:val="21"/>
      <w:szCs w:val="22"/>
    </w:rPr>
  </w:style>
  <w:style w:type="character" w:customStyle="1" w:styleId="157">
    <w:name w:val="页脚 Char1"/>
    <w:semiHidden/>
    <w:qFormat/>
    <w:uiPriority w:val="99"/>
    <w:rPr>
      <w:kern w:val="2"/>
      <w:sz w:val="18"/>
      <w:szCs w:val="18"/>
    </w:rPr>
  </w:style>
  <w:style w:type="character" w:customStyle="1" w:styleId="158">
    <w:name w:val="正文文本缩进 Char1"/>
    <w:semiHidden/>
    <w:qFormat/>
    <w:uiPriority w:val="99"/>
    <w:rPr>
      <w:kern w:val="2"/>
      <w:sz w:val="21"/>
      <w:szCs w:val="22"/>
    </w:rPr>
  </w:style>
  <w:style w:type="character" w:customStyle="1" w:styleId="159">
    <w:name w:val="正文文本 3 Char1"/>
    <w:semiHidden/>
    <w:qFormat/>
    <w:uiPriority w:val="99"/>
    <w:rPr>
      <w:kern w:val="2"/>
      <w:sz w:val="16"/>
      <w:szCs w:val="16"/>
    </w:rPr>
  </w:style>
  <w:style w:type="character" w:customStyle="1" w:styleId="160">
    <w:name w:val="批注文字 Char1"/>
    <w:semiHidden/>
    <w:qFormat/>
    <w:uiPriority w:val="0"/>
    <w:rPr>
      <w:rFonts w:ascii="Times New Roman" w:hAnsi="Times New Roman"/>
      <w:kern w:val="2"/>
      <w:sz w:val="21"/>
      <w:szCs w:val="24"/>
    </w:rPr>
  </w:style>
  <w:style w:type="character" w:customStyle="1" w:styleId="161">
    <w:name w:val="批注主题 Char1"/>
    <w:semiHidden/>
    <w:qFormat/>
    <w:uiPriority w:val="99"/>
    <w:rPr>
      <w:rFonts w:ascii="Times New Roman" w:hAnsi="Times New Roman"/>
      <w:b/>
      <w:bCs/>
      <w:kern w:val="2"/>
      <w:sz w:val="21"/>
      <w:szCs w:val="24"/>
    </w:rPr>
  </w:style>
  <w:style w:type="character" w:customStyle="1" w:styleId="162">
    <w:name w:val="正文文本缩进 3 Char1"/>
    <w:semiHidden/>
    <w:qFormat/>
    <w:uiPriority w:val="99"/>
    <w:rPr>
      <w:kern w:val="2"/>
      <w:sz w:val="16"/>
      <w:szCs w:val="16"/>
    </w:rPr>
  </w:style>
  <w:style w:type="character" w:customStyle="1" w:styleId="163">
    <w:name w:val="批注框文本 Char1"/>
    <w:semiHidden/>
    <w:qFormat/>
    <w:uiPriority w:val="99"/>
    <w:rPr>
      <w:kern w:val="2"/>
      <w:sz w:val="18"/>
      <w:szCs w:val="18"/>
    </w:rPr>
  </w:style>
  <w:style w:type="character" w:customStyle="1" w:styleId="164">
    <w:name w:val="正文文本 Char1"/>
    <w:semiHidden/>
    <w:qFormat/>
    <w:uiPriority w:val="99"/>
    <w:rPr>
      <w:kern w:val="2"/>
      <w:sz w:val="21"/>
      <w:szCs w:val="22"/>
    </w:rPr>
  </w:style>
  <w:style w:type="character" w:customStyle="1" w:styleId="165">
    <w:name w:val="文档结构图 Char1"/>
    <w:semiHidden/>
    <w:qFormat/>
    <w:uiPriority w:val="99"/>
    <w:rPr>
      <w:rFonts w:ascii="宋体"/>
      <w:kern w:val="2"/>
      <w:sz w:val="18"/>
      <w:szCs w:val="18"/>
    </w:rPr>
  </w:style>
  <w:style w:type="character" w:customStyle="1" w:styleId="166">
    <w:name w:val="页眉 Char1"/>
    <w:semiHidden/>
    <w:qFormat/>
    <w:uiPriority w:val="99"/>
    <w:rPr>
      <w:kern w:val="2"/>
      <w:sz w:val="18"/>
      <w:szCs w:val="18"/>
    </w:rPr>
  </w:style>
  <w:style w:type="character" w:customStyle="1" w:styleId="167">
    <w:name w:val="日期 Char1"/>
    <w:semiHidden/>
    <w:qFormat/>
    <w:uiPriority w:val="99"/>
    <w:rPr>
      <w:kern w:val="2"/>
      <w:sz w:val="21"/>
      <w:szCs w:val="22"/>
    </w:rPr>
  </w:style>
  <w:style w:type="character" w:customStyle="1" w:styleId="168">
    <w:name w:val="标题 Char1"/>
    <w:qFormat/>
    <w:uiPriority w:val="10"/>
    <w:rPr>
      <w:rFonts w:ascii="Cambria" w:hAnsi="Cambria" w:cs="Times New Roman"/>
      <w:b/>
      <w:bCs/>
      <w:kern w:val="2"/>
      <w:sz w:val="32"/>
      <w:szCs w:val="32"/>
    </w:rPr>
  </w:style>
  <w:style w:type="character" w:customStyle="1" w:styleId="169">
    <w:name w:val="纯文本 Char1"/>
    <w:semiHidden/>
    <w:qFormat/>
    <w:uiPriority w:val="99"/>
    <w:rPr>
      <w:rFonts w:ascii="宋体" w:hAnsi="Courier New" w:cs="Courier New"/>
      <w:kern w:val="2"/>
      <w:sz w:val="21"/>
      <w:szCs w:val="21"/>
    </w:rPr>
  </w:style>
  <w:style w:type="character" w:customStyle="1" w:styleId="170">
    <w:name w:val="正文首行缩进 Char1"/>
    <w:semiHidden/>
    <w:qFormat/>
    <w:uiPriority w:val="99"/>
  </w:style>
  <w:style w:type="character" w:customStyle="1" w:styleId="171">
    <w:name w:val="正文文本 2 Char1"/>
    <w:semiHidden/>
    <w:qFormat/>
    <w:uiPriority w:val="99"/>
    <w:rPr>
      <w:kern w:val="2"/>
      <w:sz w:val="21"/>
      <w:szCs w:val="22"/>
    </w:rPr>
  </w:style>
  <w:style w:type="paragraph" w:customStyle="1" w:styleId="172">
    <w:name w:val="paragraphindent"/>
    <w:basedOn w:val="1"/>
    <w:qFormat/>
    <w:uiPriority w:val="0"/>
    <w:pPr>
      <w:widowControl/>
      <w:spacing w:before="75" w:after="75"/>
      <w:jc w:val="left"/>
    </w:pPr>
    <w:rPr>
      <w:rFonts w:ascii="宋体" w:hAnsi="宋体" w:cs="宋体"/>
      <w:kern w:val="0"/>
      <w:sz w:val="24"/>
    </w:rPr>
  </w:style>
  <w:style w:type="character" w:customStyle="1" w:styleId="173">
    <w:name w:val="正文2 Char"/>
    <w:link w:val="174"/>
    <w:qFormat/>
    <w:uiPriority w:val="0"/>
    <w:rPr>
      <w:rFonts w:ascii="宋体" w:eastAsia="楷体"/>
      <w:b/>
      <w:color w:val="0000FF"/>
      <w:kern w:val="2"/>
      <w:sz w:val="21"/>
      <w:szCs w:val="22"/>
      <w:lang w:val="en-US" w:eastAsia="zh-CN" w:bidi="ar-SA"/>
    </w:rPr>
  </w:style>
  <w:style w:type="paragraph" w:customStyle="1" w:styleId="174">
    <w:name w:val="正文2"/>
    <w:link w:val="173"/>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5">
    <w:name w:val="_Style 174"/>
    <w:unhideWhenUsed/>
    <w:qFormat/>
    <w:uiPriority w:val="99"/>
    <w:rPr>
      <w:rFonts w:ascii="Times New Roman" w:hAnsi="Times New Roman" w:eastAsia="宋体" w:cs="Times New Roman"/>
      <w:kern w:val="2"/>
      <w:sz w:val="21"/>
      <w:szCs w:val="24"/>
      <w:lang w:val="en-US" w:eastAsia="zh-CN" w:bidi="ar-SA"/>
    </w:rPr>
  </w:style>
  <w:style w:type="paragraph" w:customStyle="1" w:styleId="176">
    <w:name w:val="msolistparagraph"/>
    <w:basedOn w:val="1"/>
    <w:qFormat/>
    <w:uiPriority w:val="0"/>
    <w:pPr>
      <w:autoSpaceDE w:val="0"/>
      <w:autoSpaceDN w:val="0"/>
      <w:ind w:left="205" w:right="169" w:firstLine="655"/>
      <w:jc w:val="left"/>
    </w:pPr>
    <w:rPr>
      <w:rFonts w:hint="eastAsia" w:ascii="仿宋" w:hAnsi="仿宋" w:eastAsia="仿宋"/>
      <w:kern w:val="0"/>
      <w:sz w:val="22"/>
      <w:szCs w:val="22"/>
      <w:u w:val="single" w:color="000000"/>
    </w:rPr>
  </w:style>
  <w:style w:type="character" w:customStyle="1" w:styleId="177">
    <w:name w:val="button"/>
    <w:basedOn w:val="49"/>
    <w:qFormat/>
    <w:uiPriority w:val="0"/>
  </w:style>
  <w:style w:type="paragraph" w:customStyle="1" w:styleId="178">
    <w:name w:val="D&amp;L"/>
    <w:basedOn w:val="31"/>
    <w:qFormat/>
    <w:uiPriority w:val="0"/>
    <w:pPr>
      <w:pBdr>
        <w:bottom w:val="thinThickSmallGap" w:color="auto" w:sz="18" w:space="1"/>
      </w:pBdr>
      <w:adjustRightInd w:val="0"/>
      <w:snapToGrid/>
      <w:spacing w:line="240" w:lineRule="atLeast"/>
      <w:textAlignment w:val="baseline"/>
    </w:pPr>
    <w:rPr>
      <w:sz w:val="24"/>
      <w:szCs w:val="20"/>
    </w:rPr>
  </w:style>
  <w:style w:type="paragraph" w:customStyle="1" w:styleId="1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180">
    <w:name w:val="font91"/>
    <w:basedOn w:val="49"/>
    <w:qFormat/>
    <w:uiPriority w:val="0"/>
    <w:rPr>
      <w:rFonts w:hint="eastAsia" w:ascii="宋体" w:hAnsi="宋体" w:eastAsia="宋体" w:cs="宋体"/>
      <w:color w:val="000311"/>
      <w:sz w:val="24"/>
      <w:szCs w:val="24"/>
      <w:u w:val="none"/>
    </w:rPr>
  </w:style>
  <w:style w:type="character" w:customStyle="1" w:styleId="181">
    <w:name w:val="font31"/>
    <w:basedOn w:val="49"/>
    <w:qFormat/>
    <w:uiPriority w:val="0"/>
    <w:rPr>
      <w:rFonts w:hint="eastAsia" w:ascii="宋体" w:hAnsi="宋体" w:eastAsia="宋体" w:cs="宋体"/>
      <w:b/>
      <w:bCs/>
      <w:color w:val="000000"/>
      <w:sz w:val="24"/>
      <w:szCs w:val="24"/>
      <w:u w:val="none"/>
    </w:rPr>
  </w:style>
  <w:style w:type="character" w:customStyle="1" w:styleId="182">
    <w:name w:val="font11"/>
    <w:basedOn w:val="49"/>
    <w:qFormat/>
    <w:uiPriority w:val="0"/>
    <w:rPr>
      <w:rFonts w:hint="eastAsia" w:ascii="宋体" w:hAnsi="宋体" w:eastAsia="宋体" w:cs="宋体"/>
      <w:color w:val="000000"/>
      <w:sz w:val="24"/>
      <w:szCs w:val="24"/>
      <w:u w:val="none"/>
    </w:rPr>
  </w:style>
  <w:style w:type="paragraph" w:customStyle="1" w:styleId="183">
    <w:name w:val="Table Text"/>
    <w:basedOn w:val="1"/>
    <w:semiHidden/>
    <w:qFormat/>
    <w:uiPriority w:val="0"/>
    <w:rPr>
      <w:rFonts w:ascii="宋体" w:hAnsi="宋体" w:cs="宋体"/>
      <w:sz w:val="24"/>
      <w:lang w:eastAsia="en-US"/>
    </w:rPr>
  </w:style>
  <w:style w:type="table" w:customStyle="1" w:styleId="184">
    <w:name w:val="Table Normal"/>
    <w:unhideWhenUsed/>
    <w:qFormat/>
    <w:uiPriority w:val="0"/>
    <w:tblPr>
      <w:tblCellMar>
        <w:top w:w="0" w:type="dxa"/>
        <w:left w:w="0" w:type="dxa"/>
        <w:bottom w:w="0" w:type="dxa"/>
        <w:right w:w="0" w:type="dxa"/>
      </w:tblCellMar>
    </w:tblPr>
  </w:style>
  <w:style w:type="paragraph" w:customStyle="1" w:styleId="185">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114</Pages>
  <Words>22558</Words>
  <Characters>24644</Characters>
  <Lines>494</Lines>
  <Paragraphs>139</Paragraphs>
  <TotalTime>0</TotalTime>
  <ScaleCrop>false</ScaleCrop>
  <LinksUpToDate>false</LinksUpToDate>
  <CharactersWithSpaces>25827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2025-08-20T02:43:00Z</dcterms:created>
  <dc:creator>孟凡金</dc:creator>
  <cp:lastModifiedBy>许沁</cp:lastModifiedBy>
  <cp:lastPrinted>2020-06-16T06:07:00Z</cp:lastPrinted>
  <dcterms:modified xsi:type="dcterms:W3CDTF">2025-09-03T08:20:37Z</dcterms:modified>
  <dc:title>项目名称</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D06C2A0E8990420A898876E2AD291206_13</vt:lpwstr>
  </property>
  <property fmtid="{D5CDD505-2E9C-101B-9397-08002B2CF9AE}" pid="4" name="KSOTemplateDocerSaveRecord">
    <vt:lpwstr>eyJoZGlkIjoiZmNhMjFjNTk5MTc5MjMwNGFmZDliZmFkZGVjNTk3OGUiLCJ1c2VySWQiOiI0OTk5NDA2NTgifQ==</vt:lpwstr>
  </property>
</Properties>
</file>