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445554746"/>
      <w:bookmarkStart w:id="1" w:name="_Toc466024555"/>
      <w:bookmarkStart w:id="2" w:name="_Toc24366"/>
      <w:r>
        <w:rPr>
          <w:rFonts w:hint="eastAsia" w:ascii="宋体" w:hAnsi="宋体" w:eastAsia="仿宋"/>
          <w:color w:val="auto"/>
          <w:highlight w:val="none"/>
        </w:rPr>
        <w:t>采购需求</w:t>
      </w:r>
      <w:bookmarkEnd w:id="0"/>
      <w:bookmarkEnd w:id="1"/>
      <w:bookmarkEnd w:id="2"/>
      <w:bookmarkStart w:id="32" w:name="_GoBack"/>
      <w:bookmarkEnd w:id="32"/>
    </w:p>
    <w:p w14:paraId="63A1604C">
      <w:pPr>
        <w:pStyle w:val="3"/>
        <w:rPr>
          <w:rStyle w:val="8"/>
          <w:rFonts w:ascii="宋体" w:hAnsi="宋体" w:eastAsia="仿宋"/>
          <w:b/>
          <w:bCs/>
          <w:color w:val="auto"/>
          <w:sz w:val="24"/>
          <w:szCs w:val="24"/>
          <w:highlight w:val="none"/>
        </w:rPr>
      </w:pPr>
      <w:bookmarkStart w:id="3" w:name="_Toc466024556"/>
      <w:bookmarkStart w:id="4" w:name="_Toc455587089"/>
      <w:bookmarkStart w:id="5" w:name="_Toc455587273"/>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55587090"/>
      <w:bookmarkStart w:id="8" w:name="_Toc466024557"/>
      <w:bookmarkStart w:id="9" w:name="_Toc455587274"/>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遥测心电监护仪（1拖8）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28套</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672</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017768D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762077DA">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5年</w:t>
            </w:r>
            <w:r>
              <w:rPr>
                <w:rFonts w:hint="eastAsia" w:ascii="宋体" w:hAnsi="宋体" w:eastAsia="仿宋" w:cs="Calibri"/>
                <w:color w:val="auto"/>
                <w:sz w:val="24"/>
                <w:highlight w:val="none"/>
                <w:lang w:val="en-US" w:eastAsia="zh-CN"/>
              </w:rPr>
              <w:t>整机原厂质保，</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45554749"/>
      <w:bookmarkStart w:id="11" w:name="_Toc466024558"/>
      <w:bookmarkStart w:id="12" w:name="_Toc455587091"/>
      <w:bookmarkStart w:id="13" w:name="_Toc455587275"/>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遥测心电监护仪（1拖8）</w:t>
      </w:r>
    </w:p>
    <w:tbl>
      <w:tblPr>
        <w:tblStyle w:val="6"/>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838"/>
        <w:gridCol w:w="7105"/>
      </w:tblGrid>
      <w:tr w14:paraId="6F216C4C">
        <w:tblPrEx>
          <w:tblCellMar>
            <w:top w:w="0" w:type="dxa"/>
            <w:left w:w="108" w:type="dxa"/>
            <w:bottom w:w="0" w:type="dxa"/>
            <w:right w:w="108" w:type="dxa"/>
          </w:tblCellMar>
        </w:tblPrEx>
        <w:trPr>
          <w:jc w:val="center"/>
        </w:trPr>
        <w:tc>
          <w:tcPr>
            <w:tcW w:w="1117" w:type="dxa"/>
            <w:vAlign w:val="center"/>
          </w:tcPr>
          <w:p w14:paraId="4855007B">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序号</w:t>
            </w:r>
          </w:p>
        </w:tc>
        <w:tc>
          <w:tcPr>
            <w:tcW w:w="1838" w:type="dxa"/>
            <w:vAlign w:val="center"/>
          </w:tcPr>
          <w:p w14:paraId="18E394CE">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技术规格</w:t>
            </w:r>
          </w:p>
        </w:tc>
        <w:tc>
          <w:tcPr>
            <w:tcW w:w="7105" w:type="dxa"/>
            <w:vAlign w:val="center"/>
          </w:tcPr>
          <w:p w14:paraId="14C40E7D">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技术要求</w:t>
            </w:r>
          </w:p>
        </w:tc>
      </w:tr>
      <w:tr w14:paraId="39D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DF40936">
            <w:pPr>
              <w:spacing w:line="276" w:lineRule="auto"/>
              <w:jc w:val="both"/>
              <w:rPr>
                <w:rFonts w:hint="eastAsia" w:ascii="宋体" w:hAnsi="宋体"/>
                <w:bCs/>
                <w:sz w:val="24"/>
                <w:highlight w:val="none"/>
              </w:rPr>
            </w:pPr>
            <w:r>
              <w:rPr>
                <w:rFonts w:hint="eastAsia" w:ascii="宋体" w:hAnsi="宋体"/>
                <w:bCs/>
                <w:sz w:val="24"/>
                <w:highlight w:val="none"/>
              </w:rPr>
              <w:t>1</w:t>
            </w:r>
          </w:p>
        </w:tc>
        <w:tc>
          <w:tcPr>
            <w:tcW w:w="1838" w:type="dxa"/>
            <w:vAlign w:val="center"/>
          </w:tcPr>
          <w:p w14:paraId="6A2BAF13">
            <w:pPr>
              <w:spacing w:line="276" w:lineRule="auto"/>
              <w:jc w:val="both"/>
              <w:rPr>
                <w:rFonts w:hint="eastAsia" w:ascii="宋体" w:hAnsi="宋体"/>
                <w:bCs/>
                <w:sz w:val="24"/>
                <w:highlight w:val="none"/>
              </w:rPr>
            </w:pPr>
            <w:r>
              <w:rPr>
                <w:rFonts w:hint="eastAsia" w:ascii="宋体" w:hAnsi="宋体"/>
                <w:bCs/>
                <w:sz w:val="24"/>
                <w:highlight w:val="none"/>
              </w:rPr>
              <w:t>用途</w:t>
            </w:r>
          </w:p>
        </w:tc>
        <w:tc>
          <w:tcPr>
            <w:tcW w:w="7105" w:type="dxa"/>
            <w:vAlign w:val="center"/>
          </w:tcPr>
          <w:p w14:paraId="58B0EB30">
            <w:pPr>
              <w:spacing w:line="276" w:lineRule="auto"/>
              <w:jc w:val="both"/>
              <w:rPr>
                <w:rFonts w:hint="eastAsia" w:ascii="宋体" w:hAnsi="宋体"/>
                <w:bCs/>
                <w:sz w:val="24"/>
                <w:highlight w:val="none"/>
              </w:rPr>
            </w:pPr>
            <w:r>
              <w:rPr>
                <w:rFonts w:hint="eastAsia" w:ascii="宋体" w:hAnsi="宋体"/>
                <w:bCs/>
                <w:sz w:val="24"/>
                <w:highlight w:val="none"/>
              </w:rPr>
              <w:t>对患者的生命体征进行远距离的监测，并在较大范围内同时对多个患者进行连续监测。</w:t>
            </w:r>
          </w:p>
        </w:tc>
      </w:tr>
      <w:tr w14:paraId="752A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2BED265">
            <w:pPr>
              <w:spacing w:line="276" w:lineRule="auto"/>
              <w:jc w:val="both"/>
              <w:rPr>
                <w:rFonts w:hint="eastAsia" w:ascii="宋体" w:hAnsi="宋体" w:eastAsia="宋体"/>
                <w:bCs/>
                <w:strike/>
                <w:sz w:val="24"/>
                <w:highlight w:val="none"/>
                <w:lang w:eastAsia="zh-CN"/>
              </w:rPr>
            </w:pPr>
            <w:r>
              <w:rPr>
                <w:rFonts w:hint="eastAsia" w:ascii="宋体" w:hAnsi="宋体"/>
                <w:bCs/>
                <w:sz w:val="24"/>
                <w:highlight w:val="none"/>
              </w:rPr>
              <w:t>*</w:t>
            </w:r>
            <w:r>
              <w:rPr>
                <w:rFonts w:hint="eastAsia" w:ascii="宋体" w:hAnsi="宋体"/>
                <w:bCs/>
                <w:sz w:val="24"/>
                <w:highlight w:val="none"/>
                <w:lang w:val="en-US" w:eastAsia="zh-CN"/>
              </w:rPr>
              <w:t>2</w:t>
            </w:r>
          </w:p>
        </w:tc>
        <w:tc>
          <w:tcPr>
            <w:tcW w:w="1838" w:type="dxa"/>
            <w:vAlign w:val="center"/>
          </w:tcPr>
          <w:p w14:paraId="00C72F31">
            <w:pPr>
              <w:spacing w:line="276" w:lineRule="auto"/>
              <w:jc w:val="both"/>
              <w:rPr>
                <w:rFonts w:hint="eastAsia" w:ascii="宋体" w:hAnsi="宋体"/>
                <w:bCs/>
                <w:strike/>
                <w:sz w:val="24"/>
                <w:highlight w:val="none"/>
              </w:rPr>
            </w:pPr>
            <w:r>
              <w:rPr>
                <w:rFonts w:hint="eastAsia" w:ascii="宋体" w:hAnsi="宋体"/>
                <w:bCs/>
                <w:sz w:val="24"/>
                <w:highlight w:val="none"/>
              </w:rPr>
              <w:t>配置</w:t>
            </w:r>
            <w:r>
              <w:rPr>
                <w:rFonts w:hint="eastAsia" w:ascii="宋体" w:hAnsi="宋体"/>
                <w:bCs/>
                <w:sz w:val="24"/>
                <w:highlight w:val="none"/>
                <w:lang w:eastAsia="zh-CN"/>
              </w:rPr>
              <w:t>（</w:t>
            </w:r>
            <w:r>
              <w:rPr>
                <w:rFonts w:hint="eastAsia" w:ascii="宋体" w:hAnsi="宋体"/>
                <w:bCs/>
                <w:sz w:val="24"/>
                <w:highlight w:val="none"/>
                <w:lang w:val="en-US" w:eastAsia="zh-CN"/>
              </w:rPr>
              <w:t>单套</w:t>
            </w:r>
            <w:r>
              <w:rPr>
                <w:rFonts w:hint="eastAsia" w:ascii="宋体" w:hAnsi="宋体"/>
                <w:bCs/>
                <w:sz w:val="24"/>
                <w:highlight w:val="none"/>
                <w:lang w:eastAsia="zh-CN"/>
              </w:rPr>
              <w:t>）</w:t>
            </w:r>
          </w:p>
        </w:tc>
        <w:tc>
          <w:tcPr>
            <w:tcW w:w="7105" w:type="dxa"/>
            <w:vAlign w:val="center"/>
          </w:tcPr>
          <w:p w14:paraId="40ED9EF6">
            <w:pPr>
              <w:spacing w:line="276" w:lineRule="auto"/>
              <w:jc w:val="both"/>
              <w:rPr>
                <w:rFonts w:hint="eastAsia" w:ascii="宋体" w:hAnsi="宋体"/>
                <w:bCs/>
                <w:strike/>
                <w:sz w:val="24"/>
                <w:highlight w:val="none"/>
                <w:lang w:eastAsia="zh-CN"/>
              </w:rPr>
            </w:pPr>
            <w:r>
              <w:rPr>
                <w:rFonts w:hint="eastAsia" w:ascii="宋体" w:hAnsi="宋体"/>
                <w:bCs/>
                <w:sz w:val="24"/>
                <w:highlight w:val="none"/>
              </w:rPr>
              <w:t>主机1套， 显示屏2个，激光打印机1台，（ECG，Resp）遥测发射盒7个，（ECG，Resp，SpO2）遥测发射盒1个。</w:t>
            </w:r>
          </w:p>
        </w:tc>
      </w:tr>
      <w:tr w14:paraId="784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FD850EA">
            <w:pPr>
              <w:spacing w:line="276" w:lineRule="auto"/>
              <w:jc w:val="both"/>
              <w:rPr>
                <w:rFonts w:hint="eastAsia" w:ascii="宋体" w:hAnsi="宋体"/>
                <w:bCs/>
                <w:sz w:val="24"/>
                <w:highlight w:val="none"/>
              </w:rPr>
            </w:pPr>
            <w:r>
              <w:rPr>
                <w:rFonts w:hint="eastAsia" w:ascii="宋体" w:hAnsi="宋体"/>
                <w:bCs/>
                <w:sz w:val="24"/>
                <w:highlight w:val="none"/>
              </w:rPr>
              <w:t>3</w:t>
            </w:r>
          </w:p>
        </w:tc>
        <w:tc>
          <w:tcPr>
            <w:tcW w:w="1838" w:type="dxa"/>
            <w:vAlign w:val="center"/>
          </w:tcPr>
          <w:p w14:paraId="6E727FBC">
            <w:pPr>
              <w:spacing w:line="276" w:lineRule="auto"/>
              <w:jc w:val="both"/>
              <w:rPr>
                <w:rFonts w:hint="eastAsia" w:ascii="宋体" w:hAnsi="宋体"/>
                <w:bCs/>
                <w:sz w:val="24"/>
                <w:highlight w:val="none"/>
              </w:rPr>
            </w:pPr>
            <w:r>
              <w:rPr>
                <w:rFonts w:hint="eastAsia" w:ascii="宋体" w:hAnsi="宋体"/>
                <w:bCs/>
                <w:sz w:val="24"/>
                <w:highlight w:val="none"/>
              </w:rPr>
              <w:t>遥测中央监护系统</w:t>
            </w:r>
          </w:p>
        </w:tc>
        <w:tc>
          <w:tcPr>
            <w:tcW w:w="7105" w:type="dxa"/>
            <w:vAlign w:val="center"/>
          </w:tcPr>
          <w:p w14:paraId="1F70D95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3AF2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6F5159A">
            <w:pPr>
              <w:spacing w:line="276" w:lineRule="auto"/>
              <w:jc w:val="both"/>
              <w:rPr>
                <w:rFonts w:hint="eastAsia" w:ascii="宋体" w:hAnsi="宋体"/>
                <w:bCs/>
                <w:sz w:val="24"/>
                <w:highlight w:val="none"/>
              </w:rPr>
            </w:pPr>
            <w:r>
              <w:rPr>
                <w:rFonts w:hint="eastAsia" w:ascii="宋体" w:hAnsi="宋体"/>
                <w:bCs/>
                <w:sz w:val="24"/>
                <w:highlight w:val="none"/>
              </w:rPr>
              <w:t>3.1</w:t>
            </w:r>
          </w:p>
        </w:tc>
        <w:tc>
          <w:tcPr>
            <w:tcW w:w="1838" w:type="dxa"/>
            <w:vAlign w:val="center"/>
          </w:tcPr>
          <w:p w14:paraId="0DE4D8D5">
            <w:pPr>
              <w:spacing w:line="276" w:lineRule="auto"/>
              <w:jc w:val="both"/>
              <w:rPr>
                <w:rFonts w:hint="eastAsia" w:ascii="宋体" w:hAnsi="宋体"/>
                <w:bCs/>
                <w:sz w:val="24"/>
                <w:highlight w:val="none"/>
              </w:rPr>
            </w:pPr>
            <w:r>
              <w:rPr>
                <w:rFonts w:hint="eastAsia" w:ascii="宋体" w:hAnsi="宋体"/>
                <w:bCs/>
                <w:sz w:val="24"/>
                <w:highlight w:val="none"/>
              </w:rPr>
              <w:t>整机要求</w:t>
            </w:r>
          </w:p>
        </w:tc>
        <w:tc>
          <w:tcPr>
            <w:tcW w:w="7105" w:type="dxa"/>
            <w:vAlign w:val="center"/>
          </w:tcPr>
          <w:p w14:paraId="0B77ECAF">
            <w:pPr>
              <w:spacing w:line="276" w:lineRule="auto"/>
              <w:jc w:val="both"/>
              <w:rPr>
                <w:rFonts w:hint="eastAsia" w:ascii="宋体" w:hAnsi="宋体"/>
                <w:bCs/>
                <w:sz w:val="24"/>
                <w:highlight w:val="none"/>
              </w:rPr>
            </w:pPr>
            <w:r>
              <w:rPr>
                <w:rFonts w:hint="eastAsia" w:ascii="宋体" w:hAnsi="宋体"/>
                <w:bCs/>
                <w:sz w:val="24"/>
                <w:highlight w:val="none"/>
              </w:rPr>
              <w:t>中央监护整机(硬件及软件)都通过国家注册认证,Windows10操作系统。</w:t>
            </w:r>
          </w:p>
        </w:tc>
      </w:tr>
      <w:tr w14:paraId="2E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0C37C3B">
            <w:pPr>
              <w:spacing w:line="276" w:lineRule="auto"/>
              <w:jc w:val="both"/>
              <w:rPr>
                <w:rFonts w:hint="eastAsia" w:ascii="宋体" w:hAnsi="宋体"/>
                <w:bCs/>
                <w:sz w:val="24"/>
                <w:highlight w:val="none"/>
              </w:rPr>
            </w:pPr>
            <w:r>
              <w:rPr>
                <w:rFonts w:hint="eastAsia" w:ascii="宋体" w:hAnsi="宋体"/>
                <w:bCs/>
                <w:sz w:val="24"/>
                <w:highlight w:val="none"/>
              </w:rPr>
              <w:t>*3.2</w:t>
            </w:r>
          </w:p>
        </w:tc>
        <w:tc>
          <w:tcPr>
            <w:tcW w:w="1838" w:type="dxa"/>
            <w:vAlign w:val="center"/>
          </w:tcPr>
          <w:p w14:paraId="4D851DEB">
            <w:pPr>
              <w:spacing w:line="276" w:lineRule="auto"/>
              <w:jc w:val="both"/>
              <w:rPr>
                <w:rFonts w:hint="eastAsia" w:ascii="宋体" w:hAnsi="宋体"/>
                <w:bCs/>
                <w:sz w:val="24"/>
                <w:highlight w:val="none"/>
              </w:rPr>
            </w:pPr>
            <w:r>
              <w:rPr>
                <w:rFonts w:hint="eastAsia" w:ascii="宋体" w:hAnsi="宋体"/>
                <w:bCs/>
                <w:sz w:val="24"/>
                <w:highlight w:val="none"/>
              </w:rPr>
              <w:t>显示</w:t>
            </w:r>
          </w:p>
        </w:tc>
        <w:tc>
          <w:tcPr>
            <w:tcW w:w="7105" w:type="dxa"/>
            <w:vAlign w:val="center"/>
          </w:tcPr>
          <w:p w14:paraId="499F9995">
            <w:pPr>
              <w:spacing w:line="276" w:lineRule="auto"/>
              <w:jc w:val="both"/>
              <w:rPr>
                <w:rFonts w:hint="eastAsia" w:ascii="宋体" w:hAnsi="宋体"/>
                <w:bCs/>
                <w:sz w:val="24"/>
                <w:highlight w:val="none"/>
              </w:rPr>
            </w:pPr>
            <w:r>
              <w:rPr>
                <w:rFonts w:hint="eastAsia" w:ascii="宋体" w:hAnsi="宋体"/>
                <w:bCs/>
                <w:sz w:val="24"/>
                <w:highlight w:val="none"/>
              </w:rPr>
              <w:t>≥23英寸宽屏显示，主副屏或双主屏模式，分辨率≥1920×1080，可同时显示≥32个床位。</w:t>
            </w:r>
          </w:p>
        </w:tc>
      </w:tr>
      <w:tr w14:paraId="1D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48E6C81">
            <w:pPr>
              <w:spacing w:line="276" w:lineRule="auto"/>
              <w:jc w:val="both"/>
              <w:rPr>
                <w:rFonts w:hint="eastAsia" w:ascii="宋体" w:hAnsi="宋体"/>
                <w:bCs/>
                <w:sz w:val="24"/>
                <w:highlight w:val="none"/>
              </w:rPr>
            </w:pPr>
            <w:r>
              <w:rPr>
                <w:rFonts w:hint="eastAsia" w:ascii="宋体" w:hAnsi="宋体"/>
                <w:bCs/>
                <w:sz w:val="24"/>
                <w:highlight w:val="none"/>
              </w:rPr>
              <w:t>*3.3</w:t>
            </w:r>
          </w:p>
        </w:tc>
        <w:tc>
          <w:tcPr>
            <w:tcW w:w="1838" w:type="dxa"/>
            <w:vAlign w:val="center"/>
          </w:tcPr>
          <w:p w14:paraId="57A297B9">
            <w:pPr>
              <w:spacing w:line="276" w:lineRule="auto"/>
              <w:jc w:val="both"/>
              <w:rPr>
                <w:rFonts w:hint="eastAsia" w:ascii="宋体" w:hAnsi="宋体"/>
                <w:bCs/>
                <w:sz w:val="24"/>
                <w:highlight w:val="none"/>
              </w:rPr>
            </w:pPr>
            <w:r>
              <w:rPr>
                <w:rFonts w:hint="eastAsia" w:ascii="宋体" w:hAnsi="宋体"/>
                <w:bCs/>
                <w:sz w:val="24"/>
                <w:highlight w:val="none"/>
              </w:rPr>
              <w:t>心律失常监测方法</w:t>
            </w:r>
          </w:p>
        </w:tc>
        <w:tc>
          <w:tcPr>
            <w:tcW w:w="7105" w:type="dxa"/>
            <w:vAlign w:val="center"/>
          </w:tcPr>
          <w:p w14:paraId="6838E1BA">
            <w:pPr>
              <w:spacing w:line="276" w:lineRule="auto"/>
              <w:jc w:val="both"/>
              <w:rPr>
                <w:rFonts w:hint="eastAsia" w:ascii="宋体" w:hAnsi="宋体"/>
                <w:bCs/>
                <w:sz w:val="24"/>
                <w:highlight w:val="none"/>
              </w:rPr>
            </w:pPr>
            <w:r>
              <w:rPr>
                <w:rFonts w:hint="eastAsia" w:ascii="宋体" w:hAnsi="宋体"/>
                <w:bCs/>
                <w:sz w:val="24"/>
                <w:highlight w:val="none"/>
              </w:rPr>
              <w:t>支持心律失常分析种类≥22种，可适用于成人，儿童和新生儿。</w:t>
            </w:r>
          </w:p>
        </w:tc>
      </w:tr>
      <w:tr w14:paraId="082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2C772D1">
            <w:pPr>
              <w:spacing w:line="276" w:lineRule="auto"/>
              <w:jc w:val="both"/>
              <w:rPr>
                <w:rFonts w:hint="eastAsia" w:ascii="宋体" w:hAnsi="宋体"/>
                <w:bCs/>
                <w:sz w:val="24"/>
                <w:highlight w:val="none"/>
              </w:rPr>
            </w:pPr>
            <w:r>
              <w:rPr>
                <w:rFonts w:hint="eastAsia" w:ascii="宋体" w:hAnsi="宋体"/>
                <w:bCs/>
                <w:sz w:val="24"/>
                <w:highlight w:val="none"/>
              </w:rPr>
              <w:t>*3.4</w:t>
            </w:r>
          </w:p>
        </w:tc>
        <w:tc>
          <w:tcPr>
            <w:tcW w:w="1838" w:type="dxa"/>
            <w:vAlign w:val="center"/>
          </w:tcPr>
          <w:p w14:paraId="004A4BC2">
            <w:pPr>
              <w:spacing w:line="276" w:lineRule="auto"/>
              <w:jc w:val="both"/>
              <w:rPr>
                <w:rFonts w:hint="eastAsia" w:ascii="宋体" w:hAnsi="宋体"/>
                <w:bCs/>
                <w:sz w:val="24"/>
                <w:highlight w:val="none"/>
              </w:rPr>
            </w:pPr>
            <w:r>
              <w:rPr>
                <w:rFonts w:hint="eastAsia" w:ascii="宋体" w:hAnsi="宋体"/>
                <w:bCs/>
                <w:sz w:val="24"/>
                <w:highlight w:val="none"/>
              </w:rPr>
              <w:t>数据存储与回顾</w:t>
            </w:r>
          </w:p>
        </w:tc>
        <w:tc>
          <w:tcPr>
            <w:tcW w:w="7105" w:type="dxa"/>
            <w:vAlign w:val="center"/>
          </w:tcPr>
          <w:p w14:paraId="54072F19">
            <w:pPr>
              <w:spacing w:line="276" w:lineRule="auto"/>
              <w:jc w:val="both"/>
              <w:rPr>
                <w:rFonts w:hint="eastAsia" w:ascii="宋体" w:hAnsi="宋体"/>
                <w:bCs/>
                <w:sz w:val="24"/>
                <w:highlight w:val="none"/>
              </w:rPr>
            </w:pPr>
            <w:r>
              <w:rPr>
                <w:rFonts w:hint="eastAsia" w:ascii="宋体" w:hAnsi="宋体"/>
                <w:bCs/>
                <w:sz w:val="24"/>
                <w:highlight w:val="none"/>
              </w:rPr>
              <w:t>每床位可存储≥120小时，最多8通道全息波形回顾，≥120小时数据回顾画面。</w:t>
            </w:r>
          </w:p>
        </w:tc>
      </w:tr>
      <w:tr w14:paraId="3C7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0771629">
            <w:pPr>
              <w:spacing w:line="276" w:lineRule="auto"/>
              <w:jc w:val="both"/>
              <w:rPr>
                <w:rFonts w:hint="eastAsia" w:ascii="宋体" w:hAnsi="宋体"/>
                <w:bCs/>
                <w:sz w:val="24"/>
                <w:highlight w:val="none"/>
              </w:rPr>
            </w:pPr>
            <w:r>
              <w:rPr>
                <w:rFonts w:hint="eastAsia" w:ascii="宋体" w:hAnsi="宋体"/>
                <w:bCs/>
                <w:sz w:val="24"/>
                <w:highlight w:val="none"/>
              </w:rPr>
              <w:t>■3.5</w:t>
            </w:r>
          </w:p>
        </w:tc>
        <w:tc>
          <w:tcPr>
            <w:tcW w:w="1838" w:type="dxa"/>
            <w:vAlign w:val="center"/>
          </w:tcPr>
          <w:p w14:paraId="76441E43">
            <w:pPr>
              <w:spacing w:line="276" w:lineRule="auto"/>
              <w:jc w:val="both"/>
              <w:rPr>
                <w:rFonts w:hint="eastAsia" w:ascii="宋体" w:hAnsi="宋体"/>
                <w:bCs/>
                <w:sz w:val="24"/>
                <w:highlight w:val="none"/>
              </w:rPr>
            </w:pPr>
            <w:r>
              <w:rPr>
                <w:rFonts w:hint="eastAsia" w:ascii="宋体" w:hAnsi="宋体"/>
                <w:bCs/>
                <w:sz w:val="24"/>
                <w:highlight w:val="none"/>
              </w:rPr>
              <w:t>ECG波形测量功能</w:t>
            </w:r>
          </w:p>
        </w:tc>
        <w:tc>
          <w:tcPr>
            <w:tcW w:w="7105" w:type="dxa"/>
            <w:vAlign w:val="center"/>
          </w:tcPr>
          <w:p w14:paraId="6FC792EB">
            <w:pPr>
              <w:spacing w:line="276" w:lineRule="auto"/>
              <w:jc w:val="both"/>
              <w:rPr>
                <w:rFonts w:hint="eastAsia" w:ascii="宋体" w:hAnsi="宋体"/>
                <w:bCs/>
                <w:sz w:val="24"/>
                <w:highlight w:val="none"/>
              </w:rPr>
            </w:pPr>
            <w:r>
              <w:rPr>
                <w:rFonts w:hint="eastAsia" w:ascii="宋体" w:hAnsi="宋体"/>
                <w:bCs/>
                <w:sz w:val="24"/>
                <w:highlight w:val="none"/>
              </w:rPr>
              <w:t>具备，自动计算RR，PR，QT，ST等心电图相关参数。</w:t>
            </w:r>
          </w:p>
        </w:tc>
      </w:tr>
      <w:tr w14:paraId="391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707B0F3">
            <w:pPr>
              <w:spacing w:line="276" w:lineRule="auto"/>
              <w:jc w:val="both"/>
              <w:rPr>
                <w:rFonts w:hint="eastAsia" w:ascii="宋体" w:hAnsi="宋体"/>
                <w:bCs/>
                <w:sz w:val="24"/>
                <w:highlight w:val="none"/>
              </w:rPr>
            </w:pPr>
            <w:r>
              <w:rPr>
                <w:rFonts w:hint="eastAsia" w:ascii="宋体" w:hAnsi="宋体"/>
                <w:bCs/>
                <w:sz w:val="24"/>
                <w:highlight w:val="none"/>
              </w:rPr>
              <w:t>3.6</w:t>
            </w:r>
          </w:p>
        </w:tc>
        <w:tc>
          <w:tcPr>
            <w:tcW w:w="1838" w:type="dxa"/>
            <w:vAlign w:val="center"/>
          </w:tcPr>
          <w:p w14:paraId="6486A257">
            <w:pPr>
              <w:spacing w:line="276" w:lineRule="auto"/>
              <w:jc w:val="both"/>
              <w:rPr>
                <w:rFonts w:hint="eastAsia" w:ascii="宋体" w:hAnsi="宋体"/>
                <w:bCs/>
                <w:sz w:val="24"/>
                <w:highlight w:val="none"/>
              </w:rPr>
            </w:pPr>
            <w:r>
              <w:rPr>
                <w:rFonts w:hint="eastAsia" w:ascii="宋体" w:hAnsi="宋体"/>
                <w:bCs/>
                <w:sz w:val="24"/>
                <w:highlight w:val="none"/>
              </w:rPr>
              <w:t>脑电</w:t>
            </w:r>
          </w:p>
        </w:tc>
        <w:tc>
          <w:tcPr>
            <w:tcW w:w="7105" w:type="dxa"/>
            <w:vAlign w:val="center"/>
          </w:tcPr>
          <w:p w14:paraId="73DA8120">
            <w:pPr>
              <w:spacing w:line="276" w:lineRule="auto"/>
              <w:jc w:val="both"/>
              <w:rPr>
                <w:rFonts w:hint="eastAsia" w:ascii="宋体" w:hAnsi="宋体"/>
                <w:bCs/>
                <w:sz w:val="24"/>
                <w:highlight w:val="none"/>
              </w:rPr>
            </w:pPr>
            <w:r>
              <w:rPr>
                <w:rFonts w:hint="eastAsia" w:ascii="宋体" w:hAnsi="宋体"/>
                <w:bCs/>
                <w:sz w:val="24"/>
                <w:highlight w:val="none"/>
              </w:rPr>
              <w:t>可支持8通道脑电同屏显示功能（提供证明文件）</w:t>
            </w:r>
          </w:p>
        </w:tc>
      </w:tr>
      <w:tr w14:paraId="066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042DDE6">
            <w:pPr>
              <w:spacing w:line="276" w:lineRule="auto"/>
              <w:jc w:val="both"/>
              <w:rPr>
                <w:rFonts w:hint="eastAsia" w:ascii="宋体" w:hAnsi="宋体"/>
                <w:bCs/>
                <w:sz w:val="24"/>
                <w:highlight w:val="none"/>
              </w:rPr>
            </w:pPr>
            <w:r>
              <w:rPr>
                <w:rFonts w:hint="eastAsia" w:ascii="宋体" w:hAnsi="宋体"/>
                <w:bCs/>
                <w:sz w:val="24"/>
                <w:highlight w:val="none"/>
              </w:rPr>
              <w:t>■3.7</w:t>
            </w:r>
          </w:p>
        </w:tc>
        <w:tc>
          <w:tcPr>
            <w:tcW w:w="1838" w:type="dxa"/>
            <w:vAlign w:val="center"/>
          </w:tcPr>
          <w:p w14:paraId="3E28272F">
            <w:pPr>
              <w:spacing w:line="276" w:lineRule="auto"/>
              <w:jc w:val="both"/>
              <w:rPr>
                <w:rFonts w:hint="eastAsia" w:ascii="宋体" w:hAnsi="宋体"/>
                <w:bCs/>
                <w:sz w:val="24"/>
                <w:highlight w:val="none"/>
              </w:rPr>
            </w:pPr>
            <w:r>
              <w:rPr>
                <w:rFonts w:hint="eastAsia" w:ascii="宋体" w:hAnsi="宋体"/>
                <w:bCs/>
                <w:sz w:val="24"/>
                <w:highlight w:val="none"/>
              </w:rPr>
              <w:t>遥测信号强度检测</w:t>
            </w:r>
          </w:p>
        </w:tc>
        <w:tc>
          <w:tcPr>
            <w:tcW w:w="7105" w:type="dxa"/>
            <w:vAlign w:val="center"/>
          </w:tcPr>
          <w:p w14:paraId="6242EF3F">
            <w:pPr>
              <w:spacing w:line="276" w:lineRule="auto"/>
              <w:jc w:val="both"/>
              <w:rPr>
                <w:rFonts w:hint="eastAsia" w:ascii="宋体" w:hAnsi="宋体"/>
                <w:bCs/>
                <w:sz w:val="24"/>
                <w:highlight w:val="none"/>
              </w:rPr>
            </w:pPr>
            <w:r>
              <w:rPr>
                <w:rFonts w:hint="eastAsia" w:ascii="宋体" w:hAnsi="宋体"/>
                <w:bCs/>
                <w:sz w:val="24"/>
                <w:highlight w:val="none"/>
              </w:rPr>
              <w:t>具备遥测信号强度检测功能，可同时同屏显示8个床位信号强度。</w:t>
            </w:r>
          </w:p>
        </w:tc>
      </w:tr>
      <w:tr w14:paraId="03D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4BB813D">
            <w:pPr>
              <w:spacing w:line="276" w:lineRule="auto"/>
              <w:jc w:val="both"/>
              <w:rPr>
                <w:rFonts w:hint="eastAsia" w:ascii="宋体" w:hAnsi="宋体"/>
                <w:bCs/>
                <w:sz w:val="24"/>
                <w:highlight w:val="none"/>
              </w:rPr>
            </w:pPr>
            <w:r>
              <w:rPr>
                <w:rFonts w:hint="eastAsia" w:ascii="宋体" w:hAnsi="宋体"/>
                <w:bCs/>
                <w:sz w:val="24"/>
                <w:highlight w:val="none"/>
              </w:rPr>
              <w:t>■3.8</w:t>
            </w:r>
          </w:p>
        </w:tc>
        <w:tc>
          <w:tcPr>
            <w:tcW w:w="1838" w:type="dxa"/>
            <w:vAlign w:val="center"/>
          </w:tcPr>
          <w:p w14:paraId="1B068CA8">
            <w:pPr>
              <w:spacing w:line="276" w:lineRule="auto"/>
              <w:jc w:val="both"/>
              <w:rPr>
                <w:rFonts w:hint="eastAsia" w:ascii="宋体" w:hAnsi="宋体"/>
                <w:bCs/>
                <w:sz w:val="24"/>
                <w:highlight w:val="none"/>
              </w:rPr>
            </w:pPr>
            <w:r>
              <w:rPr>
                <w:rFonts w:hint="eastAsia" w:ascii="宋体" w:hAnsi="宋体"/>
                <w:bCs/>
                <w:sz w:val="24"/>
                <w:highlight w:val="none"/>
              </w:rPr>
              <w:t>数据接口</w:t>
            </w:r>
          </w:p>
        </w:tc>
        <w:tc>
          <w:tcPr>
            <w:tcW w:w="7105" w:type="dxa"/>
            <w:vAlign w:val="center"/>
          </w:tcPr>
          <w:p w14:paraId="2B5FCAB6">
            <w:pPr>
              <w:spacing w:line="276" w:lineRule="auto"/>
              <w:jc w:val="both"/>
              <w:rPr>
                <w:rFonts w:hint="eastAsia" w:ascii="宋体" w:hAnsi="宋体"/>
                <w:bCs/>
                <w:sz w:val="24"/>
                <w:highlight w:val="none"/>
              </w:rPr>
            </w:pPr>
            <w:r>
              <w:rPr>
                <w:rFonts w:hint="eastAsia" w:ascii="宋体" w:hAnsi="宋体"/>
                <w:bCs/>
                <w:sz w:val="24"/>
                <w:highlight w:val="none"/>
              </w:rPr>
              <w:t>具备网络接口、USB接口、VGA视频输出端口，数据接口免费。</w:t>
            </w:r>
          </w:p>
        </w:tc>
      </w:tr>
      <w:tr w14:paraId="17CA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1ABF128">
            <w:pPr>
              <w:spacing w:line="276" w:lineRule="auto"/>
              <w:jc w:val="both"/>
              <w:rPr>
                <w:rFonts w:hint="eastAsia" w:ascii="宋体" w:hAnsi="宋体"/>
                <w:bCs/>
                <w:sz w:val="24"/>
                <w:highlight w:val="none"/>
              </w:rPr>
            </w:pPr>
            <w:r>
              <w:rPr>
                <w:rFonts w:hint="eastAsia" w:ascii="宋体" w:hAnsi="宋体"/>
                <w:bCs/>
                <w:sz w:val="24"/>
                <w:highlight w:val="none"/>
              </w:rPr>
              <w:t>3.9</w:t>
            </w:r>
          </w:p>
        </w:tc>
        <w:tc>
          <w:tcPr>
            <w:tcW w:w="1838" w:type="dxa"/>
            <w:vAlign w:val="center"/>
          </w:tcPr>
          <w:p w14:paraId="41F1F67C">
            <w:pPr>
              <w:spacing w:line="276" w:lineRule="auto"/>
              <w:jc w:val="both"/>
              <w:rPr>
                <w:rFonts w:hint="eastAsia" w:ascii="宋体" w:hAnsi="宋体"/>
                <w:bCs/>
                <w:sz w:val="24"/>
                <w:highlight w:val="none"/>
              </w:rPr>
            </w:pPr>
            <w:r>
              <w:rPr>
                <w:rFonts w:hint="eastAsia" w:ascii="宋体" w:hAnsi="宋体"/>
                <w:bCs/>
                <w:sz w:val="24"/>
                <w:highlight w:val="none"/>
              </w:rPr>
              <w:t>记录与打印</w:t>
            </w:r>
          </w:p>
        </w:tc>
        <w:tc>
          <w:tcPr>
            <w:tcW w:w="7105" w:type="dxa"/>
            <w:vAlign w:val="center"/>
          </w:tcPr>
          <w:p w14:paraId="54C33244">
            <w:pPr>
              <w:spacing w:line="276" w:lineRule="auto"/>
              <w:jc w:val="both"/>
              <w:rPr>
                <w:rFonts w:hint="eastAsia" w:ascii="宋体" w:hAnsi="宋体"/>
                <w:bCs/>
                <w:sz w:val="24"/>
                <w:highlight w:val="none"/>
              </w:rPr>
            </w:pPr>
            <w:r>
              <w:rPr>
                <w:rFonts w:hint="eastAsia" w:ascii="宋体" w:hAnsi="宋体"/>
                <w:bCs/>
                <w:sz w:val="24"/>
                <w:highlight w:val="none"/>
              </w:rPr>
              <w:t>配置激光打印机</w:t>
            </w:r>
          </w:p>
        </w:tc>
      </w:tr>
      <w:tr w14:paraId="314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C2FCBA8">
            <w:pPr>
              <w:spacing w:line="276" w:lineRule="auto"/>
              <w:jc w:val="both"/>
              <w:rPr>
                <w:rFonts w:hint="eastAsia" w:ascii="宋体" w:hAnsi="宋体"/>
                <w:bCs/>
                <w:sz w:val="24"/>
                <w:highlight w:val="none"/>
              </w:rPr>
            </w:pPr>
            <w:r>
              <w:rPr>
                <w:rFonts w:hint="eastAsia" w:ascii="宋体" w:hAnsi="宋体"/>
                <w:bCs/>
                <w:sz w:val="24"/>
                <w:highlight w:val="none"/>
              </w:rPr>
              <w:t>■3.10</w:t>
            </w:r>
          </w:p>
        </w:tc>
        <w:tc>
          <w:tcPr>
            <w:tcW w:w="1838" w:type="dxa"/>
            <w:vAlign w:val="center"/>
          </w:tcPr>
          <w:p w14:paraId="2351BEE0">
            <w:pPr>
              <w:spacing w:line="276" w:lineRule="auto"/>
              <w:jc w:val="both"/>
              <w:rPr>
                <w:rFonts w:hint="eastAsia" w:ascii="宋体" w:hAnsi="宋体"/>
                <w:bCs/>
                <w:sz w:val="24"/>
                <w:highlight w:val="none"/>
              </w:rPr>
            </w:pPr>
            <w:r>
              <w:rPr>
                <w:rFonts w:hint="eastAsia" w:ascii="宋体" w:hAnsi="宋体"/>
                <w:bCs/>
                <w:sz w:val="24"/>
                <w:highlight w:val="none"/>
              </w:rPr>
              <w:t>联网方式</w:t>
            </w:r>
          </w:p>
        </w:tc>
        <w:tc>
          <w:tcPr>
            <w:tcW w:w="7105" w:type="dxa"/>
            <w:vAlign w:val="center"/>
          </w:tcPr>
          <w:p w14:paraId="090023AD">
            <w:pPr>
              <w:spacing w:line="276" w:lineRule="auto"/>
              <w:jc w:val="both"/>
              <w:rPr>
                <w:rFonts w:hint="eastAsia" w:ascii="宋体" w:hAnsi="宋体"/>
                <w:bCs/>
                <w:sz w:val="24"/>
                <w:highlight w:val="none"/>
              </w:rPr>
            </w:pPr>
            <w:r>
              <w:rPr>
                <w:rFonts w:hint="eastAsia" w:ascii="宋体" w:hAnsi="宋体"/>
                <w:bCs/>
                <w:sz w:val="24"/>
                <w:highlight w:val="none"/>
              </w:rPr>
              <w:t>具有通过有线、无线、遥测等多种方式混合组建网络的能力，可以与床边监护仪、遥测监护仪、遥测发射盒组成监护网络</w:t>
            </w:r>
          </w:p>
        </w:tc>
      </w:tr>
      <w:tr w14:paraId="3E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7824175">
            <w:pPr>
              <w:spacing w:line="276" w:lineRule="auto"/>
              <w:jc w:val="both"/>
              <w:rPr>
                <w:rFonts w:hint="eastAsia" w:ascii="宋体" w:hAnsi="宋体"/>
                <w:bCs/>
                <w:sz w:val="24"/>
                <w:highlight w:val="none"/>
              </w:rPr>
            </w:pPr>
            <w:r>
              <w:rPr>
                <w:rFonts w:hint="eastAsia" w:ascii="宋体" w:hAnsi="宋体"/>
                <w:bCs/>
                <w:sz w:val="24"/>
                <w:highlight w:val="none"/>
              </w:rPr>
              <w:t>4</w:t>
            </w:r>
          </w:p>
        </w:tc>
        <w:tc>
          <w:tcPr>
            <w:tcW w:w="1838" w:type="dxa"/>
            <w:vAlign w:val="center"/>
          </w:tcPr>
          <w:p w14:paraId="5862EDDE">
            <w:pPr>
              <w:spacing w:line="276" w:lineRule="auto"/>
              <w:jc w:val="both"/>
              <w:rPr>
                <w:rFonts w:hint="eastAsia" w:ascii="宋体" w:hAnsi="宋体"/>
                <w:bCs/>
                <w:sz w:val="24"/>
                <w:highlight w:val="none"/>
              </w:rPr>
            </w:pPr>
            <w:r>
              <w:rPr>
                <w:rFonts w:hint="eastAsia" w:ascii="宋体" w:hAnsi="宋体"/>
                <w:bCs/>
                <w:sz w:val="24"/>
                <w:highlight w:val="none"/>
              </w:rPr>
              <w:t>多通道遥测信号接收器</w:t>
            </w:r>
          </w:p>
        </w:tc>
        <w:tc>
          <w:tcPr>
            <w:tcW w:w="7105" w:type="dxa"/>
            <w:vAlign w:val="center"/>
          </w:tcPr>
          <w:p w14:paraId="18D234B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2BE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330CFDA">
            <w:pPr>
              <w:spacing w:line="276" w:lineRule="auto"/>
              <w:jc w:val="both"/>
              <w:rPr>
                <w:rFonts w:hint="eastAsia" w:ascii="宋体" w:hAnsi="宋体"/>
                <w:bCs/>
                <w:sz w:val="24"/>
                <w:highlight w:val="none"/>
              </w:rPr>
            </w:pPr>
            <w:r>
              <w:rPr>
                <w:rFonts w:hint="eastAsia" w:ascii="宋体" w:hAnsi="宋体"/>
                <w:bCs/>
                <w:sz w:val="24"/>
                <w:highlight w:val="none"/>
              </w:rPr>
              <w:t>4.1</w:t>
            </w:r>
          </w:p>
        </w:tc>
        <w:tc>
          <w:tcPr>
            <w:tcW w:w="1838" w:type="dxa"/>
            <w:vAlign w:val="center"/>
          </w:tcPr>
          <w:p w14:paraId="58E43E9C">
            <w:pPr>
              <w:spacing w:line="276" w:lineRule="auto"/>
              <w:jc w:val="both"/>
              <w:rPr>
                <w:rFonts w:hint="eastAsia" w:ascii="宋体" w:hAnsi="宋体"/>
                <w:bCs/>
                <w:sz w:val="24"/>
                <w:highlight w:val="none"/>
              </w:rPr>
            </w:pPr>
            <w:r>
              <w:rPr>
                <w:rFonts w:hint="eastAsia" w:ascii="宋体" w:hAnsi="宋体"/>
                <w:bCs/>
                <w:sz w:val="24"/>
                <w:highlight w:val="none"/>
              </w:rPr>
              <w:t>遥测接收方式</w:t>
            </w:r>
          </w:p>
        </w:tc>
        <w:tc>
          <w:tcPr>
            <w:tcW w:w="7105" w:type="dxa"/>
            <w:vAlign w:val="center"/>
          </w:tcPr>
          <w:p w14:paraId="191EB4A6">
            <w:pPr>
              <w:spacing w:line="276" w:lineRule="auto"/>
              <w:jc w:val="both"/>
              <w:rPr>
                <w:rFonts w:hint="eastAsia" w:ascii="宋体" w:hAnsi="宋体"/>
                <w:bCs/>
                <w:sz w:val="24"/>
                <w:highlight w:val="none"/>
              </w:rPr>
            </w:pPr>
            <w:r>
              <w:rPr>
                <w:rFonts w:hint="eastAsia" w:ascii="宋体" w:hAnsi="宋体"/>
                <w:bCs/>
                <w:sz w:val="24"/>
                <w:highlight w:val="none"/>
              </w:rPr>
              <w:t>420MHz～ 472MHz，频道间隔≤12.5kHz/档，接收灵敏度 ≤ 10dBμVemf</w:t>
            </w:r>
          </w:p>
        </w:tc>
      </w:tr>
      <w:tr w14:paraId="6FC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C0E6B87">
            <w:pPr>
              <w:spacing w:line="276" w:lineRule="auto"/>
              <w:jc w:val="both"/>
              <w:rPr>
                <w:rFonts w:hint="eastAsia" w:ascii="宋体" w:hAnsi="宋体"/>
                <w:bCs/>
                <w:sz w:val="24"/>
                <w:highlight w:val="none"/>
              </w:rPr>
            </w:pPr>
            <w:r>
              <w:rPr>
                <w:rFonts w:hint="eastAsia" w:ascii="宋体" w:hAnsi="宋体"/>
                <w:bCs/>
                <w:sz w:val="24"/>
                <w:highlight w:val="none"/>
              </w:rPr>
              <w:t>4.2</w:t>
            </w:r>
          </w:p>
        </w:tc>
        <w:tc>
          <w:tcPr>
            <w:tcW w:w="1838" w:type="dxa"/>
            <w:vAlign w:val="center"/>
          </w:tcPr>
          <w:p w14:paraId="01C3F0D0">
            <w:pPr>
              <w:spacing w:line="276" w:lineRule="auto"/>
              <w:jc w:val="both"/>
              <w:rPr>
                <w:rFonts w:hint="eastAsia" w:ascii="宋体" w:hAnsi="宋体"/>
                <w:bCs/>
                <w:sz w:val="24"/>
                <w:highlight w:val="none"/>
              </w:rPr>
            </w:pPr>
            <w:r>
              <w:rPr>
                <w:rFonts w:hint="eastAsia" w:ascii="宋体" w:hAnsi="宋体"/>
                <w:bCs/>
                <w:sz w:val="24"/>
                <w:highlight w:val="none"/>
              </w:rPr>
              <w:t>心率计数范围</w:t>
            </w:r>
          </w:p>
        </w:tc>
        <w:tc>
          <w:tcPr>
            <w:tcW w:w="7105" w:type="dxa"/>
            <w:vAlign w:val="center"/>
          </w:tcPr>
          <w:p w14:paraId="51CAA7B1">
            <w:pPr>
              <w:spacing w:line="276" w:lineRule="auto"/>
              <w:jc w:val="both"/>
              <w:rPr>
                <w:rFonts w:hint="eastAsia" w:ascii="宋体" w:hAnsi="宋体"/>
                <w:bCs/>
                <w:sz w:val="24"/>
                <w:highlight w:val="none"/>
              </w:rPr>
            </w:pPr>
            <w:r>
              <w:rPr>
                <w:rFonts w:hint="eastAsia" w:ascii="宋体" w:hAnsi="宋体"/>
                <w:bCs/>
                <w:sz w:val="24"/>
                <w:highlight w:val="none"/>
              </w:rPr>
              <w:t>10 ～300 次/分钟（±2 次/分钟）</w:t>
            </w:r>
          </w:p>
        </w:tc>
      </w:tr>
      <w:tr w14:paraId="49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BE582BF">
            <w:pPr>
              <w:spacing w:line="276" w:lineRule="auto"/>
              <w:jc w:val="both"/>
              <w:rPr>
                <w:rFonts w:hint="eastAsia" w:ascii="宋体" w:hAnsi="宋体"/>
                <w:bCs/>
                <w:sz w:val="24"/>
                <w:highlight w:val="none"/>
              </w:rPr>
            </w:pPr>
            <w:r>
              <w:rPr>
                <w:rFonts w:hint="eastAsia" w:ascii="宋体" w:hAnsi="宋体"/>
                <w:bCs/>
                <w:sz w:val="24"/>
                <w:highlight w:val="none"/>
              </w:rPr>
              <w:t>4.3</w:t>
            </w:r>
          </w:p>
        </w:tc>
        <w:tc>
          <w:tcPr>
            <w:tcW w:w="1838" w:type="dxa"/>
            <w:vAlign w:val="center"/>
          </w:tcPr>
          <w:p w14:paraId="62CF0B1A">
            <w:pPr>
              <w:spacing w:line="276" w:lineRule="auto"/>
              <w:jc w:val="both"/>
              <w:rPr>
                <w:rFonts w:hint="eastAsia" w:ascii="宋体" w:hAnsi="宋体"/>
                <w:bCs/>
                <w:sz w:val="24"/>
                <w:highlight w:val="none"/>
              </w:rPr>
            </w:pPr>
            <w:r>
              <w:rPr>
                <w:rFonts w:hint="eastAsia" w:ascii="宋体" w:hAnsi="宋体"/>
                <w:bCs/>
                <w:sz w:val="24"/>
                <w:highlight w:val="none"/>
              </w:rPr>
              <w:t>心律失常计数范围</w:t>
            </w:r>
          </w:p>
        </w:tc>
        <w:tc>
          <w:tcPr>
            <w:tcW w:w="7105" w:type="dxa"/>
            <w:vAlign w:val="center"/>
          </w:tcPr>
          <w:p w14:paraId="5A20E0B6">
            <w:pPr>
              <w:spacing w:line="276" w:lineRule="auto"/>
              <w:jc w:val="both"/>
              <w:rPr>
                <w:rFonts w:hint="eastAsia" w:ascii="宋体" w:hAnsi="宋体"/>
                <w:bCs/>
                <w:sz w:val="24"/>
                <w:highlight w:val="none"/>
              </w:rPr>
            </w:pPr>
            <w:r>
              <w:rPr>
                <w:rFonts w:hint="eastAsia" w:ascii="宋体" w:hAnsi="宋体"/>
                <w:bCs/>
                <w:sz w:val="24"/>
                <w:highlight w:val="none"/>
              </w:rPr>
              <w:t>0～99 个/分钟</w:t>
            </w:r>
          </w:p>
        </w:tc>
      </w:tr>
      <w:tr w14:paraId="20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4FBCB96">
            <w:pPr>
              <w:spacing w:line="276" w:lineRule="auto"/>
              <w:jc w:val="both"/>
              <w:rPr>
                <w:rFonts w:hint="eastAsia" w:ascii="宋体" w:hAnsi="宋体"/>
                <w:bCs/>
                <w:sz w:val="24"/>
                <w:highlight w:val="none"/>
              </w:rPr>
            </w:pPr>
            <w:r>
              <w:rPr>
                <w:rFonts w:hint="eastAsia" w:ascii="宋体" w:hAnsi="宋体"/>
                <w:bCs/>
                <w:sz w:val="24"/>
                <w:highlight w:val="none"/>
              </w:rPr>
              <w:t>4.4</w:t>
            </w:r>
          </w:p>
        </w:tc>
        <w:tc>
          <w:tcPr>
            <w:tcW w:w="1838" w:type="dxa"/>
            <w:vAlign w:val="center"/>
          </w:tcPr>
          <w:p w14:paraId="513E6040">
            <w:pPr>
              <w:spacing w:line="276" w:lineRule="auto"/>
              <w:jc w:val="both"/>
              <w:rPr>
                <w:rFonts w:hint="eastAsia" w:ascii="宋体" w:hAnsi="宋体"/>
                <w:bCs/>
                <w:sz w:val="24"/>
                <w:highlight w:val="none"/>
              </w:rPr>
            </w:pPr>
            <w:r>
              <w:rPr>
                <w:rFonts w:hint="eastAsia" w:ascii="宋体" w:hAnsi="宋体"/>
                <w:bCs/>
                <w:sz w:val="24"/>
                <w:highlight w:val="none"/>
              </w:rPr>
              <w:t>ST 水平</w:t>
            </w:r>
          </w:p>
        </w:tc>
        <w:tc>
          <w:tcPr>
            <w:tcW w:w="7105" w:type="dxa"/>
            <w:vAlign w:val="center"/>
          </w:tcPr>
          <w:p w14:paraId="4A0C4042">
            <w:pPr>
              <w:spacing w:line="276" w:lineRule="auto"/>
              <w:jc w:val="both"/>
              <w:rPr>
                <w:rFonts w:hint="eastAsia" w:ascii="宋体" w:hAnsi="宋体"/>
                <w:bCs/>
                <w:sz w:val="24"/>
                <w:highlight w:val="none"/>
              </w:rPr>
            </w:pPr>
            <w:r>
              <w:rPr>
                <w:rFonts w:hint="eastAsia" w:ascii="宋体" w:hAnsi="宋体"/>
                <w:bCs/>
                <w:sz w:val="24"/>
                <w:highlight w:val="none"/>
              </w:rPr>
              <w:t>计数范围：±2.5 mV（±25.0 mm）</w:t>
            </w:r>
          </w:p>
        </w:tc>
      </w:tr>
      <w:tr w14:paraId="79F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81077E0">
            <w:pPr>
              <w:spacing w:line="276" w:lineRule="auto"/>
              <w:jc w:val="both"/>
              <w:rPr>
                <w:rFonts w:hint="eastAsia" w:ascii="宋体" w:hAnsi="宋体"/>
                <w:bCs/>
                <w:sz w:val="24"/>
                <w:highlight w:val="none"/>
              </w:rPr>
            </w:pPr>
            <w:r>
              <w:rPr>
                <w:rFonts w:hint="eastAsia" w:ascii="宋体" w:hAnsi="宋体"/>
                <w:bCs/>
                <w:sz w:val="24"/>
                <w:highlight w:val="none"/>
              </w:rPr>
              <w:t>4.5</w:t>
            </w:r>
          </w:p>
        </w:tc>
        <w:tc>
          <w:tcPr>
            <w:tcW w:w="1838" w:type="dxa"/>
            <w:vAlign w:val="center"/>
          </w:tcPr>
          <w:p w14:paraId="13732BE2">
            <w:pPr>
              <w:spacing w:line="276" w:lineRule="auto"/>
              <w:jc w:val="both"/>
              <w:rPr>
                <w:rFonts w:hint="eastAsia" w:ascii="宋体" w:hAnsi="宋体"/>
                <w:bCs/>
                <w:sz w:val="24"/>
                <w:highlight w:val="none"/>
              </w:rPr>
            </w:pPr>
            <w:r>
              <w:rPr>
                <w:rFonts w:hint="eastAsia" w:ascii="宋体" w:hAnsi="宋体"/>
                <w:bCs/>
                <w:sz w:val="24"/>
                <w:highlight w:val="none"/>
              </w:rPr>
              <w:t>呼吸计数</w:t>
            </w:r>
          </w:p>
        </w:tc>
        <w:tc>
          <w:tcPr>
            <w:tcW w:w="7105" w:type="dxa"/>
            <w:vAlign w:val="center"/>
          </w:tcPr>
          <w:p w14:paraId="61BA6C90">
            <w:pPr>
              <w:spacing w:line="276" w:lineRule="auto"/>
              <w:jc w:val="both"/>
              <w:rPr>
                <w:rFonts w:hint="eastAsia" w:ascii="宋体" w:hAnsi="宋体"/>
                <w:bCs/>
                <w:sz w:val="24"/>
                <w:highlight w:val="none"/>
              </w:rPr>
            </w:pPr>
            <w:r>
              <w:rPr>
                <w:rFonts w:hint="eastAsia" w:ascii="宋体" w:hAnsi="宋体"/>
                <w:bCs/>
                <w:sz w:val="24"/>
                <w:highlight w:val="none"/>
              </w:rPr>
              <w:t>范围：0 ～150 次/分钟，精度：±2 次/分钟</w:t>
            </w:r>
          </w:p>
        </w:tc>
      </w:tr>
      <w:tr w14:paraId="79B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EE49188">
            <w:pPr>
              <w:spacing w:line="276" w:lineRule="auto"/>
              <w:jc w:val="both"/>
              <w:rPr>
                <w:rFonts w:hint="eastAsia" w:ascii="宋体" w:hAnsi="宋体"/>
                <w:bCs/>
                <w:sz w:val="24"/>
                <w:highlight w:val="none"/>
              </w:rPr>
            </w:pPr>
            <w:r>
              <w:rPr>
                <w:rFonts w:hint="eastAsia" w:ascii="宋体" w:hAnsi="宋体"/>
                <w:bCs/>
                <w:sz w:val="24"/>
                <w:highlight w:val="none"/>
              </w:rPr>
              <w:t>■4.6</w:t>
            </w:r>
          </w:p>
        </w:tc>
        <w:tc>
          <w:tcPr>
            <w:tcW w:w="1838" w:type="dxa"/>
            <w:vAlign w:val="center"/>
          </w:tcPr>
          <w:p w14:paraId="46A6132F">
            <w:pPr>
              <w:spacing w:line="276" w:lineRule="auto"/>
              <w:jc w:val="both"/>
              <w:rPr>
                <w:rFonts w:hint="eastAsia" w:ascii="宋体" w:hAnsi="宋体"/>
                <w:bCs/>
                <w:sz w:val="24"/>
                <w:highlight w:val="none"/>
              </w:rPr>
            </w:pPr>
            <w:r>
              <w:rPr>
                <w:rFonts w:hint="eastAsia" w:ascii="宋体" w:hAnsi="宋体"/>
                <w:bCs/>
                <w:sz w:val="24"/>
                <w:highlight w:val="none"/>
              </w:rPr>
              <w:t>无创血压接收范围</w:t>
            </w:r>
          </w:p>
        </w:tc>
        <w:tc>
          <w:tcPr>
            <w:tcW w:w="7105" w:type="dxa"/>
            <w:vAlign w:val="center"/>
          </w:tcPr>
          <w:p w14:paraId="24F6D3CA">
            <w:pPr>
              <w:spacing w:line="276" w:lineRule="auto"/>
              <w:jc w:val="both"/>
              <w:rPr>
                <w:rFonts w:hint="eastAsia" w:ascii="宋体" w:hAnsi="宋体"/>
                <w:bCs/>
                <w:sz w:val="24"/>
                <w:highlight w:val="none"/>
              </w:rPr>
            </w:pPr>
            <w:r>
              <w:rPr>
                <w:rFonts w:hint="eastAsia" w:ascii="宋体" w:hAnsi="宋体"/>
                <w:bCs/>
                <w:sz w:val="24"/>
                <w:highlight w:val="none"/>
              </w:rPr>
              <w:t>0～300 mmHg</w:t>
            </w:r>
          </w:p>
        </w:tc>
      </w:tr>
      <w:tr w14:paraId="4F6E1964">
        <w:tblPrEx>
          <w:tblCellMar>
            <w:top w:w="0" w:type="dxa"/>
            <w:left w:w="108" w:type="dxa"/>
            <w:bottom w:w="0" w:type="dxa"/>
            <w:right w:w="108" w:type="dxa"/>
          </w:tblCellMar>
        </w:tblPrEx>
        <w:trPr>
          <w:jc w:val="center"/>
        </w:trPr>
        <w:tc>
          <w:tcPr>
            <w:tcW w:w="1117" w:type="dxa"/>
            <w:vAlign w:val="center"/>
          </w:tcPr>
          <w:p w14:paraId="1525268C">
            <w:pPr>
              <w:spacing w:line="276" w:lineRule="auto"/>
              <w:jc w:val="both"/>
              <w:rPr>
                <w:rFonts w:hint="eastAsia" w:ascii="宋体" w:hAnsi="宋体"/>
                <w:bCs/>
                <w:sz w:val="24"/>
                <w:highlight w:val="none"/>
              </w:rPr>
            </w:pPr>
            <w:r>
              <w:rPr>
                <w:rFonts w:hint="eastAsia" w:ascii="宋体" w:hAnsi="宋体"/>
                <w:bCs/>
                <w:sz w:val="24"/>
                <w:highlight w:val="none"/>
              </w:rPr>
              <w:t>4.7</w:t>
            </w:r>
          </w:p>
        </w:tc>
        <w:tc>
          <w:tcPr>
            <w:tcW w:w="1838" w:type="dxa"/>
            <w:vAlign w:val="center"/>
          </w:tcPr>
          <w:p w14:paraId="019E8E91">
            <w:pPr>
              <w:spacing w:line="276" w:lineRule="auto"/>
              <w:jc w:val="both"/>
              <w:rPr>
                <w:rFonts w:hint="eastAsia" w:ascii="宋体" w:hAnsi="宋体"/>
                <w:bCs/>
                <w:sz w:val="24"/>
                <w:highlight w:val="none"/>
              </w:rPr>
            </w:pPr>
            <w:r>
              <w:rPr>
                <w:rFonts w:hint="eastAsia" w:ascii="宋体" w:hAnsi="宋体"/>
                <w:bCs/>
                <w:sz w:val="24"/>
                <w:highlight w:val="none"/>
              </w:rPr>
              <w:t>血氧（SpO2）接收范围</w:t>
            </w:r>
          </w:p>
        </w:tc>
        <w:tc>
          <w:tcPr>
            <w:tcW w:w="7105" w:type="dxa"/>
            <w:vAlign w:val="center"/>
          </w:tcPr>
          <w:p w14:paraId="24F82C22">
            <w:pPr>
              <w:spacing w:line="276" w:lineRule="auto"/>
              <w:jc w:val="both"/>
              <w:rPr>
                <w:rFonts w:hint="eastAsia" w:ascii="宋体" w:hAnsi="宋体"/>
                <w:bCs/>
                <w:sz w:val="24"/>
                <w:highlight w:val="none"/>
              </w:rPr>
            </w:pPr>
            <w:r>
              <w:rPr>
                <w:rFonts w:hint="eastAsia" w:ascii="宋体" w:hAnsi="宋体"/>
                <w:bCs/>
                <w:sz w:val="24"/>
                <w:highlight w:val="none"/>
              </w:rPr>
              <w:t>0～100%</w:t>
            </w:r>
          </w:p>
        </w:tc>
      </w:tr>
      <w:tr w14:paraId="428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1A2E545">
            <w:pPr>
              <w:spacing w:line="276" w:lineRule="auto"/>
              <w:jc w:val="both"/>
              <w:rPr>
                <w:rFonts w:hint="eastAsia" w:ascii="宋体" w:hAnsi="宋体"/>
                <w:bCs/>
                <w:sz w:val="24"/>
                <w:highlight w:val="none"/>
              </w:rPr>
            </w:pPr>
            <w:r>
              <w:rPr>
                <w:rFonts w:hint="eastAsia" w:ascii="宋体" w:hAnsi="宋体"/>
                <w:bCs/>
                <w:sz w:val="24"/>
                <w:highlight w:val="none"/>
              </w:rPr>
              <w:t>4.8</w:t>
            </w:r>
          </w:p>
        </w:tc>
        <w:tc>
          <w:tcPr>
            <w:tcW w:w="1838" w:type="dxa"/>
            <w:vAlign w:val="center"/>
          </w:tcPr>
          <w:p w14:paraId="57C326E2">
            <w:pPr>
              <w:spacing w:line="276" w:lineRule="auto"/>
              <w:jc w:val="both"/>
              <w:rPr>
                <w:rFonts w:hint="eastAsia" w:ascii="宋体" w:hAnsi="宋体"/>
                <w:bCs/>
                <w:sz w:val="24"/>
                <w:highlight w:val="none"/>
              </w:rPr>
            </w:pPr>
            <w:r>
              <w:rPr>
                <w:rFonts w:hint="eastAsia" w:ascii="宋体" w:hAnsi="宋体"/>
                <w:bCs/>
                <w:sz w:val="24"/>
                <w:highlight w:val="none"/>
              </w:rPr>
              <w:t>脉搏率计数范围</w:t>
            </w:r>
          </w:p>
        </w:tc>
        <w:tc>
          <w:tcPr>
            <w:tcW w:w="7105" w:type="dxa"/>
            <w:vAlign w:val="center"/>
          </w:tcPr>
          <w:p w14:paraId="56AD0677">
            <w:pPr>
              <w:spacing w:line="276" w:lineRule="auto"/>
              <w:jc w:val="both"/>
              <w:rPr>
                <w:rFonts w:hint="eastAsia" w:ascii="宋体" w:hAnsi="宋体"/>
                <w:bCs/>
                <w:sz w:val="24"/>
                <w:highlight w:val="none"/>
              </w:rPr>
            </w:pPr>
            <w:r>
              <w:rPr>
                <w:rFonts w:hint="eastAsia" w:ascii="宋体" w:hAnsi="宋体"/>
                <w:bCs/>
                <w:sz w:val="24"/>
                <w:highlight w:val="none"/>
              </w:rPr>
              <w:t>30 ～300 次/分钟（±2 次/分钟）</w:t>
            </w:r>
          </w:p>
        </w:tc>
      </w:tr>
      <w:tr w14:paraId="312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45C96D4">
            <w:pPr>
              <w:spacing w:line="276" w:lineRule="auto"/>
              <w:jc w:val="both"/>
              <w:rPr>
                <w:rFonts w:hint="eastAsia" w:ascii="宋体" w:hAnsi="宋体"/>
                <w:bCs/>
                <w:sz w:val="24"/>
                <w:highlight w:val="none"/>
              </w:rPr>
            </w:pPr>
            <w:r>
              <w:rPr>
                <w:rFonts w:hint="eastAsia" w:ascii="宋体" w:hAnsi="宋体"/>
                <w:bCs/>
                <w:sz w:val="24"/>
                <w:highlight w:val="none"/>
              </w:rPr>
              <w:t>5</w:t>
            </w:r>
          </w:p>
        </w:tc>
        <w:tc>
          <w:tcPr>
            <w:tcW w:w="1838" w:type="dxa"/>
            <w:vAlign w:val="center"/>
          </w:tcPr>
          <w:p w14:paraId="59C1AB49">
            <w:pPr>
              <w:spacing w:line="276" w:lineRule="auto"/>
              <w:jc w:val="both"/>
              <w:rPr>
                <w:rFonts w:hint="eastAsia" w:ascii="宋体" w:hAnsi="宋体"/>
                <w:bCs/>
                <w:sz w:val="24"/>
                <w:highlight w:val="none"/>
              </w:rPr>
            </w:pPr>
            <w:r>
              <w:rPr>
                <w:rFonts w:hint="eastAsia" w:ascii="宋体" w:hAnsi="宋体"/>
                <w:bCs/>
                <w:sz w:val="24"/>
                <w:highlight w:val="none"/>
              </w:rPr>
              <w:t>遥测发射盒（ECG，Resp）</w:t>
            </w:r>
          </w:p>
        </w:tc>
        <w:tc>
          <w:tcPr>
            <w:tcW w:w="7105" w:type="dxa"/>
            <w:vAlign w:val="center"/>
          </w:tcPr>
          <w:p w14:paraId="10E2524C">
            <w:pPr>
              <w:spacing w:line="276" w:lineRule="auto"/>
              <w:jc w:val="both"/>
              <w:rPr>
                <w:rFonts w:hint="eastAsia" w:ascii="宋体" w:hAnsi="宋体"/>
                <w:bCs/>
                <w:sz w:val="24"/>
                <w:highlight w:val="none"/>
              </w:rPr>
            </w:pPr>
            <w:r>
              <w:rPr>
                <w:rFonts w:hint="eastAsia" w:ascii="宋体" w:hAnsi="宋体"/>
                <w:bCs/>
                <w:sz w:val="24"/>
                <w:highlight w:val="none"/>
              </w:rPr>
              <w:t>数量：7个。可显示ECG波形。</w:t>
            </w:r>
          </w:p>
        </w:tc>
      </w:tr>
      <w:tr w14:paraId="5F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B690D94">
            <w:pPr>
              <w:spacing w:line="276" w:lineRule="auto"/>
              <w:jc w:val="both"/>
              <w:rPr>
                <w:rFonts w:hint="eastAsia" w:ascii="宋体" w:hAnsi="宋体"/>
                <w:bCs/>
                <w:sz w:val="24"/>
                <w:highlight w:val="none"/>
              </w:rPr>
            </w:pPr>
            <w:r>
              <w:rPr>
                <w:rFonts w:hint="eastAsia" w:ascii="宋体" w:hAnsi="宋体"/>
                <w:bCs/>
                <w:sz w:val="24"/>
                <w:highlight w:val="none"/>
              </w:rPr>
              <w:t>■5.1</w:t>
            </w:r>
          </w:p>
        </w:tc>
        <w:tc>
          <w:tcPr>
            <w:tcW w:w="1838" w:type="dxa"/>
            <w:vAlign w:val="center"/>
          </w:tcPr>
          <w:p w14:paraId="565FF68A">
            <w:pPr>
              <w:spacing w:line="276" w:lineRule="auto"/>
              <w:jc w:val="both"/>
              <w:rPr>
                <w:rFonts w:hint="eastAsia" w:ascii="宋体" w:hAnsi="宋体"/>
                <w:bCs/>
                <w:sz w:val="24"/>
                <w:highlight w:val="none"/>
              </w:rPr>
            </w:pPr>
            <w:r>
              <w:rPr>
                <w:rFonts w:hint="eastAsia" w:ascii="宋体" w:hAnsi="宋体"/>
                <w:bCs/>
                <w:sz w:val="24"/>
                <w:highlight w:val="none"/>
              </w:rPr>
              <w:t>液晶屏幕显示</w:t>
            </w:r>
          </w:p>
        </w:tc>
        <w:tc>
          <w:tcPr>
            <w:tcW w:w="7105" w:type="dxa"/>
            <w:vAlign w:val="center"/>
          </w:tcPr>
          <w:p w14:paraId="3D2708DC">
            <w:pPr>
              <w:spacing w:line="276" w:lineRule="auto"/>
              <w:jc w:val="both"/>
              <w:rPr>
                <w:rFonts w:hint="eastAsia" w:ascii="宋体" w:hAnsi="宋体"/>
                <w:bCs/>
                <w:sz w:val="24"/>
                <w:highlight w:val="none"/>
              </w:rPr>
            </w:pPr>
            <w:r>
              <w:rPr>
                <w:rFonts w:hint="eastAsia" w:ascii="宋体" w:hAnsi="宋体"/>
                <w:bCs/>
                <w:sz w:val="24"/>
                <w:highlight w:val="none"/>
              </w:rPr>
              <w:t>具备，可显示心电波形。</w:t>
            </w:r>
          </w:p>
        </w:tc>
      </w:tr>
      <w:tr w14:paraId="03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12EBF28">
            <w:pPr>
              <w:spacing w:line="276" w:lineRule="auto"/>
              <w:jc w:val="both"/>
              <w:rPr>
                <w:rFonts w:hint="eastAsia" w:ascii="宋体" w:hAnsi="宋体"/>
                <w:bCs/>
                <w:sz w:val="24"/>
                <w:highlight w:val="none"/>
              </w:rPr>
            </w:pPr>
            <w:r>
              <w:rPr>
                <w:rFonts w:hint="eastAsia" w:ascii="宋体" w:hAnsi="宋体"/>
                <w:bCs/>
                <w:sz w:val="24"/>
                <w:highlight w:val="none"/>
              </w:rPr>
              <w:t>■5.2</w:t>
            </w:r>
          </w:p>
        </w:tc>
        <w:tc>
          <w:tcPr>
            <w:tcW w:w="1838" w:type="dxa"/>
            <w:vAlign w:val="center"/>
          </w:tcPr>
          <w:p w14:paraId="2E52EFE7">
            <w:pPr>
              <w:spacing w:line="276" w:lineRule="auto"/>
              <w:jc w:val="both"/>
              <w:rPr>
                <w:rFonts w:hint="eastAsia" w:ascii="宋体" w:hAnsi="宋体"/>
                <w:bCs/>
                <w:sz w:val="24"/>
                <w:highlight w:val="none"/>
              </w:rPr>
            </w:pPr>
            <w:r>
              <w:rPr>
                <w:rFonts w:hint="eastAsia" w:ascii="宋体" w:hAnsi="宋体"/>
                <w:bCs/>
                <w:sz w:val="24"/>
                <w:highlight w:val="none"/>
              </w:rPr>
              <w:t>呼叫医务人员实体按键</w:t>
            </w:r>
          </w:p>
        </w:tc>
        <w:tc>
          <w:tcPr>
            <w:tcW w:w="7105" w:type="dxa"/>
            <w:vAlign w:val="center"/>
          </w:tcPr>
          <w:p w14:paraId="33E6F5D8">
            <w:pPr>
              <w:spacing w:line="276" w:lineRule="auto"/>
              <w:jc w:val="both"/>
              <w:rPr>
                <w:rFonts w:hint="eastAsia" w:ascii="宋体" w:hAnsi="宋体"/>
                <w:bCs/>
                <w:sz w:val="24"/>
                <w:highlight w:val="none"/>
              </w:rPr>
            </w:pPr>
            <w:r>
              <w:rPr>
                <w:rFonts w:hint="eastAsia" w:ascii="宋体" w:hAnsi="宋体"/>
                <w:bCs/>
                <w:sz w:val="24"/>
                <w:highlight w:val="none"/>
              </w:rPr>
              <w:t>具备实体按键（非触摸屏按键），按下后可以发送呼叫信号给护士站中央站</w:t>
            </w:r>
          </w:p>
        </w:tc>
      </w:tr>
      <w:tr w14:paraId="646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5C75410">
            <w:pPr>
              <w:spacing w:line="276" w:lineRule="auto"/>
              <w:jc w:val="both"/>
              <w:rPr>
                <w:rFonts w:hint="eastAsia" w:ascii="宋体" w:hAnsi="宋体"/>
                <w:bCs/>
                <w:sz w:val="24"/>
                <w:highlight w:val="none"/>
              </w:rPr>
            </w:pPr>
            <w:r>
              <w:rPr>
                <w:rFonts w:hint="eastAsia" w:ascii="宋体" w:hAnsi="宋体"/>
                <w:bCs/>
                <w:sz w:val="24"/>
                <w:highlight w:val="none"/>
              </w:rPr>
              <w:t>5.3</w:t>
            </w:r>
          </w:p>
        </w:tc>
        <w:tc>
          <w:tcPr>
            <w:tcW w:w="1838" w:type="dxa"/>
            <w:vAlign w:val="center"/>
          </w:tcPr>
          <w:p w14:paraId="1A81CF9A">
            <w:pPr>
              <w:spacing w:line="276" w:lineRule="auto"/>
              <w:jc w:val="both"/>
              <w:rPr>
                <w:rFonts w:hint="eastAsia" w:ascii="宋体" w:hAnsi="宋体"/>
                <w:bCs/>
                <w:sz w:val="24"/>
                <w:highlight w:val="none"/>
              </w:rPr>
            </w:pPr>
            <w:r>
              <w:rPr>
                <w:rFonts w:hint="eastAsia" w:ascii="宋体" w:hAnsi="宋体"/>
                <w:bCs/>
                <w:sz w:val="24"/>
                <w:highlight w:val="none"/>
              </w:rPr>
              <w:t>报警暂停</w:t>
            </w:r>
          </w:p>
        </w:tc>
        <w:tc>
          <w:tcPr>
            <w:tcW w:w="7105" w:type="dxa"/>
            <w:vAlign w:val="center"/>
          </w:tcPr>
          <w:p w14:paraId="3231D19D">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767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AB88DA7">
            <w:pPr>
              <w:spacing w:line="276" w:lineRule="auto"/>
              <w:jc w:val="both"/>
              <w:rPr>
                <w:rFonts w:hint="eastAsia" w:ascii="宋体" w:hAnsi="宋体"/>
                <w:bCs/>
                <w:sz w:val="24"/>
                <w:highlight w:val="none"/>
              </w:rPr>
            </w:pPr>
            <w:r>
              <w:rPr>
                <w:rFonts w:hint="eastAsia" w:ascii="宋体" w:hAnsi="宋体"/>
                <w:bCs/>
                <w:sz w:val="24"/>
                <w:highlight w:val="none"/>
              </w:rPr>
              <w:t>■5.4</w:t>
            </w:r>
          </w:p>
        </w:tc>
        <w:tc>
          <w:tcPr>
            <w:tcW w:w="1838" w:type="dxa"/>
            <w:vAlign w:val="center"/>
          </w:tcPr>
          <w:p w14:paraId="2B338EA2">
            <w:pPr>
              <w:spacing w:line="276" w:lineRule="auto"/>
              <w:jc w:val="both"/>
              <w:rPr>
                <w:rFonts w:hint="eastAsia" w:ascii="宋体" w:hAnsi="宋体"/>
                <w:bCs/>
                <w:sz w:val="24"/>
                <w:highlight w:val="none"/>
              </w:rPr>
            </w:pPr>
            <w:r>
              <w:rPr>
                <w:rFonts w:hint="eastAsia" w:ascii="宋体" w:hAnsi="宋体"/>
                <w:bCs/>
                <w:sz w:val="24"/>
                <w:highlight w:val="none"/>
              </w:rPr>
              <w:t>工作电压及连续工作时间</w:t>
            </w:r>
          </w:p>
        </w:tc>
        <w:tc>
          <w:tcPr>
            <w:tcW w:w="7105" w:type="dxa"/>
            <w:vAlign w:val="center"/>
          </w:tcPr>
          <w:p w14:paraId="39453CD3">
            <w:pPr>
              <w:spacing w:line="276" w:lineRule="auto"/>
              <w:jc w:val="both"/>
              <w:rPr>
                <w:rFonts w:hint="eastAsia" w:ascii="宋体" w:hAnsi="宋体"/>
                <w:bCs/>
                <w:sz w:val="24"/>
                <w:highlight w:val="none"/>
              </w:rPr>
            </w:pPr>
            <w:r>
              <w:rPr>
                <w:rFonts w:hint="eastAsia" w:ascii="宋体" w:hAnsi="宋体"/>
                <w:bCs/>
                <w:sz w:val="24"/>
                <w:highlight w:val="none"/>
              </w:rPr>
              <w:t>额定工作电压≤1.8V，支持≥6天连续监护（提供证明文件）</w:t>
            </w:r>
          </w:p>
        </w:tc>
      </w:tr>
      <w:tr w14:paraId="3A8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95609A6">
            <w:pPr>
              <w:spacing w:line="276" w:lineRule="auto"/>
              <w:jc w:val="both"/>
              <w:rPr>
                <w:rFonts w:hint="eastAsia" w:ascii="宋体" w:hAnsi="宋体"/>
                <w:bCs/>
                <w:sz w:val="24"/>
                <w:highlight w:val="none"/>
              </w:rPr>
            </w:pPr>
            <w:r>
              <w:rPr>
                <w:rFonts w:hint="eastAsia" w:ascii="宋体" w:hAnsi="宋体"/>
                <w:bCs/>
                <w:sz w:val="24"/>
                <w:highlight w:val="none"/>
              </w:rPr>
              <w:t>5.5</w:t>
            </w:r>
          </w:p>
        </w:tc>
        <w:tc>
          <w:tcPr>
            <w:tcW w:w="1838" w:type="dxa"/>
            <w:vAlign w:val="center"/>
          </w:tcPr>
          <w:p w14:paraId="3A57D304">
            <w:pPr>
              <w:spacing w:line="276" w:lineRule="auto"/>
              <w:jc w:val="both"/>
              <w:rPr>
                <w:rFonts w:hint="eastAsia" w:ascii="宋体" w:hAnsi="宋体"/>
                <w:bCs/>
                <w:sz w:val="24"/>
                <w:highlight w:val="none"/>
              </w:rPr>
            </w:pPr>
            <w:r>
              <w:rPr>
                <w:rFonts w:hint="eastAsia" w:ascii="宋体" w:hAnsi="宋体"/>
                <w:bCs/>
                <w:sz w:val="24"/>
                <w:highlight w:val="none"/>
              </w:rPr>
              <w:t>心电（ECG）</w:t>
            </w:r>
          </w:p>
        </w:tc>
        <w:tc>
          <w:tcPr>
            <w:tcW w:w="7105" w:type="dxa"/>
            <w:vAlign w:val="center"/>
          </w:tcPr>
          <w:p w14:paraId="06E38895">
            <w:pPr>
              <w:spacing w:line="276" w:lineRule="auto"/>
              <w:jc w:val="both"/>
              <w:rPr>
                <w:rFonts w:hint="eastAsia" w:ascii="宋体" w:hAnsi="宋体"/>
                <w:bCs/>
                <w:sz w:val="24"/>
                <w:highlight w:val="none"/>
              </w:rPr>
            </w:pPr>
            <w:r>
              <w:rPr>
                <w:rFonts w:hint="eastAsia" w:ascii="宋体" w:hAnsi="宋体"/>
                <w:bCs/>
                <w:sz w:val="24"/>
                <w:highlight w:val="none"/>
              </w:rPr>
              <w:t>输入阻抗≥5MΩ，CMRR≥95dB，起搏脉冲检测：±2到700mV</w:t>
            </w:r>
          </w:p>
        </w:tc>
      </w:tr>
      <w:tr w14:paraId="0B8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EF42B06">
            <w:pPr>
              <w:spacing w:line="276" w:lineRule="auto"/>
              <w:jc w:val="both"/>
              <w:rPr>
                <w:rFonts w:hint="eastAsia" w:ascii="宋体" w:hAnsi="宋体"/>
                <w:bCs/>
                <w:sz w:val="24"/>
                <w:highlight w:val="none"/>
              </w:rPr>
            </w:pPr>
            <w:r>
              <w:rPr>
                <w:rFonts w:hint="eastAsia" w:ascii="宋体" w:hAnsi="宋体"/>
                <w:bCs/>
                <w:sz w:val="24"/>
                <w:highlight w:val="none"/>
              </w:rPr>
              <w:t>5.6</w:t>
            </w:r>
          </w:p>
        </w:tc>
        <w:tc>
          <w:tcPr>
            <w:tcW w:w="1838" w:type="dxa"/>
            <w:vAlign w:val="center"/>
          </w:tcPr>
          <w:p w14:paraId="1896FBD1">
            <w:pPr>
              <w:spacing w:line="276" w:lineRule="auto"/>
              <w:jc w:val="both"/>
              <w:rPr>
                <w:rFonts w:hint="eastAsia" w:ascii="宋体" w:hAnsi="宋体"/>
                <w:bCs/>
                <w:sz w:val="24"/>
                <w:highlight w:val="none"/>
              </w:rPr>
            </w:pPr>
            <w:r>
              <w:rPr>
                <w:rFonts w:hint="eastAsia" w:ascii="宋体" w:hAnsi="宋体"/>
                <w:bCs/>
                <w:sz w:val="24"/>
                <w:highlight w:val="none"/>
              </w:rPr>
              <w:t>呼吸（Resp）</w:t>
            </w:r>
          </w:p>
        </w:tc>
        <w:tc>
          <w:tcPr>
            <w:tcW w:w="7105" w:type="dxa"/>
            <w:vAlign w:val="center"/>
          </w:tcPr>
          <w:p w14:paraId="0BD65582">
            <w:pPr>
              <w:spacing w:line="276" w:lineRule="auto"/>
              <w:jc w:val="both"/>
              <w:rPr>
                <w:rFonts w:hint="eastAsia" w:ascii="宋体" w:hAnsi="宋体"/>
                <w:bCs/>
                <w:sz w:val="24"/>
                <w:highlight w:val="none"/>
              </w:rPr>
            </w:pPr>
            <w:r>
              <w:rPr>
                <w:rFonts w:hint="eastAsia" w:ascii="宋体" w:hAnsi="宋体"/>
                <w:bCs/>
                <w:sz w:val="24"/>
                <w:highlight w:val="none"/>
              </w:rPr>
              <w:t>R-F导联，阻抗范围：220Ω～2KΩ</w:t>
            </w:r>
          </w:p>
        </w:tc>
      </w:tr>
      <w:tr w14:paraId="4E3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3801177">
            <w:pPr>
              <w:spacing w:line="276" w:lineRule="auto"/>
              <w:jc w:val="both"/>
              <w:rPr>
                <w:rFonts w:hint="eastAsia" w:ascii="宋体" w:hAnsi="宋体"/>
                <w:bCs/>
                <w:sz w:val="24"/>
                <w:highlight w:val="none"/>
              </w:rPr>
            </w:pPr>
            <w:r>
              <w:rPr>
                <w:rFonts w:hint="eastAsia" w:ascii="宋体" w:hAnsi="宋体"/>
                <w:bCs/>
                <w:sz w:val="24"/>
                <w:highlight w:val="none"/>
              </w:rPr>
              <w:t>■5.7</w:t>
            </w:r>
          </w:p>
        </w:tc>
        <w:tc>
          <w:tcPr>
            <w:tcW w:w="1838" w:type="dxa"/>
            <w:vAlign w:val="center"/>
          </w:tcPr>
          <w:p w14:paraId="15DEB66D">
            <w:pPr>
              <w:spacing w:line="276" w:lineRule="auto"/>
              <w:jc w:val="both"/>
              <w:rPr>
                <w:rFonts w:hint="eastAsia" w:ascii="宋体" w:hAnsi="宋体"/>
                <w:bCs/>
                <w:sz w:val="24"/>
                <w:highlight w:val="none"/>
              </w:rPr>
            </w:pPr>
            <w:r>
              <w:rPr>
                <w:rFonts w:hint="eastAsia" w:ascii="宋体" w:hAnsi="宋体"/>
                <w:bCs/>
                <w:sz w:val="24"/>
                <w:highlight w:val="none"/>
              </w:rPr>
              <w:t>无创血压(NIBP)功能</w:t>
            </w:r>
          </w:p>
        </w:tc>
        <w:tc>
          <w:tcPr>
            <w:tcW w:w="7105" w:type="dxa"/>
            <w:vAlign w:val="center"/>
          </w:tcPr>
          <w:p w14:paraId="360EC6EF">
            <w:pPr>
              <w:spacing w:line="276" w:lineRule="auto"/>
              <w:jc w:val="both"/>
              <w:rPr>
                <w:rFonts w:hint="eastAsia" w:ascii="宋体" w:hAnsi="宋体"/>
                <w:bCs/>
                <w:sz w:val="24"/>
                <w:highlight w:val="none"/>
              </w:rPr>
            </w:pPr>
            <w:r>
              <w:rPr>
                <w:rFonts w:hint="eastAsia" w:ascii="宋体" w:hAnsi="宋体"/>
                <w:bCs/>
                <w:sz w:val="24"/>
                <w:highlight w:val="none"/>
              </w:rPr>
              <w:t>可选配NIBP测量的发射盒。一体机设计，在一台发射盒上可同时监测：ECG，Resp，SpO2(含PR)，NIBP，血压测量模块内置，患者只需佩戴一个盒子即可测量无创血压（提供证明文件）</w:t>
            </w:r>
          </w:p>
        </w:tc>
      </w:tr>
      <w:tr w14:paraId="5C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309F428">
            <w:pPr>
              <w:spacing w:line="276" w:lineRule="auto"/>
              <w:jc w:val="both"/>
              <w:rPr>
                <w:rFonts w:hint="eastAsia" w:ascii="宋体" w:hAnsi="宋体"/>
                <w:bCs/>
                <w:sz w:val="24"/>
                <w:highlight w:val="none"/>
              </w:rPr>
            </w:pPr>
            <w:r>
              <w:rPr>
                <w:rFonts w:hint="eastAsia" w:ascii="宋体" w:hAnsi="宋体"/>
                <w:bCs/>
                <w:sz w:val="24"/>
                <w:highlight w:val="none"/>
              </w:rPr>
              <w:t>5.8</w:t>
            </w:r>
          </w:p>
        </w:tc>
        <w:tc>
          <w:tcPr>
            <w:tcW w:w="1838" w:type="dxa"/>
            <w:vAlign w:val="center"/>
          </w:tcPr>
          <w:p w14:paraId="0E793CD1">
            <w:pPr>
              <w:spacing w:line="276" w:lineRule="auto"/>
              <w:jc w:val="both"/>
              <w:rPr>
                <w:rFonts w:hint="eastAsia" w:ascii="宋体" w:hAnsi="宋体"/>
                <w:bCs/>
                <w:sz w:val="24"/>
                <w:highlight w:val="none"/>
              </w:rPr>
            </w:pPr>
            <w:r>
              <w:rPr>
                <w:rFonts w:hint="eastAsia" w:ascii="宋体" w:hAnsi="宋体"/>
                <w:bCs/>
                <w:sz w:val="24"/>
                <w:highlight w:val="none"/>
              </w:rPr>
              <w:t>功耗</w:t>
            </w:r>
          </w:p>
        </w:tc>
        <w:tc>
          <w:tcPr>
            <w:tcW w:w="7105" w:type="dxa"/>
            <w:vAlign w:val="center"/>
          </w:tcPr>
          <w:p w14:paraId="181F7967">
            <w:pPr>
              <w:spacing w:line="276" w:lineRule="auto"/>
              <w:jc w:val="both"/>
              <w:rPr>
                <w:rFonts w:hint="eastAsia" w:ascii="宋体" w:hAnsi="宋体"/>
                <w:bCs/>
                <w:sz w:val="24"/>
                <w:highlight w:val="none"/>
              </w:rPr>
            </w:pPr>
            <w:r>
              <w:rPr>
                <w:rFonts w:hint="eastAsia" w:ascii="宋体" w:hAnsi="宋体"/>
                <w:bCs/>
                <w:sz w:val="24"/>
                <w:highlight w:val="none"/>
              </w:rPr>
              <w:t>≤0.35W（最高负荷条件下）</w:t>
            </w:r>
          </w:p>
        </w:tc>
      </w:tr>
      <w:tr w14:paraId="29D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EDCC5FA">
            <w:pPr>
              <w:spacing w:line="276" w:lineRule="auto"/>
              <w:jc w:val="both"/>
              <w:rPr>
                <w:rFonts w:hint="eastAsia" w:ascii="宋体" w:hAnsi="宋体"/>
                <w:bCs/>
                <w:sz w:val="24"/>
                <w:highlight w:val="none"/>
              </w:rPr>
            </w:pPr>
            <w:r>
              <w:rPr>
                <w:rFonts w:hint="eastAsia" w:ascii="宋体" w:hAnsi="宋体"/>
                <w:bCs/>
                <w:sz w:val="24"/>
                <w:highlight w:val="none"/>
              </w:rPr>
              <w:t>5.9</w:t>
            </w:r>
          </w:p>
        </w:tc>
        <w:tc>
          <w:tcPr>
            <w:tcW w:w="1838" w:type="dxa"/>
            <w:vAlign w:val="center"/>
          </w:tcPr>
          <w:p w14:paraId="1644752E">
            <w:pPr>
              <w:spacing w:line="276" w:lineRule="auto"/>
              <w:jc w:val="both"/>
              <w:rPr>
                <w:rFonts w:hint="eastAsia" w:ascii="宋体" w:hAnsi="宋体"/>
                <w:bCs/>
                <w:sz w:val="24"/>
                <w:highlight w:val="none"/>
              </w:rPr>
            </w:pPr>
            <w:r>
              <w:rPr>
                <w:rFonts w:hint="eastAsia" w:ascii="宋体" w:hAnsi="宋体"/>
                <w:bCs/>
                <w:sz w:val="24"/>
                <w:highlight w:val="none"/>
              </w:rPr>
              <w:t>防水等级</w:t>
            </w:r>
          </w:p>
        </w:tc>
        <w:tc>
          <w:tcPr>
            <w:tcW w:w="7105" w:type="dxa"/>
            <w:vAlign w:val="center"/>
          </w:tcPr>
          <w:p w14:paraId="7E1B5D1E">
            <w:pPr>
              <w:spacing w:line="276" w:lineRule="auto"/>
              <w:jc w:val="both"/>
              <w:rPr>
                <w:rFonts w:hint="eastAsia" w:ascii="宋体" w:hAnsi="宋体"/>
                <w:bCs/>
                <w:sz w:val="24"/>
                <w:highlight w:val="none"/>
              </w:rPr>
            </w:pPr>
            <w:r>
              <w:rPr>
                <w:rFonts w:hint="eastAsia" w:ascii="宋体" w:hAnsi="宋体"/>
                <w:bCs/>
                <w:sz w:val="24"/>
                <w:highlight w:val="none"/>
              </w:rPr>
              <w:t>≥IPX7（提供证明文件）</w:t>
            </w:r>
          </w:p>
        </w:tc>
      </w:tr>
      <w:tr w14:paraId="5B2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6B01AC4">
            <w:pPr>
              <w:spacing w:line="276" w:lineRule="auto"/>
              <w:jc w:val="both"/>
              <w:rPr>
                <w:rFonts w:hint="eastAsia" w:ascii="宋体" w:hAnsi="宋体"/>
                <w:bCs/>
                <w:sz w:val="24"/>
                <w:highlight w:val="none"/>
              </w:rPr>
            </w:pPr>
            <w:r>
              <w:rPr>
                <w:rFonts w:hint="eastAsia" w:ascii="宋体" w:hAnsi="宋体"/>
                <w:bCs/>
                <w:sz w:val="24"/>
                <w:highlight w:val="none"/>
              </w:rPr>
              <w:t>6</w:t>
            </w:r>
          </w:p>
        </w:tc>
        <w:tc>
          <w:tcPr>
            <w:tcW w:w="1838" w:type="dxa"/>
            <w:vAlign w:val="center"/>
          </w:tcPr>
          <w:p w14:paraId="14ECA70F">
            <w:pPr>
              <w:spacing w:line="276" w:lineRule="auto"/>
              <w:jc w:val="both"/>
              <w:rPr>
                <w:rFonts w:hint="eastAsia" w:ascii="宋体" w:hAnsi="宋体"/>
                <w:bCs/>
                <w:sz w:val="24"/>
                <w:highlight w:val="none"/>
              </w:rPr>
            </w:pPr>
            <w:r>
              <w:rPr>
                <w:rFonts w:hint="eastAsia" w:ascii="宋体" w:hAnsi="宋体"/>
                <w:bCs/>
                <w:sz w:val="24"/>
                <w:highlight w:val="none"/>
              </w:rPr>
              <w:t>遥测发射盒（ECG，Resp，SpO2）</w:t>
            </w:r>
          </w:p>
        </w:tc>
        <w:tc>
          <w:tcPr>
            <w:tcW w:w="7105" w:type="dxa"/>
            <w:vAlign w:val="center"/>
          </w:tcPr>
          <w:p w14:paraId="1DBE4DAC">
            <w:pPr>
              <w:spacing w:line="276" w:lineRule="auto"/>
              <w:jc w:val="both"/>
              <w:rPr>
                <w:rFonts w:hint="eastAsia" w:ascii="宋体" w:hAnsi="宋体"/>
                <w:bCs/>
                <w:sz w:val="24"/>
                <w:highlight w:val="none"/>
              </w:rPr>
            </w:pPr>
            <w:r>
              <w:rPr>
                <w:rFonts w:hint="eastAsia" w:ascii="宋体" w:hAnsi="宋体"/>
                <w:bCs/>
                <w:sz w:val="24"/>
                <w:highlight w:val="none"/>
              </w:rPr>
              <w:t>数量：1个。可显示ECG波形和SpO2数值。</w:t>
            </w:r>
          </w:p>
        </w:tc>
      </w:tr>
      <w:tr w14:paraId="7A14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467AA27">
            <w:pPr>
              <w:spacing w:line="276" w:lineRule="auto"/>
              <w:jc w:val="both"/>
              <w:rPr>
                <w:rFonts w:hint="eastAsia" w:ascii="宋体" w:hAnsi="宋体"/>
                <w:bCs/>
                <w:sz w:val="24"/>
                <w:highlight w:val="none"/>
              </w:rPr>
            </w:pPr>
            <w:r>
              <w:rPr>
                <w:rFonts w:hint="eastAsia" w:ascii="宋体" w:hAnsi="宋体"/>
                <w:bCs/>
                <w:sz w:val="24"/>
                <w:highlight w:val="none"/>
              </w:rPr>
              <w:t>6.1</w:t>
            </w:r>
          </w:p>
        </w:tc>
        <w:tc>
          <w:tcPr>
            <w:tcW w:w="1838" w:type="dxa"/>
            <w:vAlign w:val="center"/>
          </w:tcPr>
          <w:p w14:paraId="32C30591">
            <w:pPr>
              <w:spacing w:line="276" w:lineRule="auto"/>
              <w:jc w:val="both"/>
              <w:rPr>
                <w:rFonts w:hint="eastAsia" w:ascii="宋体" w:hAnsi="宋体"/>
                <w:bCs/>
                <w:sz w:val="24"/>
                <w:highlight w:val="none"/>
              </w:rPr>
            </w:pPr>
            <w:r>
              <w:rPr>
                <w:rFonts w:hint="eastAsia" w:ascii="宋体" w:hAnsi="宋体"/>
                <w:bCs/>
                <w:sz w:val="24"/>
                <w:highlight w:val="none"/>
              </w:rPr>
              <w:t>血氧（SpO2）检测范围</w:t>
            </w:r>
          </w:p>
        </w:tc>
        <w:tc>
          <w:tcPr>
            <w:tcW w:w="7105" w:type="dxa"/>
            <w:vAlign w:val="center"/>
          </w:tcPr>
          <w:p w14:paraId="27C449DF">
            <w:pPr>
              <w:spacing w:line="276" w:lineRule="auto"/>
              <w:jc w:val="both"/>
              <w:rPr>
                <w:rFonts w:hint="eastAsia" w:ascii="宋体" w:hAnsi="宋体"/>
                <w:bCs/>
                <w:sz w:val="24"/>
                <w:highlight w:val="none"/>
              </w:rPr>
            </w:pPr>
            <w:r>
              <w:rPr>
                <w:rFonts w:hint="eastAsia" w:ascii="宋体" w:hAnsi="宋体"/>
                <w:bCs/>
                <w:sz w:val="24"/>
                <w:highlight w:val="none"/>
              </w:rPr>
              <w:t>0～100%，PR检测范围：30～300bpm</w:t>
            </w:r>
          </w:p>
        </w:tc>
      </w:tr>
      <w:tr w14:paraId="4D4E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0D920A2">
            <w:pPr>
              <w:spacing w:line="276" w:lineRule="auto"/>
              <w:jc w:val="both"/>
              <w:rPr>
                <w:rFonts w:hint="eastAsia" w:ascii="宋体" w:hAnsi="宋体"/>
                <w:bCs/>
                <w:sz w:val="24"/>
                <w:highlight w:val="none"/>
              </w:rPr>
            </w:pPr>
            <w:r>
              <w:rPr>
                <w:rFonts w:hint="eastAsia" w:ascii="宋体" w:hAnsi="宋体"/>
                <w:bCs/>
                <w:sz w:val="24"/>
                <w:highlight w:val="none"/>
              </w:rPr>
              <w:t>6.2</w:t>
            </w:r>
          </w:p>
        </w:tc>
        <w:tc>
          <w:tcPr>
            <w:tcW w:w="1838" w:type="dxa"/>
            <w:vAlign w:val="center"/>
          </w:tcPr>
          <w:p w14:paraId="0D33EF46">
            <w:pPr>
              <w:spacing w:line="276" w:lineRule="auto"/>
              <w:jc w:val="both"/>
              <w:rPr>
                <w:rFonts w:hint="eastAsia" w:ascii="宋体" w:hAnsi="宋体"/>
                <w:bCs/>
                <w:sz w:val="24"/>
                <w:highlight w:val="none"/>
              </w:rPr>
            </w:pPr>
            <w:r>
              <w:rPr>
                <w:rFonts w:hint="eastAsia" w:ascii="宋体" w:hAnsi="宋体"/>
                <w:bCs/>
                <w:sz w:val="24"/>
                <w:highlight w:val="none"/>
              </w:rPr>
              <w:t>SPO2测量模式</w:t>
            </w:r>
          </w:p>
        </w:tc>
        <w:tc>
          <w:tcPr>
            <w:tcW w:w="7105" w:type="dxa"/>
            <w:vAlign w:val="center"/>
          </w:tcPr>
          <w:p w14:paraId="7A846EF8">
            <w:pPr>
              <w:spacing w:line="276" w:lineRule="auto"/>
              <w:jc w:val="both"/>
              <w:rPr>
                <w:rFonts w:hint="eastAsia" w:ascii="宋体" w:hAnsi="宋体"/>
                <w:bCs/>
                <w:sz w:val="24"/>
                <w:highlight w:val="none"/>
              </w:rPr>
            </w:pPr>
            <w:r>
              <w:rPr>
                <w:rFonts w:hint="eastAsia" w:ascii="宋体" w:hAnsi="宋体"/>
                <w:bCs/>
                <w:sz w:val="24"/>
                <w:highlight w:val="none"/>
              </w:rPr>
              <w:t>支持快速，中速和慢速三种监测模式</w:t>
            </w:r>
          </w:p>
        </w:tc>
      </w:tr>
      <w:tr w14:paraId="706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2A7FBAA">
            <w:pPr>
              <w:spacing w:line="276" w:lineRule="auto"/>
              <w:jc w:val="both"/>
              <w:rPr>
                <w:rFonts w:hint="eastAsia" w:ascii="宋体" w:hAnsi="宋体"/>
                <w:bCs/>
                <w:sz w:val="24"/>
                <w:highlight w:val="none"/>
              </w:rPr>
            </w:pPr>
            <w:r>
              <w:rPr>
                <w:rFonts w:hint="eastAsia" w:ascii="宋体" w:hAnsi="宋体"/>
                <w:bCs/>
                <w:sz w:val="24"/>
                <w:highlight w:val="none"/>
              </w:rPr>
              <w:t>■6.3</w:t>
            </w:r>
          </w:p>
        </w:tc>
        <w:tc>
          <w:tcPr>
            <w:tcW w:w="1838" w:type="dxa"/>
            <w:vAlign w:val="center"/>
          </w:tcPr>
          <w:p w14:paraId="7E598E9D">
            <w:pPr>
              <w:spacing w:line="276" w:lineRule="auto"/>
              <w:jc w:val="both"/>
              <w:rPr>
                <w:rFonts w:hint="eastAsia" w:ascii="宋体" w:hAnsi="宋体"/>
                <w:bCs/>
                <w:sz w:val="24"/>
                <w:highlight w:val="none"/>
              </w:rPr>
            </w:pPr>
            <w:r>
              <w:rPr>
                <w:rFonts w:hint="eastAsia" w:ascii="宋体" w:hAnsi="宋体"/>
                <w:bCs/>
                <w:sz w:val="24"/>
                <w:highlight w:val="none"/>
              </w:rPr>
              <w:t>工作电压及连续监测时间</w:t>
            </w:r>
          </w:p>
        </w:tc>
        <w:tc>
          <w:tcPr>
            <w:tcW w:w="7105" w:type="dxa"/>
            <w:vAlign w:val="center"/>
          </w:tcPr>
          <w:p w14:paraId="72426E54">
            <w:pPr>
              <w:spacing w:line="276" w:lineRule="auto"/>
              <w:jc w:val="both"/>
              <w:rPr>
                <w:rFonts w:hint="eastAsia" w:ascii="宋体" w:hAnsi="宋体"/>
                <w:bCs/>
                <w:sz w:val="24"/>
                <w:highlight w:val="none"/>
              </w:rPr>
            </w:pPr>
            <w:r>
              <w:rPr>
                <w:rFonts w:hint="eastAsia" w:ascii="宋体" w:hAnsi="宋体"/>
                <w:bCs/>
                <w:sz w:val="24"/>
                <w:highlight w:val="none"/>
              </w:rPr>
              <w:t>额定工作电压≤3.6V，连续监测ECG和SpO2≥5天；连续监测ECG≥8天（提供证明文件）</w:t>
            </w:r>
          </w:p>
        </w:tc>
      </w:tr>
      <w:tr w14:paraId="6766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B0172BD">
            <w:pPr>
              <w:spacing w:line="276" w:lineRule="auto"/>
              <w:jc w:val="both"/>
              <w:rPr>
                <w:rFonts w:hint="eastAsia" w:ascii="宋体" w:hAnsi="宋体"/>
                <w:bCs/>
                <w:sz w:val="24"/>
                <w:highlight w:val="none"/>
              </w:rPr>
            </w:pPr>
            <w:r>
              <w:rPr>
                <w:rFonts w:hint="eastAsia" w:ascii="宋体" w:hAnsi="宋体"/>
                <w:bCs/>
                <w:sz w:val="24"/>
                <w:highlight w:val="none"/>
              </w:rPr>
              <w:t>6.4</w:t>
            </w:r>
          </w:p>
        </w:tc>
        <w:tc>
          <w:tcPr>
            <w:tcW w:w="1838" w:type="dxa"/>
            <w:vAlign w:val="center"/>
          </w:tcPr>
          <w:p w14:paraId="7E4F8631">
            <w:pPr>
              <w:spacing w:line="276" w:lineRule="auto"/>
              <w:jc w:val="both"/>
              <w:rPr>
                <w:rFonts w:hint="eastAsia" w:ascii="宋体" w:hAnsi="宋体"/>
                <w:bCs/>
                <w:sz w:val="24"/>
                <w:highlight w:val="none"/>
              </w:rPr>
            </w:pPr>
            <w:r>
              <w:rPr>
                <w:rFonts w:hint="eastAsia" w:ascii="宋体" w:hAnsi="宋体"/>
                <w:bCs/>
                <w:sz w:val="24"/>
                <w:highlight w:val="none"/>
              </w:rPr>
              <w:t>防水等级</w:t>
            </w:r>
          </w:p>
        </w:tc>
        <w:tc>
          <w:tcPr>
            <w:tcW w:w="7105" w:type="dxa"/>
            <w:vAlign w:val="center"/>
          </w:tcPr>
          <w:p w14:paraId="7C2B5FDB">
            <w:pPr>
              <w:spacing w:line="276" w:lineRule="auto"/>
              <w:jc w:val="both"/>
              <w:rPr>
                <w:rFonts w:hint="eastAsia" w:ascii="宋体" w:hAnsi="宋体"/>
                <w:bCs/>
                <w:sz w:val="24"/>
                <w:highlight w:val="none"/>
              </w:rPr>
            </w:pPr>
            <w:r>
              <w:rPr>
                <w:rFonts w:hint="eastAsia" w:ascii="宋体" w:hAnsi="宋体"/>
                <w:bCs/>
                <w:sz w:val="24"/>
                <w:highlight w:val="none"/>
              </w:rPr>
              <w:t>≥IPX8（提供证明文件）</w:t>
            </w:r>
          </w:p>
        </w:tc>
      </w:tr>
      <w:tr w14:paraId="5909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0B0B649">
            <w:pPr>
              <w:spacing w:line="276" w:lineRule="auto"/>
              <w:jc w:val="both"/>
              <w:rPr>
                <w:rFonts w:hint="eastAsia" w:ascii="宋体" w:hAnsi="宋体"/>
                <w:bCs/>
                <w:sz w:val="24"/>
                <w:highlight w:val="none"/>
              </w:rPr>
            </w:pPr>
            <w:r>
              <w:rPr>
                <w:rFonts w:hint="eastAsia" w:ascii="宋体" w:hAnsi="宋体"/>
                <w:bCs/>
                <w:sz w:val="24"/>
                <w:highlight w:val="none"/>
              </w:rPr>
              <w:t>■7</w:t>
            </w:r>
          </w:p>
        </w:tc>
        <w:tc>
          <w:tcPr>
            <w:tcW w:w="1838" w:type="dxa"/>
            <w:vAlign w:val="center"/>
          </w:tcPr>
          <w:p w14:paraId="472DDE6B">
            <w:pPr>
              <w:spacing w:line="276" w:lineRule="auto"/>
              <w:jc w:val="both"/>
              <w:rPr>
                <w:rFonts w:hint="eastAsia" w:ascii="宋体" w:hAnsi="宋体"/>
                <w:bCs/>
                <w:sz w:val="24"/>
                <w:highlight w:val="none"/>
              </w:rPr>
            </w:pPr>
            <w:r>
              <w:rPr>
                <w:rFonts w:hint="eastAsia" w:ascii="宋体" w:hAnsi="宋体"/>
                <w:bCs/>
                <w:sz w:val="24"/>
                <w:highlight w:val="none"/>
              </w:rPr>
              <w:t>天线系统</w:t>
            </w:r>
          </w:p>
        </w:tc>
        <w:tc>
          <w:tcPr>
            <w:tcW w:w="7105" w:type="dxa"/>
            <w:vAlign w:val="center"/>
          </w:tcPr>
          <w:p w14:paraId="559D931C">
            <w:pPr>
              <w:spacing w:line="276" w:lineRule="auto"/>
              <w:jc w:val="both"/>
              <w:rPr>
                <w:rFonts w:hint="eastAsia" w:ascii="宋体" w:hAnsi="宋体"/>
                <w:bCs/>
                <w:sz w:val="24"/>
                <w:highlight w:val="none"/>
              </w:rPr>
            </w:pPr>
            <w:r>
              <w:rPr>
                <w:rFonts w:hint="eastAsia" w:ascii="宋体" w:hAnsi="宋体"/>
                <w:bCs/>
                <w:sz w:val="24"/>
                <w:highlight w:val="none"/>
              </w:rPr>
              <w:t>具备</w:t>
            </w:r>
          </w:p>
        </w:tc>
      </w:tr>
    </w:tbl>
    <w:p w14:paraId="3FA0D47E">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w:t>
      </w:r>
      <w:r>
        <w:rPr>
          <w:rFonts w:hint="eastAsia" w:ascii="仿宋" w:hAnsi="仿宋" w:eastAsia="仿宋" w:cs="仿宋"/>
          <w:bCs/>
          <w:color w:val="000000" w:themeColor="text1"/>
          <w:sz w:val="24"/>
          <w:highlight w:val="none"/>
          <w:lang w:eastAsia="zh-CN"/>
          <w14:textFill>
            <w14:solidFill>
              <w14:schemeClr w14:val="tx1"/>
            </w14:solidFill>
          </w14:textFill>
        </w:rPr>
        <w:t>5年。</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493432670"/>
      <w:bookmarkStart w:id="15" w:name="_Toc493440807"/>
      <w:bookmarkStart w:id="16" w:name="_Toc517011814"/>
      <w:bookmarkStart w:id="17" w:name="_Toc512544434"/>
      <w:bookmarkStart w:id="18" w:name="_Toc526265691"/>
      <w:bookmarkStart w:id="19" w:name="_Toc525819967"/>
      <w:bookmarkStart w:id="20" w:name="_Toc512611689"/>
      <w:bookmarkStart w:id="21" w:name="_Toc493440975"/>
      <w:bookmarkStart w:id="22" w:name="_Toc515539872"/>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493432672"/>
      <w:bookmarkStart w:id="24" w:name="_Toc493440977"/>
      <w:bookmarkStart w:id="25" w:name="_Toc517011816"/>
      <w:bookmarkStart w:id="26" w:name="_Toc526265693"/>
      <w:bookmarkStart w:id="27" w:name="_Toc493440809"/>
      <w:bookmarkStart w:id="28" w:name="_Toc515539874"/>
      <w:bookmarkStart w:id="29" w:name="_Toc512544436"/>
      <w:bookmarkStart w:id="30" w:name="_Toc512611691"/>
      <w:bookmarkStart w:id="31" w:name="_Toc525819969"/>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22BA42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E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2025-10-11T03:36:03Z</dcterms:created>
  <dc:creator>Lenovo</dc:creator>
  <cp:lastModifiedBy>Mouns-J</cp:lastModifiedBy>
  <dcterms:modified xsi:type="dcterms:W3CDTF">2025-10-11T03:37:04Z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B82B246F35354C0A91BAD5E2DE9956A2_12</vt:lpwstr>
  </property>
</Properties>
</file>