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9A052">
      <w:pPr>
        <w:widowControl/>
        <w:tabs>
          <w:tab w:val="center" w:pos="4153"/>
        </w:tabs>
        <w:spacing w:line="440" w:lineRule="exact"/>
        <w:jc w:val="center"/>
        <w:rPr>
          <w:rFonts w:hint="eastAsia" w:ascii="宋体" w:hAnsi="宋体" w:eastAsia="仿宋"/>
          <w:color w:val="auto"/>
          <w:sz w:val="36"/>
          <w:szCs w:val="36"/>
          <w:highlight w:val="none"/>
        </w:rPr>
      </w:pPr>
      <w:bookmarkStart w:id="842" w:name="_GoBack"/>
      <w:bookmarkEnd w:id="842"/>
    </w:p>
    <w:p w14:paraId="46E1F51A">
      <w:pPr>
        <w:widowControl/>
        <w:tabs>
          <w:tab w:val="center" w:pos="4153"/>
        </w:tabs>
        <w:spacing w:line="440" w:lineRule="exact"/>
        <w:rPr>
          <w:rFonts w:hint="eastAsia" w:ascii="宋体" w:hAnsi="宋体" w:eastAsia="仿宋"/>
          <w:color w:val="auto"/>
          <w:sz w:val="36"/>
          <w:szCs w:val="36"/>
          <w:highlight w:val="none"/>
        </w:rPr>
      </w:pPr>
    </w:p>
    <w:p w14:paraId="692E73B2">
      <w:pPr>
        <w:widowControl/>
        <w:tabs>
          <w:tab w:val="center" w:pos="4153"/>
        </w:tabs>
        <w:spacing w:line="440" w:lineRule="exact"/>
        <w:jc w:val="center"/>
        <w:rPr>
          <w:rFonts w:hint="eastAsia" w:ascii="宋体" w:hAnsi="宋体" w:eastAsia="仿宋"/>
          <w:color w:val="auto"/>
          <w:sz w:val="36"/>
          <w:szCs w:val="36"/>
          <w:highlight w:val="none"/>
        </w:rPr>
      </w:pPr>
    </w:p>
    <w:p w14:paraId="1C9314DD">
      <w:pPr>
        <w:widowControl/>
        <w:tabs>
          <w:tab w:val="center" w:pos="4153"/>
        </w:tabs>
        <w:spacing w:line="440" w:lineRule="exact"/>
        <w:jc w:val="center"/>
        <w:rPr>
          <w:rFonts w:hint="eastAsia" w:ascii="宋体" w:hAnsi="宋体" w:eastAsia="仿宋"/>
          <w:color w:val="auto"/>
          <w:sz w:val="36"/>
          <w:szCs w:val="36"/>
          <w:highlight w:val="none"/>
        </w:rPr>
      </w:pPr>
    </w:p>
    <w:p w14:paraId="2C1DE791">
      <w:pPr>
        <w:widowControl/>
        <w:spacing w:line="360" w:lineRule="auto"/>
        <w:jc w:val="center"/>
        <w:rPr>
          <w:rFonts w:hint="eastAsia" w:eastAsia="仿宋"/>
          <w:b/>
          <w:color w:val="auto"/>
          <w:sz w:val="44"/>
          <w:szCs w:val="44"/>
          <w:highlight w:val="none"/>
          <w:lang w:val="en-US" w:eastAsia="zh-CN"/>
        </w:rPr>
      </w:pPr>
      <w:r>
        <w:rPr>
          <w:rFonts w:hint="eastAsia" w:eastAsia="仿宋"/>
          <w:b/>
          <w:color w:val="auto"/>
          <w:sz w:val="44"/>
          <w:szCs w:val="44"/>
          <w:highlight w:val="none"/>
          <w:lang w:eastAsia="zh-CN"/>
        </w:rPr>
        <w:t>蚌埠医科大学第一附属医院数字化X射线摄影系统招标采购</w:t>
      </w:r>
    </w:p>
    <w:p w14:paraId="400CFB0B">
      <w:pPr>
        <w:widowControl/>
        <w:jc w:val="center"/>
        <w:rPr>
          <w:rFonts w:hint="eastAsia" w:ascii="宋体" w:hAnsi="宋体" w:eastAsia="仿宋"/>
          <w:b/>
          <w:color w:val="auto"/>
          <w:sz w:val="72"/>
          <w:highlight w:val="none"/>
        </w:rPr>
      </w:pPr>
      <w:r>
        <w:rPr>
          <w:rFonts w:hint="eastAsia" w:ascii="宋体" w:hAnsi="宋体" w:eastAsia="仿宋"/>
          <w:b/>
          <w:color w:val="auto"/>
          <w:sz w:val="72"/>
          <w:highlight w:val="none"/>
        </w:rPr>
        <w:t>招标文件</w:t>
      </w:r>
    </w:p>
    <w:p w14:paraId="504B5493">
      <w:pPr>
        <w:widowControl/>
        <w:jc w:val="center"/>
        <w:rPr>
          <w:rFonts w:hint="eastAsia" w:ascii="宋体" w:hAnsi="宋体" w:eastAsia="仿宋"/>
          <w:b/>
          <w:color w:val="auto"/>
          <w:sz w:val="72"/>
          <w:highlight w:val="none"/>
        </w:rPr>
      </w:pPr>
    </w:p>
    <w:p w14:paraId="7506D810">
      <w:pPr>
        <w:widowControl/>
        <w:jc w:val="center"/>
        <w:rPr>
          <w:rFonts w:hint="eastAsia" w:ascii="宋体" w:hAnsi="宋体" w:eastAsia="仿宋"/>
          <w:b/>
          <w:color w:val="auto"/>
          <w:sz w:val="72"/>
          <w:highlight w:val="none"/>
        </w:rPr>
      </w:pPr>
    </w:p>
    <w:p w14:paraId="2829FA29">
      <w:pPr>
        <w:widowControl/>
        <w:spacing w:line="360" w:lineRule="auto"/>
        <w:jc w:val="center"/>
        <w:rPr>
          <w:rFonts w:hint="eastAsia" w:ascii="宋体" w:hAnsi="宋体" w:eastAsia="仿宋"/>
          <w:b/>
          <w:color w:val="auto"/>
          <w:sz w:val="28"/>
          <w:szCs w:val="28"/>
          <w:highlight w:val="none"/>
          <w:lang w:eastAsia="zh-CN"/>
        </w:rPr>
      </w:pPr>
      <w:r>
        <w:rPr>
          <w:rFonts w:hint="eastAsia" w:ascii="宋体" w:hAnsi="宋体" w:eastAsia="仿宋"/>
          <w:b/>
          <w:color w:val="auto"/>
          <w:sz w:val="28"/>
          <w:szCs w:val="28"/>
          <w:highlight w:val="none"/>
        </w:rPr>
        <w:t>项目编号：ZF2025-36-</w:t>
      </w:r>
      <w:r>
        <w:rPr>
          <w:rFonts w:hint="eastAsia" w:ascii="宋体" w:hAnsi="宋体" w:eastAsia="仿宋"/>
          <w:b/>
          <w:color w:val="auto"/>
          <w:sz w:val="28"/>
          <w:szCs w:val="28"/>
          <w:highlight w:val="none"/>
          <w:lang w:eastAsia="zh-CN"/>
        </w:rPr>
        <w:t>2013</w:t>
      </w:r>
    </w:p>
    <w:p w14:paraId="5A69B833">
      <w:pPr>
        <w:widowControl/>
        <w:tabs>
          <w:tab w:val="center" w:pos="4153"/>
        </w:tabs>
        <w:spacing w:line="480" w:lineRule="auto"/>
        <w:jc w:val="center"/>
        <w:rPr>
          <w:rFonts w:hint="eastAsia" w:ascii="宋体" w:hAnsi="宋体" w:eastAsia="仿宋"/>
          <w:color w:val="auto"/>
          <w:sz w:val="36"/>
          <w:szCs w:val="36"/>
          <w:highlight w:val="none"/>
        </w:rPr>
      </w:pPr>
    </w:p>
    <w:p w14:paraId="0A807564">
      <w:pPr>
        <w:widowControl/>
        <w:tabs>
          <w:tab w:val="center" w:pos="4153"/>
        </w:tabs>
        <w:spacing w:line="480" w:lineRule="auto"/>
        <w:jc w:val="center"/>
        <w:rPr>
          <w:rFonts w:hint="eastAsia" w:ascii="宋体" w:hAnsi="宋体" w:eastAsia="仿宋"/>
          <w:color w:val="auto"/>
          <w:sz w:val="36"/>
          <w:szCs w:val="36"/>
          <w:highlight w:val="none"/>
        </w:rPr>
      </w:pPr>
    </w:p>
    <w:p w14:paraId="64089735">
      <w:pPr>
        <w:widowControl/>
        <w:tabs>
          <w:tab w:val="center" w:pos="4153"/>
        </w:tabs>
        <w:spacing w:line="480" w:lineRule="auto"/>
        <w:rPr>
          <w:rFonts w:hint="eastAsia" w:ascii="宋体" w:hAnsi="宋体" w:eastAsia="仿宋"/>
          <w:color w:val="auto"/>
          <w:sz w:val="36"/>
          <w:szCs w:val="36"/>
          <w:highlight w:val="none"/>
        </w:rPr>
      </w:pPr>
    </w:p>
    <w:p w14:paraId="6308C7FB">
      <w:pPr>
        <w:widowControl/>
        <w:tabs>
          <w:tab w:val="center" w:pos="4153"/>
        </w:tabs>
        <w:spacing w:line="480" w:lineRule="auto"/>
        <w:rPr>
          <w:rFonts w:hint="eastAsia" w:ascii="宋体" w:hAnsi="宋体" w:eastAsia="仿宋"/>
          <w:color w:val="auto"/>
          <w:sz w:val="36"/>
          <w:szCs w:val="36"/>
          <w:highlight w:val="none"/>
        </w:rPr>
      </w:pPr>
    </w:p>
    <w:p w14:paraId="0DD38C59">
      <w:pPr>
        <w:widowControl/>
        <w:tabs>
          <w:tab w:val="center" w:pos="4153"/>
        </w:tabs>
        <w:spacing w:line="480" w:lineRule="auto"/>
        <w:jc w:val="center"/>
        <w:rPr>
          <w:rFonts w:hint="eastAsia" w:ascii="宋体" w:hAnsi="宋体" w:eastAsia="仿宋"/>
          <w:color w:val="auto"/>
          <w:sz w:val="36"/>
          <w:szCs w:val="36"/>
          <w:highlight w:val="none"/>
        </w:rPr>
      </w:pPr>
    </w:p>
    <w:p w14:paraId="7DAD2179">
      <w:pPr>
        <w:widowControl/>
        <w:tabs>
          <w:tab w:val="center" w:pos="4153"/>
        </w:tabs>
        <w:spacing w:line="480" w:lineRule="auto"/>
        <w:ind w:firstLine="1699" w:firstLineChars="531"/>
        <w:rPr>
          <w:rFonts w:hint="eastAsia" w:ascii="宋体" w:hAnsi="宋体" w:eastAsia="仿宋"/>
          <w:color w:val="auto"/>
          <w:sz w:val="32"/>
          <w:szCs w:val="36"/>
          <w:highlight w:val="none"/>
        </w:rPr>
      </w:pPr>
      <w:r>
        <w:rPr>
          <w:rFonts w:hint="eastAsia" w:ascii="宋体" w:hAnsi="宋体" w:eastAsia="仿宋"/>
          <w:color w:val="auto"/>
          <w:sz w:val="32"/>
          <w:szCs w:val="36"/>
          <w:highlight w:val="none"/>
        </w:rPr>
        <w:t>采   购   人：蚌埠医科大学第一附属医院</w:t>
      </w:r>
    </w:p>
    <w:p w14:paraId="7B1E13F4">
      <w:pPr>
        <w:widowControl/>
        <w:tabs>
          <w:tab w:val="center" w:pos="4153"/>
        </w:tabs>
        <w:spacing w:line="480" w:lineRule="auto"/>
        <w:ind w:firstLine="1699" w:firstLineChars="531"/>
        <w:rPr>
          <w:rFonts w:hint="eastAsia" w:ascii="宋体" w:hAnsi="宋体" w:eastAsia="仿宋"/>
          <w:color w:val="auto"/>
          <w:sz w:val="32"/>
          <w:szCs w:val="36"/>
          <w:highlight w:val="none"/>
        </w:rPr>
      </w:pPr>
      <w:r>
        <w:rPr>
          <w:rFonts w:hint="eastAsia" w:ascii="宋体" w:hAnsi="宋体" w:eastAsia="仿宋"/>
          <w:color w:val="auto"/>
          <w:sz w:val="32"/>
          <w:szCs w:val="36"/>
          <w:highlight w:val="none"/>
        </w:rPr>
        <w:t>采购代理机构：安徽省招标集团股份有限公司</w:t>
      </w:r>
    </w:p>
    <w:p w14:paraId="5DC2B4DA">
      <w:pPr>
        <w:widowControl/>
        <w:tabs>
          <w:tab w:val="center" w:pos="4153"/>
        </w:tabs>
        <w:spacing w:line="480" w:lineRule="auto"/>
        <w:jc w:val="center"/>
        <w:rPr>
          <w:rFonts w:ascii="宋体" w:hAnsi="宋体" w:eastAsia="仿宋"/>
          <w:color w:val="auto"/>
          <w:sz w:val="36"/>
          <w:szCs w:val="36"/>
          <w:highlight w:val="none"/>
        </w:rPr>
      </w:pPr>
      <w:r>
        <w:rPr>
          <w:rFonts w:hint="eastAsia" w:ascii="宋体" w:hAnsi="宋体" w:eastAsia="仿宋"/>
          <w:color w:val="auto"/>
          <w:sz w:val="36"/>
          <w:szCs w:val="36"/>
          <w:highlight w:val="none"/>
        </w:rPr>
        <w:t>2025年</w:t>
      </w:r>
      <w:r>
        <w:rPr>
          <w:rFonts w:hint="eastAsia" w:ascii="宋体" w:hAnsi="宋体" w:eastAsia="仿宋"/>
          <w:color w:val="auto"/>
          <w:sz w:val="36"/>
          <w:szCs w:val="36"/>
          <w:highlight w:val="none"/>
          <w:lang w:val="en-US" w:eastAsia="zh-CN"/>
        </w:rPr>
        <w:t>11</w:t>
      </w:r>
      <w:r>
        <w:rPr>
          <w:rFonts w:hint="eastAsia" w:ascii="宋体" w:hAnsi="宋体" w:eastAsia="仿宋"/>
          <w:color w:val="auto"/>
          <w:sz w:val="36"/>
          <w:szCs w:val="36"/>
          <w:highlight w:val="none"/>
        </w:rPr>
        <w:t>月</w:t>
      </w:r>
    </w:p>
    <w:p w14:paraId="505D9E91">
      <w:pPr>
        <w:widowControl/>
        <w:tabs>
          <w:tab w:val="center" w:pos="4153"/>
        </w:tabs>
        <w:spacing w:line="480" w:lineRule="auto"/>
        <w:ind w:firstLine="849" w:firstLineChars="236"/>
        <w:rPr>
          <w:rFonts w:ascii="宋体" w:hAnsi="宋体" w:eastAsia="仿宋"/>
          <w:color w:val="auto"/>
          <w:sz w:val="36"/>
          <w:szCs w:val="36"/>
          <w:highlight w:val="none"/>
        </w:rPr>
        <w:sectPr>
          <w:footerReference r:id="rId4" w:type="default"/>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5AA0F4C0">
      <w:pPr>
        <w:widowControl/>
        <w:tabs>
          <w:tab w:val="center" w:pos="4153"/>
        </w:tabs>
        <w:spacing w:line="480" w:lineRule="auto"/>
        <w:jc w:val="center"/>
        <w:outlineLvl w:val="0"/>
        <w:rPr>
          <w:rFonts w:hint="eastAsia" w:ascii="宋体" w:hAnsi="宋体" w:eastAsia="仿宋"/>
          <w:color w:val="auto"/>
          <w:sz w:val="44"/>
          <w:szCs w:val="52"/>
          <w:highlight w:val="none"/>
        </w:rPr>
      </w:pPr>
      <w:r>
        <w:rPr>
          <w:rFonts w:hint="eastAsia" w:ascii="宋体" w:hAnsi="宋体" w:eastAsia="仿宋"/>
          <w:color w:val="auto"/>
          <w:sz w:val="44"/>
          <w:szCs w:val="52"/>
          <w:highlight w:val="none"/>
        </w:rPr>
        <w:t>目  录</w:t>
      </w:r>
    </w:p>
    <w:p w14:paraId="2BA6036E">
      <w:pPr>
        <w:pStyle w:val="33"/>
        <w:tabs>
          <w:tab w:val="right" w:leader="dot" w:pos="9638"/>
        </w:tabs>
        <w:rPr>
          <w:rFonts w:hint="eastAsia" w:ascii="仿宋" w:hAnsi="仿宋" w:eastAsia="仿宋" w:cs="仿宋"/>
          <w:color w:val="auto"/>
          <w:sz w:val="28"/>
          <w:szCs w:val="28"/>
          <w:highlight w:val="none"/>
        </w:rPr>
      </w:pPr>
      <w:r>
        <w:rPr>
          <w:rFonts w:ascii="Times New Roman" w:hAnsi="Times New Roman" w:eastAsia="仿宋"/>
          <w:color w:val="auto"/>
          <w:sz w:val="28"/>
          <w:szCs w:val="28"/>
          <w:highlight w:val="none"/>
        </w:rPr>
        <w:fldChar w:fldCharType="begin"/>
      </w:r>
      <w:r>
        <w:rPr>
          <w:rFonts w:ascii="Times New Roman" w:hAnsi="Times New Roman" w:eastAsia="仿宋"/>
          <w:color w:val="auto"/>
          <w:sz w:val="28"/>
          <w:szCs w:val="28"/>
          <w:highlight w:val="none"/>
        </w:rPr>
        <w:instrText xml:space="preserve"> TOC \o "1-1" \h \z \u </w:instrText>
      </w:r>
      <w:r>
        <w:rPr>
          <w:rFonts w:ascii="Times New Roman" w:hAnsi="Times New Roman" w:eastAsia="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_Toc1434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_Toc1434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7DBAB1E">
      <w:pPr>
        <w:pStyle w:val="33"/>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_Toc26870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_Toc26870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09AD1E5">
      <w:pPr>
        <w:pStyle w:val="33"/>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_Toc24366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_Toc24366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0867C36">
      <w:pPr>
        <w:pStyle w:val="33"/>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_Toc9357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第四章  资格审查和评标办法（综合评分法）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_Toc9357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4B8EA0E">
      <w:pPr>
        <w:pStyle w:val="33"/>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_Toc395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_Toc395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53A7B52">
      <w:pPr>
        <w:pStyle w:val="33"/>
        <w:tabs>
          <w:tab w:val="right" w:leader="dot" w:pos="9638"/>
        </w:tabs>
        <w:rPr>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_Toc13236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_Toc13236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86818F0">
      <w:pPr>
        <w:widowControl/>
        <w:spacing w:line="360" w:lineRule="auto"/>
        <w:rPr>
          <w:rFonts w:hint="eastAsia" w:ascii="宋体" w:hAnsi="宋体" w:eastAsia="仿宋"/>
          <w:color w:val="auto"/>
          <w:sz w:val="52"/>
          <w:szCs w:val="52"/>
          <w:highlight w:val="none"/>
        </w:rPr>
      </w:pPr>
      <w:r>
        <w:rPr>
          <w:rFonts w:eastAsia="仿宋"/>
          <w:color w:val="auto"/>
          <w:szCs w:val="28"/>
          <w:highlight w:val="none"/>
        </w:rPr>
        <w:fldChar w:fldCharType="end"/>
      </w:r>
    </w:p>
    <w:p w14:paraId="4FEF28A0">
      <w:pPr>
        <w:widowControl/>
        <w:tabs>
          <w:tab w:val="center" w:pos="4153"/>
        </w:tabs>
        <w:spacing w:line="480" w:lineRule="auto"/>
        <w:jc w:val="center"/>
        <w:rPr>
          <w:rFonts w:ascii="宋体" w:hAnsi="宋体" w:eastAsia="仿宋"/>
          <w:color w:val="auto"/>
          <w:sz w:val="52"/>
          <w:szCs w:val="52"/>
          <w:highlight w:val="none"/>
        </w:rPr>
        <w:sectPr>
          <w:headerReference r:id="rId5" w:type="first"/>
          <w:footerReference r:id="rId7" w:type="first"/>
          <w:footerReference r:id="rId6" w:type="default"/>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pgNumType w:start="1"/>
          <w:cols w:space="720" w:num="1"/>
          <w:docGrid w:linePitch="312" w:charSpace="0"/>
        </w:sectPr>
      </w:pPr>
    </w:p>
    <w:p w14:paraId="2E22A699">
      <w:pPr>
        <w:pStyle w:val="3"/>
        <w:widowControl/>
        <w:spacing w:before="0" w:after="0" w:line="240" w:lineRule="auto"/>
        <w:jc w:val="center"/>
        <w:rPr>
          <w:rFonts w:hint="eastAsia" w:ascii="宋体" w:hAnsi="宋体" w:eastAsia="仿宋"/>
          <w:color w:val="auto"/>
          <w:highlight w:val="none"/>
        </w:rPr>
      </w:pPr>
      <w:bookmarkStart w:id="0" w:name="_Toc1434"/>
      <w:bookmarkStart w:id="1" w:name="_Toc466024489"/>
      <w:r>
        <w:rPr>
          <w:rFonts w:hint="eastAsia" w:ascii="宋体" w:hAnsi="宋体" w:eastAsia="仿宋"/>
          <w:color w:val="auto"/>
          <w:highlight w:val="none"/>
        </w:rPr>
        <w:t>第一章  招标公告</w:t>
      </w:r>
      <w:bookmarkEnd w:id="0"/>
      <w:bookmarkEnd w:id="1"/>
    </w:p>
    <w:p w14:paraId="76883DD8">
      <w:pPr>
        <w:rPr>
          <w:rFonts w:hint="eastAsia" w:eastAsia="仿宋"/>
          <w:color w:val="auto"/>
          <w:highlight w:val="none"/>
        </w:rPr>
      </w:pPr>
    </w:p>
    <w:p w14:paraId="398FB132">
      <w:pPr>
        <w:widowControl/>
        <w:spacing w:before="120" w:beforeLines="50" w:after="120" w:afterLines="50" w:line="400" w:lineRule="exact"/>
        <w:jc w:val="center"/>
        <w:rPr>
          <w:rFonts w:ascii="宋体" w:hAnsi="宋体" w:eastAsia="仿宋"/>
          <w:color w:val="auto"/>
          <w:sz w:val="28"/>
          <w:szCs w:val="28"/>
          <w:highlight w:val="none"/>
        </w:rPr>
      </w:pPr>
      <w:r>
        <w:rPr>
          <w:rFonts w:hint="eastAsia" w:ascii="宋体" w:hAnsi="宋体" w:eastAsia="仿宋"/>
          <w:color w:val="auto"/>
          <w:sz w:val="28"/>
          <w:szCs w:val="28"/>
          <w:highlight w:val="none"/>
          <w:lang w:eastAsia="zh-CN"/>
        </w:rPr>
        <w:t>蚌埠医科大学第一附属医院数字化X射线摄影系统招标采购</w:t>
      </w:r>
      <w:r>
        <w:rPr>
          <w:rFonts w:ascii="宋体" w:hAnsi="宋体" w:eastAsia="仿宋"/>
          <w:color w:val="auto"/>
          <w:sz w:val="28"/>
          <w:szCs w:val="28"/>
          <w:highlight w:val="none"/>
        </w:rPr>
        <w:t>招标公告</w:t>
      </w:r>
    </w:p>
    <w:p w14:paraId="7DAC884E">
      <w:pPr>
        <w:rPr>
          <w:rFonts w:eastAsia="仿宋"/>
          <w:color w:val="auto"/>
          <w:sz w:val="28"/>
          <w:szCs w:val="28"/>
          <w:highlight w:val="none"/>
        </w:rPr>
      </w:pPr>
    </w:p>
    <w:p w14:paraId="2AAE5CFB">
      <w:pPr>
        <w:pBdr>
          <w:top w:val="single" w:color="auto" w:sz="4" w:space="1"/>
          <w:left w:val="single" w:color="auto" w:sz="4" w:space="4"/>
          <w:bottom w:val="single" w:color="auto" w:sz="4" w:space="13"/>
          <w:right w:val="single" w:color="auto" w:sz="4" w:space="4"/>
        </w:pBd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项目概况</w:t>
      </w:r>
    </w:p>
    <w:p w14:paraId="780EE6E7">
      <w:pPr>
        <w:pBdr>
          <w:top w:val="single" w:color="auto" w:sz="4" w:space="1"/>
          <w:left w:val="single" w:color="auto" w:sz="4" w:space="4"/>
          <w:bottom w:val="single" w:color="auto" w:sz="4" w:space="13"/>
          <w:right w:val="single" w:color="auto" w:sz="4" w:space="4"/>
        </w:pBd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lang w:eastAsia="zh-CN"/>
        </w:rPr>
        <w:t>蚌埠医科大学第一附属医院数字化X射线摄影系统招标采购</w:t>
      </w:r>
      <w:r>
        <w:rPr>
          <w:rFonts w:hint="eastAsia" w:ascii="宋体" w:hAnsi="宋体" w:eastAsia="仿宋"/>
          <w:color w:val="auto"/>
          <w:sz w:val="28"/>
          <w:szCs w:val="28"/>
          <w:highlight w:val="none"/>
        </w:rPr>
        <w:t>的潜在投标人应在</w:t>
      </w:r>
      <w:r>
        <w:rPr>
          <w:rFonts w:hint="eastAsia" w:ascii="楷体" w:hAnsi="楷体" w:eastAsia="仿宋"/>
          <w:color w:val="auto"/>
          <w:sz w:val="28"/>
          <w:szCs w:val="28"/>
          <w:highlight w:val="none"/>
        </w:rPr>
        <w:t xml:space="preserve">  优质采云采购平台</w:t>
      </w:r>
      <w:r>
        <w:rPr>
          <w:rFonts w:hint="eastAsia" w:ascii="宋体" w:hAnsi="宋体" w:eastAsia="仿宋"/>
          <w:color w:val="auto"/>
          <w:sz w:val="28"/>
          <w:szCs w:val="28"/>
          <w:highlight w:val="none"/>
        </w:rPr>
        <w:t>（http://www.youzhicai.com/） 获取招标文件，并于</w:t>
      </w:r>
      <w:r>
        <w:rPr>
          <w:rFonts w:hint="eastAsia" w:ascii="宋体" w:hAnsi="宋体" w:eastAsia="仿宋"/>
          <w:color w:val="auto"/>
          <w:sz w:val="28"/>
          <w:szCs w:val="28"/>
          <w:highlight w:val="none"/>
          <w:lang w:val="en-US" w:eastAsia="zh-CN"/>
        </w:rPr>
        <w:t>2025</w:t>
      </w:r>
      <w:r>
        <w:rPr>
          <w:rFonts w:hint="eastAsia" w:ascii="宋体" w:hAnsi="宋体" w:eastAsia="仿宋"/>
          <w:bCs/>
          <w:color w:val="auto"/>
          <w:sz w:val="28"/>
          <w:szCs w:val="28"/>
          <w:highlight w:val="none"/>
        </w:rPr>
        <w:t>年</w:t>
      </w:r>
      <w:r>
        <w:rPr>
          <w:rFonts w:hint="eastAsia" w:ascii="宋体" w:hAnsi="宋体" w:eastAsia="仿宋"/>
          <w:bCs/>
          <w:color w:val="auto"/>
          <w:sz w:val="28"/>
          <w:szCs w:val="28"/>
          <w:highlight w:val="none"/>
          <w:lang w:val="en-US" w:eastAsia="zh-CN"/>
        </w:rPr>
        <w:t>12</w:t>
      </w:r>
      <w:r>
        <w:rPr>
          <w:rFonts w:hint="eastAsia" w:ascii="宋体" w:hAnsi="宋体" w:eastAsia="仿宋"/>
          <w:bCs/>
          <w:color w:val="auto"/>
          <w:sz w:val="28"/>
          <w:szCs w:val="28"/>
          <w:highlight w:val="none"/>
        </w:rPr>
        <w:t>月</w:t>
      </w:r>
      <w:r>
        <w:rPr>
          <w:rFonts w:hint="eastAsia" w:ascii="宋体" w:hAnsi="宋体" w:eastAsia="仿宋"/>
          <w:bCs/>
          <w:color w:val="auto"/>
          <w:sz w:val="28"/>
          <w:szCs w:val="28"/>
          <w:highlight w:val="none"/>
          <w:lang w:val="en-US" w:eastAsia="zh-CN"/>
        </w:rPr>
        <w:t>19</w:t>
      </w:r>
      <w:r>
        <w:rPr>
          <w:rFonts w:hint="eastAsia" w:ascii="宋体" w:hAnsi="宋体" w:eastAsia="仿宋"/>
          <w:bCs/>
          <w:color w:val="auto"/>
          <w:sz w:val="28"/>
          <w:szCs w:val="28"/>
          <w:highlight w:val="none"/>
        </w:rPr>
        <w:t>日</w:t>
      </w:r>
      <w:r>
        <w:rPr>
          <w:rFonts w:hint="eastAsia" w:ascii="宋体" w:hAnsi="宋体" w:eastAsia="仿宋"/>
          <w:bCs/>
          <w:color w:val="auto"/>
          <w:sz w:val="28"/>
          <w:szCs w:val="28"/>
          <w:highlight w:val="none"/>
          <w:lang w:val="en-US" w:eastAsia="zh-CN"/>
        </w:rPr>
        <w:t>10</w:t>
      </w:r>
      <w:r>
        <w:rPr>
          <w:rFonts w:hint="eastAsia" w:ascii="宋体" w:hAnsi="宋体" w:eastAsia="仿宋"/>
          <w:bCs/>
          <w:color w:val="auto"/>
          <w:sz w:val="28"/>
          <w:szCs w:val="28"/>
          <w:highlight w:val="none"/>
        </w:rPr>
        <w:t>点</w:t>
      </w:r>
      <w:r>
        <w:rPr>
          <w:rFonts w:hint="eastAsia" w:ascii="宋体" w:hAnsi="宋体" w:eastAsia="仿宋"/>
          <w:bCs/>
          <w:color w:val="auto"/>
          <w:sz w:val="28"/>
          <w:szCs w:val="28"/>
          <w:highlight w:val="none"/>
          <w:lang w:val="en-US" w:eastAsia="zh-CN"/>
        </w:rPr>
        <w:t>00</w:t>
      </w:r>
      <w:r>
        <w:rPr>
          <w:rFonts w:hint="eastAsia" w:ascii="宋体" w:hAnsi="宋体" w:eastAsia="仿宋"/>
          <w:bCs/>
          <w:color w:val="auto"/>
          <w:sz w:val="28"/>
          <w:szCs w:val="28"/>
          <w:highlight w:val="none"/>
        </w:rPr>
        <w:t>分（北京时间）前递交投标</w:t>
      </w:r>
      <w:r>
        <w:rPr>
          <w:rFonts w:ascii="宋体" w:hAnsi="宋体" w:eastAsia="仿宋"/>
          <w:bCs/>
          <w:color w:val="auto"/>
          <w:sz w:val="28"/>
          <w:szCs w:val="28"/>
          <w:highlight w:val="none"/>
        </w:rPr>
        <w:t>文件</w:t>
      </w:r>
      <w:r>
        <w:rPr>
          <w:rFonts w:hint="eastAsia" w:ascii="宋体" w:hAnsi="宋体" w:eastAsia="仿宋"/>
          <w:color w:val="auto"/>
          <w:sz w:val="28"/>
          <w:szCs w:val="28"/>
          <w:highlight w:val="none"/>
        </w:rPr>
        <w:t>。</w:t>
      </w:r>
    </w:p>
    <w:p w14:paraId="267B459F">
      <w:pPr>
        <w:rPr>
          <w:rFonts w:ascii="宋体" w:hAnsi="宋体" w:eastAsia="仿宋"/>
          <w:color w:val="auto"/>
          <w:sz w:val="28"/>
          <w:szCs w:val="28"/>
          <w:highlight w:val="none"/>
        </w:rPr>
      </w:pPr>
    </w:p>
    <w:p w14:paraId="51D2FDB7">
      <w:pPr>
        <w:pStyle w:val="4"/>
        <w:widowControl/>
        <w:adjustRightInd w:val="0"/>
        <w:snapToGrid w:val="0"/>
        <w:spacing w:before="48" w:beforeLines="20" w:after="48" w:afterLines="20" w:line="360" w:lineRule="auto"/>
        <w:ind w:firstLine="504" w:firstLineChars="180"/>
        <w:rPr>
          <w:rStyle w:val="104"/>
          <w:rFonts w:hAnsi="宋体"/>
          <w:b w:val="0"/>
          <w:bCs w:val="0"/>
          <w:color w:val="auto"/>
          <w:sz w:val="28"/>
          <w:szCs w:val="28"/>
          <w:highlight w:val="none"/>
        </w:rPr>
      </w:pPr>
      <w:bookmarkStart w:id="2" w:name="_Toc28359002"/>
      <w:bookmarkStart w:id="3" w:name="_Toc35393621"/>
      <w:bookmarkStart w:id="4" w:name="_Toc28359079"/>
      <w:bookmarkStart w:id="5" w:name="_Toc35393790"/>
      <w:bookmarkStart w:id="6" w:name="_Hlk24379207"/>
      <w:r>
        <w:rPr>
          <w:rStyle w:val="104"/>
          <w:rFonts w:hint="eastAsia" w:hAnsi="宋体"/>
          <w:b w:val="0"/>
          <w:bCs w:val="0"/>
          <w:color w:val="auto"/>
          <w:sz w:val="28"/>
          <w:szCs w:val="28"/>
          <w:highlight w:val="none"/>
        </w:rPr>
        <w:t>一、项目基本情况</w:t>
      </w:r>
      <w:bookmarkEnd w:id="2"/>
      <w:bookmarkEnd w:id="3"/>
      <w:bookmarkEnd w:id="4"/>
      <w:bookmarkEnd w:id="5"/>
    </w:p>
    <w:p w14:paraId="605DE739">
      <w:pPr>
        <w:adjustRightInd w:val="0"/>
        <w:snapToGrid w:val="0"/>
        <w:spacing w:line="360" w:lineRule="auto"/>
        <w:ind w:firstLine="560" w:firstLineChars="200"/>
        <w:rPr>
          <w:rFonts w:hint="eastAsia" w:ascii="宋体" w:hAnsi="宋体" w:eastAsia="仿宋"/>
          <w:color w:val="auto"/>
          <w:sz w:val="28"/>
          <w:szCs w:val="28"/>
          <w:highlight w:val="none"/>
          <w:u w:val="single"/>
          <w:lang w:eastAsia="zh-CN"/>
        </w:rPr>
      </w:pPr>
      <w:r>
        <w:rPr>
          <w:rFonts w:hint="eastAsia" w:ascii="宋体" w:hAnsi="宋体" w:eastAsia="仿宋"/>
          <w:color w:val="auto"/>
          <w:sz w:val="28"/>
          <w:szCs w:val="28"/>
          <w:highlight w:val="none"/>
        </w:rPr>
        <w:t>项目编号：ZF2025-36-</w:t>
      </w:r>
      <w:r>
        <w:rPr>
          <w:rFonts w:hint="eastAsia" w:ascii="宋体" w:hAnsi="宋体" w:eastAsia="仿宋"/>
          <w:color w:val="auto"/>
          <w:sz w:val="28"/>
          <w:szCs w:val="28"/>
          <w:highlight w:val="none"/>
          <w:lang w:eastAsia="zh-CN"/>
        </w:rPr>
        <w:t>2013</w:t>
      </w:r>
    </w:p>
    <w:p w14:paraId="64F5AEB7">
      <w:pPr>
        <w:adjustRightInd w:val="0"/>
        <w:snapToGrid w:val="0"/>
        <w:spacing w:line="360" w:lineRule="auto"/>
        <w:ind w:firstLine="560" w:firstLineChars="200"/>
        <w:rPr>
          <w:rFonts w:hint="eastAsia" w:ascii="宋体" w:hAnsi="宋体" w:eastAsia="仿宋"/>
          <w:color w:val="auto"/>
          <w:sz w:val="28"/>
          <w:szCs w:val="28"/>
          <w:highlight w:val="none"/>
          <w:u w:val="single"/>
          <w:lang w:eastAsia="zh-CN"/>
        </w:rPr>
      </w:pPr>
      <w:r>
        <w:rPr>
          <w:rFonts w:hint="eastAsia" w:ascii="宋体" w:hAnsi="宋体" w:eastAsia="仿宋"/>
          <w:color w:val="auto"/>
          <w:sz w:val="28"/>
          <w:szCs w:val="28"/>
          <w:highlight w:val="none"/>
        </w:rPr>
        <w:t>项目名称：</w:t>
      </w:r>
      <w:r>
        <w:rPr>
          <w:rFonts w:hint="eastAsia" w:ascii="宋体" w:hAnsi="宋体" w:eastAsia="仿宋"/>
          <w:color w:val="auto"/>
          <w:sz w:val="28"/>
          <w:szCs w:val="28"/>
          <w:highlight w:val="none"/>
          <w:lang w:eastAsia="zh-CN"/>
        </w:rPr>
        <w:t>蚌埠医科大学第一附属医院数字化X射线摄影系统招标采购</w:t>
      </w:r>
    </w:p>
    <w:bookmarkEnd w:id="6"/>
    <w:p w14:paraId="7E125AEA">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预算金额：</w:t>
      </w:r>
      <w:r>
        <w:rPr>
          <w:rFonts w:hint="eastAsia" w:ascii="宋体" w:hAnsi="宋体" w:eastAsia="仿宋"/>
          <w:color w:val="auto"/>
          <w:sz w:val="28"/>
          <w:szCs w:val="28"/>
          <w:highlight w:val="none"/>
          <w:lang w:val="en-US" w:eastAsia="zh-CN"/>
        </w:rPr>
        <w:t>520</w:t>
      </w:r>
      <w:r>
        <w:rPr>
          <w:rFonts w:hint="eastAsia" w:ascii="宋体" w:hAnsi="宋体" w:eastAsia="仿宋"/>
          <w:color w:val="auto"/>
          <w:sz w:val="28"/>
          <w:szCs w:val="28"/>
          <w:highlight w:val="none"/>
        </w:rPr>
        <w:t xml:space="preserve">万元            </w:t>
      </w:r>
    </w:p>
    <w:p w14:paraId="75636E4B">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最高限价（如有）：</w:t>
      </w:r>
      <w:r>
        <w:rPr>
          <w:rFonts w:hint="eastAsia" w:ascii="宋体" w:hAnsi="宋体" w:eastAsia="仿宋"/>
          <w:color w:val="auto"/>
          <w:sz w:val="28"/>
          <w:szCs w:val="28"/>
          <w:highlight w:val="none"/>
          <w:lang w:val="en-US" w:eastAsia="zh-CN"/>
        </w:rPr>
        <w:t>520</w:t>
      </w:r>
      <w:r>
        <w:rPr>
          <w:rFonts w:hint="eastAsia" w:ascii="宋体" w:hAnsi="宋体" w:eastAsia="仿宋"/>
          <w:color w:val="auto"/>
          <w:sz w:val="28"/>
          <w:szCs w:val="28"/>
          <w:highlight w:val="none"/>
        </w:rPr>
        <w:t xml:space="preserve">万元          </w:t>
      </w:r>
    </w:p>
    <w:p w14:paraId="2B49ACE3">
      <w:pPr>
        <w:adjustRightInd w:val="0"/>
        <w:snapToGrid w:val="0"/>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采购需求：蚌埠医科大学第一附属医院本次拟采购</w:t>
      </w:r>
      <w:r>
        <w:rPr>
          <w:rFonts w:hint="eastAsia" w:ascii="宋体" w:hAnsi="宋体" w:eastAsia="仿宋"/>
          <w:color w:val="auto"/>
          <w:sz w:val="28"/>
          <w:szCs w:val="28"/>
          <w:highlight w:val="none"/>
          <w:lang w:eastAsia="zh-CN"/>
        </w:rPr>
        <w:t>数字化X射线摄影系统</w:t>
      </w:r>
      <w:r>
        <w:rPr>
          <w:rFonts w:hint="eastAsia" w:ascii="宋体" w:hAnsi="宋体" w:eastAsia="仿宋"/>
          <w:color w:val="auto"/>
          <w:sz w:val="28"/>
          <w:szCs w:val="28"/>
          <w:highlight w:val="none"/>
        </w:rPr>
        <w:t>。</w:t>
      </w:r>
    </w:p>
    <w:p w14:paraId="099540E7">
      <w:pPr>
        <w:spacing w:line="300" w:lineRule="auto"/>
        <w:jc w:val="center"/>
        <w:rPr>
          <w:rFonts w:hint="eastAsia" w:ascii="仿宋" w:hAnsi="仿宋" w:eastAsia="仿宋"/>
          <w:color w:val="auto"/>
          <w:sz w:val="28"/>
          <w:szCs w:val="28"/>
          <w:highlight w:val="none"/>
        </w:rPr>
      </w:pPr>
      <w:r>
        <w:rPr>
          <w:rFonts w:ascii="仿宋" w:hAnsi="仿宋" w:eastAsia="仿宋"/>
          <w:color w:val="auto"/>
          <w:sz w:val="28"/>
          <w:szCs w:val="28"/>
          <w:highlight w:val="none"/>
        </w:rPr>
        <w:t>采购货物一览表</w:t>
      </w:r>
    </w:p>
    <w:tbl>
      <w:tblPr>
        <w:tblStyle w:val="47"/>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4371"/>
        <w:gridCol w:w="1900"/>
        <w:gridCol w:w="1185"/>
      </w:tblGrid>
      <w:tr w14:paraId="3E8B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79" w:type="dxa"/>
            <w:noWrap w:val="0"/>
            <w:vAlign w:val="center"/>
          </w:tcPr>
          <w:p w14:paraId="40CCBC65">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序号</w:t>
            </w:r>
          </w:p>
        </w:tc>
        <w:tc>
          <w:tcPr>
            <w:tcW w:w="4371" w:type="dxa"/>
            <w:noWrap w:val="0"/>
            <w:vAlign w:val="center"/>
          </w:tcPr>
          <w:p w14:paraId="5979B2C2">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项目名称</w:t>
            </w:r>
          </w:p>
        </w:tc>
        <w:tc>
          <w:tcPr>
            <w:tcW w:w="1900" w:type="dxa"/>
            <w:noWrap w:val="0"/>
            <w:vAlign w:val="center"/>
          </w:tcPr>
          <w:p w14:paraId="428AA941">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设备数量（</w:t>
            </w:r>
            <w:r>
              <w:rPr>
                <w:rFonts w:hint="eastAsia" w:ascii="仿宋" w:hAnsi="仿宋" w:eastAsia="仿宋" w:cs="宋体"/>
                <w:b/>
                <w:bCs/>
                <w:color w:val="auto"/>
                <w:kern w:val="0"/>
                <w:sz w:val="24"/>
                <w:highlight w:val="none"/>
                <w:lang w:val="en-US" w:eastAsia="zh-CN"/>
              </w:rPr>
              <w:t>台</w:t>
            </w:r>
            <w:r>
              <w:rPr>
                <w:rFonts w:hint="eastAsia" w:ascii="仿宋" w:hAnsi="仿宋" w:eastAsia="仿宋" w:cs="宋体"/>
                <w:b/>
                <w:bCs/>
                <w:color w:val="auto"/>
                <w:kern w:val="0"/>
                <w:sz w:val="24"/>
                <w:highlight w:val="none"/>
              </w:rPr>
              <w:t>）</w:t>
            </w:r>
          </w:p>
        </w:tc>
        <w:tc>
          <w:tcPr>
            <w:tcW w:w="1185" w:type="dxa"/>
            <w:noWrap w:val="0"/>
            <w:vAlign w:val="center"/>
          </w:tcPr>
          <w:p w14:paraId="3723CF36">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备注</w:t>
            </w:r>
          </w:p>
        </w:tc>
      </w:tr>
      <w:tr w14:paraId="236E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79" w:type="dxa"/>
            <w:noWrap w:val="0"/>
            <w:vAlign w:val="center"/>
          </w:tcPr>
          <w:p w14:paraId="4B0BE643">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1</w:t>
            </w:r>
          </w:p>
        </w:tc>
        <w:tc>
          <w:tcPr>
            <w:tcW w:w="4371" w:type="dxa"/>
            <w:noWrap w:val="0"/>
            <w:vAlign w:val="center"/>
          </w:tcPr>
          <w:p w14:paraId="099EA978">
            <w:pPr>
              <w:keepNext w:val="0"/>
              <w:keepLines w:val="0"/>
              <w:widowControl/>
              <w:suppressLineNumbers w:val="0"/>
              <w:spacing w:before="0" w:beforeAutospacing="0" w:after="0" w:afterAutospacing="0"/>
              <w:ind w:left="0" w:right="0"/>
              <w:jc w:val="center"/>
              <w:rPr>
                <w:rFonts w:hint="eastAsia" w:ascii="仿宋" w:hAnsi="仿宋" w:eastAsia="仿宋" w:cs="宋体"/>
                <w:b/>
                <w:bCs/>
                <w:color w:val="auto"/>
                <w:kern w:val="0"/>
                <w:sz w:val="24"/>
                <w:highlight w:val="none"/>
                <w:lang w:eastAsia="zh-CN"/>
              </w:rPr>
            </w:pPr>
            <w:r>
              <w:rPr>
                <w:rFonts w:hint="eastAsia" w:ascii="仿宋" w:hAnsi="仿宋" w:eastAsia="仿宋" w:cs="宋体"/>
                <w:b/>
                <w:bCs/>
                <w:color w:val="auto"/>
                <w:kern w:val="0"/>
                <w:sz w:val="24"/>
                <w:highlight w:val="none"/>
                <w:lang w:eastAsia="zh-CN"/>
              </w:rPr>
              <w:t>数字化X射线摄影系统</w:t>
            </w:r>
          </w:p>
        </w:tc>
        <w:tc>
          <w:tcPr>
            <w:tcW w:w="1900" w:type="dxa"/>
            <w:noWrap w:val="0"/>
            <w:vAlign w:val="center"/>
          </w:tcPr>
          <w:p w14:paraId="104B9071">
            <w:pPr>
              <w:keepNext w:val="0"/>
              <w:keepLines w:val="0"/>
              <w:widowControl/>
              <w:suppressLineNumbers w:val="0"/>
              <w:spacing w:before="0" w:beforeAutospacing="0" w:after="0" w:afterAutospacing="0"/>
              <w:ind w:left="0" w:right="0"/>
              <w:jc w:val="center"/>
              <w:rPr>
                <w:rFonts w:hint="eastAsia" w:ascii="仿宋" w:hAnsi="仿宋" w:eastAsia="仿宋" w:cs="宋体"/>
                <w:b/>
                <w:bCs/>
                <w:color w:val="auto"/>
                <w:kern w:val="0"/>
                <w:sz w:val="24"/>
                <w:highlight w:val="none"/>
                <w:lang w:eastAsia="zh-CN"/>
              </w:rPr>
            </w:pPr>
            <w:r>
              <w:rPr>
                <w:rFonts w:hint="eastAsia" w:ascii="仿宋" w:hAnsi="仿宋" w:eastAsia="仿宋" w:cs="宋体"/>
                <w:b/>
                <w:bCs/>
                <w:color w:val="auto"/>
                <w:kern w:val="0"/>
                <w:sz w:val="24"/>
                <w:highlight w:val="none"/>
                <w:lang w:val="en-US" w:eastAsia="zh-CN"/>
              </w:rPr>
              <w:t>4</w:t>
            </w:r>
          </w:p>
        </w:tc>
        <w:tc>
          <w:tcPr>
            <w:tcW w:w="1185" w:type="dxa"/>
            <w:noWrap w:val="0"/>
            <w:vAlign w:val="center"/>
          </w:tcPr>
          <w:p w14:paraId="015D402E">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lang w:val="en-US" w:eastAsia="zh-CN"/>
              </w:rPr>
            </w:pPr>
          </w:p>
        </w:tc>
      </w:tr>
    </w:tbl>
    <w:p w14:paraId="64938EEB">
      <w:pPr>
        <w:adjustRightInd w:val="0"/>
        <w:snapToGrid w:val="0"/>
        <w:spacing w:line="360" w:lineRule="auto"/>
        <w:ind w:firstLine="560" w:firstLineChars="200"/>
        <w:rPr>
          <w:rFonts w:hint="eastAsia" w:ascii="宋体" w:hAnsi="宋体"/>
          <w:color w:val="auto"/>
          <w:sz w:val="28"/>
          <w:szCs w:val="28"/>
          <w:highlight w:val="none"/>
        </w:rPr>
      </w:pPr>
      <w:r>
        <w:rPr>
          <w:rFonts w:hint="eastAsia" w:ascii="宋体" w:hAnsi="宋体" w:eastAsia="仿宋"/>
          <w:color w:val="auto"/>
          <w:sz w:val="28"/>
          <w:szCs w:val="28"/>
          <w:highlight w:val="none"/>
        </w:rPr>
        <w:t>合同履行期限：交货期为合同签订后接院方供货通知后30天内。</w:t>
      </w:r>
    </w:p>
    <w:p w14:paraId="37F01310">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本项目</w:t>
      </w:r>
      <w:r>
        <w:rPr>
          <w:rFonts w:hint="eastAsia" w:ascii="楷体" w:hAnsi="楷体" w:eastAsia="仿宋"/>
          <w:color w:val="auto"/>
          <w:sz w:val="28"/>
          <w:szCs w:val="28"/>
          <w:highlight w:val="none"/>
        </w:rPr>
        <w:t>不接受</w:t>
      </w:r>
      <w:r>
        <w:rPr>
          <w:rFonts w:hint="eastAsia" w:ascii="宋体" w:hAnsi="宋体" w:eastAsia="仿宋"/>
          <w:color w:val="auto"/>
          <w:sz w:val="28"/>
          <w:szCs w:val="28"/>
          <w:highlight w:val="none"/>
        </w:rPr>
        <w:t>联合体投标。</w:t>
      </w:r>
      <w:bookmarkStart w:id="7" w:name="_Toc35393622"/>
      <w:bookmarkStart w:id="8" w:name="_Toc28359003"/>
      <w:bookmarkStart w:id="9" w:name="_Toc35393791"/>
      <w:bookmarkStart w:id="10" w:name="_Toc28359080"/>
    </w:p>
    <w:p w14:paraId="4692F269">
      <w:pPr>
        <w:pStyle w:val="4"/>
        <w:widowControl/>
        <w:adjustRightInd w:val="0"/>
        <w:snapToGrid w:val="0"/>
        <w:spacing w:before="48" w:beforeLines="20" w:after="48" w:afterLines="20" w:line="360" w:lineRule="auto"/>
        <w:ind w:firstLine="560" w:firstLineChars="200"/>
        <w:rPr>
          <w:rStyle w:val="104"/>
          <w:rFonts w:hAnsi="宋体"/>
          <w:b w:val="0"/>
          <w:bCs w:val="0"/>
          <w:color w:val="auto"/>
          <w:sz w:val="28"/>
          <w:szCs w:val="28"/>
          <w:highlight w:val="none"/>
        </w:rPr>
      </w:pPr>
      <w:r>
        <w:rPr>
          <w:rStyle w:val="104"/>
          <w:rFonts w:hint="eastAsia" w:hAnsi="宋体"/>
          <w:b w:val="0"/>
          <w:bCs w:val="0"/>
          <w:color w:val="auto"/>
          <w:sz w:val="28"/>
          <w:szCs w:val="28"/>
          <w:highlight w:val="none"/>
        </w:rPr>
        <w:t>二、申请人的资格要求：</w:t>
      </w:r>
      <w:bookmarkEnd w:id="7"/>
      <w:bookmarkEnd w:id="8"/>
      <w:bookmarkEnd w:id="9"/>
      <w:bookmarkEnd w:id="10"/>
    </w:p>
    <w:p w14:paraId="0A552E5B">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1.满足《中华人民共和国政府采购法》第二十二条规定；</w:t>
      </w:r>
    </w:p>
    <w:p w14:paraId="55B99126">
      <w:pPr>
        <w:adjustRightInd w:val="0"/>
        <w:snapToGrid w:val="0"/>
        <w:spacing w:line="360" w:lineRule="auto"/>
        <w:ind w:firstLine="560" w:firstLineChars="200"/>
        <w:rPr>
          <w:rFonts w:hint="eastAsia" w:ascii="仿宋" w:hAnsi="仿宋" w:eastAsia="仿宋" w:cs="楷体"/>
          <w:color w:val="auto"/>
          <w:sz w:val="28"/>
          <w:szCs w:val="28"/>
          <w:highlight w:val="none"/>
        </w:rPr>
      </w:pPr>
      <w:bookmarkStart w:id="11" w:name="_Toc28359081"/>
      <w:bookmarkStart w:id="12" w:name="_Toc28359004"/>
      <w:r>
        <w:rPr>
          <w:rFonts w:hint="eastAsia" w:ascii="宋体" w:hAnsi="宋体" w:eastAsia="仿宋"/>
          <w:color w:val="auto"/>
          <w:sz w:val="28"/>
          <w:szCs w:val="28"/>
          <w:highlight w:val="none"/>
        </w:rPr>
        <w:t>2.落实政府采购政策需满足的资格要求：</w:t>
      </w:r>
      <w:bookmarkStart w:id="13" w:name="_Toc35393623"/>
      <w:bookmarkStart w:id="14" w:name="_Toc35393792"/>
      <w:r>
        <w:rPr>
          <w:rFonts w:hint="eastAsia" w:ascii="仿宋" w:hAnsi="仿宋" w:eastAsia="仿宋" w:cs="楷体"/>
          <w:color w:val="auto"/>
          <w:sz w:val="28"/>
          <w:szCs w:val="28"/>
          <w:highlight w:val="none"/>
        </w:rPr>
        <w:t>无</w:t>
      </w:r>
    </w:p>
    <w:p w14:paraId="609742C5">
      <w:pPr>
        <w:adjustRightInd w:val="0"/>
        <w:snapToGrid w:val="0"/>
        <w:spacing w:line="360" w:lineRule="auto"/>
        <w:ind w:firstLine="560" w:firstLineChars="200"/>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3.本项目的特定资格要求：</w:t>
      </w:r>
    </w:p>
    <w:p w14:paraId="6906339E">
      <w:pPr>
        <w:widowControl/>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ascii="楷体" w:hAnsi="楷体" w:eastAsia="仿宋" w:cs="楷体"/>
          <w:color w:val="auto"/>
          <w:sz w:val="28"/>
          <w:szCs w:val="28"/>
          <w:highlight w:val="none"/>
        </w:rPr>
        <w:t>1.</w:t>
      </w:r>
      <w:r>
        <w:rPr>
          <w:rFonts w:hint="eastAsia" w:ascii="楷体" w:hAnsi="楷体" w:eastAsia="仿宋" w:cs="楷体"/>
          <w:color w:val="auto"/>
          <w:sz w:val="28"/>
          <w:szCs w:val="28"/>
          <w:highlight w:val="none"/>
        </w:rPr>
        <w:t>1在我国关境内注册的产品制造商或经销/代理商。</w:t>
      </w:r>
    </w:p>
    <w:p w14:paraId="3FBD994D">
      <w:pPr>
        <w:widowControl/>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ascii="楷体" w:hAnsi="楷体" w:eastAsia="仿宋" w:cs="楷体"/>
          <w:color w:val="auto"/>
          <w:sz w:val="28"/>
          <w:szCs w:val="28"/>
          <w:highlight w:val="none"/>
        </w:rPr>
        <w:t>1.</w:t>
      </w:r>
      <w:r>
        <w:rPr>
          <w:rFonts w:hint="eastAsia" w:ascii="楷体" w:hAnsi="楷体" w:eastAsia="仿宋" w:cs="楷体"/>
          <w:color w:val="auto"/>
          <w:sz w:val="28"/>
          <w:szCs w:val="28"/>
          <w:highlight w:val="none"/>
        </w:rPr>
        <w:t>2投标产品制造商在中国关境内时：若投标产品为第二类和第三类医疗器械，应提供有效的医疗器械生产许可证；若投标产品为第一类医疗器械，须在投标文件中提供备案证明材料或承诺函，承诺在合同签订前提供其向所在地设区的市级负责药品监督管理部门完成生产备案的证明材料，若未按规定提供视为自动放弃中标资格；</w:t>
      </w:r>
    </w:p>
    <w:p w14:paraId="3A949E9A">
      <w:pPr>
        <w:widowControl/>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ascii="楷体" w:hAnsi="楷体" w:eastAsia="仿宋" w:cs="楷体"/>
          <w:color w:val="auto"/>
          <w:sz w:val="28"/>
          <w:szCs w:val="28"/>
          <w:highlight w:val="none"/>
        </w:rPr>
        <w:t>1.</w:t>
      </w:r>
      <w:r>
        <w:rPr>
          <w:rFonts w:hint="eastAsia" w:ascii="楷体" w:hAnsi="楷体" w:eastAsia="仿宋" w:cs="楷体"/>
          <w:color w:val="auto"/>
          <w:sz w:val="28"/>
          <w:szCs w:val="28"/>
          <w:highlight w:val="none"/>
        </w:rPr>
        <w:t>3若投标产品为第二类和第三类医疗器械，投标产品须具有有效的医疗器械注册证；若投标产品为第一类医疗器械，须在投标文件中提供备案证明材料或承诺函，承诺在合同签订前提供其向相应药品监督管理部门完成产品备案的证明材料，若未按规定提供视为自动放弃中标资格；</w:t>
      </w:r>
    </w:p>
    <w:p w14:paraId="45B67DA0">
      <w:pPr>
        <w:widowControl/>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ascii="楷体" w:hAnsi="楷体" w:eastAsia="仿宋" w:cs="楷体"/>
          <w:color w:val="auto"/>
          <w:sz w:val="28"/>
          <w:szCs w:val="28"/>
          <w:highlight w:val="none"/>
        </w:rPr>
        <w:t>1.</w:t>
      </w:r>
      <w:r>
        <w:rPr>
          <w:rFonts w:hint="eastAsia" w:ascii="楷体" w:hAnsi="楷体" w:eastAsia="仿宋" w:cs="楷体"/>
          <w:color w:val="auto"/>
          <w:sz w:val="28"/>
          <w:szCs w:val="28"/>
          <w:highlight w:val="none"/>
        </w:rPr>
        <w:t>4供应商非所投产品制造商时：若投标产品为第三类医疗器械，应提供有效的医疗器械经营许可证；若投标产品为第二类医疗器械，须在投标文件中提供备案证明材料或承诺函，承诺在合同签订前提供其向所在地设区的市级负责药品监督管理部门完成经营备案的证明材料，若未按规定提供视为自动放弃中标资格；若投标产品在《免于经营备案的第二类医疗器械产品目录》中，可不提供备案证明材料或者承诺函，但需要投标文件中提供目录或说明；</w:t>
      </w:r>
    </w:p>
    <w:p w14:paraId="4ED29EC7">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3.2信誉要求</w:t>
      </w:r>
    </w:p>
    <w:p w14:paraId="4480892C">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截至提交投标文件截止时间，投标人（含其不具有独立法人资格的分支机构）存在下列有效情形之一的，其投标文件按无效处理。</w:t>
      </w:r>
    </w:p>
    <w:p w14:paraId="09EF5EC4">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（1）被人民法院列入失信被执行人名单的；</w:t>
      </w:r>
    </w:p>
    <w:p w14:paraId="17449178">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（2）被税务机关列入重大税收违法案件当事人名单的；</w:t>
      </w:r>
    </w:p>
    <w:p w14:paraId="4D56AA63">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（3）被财政部门列入政府采购严重违法失信名单的；</w:t>
      </w:r>
    </w:p>
    <w:p w14:paraId="06EBF34A">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5B3262CE">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注：“有效”是指“情形”规定的程度、起止期间处于有效状态。投标人为联合体的，对投标人的要求视同对联合体成员的要求。</w:t>
      </w:r>
    </w:p>
    <w:p w14:paraId="5A8F8496">
      <w:pPr>
        <w:pStyle w:val="4"/>
        <w:widowControl/>
        <w:adjustRightInd w:val="0"/>
        <w:snapToGrid w:val="0"/>
        <w:spacing w:before="48" w:beforeLines="20" w:after="48" w:afterLines="20" w:line="360" w:lineRule="auto"/>
        <w:ind w:firstLine="560" w:firstLineChars="200"/>
        <w:rPr>
          <w:rStyle w:val="104"/>
          <w:rFonts w:hAnsi="宋体"/>
          <w:b w:val="0"/>
          <w:bCs w:val="0"/>
          <w:color w:val="auto"/>
          <w:sz w:val="28"/>
          <w:szCs w:val="28"/>
          <w:highlight w:val="none"/>
        </w:rPr>
      </w:pPr>
      <w:r>
        <w:rPr>
          <w:rStyle w:val="104"/>
          <w:rFonts w:hint="eastAsia" w:hAnsi="宋体"/>
          <w:b w:val="0"/>
          <w:bCs w:val="0"/>
          <w:color w:val="auto"/>
          <w:sz w:val="28"/>
          <w:szCs w:val="28"/>
          <w:highlight w:val="none"/>
        </w:rPr>
        <w:t>三、获取招标文件</w:t>
      </w:r>
      <w:bookmarkEnd w:id="11"/>
      <w:bookmarkEnd w:id="12"/>
      <w:bookmarkEnd w:id="13"/>
      <w:bookmarkEnd w:id="14"/>
    </w:p>
    <w:p w14:paraId="7D080BAE">
      <w:pPr>
        <w:adjustRightInd w:val="0"/>
        <w:snapToGrid w:val="0"/>
        <w:spacing w:line="360" w:lineRule="auto"/>
        <w:ind w:firstLine="540"/>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时间：</w:t>
      </w:r>
      <w:r>
        <w:rPr>
          <w:rFonts w:hint="eastAsia" w:ascii="宋体" w:hAnsi="宋体" w:eastAsia="仿宋" w:cs="宋体"/>
          <w:color w:val="auto"/>
          <w:sz w:val="28"/>
          <w:szCs w:val="28"/>
          <w:highlight w:val="none"/>
          <w:u w:val="single"/>
          <w:lang w:val="en-US" w:eastAsia="zh-CN"/>
        </w:rPr>
        <w:t>2025</w:t>
      </w:r>
      <w:r>
        <w:rPr>
          <w:rFonts w:hint="eastAsia" w:ascii="宋体" w:hAnsi="宋体" w:eastAsia="仿宋" w:cs="宋体"/>
          <w:color w:val="auto"/>
          <w:sz w:val="28"/>
          <w:szCs w:val="28"/>
          <w:highlight w:val="none"/>
          <w:u w:val="single"/>
        </w:rPr>
        <w:t>年</w:t>
      </w:r>
      <w:r>
        <w:rPr>
          <w:rFonts w:hint="eastAsia" w:ascii="宋体" w:hAnsi="宋体" w:eastAsia="仿宋" w:cs="宋体"/>
          <w:color w:val="auto"/>
          <w:sz w:val="28"/>
          <w:szCs w:val="28"/>
          <w:highlight w:val="none"/>
          <w:u w:val="single"/>
          <w:lang w:val="en-US" w:eastAsia="zh-CN"/>
        </w:rPr>
        <w:t>11</w:t>
      </w:r>
      <w:r>
        <w:rPr>
          <w:rFonts w:hint="eastAsia" w:ascii="宋体" w:hAnsi="宋体" w:eastAsia="仿宋" w:cs="宋体"/>
          <w:color w:val="auto"/>
          <w:sz w:val="28"/>
          <w:szCs w:val="28"/>
          <w:highlight w:val="none"/>
          <w:u w:val="single"/>
        </w:rPr>
        <w:t>月</w:t>
      </w:r>
      <w:r>
        <w:rPr>
          <w:rFonts w:hint="eastAsia" w:ascii="宋体" w:hAnsi="宋体" w:eastAsia="仿宋" w:cs="宋体"/>
          <w:color w:val="auto"/>
          <w:sz w:val="28"/>
          <w:szCs w:val="28"/>
          <w:highlight w:val="none"/>
          <w:u w:val="single"/>
          <w:lang w:val="en-US" w:eastAsia="zh-CN"/>
        </w:rPr>
        <w:t>28</w:t>
      </w:r>
      <w:r>
        <w:rPr>
          <w:rFonts w:hint="eastAsia" w:ascii="宋体" w:hAnsi="宋体" w:eastAsia="仿宋" w:cs="宋体"/>
          <w:color w:val="auto"/>
          <w:sz w:val="28"/>
          <w:szCs w:val="28"/>
          <w:highlight w:val="none"/>
          <w:u w:val="single"/>
        </w:rPr>
        <w:t>日</w:t>
      </w:r>
      <w:r>
        <w:rPr>
          <w:rFonts w:hint="eastAsia" w:ascii="宋体" w:hAnsi="宋体" w:eastAsia="仿宋" w:cs="宋体"/>
          <w:color w:val="auto"/>
          <w:sz w:val="28"/>
          <w:szCs w:val="28"/>
          <w:highlight w:val="none"/>
        </w:rPr>
        <w:t>至</w:t>
      </w:r>
      <w:r>
        <w:rPr>
          <w:rFonts w:hint="eastAsia" w:ascii="宋体" w:hAnsi="宋体" w:eastAsia="仿宋" w:cs="宋体"/>
          <w:color w:val="auto"/>
          <w:sz w:val="28"/>
          <w:szCs w:val="28"/>
          <w:highlight w:val="none"/>
          <w:u w:val="single"/>
          <w:lang w:val="en-US" w:eastAsia="zh-CN"/>
        </w:rPr>
        <w:t>2025</w:t>
      </w:r>
      <w:r>
        <w:rPr>
          <w:rFonts w:hint="eastAsia" w:ascii="宋体" w:hAnsi="宋体" w:eastAsia="仿宋" w:cs="宋体"/>
          <w:color w:val="auto"/>
          <w:sz w:val="28"/>
          <w:szCs w:val="28"/>
          <w:highlight w:val="none"/>
          <w:u w:val="single"/>
        </w:rPr>
        <w:t>年</w:t>
      </w:r>
      <w:r>
        <w:rPr>
          <w:rFonts w:hint="eastAsia" w:ascii="宋体" w:hAnsi="宋体" w:eastAsia="仿宋" w:cs="宋体"/>
          <w:color w:val="auto"/>
          <w:sz w:val="28"/>
          <w:szCs w:val="28"/>
          <w:highlight w:val="none"/>
          <w:u w:val="single"/>
          <w:lang w:val="en-US" w:eastAsia="zh-CN"/>
        </w:rPr>
        <w:t>12</w:t>
      </w:r>
      <w:r>
        <w:rPr>
          <w:rFonts w:hint="eastAsia" w:ascii="宋体" w:hAnsi="宋体" w:eastAsia="仿宋" w:cs="宋体"/>
          <w:color w:val="auto"/>
          <w:sz w:val="28"/>
          <w:szCs w:val="28"/>
          <w:highlight w:val="none"/>
          <w:u w:val="single"/>
        </w:rPr>
        <w:t>月</w:t>
      </w:r>
      <w:r>
        <w:rPr>
          <w:rFonts w:hint="eastAsia" w:ascii="宋体" w:hAnsi="宋体" w:eastAsia="仿宋" w:cs="宋体"/>
          <w:color w:val="auto"/>
          <w:sz w:val="28"/>
          <w:szCs w:val="28"/>
          <w:highlight w:val="none"/>
          <w:u w:val="single"/>
          <w:lang w:val="en-US" w:eastAsia="zh-CN"/>
        </w:rPr>
        <w:t>5</w:t>
      </w:r>
      <w:r>
        <w:rPr>
          <w:rFonts w:hint="eastAsia" w:ascii="宋体" w:hAnsi="宋体" w:eastAsia="仿宋" w:cs="宋体"/>
          <w:color w:val="auto"/>
          <w:sz w:val="28"/>
          <w:szCs w:val="28"/>
          <w:highlight w:val="none"/>
          <w:u w:val="single"/>
        </w:rPr>
        <w:t>日</w:t>
      </w:r>
      <w:r>
        <w:rPr>
          <w:rFonts w:hint="eastAsia" w:ascii="宋体" w:hAnsi="宋体" w:eastAsia="仿宋" w:cs="宋体"/>
          <w:color w:val="auto"/>
          <w:sz w:val="28"/>
          <w:szCs w:val="28"/>
          <w:highlight w:val="none"/>
        </w:rPr>
        <w:t>（北京时间，</w:t>
      </w:r>
      <w:r>
        <w:rPr>
          <w:rFonts w:ascii="宋体" w:hAnsi="宋体" w:eastAsia="仿宋" w:cs="宋体"/>
          <w:color w:val="auto"/>
          <w:sz w:val="28"/>
          <w:szCs w:val="28"/>
          <w:highlight w:val="none"/>
        </w:rPr>
        <w:t>法定节假日</w:t>
      </w:r>
      <w:r>
        <w:rPr>
          <w:rFonts w:hint="eastAsia" w:ascii="宋体" w:hAnsi="宋体" w:eastAsia="仿宋" w:cs="宋体"/>
          <w:color w:val="auto"/>
          <w:sz w:val="28"/>
          <w:szCs w:val="28"/>
          <w:highlight w:val="none"/>
        </w:rPr>
        <w:t>除外）。</w:t>
      </w:r>
    </w:p>
    <w:p w14:paraId="079CF120">
      <w:pPr>
        <w:adjustRightInd w:val="0"/>
        <w:snapToGrid w:val="0"/>
        <w:spacing w:line="360" w:lineRule="auto"/>
        <w:ind w:firstLine="540"/>
        <w:rPr>
          <w:rFonts w:eastAsia="仿宋"/>
          <w:color w:val="auto"/>
          <w:sz w:val="28"/>
          <w:szCs w:val="28"/>
          <w:highlight w:val="none"/>
        </w:rPr>
      </w:pPr>
      <w:r>
        <w:rPr>
          <w:rFonts w:hint="eastAsia" w:eastAsia="仿宋"/>
          <w:color w:val="auto"/>
          <w:sz w:val="28"/>
          <w:szCs w:val="28"/>
          <w:highlight w:val="none"/>
        </w:rPr>
        <w:t>地点：</w:t>
      </w:r>
      <w:r>
        <w:rPr>
          <w:rFonts w:hint="eastAsia" w:ascii="楷体" w:hAnsi="楷体" w:eastAsia="仿宋"/>
          <w:color w:val="auto"/>
          <w:sz w:val="28"/>
          <w:szCs w:val="28"/>
          <w:highlight w:val="none"/>
        </w:rPr>
        <w:t>“优质采云采购平台”（http://www.youzhicai.com/）</w:t>
      </w:r>
    </w:p>
    <w:p w14:paraId="391A793E">
      <w:pPr>
        <w:adjustRightInd w:val="0"/>
        <w:snapToGrid w:val="0"/>
        <w:spacing w:line="360" w:lineRule="auto"/>
        <w:ind w:firstLine="540"/>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方式：</w:t>
      </w:r>
      <w:r>
        <w:rPr>
          <w:rFonts w:hint="eastAsia" w:ascii="楷体" w:hAnsi="楷体" w:eastAsia="仿宋"/>
          <w:color w:val="auto"/>
          <w:sz w:val="28"/>
          <w:szCs w:val="28"/>
          <w:highlight w:val="none"/>
        </w:rPr>
        <w:t>在线下载</w:t>
      </w:r>
    </w:p>
    <w:p w14:paraId="6841D3A9">
      <w:pPr>
        <w:adjustRightInd w:val="0"/>
        <w:snapToGrid w:val="0"/>
        <w:spacing w:line="360" w:lineRule="auto"/>
        <w:ind w:firstLine="540"/>
        <w:rPr>
          <w:rFonts w:hint="eastAsia" w:ascii="宋体" w:hAnsi="宋体" w:eastAsia="仿宋" w:cs="宋体"/>
          <w:color w:val="auto"/>
          <w:sz w:val="28"/>
          <w:szCs w:val="28"/>
          <w:highlight w:val="none"/>
          <w:u w:val="single"/>
        </w:rPr>
      </w:pPr>
      <w:r>
        <w:rPr>
          <w:rFonts w:hint="eastAsia" w:ascii="宋体" w:hAnsi="宋体" w:eastAsia="仿宋" w:cs="宋体"/>
          <w:color w:val="auto"/>
          <w:sz w:val="28"/>
          <w:szCs w:val="28"/>
          <w:highlight w:val="none"/>
        </w:rPr>
        <w:t>售价(元)：0</w:t>
      </w:r>
    </w:p>
    <w:p w14:paraId="7B3AC5EA">
      <w:pPr>
        <w:pStyle w:val="4"/>
        <w:widowControl/>
        <w:adjustRightInd w:val="0"/>
        <w:snapToGrid w:val="0"/>
        <w:spacing w:before="48" w:beforeLines="20" w:after="48" w:afterLines="20" w:line="360" w:lineRule="auto"/>
        <w:ind w:firstLine="560" w:firstLineChars="200"/>
        <w:rPr>
          <w:rStyle w:val="104"/>
          <w:rFonts w:hAnsi="宋体"/>
          <w:b w:val="0"/>
          <w:bCs w:val="0"/>
          <w:color w:val="auto"/>
          <w:sz w:val="28"/>
          <w:szCs w:val="28"/>
          <w:highlight w:val="none"/>
        </w:rPr>
      </w:pPr>
      <w:bookmarkStart w:id="15" w:name="_Toc28359082"/>
      <w:bookmarkStart w:id="16" w:name="_Toc28359005"/>
      <w:bookmarkStart w:id="17" w:name="_Toc35393793"/>
      <w:bookmarkStart w:id="18" w:name="_Toc35393624"/>
      <w:r>
        <w:rPr>
          <w:rStyle w:val="104"/>
          <w:rFonts w:hint="eastAsia" w:hAnsi="宋体"/>
          <w:b w:val="0"/>
          <w:bCs w:val="0"/>
          <w:color w:val="auto"/>
          <w:sz w:val="28"/>
          <w:szCs w:val="28"/>
          <w:highlight w:val="none"/>
        </w:rPr>
        <w:t>四、提交投标文件</w:t>
      </w:r>
      <w:bookmarkEnd w:id="15"/>
      <w:bookmarkEnd w:id="16"/>
      <w:r>
        <w:rPr>
          <w:rStyle w:val="104"/>
          <w:rFonts w:hint="eastAsia" w:hAnsi="宋体"/>
          <w:b w:val="0"/>
          <w:bCs w:val="0"/>
          <w:color w:val="auto"/>
          <w:sz w:val="28"/>
          <w:szCs w:val="28"/>
          <w:highlight w:val="none"/>
        </w:rPr>
        <w:t>截止时间、开标时间和地点</w:t>
      </w:r>
      <w:bookmarkEnd w:id="17"/>
      <w:bookmarkEnd w:id="18"/>
    </w:p>
    <w:p w14:paraId="13BA3BE0">
      <w:pPr>
        <w:adjustRightInd w:val="0"/>
        <w:snapToGrid w:val="0"/>
        <w:spacing w:line="360" w:lineRule="auto"/>
        <w:ind w:firstLine="660" w:firstLineChars="236"/>
        <w:rPr>
          <w:rFonts w:ascii="楷体" w:hAnsi="楷体" w:eastAsia="仿宋"/>
          <w:color w:val="auto"/>
          <w:sz w:val="28"/>
          <w:szCs w:val="28"/>
          <w:highlight w:val="none"/>
          <w:u w:val="single"/>
        </w:rPr>
      </w:pPr>
      <w:r>
        <w:rPr>
          <w:rFonts w:hint="eastAsia" w:ascii="宋体" w:hAnsi="宋体" w:eastAsia="仿宋"/>
          <w:bCs/>
          <w:color w:val="auto"/>
          <w:sz w:val="28"/>
          <w:szCs w:val="28"/>
          <w:highlight w:val="none"/>
          <w:u w:val="single"/>
          <w:lang w:val="en-US" w:eastAsia="zh-CN"/>
        </w:rPr>
        <w:t>2025</w:t>
      </w:r>
      <w:r>
        <w:rPr>
          <w:rFonts w:hint="eastAsia" w:ascii="宋体" w:hAnsi="宋体" w:eastAsia="仿宋"/>
          <w:bCs/>
          <w:color w:val="auto"/>
          <w:sz w:val="28"/>
          <w:szCs w:val="28"/>
          <w:highlight w:val="none"/>
          <w:u w:val="single"/>
        </w:rPr>
        <w:t>年</w:t>
      </w:r>
      <w:r>
        <w:rPr>
          <w:rFonts w:hint="eastAsia" w:ascii="宋体" w:hAnsi="宋体" w:eastAsia="仿宋"/>
          <w:bCs/>
          <w:color w:val="auto"/>
          <w:sz w:val="28"/>
          <w:szCs w:val="28"/>
          <w:highlight w:val="none"/>
          <w:u w:val="single"/>
          <w:lang w:val="en-US" w:eastAsia="zh-CN"/>
        </w:rPr>
        <w:t>12</w:t>
      </w:r>
      <w:r>
        <w:rPr>
          <w:rFonts w:hint="eastAsia" w:ascii="宋体" w:hAnsi="宋体" w:eastAsia="仿宋"/>
          <w:bCs/>
          <w:color w:val="auto"/>
          <w:sz w:val="28"/>
          <w:szCs w:val="28"/>
          <w:highlight w:val="none"/>
          <w:u w:val="single"/>
        </w:rPr>
        <w:t>月</w:t>
      </w:r>
      <w:r>
        <w:rPr>
          <w:rFonts w:hint="eastAsia" w:ascii="宋体" w:hAnsi="宋体" w:eastAsia="仿宋"/>
          <w:bCs/>
          <w:color w:val="auto"/>
          <w:sz w:val="28"/>
          <w:szCs w:val="28"/>
          <w:highlight w:val="none"/>
          <w:u w:val="single"/>
          <w:lang w:val="en-US" w:eastAsia="zh-CN"/>
        </w:rPr>
        <w:t>19</w:t>
      </w:r>
      <w:r>
        <w:rPr>
          <w:rFonts w:hint="eastAsia" w:ascii="宋体" w:hAnsi="宋体" w:eastAsia="仿宋"/>
          <w:bCs/>
          <w:color w:val="auto"/>
          <w:sz w:val="28"/>
          <w:szCs w:val="28"/>
          <w:highlight w:val="none"/>
          <w:u w:val="single"/>
        </w:rPr>
        <w:t>日</w:t>
      </w:r>
      <w:r>
        <w:rPr>
          <w:rFonts w:hint="eastAsia" w:ascii="宋体" w:hAnsi="宋体" w:eastAsia="仿宋"/>
          <w:bCs/>
          <w:color w:val="auto"/>
          <w:sz w:val="28"/>
          <w:szCs w:val="28"/>
          <w:highlight w:val="none"/>
          <w:u w:val="single"/>
          <w:lang w:val="en-US" w:eastAsia="zh-CN"/>
        </w:rPr>
        <w:t>10</w:t>
      </w:r>
      <w:r>
        <w:rPr>
          <w:rFonts w:hint="eastAsia" w:ascii="宋体" w:hAnsi="宋体" w:eastAsia="仿宋"/>
          <w:bCs/>
          <w:color w:val="auto"/>
          <w:sz w:val="28"/>
          <w:szCs w:val="28"/>
          <w:highlight w:val="none"/>
          <w:u w:val="single"/>
        </w:rPr>
        <w:t>点</w:t>
      </w:r>
      <w:r>
        <w:rPr>
          <w:rFonts w:hint="eastAsia" w:ascii="宋体" w:hAnsi="宋体" w:eastAsia="仿宋"/>
          <w:bCs/>
          <w:color w:val="auto"/>
          <w:sz w:val="28"/>
          <w:szCs w:val="28"/>
          <w:highlight w:val="none"/>
          <w:u w:val="single"/>
          <w:lang w:val="en-US" w:eastAsia="zh-CN"/>
        </w:rPr>
        <w:t>00</w:t>
      </w:r>
      <w:r>
        <w:rPr>
          <w:rFonts w:hint="eastAsia" w:ascii="宋体" w:hAnsi="宋体" w:eastAsia="仿宋"/>
          <w:bCs/>
          <w:color w:val="auto"/>
          <w:sz w:val="28"/>
          <w:szCs w:val="28"/>
          <w:highlight w:val="none"/>
          <w:u w:val="single"/>
        </w:rPr>
        <w:t>分</w:t>
      </w:r>
      <w:r>
        <w:rPr>
          <w:rFonts w:hint="eastAsia" w:ascii="宋体" w:hAnsi="宋体" w:eastAsia="仿宋"/>
          <w:bCs/>
          <w:color w:val="auto"/>
          <w:sz w:val="28"/>
          <w:szCs w:val="28"/>
          <w:highlight w:val="none"/>
        </w:rPr>
        <w:t>（北京时间）</w:t>
      </w:r>
    </w:p>
    <w:p w14:paraId="32567175">
      <w:pPr>
        <w:adjustRightInd w:val="0"/>
        <w:snapToGrid w:val="0"/>
        <w:spacing w:line="360" w:lineRule="auto"/>
        <w:ind w:firstLine="660" w:firstLineChars="236"/>
        <w:rPr>
          <w:rFonts w:ascii="宋体" w:hAnsi="宋体" w:eastAsia="仿宋"/>
          <w:color w:val="auto"/>
          <w:sz w:val="28"/>
          <w:szCs w:val="28"/>
          <w:highlight w:val="none"/>
        </w:rPr>
      </w:pPr>
      <w:r>
        <w:rPr>
          <w:rFonts w:hint="eastAsia" w:ascii="宋体" w:hAnsi="宋体" w:eastAsia="仿宋"/>
          <w:color w:val="auto"/>
          <w:sz w:val="28"/>
          <w:szCs w:val="28"/>
          <w:highlight w:val="none"/>
        </w:rPr>
        <w:t>地点：</w:t>
      </w:r>
      <w:bookmarkStart w:id="19" w:name="_Hlk44253880"/>
      <w:r>
        <w:rPr>
          <w:rFonts w:hint="eastAsia" w:ascii="楷体" w:hAnsi="楷体" w:eastAsia="仿宋"/>
          <w:color w:val="auto"/>
          <w:sz w:val="28"/>
          <w:szCs w:val="28"/>
          <w:highlight w:val="none"/>
        </w:rPr>
        <w:t>线上开标：“优质采云采购平台”（http://www.youzhicai.com/）；</w:t>
      </w:r>
      <w:bookmarkEnd w:id="19"/>
    </w:p>
    <w:p w14:paraId="4AC6AFC7">
      <w:pPr>
        <w:pStyle w:val="4"/>
        <w:widowControl/>
        <w:adjustRightInd w:val="0"/>
        <w:snapToGrid w:val="0"/>
        <w:spacing w:before="48" w:beforeLines="20" w:after="48" w:afterLines="20" w:line="360" w:lineRule="auto"/>
        <w:ind w:firstLine="560" w:firstLineChars="200"/>
        <w:rPr>
          <w:rStyle w:val="104"/>
          <w:rFonts w:hAnsi="宋体"/>
          <w:b w:val="0"/>
          <w:bCs w:val="0"/>
          <w:color w:val="auto"/>
          <w:sz w:val="28"/>
          <w:szCs w:val="28"/>
          <w:highlight w:val="none"/>
        </w:rPr>
      </w:pPr>
      <w:bookmarkStart w:id="20" w:name="_Toc35393625"/>
      <w:bookmarkStart w:id="21" w:name="_Toc28359084"/>
      <w:bookmarkStart w:id="22" w:name="_Toc28359007"/>
      <w:bookmarkStart w:id="23" w:name="_Toc35393794"/>
      <w:r>
        <w:rPr>
          <w:rStyle w:val="104"/>
          <w:rFonts w:hint="eastAsia" w:hAnsi="宋体"/>
          <w:b w:val="0"/>
          <w:bCs w:val="0"/>
          <w:color w:val="auto"/>
          <w:sz w:val="28"/>
          <w:szCs w:val="28"/>
          <w:highlight w:val="none"/>
        </w:rPr>
        <w:t>五、公告期限</w:t>
      </w:r>
      <w:bookmarkEnd w:id="20"/>
      <w:bookmarkEnd w:id="21"/>
      <w:bookmarkEnd w:id="22"/>
      <w:bookmarkEnd w:id="23"/>
    </w:p>
    <w:p w14:paraId="44C9B7E5">
      <w:pPr>
        <w:adjustRightInd w:val="0"/>
        <w:snapToGrid w:val="0"/>
        <w:spacing w:line="360" w:lineRule="auto"/>
        <w:ind w:firstLine="660" w:firstLineChars="236"/>
        <w:rPr>
          <w:rFonts w:ascii="宋体" w:hAnsi="宋体" w:eastAsia="仿宋" w:cs="宋体"/>
          <w:color w:val="auto"/>
          <w:kern w:val="0"/>
          <w:sz w:val="28"/>
          <w:szCs w:val="28"/>
          <w:highlight w:val="none"/>
        </w:rPr>
      </w:pPr>
      <w:r>
        <w:rPr>
          <w:rFonts w:hint="eastAsia" w:ascii="宋体" w:hAnsi="宋体" w:eastAsia="仿宋" w:cs="宋体"/>
          <w:color w:val="auto"/>
          <w:kern w:val="0"/>
          <w:sz w:val="28"/>
          <w:szCs w:val="28"/>
          <w:highlight w:val="none"/>
        </w:rPr>
        <w:t>自本公告发布之日起5个工作日。</w:t>
      </w:r>
    </w:p>
    <w:p w14:paraId="34A34AE8">
      <w:pPr>
        <w:pStyle w:val="4"/>
        <w:widowControl/>
        <w:adjustRightInd w:val="0"/>
        <w:snapToGrid w:val="0"/>
        <w:spacing w:before="48" w:beforeLines="20" w:after="48" w:afterLines="20" w:line="360" w:lineRule="auto"/>
        <w:ind w:firstLine="560" w:firstLineChars="200"/>
        <w:rPr>
          <w:rStyle w:val="104"/>
          <w:rFonts w:hAnsi="宋体"/>
          <w:b w:val="0"/>
          <w:bCs w:val="0"/>
          <w:color w:val="auto"/>
          <w:sz w:val="28"/>
          <w:szCs w:val="28"/>
          <w:highlight w:val="none"/>
        </w:rPr>
      </w:pPr>
      <w:bookmarkStart w:id="24" w:name="_Toc35393626"/>
      <w:bookmarkStart w:id="25" w:name="_Toc35393795"/>
      <w:r>
        <w:rPr>
          <w:rStyle w:val="104"/>
          <w:rFonts w:hint="eastAsia" w:hAnsi="宋体"/>
          <w:b w:val="0"/>
          <w:bCs w:val="0"/>
          <w:color w:val="auto"/>
          <w:sz w:val="28"/>
          <w:szCs w:val="28"/>
          <w:highlight w:val="none"/>
        </w:rPr>
        <w:t>六、其他补充事宜</w:t>
      </w:r>
      <w:bookmarkEnd w:id="24"/>
      <w:bookmarkEnd w:id="25"/>
    </w:p>
    <w:p w14:paraId="5967E1DC">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1.本项目相关信息同时在“安徽省政府采购网、中国招标投标公共服务平台（www.cebpubservice.com）、安徽省招标投标信息网（www.ahtba.org.cn）、优质采云采购平台（网址：www.youzhicai.com）、优质采招标采购平台（www.yzczb.com）”等媒介上发布；</w:t>
      </w:r>
    </w:p>
    <w:p w14:paraId="68226EA9">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2.本项目需落实的节能环保、中小企业扶持等相关政府采购政策详见招标文件。</w:t>
      </w:r>
    </w:p>
    <w:p w14:paraId="39FFC023">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3.政府采购电子化交易要求：</w:t>
      </w:r>
    </w:p>
    <w:p w14:paraId="0A76BA4B">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（1）潜在投标人/供应商须登录“优质采云采购平台”（网址：</w:t>
      </w:r>
      <w:r>
        <w:rPr>
          <w:rFonts w:ascii="宋体" w:hAnsi="宋体" w:eastAsia="仿宋"/>
          <w:color w:val="auto"/>
          <w:sz w:val="28"/>
          <w:szCs w:val="28"/>
          <w:highlight w:val="none"/>
        </w:rPr>
        <w:fldChar w:fldCharType="begin"/>
      </w:r>
      <w:r>
        <w:rPr>
          <w:rFonts w:ascii="宋体" w:hAnsi="宋体" w:eastAsia="仿宋"/>
          <w:color w:val="auto"/>
          <w:sz w:val="28"/>
          <w:szCs w:val="28"/>
          <w:highlight w:val="none"/>
        </w:rPr>
        <w:instrText xml:space="preserve"> HYPERLINK "http://www.youzhicai.com" </w:instrText>
      </w:r>
      <w:r>
        <w:rPr>
          <w:rFonts w:ascii="宋体" w:hAnsi="宋体" w:eastAsia="仿宋"/>
          <w:color w:val="auto"/>
          <w:sz w:val="28"/>
          <w:szCs w:val="28"/>
          <w:highlight w:val="none"/>
        </w:rPr>
        <w:fldChar w:fldCharType="separate"/>
      </w:r>
      <w:r>
        <w:rPr>
          <w:rFonts w:hint="eastAsia" w:eastAsia="仿宋"/>
          <w:color w:val="auto"/>
          <w:sz w:val="28"/>
          <w:szCs w:val="28"/>
          <w:highlight w:val="none"/>
        </w:rPr>
        <w:t>www.youzhicai.com</w:t>
      </w:r>
      <w:r>
        <w:rPr>
          <w:rFonts w:eastAsia="仿宋"/>
          <w:color w:val="auto"/>
          <w:sz w:val="28"/>
          <w:szCs w:val="28"/>
          <w:highlight w:val="none"/>
        </w:rPr>
        <w:fldChar w:fldCharType="end"/>
      </w:r>
      <w:r>
        <w:rPr>
          <w:rFonts w:hint="eastAsia" w:ascii="宋体" w:hAnsi="宋体" w:eastAsia="仿宋"/>
          <w:color w:val="auto"/>
          <w:sz w:val="28"/>
          <w:szCs w:val="28"/>
          <w:highlight w:val="none"/>
        </w:rPr>
        <w:t>，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657723D4">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2）已注册的潜在投标人/供应商可登录优质采平台获取招标采购文件，本项目的招标采购文件及其他资料（含澄清、答疑及相关补充文件）通过优质采平台发布，采购人/代理机构不再另行书面通知，潜在投标人/供应商应及时关注、查阅优质采平台。因未及时查看导致不利后果的，责任自负。</w:t>
      </w:r>
    </w:p>
    <w:p w14:paraId="11CD929C">
      <w:pPr>
        <w:widowControl/>
        <w:topLinePunct/>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（3）已注册的潜在投标人/供应商若注册信息发生变更（如：与初始注册信息不一致），应及时网上提交变更申请。因未及时变更导致不利后果的，责任自负。</w:t>
      </w:r>
    </w:p>
    <w:p w14:paraId="1355AC26">
      <w:pPr>
        <w:widowControl/>
        <w:wordWrap w:val="0"/>
        <w:topLinePunct/>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4520F013">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（5）电子投标/响应文件必须使用“优质采投标文件制作工具”制作生成并上传。下载地址：</w:t>
      </w:r>
      <w:r>
        <w:rPr>
          <w:rFonts w:ascii="宋体" w:hAnsi="宋体" w:eastAsia="仿宋"/>
          <w:color w:val="auto"/>
          <w:sz w:val="28"/>
          <w:szCs w:val="28"/>
          <w:highlight w:val="none"/>
        </w:rPr>
        <w:t>http://toolcdn.youzhicai.com/tools/BidderTools.zip</w:t>
      </w:r>
      <w:r>
        <w:rPr>
          <w:rFonts w:hint="eastAsia" w:ascii="宋体" w:hAnsi="宋体" w:eastAsia="仿宋"/>
          <w:color w:val="auto"/>
          <w:sz w:val="28"/>
          <w:szCs w:val="28"/>
          <w:highlight w:val="none"/>
        </w:rPr>
        <w:t>，使用说明书及视频教程下载地址:</w:t>
      </w:r>
      <w:r>
        <w:rPr>
          <w:rFonts w:eastAsia="仿宋"/>
          <w:color w:val="auto"/>
          <w:sz w:val="28"/>
          <w:szCs w:val="28"/>
          <w:highlight w:val="none"/>
        </w:rPr>
        <w:t xml:space="preserve"> </w:t>
      </w:r>
      <w:r>
        <w:rPr>
          <w:rFonts w:ascii="宋体" w:hAnsi="宋体" w:eastAsia="仿宋"/>
          <w:color w:val="auto"/>
          <w:sz w:val="28"/>
          <w:szCs w:val="28"/>
          <w:highlight w:val="none"/>
        </w:rPr>
        <w:t>http://file.youzhicai.com/files/BidderHelp.rar</w:t>
      </w:r>
      <w:r>
        <w:rPr>
          <w:rFonts w:hint="eastAsia" w:ascii="宋体" w:hAnsi="宋体" w:eastAsia="仿宋"/>
          <w:color w:val="auto"/>
          <w:sz w:val="28"/>
          <w:szCs w:val="28"/>
          <w:highlight w:val="none"/>
        </w:rPr>
        <w:t>。</w:t>
      </w:r>
    </w:p>
    <w:p w14:paraId="52C026F1">
      <w:pPr>
        <w:widowControl/>
        <w:topLinePunct/>
        <w:spacing w:line="360" w:lineRule="auto"/>
        <w:ind w:firstLine="560" w:firstLineChars="200"/>
        <w:jc w:val="left"/>
        <w:rPr>
          <w:rFonts w:hint="eastAsia" w:ascii="宋体" w:hAnsi="宋体" w:eastAsia="仿宋"/>
          <w:color w:val="auto"/>
          <w:sz w:val="28"/>
          <w:szCs w:val="28"/>
          <w:highlight w:val="none"/>
        </w:rPr>
      </w:pPr>
      <w:r>
        <w:rPr>
          <w:rFonts w:hint="eastAsia" w:ascii="宋体" w:hAnsi="宋体" w:eastAsia="仿宋"/>
          <w:color w:val="auto"/>
          <w:sz w:val="28"/>
          <w:szCs w:val="28"/>
          <w:highlight w:val="none"/>
        </w:rPr>
        <w:t>4.根据《政府采购促进中小企业发展管理办法》（财库〔2020〕46号）第六条规定，本次采购符合不专门面向中小企业预留采购份额的情形：因确需使用不可替代的专利、专有技术，基础设施限制，或者提供特定公共服务等原因， 只能从中小企业之外的供应商处采购的。投标人如有异议，可按招标文件约定提出询问或质疑。</w:t>
      </w:r>
    </w:p>
    <w:p w14:paraId="03737D99">
      <w:pPr>
        <w:pStyle w:val="4"/>
        <w:widowControl/>
        <w:adjustRightInd w:val="0"/>
        <w:snapToGrid w:val="0"/>
        <w:spacing w:before="48" w:beforeLines="20" w:after="48" w:afterLines="20" w:line="360" w:lineRule="auto"/>
        <w:ind w:firstLine="560" w:firstLineChars="200"/>
        <w:rPr>
          <w:rStyle w:val="104"/>
          <w:rFonts w:hAnsi="宋体"/>
          <w:b w:val="0"/>
          <w:bCs w:val="0"/>
          <w:color w:val="auto"/>
          <w:sz w:val="28"/>
          <w:szCs w:val="28"/>
          <w:highlight w:val="none"/>
        </w:rPr>
      </w:pPr>
      <w:bookmarkStart w:id="26" w:name="_Toc35393796"/>
      <w:bookmarkStart w:id="27" w:name="_Toc28359085"/>
      <w:bookmarkStart w:id="28" w:name="_Toc35393627"/>
      <w:bookmarkStart w:id="29" w:name="_Toc28359008"/>
      <w:r>
        <w:rPr>
          <w:rStyle w:val="104"/>
          <w:rFonts w:hint="eastAsia" w:hAnsi="宋体"/>
          <w:b w:val="0"/>
          <w:bCs w:val="0"/>
          <w:color w:val="auto"/>
          <w:sz w:val="28"/>
          <w:szCs w:val="28"/>
          <w:highlight w:val="none"/>
        </w:rPr>
        <w:t>七、对本次招标提出询问，请按</w:t>
      </w:r>
      <w:r>
        <w:rPr>
          <w:rStyle w:val="104"/>
          <w:rFonts w:hAnsi="宋体"/>
          <w:b w:val="0"/>
          <w:bCs w:val="0"/>
          <w:color w:val="auto"/>
          <w:sz w:val="28"/>
          <w:szCs w:val="28"/>
          <w:highlight w:val="none"/>
        </w:rPr>
        <w:t>以下方式</w:t>
      </w:r>
      <w:r>
        <w:rPr>
          <w:rStyle w:val="104"/>
          <w:rFonts w:hint="eastAsia" w:hAnsi="宋体"/>
          <w:b w:val="0"/>
          <w:bCs w:val="0"/>
          <w:color w:val="auto"/>
          <w:sz w:val="28"/>
          <w:szCs w:val="28"/>
          <w:highlight w:val="none"/>
        </w:rPr>
        <w:t>联系。</w:t>
      </w:r>
      <w:bookmarkEnd w:id="26"/>
      <w:bookmarkEnd w:id="27"/>
      <w:bookmarkEnd w:id="28"/>
      <w:bookmarkEnd w:id="29"/>
    </w:p>
    <w:p w14:paraId="60352626">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1.采购人信息</w:t>
      </w:r>
    </w:p>
    <w:p w14:paraId="61F0011F">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名 称：蚌埠医科大学第一附属医院</w:t>
      </w:r>
    </w:p>
    <w:p w14:paraId="12ADADBE">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地 址：安徽省蚌埠市长淮路287号</w:t>
      </w:r>
    </w:p>
    <w:p w14:paraId="307A780B">
      <w:pPr>
        <w:widowControl/>
        <w:adjustRightInd w:val="0"/>
        <w:snapToGrid w:val="0"/>
        <w:spacing w:line="360" w:lineRule="auto"/>
        <w:ind w:firstLine="660" w:firstLineChars="236"/>
        <w:jc w:val="left"/>
        <w:rPr>
          <w:rFonts w:ascii="宋体" w:hAnsi="宋体" w:eastAsia="仿宋"/>
          <w:color w:val="auto"/>
          <w:sz w:val="28"/>
          <w:szCs w:val="28"/>
          <w:highlight w:val="none"/>
          <w:u w:val="single"/>
        </w:rPr>
      </w:pPr>
      <w:r>
        <w:rPr>
          <w:rFonts w:hint="eastAsia" w:ascii="宋体" w:hAnsi="宋体" w:eastAsia="仿宋" w:cs="宋体"/>
          <w:color w:val="auto"/>
          <w:sz w:val="28"/>
          <w:szCs w:val="28"/>
          <w:highlight w:val="none"/>
        </w:rPr>
        <w:t>联系方式：</w:t>
      </w:r>
      <w:bookmarkStart w:id="30" w:name="_Toc28359009"/>
      <w:bookmarkStart w:id="31" w:name="_Toc28359086"/>
      <w:r>
        <w:rPr>
          <w:rFonts w:hint="eastAsia" w:ascii="宋体" w:hAnsi="宋体" w:eastAsia="仿宋" w:cs="宋体"/>
          <w:color w:val="auto"/>
          <w:sz w:val="28"/>
          <w:szCs w:val="28"/>
          <w:highlight w:val="none"/>
        </w:rPr>
        <w:t>0552-3086506</w:t>
      </w:r>
    </w:p>
    <w:p w14:paraId="393616F5">
      <w:pPr>
        <w:widowControl/>
        <w:adjustRightInd w:val="0"/>
        <w:snapToGrid w:val="0"/>
        <w:spacing w:line="360" w:lineRule="auto"/>
        <w:ind w:firstLine="660" w:firstLineChars="236"/>
        <w:jc w:val="left"/>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2.采购代理机构信息</w:t>
      </w:r>
      <w:bookmarkEnd w:id="30"/>
      <w:bookmarkEnd w:id="31"/>
    </w:p>
    <w:p w14:paraId="7DCCBFCD">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名 称：</w:t>
      </w:r>
      <w:r>
        <w:rPr>
          <w:rFonts w:hint="eastAsia" w:ascii="宋体" w:hAnsi="宋体" w:eastAsia="仿宋"/>
          <w:color w:val="auto"/>
          <w:sz w:val="28"/>
          <w:szCs w:val="28"/>
          <w:highlight w:val="none"/>
        </w:rPr>
        <w:t>安徽省招标集团股份有限公司</w:t>
      </w:r>
    </w:p>
    <w:p w14:paraId="3A3F4B5E">
      <w:pPr>
        <w:widowControl/>
        <w:adjustRightInd w:val="0"/>
        <w:snapToGrid w:val="0"/>
        <w:spacing w:line="360" w:lineRule="auto"/>
        <w:ind w:firstLine="660" w:firstLineChars="236"/>
        <w:jc w:val="left"/>
        <w:rPr>
          <w:rFonts w:hint="default" w:ascii="宋体" w:hAnsi="宋体" w:eastAsia="仿宋"/>
          <w:color w:val="auto"/>
          <w:sz w:val="28"/>
          <w:szCs w:val="28"/>
          <w:highlight w:val="none"/>
          <w:lang w:val="en-US" w:eastAsia="zh-CN"/>
        </w:rPr>
      </w:pPr>
      <w:r>
        <w:rPr>
          <w:rFonts w:hint="eastAsia" w:ascii="宋体" w:hAnsi="宋体" w:eastAsia="仿宋" w:cs="宋体"/>
          <w:color w:val="auto"/>
          <w:sz w:val="28"/>
          <w:szCs w:val="28"/>
          <w:highlight w:val="none"/>
        </w:rPr>
        <w:t>地 址：</w:t>
      </w:r>
      <w:r>
        <w:rPr>
          <w:rFonts w:hint="eastAsia" w:ascii="宋体" w:hAnsi="宋体" w:eastAsia="仿宋"/>
          <w:color w:val="auto"/>
          <w:sz w:val="28"/>
          <w:szCs w:val="28"/>
          <w:highlight w:val="none"/>
        </w:rPr>
        <w:t>合肥市</w:t>
      </w:r>
      <w:r>
        <w:rPr>
          <w:rFonts w:hint="eastAsia" w:ascii="宋体" w:hAnsi="宋体" w:eastAsia="仿宋"/>
          <w:color w:val="auto"/>
          <w:sz w:val="28"/>
          <w:szCs w:val="28"/>
          <w:highlight w:val="none"/>
          <w:lang w:val="en-US" w:eastAsia="zh-CN"/>
        </w:rPr>
        <w:t>包河区紫云路888号</w:t>
      </w:r>
    </w:p>
    <w:p w14:paraId="4C98A838">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联系方式：</w:t>
      </w:r>
      <w:bookmarkStart w:id="32" w:name="_Toc28359010"/>
      <w:bookmarkStart w:id="33" w:name="_Toc28359087"/>
      <w:r>
        <w:rPr>
          <w:rFonts w:hint="eastAsia" w:ascii="宋体" w:hAnsi="宋体" w:eastAsia="仿宋"/>
          <w:color w:val="auto"/>
          <w:sz w:val="28"/>
          <w:szCs w:val="28"/>
          <w:highlight w:val="none"/>
        </w:rPr>
        <w:t>应急客服电话：0551-62220153（接听时间：8:30-12:00,13:30-17:30，节假日除外。潜在投标人应优先拨打项目联系人联系电话，无人接听时再拨打该“应急客服电话”）</w:t>
      </w:r>
    </w:p>
    <w:p w14:paraId="6CF5EFFB">
      <w:pPr>
        <w:widowControl/>
        <w:adjustRightInd w:val="0"/>
        <w:snapToGrid w:val="0"/>
        <w:spacing w:line="360" w:lineRule="auto"/>
        <w:ind w:firstLine="660" w:firstLineChars="236"/>
        <w:jc w:val="left"/>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3.项目</w:t>
      </w:r>
      <w:r>
        <w:rPr>
          <w:rFonts w:ascii="宋体" w:hAnsi="宋体" w:eastAsia="仿宋" w:cs="宋体"/>
          <w:color w:val="auto"/>
          <w:sz w:val="28"/>
          <w:szCs w:val="28"/>
          <w:highlight w:val="none"/>
        </w:rPr>
        <w:t>联系方式</w:t>
      </w:r>
      <w:bookmarkEnd w:id="32"/>
      <w:bookmarkEnd w:id="33"/>
    </w:p>
    <w:p w14:paraId="02B9DB23">
      <w:pPr>
        <w:pStyle w:val="25"/>
        <w:adjustRightInd w:val="0"/>
        <w:snapToGrid w:val="0"/>
        <w:spacing w:line="360" w:lineRule="auto"/>
        <w:ind w:firstLine="660" w:firstLineChars="236"/>
        <w:rPr>
          <w:rFonts w:hint="default" w:hAnsi="宋体" w:eastAsia="仿宋" w:cs="宋体"/>
          <w:color w:val="auto"/>
          <w:sz w:val="28"/>
          <w:szCs w:val="28"/>
          <w:highlight w:val="none"/>
          <w:lang w:val="en-US" w:eastAsia="zh-CN"/>
        </w:rPr>
      </w:pPr>
      <w:r>
        <w:rPr>
          <w:rFonts w:hint="eastAsia" w:hAnsi="宋体" w:eastAsia="仿宋" w:cs="宋体"/>
          <w:color w:val="auto"/>
          <w:sz w:val="28"/>
          <w:szCs w:val="28"/>
          <w:highlight w:val="none"/>
        </w:rPr>
        <w:t>项目联系人：俞云龙、倪孟杰、施雨朦</w:t>
      </w:r>
      <w:r>
        <w:rPr>
          <w:rFonts w:hint="eastAsia" w:hAnsi="宋体" w:eastAsia="仿宋" w:cs="宋体"/>
          <w:color w:val="auto"/>
          <w:sz w:val="28"/>
          <w:szCs w:val="28"/>
          <w:highlight w:val="none"/>
          <w:lang w:eastAsia="zh-CN"/>
        </w:rPr>
        <w:t>、</w:t>
      </w:r>
      <w:r>
        <w:rPr>
          <w:rFonts w:hint="eastAsia" w:hAnsi="宋体" w:eastAsia="仿宋" w:cs="宋体"/>
          <w:color w:val="auto"/>
          <w:sz w:val="28"/>
          <w:szCs w:val="28"/>
          <w:highlight w:val="none"/>
          <w:lang w:val="en-US" w:eastAsia="zh-CN"/>
        </w:rPr>
        <w:t>章永兴</w:t>
      </w:r>
    </w:p>
    <w:p w14:paraId="7DACA736">
      <w:pPr>
        <w:pStyle w:val="25"/>
        <w:adjustRightInd w:val="0"/>
        <w:snapToGrid w:val="0"/>
        <w:spacing w:line="360" w:lineRule="auto"/>
        <w:ind w:firstLine="660" w:firstLineChars="236"/>
        <w:rPr>
          <w:rFonts w:hint="eastAsia" w:hAnsi="宋体" w:eastAsia="仿宋"/>
          <w:color w:val="auto"/>
          <w:sz w:val="28"/>
          <w:szCs w:val="28"/>
          <w:highlight w:val="none"/>
          <w:u w:val="single"/>
        </w:rPr>
      </w:pPr>
      <w:r>
        <w:rPr>
          <w:rFonts w:hint="eastAsia" w:hAnsi="宋体" w:eastAsia="仿宋" w:cs="宋体"/>
          <w:color w:val="auto"/>
          <w:sz w:val="28"/>
          <w:szCs w:val="28"/>
          <w:highlight w:val="none"/>
        </w:rPr>
        <w:t>电　话：0551-66061348、0551-66061352、0551-66061355、15255522615</w:t>
      </w:r>
      <w:r>
        <w:rPr>
          <w:rFonts w:hint="eastAsia" w:hAnsi="宋体" w:eastAsia="仿宋"/>
          <w:color w:val="auto"/>
          <w:sz w:val="28"/>
          <w:szCs w:val="28"/>
          <w:highlight w:val="none"/>
        </w:rPr>
        <w:t>（无人接听可短信留言）</w:t>
      </w:r>
    </w:p>
    <w:p w14:paraId="04A4F4B6">
      <w:pPr>
        <w:widowControl/>
        <w:spacing w:line="360" w:lineRule="auto"/>
        <w:ind w:firstLine="420"/>
        <w:rPr>
          <w:rFonts w:hint="eastAsia" w:ascii="宋体" w:hAnsi="宋体" w:eastAsia="仿宋"/>
          <w:color w:val="auto"/>
          <w:sz w:val="28"/>
          <w:szCs w:val="28"/>
          <w:highlight w:val="none"/>
        </w:rPr>
      </w:pPr>
    </w:p>
    <w:p w14:paraId="4DC191B2">
      <w:pPr>
        <w:widowControl/>
        <w:adjustRightInd w:val="0"/>
        <w:snapToGrid w:val="0"/>
        <w:spacing w:line="360" w:lineRule="auto"/>
        <w:ind w:firstLine="660" w:firstLineChars="236"/>
        <w:jc w:val="left"/>
        <w:rPr>
          <w:rFonts w:ascii="楷体" w:hAnsi="楷体" w:eastAsia="仿宋"/>
          <w:i/>
          <w:color w:val="auto"/>
          <w:sz w:val="28"/>
          <w:szCs w:val="28"/>
          <w:highlight w:val="none"/>
        </w:rPr>
      </w:pPr>
      <w:r>
        <w:rPr>
          <w:rFonts w:hint="eastAsia" w:ascii="宋体" w:hAnsi="宋体" w:eastAsia="仿宋" w:cs="宋体"/>
          <w:color w:val="auto"/>
          <w:sz w:val="28"/>
          <w:szCs w:val="28"/>
          <w:highlight w:val="none"/>
        </w:rPr>
        <w:t>附件：</w:t>
      </w:r>
      <w:r>
        <w:rPr>
          <w:rFonts w:hint="eastAsia" w:ascii="宋体" w:hAnsi="宋体" w:eastAsia="仿宋"/>
          <w:color w:val="auto"/>
          <w:sz w:val="28"/>
          <w:szCs w:val="28"/>
          <w:highlight w:val="none"/>
        </w:rPr>
        <w:t>招标文件</w:t>
      </w:r>
    </w:p>
    <w:p w14:paraId="2B4FE56A">
      <w:pPr>
        <w:pStyle w:val="3"/>
        <w:widowControl/>
        <w:spacing w:before="0" w:after="0" w:line="240" w:lineRule="auto"/>
        <w:jc w:val="center"/>
        <w:rPr>
          <w:rFonts w:ascii="宋体" w:hAnsi="宋体" w:eastAsia="仿宋"/>
          <w:color w:val="auto"/>
          <w:highlight w:val="none"/>
        </w:rPr>
      </w:pPr>
      <w:bookmarkStart w:id="34" w:name="_Toc445554685"/>
      <w:bookmarkStart w:id="35" w:name="_Toc466024497"/>
      <w:bookmarkStart w:id="36" w:name="_Toc241459614"/>
      <w:bookmarkStart w:id="37" w:name="_Toc333587477"/>
      <w:bookmarkStart w:id="38" w:name="_Toc371415919"/>
      <w:bookmarkStart w:id="39" w:name="_Toc342297617"/>
      <w:bookmarkStart w:id="40" w:name="_Toc342296160"/>
      <w:r>
        <w:rPr>
          <w:rFonts w:ascii="宋体" w:hAnsi="宋体" w:eastAsia="仿宋"/>
          <w:color w:val="auto"/>
          <w:sz w:val="24"/>
          <w:szCs w:val="24"/>
          <w:highlight w:val="none"/>
        </w:rPr>
        <w:br w:type="page"/>
      </w:r>
      <w:bookmarkStart w:id="41" w:name="_Toc26870"/>
      <w:r>
        <w:rPr>
          <w:rFonts w:hint="eastAsia" w:ascii="宋体" w:hAnsi="宋体" w:eastAsia="仿宋"/>
          <w:color w:val="auto"/>
          <w:highlight w:val="none"/>
        </w:rPr>
        <w:t>第二章</w:t>
      </w:r>
      <w:r>
        <w:rPr>
          <w:rFonts w:ascii="宋体" w:hAnsi="宋体" w:eastAsia="仿宋"/>
          <w:color w:val="auto"/>
          <w:highlight w:val="none"/>
        </w:rPr>
        <w:t xml:space="preserve"> </w:t>
      </w:r>
      <w:r>
        <w:rPr>
          <w:rFonts w:hint="eastAsia" w:ascii="宋体" w:hAnsi="宋体" w:eastAsia="仿宋"/>
          <w:color w:val="auto"/>
          <w:highlight w:val="none"/>
        </w:rPr>
        <w:t xml:space="preserve"> 投标人须知</w:t>
      </w:r>
      <w:bookmarkEnd w:id="34"/>
      <w:bookmarkEnd w:id="35"/>
      <w:bookmarkEnd w:id="36"/>
      <w:bookmarkEnd w:id="41"/>
    </w:p>
    <w:p w14:paraId="2836C90A">
      <w:pPr>
        <w:pStyle w:val="4"/>
        <w:widowControl/>
        <w:spacing w:before="120" w:after="120" w:line="240" w:lineRule="auto"/>
        <w:jc w:val="center"/>
        <w:rPr>
          <w:rStyle w:val="104"/>
          <w:rFonts w:hint="eastAsia" w:ascii="仿宋" w:hAnsi="仿宋" w:eastAsia="仿宋" w:cs="仿宋"/>
          <w:b/>
          <w:bCs w:val="0"/>
          <w:color w:val="auto"/>
          <w:sz w:val="28"/>
          <w:szCs w:val="28"/>
          <w:highlight w:val="none"/>
        </w:rPr>
      </w:pPr>
      <w:bookmarkStart w:id="42" w:name="_Toc466024498"/>
      <w:bookmarkStart w:id="43" w:name="_Toc445554686"/>
      <w:r>
        <w:rPr>
          <w:rStyle w:val="104"/>
          <w:rFonts w:hint="eastAsia" w:ascii="仿宋" w:hAnsi="仿宋" w:eastAsia="仿宋" w:cs="仿宋"/>
          <w:b/>
          <w:bCs w:val="0"/>
          <w:color w:val="auto"/>
          <w:sz w:val="28"/>
          <w:szCs w:val="28"/>
          <w:highlight w:val="none"/>
        </w:rPr>
        <w:t>投标人须知前附表</w:t>
      </w:r>
      <w:bookmarkEnd w:id="42"/>
      <w:bookmarkEnd w:id="43"/>
    </w:p>
    <w:p w14:paraId="7177463C">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本《投标人须知前附表》是对本章《投标人须知》的具体补充和修改，如有不一致，以本《投标人须知前附表》为准。</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75EB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57" w:type="dxa"/>
            <w:noWrap w:val="0"/>
            <w:vAlign w:val="center"/>
          </w:tcPr>
          <w:p w14:paraId="3B002D0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条款号</w:t>
            </w:r>
          </w:p>
        </w:tc>
        <w:tc>
          <w:tcPr>
            <w:tcW w:w="1581" w:type="dxa"/>
            <w:noWrap w:val="0"/>
            <w:vAlign w:val="center"/>
          </w:tcPr>
          <w:p w14:paraId="5B78589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条款名称</w:t>
            </w:r>
          </w:p>
        </w:tc>
        <w:tc>
          <w:tcPr>
            <w:tcW w:w="7229" w:type="dxa"/>
            <w:noWrap w:val="0"/>
            <w:vAlign w:val="center"/>
          </w:tcPr>
          <w:p w14:paraId="442C2DD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编</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列</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内</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容</w:t>
            </w:r>
          </w:p>
        </w:tc>
      </w:tr>
      <w:tr w14:paraId="301B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D044FE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w:t>
            </w:r>
          </w:p>
        </w:tc>
        <w:tc>
          <w:tcPr>
            <w:tcW w:w="1581" w:type="dxa"/>
            <w:noWrap w:val="0"/>
            <w:vAlign w:val="center"/>
          </w:tcPr>
          <w:p w14:paraId="16BE2836">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采购人</w:t>
            </w:r>
          </w:p>
        </w:tc>
        <w:tc>
          <w:tcPr>
            <w:tcW w:w="7229" w:type="dxa"/>
            <w:noWrap w:val="0"/>
            <w:vAlign w:val="center"/>
          </w:tcPr>
          <w:p w14:paraId="5C897FED">
            <w:pPr>
              <w:keepNext w:val="0"/>
              <w:keepLines w:val="0"/>
              <w:suppressLineNumbers w:val="0"/>
              <w:adjustRightInd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171C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5DAF47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1.1.3</w:t>
            </w:r>
          </w:p>
        </w:tc>
        <w:tc>
          <w:tcPr>
            <w:tcW w:w="1581" w:type="dxa"/>
            <w:noWrap w:val="0"/>
            <w:vAlign w:val="center"/>
          </w:tcPr>
          <w:p w14:paraId="755B814C">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采购代理机构</w:t>
            </w:r>
          </w:p>
        </w:tc>
        <w:tc>
          <w:tcPr>
            <w:tcW w:w="7229" w:type="dxa"/>
            <w:noWrap w:val="0"/>
            <w:vAlign w:val="center"/>
          </w:tcPr>
          <w:p w14:paraId="7335B704">
            <w:pPr>
              <w:keepNext w:val="0"/>
              <w:keepLines w:val="0"/>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1B3F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95BDE8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1.1.4</w:t>
            </w:r>
          </w:p>
        </w:tc>
        <w:tc>
          <w:tcPr>
            <w:tcW w:w="1581" w:type="dxa"/>
            <w:noWrap w:val="0"/>
            <w:vAlign w:val="center"/>
          </w:tcPr>
          <w:p w14:paraId="4F28F0E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采购项目名称</w:t>
            </w:r>
          </w:p>
        </w:tc>
        <w:tc>
          <w:tcPr>
            <w:tcW w:w="7229" w:type="dxa"/>
            <w:noWrap w:val="0"/>
            <w:vAlign w:val="center"/>
          </w:tcPr>
          <w:p w14:paraId="4A093EC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48F8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561F39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1.1.5</w:t>
            </w:r>
          </w:p>
        </w:tc>
        <w:tc>
          <w:tcPr>
            <w:tcW w:w="1581" w:type="dxa"/>
            <w:noWrap w:val="0"/>
            <w:vAlign w:val="center"/>
          </w:tcPr>
          <w:p w14:paraId="4FBCB1C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采购包划分</w:t>
            </w:r>
          </w:p>
        </w:tc>
        <w:tc>
          <w:tcPr>
            <w:tcW w:w="7229" w:type="dxa"/>
            <w:noWrap w:val="0"/>
            <w:vAlign w:val="center"/>
          </w:tcPr>
          <w:p w14:paraId="38B4A380">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 w:cs="Calibri"/>
                <w:color w:val="auto"/>
                <w:sz w:val="24"/>
                <w:highlight w:val="none"/>
              </w:rPr>
            </w:pPr>
            <w:r>
              <w:rPr>
                <w:rFonts w:hint="eastAsia" w:ascii="仿宋" w:hAnsi="仿宋" w:eastAsia="仿宋" w:cs="仿宋"/>
                <w:iCs/>
                <w:color w:val="auto"/>
                <w:sz w:val="24"/>
                <w:highlight w:val="none"/>
              </w:rPr>
              <w:t>1个标包</w:t>
            </w:r>
          </w:p>
        </w:tc>
      </w:tr>
      <w:tr w14:paraId="7930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A76A72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1.1.6</w:t>
            </w:r>
          </w:p>
        </w:tc>
        <w:tc>
          <w:tcPr>
            <w:tcW w:w="1581" w:type="dxa"/>
            <w:noWrap w:val="0"/>
            <w:vAlign w:val="center"/>
          </w:tcPr>
          <w:p w14:paraId="1899E08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采购预算</w:t>
            </w:r>
          </w:p>
        </w:tc>
        <w:tc>
          <w:tcPr>
            <w:tcW w:w="7229" w:type="dxa"/>
            <w:noWrap w:val="0"/>
            <w:vAlign w:val="center"/>
          </w:tcPr>
          <w:p w14:paraId="7063BFC3">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32E8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834E4B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1.1.7</w:t>
            </w:r>
          </w:p>
        </w:tc>
        <w:tc>
          <w:tcPr>
            <w:tcW w:w="1581" w:type="dxa"/>
            <w:noWrap w:val="0"/>
            <w:vAlign w:val="center"/>
          </w:tcPr>
          <w:p w14:paraId="1CE99A9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专门面向中小企业采购</w:t>
            </w:r>
          </w:p>
        </w:tc>
        <w:tc>
          <w:tcPr>
            <w:tcW w:w="7229" w:type="dxa"/>
            <w:noWrap w:val="0"/>
            <w:vAlign w:val="center"/>
          </w:tcPr>
          <w:p w14:paraId="57FABA10">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4BA2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9C5BB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宋体"/>
                <w:color w:val="auto"/>
                <w:sz w:val="24"/>
                <w:highlight w:val="none"/>
                <w:lang w:bidi="ar"/>
              </w:rPr>
              <w:t>1.2.1</w:t>
            </w:r>
          </w:p>
        </w:tc>
        <w:tc>
          <w:tcPr>
            <w:tcW w:w="1581" w:type="dxa"/>
            <w:noWrap w:val="0"/>
            <w:vAlign w:val="center"/>
          </w:tcPr>
          <w:p w14:paraId="3CEA65A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仿宋"/>
                <w:color w:val="auto"/>
                <w:sz w:val="24"/>
                <w:highlight w:val="none"/>
                <w:lang w:bidi="ar"/>
              </w:rPr>
              <w:t>资金来源及比例</w:t>
            </w:r>
          </w:p>
        </w:tc>
        <w:tc>
          <w:tcPr>
            <w:tcW w:w="7229" w:type="dxa"/>
            <w:noWrap w:val="0"/>
            <w:vAlign w:val="center"/>
          </w:tcPr>
          <w:p w14:paraId="7EFE638D">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Calibri"/>
                <w:color w:val="auto"/>
                <w:sz w:val="24"/>
                <w:highlight w:val="none"/>
              </w:rPr>
              <w:t>财政资金100%</w:t>
            </w:r>
          </w:p>
        </w:tc>
      </w:tr>
      <w:tr w14:paraId="0F5B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2FECDF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1.3.1</w:t>
            </w:r>
          </w:p>
        </w:tc>
        <w:tc>
          <w:tcPr>
            <w:tcW w:w="1581" w:type="dxa"/>
            <w:noWrap w:val="0"/>
            <w:vAlign w:val="center"/>
          </w:tcPr>
          <w:p w14:paraId="5FEB567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资格要求</w:t>
            </w:r>
          </w:p>
        </w:tc>
        <w:tc>
          <w:tcPr>
            <w:tcW w:w="7229" w:type="dxa"/>
            <w:noWrap w:val="0"/>
            <w:vAlign w:val="center"/>
          </w:tcPr>
          <w:p w14:paraId="2CA82C3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Calibri"/>
                <w:color w:val="auto"/>
                <w:sz w:val="24"/>
                <w:highlight w:val="none"/>
              </w:rPr>
            </w:pPr>
            <w:r>
              <w:rPr>
                <w:rFonts w:hint="eastAsia" w:ascii="宋体" w:hAnsi="宋体" w:eastAsia="仿宋" w:cs="Calibri"/>
                <w:color w:val="auto"/>
                <w:sz w:val="24"/>
                <w:highlight w:val="none"/>
              </w:rPr>
              <w:t>见招标公告</w:t>
            </w:r>
          </w:p>
        </w:tc>
      </w:tr>
      <w:tr w14:paraId="53EC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BEB449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1.3.2</w:t>
            </w:r>
          </w:p>
        </w:tc>
        <w:tc>
          <w:tcPr>
            <w:tcW w:w="1581" w:type="dxa"/>
            <w:noWrap w:val="0"/>
            <w:vAlign w:val="center"/>
          </w:tcPr>
          <w:p w14:paraId="265BB3C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联合体投标的其他要求</w:t>
            </w:r>
          </w:p>
        </w:tc>
        <w:tc>
          <w:tcPr>
            <w:tcW w:w="7229" w:type="dxa"/>
            <w:noWrap w:val="0"/>
            <w:vAlign w:val="center"/>
          </w:tcPr>
          <w:p w14:paraId="6A9E777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仿宋" w:hAnsi="仿宋" w:eastAsia="仿宋" w:cs="仿宋"/>
                <w:iCs/>
                <w:color w:val="auto"/>
                <w:sz w:val="24"/>
                <w:highlight w:val="none"/>
              </w:rPr>
              <w:t>/</w:t>
            </w:r>
          </w:p>
        </w:tc>
      </w:tr>
      <w:tr w14:paraId="34BE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885DBC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1.3.3</w:t>
            </w:r>
          </w:p>
        </w:tc>
        <w:tc>
          <w:tcPr>
            <w:tcW w:w="1581" w:type="dxa"/>
            <w:noWrap w:val="0"/>
            <w:vAlign w:val="center"/>
          </w:tcPr>
          <w:p w14:paraId="4C227FFE">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宋体" w:hAnsi="宋体" w:eastAsia="仿宋" w:cs="Calibri"/>
                <w:color w:val="auto"/>
                <w:sz w:val="24"/>
                <w:highlight w:val="none"/>
              </w:rPr>
              <w:t>投标人不得存在的其他情形</w:t>
            </w:r>
          </w:p>
        </w:tc>
        <w:tc>
          <w:tcPr>
            <w:tcW w:w="7229" w:type="dxa"/>
            <w:noWrap w:val="0"/>
            <w:vAlign w:val="center"/>
          </w:tcPr>
          <w:p w14:paraId="7DCCA31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仿宋" w:hAnsi="仿宋" w:eastAsia="仿宋" w:cs="仿宋"/>
                <w:iCs/>
                <w:color w:val="auto"/>
                <w:sz w:val="24"/>
                <w:highlight w:val="none"/>
              </w:rPr>
              <w:t>/</w:t>
            </w:r>
          </w:p>
        </w:tc>
      </w:tr>
      <w:tr w14:paraId="319B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473F23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1.8.1</w:t>
            </w:r>
          </w:p>
        </w:tc>
        <w:tc>
          <w:tcPr>
            <w:tcW w:w="1581" w:type="dxa"/>
            <w:noWrap w:val="0"/>
            <w:vAlign w:val="center"/>
          </w:tcPr>
          <w:p w14:paraId="1EFB3F4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是否组织现场考察</w:t>
            </w:r>
          </w:p>
        </w:tc>
        <w:tc>
          <w:tcPr>
            <w:tcW w:w="7229" w:type="dxa"/>
            <w:noWrap w:val="0"/>
            <w:vAlign w:val="center"/>
          </w:tcPr>
          <w:p w14:paraId="14BE1A3C">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不组织，</w:t>
            </w:r>
            <w:r>
              <w:rPr>
                <w:rFonts w:hint="eastAsia" w:ascii="宋体" w:hAnsi="宋体" w:eastAsia="仿宋" w:cs="Times New Roman"/>
                <w:color w:val="auto"/>
                <w:sz w:val="24"/>
                <w:highlight w:val="none"/>
              </w:rPr>
              <w:t>由投标人自行考察现场。</w:t>
            </w:r>
          </w:p>
          <w:p w14:paraId="525817D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□组织，时间：</w:t>
            </w:r>
          </w:p>
          <w:p w14:paraId="45835DB5">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 xml:space="preserve"> 集中地点：</w:t>
            </w:r>
            <w:r>
              <w:rPr>
                <w:rFonts w:hint="eastAsia" w:ascii="仿宋" w:hAnsi="仿宋" w:eastAsia="仿宋" w:cs="仿宋"/>
                <w:iCs/>
                <w:color w:val="auto"/>
                <w:sz w:val="24"/>
                <w:highlight w:val="none"/>
              </w:rPr>
              <w:t>/</w:t>
            </w:r>
          </w:p>
          <w:p w14:paraId="68923C5D">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cs="Calibri"/>
                <w:color w:val="auto"/>
                <w:sz w:val="24"/>
                <w:highlight w:val="none"/>
              </w:rPr>
            </w:pPr>
            <w:r>
              <w:rPr>
                <w:rFonts w:hint="eastAsia" w:ascii="宋体" w:hAnsi="宋体" w:eastAsia="仿宋" w:cs="Calibri"/>
                <w:color w:val="auto"/>
                <w:sz w:val="24"/>
                <w:highlight w:val="none"/>
              </w:rPr>
              <w:t xml:space="preserve"> 联系方式：</w:t>
            </w:r>
            <w:r>
              <w:rPr>
                <w:rFonts w:hint="eastAsia" w:ascii="仿宋" w:hAnsi="仿宋" w:eastAsia="仿宋" w:cs="仿宋"/>
                <w:iCs/>
                <w:color w:val="auto"/>
                <w:sz w:val="24"/>
                <w:highlight w:val="none"/>
              </w:rPr>
              <w:t>/</w:t>
            </w:r>
          </w:p>
        </w:tc>
      </w:tr>
      <w:tr w14:paraId="55F3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6C7BA0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1.9</w:t>
            </w:r>
          </w:p>
        </w:tc>
        <w:tc>
          <w:tcPr>
            <w:tcW w:w="1581" w:type="dxa"/>
            <w:noWrap w:val="0"/>
            <w:vAlign w:val="center"/>
          </w:tcPr>
          <w:p w14:paraId="0805782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开标前答疑会</w:t>
            </w:r>
          </w:p>
        </w:tc>
        <w:tc>
          <w:tcPr>
            <w:tcW w:w="7229" w:type="dxa"/>
            <w:noWrap w:val="0"/>
            <w:vAlign w:val="center"/>
          </w:tcPr>
          <w:p w14:paraId="272D539A">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不召开</w:t>
            </w:r>
          </w:p>
          <w:p w14:paraId="3B70DCA8">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□召开，召开时间：</w:t>
            </w:r>
            <w:r>
              <w:rPr>
                <w:rFonts w:hint="eastAsia" w:ascii="仿宋" w:hAnsi="仿宋" w:eastAsia="仿宋" w:cs="仿宋"/>
                <w:iCs/>
                <w:color w:val="auto"/>
                <w:sz w:val="24"/>
                <w:highlight w:val="none"/>
              </w:rPr>
              <w:t>/</w:t>
            </w:r>
          </w:p>
          <w:p w14:paraId="1C5F8D7F">
            <w:pPr>
              <w:keepNext w:val="0"/>
              <w:keepLines w:val="0"/>
              <w:widowControl/>
              <w:suppressLineNumbers w:val="0"/>
              <w:adjustRightInd w:val="0"/>
              <w:snapToGrid w:val="0"/>
              <w:spacing w:before="0" w:beforeAutospacing="0" w:after="0" w:afterAutospacing="0" w:line="288" w:lineRule="auto"/>
              <w:ind w:left="0" w:right="0" w:firstLine="960" w:firstLineChars="40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召开地点：</w:t>
            </w:r>
            <w:r>
              <w:rPr>
                <w:rFonts w:hint="eastAsia" w:ascii="仿宋" w:hAnsi="仿宋" w:eastAsia="仿宋" w:cs="仿宋"/>
                <w:iCs/>
                <w:color w:val="auto"/>
                <w:sz w:val="24"/>
                <w:highlight w:val="none"/>
              </w:rPr>
              <w:t>/</w:t>
            </w:r>
          </w:p>
          <w:p w14:paraId="0ABC9905">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cs="Calibri"/>
                <w:color w:val="auto"/>
                <w:sz w:val="24"/>
                <w:highlight w:val="none"/>
              </w:rPr>
            </w:pPr>
            <w:r>
              <w:rPr>
                <w:rFonts w:hint="eastAsia" w:ascii="宋体" w:hAnsi="宋体" w:eastAsia="仿宋" w:cs="Calibri"/>
                <w:color w:val="auto"/>
                <w:sz w:val="24"/>
                <w:highlight w:val="none"/>
              </w:rPr>
              <w:t>联系方式：</w:t>
            </w:r>
            <w:r>
              <w:rPr>
                <w:rFonts w:hint="eastAsia" w:ascii="仿宋" w:hAnsi="仿宋" w:eastAsia="仿宋" w:cs="仿宋"/>
                <w:iCs/>
                <w:color w:val="auto"/>
                <w:sz w:val="24"/>
                <w:highlight w:val="none"/>
              </w:rPr>
              <w:t>/</w:t>
            </w:r>
          </w:p>
        </w:tc>
      </w:tr>
      <w:tr w14:paraId="3BA7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95B070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1.10.1</w:t>
            </w:r>
          </w:p>
        </w:tc>
        <w:tc>
          <w:tcPr>
            <w:tcW w:w="1581" w:type="dxa"/>
            <w:noWrap w:val="0"/>
            <w:vAlign w:val="center"/>
          </w:tcPr>
          <w:p w14:paraId="75050F2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分包</w:t>
            </w:r>
          </w:p>
        </w:tc>
        <w:tc>
          <w:tcPr>
            <w:tcW w:w="7229" w:type="dxa"/>
            <w:noWrap w:val="0"/>
            <w:vAlign w:val="center"/>
          </w:tcPr>
          <w:p w14:paraId="49EEFEFF">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t>☑</w:t>
            </w:r>
            <w:r>
              <w:rPr>
                <w:rFonts w:hint="eastAsia" w:ascii="宋体" w:hAnsi="宋体" w:eastAsia="仿宋" w:cs="Calibri"/>
                <w:color w:val="auto"/>
                <w:sz w:val="24"/>
                <w:highlight w:val="none"/>
              </w:rPr>
              <w:t>不允许</w:t>
            </w:r>
          </w:p>
          <w:p w14:paraId="6C867D3B">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Calibri"/>
                <w:color w:val="auto"/>
                <w:sz w:val="24"/>
                <w:highlight w:val="none"/>
              </w:rPr>
              <w:t>□允许：</w:t>
            </w:r>
          </w:p>
          <w:p w14:paraId="26E5979C">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楷体" w:hAnsi="楷体" w:eastAsia="仿宋" w:cs="Times New Roman"/>
                <w:color w:val="auto"/>
                <w:sz w:val="24"/>
                <w:highlight w:val="none"/>
              </w:rPr>
              <w:t>（1）允许分包的范围和内容：/</w:t>
            </w:r>
          </w:p>
          <w:p w14:paraId="67A9C566">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rPr>
            </w:pPr>
            <w:r>
              <w:rPr>
                <w:rFonts w:hint="eastAsia" w:ascii="楷体" w:hAnsi="楷体" w:eastAsia="仿宋" w:cs="Times New Roman"/>
                <w:color w:val="auto"/>
                <w:sz w:val="24"/>
                <w:highlight w:val="none"/>
              </w:rPr>
              <w:t>（2）对分包人资质要求：/</w:t>
            </w:r>
          </w:p>
          <w:p w14:paraId="68306819">
            <w:pPr>
              <w:keepNext w:val="0"/>
              <w:keepLines w:val="0"/>
              <w:widowControl/>
              <w:suppressLineNumbers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楷体" w:hAnsi="楷体" w:eastAsia="仿宋" w:cs="Times New Roman"/>
                <w:color w:val="auto"/>
                <w:sz w:val="24"/>
                <w:highlight w:val="none"/>
              </w:rPr>
              <w:t>（3）为享受政府采购支持中小企业发展政策，参与政府采购活动的大型企业可向中小微企业分包，中型企业可向小微企业分包。</w:t>
            </w:r>
          </w:p>
        </w:tc>
      </w:tr>
      <w:tr w14:paraId="0A08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846508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2.2.2</w:t>
            </w:r>
          </w:p>
        </w:tc>
        <w:tc>
          <w:tcPr>
            <w:tcW w:w="1581" w:type="dxa"/>
            <w:noWrap w:val="0"/>
            <w:vAlign w:val="center"/>
          </w:tcPr>
          <w:p w14:paraId="284887C7">
            <w:pPr>
              <w:keepNext w:val="0"/>
              <w:keepLines w:val="0"/>
              <w:widowControl/>
              <w:suppressLineNumbers w:val="0"/>
              <w:adjustRightInd w:val="0"/>
              <w:snapToGrid w:val="0"/>
              <w:spacing w:before="0" w:beforeAutospacing="0" w:after="0" w:afterAutospacing="0" w:line="300" w:lineRule="auto"/>
              <w:ind w:left="0" w:right="0"/>
              <w:jc w:val="center"/>
              <w:rPr>
                <w:rFonts w:hint="default" w:ascii="Calibri" w:hAnsi="Calibri" w:eastAsia="仿宋" w:cs="Times New Roman"/>
                <w:color w:val="auto"/>
                <w:sz w:val="24"/>
                <w:highlight w:val="none"/>
              </w:rPr>
            </w:pPr>
            <w:r>
              <w:rPr>
                <w:rFonts w:hint="eastAsia" w:ascii="宋体" w:hAnsi="宋体" w:eastAsia="仿宋" w:cs="Calibri"/>
                <w:color w:val="auto"/>
                <w:sz w:val="24"/>
                <w:highlight w:val="none"/>
              </w:rPr>
              <w:t>招标文件澄清发出的形式</w:t>
            </w:r>
          </w:p>
        </w:tc>
        <w:tc>
          <w:tcPr>
            <w:tcW w:w="7229" w:type="dxa"/>
            <w:noWrap w:val="0"/>
            <w:vAlign w:val="center"/>
          </w:tcPr>
          <w:p w14:paraId="26ECFEE7">
            <w:pPr>
              <w:keepNext w:val="0"/>
              <w:keepLines w:val="0"/>
              <w:widowControl/>
              <w:suppressLineNumbers w:val="0"/>
              <w:adjustRightInd w:val="0"/>
              <w:snapToGrid w:val="0"/>
              <w:spacing w:before="0" w:beforeAutospacing="0" w:after="0" w:afterAutospacing="0" w:line="300" w:lineRule="auto"/>
              <w:ind w:left="0" w:right="0"/>
              <w:rPr>
                <w:rFonts w:hint="eastAsia" w:ascii="宋体" w:hAnsi="宋体" w:eastAsia="仿宋" w:cs="Calibri"/>
                <w:color w:val="auto"/>
                <w:sz w:val="24"/>
                <w:highlight w:val="none"/>
              </w:rPr>
            </w:pPr>
            <w:r>
              <w:rPr>
                <w:rFonts w:hint="eastAsia" w:ascii="宋体" w:hAnsi="宋体" w:eastAsia="仿宋" w:cs="Times New Roman"/>
                <w:color w:val="auto"/>
                <w:sz w:val="24"/>
                <w:highlight w:val="none"/>
              </w:rPr>
              <w:t>发出形式：在优质采云采购平台发布，投标人自行查看、下载，无需确认。其他方式发布的，投标人应书面确认。</w:t>
            </w:r>
          </w:p>
        </w:tc>
      </w:tr>
      <w:tr w14:paraId="7CCE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EFA2CF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3.1.1</w:t>
            </w:r>
          </w:p>
        </w:tc>
        <w:tc>
          <w:tcPr>
            <w:tcW w:w="1581" w:type="dxa"/>
            <w:noWrap w:val="0"/>
            <w:vAlign w:val="center"/>
          </w:tcPr>
          <w:p w14:paraId="56C363D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构成投标文件的其他资料</w:t>
            </w:r>
          </w:p>
        </w:tc>
        <w:tc>
          <w:tcPr>
            <w:tcW w:w="7229" w:type="dxa"/>
            <w:noWrap w:val="0"/>
            <w:vAlign w:val="center"/>
          </w:tcPr>
          <w:p w14:paraId="137138B2">
            <w:pPr>
              <w:keepNext w:val="0"/>
              <w:keepLines w:val="0"/>
              <w:suppressLineNumbers w:val="0"/>
              <w:adjustRightInd w:val="0"/>
              <w:snapToGrid w:val="0"/>
              <w:spacing w:before="0" w:beforeAutospacing="0" w:after="0" w:afterAutospacing="0" w:line="288" w:lineRule="auto"/>
              <w:ind w:left="0" w:right="0"/>
              <w:rPr>
                <w:rFonts w:hint="eastAsia" w:ascii="Calibri" w:hAnsi="Calibri" w:eastAsia="楷体" w:cs="Times New Roman"/>
                <w:color w:val="auto"/>
                <w:sz w:val="24"/>
                <w:highlight w:val="none"/>
              </w:rPr>
            </w:pPr>
            <w:r>
              <w:rPr>
                <w:rFonts w:hint="eastAsia" w:ascii="楷体" w:hAnsi="楷体" w:eastAsia="仿宋" w:cs="Times New Roman"/>
                <w:color w:val="auto"/>
                <w:sz w:val="24"/>
                <w:highlight w:val="none"/>
              </w:rPr>
              <w:t>/</w:t>
            </w:r>
          </w:p>
        </w:tc>
      </w:tr>
      <w:tr w14:paraId="2A9E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9" w:hRule="atLeast"/>
        </w:trPr>
        <w:tc>
          <w:tcPr>
            <w:tcW w:w="857" w:type="dxa"/>
            <w:noWrap w:val="0"/>
            <w:vAlign w:val="center"/>
          </w:tcPr>
          <w:p w14:paraId="4051FD4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3.1.4</w:t>
            </w:r>
          </w:p>
        </w:tc>
        <w:tc>
          <w:tcPr>
            <w:tcW w:w="1581" w:type="dxa"/>
            <w:noWrap w:val="0"/>
            <w:vAlign w:val="center"/>
          </w:tcPr>
          <w:p w14:paraId="2C5DA59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样品</w:t>
            </w:r>
          </w:p>
        </w:tc>
        <w:tc>
          <w:tcPr>
            <w:tcW w:w="7229" w:type="dxa"/>
            <w:noWrap w:val="0"/>
            <w:vAlign w:val="center"/>
          </w:tcPr>
          <w:p w14:paraId="580FD5B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b/>
                <w:bCs/>
                <w:color w:val="auto"/>
                <w:sz w:val="24"/>
                <w:highlight w:val="none"/>
              </w:rPr>
            </w:pPr>
            <w:r>
              <w:rPr>
                <w:rFonts w:hint="eastAsia" w:ascii="宋体" w:hAnsi="宋体" w:eastAsia="仿宋" w:cs="Times New Roman"/>
                <w:b/>
                <w:bCs/>
                <w:color w:val="auto"/>
                <w:sz w:val="24"/>
                <w:highlight w:val="none"/>
              </w:rPr>
              <w:t>是否要求投标人提交样品：</w:t>
            </w:r>
          </w:p>
          <w:p w14:paraId="02A45C3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☑否</w:t>
            </w:r>
          </w:p>
          <w:p w14:paraId="6517D1A3">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□是，提交样品的具体要求：</w:t>
            </w:r>
          </w:p>
          <w:p w14:paraId="1293C051">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（1）</w:t>
            </w:r>
            <w:r>
              <w:rPr>
                <w:rFonts w:hint="eastAsia" w:ascii="仿宋" w:hAnsi="仿宋" w:eastAsia="仿宋" w:cs="仿宋"/>
                <w:snapToGrid w:val="0"/>
                <w:color w:val="auto"/>
                <w:kern w:val="28"/>
                <w:sz w:val="24"/>
                <w:highlight w:val="none"/>
                <w:lang w:bidi="ar"/>
              </w:rPr>
              <w:t>样品制作的标准和要求：详见第三章“</w:t>
            </w:r>
            <w:r>
              <w:rPr>
                <w:rFonts w:hint="eastAsia" w:ascii="仿宋" w:hAnsi="仿宋" w:eastAsia="仿宋" w:cs="仿宋"/>
                <w:color w:val="auto"/>
                <w:sz w:val="24"/>
                <w:highlight w:val="none"/>
                <w:lang w:bidi="ar"/>
              </w:rPr>
              <w:t>采购需求”</w:t>
            </w:r>
            <w:r>
              <w:rPr>
                <w:rFonts w:hint="eastAsia" w:ascii="仿宋" w:hAnsi="仿宋" w:eastAsia="仿宋" w:cs="仿宋"/>
                <w:color w:val="auto"/>
                <w:kern w:val="0"/>
                <w:sz w:val="24"/>
                <w:highlight w:val="none"/>
                <w:lang w:bidi="ar"/>
              </w:rPr>
              <w:t>；</w:t>
            </w:r>
          </w:p>
          <w:p w14:paraId="5F15CC70">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（2）样品的评审方法以及评审标准</w:t>
            </w:r>
            <w:r>
              <w:rPr>
                <w:rFonts w:hint="eastAsia" w:ascii="仿宋" w:hAnsi="仿宋" w:eastAsia="仿宋" w:cs="仿宋"/>
                <w:snapToGrid w:val="0"/>
                <w:color w:val="auto"/>
                <w:kern w:val="28"/>
                <w:sz w:val="24"/>
                <w:highlight w:val="none"/>
                <w:lang w:bidi="ar"/>
              </w:rPr>
              <w:t>：详见第四章“资格审查和</w:t>
            </w:r>
            <w:r>
              <w:rPr>
                <w:rFonts w:hint="eastAsia" w:ascii="仿宋" w:hAnsi="仿宋" w:eastAsia="仿宋" w:cs="仿宋"/>
                <w:color w:val="auto"/>
                <w:sz w:val="24"/>
                <w:highlight w:val="none"/>
                <w:lang w:bidi="ar"/>
              </w:rPr>
              <w:t>评标办法”</w:t>
            </w:r>
            <w:r>
              <w:rPr>
                <w:rFonts w:hint="eastAsia" w:ascii="仿宋" w:hAnsi="仿宋" w:eastAsia="仿宋" w:cs="仿宋"/>
                <w:color w:val="auto"/>
                <w:kern w:val="0"/>
                <w:sz w:val="24"/>
                <w:highlight w:val="none"/>
                <w:lang w:bidi="ar"/>
              </w:rPr>
              <w:t>；</w:t>
            </w:r>
          </w:p>
          <w:p w14:paraId="4AD1225B">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（3）是否需要随样品提交检测报告：</w:t>
            </w:r>
            <w:r>
              <w:rPr>
                <w:rFonts w:hint="eastAsia" w:ascii="仿宋" w:hAnsi="仿宋" w:eastAsia="仿宋" w:cs="仿宋"/>
                <w:color w:val="auto"/>
                <w:kern w:val="0"/>
                <w:sz w:val="24"/>
                <w:highlight w:val="none"/>
                <w:lang w:bidi="ar"/>
              </w:rPr>
              <w:sym w:font="Wingdings" w:char="00FE"/>
            </w:r>
            <w:r>
              <w:rPr>
                <w:rFonts w:hint="eastAsia" w:ascii="仿宋" w:hAnsi="仿宋" w:eastAsia="仿宋" w:cs="仿宋"/>
                <w:color w:val="auto"/>
                <w:kern w:val="0"/>
                <w:sz w:val="24"/>
                <w:highlight w:val="none"/>
                <w:lang w:bidi="ar"/>
              </w:rPr>
              <w:t>否；☐是，检测机构的要求</w:t>
            </w:r>
            <w:r>
              <w:rPr>
                <w:rFonts w:hint="eastAsia" w:ascii="仿宋" w:hAnsi="仿宋" w:eastAsia="仿宋" w:cs="仿宋"/>
                <w:color w:val="auto"/>
                <w:sz w:val="24"/>
                <w:highlight w:val="none"/>
                <w:lang w:bidi="ar"/>
              </w:rPr>
              <w:t>：</w:t>
            </w:r>
            <w:r>
              <w:rPr>
                <w:rFonts w:hint="eastAsia" w:ascii="楷体" w:hAnsi="楷体" w:eastAsia="仿宋" w:cs="Times New Roman"/>
                <w:color w:val="auto"/>
                <w:sz w:val="24"/>
                <w:highlight w:val="none"/>
              </w:rPr>
              <w:t>/；检测内容：/</w:t>
            </w:r>
            <w:r>
              <w:rPr>
                <w:rFonts w:hint="eastAsia" w:ascii="仿宋" w:hAnsi="仿宋" w:eastAsia="仿宋" w:cs="仿宋"/>
                <w:color w:val="auto"/>
                <w:kern w:val="0"/>
                <w:sz w:val="24"/>
                <w:highlight w:val="none"/>
                <w:lang w:bidi="ar"/>
              </w:rPr>
              <w:t>。</w:t>
            </w:r>
          </w:p>
          <w:p w14:paraId="27A2C04D">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（4）提供样品的时间：</w:t>
            </w:r>
            <w:r>
              <w:rPr>
                <w:rFonts w:hint="eastAsia" w:ascii="楷体" w:hAnsi="楷体" w:eastAsia="仿宋" w:cs="Times New Roman"/>
                <w:color w:val="auto"/>
                <w:sz w:val="24"/>
                <w:highlight w:val="none"/>
              </w:rPr>
              <w:t>投标截止时间前</w:t>
            </w:r>
            <w:r>
              <w:rPr>
                <w:rFonts w:hint="eastAsia" w:ascii="仿宋" w:hAnsi="仿宋" w:eastAsia="仿宋" w:cs="仿宋"/>
                <w:color w:val="auto"/>
                <w:kern w:val="0"/>
                <w:sz w:val="24"/>
                <w:highlight w:val="none"/>
                <w:lang w:bidi="ar"/>
              </w:rPr>
              <w:t>；地点：</w:t>
            </w:r>
            <w:r>
              <w:rPr>
                <w:rFonts w:hint="eastAsia" w:ascii="楷体" w:hAnsi="楷体" w:eastAsia="仿宋" w:cs="Times New Roman"/>
                <w:color w:val="auto"/>
                <w:sz w:val="24"/>
                <w:highlight w:val="none"/>
              </w:rPr>
              <w:t>/</w:t>
            </w:r>
            <w:r>
              <w:rPr>
                <w:rFonts w:hint="eastAsia" w:ascii="仿宋" w:hAnsi="仿宋" w:eastAsia="仿宋" w:cs="仿宋"/>
                <w:color w:val="auto"/>
                <w:kern w:val="0"/>
                <w:sz w:val="24"/>
                <w:highlight w:val="none"/>
                <w:lang w:bidi="ar"/>
              </w:rPr>
              <w:t>；联系人</w:t>
            </w:r>
            <w:r>
              <w:rPr>
                <w:rFonts w:hint="eastAsia" w:ascii="仿宋" w:hAnsi="仿宋" w:eastAsia="仿宋" w:cs="仿宋"/>
                <w:color w:val="auto"/>
                <w:sz w:val="24"/>
                <w:highlight w:val="none"/>
                <w:lang w:bidi="ar"/>
              </w:rPr>
              <w:t>：</w:t>
            </w:r>
            <w:r>
              <w:rPr>
                <w:rFonts w:hint="eastAsia" w:ascii="楷体" w:hAnsi="楷体" w:eastAsia="仿宋" w:cs="Times New Roman"/>
                <w:color w:val="auto"/>
                <w:sz w:val="24"/>
                <w:highlight w:val="none"/>
              </w:rPr>
              <w:t>/</w:t>
            </w:r>
            <w:r>
              <w:rPr>
                <w:rFonts w:hint="eastAsia" w:ascii="仿宋" w:hAnsi="仿宋" w:eastAsia="仿宋" w:cs="仿宋"/>
                <w:color w:val="auto"/>
                <w:sz w:val="24"/>
                <w:highlight w:val="none"/>
                <w:lang w:bidi="ar"/>
              </w:rPr>
              <w:t>，</w:t>
            </w:r>
            <w:r>
              <w:rPr>
                <w:rFonts w:hint="eastAsia" w:ascii="仿宋" w:hAnsi="仿宋" w:eastAsia="仿宋" w:cs="仿宋"/>
                <w:color w:val="auto"/>
                <w:kern w:val="28"/>
                <w:sz w:val="24"/>
                <w:highlight w:val="none"/>
                <w:lang w:bidi="ar"/>
              </w:rPr>
              <w:t>联系电话：</w:t>
            </w:r>
            <w:r>
              <w:rPr>
                <w:rFonts w:hint="eastAsia" w:ascii="楷体" w:hAnsi="楷体" w:eastAsia="仿宋" w:cs="Times New Roman"/>
                <w:color w:val="auto"/>
                <w:sz w:val="24"/>
                <w:highlight w:val="none"/>
              </w:rPr>
              <w:t>/</w:t>
            </w:r>
            <w:r>
              <w:rPr>
                <w:rFonts w:hint="eastAsia" w:ascii="仿宋" w:hAnsi="仿宋" w:eastAsia="仿宋" w:cs="仿宋"/>
                <w:color w:val="auto"/>
                <w:sz w:val="24"/>
                <w:highlight w:val="none"/>
                <w:lang w:bidi="ar"/>
              </w:rPr>
              <w:t>。</w:t>
            </w:r>
          </w:p>
          <w:p w14:paraId="24C03B89">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请投标人按上述时间规定提供样品。未按规定递交的，采购代理机构将不予接收。</w:t>
            </w:r>
          </w:p>
          <w:p w14:paraId="133B6381">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w:t>
            </w:r>
            <w:r>
              <w:rPr>
                <w:rFonts w:hint="eastAsia" w:ascii="仿宋" w:hAnsi="仿宋" w:eastAsia="仿宋" w:cs="仿宋"/>
                <w:color w:val="auto"/>
                <w:sz w:val="24"/>
                <w:highlight w:val="none"/>
              </w:rPr>
              <w:t>中标人样品的保管：</w:t>
            </w:r>
            <w:r>
              <w:rPr>
                <w:rFonts w:hint="eastAsia" w:ascii="楷体" w:hAnsi="楷体" w:eastAsia="仿宋" w:cs="Times New Roman"/>
                <w:color w:val="auto"/>
                <w:sz w:val="24"/>
                <w:highlight w:val="none"/>
              </w:rPr>
              <w:t>采购代理机构自中标结果公告发布之日起3个工作日内，将中标人样品移交采购人。由采购人进行保管、封存，并作为履约验收的参考。</w:t>
            </w:r>
          </w:p>
          <w:p w14:paraId="4348051F">
            <w:pPr>
              <w:keepNext w:val="0"/>
              <w:keepLines w:val="0"/>
              <w:suppressLineNumbers w:val="0"/>
              <w:adjustRightInd w:val="0"/>
              <w:spacing w:before="0" w:beforeAutospacing="0" w:after="0" w:afterAutospacing="0" w:line="288" w:lineRule="auto"/>
              <w:ind w:left="0" w:right="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rPr>
              <w:t>（6）未中标人样品的退还：</w:t>
            </w:r>
            <w:r>
              <w:rPr>
                <w:rFonts w:hint="eastAsia" w:ascii="楷体" w:hAnsi="楷体" w:eastAsia="仿宋" w:cs="Times New Roman"/>
                <w:color w:val="auto"/>
                <w:sz w:val="24"/>
                <w:highlight w:val="none"/>
              </w:rPr>
              <w:t>自中标结果公告/终止公告发布之日起3个工作日内，投标人自行取回。逾期未取的，样品的损毁、灭失责任由投标人承担。</w:t>
            </w:r>
          </w:p>
        </w:tc>
      </w:tr>
      <w:tr w14:paraId="2D1B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77BD0A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3.2.1</w:t>
            </w:r>
          </w:p>
        </w:tc>
        <w:tc>
          <w:tcPr>
            <w:tcW w:w="1581" w:type="dxa"/>
            <w:noWrap w:val="0"/>
            <w:vAlign w:val="center"/>
          </w:tcPr>
          <w:p w14:paraId="47D9620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投标报价包括的内容</w:t>
            </w:r>
          </w:p>
        </w:tc>
        <w:tc>
          <w:tcPr>
            <w:tcW w:w="7229" w:type="dxa"/>
            <w:noWrap w:val="0"/>
            <w:vAlign w:val="center"/>
          </w:tcPr>
          <w:p w14:paraId="5FDCFB0D">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楷体" w:cs="Times New Roman"/>
                <w:bCs/>
                <w:color w:val="auto"/>
                <w:sz w:val="24"/>
                <w:highlight w:val="none"/>
              </w:rPr>
            </w:pPr>
            <w:r>
              <w:rPr>
                <w:rFonts w:hint="eastAsia" w:ascii="楷体" w:hAnsi="楷体" w:eastAsia="仿宋" w:cs="Calibri"/>
                <w:color w:val="auto"/>
                <w:sz w:val="24"/>
                <w:highlight w:val="none"/>
              </w:rPr>
              <w:t>投标报价</w:t>
            </w:r>
            <w:r>
              <w:rPr>
                <w:rFonts w:hint="default" w:ascii="楷体" w:hAnsi="楷体" w:eastAsia="仿宋" w:cs="Times New Roman"/>
                <w:color w:val="auto"/>
                <w:sz w:val="24"/>
                <w:highlight w:val="none"/>
              </w:rPr>
              <w:t>包括货物从设计、采购、制造、交货（包括运输至采购人指定地点卸车就位）至验收和售后服务的一切费用（如设计费、采购费、制造费、包装费、运输费、运输保险费、装卸费</w:t>
            </w:r>
            <w:r>
              <w:rPr>
                <w:rFonts w:hint="eastAsia" w:ascii="楷体" w:hAnsi="楷体" w:eastAsia="仿宋" w:cs="Times New Roman"/>
                <w:color w:val="auto"/>
                <w:sz w:val="24"/>
                <w:highlight w:val="none"/>
              </w:rPr>
              <w:t>、</w:t>
            </w:r>
            <w:r>
              <w:rPr>
                <w:rFonts w:hint="default" w:ascii="楷体" w:hAnsi="楷体" w:eastAsia="仿宋" w:cs="Times New Roman"/>
                <w:color w:val="auto"/>
                <w:sz w:val="24"/>
                <w:highlight w:val="none"/>
              </w:rPr>
              <w:t>其他技术服务及质保期服务费等）、管理费、利润和税金，以及</w:t>
            </w:r>
            <w:r>
              <w:rPr>
                <w:rFonts w:hint="eastAsia" w:ascii="楷体" w:hAnsi="楷体" w:eastAsia="仿宋" w:cs="Times New Roman"/>
                <w:color w:val="auto"/>
                <w:sz w:val="24"/>
                <w:highlight w:val="none"/>
              </w:rPr>
              <w:t>采购</w:t>
            </w:r>
            <w:r>
              <w:rPr>
                <w:rFonts w:hint="default" w:ascii="楷体" w:hAnsi="楷体" w:eastAsia="仿宋" w:cs="Times New Roman"/>
                <w:color w:val="auto"/>
                <w:sz w:val="24"/>
                <w:highlight w:val="none"/>
              </w:rPr>
              <w:t>合同中明示或暗示的所有责任、义务和风险。</w:t>
            </w:r>
          </w:p>
        </w:tc>
      </w:tr>
      <w:tr w14:paraId="56A5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FFC8E8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3.2.4</w:t>
            </w:r>
          </w:p>
        </w:tc>
        <w:tc>
          <w:tcPr>
            <w:tcW w:w="1581" w:type="dxa"/>
            <w:noWrap w:val="0"/>
            <w:vAlign w:val="center"/>
          </w:tcPr>
          <w:p w14:paraId="1A30CEE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投标报价的其他要求</w:t>
            </w:r>
          </w:p>
        </w:tc>
        <w:tc>
          <w:tcPr>
            <w:tcW w:w="7229" w:type="dxa"/>
            <w:noWrap w:val="0"/>
            <w:vAlign w:val="center"/>
          </w:tcPr>
          <w:p w14:paraId="665BAE39">
            <w:pPr>
              <w:pStyle w:val="174"/>
              <w:keepNext w:val="0"/>
              <w:keepLines w:val="0"/>
              <w:suppressLineNumbers w:val="0"/>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☑除招标文件另有规定外，投标人所报的价格在合同执行过程中固定不变,不得以任何理由予以变更。</w:t>
            </w:r>
          </w:p>
          <w:p w14:paraId="0DF77C32">
            <w:pPr>
              <w:pStyle w:val="174"/>
              <w:keepNext w:val="0"/>
              <w:keepLines w:val="0"/>
              <w:suppressLineNumbers w:val="0"/>
              <w:tabs>
                <w:tab w:val="left" w:pos="2149"/>
              </w:tabs>
              <w:snapToGrid w:val="0"/>
              <w:spacing w:before="0" w:beforeAutospacing="0" w:after="0" w:afterAutospacing="0" w:line="240" w:lineRule="auto"/>
              <w:ind w:left="0" w:right="0"/>
              <w:rPr>
                <w:rFonts w:hint="eastAsia" w:hAnsi="宋体" w:cs="Times New Roman"/>
                <w:bCs/>
                <w:color w:val="auto"/>
                <w:sz w:val="24"/>
                <w:szCs w:val="24"/>
                <w:highlight w:val="none"/>
              </w:rPr>
            </w:pPr>
            <w:r>
              <w:rPr>
                <w:rFonts w:hint="eastAsia" w:ascii="楷体" w:hAnsi="楷体" w:eastAsia="仿宋" w:cs="Times New Roman"/>
                <w:b w:val="0"/>
                <w:color w:val="auto"/>
                <w:sz w:val="24"/>
                <w:szCs w:val="24"/>
                <w:highlight w:val="none"/>
              </w:rPr>
              <w:t>□采购</w:t>
            </w:r>
            <w:r>
              <w:rPr>
                <w:rFonts w:hint="default" w:ascii="楷体" w:hAnsi="楷体" w:eastAsia="仿宋" w:cs="Times New Roman"/>
                <w:b w:val="0"/>
                <w:color w:val="auto"/>
                <w:sz w:val="24"/>
                <w:szCs w:val="24"/>
                <w:highlight w:val="none"/>
              </w:rPr>
              <w:t>人在“</w:t>
            </w:r>
            <w:r>
              <w:rPr>
                <w:rFonts w:hint="eastAsia" w:ascii="楷体" w:hAnsi="楷体" w:eastAsia="仿宋" w:cs="Times New Roman"/>
                <w:b w:val="0"/>
                <w:color w:val="auto"/>
                <w:sz w:val="24"/>
                <w:szCs w:val="24"/>
                <w:highlight w:val="none"/>
              </w:rPr>
              <w:t>采购需求</w:t>
            </w:r>
            <w:r>
              <w:rPr>
                <w:rFonts w:hint="default" w:ascii="楷体" w:hAnsi="楷体" w:eastAsia="仿宋" w:cs="Times New Roman"/>
                <w:b w:val="0"/>
                <w:color w:val="auto"/>
                <w:sz w:val="24"/>
                <w:szCs w:val="24"/>
                <w:highlight w:val="none"/>
              </w:rPr>
              <w:t>”中所提供的各种货物的数量是计划采购数量，仅作为投标报价的依据，不作为最终结算与支付的依据。在合同实施期间，</w:t>
            </w:r>
            <w:r>
              <w:rPr>
                <w:rFonts w:hint="eastAsia" w:ascii="楷体" w:hAnsi="楷体" w:eastAsia="仿宋" w:cs="Times New Roman"/>
                <w:b w:val="0"/>
                <w:color w:val="auto"/>
                <w:sz w:val="24"/>
                <w:szCs w:val="24"/>
                <w:highlight w:val="none"/>
              </w:rPr>
              <w:t>采购人可以按照政府采购政策规定对</w:t>
            </w:r>
            <w:r>
              <w:rPr>
                <w:rFonts w:hint="default" w:ascii="楷体" w:hAnsi="楷体" w:eastAsia="仿宋" w:cs="Times New Roman"/>
                <w:b w:val="0"/>
                <w:color w:val="auto"/>
                <w:sz w:val="24"/>
                <w:szCs w:val="24"/>
                <w:highlight w:val="none"/>
              </w:rPr>
              <w:t>货物数量适当增减。投标人不得以货物的实际供货数量有变化为理由</w:t>
            </w:r>
            <w:r>
              <w:rPr>
                <w:rFonts w:hint="eastAsia" w:ascii="楷体" w:hAnsi="楷体" w:eastAsia="仿宋" w:cs="Times New Roman"/>
                <w:b w:val="0"/>
                <w:color w:val="auto"/>
                <w:sz w:val="24"/>
                <w:szCs w:val="24"/>
                <w:highlight w:val="none"/>
              </w:rPr>
              <w:t>要求</w:t>
            </w:r>
            <w:r>
              <w:rPr>
                <w:rFonts w:hint="default" w:ascii="楷体" w:hAnsi="楷体" w:eastAsia="仿宋" w:cs="Times New Roman"/>
                <w:b w:val="0"/>
                <w:color w:val="auto"/>
                <w:sz w:val="24"/>
                <w:szCs w:val="24"/>
                <w:highlight w:val="none"/>
              </w:rPr>
              <w:t>对各种货物的单价进行变更。</w:t>
            </w:r>
          </w:p>
        </w:tc>
      </w:tr>
      <w:tr w14:paraId="6025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FFA6EB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3.3.1</w:t>
            </w:r>
          </w:p>
        </w:tc>
        <w:tc>
          <w:tcPr>
            <w:tcW w:w="1581" w:type="dxa"/>
            <w:noWrap w:val="0"/>
            <w:vAlign w:val="center"/>
          </w:tcPr>
          <w:p w14:paraId="46FD942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投标有效期</w:t>
            </w:r>
          </w:p>
        </w:tc>
        <w:tc>
          <w:tcPr>
            <w:tcW w:w="7229" w:type="dxa"/>
            <w:noWrap w:val="0"/>
            <w:vAlign w:val="center"/>
          </w:tcPr>
          <w:p w14:paraId="1FCFD5C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90日历天</w:t>
            </w:r>
            <w:r>
              <w:rPr>
                <w:rFonts w:hint="eastAsia" w:ascii="宋体" w:hAnsi="宋体" w:eastAsia="仿宋" w:cs="Times New Roman"/>
                <w:color w:val="auto"/>
                <w:sz w:val="24"/>
                <w:highlight w:val="none"/>
              </w:rPr>
              <w:t>（从投标截止之日算起）</w:t>
            </w:r>
          </w:p>
        </w:tc>
      </w:tr>
      <w:tr w14:paraId="07D1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F3197F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3.4</w:t>
            </w:r>
          </w:p>
        </w:tc>
        <w:tc>
          <w:tcPr>
            <w:tcW w:w="1581" w:type="dxa"/>
            <w:noWrap w:val="0"/>
            <w:vAlign w:val="center"/>
          </w:tcPr>
          <w:p w14:paraId="2BA28AA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投标保证金</w:t>
            </w:r>
          </w:p>
        </w:tc>
        <w:tc>
          <w:tcPr>
            <w:tcW w:w="7229" w:type="dxa"/>
            <w:noWrap w:val="0"/>
            <w:vAlign w:val="center"/>
          </w:tcPr>
          <w:p w14:paraId="0FDB7D9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Times New Roman"/>
                <w:i/>
                <w:color w:val="auto"/>
                <w:sz w:val="24"/>
                <w:highlight w:val="none"/>
              </w:rPr>
            </w:pPr>
            <w:r>
              <w:rPr>
                <w:rFonts w:hint="eastAsia" w:ascii="Calibri" w:hAnsi="Calibri" w:eastAsia="仿宋" w:cs="Times New Roman"/>
                <w:color w:val="auto"/>
                <w:sz w:val="24"/>
                <w:highlight w:val="none"/>
              </w:rPr>
              <w:t>不要求提交。</w:t>
            </w:r>
          </w:p>
        </w:tc>
      </w:tr>
      <w:tr w14:paraId="5302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679ABD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3.6.1</w:t>
            </w:r>
          </w:p>
        </w:tc>
        <w:tc>
          <w:tcPr>
            <w:tcW w:w="1581" w:type="dxa"/>
            <w:noWrap w:val="0"/>
            <w:vAlign w:val="center"/>
          </w:tcPr>
          <w:p w14:paraId="3E7B849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是否允许递交备选投标方案</w:t>
            </w:r>
          </w:p>
        </w:tc>
        <w:tc>
          <w:tcPr>
            <w:tcW w:w="7229" w:type="dxa"/>
            <w:noWrap w:val="0"/>
            <w:vAlign w:val="center"/>
          </w:tcPr>
          <w:p w14:paraId="0419F076">
            <w:pPr>
              <w:keepNext w:val="0"/>
              <w:keepLines w:val="0"/>
              <w:widowControl/>
              <w:suppressLineNumbers w:val="0"/>
              <w:topLinePunct/>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☑不允许</w:t>
            </w:r>
          </w:p>
          <w:p w14:paraId="30044C78">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□允许，并满足以下条件：</w:t>
            </w:r>
          </w:p>
        </w:tc>
      </w:tr>
      <w:tr w14:paraId="70F6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0D8C7B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3.7.4（1）</w:t>
            </w:r>
          </w:p>
        </w:tc>
        <w:tc>
          <w:tcPr>
            <w:tcW w:w="1581" w:type="dxa"/>
            <w:noWrap w:val="0"/>
            <w:vAlign w:val="center"/>
          </w:tcPr>
          <w:p w14:paraId="29CCEAD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投标文件制作</w:t>
            </w:r>
          </w:p>
        </w:tc>
        <w:tc>
          <w:tcPr>
            <w:tcW w:w="7229" w:type="dxa"/>
            <w:noWrap w:val="0"/>
            <w:vAlign w:val="center"/>
          </w:tcPr>
          <w:p w14:paraId="0942E8B7">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7E7D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FA280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3.7.4（3）</w:t>
            </w:r>
          </w:p>
        </w:tc>
        <w:tc>
          <w:tcPr>
            <w:tcW w:w="1581" w:type="dxa"/>
            <w:noWrap w:val="0"/>
            <w:vAlign w:val="center"/>
          </w:tcPr>
          <w:p w14:paraId="0C31AB3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投标文件所附证书证件要求</w:t>
            </w:r>
          </w:p>
        </w:tc>
        <w:tc>
          <w:tcPr>
            <w:tcW w:w="7229" w:type="dxa"/>
            <w:noWrap w:val="0"/>
            <w:vAlign w:val="center"/>
          </w:tcPr>
          <w:p w14:paraId="34B764E9">
            <w:pPr>
              <w:keepNext w:val="0"/>
              <w:keepLines w:val="0"/>
              <w:widowControl/>
              <w:suppressLineNumbers w:val="0"/>
              <w:topLinePunct/>
              <w:adjustRightInd w:val="0"/>
              <w:snapToGrid w:val="0"/>
              <w:spacing w:before="0" w:beforeAutospacing="0" w:after="0" w:afterAutospacing="0" w:line="288" w:lineRule="auto"/>
              <w:ind w:left="0" w:right="0"/>
              <w:rPr>
                <w:rFonts w:hint="default" w:ascii="楷体" w:hAnsi="楷体" w:eastAsia="仿宋" w:cs="Times New Roman"/>
                <w:bCs/>
                <w:color w:val="auto"/>
                <w:sz w:val="24"/>
                <w:highlight w:val="none"/>
              </w:rPr>
            </w:pPr>
            <w:r>
              <w:rPr>
                <w:rFonts w:hint="eastAsia" w:ascii="楷体" w:hAnsi="楷体" w:eastAsia="仿宋" w:cs="Calibri"/>
                <w:color w:val="auto"/>
                <w:sz w:val="24"/>
                <w:highlight w:val="none"/>
              </w:rPr>
              <w:t>电子投标文件所附证书证件均应为投标人证书证件的原件扫描件或电子证照。</w:t>
            </w:r>
          </w:p>
        </w:tc>
      </w:tr>
      <w:tr w14:paraId="56D9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4F1E77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3.7.4（5）</w:t>
            </w:r>
          </w:p>
        </w:tc>
        <w:tc>
          <w:tcPr>
            <w:tcW w:w="1581" w:type="dxa"/>
            <w:noWrap w:val="0"/>
            <w:vAlign w:val="center"/>
          </w:tcPr>
          <w:p w14:paraId="4FB2C91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投标文件份数及其他要求</w:t>
            </w:r>
          </w:p>
        </w:tc>
        <w:tc>
          <w:tcPr>
            <w:tcW w:w="7229" w:type="dxa"/>
            <w:noWrap w:val="0"/>
            <w:vAlign w:val="center"/>
          </w:tcPr>
          <w:p w14:paraId="041D00D1">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投标人应提交的投标文件：</w:t>
            </w:r>
          </w:p>
          <w:p w14:paraId="280BAAE3">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（1）加密的电子投标文件：使用优质采云采购平台电子标书制作工具制作生成的加密投标文件，应在投标截止时间前通过</w:t>
            </w:r>
            <w:r>
              <w:rPr>
                <w:rFonts w:hint="eastAsia" w:ascii="楷体" w:hAnsi="楷体" w:eastAsia="仿宋" w:cs="Microsoft JhengHei"/>
                <w:color w:val="auto"/>
                <w:kern w:val="0"/>
                <w:sz w:val="24"/>
                <w:highlight w:val="none"/>
              </w:rPr>
              <w:t>优质采云采购平台</w:t>
            </w:r>
            <w:r>
              <w:rPr>
                <w:rFonts w:hint="eastAsia" w:ascii="楷体" w:hAnsi="楷体" w:eastAsia="仿宋" w:cs="Calibri"/>
                <w:color w:val="auto"/>
                <w:sz w:val="24"/>
                <w:highlight w:val="none"/>
              </w:rPr>
              <w:t>会员系统上传；</w:t>
            </w:r>
          </w:p>
          <w:p w14:paraId="40EB00D5">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（2）未加密的电子投标文件：生成加密投标文件时同时生成的版本，提供1份（光盘或U盘介质，格式为bzc格式），可密封提交（投标人自行确定是否提交）。</w:t>
            </w:r>
          </w:p>
          <w:p w14:paraId="5F365074">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投标文件如不一致时，按以下顺序确定其投标文件效力：</w:t>
            </w:r>
          </w:p>
          <w:p w14:paraId="03FCFE48">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w:t>
            </w:r>
          </w:p>
          <w:p w14:paraId="5B0B254C">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楷体" w:hAnsi="楷体" w:eastAsia="仿宋" w:cs="Calibri"/>
                <w:color w:val="auto"/>
                <w:sz w:val="24"/>
                <w:highlight w:val="none"/>
              </w:rPr>
              <w:t>（2）未加密的电子投标文件。</w:t>
            </w:r>
          </w:p>
        </w:tc>
      </w:tr>
      <w:tr w14:paraId="39B4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431E92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4.1.1</w:t>
            </w:r>
          </w:p>
        </w:tc>
        <w:tc>
          <w:tcPr>
            <w:tcW w:w="1581" w:type="dxa"/>
            <w:noWrap w:val="0"/>
            <w:vAlign w:val="center"/>
          </w:tcPr>
          <w:p w14:paraId="65AB0E5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投标文件加密要求</w:t>
            </w:r>
          </w:p>
        </w:tc>
        <w:tc>
          <w:tcPr>
            <w:tcW w:w="7229" w:type="dxa"/>
            <w:noWrap w:val="0"/>
            <w:vAlign w:val="center"/>
          </w:tcPr>
          <w:p w14:paraId="01884264">
            <w:pPr>
              <w:keepNext w:val="0"/>
              <w:keepLines w:val="0"/>
              <w:widowControl/>
              <w:suppressLineNumbers w:val="0"/>
              <w:wordWrap w:val="0"/>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616C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46426D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4.2.2</w:t>
            </w:r>
          </w:p>
        </w:tc>
        <w:tc>
          <w:tcPr>
            <w:tcW w:w="1581" w:type="dxa"/>
            <w:noWrap w:val="0"/>
            <w:vAlign w:val="center"/>
          </w:tcPr>
          <w:p w14:paraId="7CFE56D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递交投标文件的电子交易平台</w:t>
            </w:r>
          </w:p>
        </w:tc>
        <w:tc>
          <w:tcPr>
            <w:tcW w:w="7229" w:type="dxa"/>
            <w:noWrap w:val="0"/>
            <w:vAlign w:val="center"/>
          </w:tcPr>
          <w:p w14:paraId="3DD6846C">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Microsoft JhengHei"/>
                <w:color w:val="auto"/>
                <w:kern w:val="0"/>
                <w:sz w:val="24"/>
                <w:highlight w:val="none"/>
              </w:rPr>
            </w:pPr>
            <w:r>
              <w:rPr>
                <w:rFonts w:hint="eastAsia" w:ascii="楷体" w:hAnsi="楷体" w:eastAsia="仿宋" w:cs="Microsoft JhengHei"/>
                <w:color w:val="auto"/>
                <w:kern w:val="0"/>
                <w:sz w:val="24"/>
                <w:highlight w:val="none"/>
              </w:rPr>
              <w:t>优质采云采购平台（网址：https://www.youzhicai.com/）</w:t>
            </w:r>
          </w:p>
          <w:p w14:paraId="1FCC8E0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iCs/>
                <w:color w:val="auto"/>
                <w:sz w:val="24"/>
                <w:highlight w:val="none"/>
              </w:rPr>
            </w:pPr>
            <w:r>
              <w:rPr>
                <w:rFonts w:hint="eastAsia" w:ascii="楷体" w:hAnsi="楷体" w:eastAsia="仿宋" w:cs="Times New Roman"/>
                <w:color w:val="auto"/>
                <w:sz w:val="24"/>
                <w:highlight w:val="none"/>
              </w:rPr>
              <w:t>如未在招标文件规定的投标时间截止前网上上传加密的电子投标文件，而只递交了未加密的电子投标文件的，投标无效。</w:t>
            </w:r>
          </w:p>
        </w:tc>
      </w:tr>
      <w:tr w14:paraId="6537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34C9A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4.2.3</w:t>
            </w:r>
          </w:p>
        </w:tc>
        <w:tc>
          <w:tcPr>
            <w:tcW w:w="1581" w:type="dxa"/>
            <w:noWrap w:val="0"/>
            <w:vAlign w:val="center"/>
          </w:tcPr>
          <w:p w14:paraId="1BD243F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是否退还投标文件</w:t>
            </w:r>
          </w:p>
        </w:tc>
        <w:tc>
          <w:tcPr>
            <w:tcW w:w="7229" w:type="dxa"/>
            <w:noWrap w:val="0"/>
            <w:vAlign w:val="center"/>
          </w:tcPr>
          <w:p w14:paraId="6917E41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Times New Roman"/>
                <w:b/>
                <w:bCs/>
                <w:color w:val="auto"/>
                <w:sz w:val="24"/>
                <w:highlight w:val="none"/>
              </w:rPr>
              <w:sym w:font="Wingdings" w:char="F0FE"/>
            </w:r>
            <w:r>
              <w:rPr>
                <w:rFonts w:hint="eastAsia" w:ascii="宋体" w:hAnsi="宋体" w:eastAsia="仿宋" w:cs="Calibri"/>
                <w:color w:val="auto"/>
                <w:sz w:val="24"/>
                <w:highlight w:val="none"/>
              </w:rPr>
              <w:t>否，其中样品的退还规定见本章第3.1.4项</w:t>
            </w:r>
          </w:p>
          <w:p w14:paraId="138A09F2">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□是，退还安排：</w:t>
            </w:r>
            <w:r>
              <w:rPr>
                <w:rFonts w:hint="default" w:ascii="宋体" w:hAnsi="宋体" w:eastAsia="仿宋" w:cs="Calibri"/>
                <w:color w:val="auto"/>
                <w:sz w:val="24"/>
                <w:highlight w:val="none"/>
                <w:u w:val="single"/>
              </w:rPr>
              <w:t xml:space="preserve">                         </w:t>
            </w:r>
          </w:p>
        </w:tc>
      </w:tr>
      <w:tr w14:paraId="67B4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C8437B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5.2（4）</w:t>
            </w:r>
          </w:p>
        </w:tc>
        <w:tc>
          <w:tcPr>
            <w:tcW w:w="1581" w:type="dxa"/>
            <w:noWrap w:val="0"/>
            <w:vAlign w:val="center"/>
          </w:tcPr>
          <w:p w14:paraId="511B407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开标程序</w:t>
            </w:r>
          </w:p>
        </w:tc>
        <w:tc>
          <w:tcPr>
            <w:tcW w:w="7229" w:type="dxa"/>
            <w:noWrap w:val="0"/>
            <w:vAlign w:val="center"/>
          </w:tcPr>
          <w:p w14:paraId="41B90E54">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解密时间要求：</w:t>
            </w:r>
            <w:r>
              <w:rPr>
                <w:rFonts w:hint="eastAsia" w:ascii="楷体" w:hAnsi="楷体" w:eastAsia="仿宋" w:cs="Calibri"/>
                <w:color w:val="auto"/>
                <w:sz w:val="24"/>
                <w:highlight w:val="none"/>
              </w:rPr>
              <w:t>30分钟以内，以电子交易平台时间为准</w:t>
            </w:r>
          </w:p>
          <w:p w14:paraId="23DDFEC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rPr>
              <w:t>其他要求：</w:t>
            </w:r>
            <w:r>
              <w:rPr>
                <w:rFonts w:hint="eastAsia" w:ascii="楷体" w:hAnsi="楷体" w:eastAsia="仿宋" w:cs="Calibri"/>
                <w:color w:val="auto"/>
                <w:sz w:val="24"/>
                <w:highlight w:val="none"/>
              </w:rPr>
              <w:t>投标文件解密可以采用网上远程方式，无需到开标现场进行解密。解密的CA锁必须与投标文件加密的CA锁一致，否则造成的后果由投标人自行承担</w:t>
            </w:r>
          </w:p>
        </w:tc>
      </w:tr>
      <w:tr w14:paraId="0CFD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33660C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6.3.2</w:t>
            </w:r>
          </w:p>
        </w:tc>
        <w:tc>
          <w:tcPr>
            <w:tcW w:w="1581" w:type="dxa"/>
            <w:noWrap w:val="0"/>
            <w:vAlign w:val="center"/>
          </w:tcPr>
          <w:p w14:paraId="25E8776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评标委员会推荐中标候选人的人数</w:t>
            </w:r>
          </w:p>
        </w:tc>
        <w:tc>
          <w:tcPr>
            <w:tcW w:w="7229" w:type="dxa"/>
            <w:noWrap w:val="0"/>
            <w:vAlign w:val="center"/>
          </w:tcPr>
          <w:p w14:paraId="54117EF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评标委员会推荐的中标候选人数量：1-3名</w:t>
            </w:r>
          </w:p>
        </w:tc>
      </w:tr>
      <w:tr w14:paraId="393A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5D3C81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7.1.1</w:t>
            </w:r>
          </w:p>
        </w:tc>
        <w:tc>
          <w:tcPr>
            <w:tcW w:w="1581" w:type="dxa"/>
            <w:noWrap w:val="0"/>
            <w:vAlign w:val="center"/>
          </w:tcPr>
          <w:p w14:paraId="78ABA09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是否授权评标委员会确定中标人</w:t>
            </w:r>
          </w:p>
        </w:tc>
        <w:tc>
          <w:tcPr>
            <w:tcW w:w="7229" w:type="dxa"/>
            <w:noWrap w:val="0"/>
            <w:vAlign w:val="center"/>
          </w:tcPr>
          <w:p w14:paraId="68E26C2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☑否</w:t>
            </w:r>
          </w:p>
          <w:p w14:paraId="061336B2">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□是</w:t>
            </w:r>
          </w:p>
        </w:tc>
      </w:tr>
      <w:tr w14:paraId="0500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C8786B8">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7.1.2</w:t>
            </w:r>
          </w:p>
        </w:tc>
        <w:tc>
          <w:tcPr>
            <w:tcW w:w="1581" w:type="dxa"/>
            <w:noWrap w:val="0"/>
            <w:vAlign w:val="center"/>
          </w:tcPr>
          <w:p w14:paraId="5D41C98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中标结果公告</w:t>
            </w:r>
          </w:p>
        </w:tc>
        <w:tc>
          <w:tcPr>
            <w:tcW w:w="7229" w:type="dxa"/>
            <w:noWrap w:val="0"/>
            <w:vAlign w:val="center"/>
          </w:tcPr>
          <w:p w14:paraId="61F479B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公告方式：在发布招标公告的媒介上发布本项目中标结果公告</w:t>
            </w:r>
          </w:p>
          <w:p w14:paraId="6F52B67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u w:val="single"/>
              </w:rPr>
            </w:pPr>
            <w:r>
              <w:rPr>
                <w:rFonts w:hint="eastAsia" w:ascii="宋体" w:hAnsi="宋体" w:eastAsia="仿宋" w:cs="Times New Roman"/>
                <w:color w:val="auto"/>
                <w:sz w:val="24"/>
                <w:highlight w:val="none"/>
              </w:rPr>
              <w:t>公告内容：按照财政部《政府采购公告和公示信息格式规范（2020年版）》中的“中标（成交）结果公告”格式及内容编制</w:t>
            </w:r>
          </w:p>
        </w:tc>
      </w:tr>
      <w:tr w14:paraId="31DD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A6FF36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7.2.2</w:t>
            </w:r>
          </w:p>
        </w:tc>
        <w:tc>
          <w:tcPr>
            <w:tcW w:w="1581" w:type="dxa"/>
            <w:noWrap w:val="0"/>
            <w:vAlign w:val="center"/>
          </w:tcPr>
          <w:p w14:paraId="364D492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招标代理</w:t>
            </w:r>
          </w:p>
          <w:p w14:paraId="40E2F1E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服务费</w:t>
            </w:r>
          </w:p>
        </w:tc>
        <w:tc>
          <w:tcPr>
            <w:tcW w:w="7229" w:type="dxa"/>
            <w:noWrap w:val="0"/>
            <w:vAlign w:val="center"/>
          </w:tcPr>
          <w:p w14:paraId="052E1980">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参照国家发展改革委发改价格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2011</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534号文件、发改办价格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2003</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857号文件、计价格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2002</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1980号文件规定收费标准的30%（不含税）计取，由中标人在领取中标通知书时，向采购代理机构支付。</w:t>
            </w:r>
          </w:p>
        </w:tc>
      </w:tr>
      <w:tr w14:paraId="2F24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658DB1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7.3.1</w:t>
            </w:r>
          </w:p>
        </w:tc>
        <w:tc>
          <w:tcPr>
            <w:tcW w:w="1581" w:type="dxa"/>
            <w:noWrap w:val="0"/>
            <w:vAlign w:val="center"/>
          </w:tcPr>
          <w:p w14:paraId="326C3FD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履约保证金</w:t>
            </w:r>
          </w:p>
        </w:tc>
        <w:tc>
          <w:tcPr>
            <w:tcW w:w="7229" w:type="dxa"/>
            <w:noWrap w:val="0"/>
            <w:vAlign w:val="top"/>
          </w:tcPr>
          <w:p w14:paraId="2923F9FC">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是否要求投标人提交履约保证金：</w:t>
            </w:r>
          </w:p>
          <w:p w14:paraId="7C13F85C">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r>
              <w:rPr>
                <w:rFonts w:hint="eastAsia" w:ascii="Calibri" w:hAnsi="Calibri" w:eastAsia="仿宋" w:cs="Times New Roman"/>
                <w:color w:val="auto"/>
                <w:sz w:val="24"/>
                <w:highlight w:val="none"/>
              </w:rPr>
              <w:t>不要求。</w:t>
            </w:r>
          </w:p>
          <w:p w14:paraId="03F316E6">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w:t>
            </w:r>
            <w:r>
              <w:rPr>
                <w:rFonts w:hint="eastAsia" w:ascii="Calibri" w:hAnsi="Calibri" w:eastAsia="仿宋" w:cs="Times New Roman"/>
                <w:color w:val="auto"/>
                <w:sz w:val="24"/>
                <w:highlight w:val="none"/>
              </w:rPr>
              <w:t>要求，</w:t>
            </w:r>
            <w:r>
              <w:rPr>
                <w:rFonts w:hint="default" w:ascii="宋体" w:hAnsi="宋体" w:eastAsia="仿宋" w:cs="Times New Roman"/>
                <w:color w:val="auto"/>
                <w:sz w:val="24"/>
                <w:highlight w:val="none"/>
              </w:rPr>
              <w:t>履约保证金的形式：</w:t>
            </w:r>
            <w:r>
              <w:rPr>
                <w:rFonts w:hint="eastAsia" w:ascii="楷体" w:hAnsi="楷体" w:eastAsia="仿宋" w:cs="Times New Roman"/>
                <w:color w:val="auto"/>
                <w:sz w:val="24"/>
                <w:highlight w:val="none"/>
              </w:rPr>
              <w:t>保函（格式：见招标文件第五章附件）、转账/电汇、支票、汇票、本票、保险</w:t>
            </w:r>
          </w:p>
          <w:p w14:paraId="60C1916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default" w:ascii="宋体" w:hAnsi="宋体" w:eastAsia="仿宋" w:cs="Times New Roman"/>
                <w:color w:val="auto"/>
                <w:sz w:val="24"/>
                <w:highlight w:val="none"/>
              </w:rPr>
              <w:t>履约保证金的金额：</w:t>
            </w:r>
            <w:r>
              <w:rPr>
                <w:rFonts w:hint="eastAsia" w:ascii="楷体" w:hAnsi="楷体" w:eastAsia="仿宋" w:cs="Times New Roman"/>
                <w:color w:val="auto"/>
                <w:sz w:val="24"/>
                <w:highlight w:val="none"/>
              </w:rPr>
              <w:t>合同金额的2.5%</w:t>
            </w:r>
          </w:p>
          <w:p w14:paraId="35AAB337">
            <w:pPr>
              <w:pStyle w:val="25"/>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履约保证金提交时间：采购</w:t>
            </w:r>
            <w:r>
              <w:rPr>
                <w:rFonts w:hint="eastAsia" w:ascii="楷体" w:hAnsi="楷体" w:eastAsia="仿宋" w:cs="Times New Roman"/>
                <w:color w:val="auto"/>
                <w:sz w:val="24"/>
                <w:szCs w:val="24"/>
                <w:highlight w:val="none"/>
              </w:rPr>
              <w:t>合同签订前</w:t>
            </w:r>
          </w:p>
          <w:p w14:paraId="46AA4A00">
            <w:pPr>
              <w:pStyle w:val="25"/>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履约保证金退还时间：</w:t>
            </w:r>
            <w:r>
              <w:rPr>
                <w:rFonts w:hint="eastAsia" w:ascii="楷体" w:hAnsi="楷体" w:eastAsia="仿宋" w:cs="Times New Roman"/>
                <w:color w:val="auto"/>
                <w:sz w:val="24"/>
                <w:szCs w:val="24"/>
                <w:highlight w:val="none"/>
              </w:rPr>
              <w:t>履约完成后退还</w:t>
            </w:r>
          </w:p>
          <w:p w14:paraId="7B296246">
            <w:pPr>
              <w:pStyle w:val="25"/>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r>
              <w:rPr>
                <w:rFonts w:hint="eastAsia" w:hAnsi="宋体" w:eastAsia="仿宋" w:cs="Times New Roman"/>
                <w:color w:val="auto"/>
                <w:sz w:val="24"/>
                <w:szCs w:val="24"/>
                <w:highlight w:val="none"/>
              </w:rPr>
              <w:t>未按规定提交履约保证金，视为中标人拒绝与采购人签订合同。采购人可按评标委员会推荐的中标候选人名单排序确定下一候选人为中标人，或者重新开展采购活动。</w:t>
            </w:r>
          </w:p>
          <w:p w14:paraId="3EE03325">
            <w:pPr>
              <w:pStyle w:val="25"/>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p>
          <w:p w14:paraId="0F4C381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保函要求：</w:t>
            </w:r>
          </w:p>
          <w:p w14:paraId="77B8800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5FC016F1">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542B66F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74E3BC9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77E55BA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1932B42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79E30B2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tc>
      </w:tr>
      <w:tr w14:paraId="36B9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9EBBA5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7.4.1</w:t>
            </w:r>
          </w:p>
        </w:tc>
        <w:tc>
          <w:tcPr>
            <w:tcW w:w="1581" w:type="dxa"/>
            <w:noWrap w:val="0"/>
            <w:vAlign w:val="center"/>
          </w:tcPr>
          <w:p w14:paraId="4DA7A53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合同签订时间</w:t>
            </w:r>
          </w:p>
        </w:tc>
        <w:tc>
          <w:tcPr>
            <w:tcW w:w="7229" w:type="dxa"/>
            <w:noWrap w:val="0"/>
            <w:vAlign w:val="center"/>
          </w:tcPr>
          <w:p w14:paraId="1BCC954C">
            <w:pPr>
              <w:pStyle w:val="25"/>
              <w:keepNext w:val="0"/>
              <w:keepLines w:val="0"/>
              <w:widowControl/>
              <w:suppressLineNumbers w:val="0"/>
              <w:adjustRightInd w:val="0"/>
              <w:snapToGrid w:val="0"/>
              <w:spacing w:before="0" w:beforeAutospacing="0" w:after="0" w:afterAutospacing="0" w:line="288" w:lineRule="auto"/>
              <w:ind w:left="0" w:right="0"/>
              <w:rPr>
                <w:rFonts w:hint="eastAsia" w:hAnsi="宋体" w:cs="Times New Roman"/>
                <w:color w:val="auto"/>
                <w:sz w:val="24"/>
                <w:szCs w:val="24"/>
                <w:highlight w:val="none"/>
              </w:rPr>
            </w:pPr>
            <w:r>
              <w:rPr>
                <w:rFonts w:hint="eastAsia" w:ascii="楷体" w:hAnsi="楷体" w:eastAsia="仿宋" w:cs="楷体"/>
                <w:color w:val="auto"/>
                <w:sz w:val="24"/>
                <w:szCs w:val="24"/>
                <w:highlight w:val="none"/>
              </w:rPr>
              <w:t>中标结果公告发布（中标通知书发出）之日起7个工作日内</w:t>
            </w:r>
          </w:p>
        </w:tc>
      </w:tr>
      <w:tr w14:paraId="5F93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4F4D47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9.1.1</w:t>
            </w:r>
          </w:p>
        </w:tc>
        <w:tc>
          <w:tcPr>
            <w:tcW w:w="1581" w:type="dxa"/>
            <w:noWrap w:val="0"/>
            <w:vAlign w:val="center"/>
          </w:tcPr>
          <w:p w14:paraId="50C6257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default" w:ascii="Calibri" w:hAnsi="Calibri" w:eastAsia="仿宋" w:cs="Times New Roman"/>
                <w:color w:val="auto"/>
                <w:sz w:val="24"/>
                <w:highlight w:val="none"/>
              </w:rPr>
              <w:t>投标人</w:t>
            </w:r>
            <w:r>
              <w:rPr>
                <w:rFonts w:hint="eastAsia" w:ascii="Calibri" w:hAnsi="Calibri" w:eastAsia="仿宋" w:cs="Times New Roman"/>
                <w:color w:val="auto"/>
                <w:sz w:val="24"/>
                <w:highlight w:val="none"/>
              </w:rPr>
              <w:t>提出询问</w:t>
            </w:r>
            <w:r>
              <w:rPr>
                <w:rFonts w:hint="eastAsia" w:ascii="宋体" w:hAnsi="宋体" w:eastAsia="仿宋" w:cs="Calibri"/>
                <w:color w:val="auto"/>
                <w:sz w:val="24"/>
                <w:highlight w:val="none"/>
              </w:rPr>
              <w:t>的时间</w:t>
            </w:r>
          </w:p>
        </w:tc>
        <w:tc>
          <w:tcPr>
            <w:tcW w:w="7229" w:type="dxa"/>
            <w:noWrap w:val="0"/>
            <w:vAlign w:val="center"/>
          </w:tcPr>
          <w:p w14:paraId="643DA36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Calibri" w:hAnsi="Calibri" w:eastAsia="仿宋" w:cs="Times New Roman"/>
                <w:color w:val="auto"/>
                <w:sz w:val="24"/>
                <w:highlight w:val="none"/>
              </w:rPr>
              <w:t>提出</w:t>
            </w:r>
            <w:r>
              <w:rPr>
                <w:rFonts w:hint="eastAsia" w:ascii="宋体" w:hAnsi="宋体" w:eastAsia="仿宋" w:cs="Calibri"/>
                <w:color w:val="auto"/>
                <w:sz w:val="24"/>
                <w:highlight w:val="none"/>
              </w:rPr>
              <w:t>时间：</w:t>
            </w:r>
            <w:r>
              <w:rPr>
                <w:rFonts w:hint="default" w:ascii="楷体" w:hAnsi="楷体" w:eastAsia="仿宋" w:cs="Times New Roman"/>
                <w:color w:val="auto"/>
                <w:sz w:val="24"/>
                <w:highlight w:val="none"/>
              </w:rPr>
              <w:t>在</w:t>
            </w:r>
            <w:r>
              <w:rPr>
                <w:rFonts w:hint="eastAsia" w:ascii="楷体" w:hAnsi="楷体" w:eastAsia="仿宋" w:cs="Times New Roman"/>
                <w:color w:val="auto"/>
                <w:sz w:val="24"/>
                <w:highlight w:val="none"/>
              </w:rPr>
              <w:t>投标截止时间16日</w:t>
            </w:r>
            <w:r>
              <w:rPr>
                <w:rFonts w:hint="default" w:ascii="楷体" w:hAnsi="楷体" w:eastAsia="仿宋" w:cs="Times New Roman"/>
                <w:color w:val="auto"/>
                <w:sz w:val="24"/>
                <w:highlight w:val="none"/>
              </w:rPr>
              <w:t>前（以收到日期为准）</w:t>
            </w:r>
          </w:p>
          <w:p w14:paraId="6C4BD6BD">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宋体" w:hAnsi="宋体" w:eastAsia="仿宋" w:cs="Times New Roman"/>
                <w:color w:val="auto"/>
                <w:sz w:val="24"/>
                <w:highlight w:val="none"/>
              </w:rPr>
              <w:t>询问函格式：见本章附件二</w:t>
            </w:r>
          </w:p>
        </w:tc>
      </w:tr>
      <w:tr w14:paraId="5014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CB0ED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9.2.1</w:t>
            </w:r>
          </w:p>
        </w:tc>
        <w:tc>
          <w:tcPr>
            <w:tcW w:w="1581" w:type="dxa"/>
            <w:noWrap w:val="0"/>
            <w:vAlign w:val="center"/>
          </w:tcPr>
          <w:p w14:paraId="57D8596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投标人提出质疑的时间</w:t>
            </w:r>
          </w:p>
        </w:tc>
        <w:tc>
          <w:tcPr>
            <w:tcW w:w="7229" w:type="dxa"/>
            <w:noWrap w:val="0"/>
            <w:vAlign w:val="center"/>
          </w:tcPr>
          <w:p w14:paraId="1BEB9629">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u w:val="single"/>
              </w:rPr>
            </w:pPr>
            <w:r>
              <w:rPr>
                <w:rFonts w:hint="eastAsia" w:ascii="Calibri" w:hAnsi="Calibri" w:eastAsia="仿宋" w:cs="Times New Roman"/>
                <w:color w:val="auto"/>
                <w:sz w:val="24"/>
                <w:highlight w:val="none"/>
              </w:rPr>
              <w:t>提出</w:t>
            </w:r>
            <w:r>
              <w:rPr>
                <w:rFonts w:hint="eastAsia" w:ascii="宋体" w:hAnsi="宋体" w:eastAsia="仿宋" w:cs="Calibri"/>
                <w:color w:val="auto"/>
                <w:sz w:val="24"/>
                <w:highlight w:val="none"/>
              </w:rPr>
              <w:t>时间：</w:t>
            </w:r>
            <w:r>
              <w:rPr>
                <w:rFonts w:hint="eastAsia" w:ascii="楷体" w:hAnsi="楷体" w:eastAsia="仿宋" w:cs="Calibri"/>
                <w:color w:val="auto"/>
                <w:sz w:val="24"/>
                <w:highlight w:val="none"/>
              </w:rPr>
              <w:t>知道或者应知其权益受到损害之日起7个工作日内</w:t>
            </w:r>
          </w:p>
          <w:p w14:paraId="4B865FA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质疑函格式：见本章附件二</w:t>
            </w:r>
          </w:p>
        </w:tc>
      </w:tr>
      <w:tr w14:paraId="3730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02DD1D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9.2.2</w:t>
            </w:r>
          </w:p>
        </w:tc>
        <w:tc>
          <w:tcPr>
            <w:tcW w:w="1581" w:type="dxa"/>
            <w:noWrap w:val="0"/>
            <w:vAlign w:val="center"/>
          </w:tcPr>
          <w:p w14:paraId="2832DE6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接收质疑的联系方式</w:t>
            </w:r>
          </w:p>
        </w:tc>
        <w:tc>
          <w:tcPr>
            <w:tcW w:w="7229" w:type="dxa"/>
            <w:noWrap w:val="0"/>
            <w:vAlign w:val="center"/>
          </w:tcPr>
          <w:p w14:paraId="7A9171C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采购代理机构：安徽省招标集团股份有限公司</w:t>
            </w:r>
          </w:p>
          <w:p w14:paraId="0922B06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地址：安徽省合肥市包河区紫云路888号安徽省招标集团总部基地407室。（法务办公室）</w:t>
            </w:r>
          </w:p>
          <w:p w14:paraId="426C9141">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联系电话：0551-62220155</w:t>
            </w:r>
          </w:p>
          <w:p w14:paraId="65836BC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rPr>
              <w:t>联系人：张怀远</w:t>
            </w:r>
          </w:p>
        </w:tc>
      </w:tr>
      <w:tr w14:paraId="350C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2990C9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11.1.1</w:t>
            </w:r>
          </w:p>
        </w:tc>
        <w:tc>
          <w:tcPr>
            <w:tcW w:w="1581" w:type="dxa"/>
            <w:noWrap w:val="0"/>
            <w:vAlign w:val="center"/>
          </w:tcPr>
          <w:p w14:paraId="2CE0199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是否有强制采购的节能产品</w:t>
            </w:r>
          </w:p>
        </w:tc>
        <w:tc>
          <w:tcPr>
            <w:tcW w:w="7229" w:type="dxa"/>
            <w:noWrap w:val="0"/>
            <w:vAlign w:val="top"/>
          </w:tcPr>
          <w:p w14:paraId="572A1A12">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☑没有</w:t>
            </w:r>
          </w:p>
          <w:p w14:paraId="5BBA754E">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u w:val="single"/>
              </w:rPr>
            </w:pPr>
            <w:r>
              <w:rPr>
                <w:rFonts w:hint="eastAsia" w:ascii="宋体" w:hAnsi="宋体" w:eastAsia="仿宋" w:cs="Times New Roman"/>
                <w:color w:val="auto"/>
                <w:sz w:val="24"/>
                <w:highlight w:val="none"/>
              </w:rPr>
              <w:t>□有，详见第三章“采购需求”。</w:t>
            </w:r>
          </w:p>
          <w:p w14:paraId="12E29829">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default" w:ascii="宋体" w:hAnsi="宋体" w:eastAsia="仿宋" w:cs="Times New Roman"/>
                <w:color w:val="auto"/>
                <w:sz w:val="24"/>
                <w:highlight w:val="none"/>
              </w:rPr>
              <w:t>根据</w:t>
            </w:r>
            <w:r>
              <w:rPr>
                <w:rFonts w:hint="eastAsia" w:ascii="宋体" w:hAnsi="宋体" w:eastAsia="仿宋" w:cs="Times New Roman"/>
                <w:color w:val="auto"/>
                <w:sz w:val="24"/>
                <w:highlight w:val="none"/>
              </w:rPr>
              <w:t>《关于印发节能产品政府采购品目清单的通知》（财库〔2019〕19号）、</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关于发布参与实施政府采购节能产品、环境标志产品认证机构名录的公告</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市场监管总局2019年第16号</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，投标人提供拟投产品在规定认证机构范围内的节字标志认证证书，方予以认定其所投产品为节能产品。</w:t>
            </w:r>
          </w:p>
        </w:tc>
      </w:tr>
      <w:tr w14:paraId="1724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8E960A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11.1.2</w:t>
            </w:r>
          </w:p>
        </w:tc>
        <w:tc>
          <w:tcPr>
            <w:tcW w:w="1581" w:type="dxa"/>
            <w:noWrap w:val="0"/>
            <w:vAlign w:val="center"/>
          </w:tcPr>
          <w:p w14:paraId="41C8D8A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Calibri" w:hAnsi="Calibri" w:eastAsia="仿宋" w:cs="Times New Roman"/>
                <w:color w:val="auto"/>
                <w:sz w:val="24"/>
                <w:highlight w:val="none"/>
                <w:lang w:bidi="en-US"/>
              </w:rPr>
              <w:t>环境标志产品政府采购清单</w:t>
            </w:r>
          </w:p>
        </w:tc>
        <w:tc>
          <w:tcPr>
            <w:tcW w:w="7229" w:type="dxa"/>
            <w:noWrap w:val="0"/>
            <w:vAlign w:val="top"/>
          </w:tcPr>
          <w:p w14:paraId="67644C4F">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default" w:ascii="宋体" w:hAnsi="宋体" w:eastAsia="仿宋" w:cs="Times New Roman"/>
                <w:color w:val="auto"/>
                <w:sz w:val="24"/>
                <w:highlight w:val="none"/>
              </w:rPr>
              <w:t>根据</w:t>
            </w:r>
            <w:r>
              <w:rPr>
                <w:rFonts w:hint="eastAsia" w:ascii="宋体" w:hAnsi="宋体" w:eastAsia="仿宋" w:cs="Times New Roman"/>
                <w:color w:val="auto"/>
                <w:sz w:val="24"/>
                <w:highlight w:val="none"/>
              </w:rPr>
              <w:t>《关于印发环境标志产品政府采购品目清单的通知》（财库〔2019〕18号）、</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关于发布参与实施政府采购节能产品、环境标志产品认证机构名录的公告</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（市场监管总局</w:t>
            </w:r>
            <w:r>
              <w:rPr>
                <w:rFonts w:hint="default" w:ascii="宋体" w:hAnsi="宋体" w:eastAsia="仿宋" w:cs="Times New Roman"/>
                <w:color w:val="auto"/>
                <w:sz w:val="24"/>
                <w:highlight w:val="none"/>
              </w:rPr>
              <w:t>2019年第16号</w:t>
            </w:r>
            <w:r>
              <w:rPr>
                <w:rFonts w:hint="eastAsia" w:ascii="宋体" w:hAnsi="宋体" w:eastAsia="仿宋" w:cs="Times New Roman"/>
                <w:color w:val="auto"/>
                <w:sz w:val="24"/>
                <w:highlight w:val="none"/>
              </w:rPr>
              <w:t>），在规定的认证机构范围内，投标人提供拟投产品环境标志认证证书的，方予以认定其所投产品为环境标志产品。</w:t>
            </w:r>
          </w:p>
        </w:tc>
      </w:tr>
      <w:tr w14:paraId="2F16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FD54FF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11.2.1</w:t>
            </w:r>
          </w:p>
        </w:tc>
        <w:tc>
          <w:tcPr>
            <w:tcW w:w="1581" w:type="dxa"/>
            <w:noWrap w:val="0"/>
            <w:vAlign w:val="center"/>
          </w:tcPr>
          <w:p w14:paraId="6D77E88F">
            <w:pPr>
              <w:keepNext w:val="0"/>
              <w:keepLines w:val="0"/>
              <w:widowControl/>
              <w:suppressLineNumbers w:val="0"/>
              <w:adjustRightInd w:val="0"/>
              <w:snapToGrid w:val="0"/>
              <w:spacing w:before="0" w:beforeAutospacing="0" w:after="0" w:afterAutospacing="0" w:line="288" w:lineRule="auto"/>
              <w:ind w:left="0" w:right="0"/>
              <w:jc w:val="center"/>
              <w:rPr>
                <w:rFonts w:hint="eastAsia" w:ascii="Calibri" w:hAnsi="Calibri" w:eastAsia="仿宋" w:cs="Times New Roman"/>
                <w:color w:val="auto"/>
                <w:sz w:val="24"/>
                <w:highlight w:val="none"/>
                <w:lang w:bidi="en-US"/>
              </w:rPr>
            </w:pPr>
            <w:r>
              <w:rPr>
                <w:rFonts w:hint="eastAsia" w:ascii="Calibri" w:hAnsi="Calibri" w:eastAsia="仿宋" w:cs="Times New Roman"/>
                <w:color w:val="auto"/>
                <w:sz w:val="24"/>
                <w:highlight w:val="none"/>
                <w:lang w:bidi="en-US"/>
              </w:rPr>
              <w:t>中小企业认定标准</w:t>
            </w:r>
          </w:p>
        </w:tc>
        <w:tc>
          <w:tcPr>
            <w:tcW w:w="7229" w:type="dxa"/>
            <w:noWrap w:val="0"/>
            <w:vAlign w:val="top"/>
          </w:tcPr>
          <w:p w14:paraId="676DB1B3">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根据工业和信息化部、国家统计局、国家发展和改革委员会、财政部《关于印发中小企业划型标准规定的通知》（工信部联企业〔2011〕300号），采购标的对应的中小企业划分标准所属行业见第三章采购需求。</w:t>
            </w:r>
          </w:p>
        </w:tc>
      </w:tr>
      <w:tr w14:paraId="5CE8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EFB6D2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11.2.3</w:t>
            </w:r>
          </w:p>
        </w:tc>
        <w:tc>
          <w:tcPr>
            <w:tcW w:w="1581" w:type="dxa"/>
            <w:noWrap w:val="0"/>
            <w:vAlign w:val="center"/>
          </w:tcPr>
          <w:p w14:paraId="67A99F3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价格扣除标准</w:t>
            </w:r>
          </w:p>
        </w:tc>
        <w:tc>
          <w:tcPr>
            <w:tcW w:w="7229" w:type="dxa"/>
            <w:noWrap w:val="0"/>
            <w:vAlign w:val="center"/>
          </w:tcPr>
          <w:p w14:paraId="0BCD3AFE">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未预留份额专门面向中小企业采购的采购项目，以及预留份额项目中的非预留部分采购包采购时，小微企业报价扣除比例：</w:t>
            </w:r>
          </w:p>
          <w:p w14:paraId="2B781BEC">
            <w:pPr>
              <w:keepNext w:val="0"/>
              <w:keepLines w:val="0"/>
              <w:widowControl/>
              <w:suppressLineNumbers w:val="0"/>
              <w:snapToGrid w:val="0"/>
              <w:spacing w:before="0" w:beforeAutospacing="0" w:after="0" w:afterAutospacing="0" w:line="288" w:lineRule="auto"/>
              <w:ind w:left="0" w:right="0"/>
              <w:jc w:val="left"/>
              <w:rPr>
                <w:rFonts w:hint="eastAsia" w:ascii="Calibri" w:hAnsi="Calibri" w:eastAsia="仿宋" w:cs="Times New Roman"/>
                <w:color w:val="auto"/>
                <w:sz w:val="24"/>
                <w:highlight w:val="none"/>
                <w:lang w:bidi="en-US"/>
              </w:rPr>
            </w:pPr>
            <w:r>
              <w:rPr>
                <w:rFonts w:hint="eastAsia" w:ascii="Calibri" w:hAnsi="Calibri" w:eastAsia="仿宋" w:cs="Times New Roman"/>
                <w:color w:val="auto"/>
                <w:sz w:val="24"/>
                <w:highlight w:val="none"/>
                <w:lang w:bidi="en-US"/>
              </w:rPr>
              <w:t>（1）小型和微型企业：</w:t>
            </w:r>
            <w:r>
              <w:rPr>
                <w:rFonts w:hint="eastAsia" w:ascii="Calibri" w:hAnsi="Calibri" w:eastAsia="仿宋" w:cs="Times New Roman"/>
                <w:color w:val="auto"/>
                <w:sz w:val="24"/>
                <w:highlight w:val="none"/>
                <w:u w:val="single"/>
                <w:lang w:bidi="en-US"/>
              </w:rPr>
              <w:t xml:space="preserve"> 10  </w:t>
            </w:r>
            <w:r>
              <w:rPr>
                <w:rFonts w:hint="eastAsia" w:ascii="Calibri" w:hAnsi="Calibri" w:eastAsia="仿宋" w:cs="Times New Roman"/>
                <w:color w:val="auto"/>
                <w:sz w:val="24"/>
                <w:highlight w:val="none"/>
                <w:lang w:bidi="en-US"/>
              </w:rPr>
              <w:t>%</w:t>
            </w:r>
          </w:p>
          <w:p w14:paraId="27103870">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Calibri" w:hAnsi="Calibri" w:eastAsia="仿宋" w:cs="Times New Roman"/>
                <w:color w:val="auto"/>
                <w:sz w:val="24"/>
                <w:highlight w:val="none"/>
                <w:lang w:bidi="en-US"/>
              </w:rPr>
              <w:t>（2）</w:t>
            </w:r>
            <w:r>
              <w:rPr>
                <w:rFonts w:hint="eastAsia" w:ascii="宋体" w:hAnsi="宋体" w:eastAsia="仿宋" w:cs="Times New Roman"/>
                <w:color w:val="auto"/>
                <w:sz w:val="24"/>
                <w:highlight w:val="none"/>
              </w:rPr>
              <w:t>对于联合协议或者分包意向协议约定小微企业的合同份额占到合同总金额30%时，对联合体或者大中型企业的报价的扣除比例</w:t>
            </w:r>
            <w:r>
              <w:rPr>
                <w:rFonts w:hint="eastAsia" w:ascii="宋体" w:hAnsi="宋体" w:eastAsia="仿宋" w:cs="Times New Roman"/>
                <w:color w:val="auto"/>
                <w:sz w:val="24"/>
                <w:highlight w:val="none"/>
                <w:u w:val="single"/>
              </w:rPr>
              <w:t>/</w:t>
            </w:r>
            <w:r>
              <w:rPr>
                <w:rFonts w:hint="eastAsia" w:ascii="宋体" w:hAnsi="宋体" w:eastAsia="仿宋" w:cs="Times New Roman"/>
                <w:color w:val="auto"/>
                <w:sz w:val="24"/>
                <w:highlight w:val="none"/>
              </w:rPr>
              <w:t>%</w:t>
            </w:r>
          </w:p>
          <w:p w14:paraId="27F556B2">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注：1.价格扣除举例说明：</w:t>
            </w:r>
            <w:r>
              <w:rPr>
                <w:rFonts w:hint="default" w:ascii="宋体" w:hAnsi="宋体" w:eastAsia="仿宋" w:cs="Times New Roman"/>
                <w:color w:val="auto"/>
                <w:sz w:val="24"/>
                <w:highlight w:val="none"/>
              </w:rPr>
              <w:t>某</w:t>
            </w:r>
            <w:r>
              <w:rPr>
                <w:rFonts w:hint="eastAsia" w:ascii="宋体" w:hAnsi="宋体" w:eastAsia="仿宋" w:cs="Times New Roman"/>
                <w:color w:val="auto"/>
                <w:sz w:val="24"/>
                <w:highlight w:val="none"/>
              </w:rPr>
              <w:t>残疾人福利单位符合财库〔2017〕141号规定的政策支持单位，属于小微企业，其投标报价为</w:t>
            </w:r>
            <w:r>
              <w:rPr>
                <w:rFonts w:hint="default" w:ascii="宋体" w:hAnsi="宋体" w:eastAsia="仿宋" w:cs="Times New Roman"/>
                <w:color w:val="auto"/>
                <w:sz w:val="24"/>
                <w:highlight w:val="none"/>
              </w:rPr>
              <w:t>100万元，“扣除后的价格”为：100万元-100万元×</w:t>
            </w:r>
            <w:r>
              <w:rPr>
                <w:rFonts w:hint="eastAsia" w:ascii="宋体" w:hAnsi="宋体" w:eastAsia="仿宋" w:cs="Times New Roman"/>
                <w:color w:val="auto"/>
                <w:sz w:val="24"/>
                <w:highlight w:val="none"/>
              </w:rPr>
              <w:t>扣除比例，用扣除后的价格参与评审。</w:t>
            </w:r>
          </w:p>
          <w:p w14:paraId="64375A51">
            <w:pPr>
              <w:keepNext w:val="0"/>
              <w:keepLines w:val="0"/>
              <w:widowControl/>
              <w:suppressLineNumbers w:val="0"/>
              <w:snapToGrid w:val="0"/>
              <w:spacing w:before="0" w:beforeAutospacing="0" w:after="0" w:afterAutospacing="0" w:line="288" w:lineRule="auto"/>
              <w:ind w:left="0" w:right="0"/>
              <w:jc w:val="left"/>
              <w:rPr>
                <w:rFonts w:hint="eastAsia" w:ascii="Calibri" w:hAnsi="Calibri" w:cs="Times New Roman"/>
                <w:color w:val="auto"/>
                <w:sz w:val="24"/>
                <w:highlight w:val="none"/>
                <w:lang w:bidi="en-US"/>
              </w:rPr>
            </w:pPr>
            <w:r>
              <w:rPr>
                <w:rFonts w:hint="eastAsia" w:ascii="宋体" w:hAnsi="宋体" w:eastAsia="仿宋" w:cs="Times New Roman"/>
                <w:b/>
                <w:color w:val="auto"/>
                <w:sz w:val="24"/>
                <w:highlight w:val="none"/>
              </w:rPr>
              <w:t>2.本项目将对中标人提供的《中小企业声明函》，随中标结果一并公布。如提供虚假材料，将取消中标资格并报相关部门按有关规定处理，并计入不良记录。</w:t>
            </w:r>
          </w:p>
        </w:tc>
      </w:tr>
      <w:tr w14:paraId="7F50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57" w:type="dxa"/>
            <w:noWrap w:val="0"/>
            <w:vAlign w:val="center"/>
          </w:tcPr>
          <w:p w14:paraId="2485E21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11.3.2</w:t>
            </w:r>
          </w:p>
        </w:tc>
        <w:tc>
          <w:tcPr>
            <w:tcW w:w="1581" w:type="dxa"/>
            <w:noWrap w:val="0"/>
            <w:vAlign w:val="center"/>
          </w:tcPr>
          <w:p w14:paraId="710BD99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进口产品采购</w:t>
            </w:r>
          </w:p>
        </w:tc>
        <w:tc>
          <w:tcPr>
            <w:tcW w:w="7229" w:type="dxa"/>
            <w:noWrap w:val="0"/>
            <w:vAlign w:val="center"/>
          </w:tcPr>
          <w:p w14:paraId="3524BB30">
            <w:pPr>
              <w:keepNext w:val="0"/>
              <w:keepLines w:val="0"/>
              <w:widowControl/>
              <w:suppressLineNumbers w:val="0"/>
              <w:spacing w:before="0" w:beforeAutospacing="0" w:after="0" w:afterAutospacing="0"/>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w:t>
            </w:r>
            <w:r>
              <w:rPr>
                <w:rFonts w:hint="eastAsia" w:ascii="楷体" w:hAnsi="楷体" w:eastAsia="仿宋" w:cs="Times New Roman"/>
                <w:bCs/>
                <w:color w:val="auto"/>
                <w:sz w:val="24"/>
                <w:highlight w:val="none"/>
              </w:rPr>
              <w:t>本项目</w:t>
            </w:r>
            <w:r>
              <w:rPr>
                <w:rFonts w:hint="eastAsia" w:ascii="楷体" w:hAnsi="楷体" w:eastAsia="仿宋" w:cs="Calibri"/>
                <w:color w:val="auto"/>
                <w:sz w:val="24"/>
                <w:highlight w:val="none"/>
              </w:rPr>
              <w:t>拒绝进口产品参加投标</w:t>
            </w:r>
          </w:p>
          <w:p w14:paraId="1698DFC2">
            <w:pPr>
              <w:keepNext w:val="0"/>
              <w:keepLines w:val="0"/>
              <w:widowControl/>
              <w:suppressLineNumbers w:val="0"/>
              <w:spacing w:before="0" w:beforeAutospacing="0" w:after="0" w:afterAutospacing="0"/>
              <w:ind w:left="0" w:right="0"/>
              <w:rPr>
                <w:rFonts w:hint="eastAsia" w:ascii="宋体" w:hAnsi="宋体" w:cs="Calibri"/>
                <w:color w:val="auto"/>
                <w:sz w:val="24"/>
                <w:highlight w:val="none"/>
              </w:rPr>
            </w:pPr>
            <w:r>
              <w:rPr>
                <w:rFonts w:hint="eastAsia" w:ascii="楷体" w:hAnsi="楷体" w:eastAsia="仿宋" w:cs="Calibri"/>
                <w:color w:val="auto"/>
                <w:sz w:val="24"/>
                <w:highlight w:val="none"/>
              </w:rPr>
              <w:t>□本项目包含接受进口产品投标的品目，具体要求</w:t>
            </w:r>
            <w:r>
              <w:rPr>
                <w:rFonts w:hint="eastAsia" w:ascii="宋体" w:hAnsi="宋体" w:eastAsia="仿宋" w:cs="Calibri"/>
                <w:color w:val="auto"/>
                <w:sz w:val="24"/>
                <w:highlight w:val="none"/>
              </w:rPr>
              <w:t>详见第三章采购需求。</w:t>
            </w:r>
          </w:p>
        </w:tc>
      </w:tr>
      <w:tr w14:paraId="1006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3679C9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b/>
                <w:color w:val="auto"/>
                <w:sz w:val="24"/>
                <w:highlight w:val="none"/>
              </w:rPr>
            </w:pPr>
            <w:r>
              <w:rPr>
                <w:rFonts w:hint="eastAsia" w:ascii="宋体" w:hAnsi="宋体" w:eastAsia="仿宋" w:cs="Calibri"/>
                <w:bCs/>
                <w:color w:val="auto"/>
                <w:sz w:val="24"/>
                <w:highlight w:val="none"/>
              </w:rPr>
              <w:t>11.4</w:t>
            </w:r>
          </w:p>
        </w:tc>
        <w:tc>
          <w:tcPr>
            <w:tcW w:w="1581" w:type="dxa"/>
            <w:noWrap w:val="0"/>
            <w:vAlign w:val="center"/>
          </w:tcPr>
          <w:p w14:paraId="422D848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Times New Roman"/>
                <w:color w:val="auto"/>
                <w:sz w:val="24"/>
                <w:highlight w:val="none"/>
                <w:lang w:bidi="en-US"/>
              </w:rPr>
              <w:t>其他政府采购政策</w:t>
            </w:r>
          </w:p>
        </w:tc>
        <w:tc>
          <w:tcPr>
            <w:tcW w:w="7229" w:type="dxa"/>
            <w:noWrap w:val="0"/>
            <w:vAlign w:val="center"/>
          </w:tcPr>
          <w:p w14:paraId="67F983B7">
            <w:pPr>
              <w:keepNext w:val="0"/>
              <w:keepLines w:val="0"/>
              <w:widowControl/>
              <w:suppressLineNumbers w:val="0"/>
              <w:adjustRightInd w:val="0"/>
              <w:snapToGrid w:val="0"/>
              <w:spacing w:before="0" w:beforeAutospacing="0" w:after="0" w:afterAutospacing="0" w:line="288" w:lineRule="auto"/>
              <w:ind w:left="0" w:right="0"/>
              <w:jc w:val="left"/>
              <w:rPr>
                <w:rFonts w:hint="default" w:ascii="宋体" w:hAnsi="宋体" w:eastAsia="仿宋" w:cs="Calibri"/>
                <w:b/>
                <w:color w:val="auto"/>
                <w:sz w:val="24"/>
                <w:highlight w:val="none"/>
              </w:rPr>
            </w:pPr>
            <w:r>
              <w:rPr>
                <w:rFonts w:hint="eastAsia" w:ascii="宋体" w:hAnsi="宋体" w:eastAsia="仿宋" w:cs="Calibri"/>
                <w:b/>
                <w:color w:val="auto"/>
                <w:sz w:val="24"/>
                <w:highlight w:val="none"/>
              </w:rPr>
              <w:t>/</w:t>
            </w:r>
          </w:p>
        </w:tc>
      </w:tr>
      <w:tr w14:paraId="07A4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AA9707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Calibri"/>
                <w:b/>
                <w:color w:val="auto"/>
                <w:sz w:val="24"/>
                <w:highlight w:val="none"/>
              </w:rPr>
              <w:t>12</w:t>
            </w:r>
          </w:p>
        </w:tc>
        <w:tc>
          <w:tcPr>
            <w:tcW w:w="1581" w:type="dxa"/>
            <w:noWrap w:val="0"/>
            <w:vAlign w:val="center"/>
          </w:tcPr>
          <w:p w14:paraId="46C2339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p>
        </w:tc>
        <w:tc>
          <w:tcPr>
            <w:tcW w:w="7229" w:type="dxa"/>
            <w:noWrap w:val="0"/>
            <w:vAlign w:val="center"/>
          </w:tcPr>
          <w:p w14:paraId="1FCE70F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Times New Roman"/>
                <w:b/>
                <w:color w:val="auto"/>
                <w:sz w:val="24"/>
                <w:highlight w:val="none"/>
              </w:rPr>
            </w:pPr>
            <w:r>
              <w:rPr>
                <w:rFonts w:hint="eastAsia" w:ascii="宋体" w:hAnsi="宋体" w:eastAsia="仿宋" w:cs="Calibri"/>
                <w:b/>
                <w:color w:val="auto"/>
                <w:sz w:val="24"/>
                <w:highlight w:val="none"/>
              </w:rPr>
              <w:t>需要补充的其他内容</w:t>
            </w:r>
          </w:p>
        </w:tc>
      </w:tr>
      <w:tr w14:paraId="3C90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0D056D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12.1</w:t>
            </w:r>
          </w:p>
        </w:tc>
        <w:tc>
          <w:tcPr>
            <w:tcW w:w="1581" w:type="dxa"/>
            <w:noWrap w:val="0"/>
            <w:vAlign w:val="center"/>
          </w:tcPr>
          <w:p w14:paraId="2F18184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电子招标投标</w:t>
            </w:r>
          </w:p>
        </w:tc>
        <w:tc>
          <w:tcPr>
            <w:tcW w:w="7229" w:type="dxa"/>
            <w:noWrap w:val="0"/>
            <w:vAlign w:val="top"/>
          </w:tcPr>
          <w:p w14:paraId="4738C3AF">
            <w:pPr>
              <w:keepNext w:val="0"/>
              <w:keepLines w:val="0"/>
              <w:widowControl/>
              <w:suppressLineNumbers w:val="0"/>
              <w:snapToGrid w:val="0"/>
              <w:spacing w:before="0" w:beforeAutospacing="0" w:after="0" w:afterAutospacing="0" w:line="288" w:lineRule="auto"/>
              <w:ind w:left="0" w:right="0"/>
              <w:jc w:val="left"/>
              <w:rPr>
                <w:rFonts w:hint="eastAsia" w:ascii="宋体" w:hAnsi="宋体" w:cs="Calibri"/>
                <w:b/>
                <w:color w:val="auto"/>
                <w:sz w:val="24"/>
                <w:highlight w:val="none"/>
              </w:rPr>
            </w:pPr>
            <w:r>
              <w:rPr>
                <w:rFonts w:hint="eastAsia" w:ascii="宋体" w:hAnsi="宋体" w:eastAsia="仿宋" w:cs="Times New Roman"/>
                <w:color w:val="auto"/>
                <w:sz w:val="24"/>
                <w:highlight w:val="none"/>
              </w:rPr>
              <w:t>采用电子招标投标，</w:t>
            </w:r>
            <w:r>
              <w:rPr>
                <w:rFonts w:hint="default" w:ascii="Calibri" w:hAnsi="Calibri" w:eastAsia="仿宋" w:cs="Times New Roman"/>
                <w:bCs/>
                <w:snapToGrid w:val="0"/>
                <w:color w:val="auto"/>
                <w:kern w:val="0"/>
                <w:sz w:val="24"/>
                <w:highlight w:val="none"/>
              </w:rPr>
              <w:t>除招标文件另有规定外，电子招标投标操作要求详见本章附件《</w:t>
            </w:r>
            <w:r>
              <w:rPr>
                <w:rFonts w:hint="eastAsia" w:ascii="Calibri" w:hAnsi="Calibri" w:eastAsia="仿宋" w:cs="Times New Roman"/>
                <w:bCs/>
                <w:snapToGrid w:val="0"/>
                <w:color w:val="auto"/>
                <w:kern w:val="0"/>
                <w:sz w:val="24"/>
                <w:highlight w:val="none"/>
              </w:rPr>
              <w:t>全流程电子招标采购具体要求</w:t>
            </w:r>
            <w:r>
              <w:rPr>
                <w:rFonts w:hint="default" w:ascii="Calibri" w:hAnsi="Calibri" w:eastAsia="仿宋" w:cs="Times New Roman"/>
                <w:bCs/>
                <w:snapToGrid w:val="0"/>
                <w:color w:val="auto"/>
                <w:kern w:val="0"/>
                <w:sz w:val="24"/>
                <w:highlight w:val="none"/>
              </w:rPr>
              <w:t>》</w:t>
            </w:r>
            <w:r>
              <w:rPr>
                <w:rFonts w:hint="eastAsia" w:ascii="Calibri" w:hAnsi="Calibri" w:eastAsia="仿宋" w:cs="Times New Roman"/>
                <w:bCs/>
                <w:snapToGrid w:val="0"/>
                <w:color w:val="auto"/>
                <w:kern w:val="0"/>
                <w:sz w:val="24"/>
                <w:highlight w:val="none"/>
              </w:rPr>
              <w:t>。</w:t>
            </w:r>
          </w:p>
        </w:tc>
      </w:tr>
      <w:tr w14:paraId="1FC5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3BDB33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12.2</w:t>
            </w:r>
          </w:p>
        </w:tc>
        <w:tc>
          <w:tcPr>
            <w:tcW w:w="1581" w:type="dxa"/>
            <w:noWrap w:val="0"/>
            <w:vAlign w:val="center"/>
          </w:tcPr>
          <w:p w14:paraId="3CDF1A92">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原则规定与定义</w:t>
            </w:r>
          </w:p>
        </w:tc>
        <w:tc>
          <w:tcPr>
            <w:tcW w:w="7229" w:type="dxa"/>
            <w:noWrap w:val="0"/>
            <w:vAlign w:val="center"/>
          </w:tcPr>
          <w:p w14:paraId="074AE768">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（1）投标人</w:t>
            </w:r>
            <w:r>
              <w:rPr>
                <w:rFonts w:hint="default" w:ascii="宋体" w:hAnsi="宋体" w:eastAsia="仿宋" w:cs="Times New Roman"/>
                <w:color w:val="auto"/>
                <w:sz w:val="24"/>
                <w:highlight w:val="none"/>
              </w:rPr>
              <w:t>须知前附表是对</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须知正文部分对应条款的补充、细化，</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阅读时应与正文部分一并阅读，</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须知前附表与正文部分不一致处，应以</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须知前附表为准。</w:t>
            </w:r>
          </w:p>
          <w:p w14:paraId="464B7340">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（2）</w:t>
            </w:r>
            <w:r>
              <w:rPr>
                <w:rFonts w:hint="default" w:ascii="宋体" w:hAnsi="宋体" w:eastAsia="仿宋" w:cs="Times New Roman"/>
                <w:color w:val="auto"/>
                <w:sz w:val="24"/>
                <w:highlight w:val="none"/>
              </w:rPr>
              <w:t>“</w:t>
            </w:r>
            <w:r>
              <w:rPr>
                <w:rFonts w:hint="default" w:ascii="宋体" w:hAnsi="宋体" w:eastAsia="仿宋" w:cs="Times New Roman"/>
                <w:color w:val="auto"/>
                <w:sz w:val="24"/>
                <w:highlight w:val="none"/>
              </w:rPr>
              <w:sym w:font="Wingdings" w:char="F0FE"/>
            </w:r>
            <w:r>
              <w:rPr>
                <w:rFonts w:hint="default" w:ascii="宋体" w:hAnsi="宋体" w:eastAsia="仿宋" w:cs="Times New Roman"/>
                <w:color w:val="auto"/>
                <w:sz w:val="24"/>
                <w:highlight w:val="none"/>
              </w:rPr>
              <w:t>”符号表示本招标文件选定的内容；“</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”符号表示本招标文件未选定的内容；空格中的“/”表示没有具体内容。投标人投标时请按“</w:t>
            </w:r>
            <w:r>
              <w:rPr>
                <w:rFonts w:hint="default" w:ascii="宋体" w:hAnsi="宋体" w:eastAsia="仿宋" w:cs="Times New Roman"/>
                <w:color w:val="auto"/>
                <w:sz w:val="24"/>
                <w:highlight w:val="none"/>
              </w:rPr>
              <w:sym w:font="Wingdings" w:char="F0FE"/>
            </w:r>
            <w:r>
              <w:rPr>
                <w:rFonts w:hint="default" w:ascii="宋体" w:hAnsi="宋体" w:eastAsia="仿宋" w:cs="Times New Roman"/>
                <w:color w:val="auto"/>
                <w:sz w:val="24"/>
                <w:highlight w:val="none"/>
              </w:rPr>
              <w:t>符号”选定的内容和要求参加投标。</w:t>
            </w:r>
          </w:p>
          <w:p w14:paraId="3B167FCC">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（3）与合同履行有关条款中注明的“甲方”、“买方”，在招标投标阶段按“采购人”理解；注明的“乙方”、“卖方”，按“投标人”理解。</w:t>
            </w:r>
          </w:p>
        </w:tc>
      </w:tr>
      <w:tr w14:paraId="6FF7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4046E6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12.3</w:t>
            </w:r>
          </w:p>
        </w:tc>
        <w:tc>
          <w:tcPr>
            <w:tcW w:w="1581" w:type="dxa"/>
            <w:noWrap w:val="0"/>
            <w:vAlign w:val="center"/>
          </w:tcPr>
          <w:p w14:paraId="6167D09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知识产权</w:t>
            </w:r>
          </w:p>
        </w:tc>
        <w:tc>
          <w:tcPr>
            <w:tcW w:w="7229" w:type="dxa"/>
            <w:noWrap w:val="0"/>
            <w:vAlign w:val="top"/>
          </w:tcPr>
          <w:p w14:paraId="2C803BEA">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（1）构成本招标文件各个组成部分的文件，未经采购人书面同意，投标人不得擅自复印和用于非本招标项目所需的其他目的。</w:t>
            </w:r>
            <w:r>
              <w:rPr>
                <w:rFonts w:hint="default" w:ascii="宋体" w:hAnsi="宋体" w:eastAsia="仿宋" w:cs="Times New Roman"/>
                <w:color w:val="auto"/>
                <w:sz w:val="24"/>
                <w:highlight w:val="none"/>
              </w:rPr>
              <w:t>如因此导致</w:t>
            </w:r>
            <w:r>
              <w:rPr>
                <w:rFonts w:hint="eastAsia" w:ascii="宋体" w:hAnsi="宋体" w:eastAsia="仿宋" w:cs="Times New Roman"/>
                <w:color w:val="auto"/>
                <w:sz w:val="24"/>
                <w:highlight w:val="none"/>
              </w:rPr>
              <w:t>采购人</w:t>
            </w:r>
            <w:r>
              <w:rPr>
                <w:rFonts w:hint="default" w:ascii="宋体" w:hAnsi="宋体" w:eastAsia="仿宋" w:cs="Times New Roman"/>
                <w:color w:val="auto"/>
                <w:sz w:val="24"/>
                <w:highlight w:val="none"/>
              </w:rPr>
              <w:t>损失的，投标人须承担全部赔偿责任。</w:t>
            </w:r>
          </w:p>
          <w:p w14:paraId="6ACE7869">
            <w:pPr>
              <w:keepNext w:val="0"/>
              <w:keepLines w:val="0"/>
              <w:suppressLineNumbers w:val="0"/>
              <w:adjustRightInd w:val="0"/>
              <w:snapToGrid w:val="0"/>
              <w:spacing w:before="0" w:beforeAutospacing="0" w:after="0" w:afterAutospacing="0" w:line="288" w:lineRule="auto"/>
              <w:ind w:left="0" w:right="0"/>
              <w:jc w:val="left"/>
              <w:rPr>
                <w:rFonts w:hint="default" w:ascii="宋体" w:hAnsi="宋体" w:cs="Times New Roman"/>
                <w:color w:val="auto"/>
                <w:sz w:val="24"/>
                <w:highlight w:val="none"/>
              </w:rPr>
            </w:pPr>
            <w:r>
              <w:rPr>
                <w:rFonts w:hint="eastAsia" w:ascii="宋体" w:hAnsi="宋体" w:eastAsia="仿宋" w:cs="Times New Roman"/>
                <w:color w:val="auto"/>
                <w:sz w:val="24"/>
                <w:highlight w:val="none"/>
              </w:rPr>
              <w:t>（2）采购人</w:t>
            </w:r>
            <w:r>
              <w:rPr>
                <w:rFonts w:hint="default" w:ascii="宋体" w:hAnsi="宋体" w:eastAsia="仿宋" w:cs="Times New Roman"/>
                <w:color w:val="auto"/>
                <w:sz w:val="24"/>
                <w:highlight w:val="none"/>
              </w:rPr>
              <w:t>在中华人民共和国境内使用</w:t>
            </w:r>
            <w:r>
              <w:rPr>
                <w:rFonts w:hint="eastAsia" w:ascii="宋体" w:hAnsi="宋体" w:eastAsia="仿宋" w:cs="Times New Roman"/>
                <w:color w:val="auto"/>
                <w:sz w:val="24"/>
                <w:highlight w:val="none"/>
              </w:rPr>
              <w:t>中</w:t>
            </w:r>
            <w:r>
              <w:rPr>
                <w:rFonts w:hint="default" w:ascii="宋体" w:hAnsi="宋体" w:eastAsia="仿宋" w:cs="Times New Roman"/>
                <w:color w:val="auto"/>
                <w:sz w:val="24"/>
                <w:highlight w:val="none"/>
              </w:rPr>
              <w:t>标货物</w:t>
            </w:r>
            <w:r>
              <w:rPr>
                <w:rFonts w:hint="eastAsia" w:ascii="宋体" w:hAnsi="宋体" w:eastAsia="仿宋" w:cs="Times New Roman"/>
                <w:color w:val="auto"/>
                <w:sz w:val="24"/>
                <w:highlight w:val="none"/>
              </w:rPr>
              <w:t>（服务）</w:t>
            </w:r>
            <w:r>
              <w:rPr>
                <w:rFonts w:hint="default" w:ascii="宋体" w:hAnsi="宋体" w:eastAsia="仿宋" w:cs="Times New Roman"/>
                <w:color w:val="auto"/>
                <w:sz w:val="24"/>
                <w:highlight w:val="none"/>
              </w:rPr>
              <w:t>、资料、技术、服务或其任何一部分时</w:t>
            </w:r>
            <w:r>
              <w:rPr>
                <w:rFonts w:hint="eastAsia" w:ascii="宋体" w:hAnsi="宋体" w:eastAsia="仿宋" w:cs="Times New Roman"/>
                <w:color w:val="auto"/>
                <w:sz w:val="24"/>
                <w:highlight w:val="none"/>
              </w:rPr>
              <w:t>，履行合同义务后</w:t>
            </w:r>
            <w:r>
              <w:rPr>
                <w:rFonts w:hint="default" w:ascii="宋体" w:hAnsi="宋体" w:eastAsia="仿宋" w:cs="Times New Roman"/>
                <w:color w:val="auto"/>
                <w:sz w:val="24"/>
                <w:highlight w:val="none"/>
              </w:rPr>
              <w:t>，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w:t>
            </w:r>
            <w:r>
              <w:rPr>
                <w:rFonts w:hint="eastAsia" w:ascii="宋体" w:hAnsi="宋体" w:eastAsia="仿宋" w:cs="Times New Roman"/>
                <w:color w:val="auto"/>
                <w:sz w:val="24"/>
                <w:highlight w:val="none"/>
              </w:rPr>
              <w:t>采购人</w:t>
            </w:r>
            <w:r>
              <w:rPr>
                <w:rFonts w:hint="default" w:ascii="宋体" w:hAnsi="宋体" w:eastAsia="仿宋" w:cs="Times New Roman"/>
                <w:color w:val="auto"/>
                <w:sz w:val="24"/>
                <w:highlight w:val="none"/>
              </w:rPr>
              <w:t>损失的，投标人须承担全部赔偿责任。</w:t>
            </w:r>
          </w:p>
        </w:tc>
      </w:tr>
      <w:tr w14:paraId="3905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B948DE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12.4</w:t>
            </w:r>
          </w:p>
        </w:tc>
        <w:tc>
          <w:tcPr>
            <w:tcW w:w="1581" w:type="dxa"/>
            <w:noWrap w:val="0"/>
            <w:vAlign w:val="center"/>
          </w:tcPr>
          <w:p w14:paraId="7B07E9B5">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投标专用章、业务专用章等效力规定</w:t>
            </w:r>
          </w:p>
        </w:tc>
        <w:tc>
          <w:tcPr>
            <w:tcW w:w="7229" w:type="dxa"/>
            <w:noWrap w:val="0"/>
            <w:vAlign w:val="center"/>
          </w:tcPr>
          <w:p w14:paraId="27FCC806">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14:paraId="2CF4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1A4C9A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12.5</w:t>
            </w:r>
          </w:p>
        </w:tc>
        <w:tc>
          <w:tcPr>
            <w:tcW w:w="1581" w:type="dxa"/>
            <w:noWrap w:val="0"/>
            <w:vAlign w:val="center"/>
          </w:tcPr>
          <w:p w14:paraId="4876E3A7">
            <w:pPr>
              <w:keepNext w:val="0"/>
              <w:keepLines w:val="0"/>
              <w:widowControl/>
              <w:suppressLineNumbers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Times New Roman"/>
                <w:color w:val="auto"/>
                <w:sz w:val="24"/>
                <w:highlight w:val="none"/>
              </w:rPr>
              <w:t>多包投标、多包中标的规定</w:t>
            </w:r>
          </w:p>
        </w:tc>
        <w:tc>
          <w:tcPr>
            <w:tcW w:w="7229" w:type="dxa"/>
            <w:noWrap w:val="0"/>
            <w:vAlign w:val="center"/>
          </w:tcPr>
          <w:p w14:paraId="25653560">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auto"/>
                <w:sz w:val="24"/>
                <w:highlight w:val="none"/>
              </w:rPr>
            </w:pPr>
            <w:r>
              <w:rPr>
                <w:rFonts w:hint="eastAsia" w:ascii="仿宋" w:hAnsi="仿宋" w:eastAsia="仿宋" w:cs="Calibri"/>
                <w:color w:val="auto"/>
                <w:sz w:val="24"/>
                <w:highlight w:val="none"/>
              </w:rPr>
              <w:t>☑</w:t>
            </w:r>
            <w:r>
              <w:rPr>
                <w:rFonts w:hint="eastAsia" w:ascii="仿宋" w:hAnsi="仿宋" w:eastAsia="仿宋" w:cs="仿宋"/>
                <w:color w:val="auto"/>
                <w:kern w:val="0"/>
                <w:sz w:val="24"/>
                <w:highlight w:val="none"/>
                <w:lang w:bidi="ar"/>
              </w:rPr>
              <w:t>本项目不适用</w:t>
            </w:r>
          </w:p>
          <w:p w14:paraId="3A8B8325">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auto"/>
                <w:sz w:val="24"/>
                <w:highlight w:val="none"/>
              </w:rPr>
            </w:pPr>
            <w:r>
              <w:rPr>
                <w:rFonts w:hint="eastAsia" w:ascii="仿宋" w:hAnsi="仿宋" w:eastAsia="仿宋" w:cs="Calibri"/>
                <w:color w:val="auto"/>
                <w:sz w:val="24"/>
                <w:highlight w:val="none"/>
              </w:rPr>
              <w:t>□投标人可对本项目一个或多个包进行投标，也可中多个包。</w:t>
            </w:r>
          </w:p>
          <w:p w14:paraId="79A37F5A">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Times New Roman"/>
                <w:color w:val="auto"/>
                <w:sz w:val="24"/>
                <w:highlight w:val="none"/>
              </w:rPr>
            </w:pPr>
            <w:r>
              <w:rPr>
                <w:rFonts w:hint="eastAsia" w:ascii="仿宋" w:hAnsi="仿宋" w:eastAsia="仿宋" w:cs="Calibri"/>
                <w:color w:val="auto"/>
                <w:sz w:val="24"/>
                <w:highlight w:val="none"/>
              </w:rPr>
              <w:t>□</w:t>
            </w:r>
            <w:r>
              <w:rPr>
                <w:rFonts w:hint="eastAsia" w:ascii="仿宋" w:hAnsi="仿宋" w:eastAsia="仿宋" w:cs="Times New Roman"/>
                <w:color w:val="auto"/>
                <w:sz w:val="24"/>
                <w:highlight w:val="none"/>
              </w:rPr>
              <w:t>本项目评审时按“第1包→第2包→第3包”的包号递增顺序评审。</w:t>
            </w:r>
            <w:r>
              <w:rPr>
                <w:rFonts w:hint="eastAsia" w:ascii="仿宋" w:hAnsi="仿宋" w:eastAsia="仿宋" w:cs="Calibri"/>
                <w:color w:val="auto"/>
                <w:sz w:val="24"/>
                <w:highlight w:val="none"/>
              </w:rPr>
              <w:t>投标人可对本项目一个或多个包进行投标</w:t>
            </w:r>
            <w:r>
              <w:rPr>
                <w:rFonts w:hint="eastAsia" w:ascii="仿宋" w:hAnsi="仿宋" w:eastAsia="仿宋" w:cs="Times New Roman"/>
                <w:color w:val="auto"/>
                <w:sz w:val="24"/>
                <w:highlight w:val="none"/>
              </w:rPr>
              <w:t>，但只能在单个标包中取得中标资格，且在后续标包的评审中均视为无效投标人。如某标包因中标人放弃中标资格、质疑或投诉等原因导致评审结果变更的，不影响其他包评审结果，也不受多投单中规则影响。</w:t>
            </w:r>
          </w:p>
        </w:tc>
      </w:tr>
      <w:tr w14:paraId="12D1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F0B15C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12.6</w:t>
            </w:r>
          </w:p>
        </w:tc>
        <w:tc>
          <w:tcPr>
            <w:tcW w:w="1581" w:type="dxa"/>
            <w:noWrap w:val="0"/>
            <w:vAlign w:val="center"/>
          </w:tcPr>
          <w:p w14:paraId="12B39F7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相关提示</w:t>
            </w:r>
          </w:p>
        </w:tc>
        <w:tc>
          <w:tcPr>
            <w:tcW w:w="7229" w:type="dxa"/>
            <w:noWrap w:val="0"/>
            <w:vAlign w:val="center"/>
          </w:tcPr>
          <w:p w14:paraId="72DB012F">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（1）招标文件中所称时间均指北京时间，采用电子招标投标时，以交易平台时间为准。</w:t>
            </w:r>
          </w:p>
          <w:p w14:paraId="1263448C">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（2）投标人应注意规定的开标地点和投标截止时间，为了使招标投标工作有条不紊进行，避免因网络等问题导致投标文件无法按时加密并提交的情况发生，建议投标人提前30分钟做好准备工作。</w:t>
            </w:r>
          </w:p>
          <w:p w14:paraId="2EA68958">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（3）本项目保证金账户采用虚拟账号，每个项目均不同，同一个项目不同标包也不同。投标标包应与保证金相匹配。如项目招标失败再次招标时，保证金账号也会发生变化。请投标人仔细核对账户信息。</w:t>
            </w:r>
          </w:p>
        </w:tc>
      </w:tr>
      <w:tr w14:paraId="7179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BFAA2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12.7</w:t>
            </w:r>
          </w:p>
        </w:tc>
        <w:tc>
          <w:tcPr>
            <w:tcW w:w="1581" w:type="dxa"/>
            <w:noWrap w:val="0"/>
            <w:vAlign w:val="center"/>
          </w:tcPr>
          <w:p w14:paraId="5806F74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招标文件的解释</w:t>
            </w:r>
          </w:p>
        </w:tc>
        <w:tc>
          <w:tcPr>
            <w:tcW w:w="7229" w:type="dxa"/>
            <w:noWrap w:val="0"/>
            <w:vAlign w:val="top"/>
          </w:tcPr>
          <w:p w14:paraId="295D769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构成本招标文件的各个组成文件应互为解释，互为说明；如有不明确或不一致，除招标文件中有特别规定外，仅适用于招标投标阶段规定的，按招标公告、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仿宋" w:cs="Times New Roman"/>
                <w:bCs/>
                <w:color w:val="auto"/>
                <w:sz w:val="24"/>
                <w:highlight w:val="none"/>
              </w:rPr>
              <w:t>由采购人和采购代理机构负责解释。</w:t>
            </w:r>
          </w:p>
        </w:tc>
      </w:tr>
      <w:tr w14:paraId="0AFA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76FD53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12.8</w:t>
            </w:r>
          </w:p>
        </w:tc>
        <w:tc>
          <w:tcPr>
            <w:tcW w:w="1581" w:type="dxa"/>
            <w:noWrap w:val="0"/>
            <w:vAlign w:val="center"/>
          </w:tcPr>
          <w:p w14:paraId="6FB22F2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“政采贷”融资指引</w:t>
            </w:r>
          </w:p>
        </w:tc>
        <w:tc>
          <w:tcPr>
            <w:tcW w:w="7229" w:type="dxa"/>
            <w:noWrap w:val="0"/>
            <w:vAlign w:val="top"/>
          </w:tcPr>
          <w:p w14:paraId="6D2D79C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有融资需求的供应商在取得政府采购中标或成交通知书后，可访问安徽省政府采购网“融资/保函”栏目，查看和联系第三方平台或者金融机构，商洽融资事项，确定融资意向。</w:t>
            </w:r>
          </w:p>
          <w:p w14:paraId="1CF7B04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供应商签署政府采购中标（成交）合同后，登录“徽采云”金融服务模块，选择意向产品进行申请，并填写相关信息，“徽采云”金融服务模块将供应商融资申请信息推送第三方平台、意向金融机构。</w:t>
            </w:r>
          </w:p>
        </w:tc>
      </w:tr>
    </w:tbl>
    <w:p w14:paraId="77EB1BB8">
      <w:pPr>
        <w:widowControl/>
        <w:spacing w:line="360" w:lineRule="auto"/>
        <w:rPr>
          <w:rFonts w:ascii="宋体" w:hAnsi="宋体" w:eastAsia="仿宋" w:cs="Calibri"/>
          <w:b/>
          <w:bCs/>
          <w:color w:val="auto"/>
          <w:sz w:val="24"/>
          <w:highlight w:val="none"/>
        </w:rPr>
      </w:pPr>
    </w:p>
    <w:p w14:paraId="6AAD77A9">
      <w:pPr>
        <w:widowControl/>
        <w:rPr>
          <w:rStyle w:val="104"/>
          <w:rFonts w:ascii="宋体" w:hAnsi="宋体" w:eastAsia="仿宋"/>
          <w:bCs w:val="0"/>
          <w:color w:val="auto"/>
          <w:sz w:val="24"/>
          <w:szCs w:val="24"/>
          <w:highlight w:val="none"/>
        </w:rPr>
        <w:sectPr>
          <w:footerReference r:id="rId8" w:type="default"/>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pgNumType w:start="1"/>
          <w:cols w:space="720" w:num="1"/>
          <w:docGrid w:linePitch="312" w:charSpace="0"/>
        </w:sectPr>
      </w:pPr>
    </w:p>
    <w:bookmarkEnd w:id="37"/>
    <w:bookmarkEnd w:id="38"/>
    <w:bookmarkEnd w:id="39"/>
    <w:bookmarkEnd w:id="40"/>
    <w:p w14:paraId="6CE53828">
      <w:pPr>
        <w:pStyle w:val="4"/>
        <w:rPr>
          <w:rStyle w:val="104"/>
          <w:rFonts w:ascii="宋体" w:hAnsi="宋体" w:eastAsia="仿宋"/>
          <w:b/>
          <w:bCs/>
          <w:color w:val="auto"/>
          <w:sz w:val="24"/>
          <w:szCs w:val="24"/>
          <w:highlight w:val="none"/>
        </w:rPr>
      </w:pPr>
      <w:bookmarkStart w:id="44" w:name="_Toc342296161"/>
      <w:bookmarkStart w:id="45" w:name="_Toc458504818"/>
      <w:bookmarkStart w:id="46" w:name="_Toc144974497"/>
      <w:bookmarkStart w:id="47" w:name="_Toc338944604"/>
      <w:bookmarkStart w:id="48" w:name="_Toc342294713"/>
      <w:bookmarkStart w:id="49" w:name="_Toc338943699"/>
      <w:bookmarkStart w:id="50" w:name="_Toc179632546"/>
      <w:bookmarkStart w:id="51" w:name="_Toc152045529"/>
      <w:bookmarkStart w:id="52" w:name="_Toc333599658"/>
      <w:bookmarkStart w:id="53" w:name="_Toc466024500"/>
      <w:bookmarkStart w:id="54" w:name="_Toc152042305"/>
      <w:bookmarkStart w:id="55" w:name="_Toc333600682"/>
      <w:bookmarkStart w:id="56" w:name="_Toc342297618"/>
      <w:bookmarkStart w:id="57" w:name="_Toc371415920"/>
      <w:bookmarkStart w:id="58" w:name="_Toc445554688"/>
      <w:bookmarkStart w:id="59" w:name="_Toc455587032"/>
      <w:bookmarkStart w:id="60" w:name="_Toc455587216"/>
      <w:r>
        <w:rPr>
          <w:rStyle w:val="104"/>
          <w:rFonts w:hint="eastAsia" w:ascii="宋体" w:hAnsi="宋体" w:eastAsia="仿宋"/>
          <w:b/>
          <w:bCs/>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4B3BA9DC">
      <w:pPr>
        <w:pStyle w:val="5"/>
        <w:adjustRightInd w:val="0"/>
        <w:ind w:firstLine="482" w:firstLineChars="200"/>
        <w:rPr>
          <w:rFonts w:eastAsia="仿宋"/>
          <w:color w:val="auto"/>
          <w:sz w:val="24"/>
          <w:highlight w:val="none"/>
          <w:lang w:eastAsia="zh-CN"/>
        </w:rPr>
      </w:pPr>
      <w:bookmarkStart w:id="61" w:name="_Toc333599659"/>
      <w:bookmarkStart w:id="62" w:name="_Toc338943700"/>
      <w:bookmarkStart w:id="63" w:name="_Toc455587217"/>
      <w:bookmarkStart w:id="64" w:name="_Toc144974498"/>
      <w:bookmarkStart w:id="65" w:name="_Toc458504819"/>
      <w:bookmarkStart w:id="66" w:name="_Toc338944605"/>
      <w:bookmarkStart w:id="67" w:name="_Toc342296162"/>
      <w:bookmarkStart w:id="68" w:name="_Toc466024501"/>
      <w:bookmarkStart w:id="69" w:name="_Toc371415921"/>
      <w:bookmarkStart w:id="70" w:name="_Toc445554689"/>
      <w:bookmarkStart w:id="71" w:name="_Toc333600683"/>
      <w:bookmarkStart w:id="72" w:name="_Toc342297619"/>
      <w:bookmarkStart w:id="73" w:name="_Toc179632547"/>
      <w:bookmarkStart w:id="74" w:name="_Toc152042306"/>
      <w:bookmarkStart w:id="75" w:name="_Toc342294714"/>
      <w:bookmarkStart w:id="76" w:name="_Toc455587033"/>
      <w:bookmarkStart w:id="77" w:name="_Toc152045530"/>
      <w:bookmarkStart w:id="78" w:name="_Toc333587853"/>
      <w:r>
        <w:rPr>
          <w:rFonts w:eastAsia="仿宋"/>
          <w:color w:val="auto"/>
          <w:sz w:val="24"/>
          <w:highlight w:val="none"/>
          <w:lang w:eastAsia="zh-CN"/>
        </w:rPr>
        <w:t>1</w:t>
      </w:r>
      <w:r>
        <w:rPr>
          <w:rFonts w:hint="eastAsia" w:eastAsia="仿宋"/>
          <w:color w:val="auto"/>
          <w:sz w:val="24"/>
          <w:highlight w:val="none"/>
          <w:lang w:eastAsia="zh-CN"/>
        </w:rPr>
        <w:t>.1 项目概况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844344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4256E16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 采购人：见投标人须知前附表。</w:t>
      </w:r>
    </w:p>
    <w:p w14:paraId="12F4413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1.1.3 采购代理机构：见投标人须知前附表。</w:t>
      </w:r>
    </w:p>
    <w:p w14:paraId="3D1A2AD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1.1.4 采购项目名称：见投标人须知前附表。</w:t>
      </w:r>
    </w:p>
    <w:p w14:paraId="6BE4BCA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1.1.5 采购包划分：见投标人须知前附表。</w:t>
      </w:r>
    </w:p>
    <w:p w14:paraId="048F5F8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1.1.6 采购预算：见投标人须知前附表。</w:t>
      </w:r>
    </w:p>
    <w:p w14:paraId="77847AF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1.1.7 专门面向中小企业采购：见投标人须知前附表。</w:t>
      </w:r>
    </w:p>
    <w:p w14:paraId="7FEBCCEC">
      <w:pPr>
        <w:pStyle w:val="5"/>
        <w:adjustRightInd w:val="0"/>
        <w:ind w:firstLine="482" w:firstLineChars="200"/>
        <w:rPr>
          <w:rFonts w:eastAsia="仿宋"/>
          <w:color w:val="auto"/>
          <w:sz w:val="24"/>
          <w:highlight w:val="none"/>
          <w:lang w:eastAsia="zh-CN"/>
        </w:rPr>
      </w:pPr>
      <w:bookmarkStart w:id="79" w:name="_Toc466024502"/>
      <w:bookmarkStart w:id="80" w:name="_Toc458504820"/>
      <w:bookmarkStart w:id="81" w:name="_Toc445554690"/>
      <w:bookmarkStart w:id="82" w:name="_Toc455587034"/>
      <w:bookmarkStart w:id="83" w:name="_Toc455587218"/>
      <w:r>
        <w:rPr>
          <w:rFonts w:hint="eastAsia" w:eastAsia="仿宋"/>
          <w:color w:val="auto"/>
          <w:sz w:val="24"/>
          <w:highlight w:val="none"/>
          <w:lang w:eastAsia="zh-CN"/>
        </w:rPr>
        <w:t>1.2 资金落实情况与核心产品</w:t>
      </w:r>
    </w:p>
    <w:p w14:paraId="044EFBEF">
      <w:pPr>
        <w:widowControl/>
        <w:adjustRightInd w:val="0"/>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lang w:bidi="ar"/>
        </w:rPr>
        <w:t xml:space="preserve">1.2.1 </w:t>
      </w:r>
      <w:r>
        <w:rPr>
          <w:rFonts w:hint="eastAsia" w:ascii="宋体" w:hAnsi="宋体" w:eastAsia="仿宋" w:cs="仿宋"/>
          <w:color w:val="auto"/>
          <w:sz w:val="24"/>
          <w:highlight w:val="none"/>
          <w:lang w:bidi="ar"/>
        </w:rPr>
        <w:t>资金来源及比例：见投标人须知前附表。</w:t>
      </w:r>
    </w:p>
    <w:p w14:paraId="3E2019B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s="宋体"/>
          <w:color w:val="auto"/>
          <w:sz w:val="24"/>
          <w:highlight w:val="none"/>
          <w:lang w:bidi="ar"/>
        </w:rPr>
        <w:t>1.2.2</w:t>
      </w:r>
      <w:r>
        <w:rPr>
          <w:rFonts w:hint="eastAsia" w:ascii="宋体" w:hAnsi="宋体" w:eastAsia="仿宋"/>
          <w:color w:val="auto"/>
          <w:sz w:val="24"/>
          <w:highlight w:val="none"/>
        </w:rPr>
        <w:t xml:space="preserve"> 资金落实情况：本项目的采购人已获得足以支付本次招标后所签订的合同项下的资金。</w:t>
      </w:r>
    </w:p>
    <w:p w14:paraId="3BFF298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1.2.3 核心产品：非单一产品采购项目，采购人应当根据采购项目技术构成、产品价格比重等合理确定核心产品，并在招标文件中载明。提供的核心产品品牌相同的不同投标人参加同一合同项下投标的，按一家投标人计算。</w:t>
      </w:r>
    </w:p>
    <w:bookmarkEnd w:id="79"/>
    <w:bookmarkEnd w:id="80"/>
    <w:bookmarkEnd w:id="81"/>
    <w:bookmarkEnd w:id="82"/>
    <w:bookmarkEnd w:id="83"/>
    <w:p w14:paraId="2FB374B2">
      <w:pPr>
        <w:pStyle w:val="5"/>
        <w:adjustRightInd w:val="0"/>
        <w:ind w:firstLine="482" w:firstLineChars="200"/>
        <w:rPr>
          <w:rFonts w:eastAsia="仿宋"/>
          <w:color w:val="auto"/>
          <w:sz w:val="24"/>
          <w:highlight w:val="none"/>
          <w:lang w:eastAsia="zh-CN"/>
        </w:rPr>
      </w:pPr>
      <w:bookmarkStart w:id="84" w:name="_Toc342297623"/>
      <w:bookmarkStart w:id="85" w:name="_Toc445554692"/>
      <w:bookmarkStart w:id="86" w:name="_Toc338944609"/>
      <w:bookmarkStart w:id="87" w:name="_Toc455587035"/>
      <w:bookmarkStart w:id="88" w:name="_Toc455587219"/>
      <w:bookmarkStart w:id="89" w:name="_Toc152042310"/>
      <w:bookmarkStart w:id="90" w:name="_Toc152045534"/>
      <w:bookmarkStart w:id="91" w:name="_Toc333600687"/>
      <w:bookmarkStart w:id="92" w:name="_Toc371415924"/>
      <w:bookmarkStart w:id="93" w:name="_Toc179632551"/>
      <w:bookmarkStart w:id="94" w:name="_Toc144974502"/>
      <w:bookmarkStart w:id="95" w:name="_Toc338943704"/>
      <w:bookmarkStart w:id="96" w:name="_Toc333599663"/>
      <w:bookmarkStart w:id="97" w:name="_Toc466024503"/>
      <w:bookmarkStart w:id="98" w:name="_Toc333587857"/>
      <w:bookmarkStart w:id="99" w:name="_Toc458504821"/>
      <w:bookmarkStart w:id="100" w:name="_Toc342296166"/>
      <w:bookmarkStart w:id="101" w:name="_Toc342294718"/>
      <w:r>
        <w:rPr>
          <w:rFonts w:hint="eastAsia" w:eastAsia="仿宋"/>
          <w:color w:val="auto"/>
          <w:sz w:val="24"/>
          <w:highlight w:val="none"/>
          <w:lang w:eastAsia="zh-CN"/>
        </w:rPr>
        <w:t>1.3 资格要求</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DF8310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1.3.1 投标人应具备承担本采购项目的资质条件、能力和信誉，具体资格要求见投标人须知前附表。</w:t>
      </w:r>
    </w:p>
    <w:p w14:paraId="110E462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1.3.2 接受联合体投标的，除应符合本章第1.3</w:t>
      </w:r>
      <w:r>
        <w:rPr>
          <w:rFonts w:ascii="宋体" w:hAnsi="宋体" w:eastAsia="仿宋"/>
          <w:color w:val="auto"/>
          <w:sz w:val="24"/>
          <w:highlight w:val="none"/>
        </w:rPr>
        <w:t>.1</w:t>
      </w:r>
      <w:r>
        <w:rPr>
          <w:rFonts w:hint="eastAsia" w:ascii="宋体" w:hAnsi="宋体" w:eastAsia="仿宋"/>
          <w:color w:val="auto"/>
          <w:sz w:val="24"/>
          <w:highlight w:val="none"/>
        </w:rPr>
        <w:t>项和投标人须知前附表的要求外，还应遵守以下规定：</w:t>
      </w:r>
    </w:p>
    <w:p w14:paraId="19AB3DD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）联合体各方应按招标文件提供的格式签订联合体协议书，明确联合体牵头人和各方权利义务，并承诺就中标项目向采购人承担连带责任；</w:t>
      </w:r>
    </w:p>
    <w:p w14:paraId="54A4917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（2）由同一专业的单位组成的联合体，按照资质等级较低的单位确定资质等级；</w:t>
      </w:r>
    </w:p>
    <w:p w14:paraId="1414A3B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（3）联合体各方不得再以自己名义单独或参加其他联合体在本项目中投标，否则各相关投标均无效；</w:t>
      </w:r>
    </w:p>
    <w:p w14:paraId="0EF1827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仿宋"/>
          <w:color w:val="auto"/>
          <w:sz w:val="24"/>
          <w:highlight w:val="none"/>
        </w:rPr>
        <w:t>采购</w:t>
      </w:r>
      <w:r>
        <w:rPr>
          <w:rFonts w:ascii="宋体" w:hAnsi="宋体" w:eastAsia="仿宋"/>
          <w:color w:val="auto"/>
          <w:sz w:val="24"/>
          <w:highlight w:val="none"/>
        </w:rPr>
        <w:t>人；联合体牵头人所提交的投标文件应认为已代表了联合体各成员的真实情况；</w:t>
      </w:r>
    </w:p>
    <w:p w14:paraId="12A30FE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5）尽管委任了联合体牵头人，但联合体各成员在投标、签订合同与履行合同过程中，仍负有连带的和各自的法律责任。</w:t>
      </w:r>
    </w:p>
    <w:p w14:paraId="60A5C7A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1.3.3 投标人</w:t>
      </w:r>
      <w:r>
        <w:rPr>
          <w:rFonts w:hAnsi="宋体" w:eastAsia="仿宋"/>
          <w:color w:val="auto"/>
          <w:sz w:val="24"/>
          <w:highlight w:val="none"/>
        </w:rPr>
        <w:t>（包括联合体各成员）</w:t>
      </w:r>
      <w:r>
        <w:rPr>
          <w:rFonts w:hint="eastAsia" w:ascii="宋体" w:hAnsi="宋体" w:eastAsia="仿宋"/>
          <w:color w:val="auto"/>
          <w:sz w:val="24"/>
          <w:highlight w:val="none"/>
        </w:rPr>
        <w:t>不得存在下列情形之一：</w:t>
      </w:r>
    </w:p>
    <w:p w14:paraId="433E3FAD">
      <w:pPr>
        <w:widowControl/>
        <w:adjustRightInd w:val="0"/>
        <w:snapToGrid w:val="0"/>
        <w:spacing w:line="360" w:lineRule="auto"/>
        <w:ind w:firstLine="480" w:firstLineChars="200"/>
        <w:rPr>
          <w:rFonts w:hint="eastAsia" w:ascii="宋体" w:hAnsi="宋体" w:eastAsia="仿宋"/>
          <w:color w:val="auto"/>
          <w:sz w:val="24"/>
          <w:highlight w:val="none"/>
        </w:rPr>
      </w:pPr>
      <w:bookmarkStart w:id="102" w:name="_Toc152045535"/>
      <w:bookmarkStart w:id="103" w:name="_Toc144974503"/>
      <w:bookmarkStart w:id="104" w:name="_Toc333587858"/>
      <w:bookmarkStart w:id="105" w:name="_Toc333600688"/>
      <w:bookmarkStart w:id="106" w:name="_Toc338944610"/>
      <w:bookmarkStart w:id="107" w:name="_Toc342294719"/>
      <w:bookmarkStart w:id="108" w:name="_Toc338943705"/>
      <w:bookmarkStart w:id="109" w:name="_Toc333599664"/>
      <w:bookmarkStart w:id="110" w:name="_Toc342296167"/>
      <w:bookmarkStart w:id="111" w:name="_Toc152042311"/>
      <w:bookmarkStart w:id="112" w:name="_Toc179632552"/>
      <w:bookmarkStart w:id="113" w:name="_Toc342297624"/>
      <w:r>
        <w:rPr>
          <w:rFonts w:hint="eastAsia" w:ascii="宋体" w:hAnsi="宋体" w:eastAsia="仿宋"/>
          <w:color w:val="auto"/>
          <w:sz w:val="24"/>
          <w:highlight w:val="none"/>
        </w:rPr>
        <w:t>（1）</w:t>
      </w:r>
      <w:r>
        <w:rPr>
          <w:rFonts w:ascii="宋体" w:hAnsi="宋体" w:eastAsia="仿宋"/>
          <w:color w:val="auto"/>
          <w:sz w:val="24"/>
          <w:highlight w:val="none"/>
        </w:rPr>
        <w:t>为本采购项目的采购代理机构；</w:t>
      </w:r>
    </w:p>
    <w:p w14:paraId="22DC6DC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w:t>
      </w:r>
      <w:r>
        <w:rPr>
          <w:rFonts w:ascii="宋体" w:hAnsi="宋体" w:eastAsia="仿宋"/>
          <w:color w:val="auto"/>
          <w:sz w:val="24"/>
          <w:highlight w:val="none"/>
        </w:rPr>
        <w:t>为采购人</w:t>
      </w:r>
      <w:r>
        <w:rPr>
          <w:rFonts w:hint="eastAsia" w:ascii="宋体" w:hAnsi="宋体" w:eastAsia="仿宋"/>
          <w:color w:val="auto"/>
          <w:sz w:val="24"/>
          <w:highlight w:val="none"/>
        </w:rPr>
        <w:t>不具有独立承担民事责任能力的</w:t>
      </w:r>
      <w:r>
        <w:rPr>
          <w:rFonts w:ascii="宋体" w:hAnsi="宋体" w:eastAsia="仿宋"/>
          <w:color w:val="auto"/>
          <w:sz w:val="24"/>
          <w:highlight w:val="none"/>
        </w:rPr>
        <w:t>附属机构</w:t>
      </w:r>
      <w:r>
        <w:rPr>
          <w:rFonts w:hint="eastAsia" w:ascii="宋体" w:hAnsi="宋体" w:eastAsia="仿宋"/>
          <w:color w:val="auto"/>
          <w:sz w:val="24"/>
          <w:highlight w:val="none"/>
        </w:rPr>
        <w:t>；</w:t>
      </w:r>
    </w:p>
    <w:p w14:paraId="0D1AAE5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与采购人存在利害关系且可能影响采购公正性；</w:t>
      </w:r>
    </w:p>
    <w:p w14:paraId="5ABA3DE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由本</w:t>
      </w:r>
      <w:r>
        <w:rPr>
          <w:rFonts w:hint="eastAsia" w:ascii="宋体" w:hAnsi="宋体" w:eastAsia="仿宋"/>
          <w:color w:val="auto"/>
          <w:sz w:val="24"/>
          <w:highlight w:val="none"/>
        </w:rPr>
        <w:t>采购项目</w:t>
      </w:r>
      <w:r>
        <w:rPr>
          <w:rFonts w:ascii="宋体" w:hAnsi="宋体" w:eastAsia="仿宋"/>
          <w:color w:val="auto"/>
          <w:sz w:val="24"/>
          <w:highlight w:val="none"/>
        </w:rPr>
        <w:t>采购代理机构代理</w:t>
      </w:r>
      <w:r>
        <w:rPr>
          <w:rFonts w:hint="eastAsia" w:ascii="宋体" w:hAnsi="宋体" w:eastAsia="仿宋"/>
          <w:color w:val="auto"/>
          <w:sz w:val="24"/>
          <w:highlight w:val="none"/>
        </w:rPr>
        <w:t>投标</w:t>
      </w:r>
      <w:r>
        <w:rPr>
          <w:rFonts w:ascii="宋体" w:hAnsi="宋体" w:eastAsia="仿宋"/>
          <w:color w:val="auto"/>
          <w:sz w:val="24"/>
          <w:highlight w:val="none"/>
        </w:rPr>
        <w:t>，或者接受过本</w:t>
      </w:r>
      <w:r>
        <w:rPr>
          <w:rFonts w:hint="eastAsia" w:ascii="宋体" w:hAnsi="宋体" w:eastAsia="仿宋"/>
          <w:color w:val="auto"/>
          <w:sz w:val="24"/>
          <w:highlight w:val="none"/>
        </w:rPr>
        <w:t>采购项目</w:t>
      </w:r>
      <w:r>
        <w:rPr>
          <w:rFonts w:ascii="宋体" w:hAnsi="宋体" w:eastAsia="仿宋"/>
          <w:color w:val="auto"/>
          <w:sz w:val="24"/>
          <w:highlight w:val="none"/>
        </w:rPr>
        <w:t>的采购代理机构为本</w:t>
      </w:r>
      <w:r>
        <w:rPr>
          <w:rFonts w:hint="eastAsia" w:ascii="宋体" w:hAnsi="宋体" w:eastAsia="仿宋"/>
          <w:color w:val="auto"/>
          <w:sz w:val="24"/>
          <w:highlight w:val="none"/>
        </w:rPr>
        <w:t>采购项目</w:t>
      </w:r>
      <w:r>
        <w:rPr>
          <w:rFonts w:ascii="宋体" w:hAnsi="宋体" w:eastAsia="仿宋"/>
          <w:color w:val="auto"/>
          <w:sz w:val="24"/>
          <w:highlight w:val="none"/>
        </w:rPr>
        <w:t>提供咨询</w:t>
      </w:r>
      <w:r>
        <w:rPr>
          <w:rFonts w:hint="eastAsia" w:ascii="宋体" w:hAnsi="宋体" w:eastAsia="仿宋"/>
          <w:color w:val="auto"/>
          <w:sz w:val="24"/>
          <w:highlight w:val="none"/>
        </w:rPr>
        <w:t>；</w:t>
      </w:r>
    </w:p>
    <w:p w14:paraId="0725804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w:t>
      </w:r>
      <w:r>
        <w:rPr>
          <w:rFonts w:ascii="宋体" w:hAnsi="宋体" w:eastAsia="仿宋"/>
          <w:color w:val="auto"/>
          <w:sz w:val="24"/>
          <w:highlight w:val="none"/>
        </w:rPr>
        <w:t>被责令停产停业、暂扣或者吊销许可证、暂扣或者吊销执照；</w:t>
      </w:r>
    </w:p>
    <w:p w14:paraId="5604FC5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进入清算程序，或被宣告破产，或其他丧失履约能力的情形；</w:t>
      </w:r>
    </w:p>
    <w:p w14:paraId="1DC9E07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（7）与本项目其他投标人的</w:t>
      </w:r>
      <w:r>
        <w:rPr>
          <w:rFonts w:ascii="宋体" w:hAnsi="宋体" w:eastAsia="仿宋"/>
          <w:color w:val="auto"/>
          <w:sz w:val="24"/>
          <w:highlight w:val="none"/>
        </w:rPr>
        <w:t>单位负责人为同一人或者存在直接控股、管理关系的不同投标人</w:t>
      </w:r>
      <w:r>
        <w:rPr>
          <w:rFonts w:hint="eastAsia" w:ascii="宋体" w:hAnsi="宋体" w:eastAsia="仿宋"/>
          <w:color w:val="auto"/>
          <w:sz w:val="24"/>
          <w:highlight w:val="none"/>
        </w:rPr>
        <w:t>；</w:t>
      </w:r>
    </w:p>
    <w:p w14:paraId="4F91653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（8）被依法禁止参加政府采购活动并在有效期内；</w:t>
      </w:r>
    </w:p>
    <w:p w14:paraId="4FEA782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（9）为采购项目提供整体设计、规范编制或者项目管理、监理、检测等服务的投标人，不得再参加该采购项目的其他采购活动，具体按财政部财办库〔2015〕295号文件规定；</w:t>
      </w:r>
    </w:p>
    <w:p w14:paraId="31B7C00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（10）截至投标截止时间，</w:t>
      </w:r>
      <w:r>
        <w:rPr>
          <w:rFonts w:ascii="宋体" w:hAnsi="宋体" w:eastAsia="仿宋"/>
          <w:color w:val="auto"/>
          <w:sz w:val="24"/>
          <w:highlight w:val="none"/>
        </w:rPr>
        <w:t>被人民法院列入失信被执行人名单</w:t>
      </w:r>
      <w:r>
        <w:rPr>
          <w:rFonts w:hint="eastAsia" w:ascii="宋体" w:hAnsi="宋体" w:eastAsia="仿宋"/>
          <w:color w:val="auto"/>
          <w:sz w:val="24"/>
          <w:highlight w:val="none"/>
        </w:rPr>
        <w:t>的（以信用中国</w:t>
      </w:r>
      <w:r>
        <w:rPr>
          <w:rFonts w:ascii="宋体" w:hAnsi="宋体" w:eastAsia="仿宋"/>
          <w:color w:val="auto"/>
          <w:sz w:val="24"/>
          <w:highlight w:val="none"/>
        </w:rPr>
        <w:t>www.creditchina.gov.cn</w:t>
      </w:r>
      <w:r>
        <w:rPr>
          <w:rFonts w:hint="eastAsia" w:ascii="宋体" w:hAnsi="宋体" w:eastAsia="仿宋"/>
          <w:color w:val="auto"/>
          <w:sz w:val="24"/>
          <w:highlight w:val="none"/>
        </w:rPr>
        <w:t>、中国执行信息公开网</w:t>
      </w:r>
      <w:r>
        <w:rPr>
          <w:rFonts w:ascii="宋体" w:hAnsi="宋体" w:eastAsia="仿宋"/>
          <w:color w:val="auto"/>
          <w:sz w:val="24"/>
          <w:highlight w:val="none"/>
        </w:rPr>
        <w:t>http://zxgk.court.gov.cn/</w:t>
      </w:r>
      <w:r>
        <w:rPr>
          <w:rFonts w:hint="eastAsia" w:ascii="宋体" w:hAnsi="宋体" w:eastAsia="仿宋"/>
          <w:color w:val="auto"/>
          <w:sz w:val="24"/>
          <w:highlight w:val="none"/>
        </w:rPr>
        <w:t>查询为准）</w:t>
      </w:r>
      <w:r>
        <w:rPr>
          <w:rFonts w:ascii="宋体" w:hAnsi="宋体" w:eastAsia="仿宋"/>
          <w:color w:val="auto"/>
          <w:sz w:val="24"/>
          <w:highlight w:val="none"/>
        </w:rPr>
        <w:t>；</w:t>
      </w:r>
    </w:p>
    <w:p w14:paraId="67CF808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（11）截至投标截止时间，被列入重大税收违法案件当事人（重大税收违法失信主体）名单的（以信用中国网站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查询为准）；</w:t>
      </w:r>
    </w:p>
    <w:p w14:paraId="06E3BEB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（12）截至投标截止时间，被列入政府采购严重违法失信名单的（以信用中国网站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、中国政府采购网</w:t>
      </w:r>
      <w:r>
        <w:rPr>
          <w:rFonts w:ascii="宋体" w:hAnsi="宋体" w:eastAsia="仿宋"/>
          <w:color w:val="auto"/>
          <w:sz w:val="24"/>
          <w:highlight w:val="none"/>
        </w:rPr>
        <w:t>http://www.ccgp.gov.cn/</w:t>
      </w:r>
      <w:r>
        <w:rPr>
          <w:rFonts w:hint="eastAsia" w:ascii="宋体" w:hAnsi="宋体" w:eastAsia="仿宋"/>
          <w:color w:val="auto"/>
          <w:sz w:val="24"/>
          <w:highlight w:val="none"/>
        </w:rPr>
        <w:t>查询为准）；</w:t>
      </w:r>
    </w:p>
    <w:p w14:paraId="1A2808D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p>
    <w:p w14:paraId="607C6EA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w:t>
      </w:r>
      <w:r>
        <w:rPr>
          <w:rFonts w:ascii="宋体" w:hAnsi="宋体" w:eastAsia="仿宋"/>
          <w:color w:val="auto"/>
          <w:sz w:val="24"/>
          <w:highlight w:val="none"/>
        </w:rPr>
        <w:t>法律法规</w:t>
      </w:r>
      <w:r>
        <w:rPr>
          <w:rFonts w:hint="eastAsia" w:ascii="宋体" w:hAnsi="宋体" w:eastAsia="仿宋"/>
          <w:color w:val="auto"/>
          <w:sz w:val="24"/>
          <w:highlight w:val="none"/>
        </w:rPr>
        <w:t>规定的其他情形；</w:t>
      </w:r>
    </w:p>
    <w:p w14:paraId="7090804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w:t>
      </w:r>
      <w:r>
        <w:rPr>
          <w:rFonts w:ascii="宋体" w:hAnsi="宋体" w:eastAsia="仿宋"/>
          <w:color w:val="auto"/>
          <w:sz w:val="24"/>
          <w:highlight w:val="none"/>
        </w:rPr>
        <w:t>投标人须知前附表规定的其他情形。</w:t>
      </w:r>
    </w:p>
    <w:p w14:paraId="5B9C6B4B">
      <w:pPr>
        <w:pStyle w:val="5"/>
        <w:adjustRightInd w:val="0"/>
        <w:ind w:firstLine="482" w:firstLineChars="200"/>
        <w:rPr>
          <w:rFonts w:eastAsia="仿宋"/>
          <w:color w:val="auto"/>
          <w:sz w:val="24"/>
          <w:highlight w:val="none"/>
          <w:lang w:eastAsia="zh-CN"/>
        </w:rPr>
      </w:pPr>
      <w:bookmarkStart w:id="114" w:name="_Toc466024504"/>
      <w:bookmarkStart w:id="115" w:name="_Toc455587220"/>
      <w:bookmarkStart w:id="116" w:name="_Toc371415925"/>
      <w:bookmarkStart w:id="117" w:name="_Toc455587036"/>
      <w:bookmarkStart w:id="118" w:name="_Toc445554693"/>
      <w:bookmarkStart w:id="119" w:name="_Toc458504822"/>
      <w:r>
        <w:rPr>
          <w:rFonts w:hint="eastAsia" w:eastAsia="仿宋"/>
          <w:color w:val="auto"/>
          <w:sz w:val="24"/>
          <w:highlight w:val="none"/>
          <w:lang w:eastAsia="zh-CN"/>
        </w:rPr>
        <w:t>1.4 费用承担</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6FB52D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投标人准备和参加投标活动发生的费用自理。</w:t>
      </w:r>
    </w:p>
    <w:p w14:paraId="5B2218E0">
      <w:pPr>
        <w:pStyle w:val="5"/>
        <w:adjustRightInd w:val="0"/>
        <w:ind w:firstLine="482" w:firstLineChars="200"/>
        <w:rPr>
          <w:rFonts w:eastAsia="仿宋"/>
          <w:color w:val="auto"/>
          <w:sz w:val="24"/>
          <w:highlight w:val="none"/>
          <w:lang w:eastAsia="zh-CN"/>
        </w:rPr>
      </w:pPr>
      <w:bookmarkStart w:id="120" w:name="_Toc466024505"/>
      <w:bookmarkStart w:id="121" w:name="_Toc445554694"/>
      <w:bookmarkStart w:id="122" w:name="_Toc455587037"/>
      <w:bookmarkStart w:id="123" w:name="_Toc455587221"/>
      <w:bookmarkStart w:id="124" w:name="_Toc458504823"/>
      <w:bookmarkStart w:id="125" w:name="_Toc152042312"/>
      <w:bookmarkStart w:id="126" w:name="_Toc152045536"/>
      <w:bookmarkStart w:id="127" w:name="_Toc247513959"/>
      <w:bookmarkStart w:id="128" w:name="_Toc300834956"/>
      <w:bookmarkStart w:id="129" w:name="_Toc144974504"/>
      <w:bookmarkStart w:id="130" w:name="_Toc247527560"/>
      <w:r>
        <w:rPr>
          <w:rFonts w:hint="eastAsia" w:eastAsia="仿宋"/>
          <w:color w:val="auto"/>
          <w:sz w:val="24"/>
          <w:highlight w:val="none"/>
          <w:lang w:eastAsia="zh-CN"/>
        </w:rPr>
        <w:t>1.5 保密</w:t>
      </w:r>
      <w:bookmarkEnd w:id="120"/>
      <w:bookmarkEnd w:id="121"/>
      <w:bookmarkEnd w:id="122"/>
      <w:bookmarkEnd w:id="123"/>
      <w:bookmarkEnd w:id="124"/>
    </w:p>
    <w:p w14:paraId="5BD940B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参与招标投标活动的各方应当对招标文件和投标文件中的商业和技术等秘密保密，否则应当承担相应的法律责任。</w:t>
      </w:r>
    </w:p>
    <w:p w14:paraId="4142D6FB">
      <w:pPr>
        <w:pStyle w:val="5"/>
        <w:adjustRightInd w:val="0"/>
        <w:ind w:firstLine="482" w:firstLineChars="200"/>
        <w:rPr>
          <w:rFonts w:eastAsia="仿宋"/>
          <w:color w:val="auto"/>
          <w:sz w:val="24"/>
          <w:highlight w:val="none"/>
          <w:lang w:eastAsia="zh-CN"/>
        </w:rPr>
      </w:pPr>
      <w:bookmarkStart w:id="131" w:name="_Toc455587038"/>
      <w:bookmarkStart w:id="132" w:name="_Toc458504824"/>
      <w:bookmarkStart w:id="133" w:name="_Toc466024506"/>
      <w:bookmarkStart w:id="134" w:name="_Toc445554695"/>
      <w:bookmarkStart w:id="135" w:name="_Toc455587222"/>
      <w:r>
        <w:rPr>
          <w:rFonts w:hint="eastAsia" w:eastAsia="仿宋"/>
          <w:color w:val="auto"/>
          <w:sz w:val="24"/>
          <w:highlight w:val="none"/>
          <w:lang w:eastAsia="zh-CN"/>
        </w:rPr>
        <w:t>1.6 语言文字</w:t>
      </w:r>
      <w:bookmarkEnd w:id="125"/>
      <w:bookmarkEnd w:id="126"/>
      <w:bookmarkEnd w:id="127"/>
      <w:bookmarkEnd w:id="128"/>
      <w:bookmarkEnd w:id="129"/>
      <w:bookmarkEnd w:id="130"/>
      <w:bookmarkEnd w:id="131"/>
      <w:bookmarkEnd w:id="132"/>
      <w:bookmarkEnd w:id="133"/>
      <w:bookmarkEnd w:id="134"/>
      <w:bookmarkEnd w:id="135"/>
    </w:p>
    <w:p w14:paraId="5C257F0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除专用术语外，与招标投标有关的语言均应当使用中文。必要时专用术语应附有中文注释。</w:t>
      </w:r>
    </w:p>
    <w:p w14:paraId="5E74352E">
      <w:pPr>
        <w:pStyle w:val="5"/>
        <w:adjustRightInd w:val="0"/>
        <w:ind w:firstLine="482" w:firstLineChars="200"/>
        <w:rPr>
          <w:rFonts w:eastAsia="仿宋"/>
          <w:color w:val="auto"/>
          <w:sz w:val="24"/>
          <w:highlight w:val="none"/>
          <w:lang w:eastAsia="zh-CN"/>
        </w:rPr>
      </w:pPr>
      <w:bookmarkStart w:id="136" w:name="_Toc455587039"/>
      <w:bookmarkStart w:id="137" w:name="_Toc333587861"/>
      <w:bookmarkStart w:id="138" w:name="_Toc455587223"/>
      <w:bookmarkStart w:id="139" w:name="_Toc342294722"/>
      <w:bookmarkStart w:id="140" w:name="_Toc179632555"/>
      <w:bookmarkStart w:id="141" w:name="_Toc466024507"/>
      <w:bookmarkStart w:id="142" w:name="_Toc333600691"/>
      <w:bookmarkStart w:id="143" w:name="_Toc152045538"/>
      <w:bookmarkStart w:id="144" w:name="_Toc338943708"/>
      <w:bookmarkStart w:id="145" w:name="_Toc458504825"/>
      <w:bookmarkStart w:id="146" w:name="_Toc371415926"/>
      <w:bookmarkStart w:id="147" w:name="_Toc152042314"/>
      <w:bookmarkStart w:id="148" w:name="_Toc342296170"/>
      <w:bookmarkStart w:id="149" w:name="_Toc333599667"/>
      <w:bookmarkStart w:id="150" w:name="_Toc445554696"/>
      <w:bookmarkStart w:id="151" w:name="_Toc342297627"/>
      <w:bookmarkStart w:id="152" w:name="_Toc338944613"/>
      <w:bookmarkStart w:id="153" w:name="_Toc144974506"/>
      <w:r>
        <w:rPr>
          <w:rFonts w:hint="eastAsia" w:eastAsia="仿宋"/>
          <w:color w:val="auto"/>
          <w:sz w:val="24"/>
          <w:highlight w:val="none"/>
          <w:lang w:eastAsia="zh-CN"/>
        </w:rPr>
        <w:t>1.7 计量单位</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1DD03D5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除招标文件另有规定外，所有计量均采用中华人民共和国法定计量单位。</w:t>
      </w:r>
    </w:p>
    <w:p w14:paraId="707C1E72">
      <w:pPr>
        <w:pStyle w:val="5"/>
        <w:adjustRightInd w:val="0"/>
        <w:ind w:firstLine="482" w:firstLineChars="200"/>
        <w:rPr>
          <w:rFonts w:eastAsia="仿宋"/>
          <w:color w:val="auto"/>
          <w:sz w:val="24"/>
          <w:highlight w:val="none"/>
          <w:lang w:eastAsia="zh-CN"/>
        </w:rPr>
      </w:pPr>
      <w:bookmarkStart w:id="154" w:name="_Toc455587040"/>
      <w:bookmarkStart w:id="155" w:name="_Toc371415927"/>
      <w:bookmarkStart w:id="156" w:name="_Toc455587224"/>
      <w:bookmarkStart w:id="157" w:name="_Toc445554697"/>
      <w:bookmarkStart w:id="158" w:name="_Toc458504826"/>
      <w:bookmarkStart w:id="159" w:name="_Toc466024508"/>
      <w:bookmarkStart w:id="160" w:name="_Toc338943710"/>
      <w:bookmarkStart w:id="161" w:name="_Toc342297629"/>
      <w:bookmarkStart w:id="162" w:name="_Toc333600693"/>
      <w:bookmarkStart w:id="163" w:name="_Toc342294724"/>
      <w:bookmarkStart w:id="164" w:name="_Toc152042316"/>
      <w:bookmarkStart w:id="165" w:name="_Toc179632557"/>
      <w:bookmarkStart w:id="166" w:name="_Toc333587863"/>
      <w:bookmarkStart w:id="167" w:name="_Toc333599669"/>
      <w:bookmarkStart w:id="168" w:name="_Toc144974508"/>
      <w:bookmarkStart w:id="169" w:name="_Toc342296172"/>
      <w:bookmarkStart w:id="170" w:name="_Toc152045540"/>
      <w:bookmarkStart w:id="171" w:name="_Toc338944615"/>
      <w:r>
        <w:rPr>
          <w:rFonts w:hint="eastAsia" w:eastAsia="仿宋"/>
          <w:color w:val="auto"/>
          <w:sz w:val="24"/>
          <w:highlight w:val="none"/>
          <w:lang w:eastAsia="zh-CN"/>
        </w:rPr>
        <w:t>1.</w:t>
      </w:r>
      <w:bookmarkEnd w:id="154"/>
      <w:bookmarkEnd w:id="155"/>
      <w:bookmarkEnd w:id="156"/>
      <w:bookmarkEnd w:id="157"/>
      <w:bookmarkEnd w:id="158"/>
      <w:r>
        <w:rPr>
          <w:rFonts w:hint="eastAsia" w:eastAsia="仿宋"/>
          <w:color w:val="auto"/>
          <w:sz w:val="24"/>
          <w:highlight w:val="none"/>
          <w:lang w:eastAsia="zh-CN"/>
        </w:rPr>
        <w:t>8 现场考察</w:t>
      </w:r>
      <w:bookmarkEnd w:id="159"/>
    </w:p>
    <w:p w14:paraId="784F964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.1</w:t>
      </w:r>
      <w:r>
        <w:rPr>
          <w:rFonts w:hint="eastAsia" w:ascii="宋体" w:hAnsi="宋体" w:eastAsia="仿宋"/>
          <w:color w:val="auto"/>
          <w:sz w:val="24"/>
          <w:highlight w:val="none"/>
        </w:rPr>
        <w:t xml:space="preserve"> 投标人须知前附表规定组织现场考察的，采购人按投标人须知前附表规定的时间、地点组织投标人现场考察。采购人不组织统一现场考察的，由投标人自行考察现场。</w:t>
      </w:r>
    </w:p>
    <w:p w14:paraId="1F14A33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2</w:t>
      </w:r>
      <w:r>
        <w:rPr>
          <w:rFonts w:hint="eastAsia" w:ascii="宋体" w:hAnsi="宋体" w:eastAsia="仿宋"/>
          <w:color w:val="auto"/>
          <w:sz w:val="24"/>
          <w:highlight w:val="none"/>
        </w:rPr>
        <w:t xml:space="preserve"> 投标人现场考察发生的费用自理。</w:t>
      </w:r>
    </w:p>
    <w:p w14:paraId="58C5D5C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.3</w:t>
      </w:r>
      <w:r>
        <w:rPr>
          <w:rFonts w:hint="eastAsia" w:ascii="宋体" w:hAnsi="宋体" w:eastAsia="仿宋"/>
          <w:color w:val="auto"/>
          <w:sz w:val="24"/>
          <w:highlight w:val="none"/>
        </w:rPr>
        <w:t xml:space="preserve"> 除采购人的原因外，投标人自行负责在现场考察中所发生的人员伤亡和财产损失。</w:t>
      </w:r>
    </w:p>
    <w:p w14:paraId="50541E4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.4</w:t>
      </w:r>
      <w:r>
        <w:rPr>
          <w:rFonts w:hint="eastAsia" w:ascii="宋体" w:hAnsi="宋体" w:eastAsia="仿宋"/>
          <w:color w:val="auto"/>
          <w:sz w:val="24"/>
          <w:highlight w:val="none"/>
        </w:rPr>
        <w:t xml:space="preserve"> 采购人在现场考察中介绍的现场情况和周边相关的环境情况，仅作为投标人在编制投标文件时参考，采购人不对投标人据此作出的判断和决策负责。</w:t>
      </w:r>
    </w:p>
    <w:p w14:paraId="7C26343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1.8.5 除非有特殊要求，招标文件不单独提供供货使用地的自然环境、气候条件、公用设施等情况，投标人被视为熟悉上述与履行合同有关的一切情况。</w:t>
      </w:r>
    </w:p>
    <w:p w14:paraId="3BD9B693">
      <w:pPr>
        <w:pStyle w:val="5"/>
        <w:adjustRightInd w:val="0"/>
        <w:ind w:firstLine="482" w:firstLineChars="200"/>
        <w:rPr>
          <w:rFonts w:eastAsia="仿宋"/>
          <w:color w:val="auto"/>
          <w:sz w:val="24"/>
          <w:highlight w:val="none"/>
          <w:lang w:eastAsia="zh-CN"/>
        </w:rPr>
      </w:pPr>
      <w:bookmarkStart w:id="172" w:name="_Toc455587041"/>
      <w:bookmarkStart w:id="173" w:name="_Toc455587225"/>
      <w:bookmarkStart w:id="174" w:name="_Toc458504827"/>
      <w:bookmarkStart w:id="175" w:name="_Toc445554698"/>
      <w:bookmarkStart w:id="176" w:name="_Toc466024509"/>
      <w:r>
        <w:rPr>
          <w:rFonts w:hint="eastAsia" w:eastAsia="仿宋"/>
          <w:color w:val="auto"/>
          <w:sz w:val="24"/>
          <w:highlight w:val="none"/>
          <w:lang w:eastAsia="zh-CN"/>
        </w:rPr>
        <w:t>1.</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eastAsia="仿宋"/>
          <w:color w:val="auto"/>
          <w:sz w:val="24"/>
          <w:highlight w:val="none"/>
          <w:lang w:eastAsia="zh-CN"/>
        </w:rPr>
        <w:t>9 开标前答疑会</w:t>
      </w:r>
      <w:bookmarkEnd w:id="176"/>
    </w:p>
    <w:p w14:paraId="30CF280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投标人须知前附表规定召开开标前答疑会（以下简称答疑会）的，采购人按照投标人须知前附表规定的时间和地点召开答疑会，澄清投标人提出的问题。</w:t>
      </w:r>
    </w:p>
    <w:p w14:paraId="2D142E9E">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1.10 分包</w:t>
      </w:r>
    </w:p>
    <w:p w14:paraId="2345C5C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1.10.1 投标人拟在中标后将中标项目的非主体、非关键性工作进行分包的，应符合投标人须知前附表规定的分包要求，分包承担主体应当具备相应资质条件且不得再次分包，除投标人须知前附表规定的非主体、非关键性工作外，其他工作不得分包。 </w:t>
      </w:r>
    </w:p>
    <w:p w14:paraId="57619CF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1.10.2 中标人不得向他人转让中标项目。中标人应当就分包项目向采购人负责，分包承担主体就分包项目承担连带责任。</w:t>
      </w:r>
    </w:p>
    <w:p w14:paraId="14F5D61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1.10.3 中标人享受政府采购扶持政策获得政府采购合同的，小微企业不得将合同分包给大中型企业，中型企业不得将合同分包给大型企业。</w:t>
      </w:r>
    </w:p>
    <w:p w14:paraId="0A17FE9A">
      <w:pPr>
        <w:pStyle w:val="4"/>
        <w:rPr>
          <w:rStyle w:val="104"/>
          <w:rFonts w:ascii="宋体" w:hAnsi="宋体" w:eastAsia="仿宋"/>
          <w:b/>
          <w:bCs/>
          <w:color w:val="auto"/>
          <w:sz w:val="24"/>
          <w:szCs w:val="24"/>
          <w:highlight w:val="none"/>
        </w:rPr>
      </w:pPr>
      <w:bookmarkStart w:id="177" w:name="_Toc152045542"/>
      <w:bookmarkStart w:id="178" w:name="_Toc144974510"/>
      <w:bookmarkStart w:id="179" w:name="_Toc445554700"/>
      <w:bookmarkStart w:id="180" w:name="_Toc152042318"/>
      <w:bookmarkStart w:id="181" w:name="_Toc455587227"/>
      <w:bookmarkStart w:id="182" w:name="_Toc338944618"/>
      <w:bookmarkStart w:id="183" w:name="_Toc458504828"/>
      <w:bookmarkStart w:id="184" w:name="_Toc342296175"/>
      <w:bookmarkStart w:id="185" w:name="_Toc338943713"/>
      <w:bookmarkStart w:id="186" w:name="_Toc466024510"/>
      <w:bookmarkStart w:id="187" w:name="_Toc342297632"/>
      <w:bookmarkStart w:id="188" w:name="_Toc455587043"/>
      <w:bookmarkStart w:id="189" w:name="_Toc333599672"/>
      <w:bookmarkStart w:id="190" w:name="_Toc333600696"/>
      <w:bookmarkStart w:id="191" w:name="_Toc342294727"/>
      <w:bookmarkStart w:id="192" w:name="_Toc371415929"/>
      <w:bookmarkStart w:id="193" w:name="_Toc179632560"/>
      <w:r>
        <w:rPr>
          <w:rStyle w:val="104"/>
          <w:rFonts w:hint="eastAsia" w:ascii="宋体" w:hAnsi="宋体" w:eastAsia="仿宋"/>
          <w:b/>
          <w:bCs/>
          <w:color w:val="auto"/>
          <w:sz w:val="24"/>
          <w:szCs w:val="24"/>
          <w:highlight w:val="none"/>
        </w:rPr>
        <w:t>2. 招标文件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69F6A42">
      <w:pPr>
        <w:pStyle w:val="5"/>
        <w:adjustRightInd w:val="0"/>
        <w:ind w:firstLine="482" w:firstLineChars="200"/>
        <w:rPr>
          <w:rFonts w:eastAsia="仿宋"/>
          <w:color w:val="auto"/>
          <w:sz w:val="24"/>
          <w:highlight w:val="none"/>
          <w:lang w:eastAsia="zh-CN"/>
        </w:rPr>
      </w:pPr>
      <w:bookmarkStart w:id="194" w:name="_Toc455587228"/>
      <w:bookmarkStart w:id="195" w:name="_Toc338944619"/>
      <w:bookmarkStart w:id="196" w:name="_Toc179632561"/>
      <w:bookmarkStart w:id="197" w:name="_Toc152045543"/>
      <w:bookmarkStart w:id="198" w:name="_Toc342297633"/>
      <w:bookmarkStart w:id="199" w:name="_Toc371415930"/>
      <w:bookmarkStart w:id="200" w:name="_Toc445554701"/>
      <w:bookmarkStart w:id="201" w:name="_Toc333599673"/>
      <w:bookmarkStart w:id="202" w:name="_Toc333600697"/>
      <w:bookmarkStart w:id="203" w:name="_Toc152042319"/>
      <w:bookmarkStart w:id="204" w:name="_Toc455587044"/>
      <w:bookmarkStart w:id="205" w:name="_Toc338943714"/>
      <w:bookmarkStart w:id="206" w:name="_Toc342296176"/>
      <w:bookmarkStart w:id="207" w:name="_Toc458504829"/>
      <w:bookmarkStart w:id="208" w:name="_Toc466024511"/>
      <w:bookmarkStart w:id="209" w:name="_Toc342294728"/>
      <w:bookmarkStart w:id="210" w:name="_Toc144974511"/>
      <w:bookmarkStart w:id="211" w:name="_Toc333587867"/>
      <w:r>
        <w:rPr>
          <w:rFonts w:hint="eastAsia" w:eastAsia="仿宋"/>
          <w:color w:val="auto"/>
          <w:sz w:val="24"/>
          <w:highlight w:val="none"/>
          <w:lang w:eastAsia="zh-CN"/>
        </w:rPr>
        <w:t>2.1 招标文件的组成</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FF764D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本招标文件包括：</w:t>
      </w:r>
    </w:p>
    <w:p w14:paraId="613606D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）招标公告；</w:t>
      </w:r>
    </w:p>
    <w:p w14:paraId="2250092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）投标人须知；</w:t>
      </w:r>
    </w:p>
    <w:p w14:paraId="02043ED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）采购需求；</w:t>
      </w:r>
    </w:p>
    <w:p w14:paraId="615FA27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w:t>
      </w:r>
      <w:r>
        <w:rPr>
          <w:rFonts w:hint="eastAsia" w:ascii="宋体" w:hAnsi="宋体" w:eastAsia="仿宋"/>
          <w:color w:val="auto"/>
          <w:sz w:val="24"/>
          <w:highlight w:val="none"/>
        </w:rPr>
        <w:t>）资格审查和评标办法；</w:t>
      </w:r>
    </w:p>
    <w:p w14:paraId="72D06BE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（5）合同条款及格式；</w:t>
      </w:r>
    </w:p>
    <w:p w14:paraId="25FF590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（6）投标文件格式。</w:t>
      </w:r>
    </w:p>
    <w:p w14:paraId="63C78E7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对招标文件所作的澄清、修改、补充通知，构成招标文件的组成部分。当招标文件、招标文件的澄清或修改等在同一内容的</w:t>
      </w:r>
      <w:r>
        <w:rPr>
          <w:rFonts w:hint="eastAsia" w:eastAsia="仿宋"/>
          <w:color w:val="auto"/>
          <w:sz w:val="24"/>
          <w:highlight w:val="none"/>
        </w:rPr>
        <w:t>表述</w:t>
      </w:r>
      <w:r>
        <w:rPr>
          <w:rFonts w:hint="eastAsia" w:ascii="宋体" w:hAnsi="宋体" w:eastAsia="仿宋"/>
          <w:color w:val="auto"/>
          <w:sz w:val="24"/>
          <w:highlight w:val="none"/>
        </w:rPr>
        <w:t>上不一致时，以最后发出的书面文件为准。</w:t>
      </w:r>
    </w:p>
    <w:p w14:paraId="275BA61D">
      <w:pPr>
        <w:pStyle w:val="5"/>
        <w:adjustRightInd w:val="0"/>
        <w:ind w:firstLine="482" w:firstLineChars="200"/>
        <w:rPr>
          <w:rFonts w:eastAsia="仿宋"/>
          <w:color w:val="auto"/>
          <w:sz w:val="24"/>
          <w:highlight w:val="none"/>
          <w:lang w:eastAsia="zh-CN"/>
        </w:rPr>
      </w:pPr>
      <w:bookmarkStart w:id="212" w:name="_Toc247513968"/>
      <w:bookmarkStart w:id="213" w:name="_Toc247527569"/>
      <w:bookmarkStart w:id="214" w:name="_Toc371415931"/>
      <w:bookmarkStart w:id="215" w:name="_Toc144974512"/>
      <w:bookmarkStart w:id="216" w:name="_Toc455587229"/>
      <w:bookmarkStart w:id="217" w:name="_Toc152045544"/>
      <w:bookmarkStart w:id="218" w:name="_Toc445554702"/>
      <w:bookmarkStart w:id="219" w:name="_Toc466024512"/>
      <w:bookmarkStart w:id="220" w:name="_Toc300834965"/>
      <w:bookmarkStart w:id="221" w:name="_Toc458504830"/>
      <w:bookmarkStart w:id="222" w:name="_Toc455587045"/>
      <w:bookmarkStart w:id="223" w:name="_Toc152042320"/>
      <w:r>
        <w:rPr>
          <w:rFonts w:hint="eastAsia" w:eastAsia="仿宋"/>
          <w:color w:val="auto"/>
          <w:sz w:val="24"/>
          <w:highlight w:val="none"/>
          <w:lang w:eastAsia="zh-CN"/>
        </w:rPr>
        <w:t>2.2 招标文件的澄清</w:t>
      </w:r>
      <w:bookmarkEnd w:id="212"/>
      <w:bookmarkEnd w:id="213"/>
      <w:bookmarkEnd w:id="214"/>
      <w:bookmarkEnd w:id="215"/>
      <w:bookmarkEnd w:id="216"/>
      <w:bookmarkEnd w:id="217"/>
      <w:bookmarkEnd w:id="218"/>
      <w:bookmarkEnd w:id="219"/>
      <w:bookmarkEnd w:id="220"/>
      <w:bookmarkEnd w:id="221"/>
      <w:bookmarkEnd w:id="222"/>
      <w:bookmarkEnd w:id="223"/>
    </w:p>
    <w:p w14:paraId="72FE113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eastAsia="仿宋"/>
          <w:color w:val="auto"/>
          <w:sz w:val="24"/>
          <w:highlight w:val="none"/>
        </w:rPr>
        <w:t>投标人应仔细阅读和检查招标文件的全部内容。如发现缺页或附件不全，应及时向</w:t>
      </w:r>
      <w:r>
        <w:rPr>
          <w:rFonts w:hint="eastAsia" w:eastAsia="仿宋"/>
          <w:color w:val="auto"/>
          <w:sz w:val="24"/>
          <w:highlight w:val="none"/>
        </w:rPr>
        <w:t>采购</w:t>
      </w:r>
      <w:r>
        <w:rPr>
          <w:rFonts w:eastAsia="仿宋"/>
          <w:color w:val="auto"/>
          <w:sz w:val="24"/>
          <w:highlight w:val="none"/>
        </w:rPr>
        <w:t>人提出，以便补齐。</w:t>
      </w:r>
      <w:r>
        <w:rPr>
          <w:rFonts w:hint="eastAsia" w:eastAsia="仿宋"/>
          <w:color w:val="auto"/>
          <w:sz w:val="24"/>
          <w:highlight w:val="none"/>
        </w:rPr>
        <w:t>投标人对</w:t>
      </w:r>
      <w:r>
        <w:rPr>
          <w:rFonts w:eastAsia="仿宋"/>
          <w:color w:val="auto"/>
          <w:sz w:val="24"/>
          <w:highlight w:val="none"/>
        </w:rPr>
        <w:t>招标文件</w:t>
      </w:r>
      <w:r>
        <w:rPr>
          <w:rFonts w:hint="eastAsia" w:eastAsia="仿宋"/>
          <w:color w:val="auto"/>
          <w:sz w:val="24"/>
          <w:highlight w:val="none"/>
        </w:rPr>
        <w:t>有疑问的，可依法按本章第9.1款提出询问</w:t>
      </w:r>
      <w:r>
        <w:rPr>
          <w:rFonts w:eastAsia="仿宋"/>
          <w:color w:val="auto"/>
          <w:sz w:val="24"/>
          <w:highlight w:val="none"/>
        </w:rPr>
        <w:t>。</w:t>
      </w:r>
    </w:p>
    <w:p w14:paraId="023D44E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2.2.2 招标文件的澄清按投标人须知前附表规定的形式发出，但不指明澄清问题的来源，该澄清的内容为招标文件的组成部分。如果澄清发出的时间距本章第4.2.1项规定的投标截止时间不足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日的，并且澄清内容可能影响投标文件编制，将相应顺延投标截止时间。</w:t>
      </w:r>
    </w:p>
    <w:p w14:paraId="6A2AF39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.3</w:t>
      </w:r>
      <w:r>
        <w:rPr>
          <w:rFonts w:hint="eastAsia" w:ascii="宋体" w:hAnsi="宋体" w:eastAsia="仿宋"/>
          <w:color w:val="auto"/>
          <w:sz w:val="24"/>
          <w:highlight w:val="none"/>
        </w:rPr>
        <w:t xml:space="preserve"> 投标人应主动上网查询对招标文件的澄清，无需投标人书面确认。投标人未及时关注相关信息的，其责任自负。对招标文件进行的澄清，通过其他方式发布的，投标人收到澄清后24小时内书面确认（以发出时间为准），逾期未确认的，视为投标人完整收到。</w:t>
      </w:r>
    </w:p>
    <w:p w14:paraId="0345D139">
      <w:pPr>
        <w:pStyle w:val="5"/>
        <w:adjustRightInd w:val="0"/>
        <w:ind w:firstLine="482" w:firstLineChars="200"/>
        <w:rPr>
          <w:rFonts w:eastAsia="仿宋"/>
          <w:color w:val="auto"/>
          <w:sz w:val="24"/>
          <w:highlight w:val="none"/>
          <w:lang w:eastAsia="zh-CN"/>
        </w:rPr>
      </w:pPr>
      <w:bookmarkStart w:id="224" w:name="_Toc458504831"/>
      <w:bookmarkStart w:id="225" w:name="_Toc466024513"/>
      <w:bookmarkStart w:id="226" w:name="_Toc455587046"/>
      <w:bookmarkStart w:id="227" w:name="_Toc371415932"/>
      <w:bookmarkStart w:id="228" w:name="_Toc152045545"/>
      <w:bookmarkStart w:id="229" w:name="_Toc445554703"/>
      <w:bookmarkStart w:id="230" w:name="_Toc152042321"/>
      <w:bookmarkStart w:id="231" w:name="_Toc144974513"/>
      <w:bookmarkStart w:id="232" w:name="_Toc247527570"/>
      <w:bookmarkStart w:id="233" w:name="_Toc455587230"/>
      <w:bookmarkStart w:id="234" w:name="_Toc300834966"/>
      <w:bookmarkStart w:id="235" w:name="_Toc247513969"/>
      <w:r>
        <w:rPr>
          <w:rFonts w:hint="eastAsia" w:eastAsia="仿宋"/>
          <w:color w:val="auto"/>
          <w:sz w:val="24"/>
          <w:highlight w:val="none"/>
          <w:lang w:eastAsia="zh-CN"/>
        </w:rPr>
        <w:t>2.3 招标文件的修改</w:t>
      </w:r>
      <w:bookmarkEnd w:id="224"/>
      <w:bookmarkEnd w:id="225"/>
      <w:bookmarkEnd w:id="226"/>
      <w:bookmarkEnd w:id="227"/>
      <w:bookmarkEnd w:id="228"/>
      <w:bookmarkEnd w:id="229"/>
      <w:bookmarkEnd w:id="230"/>
      <w:bookmarkEnd w:id="231"/>
      <w:bookmarkEnd w:id="232"/>
      <w:bookmarkEnd w:id="233"/>
      <w:bookmarkEnd w:id="234"/>
      <w:bookmarkEnd w:id="235"/>
    </w:p>
    <w:p w14:paraId="66F5621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.1</w:t>
      </w:r>
      <w:r>
        <w:rPr>
          <w:rFonts w:hint="eastAsia" w:ascii="宋体" w:hAnsi="宋体" w:eastAsia="仿宋"/>
          <w:color w:val="auto"/>
          <w:sz w:val="24"/>
          <w:highlight w:val="none"/>
        </w:rPr>
        <w:t xml:space="preserve"> 对招标文件的修改将在招标公告发布的媒介以发布更正公告的方式公开。如果修改招标文件的时间距本章第4.2.1项规定的投标截止时间不足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日的，且修改内容影响投标文件编制，将相应顺延投标截止时间。</w:t>
      </w:r>
    </w:p>
    <w:p w14:paraId="29F69FE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.2</w:t>
      </w:r>
      <w:r>
        <w:rPr>
          <w:rFonts w:hint="eastAsia" w:ascii="宋体" w:hAnsi="宋体" w:eastAsia="仿宋"/>
          <w:color w:val="auto"/>
          <w:sz w:val="24"/>
          <w:highlight w:val="none"/>
        </w:rPr>
        <w:t xml:space="preserve"> 更正公告的内容作为招标文件的组成部分，对投标人起约束作用。投标人应主动上网查询，采购人及采购代理机构不承担投标人未及时关注相关信息引发的相关责任。</w:t>
      </w:r>
    </w:p>
    <w:p w14:paraId="7AE501FF">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2.4 招标文件的质疑</w:t>
      </w:r>
    </w:p>
    <w:p w14:paraId="7F0A97D9">
      <w:pPr>
        <w:widowControl/>
        <w:adjustRightInd w:val="0"/>
        <w:snapToGrid w:val="0"/>
        <w:spacing w:line="360" w:lineRule="auto"/>
        <w:ind w:firstLine="480" w:firstLineChars="200"/>
        <w:rPr>
          <w:rFonts w:hint="eastAsia" w:ascii="宋体" w:hAnsi="宋体" w:eastAsia="仿宋"/>
          <w:color w:val="auto"/>
          <w:sz w:val="24"/>
          <w:highlight w:val="none"/>
        </w:rPr>
      </w:pPr>
      <w:bookmarkStart w:id="236" w:name="_Toc445554705"/>
      <w:bookmarkStart w:id="237" w:name="_Toc152042322"/>
      <w:bookmarkStart w:id="238" w:name="_Toc371415933"/>
      <w:bookmarkStart w:id="239" w:name="_Toc333599676"/>
      <w:bookmarkStart w:id="240" w:name="_Toc338943717"/>
      <w:bookmarkStart w:id="241" w:name="_Toc455587048"/>
      <w:bookmarkStart w:id="242" w:name="_Toc144974514"/>
      <w:bookmarkStart w:id="243" w:name="_Toc342296179"/>
      <w:bookmarkStart w:id="244" w:name="_Toc342294731"/>
      <w:bookmarkStart w:id="245" w:name="_Toc333600700"/>
      <w:bookmarkStart w:id="246" w:name="_Toc455587232"/>
      <w:bookmarkStart w:id="247" w:name="_Toc152045546"/>
      <w:bookmarkStart w:id="248" w:name="_Toc179632564"/>
      <w:bookmarkStart w:id="249" w:name="_Toc338944622"/>
      <w:bookmarkStart w:id="250" w:name="_Toc466024514"/>
      <w:bookmarkStart w:id="251" w:name="_Toc342297636"/>
      <w:bookmarkStart w:id="252" w:name="_Toc458504832"/>
      <w:r>
        <w:rPr>
          <w:rFonts w:hint="eastAsia" w:ascii="宋体" w:hAnsi="宋体" w:eastAsia="仿宋"/>
          <w:color w:val="auto"/>
          <w:sz w:val="24"/>
          <w:highlight w:val="none"/>
        </w:rPr>
        <w:t>2.4.1 投标人对招标文件的质疑须符合本章第9.2款规定。</w:t>
      </w:r>
    </w:p>
    <w:p w14:paraId="24CA347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2.4.2 采购人对质疑的答复构成对招标文件澄清或者修改的，采购人将按照本章第2.2款、第2.3款规定办理。</w:t>
      </w:r>
    </w:p>
    <w:p w14:paraId="7C0A05A4">
      <w:pPr>
        <w:pStyle w:val="4"/>
        <w:rPr>
          <w:rStyle w:val="104"/>
          <w:rFonts w:ascii="宋体" w:hAnsi="宋体" w:eastAsia="仿宋"/>
          <w:b/>
          <w:bCs/>
          <w:color w:val="auto"/>
          <w:sz w:val="24"/>
          <w:szCs w:val="24"/>
          <w:highlight w:val="none"/>
        </w:rPr>
      </w:pPr>
      <w:r>
        <w:rPr>
          <w:rStyle w:val="104"/>
          <w:rFonts w:hint="eastAsia" w:ascii="宋体" w:hAnsi="宋体" w:eastAsia="仿宋"/>
          <w:b/>
          <w:bCs/>
          <w:color w:val="auto"/>
          <w:sz w:val="24"/>
          <w:szCs w:val="24"/>
          <w:highlight w:val="none"/>
        </w:rPr>
        <w:t>3. 投标文件</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CDFCB8E">
      <w:pPr>
        <w:pStyle w:val="5"/>
        <w:adjustRightInd w:val="0"/>
        <w:ind w:firstLine="482" w:firstLineChars="200"/>
        <w:rPr>
          <w:rFonts w:eastAsia="仿宋"/>
          <w:color w:val="auto"/>
          <w:sz w:val="24"/>
          <w:highlight w:val="none"/>
          <w:lang w:eastAsia="zh-CN"/>
        </w:rPr>
      </w:pPr>
      <w:bookmarkStart w:id="253" w:name="_Toc445554706"/>
      <w:bookmarkStart w:id="254" w:name="_Toc458504833"/>
      <w:bookmarkStart w:id="255" w:name="_Toc371415934"/>
      <w:bookmarkStart w:id="256" w:name="_Toc338944623"/>
      <w:bookmarkStart w:id="257" w:name="_Toc333599677"/>
      <w:bookmarkStart w:id="258" w:name="_Toc338943718"/>
      <w:bookmarkStart w:id="259" w:name="_Toc179632565"/>
      <w:bookmarkStart w:id="260" w:name="_Toc466024515"/>
      <w:bookmarkStart w:id="261" w:name="_Toc152045547"/>
      <w:bookmarkStart w:id="262" w:name="_Toc342294732"/>
      <w:bookmarkStart w:id="263" w:name="_Toc144974515"/>
      <w:bookmarkStart w:id="264" w:name="_Toc333600701"/>
      <w:bookmarkStart w:id="265" w:name="_Toc152042323"/>
      <w:bookmarkStart w:id="266" w:name="_Toc342297637"/>
      <w:bookmarkStart w:id="267" w:name="_Toc342296180"/>
      <w:bookmarkStart w:id="268" w:name="_Toc333587871"/>
      <w:bookmarkStart w:id="269" w:name="_Toc455587049"/>
      <w:bookmarkStart w:id="270" w:name="_Toc455587233"/>
      <w:r>
        <w:rPr>
          <w:rFonts w:hint="eastAsia" w:eastAsia="仿宋"/>
          <w:color w:val="auto"/>
          <w:sz w:val="24"/>
          <w:highlight w:val="none"/>
          <w:lang w:eastAsia="zh-CN"/>
        </w:rPr>
        <w:t>3.1 投标文件的组成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7FB1C96C">
      <w:pPr>
        <w:widowControl/>
        <w:adjustRightInd w:val="0"/>
        <w:snapToGrid w:val="0"/>
        <w:spacing w:line="360" w:lineRule="auto"/>
        <w:ind w:firstLine="480" w:firstLineChars="200"/>
        <w:rPr>
          <w:rFonts w:hint="eastAsia" w:ascii="宋体" w:hAnsi="宋体" w:eastAsia="仿宋"/>
          <w:color w:val="auto"/>
          <w:sz w:val="24"/>
          <w:highlight w:val="none"/>
        </w:rPr>
      </w:pPr>
      <w:bookmarkStart w:id="271" w:name="_Toc342297638"/>
      <w:bookmarkStart w:id="272" w:name="_Toc338943719"/>
      <w:bookmarkStart w:id="273" w:name="_Toc152042324"/>
      <w:bookmarkStart w:id="274" w:name="_Toc342296181"/>
      <w:bookmarkStart w:id="275" w:name="_Toc144974516"/>
      <w:bookmarkStart w:id="276" w:name="_Toc179632566"/>
      <w:bookmarkStart w:id="277" w:name="_Toc333599678"/>
      <w:bookmarkStart w:id="278" w:name="_Toc152045548"/>
      <w:bookmarkStart w:id="279" w:name="_Toc342294733"/>
      <w:bookmarkStart w:id="280" w:name="_Toc338944624"/>
      <w:bookmarkStart w:id="281" w:name="_Toc333587872"/>
      <w:bookmarkStart w:id="282" w:name="_Toc333600702"/>
      <w:r>
        <w:rPr>
          <w:rFonts w:hint="eastAsia" w:ascii="宋体" w:hAnsi="宋体" w:eastAsia="仿宋"/>
          <w:color w:val="auto"/>
          <w:sz w:val="24"/>
          <w:highlight w:val="none"/>
        </w:rPr>
        <w:t>3.1</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投标文件应包括下列内容：</w:t>
      </w:r>
    </w:p>
    <w:p w14:paraId="40C2862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（1）投标函；</w:t>
      </w:r>
    </w:p>
    <w:p w14:paraId="258F531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（2）开标一览表；</w:t>
      </w:r>
    </w:p>
    <w:p w14:paraId="353FAEE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（3）分项报价表；</w:t>
      </w:r>
    </w:p>
    <w:p w14:paraId="17039C2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（4）投标人综合情况简介；</w:t>
      </w:r>
    </w:p>
    <w:p w14:paraId="5BA45D7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（5）中小企业声明函（货物）；</w:t>
      </w:r>
    </w:p>
    <w:p w14:paraId="27776D9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（6）法定代表人（单位负责人）身份证明或授权委托书；</w:t>
      </w:r>
    </w:p>
    <w:p w14:paraId="10C517D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（7）联合体协议书（如有）；</w:t>
      </w:r>
    </w:p>
    <w:p w14:paraId="261768E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（8）分包意向协议书（如有）；</w:t>
      </w:r>
    </w:p>
    <w:p w14:paraId="06457F4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（9）资格审查材料；</w:t>
      </w:r>
    </w:p>
    <w:p w14:paraId="20A7A11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（10）符合性审查与详细评审材料；</w:t>
      </w:r>
    </w:p>
    <w:p w14:paraId="7F40C6C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（11）主要标的承诺函；</w:t>
      </w:r>
    </w:p>
    <w:p w14:paraId="27A068F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（12）投标人认为应该提供的其他材料。</w:t>
      </w:r>
    </w:p>
    <w:p w14:paraId="0680765A">
      <w:pPr>
        <w:widowControl/>
        <w:adjustRightInd w:val="0"/>
        <w:snapToGrid w:val="0"/>
        <w:spacing w:line="360" w:lineRule="auto"/>
        <w:ind w:firstLine="480" w:firstLineChars="200"/>
        <w:rPr>
          <w:rFonts w:eastAsia="仿宋"/>
          <w:color w:val="auto"/>
          <w:sz w:val="24"/>
          <w:highlight w:val="none"/>
        </w:rPr>
      </w:pPr>
      <w:r>
        <w:rPr>
          <w:rFonts w:eastAsia="仿宋"/>
          <w:color w:val="auto"/>
          <w:sz w:val="24"/>
          <w:highlight w:val="none"/>
        </w:rPr>
        <w:t>投标人在评标过程中作出的符合法律法规和招标文件规定的澄清确认，构成投标文件的组成部分。</w:t>
      </w:r>
    </w:p>
    <w:p w14:paraId="7232500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3.1.2 投标人须知前附表规定不接受联合体投标的，或投标人没有组成联合体的，投标文件不包括本章第3.1.1（7）目所指的联合体协议书。</w:t>
      </w:r>
    </w:p>
    <w:p w14:paraId="1CBF293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3.1.3 投标人须知前附表规定不接受分包的，或投标人没有分包的，投标文件不包括本章第3.1.1（8）目所指的分包意向协议书。</w:t>
      </w:r>
    </w:p>
    <w:p w14:paraId="7F85969F">
      <w:pPr>
        <w:adjustRightInd w:val="0"/>
        <w:spacing w:line="360" w:lineRule="auto"/>
        <w:ind w:firstLine="480" w:firstLineChars="200"/>
        <w:rPr>
          <w:rFonts w:hint="eastAsia" w:ascii="宋体" w:hAnsi="宋体" w:eastAsia="仿宋"/>
          <w:color w:val="auto"/>
          <w:sz w:val="24"/>
          <w:highlight w:val="none"/>
        </w:rPr>
      </w:pPr>
      <w:bookmarkStart w:id="283" w:name="_Toc455587234"/>
      <w:bookmarkStart w:id="284" w:name="_Toc445554707"/>
      <w:bookmarkStart w:id="285" w:name="_Toc458504834"/>
      <w:bookmarkStart w:id="286" w:name="_Toc455587050"/>
      <w:bookmarkStart w:id="287" w:name="_Toc466024516"/>
      <w:r>
        <w:rPr>
          <w:rFonts w:hint="eastAsia" w:ascii="宋体" w:hAnsi="宋体" w:eastAsia="仿宋"/>
          <w:color w:val="auto"/>
          <w:sz w:val="24"/>
          <w:highlight w:val="none"/>
        </w:rPr>
        <w:t>3.1.4 投标人须知前附表规定要求递交投标货物样品的，投标人应按照投标人须知前附表的规定提供投标货物样品。</w:t>
      </w:r>
    </w:p>
    <w:p w14:paraId="71458D21">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3.2 投标报价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Start w:id="288" w:name="_Toc370199958"/>
    </w:p>
    <w:p w14:paraId="52ABBC9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w:t>
      </w:r>
      <w:r>
        <w:rPr>
          <w:rFonts w:ascii="宋体" w:hAnsi="宋体" w:eastAsia="仿宋"/>
          <w:color w:val="auto"/>
          <w:sz w:val="24"/>
          <w:highlight w:val="none"/>
        </w:rPr>
        <w:t>.1</w:t>
      </w:r>
      <w:r>
        <w:rPr>
          <w:rFonts w:hint="eastAsia" w:ascii="宋体" w:hAnsi="宋体" w:eastAsia="仿宋"/>
          <w:color w:val="auto"/>
          <w:sz w:val="24"/>
          <w:highlight w:val="none"/>
        </w:rPr>
        <w:t xml:space="preserve"> 投标报价应当包括的内容见投标人须知前附表规定。投标人应当按招标文件规定进行投标报价，并按给定格式填写投标报价表格。</w:t>
      </w:r>
      <w:bookmarkEnd w:id="288"/>
      <w:bookmarkStart w:id="289" w:name="_Toc370199959"/>
    </w:p>
    <w:p w14:paraId="6494BC7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3.2.2 </w:t>
      </w:r>
      <w:r>
        <w:rPr>
          <w:rFonts w:ascii="宋体" w:hAnsi="宋体" w:eastAsia="仿宋"/>
          <w:color w:val="auto"/>
          <w:sz w:val="24"/>
          <w:highlight w:val="none"/>
        </w:rPr>
        <w:t>投标人应充分了解该项目的总体情况以及影响报价的其他要素。</w:t>
      </w:r>
    </w:p>
    <w:p w14:paraId="353DDBC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3.2.3 投标报价为各分项报价之和。如分项报价中存在缺漏项，则视为缺漏项价格已包含在其他分项报价之中。投标人在投标截止时间前修改开标一览表中的投标报价总额，应同时修改投标文件“分项报价表”中的相应报价。此修改须符合本章第4.3款的有关要求。</w:t>
      </w:r>
    </w:p>
    <w:p w14:paraId="6B54E75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3.2.4 投标报价的其他要求见投标人须知前附表。</w:t>
      </w:r>
    </w:p>
    <w:bookmarkEnd w:id="289"/>
    <w:p w14:paraId="36AEE6EC">
      <w:pPr>
        <w:pStyle w:val="5"/>
        <w:adjustRightInd w:val="0"/>
        <w:ind w:firstLine="482" w:firstLineChars="200"/>
        <w:rPr>
          <w:rFonts w:eastAsia="仿宋"/>
          <w:color w:val="auto"/>
          <w:sz w:val="24"/>
          <w:highlight w:val="none"/>
          <w:lang w:eastAsia="zh-CN"/>
        </w:rPr>
      </w:pPr>
      <w:bookmarkStart w:id="290" w:name="_Toc455587235"/>
      <w:bookmarkStart w:id="291" w:name="_Toc333599679"/>
      <w:bookmarkStart w:id="292" w:name="_Toc466024517"/>
      <w:bookmarkStart w:id="293" w:name="_Toc333600703"/>
      <w:bookmarkStart w:id="294" w:name="_Toc342294734"/>
      <w:bookmarkStart w:id="295" w:name="_Toc458504835"/>
      <w:bookmarkStart w:id="296" w:name="_Toc342297639"/>
      <w:bookmarkStart w:id="297" w:name="_Toc338943720"/>
      <w:bookmarkStart w:id="298" w:name="_Toc179632567"/>
      <w:bookmarkStart w:id="299" w:name="_Toc445554708"/>
      <w:bookmarkStart w:id="300" w:name="_Toc455587051"/>
      <w:bookmarkStart w:id="301" w:name="_Toc342296182"/>
      <w:bookmarkStart w:id="302" w:name="_Toc152042325"/>
      <w:bookmarkStart w:id="303" w:name="_Toc371415937"/>
      <w:bookmarkStart w:id="304" w:name="_Toc144974517"/>
      <w:bookmarkStart w:id="305" w:name="_Toc152045549"/>
      <w:bookmarkStart w:id="306" w:name="_Toc338944625"/>
      <w:bookmarkStart w:id="307" w:name="_Toc333587873"/>
      <w:r>
        <w:rPr>
          <w:rFonts w:hint="eastAsia" w:eastAsia="仿宋"/>
          <w:color w:val="auto"/>
          <w:sz w:val="24"/>
          <w:highlight w:val="none"/>
          <w:lang w:eastAsia="zh-CN"/>
        </w:rPr>
        <w:t>3.3 投标有效期</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0D3B363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.1</w:t>
      </w:r>
      <w:r>
        <w:rPr>
          <w:rFonts w:hint="eastAsia" w:ascii="宋体" w:hAnsi="宋体" w:eastAsia="仿宋"/>
          <w:color w:val="auto"/>
          <w:sz w:val="24"/>
          <w:highlight w:val="none"/>
        </w:rPr>
        <w:t xml:space="preserve"> 在投标人须知前附表规定的投标有效期内，投标文件保持有效，投标人不得要求撤销或修改其投标文件，否则应承担招标文件和法律法规规定的责任。</w:t>
      </w:r>
    </w:p>
    <w:p w14:paraId="31A8D33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.2</w:t>
      </w:r>
      <w:r>
        <w:rPr>
          <w:rFonts w:hint="eastAsia" w:ascii="宋体" w:hAnsi="宋体" w:eastAsia="仿宋"/>
          <w:color w:val="auto"/>
          <w:sz w:val="24"/>
          <w:highlight w:val="none"/>
        </w:rPr>
        <w:t xml:space="preserve"> 出现特殊情况需要延长投标有效期的，采购人以书面形式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仿宋"/>
          <w:color w:val="auto"/>
          <w:sz w:val="24"/>
          <w:highlight w:val="none"/>
        </w:rPr>
        <w:t xml:space="preserve"> </w:t>
      </w:r>
    </w:p>
    <w:p w14:paraId="3ECEDC43">
      <w:pPr>
        <w:pStyle w:val="5"/>
        <w:adjustRightInd w:val="0"/>
        <w:ind w:firstLine="482" w:firstLineChars="200"/>
        <w:rPr>
          <w:rFonts w:eastAsia="仿宋"/>
          <w:color w:val="auto"/>
          <w:sz w:val="24"/>
          <w:highlight w:val="none"/>
          <w:lang w:eastAsia="zh-CN"/>
        </w:rPr>
      </w:pPr>
      <w:bookmarkStart w:id="308" w:name="_Toc455587236"/>
      <w:bookmarkStart w:id="309" w:name="_Toc342297640"/>
      <w:bookmarkStart w:id="310" w:name="_Toc333599680"/>
      <w:bookmarkStart w:id="311" w:name="_Toc338944626"/>
      <w:bookmarkStart w:id="312" w:name="_Toc371415938"/>
      <w:bookmarkStart w:id="313" w:name="_Toc333600704"/>
      <w:bookmarkStart w:id="314" w:name="_Toc333587874"/>
      <w:bookmarkStart w:id="315" w:name="_Toc144974518"/>
      <w:bookmarkStart w:id="316" w:name="_Toc455587052"/>
      <w:bookmarkStart w:id="317" w:name="_Toc342294735"/>
      <w:bookmarkStart w:id="318" w:name="_Toc466024518"/>
      <w:bookmarkStart w:id="319" w:name="_Toc445554709"/>
      <w:bookmarkStart w:id="320" w:name="_Toc152042326"/>
      <w:bookmarkStart w:id="321" w:name="_Toc342296183"/>
      <w:bookmarkStart w:id="322" w:name="_Toc458504836"/>
      <w:bookmarkStart w:id="323" w:name="_Toc179632568"/>
      <w:bookmarkStart w:id="324" w:name="_Toc152045550"/>
      <w:bookmarkStart w:id="325" w:name="_Toc338943721"/>
      <w:r>
        <w:rPr>
          <w:rFonts w:hint="eastAsia" w:eastAsia="仿宋"/>
          <w:color w:val="auto"/>
          <w:sz w:val="24"/>
          <w:highlight w:val="none"/>
          <w:lang w:eastAsia="zh-CN"/>
        </w:rPr>
        <w:t>3.4 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3093CA8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对投标保证金的要求见投标人须知前附表。</w:t>
      </w:r>
    </w:p>
    <w:p w14:paraId="7A8931DD">
      <w:pPr>
        <w:pStyle w:val="5"/>
        <w:adjustRightInd w:val="0"/>
        <w:ind w:firstLine="482" w:firstLineChars="200"/>
        <w:rPr>
          <w:rFonts w:eastAsia="仿宋"/>
          <w:color w:val="auto"/>
          <w:sz w:val="24"/>
          <w:highlight w:val="none"/>
          <w:lang w:eastAsia="zh-CN"/>
        </w:rPr>
      </w:pPr>
      <w:bookmarkStart w:id="326" w:name="_Toc333587875"/>
      <w:bookmarkStart w:id="327" w:name="_Toc458504837"/>
      <w:bookmarkStart w:id="328" w:name="_Toc333600705"/>
      <w:bookmarkStart w:id="329" w:name="_Toc455587053"/>
      <w:bookmarkStart w:id="330" w:name="_Toc179632569"/>
      <w:bookmarkStart w:id="331" w:name="_Toc342297641"/>
      <w:bookmarkStart w:id="332" w:name="_Toc152042327"/>
      <w:bookmarkStart w:id="333" w:name="_Toc371415939"/>
      <w:bookmarkStart w:id="334" w:name="_Toc338944627"/>
      <w:bookmarkStart w:id="335" w:name="_Toc333599681"/>
      <w:bookmarkStart w:id="336" w:name="_Toc455587237"/>
      <w:bookmarkStart w:id="337" w:name="_Toc152045551"/>
      <w:bookmarkStart w:id="338" w:name="_Toc445554710"/>
      <w:bookmarkStart w:id="339" w:name="_Toc342294736"/>
      <w:bookmarkStart w:id="340" w:name="_Toc338943722"/>
      <w:bookmarkStart w:id="341" w:name="_Toc144974519"/>
      <w:bookmarkStart w:id="342" w:name="_Toc342296184"/>
      <w:bookmarkStart w:id="343" w:name="_Toc466024519"/>
      <w:r>
        <w:rPr>
          <w:rFonts w:hint="eastAsia" w:eastAsia="仿宋"/>
          <w:color w:val="auto"/>
          <w:sz w:val="24"/>
          <w:highlight w:val="none"/>
          <w:lang w:eastAsia="zh-CN"/>
        </w:rPr>
        <w:t>3.5 资格审查资料（适用于已进行资格预审的）</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82E81F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投标人在递交投标文件前，发生可能影响其投标资格的新情况的，应更新或补充其在申请资格预审时提供的资料，以证实其各项资格条件仍能继续满足资格预审文件的要求。</w:t>
      </w:r>
    </w:p>
    <w:p w14:paraId="396F025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投标人是代理商或经销商的，通过资格预审后如确定了拟投标货物（服务）的制造商（提供商）的，投标时不得更换，否则其投标将按无效处理。</w:t>
      </w:r>
    </w:p>
    <w:p w14:paraId="3A4520E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如本招标文件“评标办法”中涉及对相关投标人资格进行评审的，投标人应在投标文件相应的“资格审查资料”中提供证明文件。</w:t>
      </w:r>
    </w:p>
    <w:p w14:paraId="2426B72E">
      <w:pPr>
        <w:pStyle w:val="5"/>
        <w:adjustRightInd w:val="0"/>
        <w:ind w:firstLine="482" w:firstLineChars="200"/>
        <w:rPr>
          <w:rFonts w:hint="eastAsia" w:eastAsia="仿宋"/>
          <w:color w:val="auto"/>
          <w:sz w:val="24"/>
          <w:highlight w:val="none"/>
          <w:lang w:eastAsia="zh-CN"/>
        </w:rPr>
      </w:pPr>
      <w:bookmarkStart w:id="344" w:name="_Toc338943723"/>
      <w:bookmarkStart w:id="345" w:name="_Toc333599682"/>
      <w:bookmarkStart w:id="346" w:name="_Toc455587238"/>
      <w:bookmarkStart w:id="347" w:name="_Toc342294737"/>
      <w:bookmarkStart w:id="348" w:name="_Toc455587054"/>
      <w:bookmarkStart w:id="349" w:name="_Toc333600706"/>
      <w:bookmarkStart w:id="350" w:name="_Toc144974520"/>
      <w:bookmarkStart w:id="351" w:name="_Toc466024520"/>
      <w:bookmarkStart w:id="352" w:name="_Toc458504838"/>
      <w:bookmarkStart w:id="353" w:name="_Toc333587876"/>
      <w:bookmarkStart w:id="354" w:name="_Toc371415940"/>
      <w:bookmarkStart w:id="355" w:name="_Toc445554711"/>
      <w:bookmarkStart w:id="356" w:name="_Toc152042328"/>
      <w:bookmarkStart w:id="357" w:name="_Toc179632570"/>
      <w:bookmarkStart w:id="358" w:name="_Toc342296185"/>
      <w:bookmarkStart w:id="359" w:name="_Toc338944628"/>
      <w:bookmarkStart w:id="360" w:name="_Toc152045552"/>
      <w:bookmarkStart w:id="361" w:name="_Toc342297642"/>
      <w:r>
        <w:rPr>
          <w:rFonts w:hint="eastAsia" w:eastAsia="仿宋"/>
          <w:color w:val="auto"/>
          <w:sz w:val="24"/>
          <w:highlight w:val="none"/>
          <w:lang w:eastAsia="zh-CN"/>
        </w:rPr>
        <w:t>3.5 资格审查资料（适用于未进行资格预审的）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672530F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资格审查办法见第四章第一节 资格审查。</w:t>
      </w:r>
    </w:p>
    <w:p w14:paraId="3D2D6E7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“资格审查材料”应按规定格式填写，并提供符合要求的相关证明材料的扫描件或电子证照。</w:t>
      </w:r>
    </w:p>
    <w:p w14:paraId="5112E13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投标人须知前附表规定接受联合体投标的，本章第3.5.1项至第3.5.2项规定的表格和资料包括联合体各方成员相关情况。</w:t>
      </w:r>
    </w:p>
    <w:p w14:paraId="47A8EF43">
      <w:pPr>
        <w:pStyle w:val="5"/>
        <w:adjustRightInd w:val="0"/>
        <w:ind w:firstLine="482" w:firstLineChars="200"/>
        <w:rPr>
          <w:rFonts w:eastAsia="仿宋"/>
          <w:color w:val="auto"/>
          <w:sz w:val="24"/>
          <w:highlight w:val="none"/>
          <w:lang w:eastAsia="zh-CN"/>
        </w:rPr>
      </w:pPr>
      <w:bookmarkStart w:id="362" w:name="_Toc371415941"/>
      <w:bookmarkStart w:id="363" w:name="_Toc466024522"/>
      <w:bookmarkStart w:id="364" w:name="_Toc458504840"/>
      <w:bookmarkStart w:id="365" w:name="_Toc338943724"/>
      <w:bookmarkStart w:id="366" w:name="_Toc333599683"/>
      <w:bookmarkStart w:id="367" w:name="_Toc152042329"/>
      <w:bookmarkStart w:id="368" w:name="_Toc152045553"/>
      <w:bookmarkStart w:id="369" w:name="_Toc333600707"/>
      <w:bookmarkStart w:id="370" w:name="_Toc333587877"/>
      <w:bookmarkStart w:id="371" w:name="_Toc179632571"/>
      <w:bookmarkStart w:id="372" w:name="_Toc455587056"/>
      <w:bookmarkStart w:id="373" w:name="_Toc455587240"/>
      <w:bookmarkStart w:id="374" w:name="_Toc342296186"/>
      <w:bookmarkStart w:id="375" w:name="_Toc342297643"/>
      <w:bookmarkStart w:id="376" w:name="_Toc445554713"/>
      <w:bookmarkStart w:id="377" w:name="_Toc338944629"/>
      <w:bookmarkStart w:id="378" w:name="_Toc144974521"/>
      <w:bookmarkStart w:id="379" w:name="_Toc342294738"/>
      <w:r>
        <w:rPr>
          <w:rFonts w:hint="eastAsia" w:eastAsia="仿宋"/>
          <w:color w:val="auto"/>
          <w:sz w:val="24"/>
          <w:highlight w:val="none"/>
          <w:lang w:eastAsia="zh-CN"/>
        </w:rPr>
        <w:t>3.6 备选投标方案</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E3785D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3.6.1 除投标人须知前附表另有规定外，投标人不得递交备选投标方案，</w:t>
      </w:r>
      <w:r>
        <w:rPr>
          <w:rFonts w:eastAsia="仿宋"/>
          <w:color w:val="auto"/>
          <w:sz w:val="24"/>
          <w:highlight w:val="none"/>
        </w:rPr>
        <w:t>否则其投标将</w:t>
      </w:r>
      <w:r>
        <w:rPr>
          <w:rFonts w:hint="eastAsia" w:eastAsia="仿宋"/>
          <w:color w:val="auto"/>
          <w:sz w:val="24"/>
          <w:highlight w:val="none"/>
        </w:rPr>
        <w:t>按无效处理</w:t>
      </w:r>
      <w:r>
        <w:rPr>
          <w:rFonts w:hint="eastAsia" w:ascii="宋体" w:hAnsi="宋体" w:eastAsia="仿宋"/>
          <w:color w:val="auto"/>
          <w:sz w:val="24"/>
          <w:highlight w:val="none"/>
        </w:rPr>
        <w:t>。</w:t>
      </w:r>
    </w:p>
    <w:p w14:paraId="2D496299">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3.6.2 </w:t>
      </w:r>
      <w:r>
        <w:rPr>
          <w:rFonts w:eastAsia="仿宋"/>
          <w:color w:val="auto"/>
          <w:sz w:val="24"/>
          <w:highlight w:val="none"/>
        </w:rPr>
        <w:t>允许投标人递交备选投标方案的，只有中标人所递交的备选投标方案方可予以考虑。评标委员会认为中标人的备选投标方案优于其按照招标文件要求编制的投标方案的，</w:t>
      </w:r>
      <w:r>
        <w:rPr>
          <w:rFonts w:hint="eastAsia" w:eastAsia="仿宋"/>
          <w:color w:val="auto"/>
          <w:sz w:val="24"/>
          <w:highlight w:val="none"/>
        </w:rPr>
        <w:t>采购</w:t>
      </w:r>
      <w:r>
        <w:rPr>
          <w:rFonts w:eastAsia="仿宋"/>
          <w:color w:val="auto"/>
          <w:sz w:val="24"/>
          <w:highlight w:val="none"/>
        </w:rPr>
        <w:t>人可以接受该备选投标方案。</w:t>
      </w:r>
    </w:p>
    <w:p w14:paraId="651C384F">
      <w:pPr>
        <w:widowControl/>
        <w:adjustRightInd w:val="0"/>
        <w:snapToGrid w:val="0"/>
        <w:spacing w:line="360" w:lineRule="auto"/>
        <w:ind w:firstLine="480" w:firstLineChars="200"/>
        <w:rPr>
          <w:rFonts w:eastAsia="仿宋"/>
          <w:color w:val="auto"/>
          <w:sz w:val="24"/>
          <w:highlight w:val="none"/>
        </w:rPr>
      </w:pPr>
      <w:r>
        <w:rPr>
          <w:rFonts w:ascii="宋体" w:hAnsi="宋体" w:eastAsia="仿宋"/>
          <w:color w:val="auto"/>
          <w:sz w:val="24"/>
          <w:highlight w:val="none"/>
        </w:rPr>
        <w:t>3.6.3 投标人提供两个或两个以上投标报价，或者在投标文件中提供一个报价，但同时提供两个或两</w:t>
      </w:r>
      <w:r>
        <w:rPr>
          <w:rFonts w:eastAsia="仿宋"/>
          <w:color w:val="auto"/>
          <w:sz w:val="24"/>
          <w:highlight w:val="none"/>
        </w:rPr>
        <w:t>个以上</w:t>
      </w:r>
      <w:bookmarkStart w:id="380" w:name="_Toc384308232"/>
      <w:bookmarkStart w:id="381" w:name="_Toc29902"/>
      <w:bookmarkStart w:id="382" w:name="_Toc247527575"/>
      <w:bookmarkStart w:id="383" w:name="_Toc369531538"/>
      <w:bookmarkStart w:id="384" w:name="_Toc300834971"/>
      <w:bookmarkStart w:id="385" w:name="_Toc352691495"/>
      <w:bookmarkStart w:id="386" w:name="_Toc247513974"/>
      <w:bookmarkStart w:id="387" w:name="_Toc361508607"/>
      <w:r>
        <w:rPr>
          <w:rFonts w:hint="eastAsia" w:eastAsia="仿宋"/>
          <w:color w:val="auto"/>
          <w:sz w:val="24"/>
          <w:highlight w:val="none"/>
        </w:rPr>
        <w:t>供货方案</w:t>
      </w:r>
      <w:r>
        <w:rPr>
          <w:rFonts w:eastAsia="仿宋"/>
          <w:color w:val="auto"/>
          <w:sz w:val="24"/>
          <w:highlight w:val="none"/>
        </w:rPr>
        <w:t>的</w:t>
      </w:r>
      <w:bookmarkEnd w:id="380"/>
      <w:bookmarkEnd w:id="381"/>
      <w:bookmarkEnd w:id="382"/>
      <w:bookmarkEnd w:id="383"/>
      <w:bookmarkEnd w:id="384"/>
      <w:bookmarkEnd w:id="385"/>
      <w:bookmarkEnd w:id="386"/>
      <w:bookmarkEnd w:id="387"/>
      <w:r>
        <w:rPr>
          <w:rFonts w:eastAsia="仿宋"/>
          <w:color w:val="auto"/>
          <w:sz w:val="24"/>
          <w:highlight w:val="none"/>
        </w:rPr>
        <w:t>，视为提供备选方案。</w:t>
      </w:r>
    </w:p>
    <w:p w14:paraId="27CBDDED">
      <w:pPr>
        <w:pStyle w:val="5"/>
        <w:adjustRightInd w:val="0"/>
        <w:ind w:firstLine="482" w:firstLineChars="200"/>
        <w:rPr>
          <w:rFonts w:eastAsia="仿宋"/>
          <w:color w:val="auto"/>
          <w:sz w:val="24"/>
          <w:highlight w:val="none"/>
          <w:lang w:eastAsia="zh-CN"/>
        </w:rPr>
      </w:pPr>
      <w:bookmarkStart w:id="388" w:name="_Toc371415942"/>
      <w:bookmarkStart w:id="389" w:name="_Toc466024523"/>
      <w:bookmarkStart w:id="390" w:name="_Toc458504841"/>
      <w:bookmarkStart w:id="391" w:name="_Toc445554714"/>
      <w:bookmarkStart w:id="392" w:name="_Toc455587057"/>
      <w:bookmarkStart w:id="393" w:name="_Toc455587241"/>
      <w:r>
        <w:rPr>
          <w:rFonts w:hint="eastAsia" w:eastAsia="仿宋"/>
          <w:color w:val="auto"/>
          <w:sz w:val="24"/>
          <w:highlight w:val="none"/>
          <w:lang w:eastAsia="zh-CN"/>
        </w:rPr>
        <w:t>3.7 投标文件的编制</w:t>
      </w:r>
      <w:bookmarkEnd w:id="388"/>
      <w:bookmarkEnd w:id="389"/>
      <w:bookmarkEnd w:id="390"/>
      <w:bookmarkEnd w:id="391"/>
      <w:bookmarkEnd w:id="392"/>
      <w:bookmarkEnd w:id="393"/>
    </w:p>
    <w:p w14:paraId="108D478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投标文件应按</w:t>
      </w:r>
      <w:r>
        <w:rPr>
          <w:rFonts w:hint="eastAsia" w:eastAsia="仿宋"/>
          <w:color w:val="auto"/>
          <w:sz w:val="24"/>
          <w:highlight w:val="none"/>
        </w:rPr>
        <w:t>招标文件</w:t>
      </w:r>
      <w:r>
        <w:rPr>
          <w:rFonts w:hint="eastAsia" w:ascii="宋体" w:hAnsi="宋体" w:eastAsia="仿宋"/>
          <w:color w:val="auto"/>
          <w:sz w:val="24"/>
          <w:highlight w:val="none"/>
        </w:rPr>
        <w:t>规定格式进行编写，如有必要，可以增加附页、扩展表格，作为投标文件的组成部分。</w:t>
      </w:r>
    </w:p>
    <w:p w14:paraId="05C3784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.2</w:t>
      </w:r>
      <w:r>
        <w:rPr>
          <w:rFonts w:hint="eastAsia" w:ascii="宋体" w:hAnsi="宋体" w:eastAsia="仿宋"/>
          <w:color w:val="auto"/>
          <w:sz w:val="24"/>
          <w:highlight w:val="none"/>
        </w:rPr>
        <w:t xml:space="preserve"> 投标文件应当对招标文件有关采购需求、交付（实施）的时间（期限）、交付（实施）的地点（范围）、质保期、技术与服务要求、投标报价要求、投标有效期、付款方式、合同条款等实质性</w:t>
      </w:r>
      <w:r>
        <w:rPr>
          <w:rFonts w:hint="eastAsia" w:eastAsia="仿宋"/>
          <w:color w:val="auto"/>
          <w:sz w:val="24"/>
          <w:highlight w:val="none"/>
        </w:rPr>
        <w:t>内容</w:t>
      </w:r>
      <w:r>
        <w:rPr>
          <w:rFonts w:hint="eastAsia" w:ascii="宋体" w:hAnsi="宋体" w:eastAsia="仿宋"/>
          <w:color w:val="auto"/>
          <w:sz w:val="24"/>
          <w:highlight w:val="none"/>
        </w:rPr>
        <w:t>作出响应。投标文件在满足招标文件实质性要求的基础上，可以提出比招标文件要求更有利于采购人的承诺。</w:t>
      </w:r>
    </w:p>
    <w:p w14:paraId="5C3C5DA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3.7.3 投标人必须对其提交的资料的真实性负责，并接受采购人对其中任何资料进一步审查的要求。</w:t>
      </w:r>
    </w:p>
    <w:p w14:paraId="211595CF">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4 投标文件的制作应满足以下规定：</w:t>
      </w:r>
    </w:p>
    <w:p w14:paraId="7FFD1C4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）投标文件由投标人使用</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自带的</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制作生成，详见投标人须知前附表规定。</w:t>
      </w:r>
    </w:p>
    <w:p w14:paraId="1725962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）投标人在编制投标文件时应建立分级目录，并按照标签提示导入相关内容。</w:t>
      </w:r>
    </w:p>
    <w:p w14:paraId="5578F43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（3）除投标人须知前附表另有规定外，</w:t>
      </w:r>
      <w:r>
        <w:rPr>
          <w:rFonts w:ascii="宋体" w:hAnsi="宋体" w:eastAsia="仿宋"/>
          <w:color w:val="auto"/>
          <w:sz w:val="24"/>
          <w:highlight w:val="none"/>
        </w:rPr>
        <w:t>投标文件</w:t>
      </w:r>
      <w:r>
        <w:rPr>
          <w:rFonts w:hint="eastAsia" w:ascii="宋体" w:hAnsi="宋体" w:eastAsia="仿宋"/>
          <w:color w:val="auto"/>
          <w:sz w:val="24"/>
          <w:highlight w:val="none"/>
        </w:rPr>
        <w:t>中证明资料的</w:t>
      </w:r>
      <w:r>
        <w:rPr>
          <w:rFonts w:ascii="宋体" w:hAnsi="宋体" w:eastAsia="仿宋"/>
          <w:color w:val="auto"/>
          <w:sz w:val="24"/>
          <w:highlight w:val="none"/>
        </w:rPr>
        <w:t>“</w:t>
      </w:r>
      <w:r>
        <w:rPr>
          <w:rFonts w:hint="eastAsia" w:ascii="宋体" w:hAnsi="宋体" w:eastAsia="仿宋"/>
          <w:color w:val="auto"/>
          <w:sz w:val="24"/>
          <w:highlight w:val="none"/>
        </w:rPr>
        <w:t>复印件</w:t>
      </w:r>
      <w:r>
        <w:rPr>
          <w:rFonts w:ascii="宋体" w:hAnsi="宋体" w:eastAsia="仿宋"/>
          <w:color w:val="auto"/>
          <w:sz w:val="24"/>
          <w:highlight w:val="none"/>
        </w:rPr>
        <w:t>”均为原件扫描件。</w:t>
      </w:r>
    </w:p>
    <w:p w14:paraId="3E234E6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投标文件格式</w:t>
      </w:r>
      <w:r>
        <w:rPr>
          <w:rFonts w:ascii="宋体" w:hAnsi="宋体" w:eastAsia="仿宋"/>
          <w:color w:val="auto"/>
          <w:sz w:val="24"/>
          <w:highlight w:val="none"/>
        </w:rPr>
        <w:t>”</w:t>
      </w:r>
      <w:r>
        <w:rPr>
          <w:rFonts w:hint="eastAsia" w:ascii="宋体" w:hAnsi="宋体" w:eastAsia="仿宋"/>
          <w:color w:val="auto"/>
          <w:sz w:val="24"/>
          <w:highlight w:val="none"/>
        </w:rPr>
        <w:t>中要求盖单位章和（或）签字的地方，投标人均应使用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5EE1448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（5）投标文件制作完成后，投标人应使用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数字证书对投标文件进行文件加密，形成加密的投标文件、非加密的投标文件，非加密的投标文件提交形式见投标人须知前附表规定。</w:t>
      </w:r>
    </w:p>
    <w:p w14:paraId="4599F54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（6）投标文件制作的具体方法详见</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中的帮助文档。</w:t>
      </w:r>
    </w:p>
    <w:p w14:paraId="58F476AC">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5</w:t>
      </w:r>
      <w:r>
        <w:rPr>
          <w:rFonts w:ascii="宋体" w:hAnsi="宋体" w:eastAsia="仿宋"/>
          <w:color w:val="auto"/>
          <w:sz w:val="24"/>
          <w:highlight w:val="none"/>
        </w:rPr>
        <w:t xml:space="preserve"> </w:t>
      </w:r>
      <w:r>
        <w:rPr>
          <w:rFonts w:hint="eastAsia" w:ascii="宋体" w:hAnsi="宋体" w:eastAsia="仿宋"/>
          <w:color w:val="auto"/>
          <w:sz w:val="24"/>
          <w:highlight w:val="none"/>
        </w:rPr>
        <w:t>因投标人自身原因而导致投标文件无法导入</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电子开标、评标系统，该投标视为无效投标，投标人自行承担由此导致的全部责任。</w:t>
      </w:r>
    </w:p>
    <w:p w14:paraId="75A46BEB">
      <w:pPr>
        <w:pStyle w:val="4"/>
        <w:rPr>
          <w:rStyle w:val="104"/>
          <w:rFonts w:ascii="宋体" w:hAnsi="宋体" w:eastAsia="仿宋"/>
          <w:b/>
          <w:bCs/>
          <w:color w:val="auto"/>
          <w:sz w:val="24"/>
          <w:szCs w:val="24"/>
          <w:highlight w:val="none"/>
        </w:rPr>
      </w:pPr>
      <w:bookmarkStart w:id="394" w:name="_Toc333599685"/>
      <w:bookmarkStart w:id="395" w:name="_Toc445554715"/>
      <w:bookmarkStart w:id="396" w:name="_Toc152045555"/>
      <w:bookmarkStart w:id="397" w:name="_Toc455587242"/>
      <w:bookmarkStart w:id="398" w:name="_Toc144974523"/>
      <w:bookmarkStart w:id="399" w:name="_Toc455587058"/>
      <w:bookmarkStart w:id="400" w:name="_Toc466024524"/>
      <w:bookmarkStart w:id="401" w:name="_Toc338943726"/>
      <w:bookmarkStart w:id="402" w:name="_Toc338944631"/>
      <w:bookmarkStart w:id="403" w:name="_Toc342297645"/>
      <w:bookmarkStart w:id="404" w:name="_Toc458504842"/>
      <w:bookmarkStart w:id="405" w:name="_Toc342294740"/>
      <w:bookmarkStart w:id="406" w:name="_Toc152042331"/>
      <w:bookmarkStart w:id="407" w:name="_Toc371415943"/>
      <w:bookmarkStart w:id="408" w:name="_Toc333600709"/>
      <w:bookmarkStart w:id="409" w:name="_Toc342296188"/>
      <w:bookmarkStart w:id="410" w:name="_Toc179632573"/>
      <w:r>
        <w:rPr>
          <w:rStyle w:val="104"/>
          <w:rFonts w:hint="eastAsia" w:ascii="宋体" w:hAnsi="宋体" w:eastAsia="仿宋"/>
          <w:b/>
          <w:bCs/>
          <w:color w:val="auto"/>
          <w:sz w:val="24"/>
          <w:szCs w:val="24"/>
          <w:highlight w:val="none"/>
        </w:rPr>
        <w:t>4. 投标</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7187829B">
      <w:pPr>
        <w:pStyle w:val="5"/>
        <w:adjustRightInd w:val="0"/>
        <w:ind w:firstLine="482" w:firstLineChars="200"/>
        <w:rPr>
          <w:rFonts w:eastAsia="仿宋"/>
          <w:color w:val="auto"/>
          <w:sz w:val="24"/>
          <w:highlight w:val="none"/>
          <w:lang w:eastAsia="zh-CN"/>
        </w:rPr>
      </w:pPr>
      <w:bookmarkStart w:id="411" w:name="_Toc455587243"/>
      <w:bookmarkStart w:id="412" w:name="_Toc466024525"/>
      <w:bookmarkStart w:id="413" w:name="_Toc144974524"/>
      <w:bookmarkStart w:id="414" w:name="_Toc342297646"/>
      <w:bookmarkStart w:id="415" w:name="_Toc333600710"/>
      <w:bookmarkStart w:id="416" w:name="_Toc152042332"/>
      <w:bookmarkStart w:id="417" w:name="_Toc342296189"/>
      <w:bookmarkStart w:id="418" w:name="_Toc371415944"/>
      <w:bookmarkStart w:id="419" w:name="_Toc152045556"/>
      <w:bookmarkStart w:id="420" w:name="_Toc338943727"/>
      <w:bookmarkStart w:id="421" w:name="_Toc455587059"/>
      <w:bookmarkStart w:id="422" w:name="_Toc342294741"/>
      <w:bookmarkStart w:id="423" w:name="_Toc445554716"/>
      <w:bookmarkStart w:id="424" w:name="_Toc333599686"/>
      <w:bookmarkStart w:id="425" w:name="_Toc179632574"/>
      <w:bookmarkStart w:id="426" w:name="_Toc338944632"/>
      <w:bookmarkStart w:id="427" w:name="_Toc458504843"/>
      <w:bookmarkStart w:id="428" w:name="_Toc333587880"/>
      <w:r>
        <w:rPr>
          <w:rFonts w:hint="eastAsia" w:eastAsia="仿宋"/>
          <w:color w:val="auto"/>
          <w:sz w:val="24"/>
          <w:highlight w:val="none"/>
          <w:lang w:eastAsia="zh-CN"/>
        </w:rPr>
        <w:t>4.1 投标文件的加密</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5507026B">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4.1.1</w:t>
      </w:r>
      <w:r>
        <w:rPr>
          <w:rFonts w:hint="eastAsia" w:ascii="宋体" w:hAnsi="宋体" w:eastAsia="仿宋"/>
          <w:color w:val="auto"/>
          <w:sz w:val="24"/>
          <w:highlight w:val="none"/>
        </w:rPr>
        <w:t xml:space="preserve"> </w:t>
      </w:r>
      <w:r>
        <w:rPr>
          <w:rFonts w:ascii="宋体" w:hAnsi="宋体" w:eastAsia="仿宋"/>
          <w:color w:val="auto"/>
          <w:sz w:val="24"/>
          <w:highlight w:val="none"/>
        </w:rPr>
        <w:t>投标人应当按照招标文件和电子交易平台的要求加密投标文件，具体要求见投标人须知前附表。</w:t>
      </w:r>
    </w:p>
    <w:p w14:paraId="22EA6C3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4.1.2 未按照上述要求加密的投标文件，电子交易平台将予以拒收。</w:t>
      </w:r>
    </w:p>
    <w:p w14:paraId="17CD74B1">
      <w:pPr>
        <w:pStyle w:val="5"/>
        <w:adjustRightInd w:val="0"/>
        <w:ind w:firstLine="482" w:firstLineChars="200"/>
        <w:rPr>
          <w:rFonts w:eastAsia="仿宋"/>
          <w:color w:val="auto"/>
          <w:sz w:val="24"/>
          <w:highlight w:val="none"/>
          <w:lang w:eastAsia="zh-CN"/>
        </w:rPr>
      </w:pPr>
      <w:bookmarkStart w:id="429" w:name="_Toc455587060"/>
      <w:bookmarkStart w:id="430" w:name="_Toc371415945"/>
      <w:bookmarkStart w:id="431" w:name="_Toc445554717"/>
      <w:bookmarkStart w:id="432" w:name="_Toc458504844"/>
      <w:bookmarkStart w:id="433" w:name="_Toc455587244"/>
      <w:bookmarkStart w:id="434" w:name="_Toc466024526"/>
      <w:r>
        <w:rPr>
          <w:rFonts w:hint="eastAsia" w:eastAsia="仿宋"/>
          <w:color w:val="auto"/>
          <w:sz w:val="24"/>
          <w:highlight w:val="none"/>
          <w:lang w:eastAsia="zh-CN"/>
        </w:rPr>
        <w:t>4.2 投标文件的递交</w:t>
      </w:r>
      <w:bookmarkEnd w:id="429"/>
      <w:bookmarkEnd w:id="430"/>
      <w:bookmarkEnd w:id="431"/>
      <w:bookmarkEnd w:id="432"/>
      <w:bookmarkEnd w:id="433"/>
      <w:bookmarkEnd w:id="434"/>
    </w:p>
    <w:p w14:paraId="6C76A861">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4.2.1 </w:t>
      </w:r>
      <w:r>
        <w:rPr>
          <w:rFonts w:eastAsia="仿宋"/>
          <w:color w:val="auto"/>
          <w:sz w:val="24"/>
          <w:highlight w:val="none"/>
        </w:rPr>
        <w:t>投标人应在</w:t>
      </w:r>
      <w:r>
        <w:rPr>
          <w:rFonts w:hint="eastAsia" w:eastAsia="仿宋"/>
          <w:color w:val="auto"/>
          <w:sz w:val="24"/>
          <w:highlight w:val="none"/>
        </w:rPr>
        <w:t>招标公告规定的</w:t>
      </w:r>
      <w:r>
        <w:rPr>
          <w:rFonts w:eastAsia="仿宋"/>
          <w:color w:val="auto"/>
          <w:sz w:val="24"/>
          <w:highlight w:val="none"/>
        </w:rPr>
        <w:t>投标截止时间前递交投标文件。</w:t>
      </w:r>
    </w:p>
    <w:p w14:paraId="73A163E2">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4.2.2</w:t>
      </w:r>
      <w:r>
        <w:rPr>
          <w:rFonts w:hint="eastAsia" w:eastAsia="仿宋"/>
          <w:color w:val="auto"/>
          <w:sz w:val="24"/>
          <w:highlight w:val="none"/>
        </w:rPr>
        <w:t xml:space="preserve"> 投标人应当通过电子交易平台递交投标文件。投标人应充分考虑上传文件时的不可预见因素，未在投标截止时间前完成上传的，视为逾期送达，采购人（</w:t>
      </w:r>
      <w:r>
        <w:rPr>
          <w:rFonts w:eastAsia="仿宋"/>
          <w:color w:val="auto"/>
          <w:sz w:val="24"/>
          <w:highlight w:val="none"/>
        </w:rPr>
        <w:t>“</w:t>
      </w:r>
      <w:r>
        <w:rPr>
          <w:rFonts w:hint="eastAsia" w:eastAsia="仿宋"/>
          <w:color w:val="auto"/>
          <w:sz w:val="24"/>
          <w:highlight w:val="none"/>
        </w:rPr>
        <w:t>电子交易平台</w:t>
      </w:r>
      <w:r>
        <w:rPr>
          <w:rFonts w:eastAsia="仿宋"/>
          <w:color w:val="auto"/>
          <w:sz w:val="24"/>
          <w:highlight w:val="none"/>
        </w:rPr>
        <w:t>”</w:t>
      </w:r>
      <w:r>
        <w:rPr>
          <w:rFonts w:hint="eastAsia" w:eastAsia="仿宋"/>
          <w:color w:val="auto"/>
          <w:sz w:val="24"/>
          <w:highlight w:val="none"/>
        </w:rPr>
        <w:t>）将拒绝接收。详见投标人须知前附表规定。</w:t>
      </w:r>
    </w:p>
    <w:p w14:paraId="508F7CEA">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4.2.3</w:t>
      </w:r>
      <w:r>
        <w:rPr>
          <w:rFonts w:hint="eastAsia" w:eastAsia="仿宋"/>
          <w:color w:val="auto"/>
          <w:sz w:val="24"/>
          <w:highlight w:val="none"/>
        </w:rPr>
        <w:t xml:space="preserve"> 除投标人须知前附表另有规定外，投标人所递交的投标文件不予退还。</w:t>
      </w:r>
    </w:p>
    <w:p w14:paraId="59DF2768">
      <w:pPr>
        <w:pStyle w:val="5"/>
        <w:adjustRightInd w:val="0"/>
        <w:ind w:firstLine="482" w:firstLineChars="200"/>
        <w:rPr>
          <w:rFonts w:eastAsia="仿宋"/>
          <w:color w:val="auto"/>
          <w:sz w:val="24"/>
          <w:highlight w:val="none"/>
          <w:lang w:eastAsia="zh-CN"/>
        </w:rPr>
      </w:pPr>
      <w:bookmarkStart w:id="435" w:name="_Toc458504845"/>
      <w:bookmarkStart w:id="436" w:name="_Toc455587245"/>
      <w:bookmarkStart w:id="437" w:name="_Toc466024527"/>
      <w:bookmarkStart w:id="438" w:name="_Toc333600712"/>
      <w:bookmarkStart w:id="439" w:name="_Toc338943729"/>
      <w:bookmarkStart w:id="440" w:name="_Toc152045558"/>
      <w:bookmarkStart w:id="441" w:name="_Toc152042334"/>
      <w:bookmarkStart w:id="442" w:name="_Toc333587882"/>
      <w:bookmarkStart w:id="443" w:name="_Toc342297648"/>
      <w:bookmarkStart w:id="444" w:name="_Toc455587061"/>
      <w:bookmarkStart w:id="445" w:name="_Toc333599688"/>
      <w:bookmarkStart w:id="446" w:name="_Toc342296191"/>
      <w:bookmarkStart w:id="447" w:name="_Toc179632576"/>
      <w:bookmarkStart w:id="448" w:name="_Toc338944634"/>
      <w:bookmarkStart w:id="449" w:name="_Toc371415946"/>
      <w:bookmarkStart w:id="450" w:name="_Toc342294743"/>
      <w:bookmarkStart w:id="451" w:name="_Toc144974526"/>
      <w:bookmarkStart w:id="452" w:name="_Toc445554718"/>
      <w:r>
        <w:rPr>
          <w:rFonts w:hint="eastAsia" w:eastAsia="仿宋"/>
          <w:color w:val="auto"/>
          <w:sz w:val="24"/>
          <w:highlight w:val="none"/>
          <w:lang w:eastAsia="zh-CN"/>
        </w:rPr>
        <w:t>4.3 投标文件的修改与撤回</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668E97D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4.3</w:t>
      </w:r>
      <w:r>
        <w:rPr>
          <w:rFonts w:ascii="宋体" w:hAnsi="宋体" w:eastAsia="仿宋"/>
          <w:color w:val="auto"/>
          <w:sz w:val="24"/>
          <w:highlight w:val="none"/>
        </w:rPr>
        <w:t>.1</w:t>
      </w:r>
      <w:r>
        <w:rPr>
          <w:rFonts w:hint="eastAsia" w:ascii="宋体" w:hAnsi="宋体" w:eastAsia="仿宋"/>
          <w:color w:val="auto"/>
          <w:sz w:val="24"/>
          <w:highlight w:val="none"/>
        </w:rPr>
        <w:t xml:space="preserve"> 在规定的投标截止时间前，投标人可以补充、修改或撤回已递交的投标文件，但应以书面形式通知采购人。</w:t>
      </w:r>
    </w:p>
    <w:p w14:paraId="4B77B96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4.3.2 投标人修改或撤回已递交投标文件的通知，应按照本章第3.7.4项的要求加盖电子印章。电子交易平台收到通知后，即时向投标人发出确认回执通知。</w:t>
      </w:r>
    </w:p>
    <w:p w14:paraId="13D9288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4.3.3 投标人撤回投标文件的，</w:t>
      </w:r>
      <w:r>
        <w:rPr>
          <w:rFonts w:hint="eastAsia" w:eastAsia="仿宋"/>
          <w:color w:val="auto"/>
          <w:sz w:val="24"/>
          <w:highlight w:val="none"/>
        </w:rPr>
        <w:t>采购</w:t>
      </w:r>
      <w:r>
        <w:rPr>
          <w:rFonts w:hint="eastAsia" w:ascii="宋体" w:hAnsi="宋体" w:eastAsia="仿宋"/>
          <w:color w:val="auto"/>
          <w:sz w:val="24"/>
          <w:highlight w:val="none"/>
        </w:rPr>
        <w:t>人自收到投标人书面撤回通知之日起5日内退还已收取的投标保证金。</w:t>
      </w:r>
    </w:p>
    <w:p w14:paraId="23971E3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4.3.4 补充、修改的内容为投标文件的组成部分，只需提供一份。补充、修改的投标文件应按照本章第3条、第4条的规定进行编制、加密、标记和递交，并标明“补充”或“修改”字样。</w:t>
      </w:r>
    </w:p>
    <w:p w14:paraId="70F88D3C">
      <w:pPr>
        <w:pStyle w:val="4"/>
        <w:rPr>
          <w:rStyle w:val="104"/>
          <w:rFonts w:hint="eastAsia" w:ascii="宋体" w:hAnsi="宋体" w:eastAsia="仿宋"/>
          <w:b/>
          <w:bCs/>
          <w:color w:val="auto"/>
          <w:sz w:val="24"/>
          <w:szCs w:val="24"/>
          <w:highlight w:val="none"/>
        </w:rPr>
      </w:pPr>
      <w:bookmarkStart w:id="453" w:name="_Toc371415947"/>
      <w:bookmarkStart w:id="454" w:name="_Toc179632577"/>
      <w:bookmarkStart w:id="455" w:name="_Toc458504846"/>
      <w:bookmarkStart w:id="456" w:name="_Toc333600713"/>
      <w:bookmarkStart w:id="457" w:name="_Toc455587246"/>
      <w:bookmarkStart w:id="458" w:name="_Toc455587062"/>
      <w:bookmarkStart w:id="459" w:name="_Toc333599689"/>
      <w:bookmarkStart w:id="460" w:name="_Toc152045559"/>
      <w:bookmarkStart w:id="461" w:name="_Toc152042335"/>
      <w:bookmarkStart w:id="462" w:name="_Toc342296192"/>
      <w:bookmarkStart w:id="463" w:name="_Toc338943730"/>
      <w:bookmarkStart w:id="464" w:name="_Toc342294744"/>
      <w:bookmarkStart w:id="465" w:name="_Toc338944635"/>
      <w:bookmarkStart w:id="466" w:name="_Toc445554719"/>
      <w:bookmarkStart w:id="467" w:name="_Toc144974527"/>
      <w:bookmarkStart w:id="468" w:name="_Toc342297649"/>
      <w:bookmarkStart w:id="469" w:name="_Toc466024528"/>
      <w:r>
        <w:rPr>
          <w:rStyle w:val="104"/>
          <w:rFonts w:hint="eastAsia" w:ascii="宋体" w:hAnsi="宋体" w:eastAsia="仿宋"/>
          <w:b/>
          <w:bCs/>
          <w:color w:val="auto"/>
          <w:sz w:val="24"/>
          <w:szCs w:val="24"/>
          <w:highlight w:val="none"/>
        </w:rPr>
        <w:t>5. 开标</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5B0AACDA">
      <w:pPr>
        <w:pStyle w:val="5"/>
        <w:adjustRightInd w:val="0"/>
        <w:ind w:firstLine="482" w:firstLineChars="200"/>
        <w:rPr>
          <w:rFonts w:eastAsia="仿宋"/>
          <w:color w:val="auto"/>
          <w:sz w:val="24"/>
          <w:highlight w:val="none"/>
          <w:lang w:eastAsia="zh-CN"/>
        </w:rPr>
      </w:pPr>
      <w:bookmarkStart w:id="470" w:name="_Toc455587063"/>
      <w:bookmarkStart w:id="471" w:name="_Toc455587247"/>
      <w:bookmarkStart w:id="472" w:name="_Toc152045560"/>
      <w:bookmarkStart w:id="473" w:name="_Toc338943731"/>
      <w:bookmarkStart w:id="474" w:name="_Toc333600714"/>
      <w:bookmarkStart w:id="475" w:name="_Toc179632578"/>
      <w:bookmarkStart w:id="476" w:name="_Toc338944636"/>
      <w:bookmarkStart w:id="477" w:name="_Toc342294745"/>
      <w:bookmarkStart w:id="478" w:name="_Toc144974528"/>
      <w:bookmarkStart w:id="479" w:name="_Toc333599690"/>
      <w:bookmarkStart w:id="480" w:name="_Toc445554720"/>
      <w:bookmarkStart w:id="481" w:name="_Toc333587884"/>
      <w:bookmarkStart w:id="482" w:name="_Toc342297650"/>
      <w:bookmarkStart w:id="483" w:name="_Toc458504847"/>
      <w:bookmarkStart w:id="484" w:name="_Toc152042336"/>
      <w:bookmarkStart w:id="485" w:name="_Toc342296193"/>
      <w:bookmarkStart w:id="486" w:name="_Toc371415948"/>
      <w:bookmarkStart w:id="487" w:name="_Toc466024529"/>
      <w:r>
        <w:rPr>
          <w:rFonts w:hint="eastAsia" w:eastAsia="仿宋"/>
          <w:color w:val="auto"/>
          <w:sz w:val="24"/>
          <w:highlight w:val="none"/>
          <w:lang w:eastAsia="zh-CN"/>
        </w:rPr>
        <w:t xml:space="preserve">5.1 </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hint="eastAsia" w:eastAsia="仿宋"/>
          <w:color w:val="auto"/>
          <w:sz w:val="24"/>
          <w:highlight w:val="none"/>
          <w:lang w:eastAsia="zh-CN"/>
        </w:rPr>
        <w:t>开标时间和地点</w:t>
      </w:r>
    </w:p>
    <w:p w14:paraId="6F4FFAD6">
      <w:pPr>
        <w:widowControl/>
        <w:adjustRightInd w:val="0"/>
        <w:snapToGrid w:val="0"/>
        <w:spacing w:line="360" w:lineRule="auto"/>
        <w:ind w:firstLine="480" w:firstLineChars="200"/>
        <w:rPr>
          <w:rFonts w:eastAsia="仿宋"/>
          <w:color w:val="auto"/>
          <w:sz w:val="24"/>
          <w:highlight w:val="none"/>
        </w:rPr>
      </w:pPr>
      <w:r>
        <w:rPr>
          <w:rFonts w:hint="eastAsia" w:eastAsia="仿宋"/>
          <w:color w:val="auto"/>
          <w:sz w:val="24"/>
          <w:highlight w:val="none"/>
        </w:rPr>
        <w:t>采购</w:t>
      </w:r>
      <w:r>
        <w:rPr>
          <w:rFonts w:eastAsia="仿宋"/>
          <w:color w:val="auto"/>
          <w:sz w:val="24"/>
          <w:highlight w:val="none"/>
        </w:rPr>
        <w:t>人在</w:t>
      </w:r>
      <w:r>
        <w:rPr>
          <w:rFonts w:hint="eastAsia" w:eastAsia="仿宋"/>
          <w:color w:val="auto"/>
          <w:sz w:val="24"/>
          <w:highlight w:val="none"/>
        </w:rPr>
        <w:t>招标公告规定的</w:t>
      </w:r>
      <w:r>
        <w:rPr>
          <w:rFonts w:eastAsia="仿宋"/>
          <w:color w:val="auto"/>
          <w:sz w:val="24"/>
          <w:highlight w:val="none"/>
        </w:rPr>
        <w:t>开标时间</w:t>
      </w:r>
      <w:r>
        <w:rPr>
          <w:rFonts w:hint="eastAsia" w:eastAsia="仿宋"/>
          <w:color w:val="auto"/>
          <w:sz w:val="24"/>
          <w:highlight w:val="none"/>
        </w:rPr>
        <w:t>和开标地点，</w:t>
      </w:r>
      <w:r>
        <w:rPr>
          <w:rFonts w:eastAsia="仿宋"/>
          <w:color w:val="auto"/>
          <w:sz w:val="24"/>
          <w:highlight w:val="none"/>
        </w:rPr>
        <w:t>通过电子招标投标交易平台公开开标，所有投标人的法定代表人</w:t>
      </w:r>
      <w:r>
        <w:rPr>
          <w:rFonts w:hint="eastAsia" w:eastAsia="仿宋"/>
          <w:color w:val="auto"/>
          <w:sz w:val="24"/>
          <w:highlight w:val="none"/>
        </w:rPr>
        <w:t>（单位负责人）</w:t>
      </w:r>
      <w:r>
        <w:rPr>
          <w:rFonts w:eastAsia="仿宋"/>
          <w:color w:val="auto"/>
          <w:sz w:val="24"/>
          <w:highlight w:val="none"/>
        </w:rPr>
        <w:t>或其委托代理人应当准时参加。</w:t>
      </w:r>
    </w:p>
    <w:p w14:paraId="63424341">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5.2 开标程序</w:t>
      </w:r>
    </w:p>
    <w:p w14:paraId="4E68070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主持人按下列程序进行开标：</w:t>
      </w:r>
    </w:p>
    <w:p w14:paraId="681ACF3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）宣布开标纪律；</w:t>
      </w:r>
    </w:p>
    <w:p w14:paraId="6E1932E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）公布在投标截止时间前递交投标文件的投标人名称；</w:t>
      </w:r>
    </w:p>
    <w:p w14:paraId="0A56A03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）宣布开标人、唱标人、记录人等有关人员姓名；</w:t>
      </w:r>
    </w:p>
    <w:p w14:paraId="3868786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（4）按投标人须知前附表规定通过电子招标投标交易平台对已递交的电子投标文件进行解密，公布招标项目名称、投标人名称、投标报价及其他内容，并记录在案；</w:t>
      </w:r>
    </w:p>
    <w:p w14:paraId="4EE5F83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（5）开标结束。</w:t>
      </w:r>
    </w:p>
    <w:p w14:paraId="6C8CE6DF">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5.3 开标疑义</w:t>
      </w:r>
    </w:p>
    <w:p w14:paraId="0D1792A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E37FCB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投标人未参加开标的，视同认可开标结果。</w:t>
      </w:r>
    </w:p>
    <w:p w14:paraId="73F1B532">
      <w:pPr>
        <w:pStyle w:val="4"/>
        <w:rPr>
          <w:rStyle w:val="104"/>
          <w:rFonts w:hint="eastAsia" w:ascii="宋体" w:hAnsi="宋体" w:eastAsia="仿宋"/>
          <w:b/>
          <w:bCs/>
          <w:color w:val="auto"/>
          <w:sz w:val="24"/>
          <w:szCs w:val="24"/>
          <w:highlight w:val="none"/>
        </w:rPr>
      </w:pPr>
      <w:bookmarkStart w:id="488" w:name="_Toc338943733"/>
      <w:bookmarkStart w:id="489" w:name="_Toc179632580"/>
      <w:bookmarkStart w:id="490" w:name="_Toc458504849"/>
      <w:bookmarkStart w:id="491" w:name="_Toc152045562"/>
      <w:bookmarkStart w:id="492" w:name="_Toc371415950"/>
      <w:bookmarkStart w:id="493" w:name="_Toc342294747"/>
      <w:bookmarkStart w:id="494" w:name="_Toc338944638"/>
      <w:bookmarkStart w:id="495" w:name="_Toc144974530"/>
      <w:bookmarkStart w:id="496" w:name="_Toc342296195"/>
      <w:bookmarkStart w:id="497" w:name="_Toc445554723"/>
      <w:bookmarkStart w:id="498" w:name="_Toc152042338"/>
      <w:bookmarkStart w:id="499" w:name="_Toc342297652"/>
      <w:bookmarkStart w:id="500" w:name="_Toc333599692"/>
      <w:bookmarkStart w:id="501" w:name="_Toc466024531"/>
      <w:bookmarkStart w:id="502" w:name="_Toc455587250"/>
      <w:bookmarkStart w:id="503" w:name="_Toc455587066"/>
      <w:bookmarkStart w:id="504" w:name="_Toc333600716"/>
      <w:r>
        <w:rPr>
          <w:rStyle w:val="104"/>
          <w:rFonts w:hint="eastAsia" w:ascii="宋体" w:hAnsi="宋体" w:eastAsia="仿宋"/>
          <w:b/>
          <w:bCs/>
          <w:color w:val="auto"/>
          <w:sz w:val="24"/>
          <w:szCs w:val="24"/>
          <w:highlight w:val="none"/>
        </w:rPr>
        <w:t>6. 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EC93035">
      <w:pPr>
        <w:pStyle w:val="5"/>
        <w:adjustRightInd w:val="0"/>
        <w:ind w:firstLine="482" w:firstLineChars="200"/>
        <w:rPr>
          <w:rFonts w:eastAsia="仿宋"/>
          <w:color w:val="auto"/>
          <w:sz w:val="24"/>
          <w:highlight w:val="none"/>
          <w:lang w:eastAsia="zh-CN"/>
        </w:rPr>
      </w:pPr>
      <w:bookmarkStart w:id="505" w:name="_Toc342296196"/>
      <w:bookmarkStart w:id="506" w:name="_Toc152045563"/>
      <w:bookmarkStart w:id="507" w:name="_Toc144974531"/>
      <w:bookmarkStart w:id="508" w:name="_Toc333599693"/>
      <w:bookmarkStart w:id="509" w:name="_Toc338943734"/>
      <w:bookmarkStart w:id="510" w:name="_Toc458504850"/>
      <w:bookmarkStart w:id="511" w:name="_Toc342297653"/>
      <w:bookmarkStart w:id="512" w:name="_Toc338944639"/>
      <w:bookmarkStart w:id="513" w:name="_Toc333600717"/>
      <w:bookmarkStart w:id="514" w:name="_Toc152042339"/>
      <w:bookmarkStart w:id="515" w:name="_Toc455587251"/>
      <w:bookmarkStart w:id="516" w:name="_Toc179632581"/>
      <w:bookmarkStart w:id="517" w:name="_Toc466024532"/>
      <w:bookmarkStart w:id="518" w:name="_Toc371415951"/>
      <w:bookmarkStart w:id="519" w:name="_Toc455587067"/>
      <w:bookmarkStart w:id="520" w:name="_Toc445554724"/>
      <w:bookmarkStart w:id="521" w:name="_Toc342294748"/>
      <w:bookmarkStart w:id="522" w:name="_Toc333587887"/>
      <w:r>
        <w:rPr>
          <w:rFonts w:hint="eastAsia" w:eastAsia="仿宋"/>
          <w:color w:val="auto"/>
          <w:sz w:val="24"/>
          <w:highlight w:val="none"/>
          <w:lang w:eastAsia="zh-CN"/>
        </w:rPr>
        <w:t>6.1 评标委员会</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671BC632">
      <w:pPr>
        <w:widowControl/>
        <w:adjustRightInd w:val="0"/>
        <w:snapToGrid w:val="0"/>
        <w:spacing w:line="360" w:lineRule="auto"/>
        <w:ind w:firstLine="480" w:firstLineChars="200"/>
        <w:rPr>
          <w:rFonts w:hint="eastAsia" w:ascii="楷体" w:hAnsi="楷体" w:eastAsia="楷体" w:cs="楷体"/>
          <w:i/>
          <w:iCs/>
          <w:color w:val="auto"/>
          <w:sz w:val="24"/>
          <w:highlight w:val="none"/>
          <w:u w:val="single"/>
          <w:lang w:bidi="ar"/>
        </w:rPr>
      </w:pPr>
      <w:r>
        <w:rPr>
          <w:rFonts w:hint="eastAsia" w:ascii="宋体" w:hAnsi="宋体" w:eastAsia="仿宋"/>
          <w:color w:val="auto"/>
          <w:sz w:val="24"/>
          <w:highlight w:val="none"/>
        </w:rPr>
        <w:t>6.1</w:t>
      </w:r>
      <w:r>
        <w:rPr>
          <w:rFonts w:ascii="宋体" w:hAnsi="宋体" w:eastAsia="仿宋"/>
          <w:color w:val="auto"/>
          <w:sz w:val="24"/>
          <w:highlight w:val="none"/>
        </w:rPr>
        <w:t>.1</w:t>
      </w:r>
      <w:r>
        <w:rPr>
          <w:rFonts w:hint="eastAsia" w:ascii="宋体" w:hAnsi="宋体" w:eastAsia="仿宋"/>
          <w:color w:val="auto"/>
          <w:sz w:val="24"/>
          <w:highlight w:val="none"/>
        </w:rPr>
        <w:t xml:space="preserve"> 按照《中华人民共和国政府采购法》《中华人民共和国政府采购法实施条例》及本项目本级和上级财政部门、政府采购监督管理部门的有关规定依法组建的评标委员会，负责本项目评标工作。</w:t>
      </w:r>
      <w:r>
        <w:rPr>
          <w:rFonts w:hint="eastAsia" w:ascii="宋体" w:hAnsi="宋体" w:eastAsia="仿宋" w:cs="Calibri"/>
          <w:color w:val="auto"/>
          <w:sz w:val="24"/>
          <w:highlight w:val="none"/>
          <w:lang w:bidi="ar"/>
        </w:rPr>
        <w:t>评标委员会</w:t>
      </w:r>
      <w:r>
        <w:rPr>
          <w:rFonts w:hint="eastAsia" w:ascii="宋体" w:hAnsi="宋体" w:eastAsia="仿宋"/>
          <w:color w:val="auto"/>
          <w:sz w:val="24"/>
          <w:highlight w:val="none"/>
        </w:rPr>
        <w:t>成员人数应当为5人以上单数，</w:t>
      </w:r>
      <w:r>
        <w:rPr>
          <w:rFonts w:hint="eastAsia" w:ascii="宋体" w:hAnsi="宋体" w:eastAsia="仿宋"/>
          <w:color w:val="auto"/>
          <w:sz w:val="24"/>
          <w:highlight w:val="none"/>
          <w:lang w:bidi="ar"/>
        </w:rPr>
        <w:t>其中采购预算金额在1000万元以上或者技术复杂或者社会影响较大的项目，评标委员会成员人数应当为7人以上单数。</w:t>
      </w:r>
    </w:p>
    <w:p w14:paraId="4B198C8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6.1</w:t>
      </w:r>
      <w:r>
        <w:rPr>
          <w:rFonts w:ascii="宋体" w:hAnsi="宋体" w:eastAsia="仿宋"/>
          <w:color w:val="auto"/>
          <w:sz w:val="24"/>
          <w:highlight w:val="none"/>
        </w:rPr>
        <w:t>.2</w:t>
      </w:r>
      <w:r>
        <w:rPr>
          <w:rFonts w:hint="eastAsia" w:ascii="宋体" w:hAnsi="宋体" w:eastAsia="仿宋"/>
          <w:color w:val="auto"/>
          <w:sz w:val="24"/>
          <w:highlight w:val="none"/>
        </w:rPr>
        <w:t xml:space="preserve"> 评标委员会成员有下列情形之一的，应当回避：</w:t>
      </w:r>
    </w:p>
    <w:p w14:paraId="15379B4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（1）参加采购活动前三年内，与投标人存在劳动关系，或者担任过投标人的董事、监事，或者是投标人的控股股东或实际控制人；</w:t>
      </w:r>
    </w:p>
    <w:p w14:paraId="15FB4DF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（2）与投标人的法定代表人或者负责人有夫妻、直系血亲、三代以内旁系血亲或者近姻亲关系；</w:t>
      </w:r>
    </w:p>
    <w:p w14:paraId="6C8C974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（3）参与本项目进口产品论证的专家；</w:t>
      </w:r>
    </w:p>
    <w:p w14:paraId="3E59E1F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（4）与投标人有其他可能影响政府采购活动公平、公正进行的关系。</w:t>
      </w:r>
    </w:p>
    <w:p w14:paraId="5D7F9FD4">
      <w:pPr>
        <w:widowControl/>
        <w:topLinePunct/>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75DD61B7">
      <w:pPr>
        <w:pStyle w:val="5"/>
        <w:adjustRightInd w:val="0"/>
        <w:ind w:firstLine="482" w:firstLineChars="200"/>
        <w:rPr>
          <w:rFonts w:hint="eastAsia" w:eastAsia="楷体_GB2312"/>
          <w:i/>
          <w:color w:val="auto"/>
          <w:sz w:val="24"/>
          <w:highlight w:val="none"/>
          <w:lang w:eastAsia="zh-CN"/>
        </w:rPr>
      </w:pPr>
      <w:bookmarkStart w:id="523" w:name="_Toc342296197"/>
      <w:bookmarkStart w:id="524" w:name="_Toc455587252"/>
      <w:bookmarkStart w:id="525" w:name="_Toc152042340"/>
      <w:bookmarkStart w:id="526" w:name="_Toc338943735"/>
      <w:bookmarkStart w:id="527" w:name="_Toc466024533"/>
      <w:bookmarkStart w:id="528" w:name="_Toc342294749"/>
      <w:bookmarkStart w:id="529" w:name="_Toc338944640"/>
      <w:bookmarkStart w:id="530" w:name="_Toc333587888"/>
      <w:bookmarkStart w:id="531" w:name="_Toc333599694"/>
      <w:bookmarkStart w:id="532" w:name="_Toc342297654"/>
      <w:bookmarkStart w:id="533" w:name="_Toc333600718"/>
      <w:bookmarkStart w:id="534" w:name="_Toc371415952"/>
      <w:bookmarkStart w:id="535" w:name="_Toc455587068"/>
      <w:bookmarkStart w:id="536" w:name="_Toc179632582"/>
      <w:bookmarkStart w:id="537" w:name="_Toc144974532"/>
      <w:bookmarkStart w:id="538" w:name="_Toc445554725"/>
      <w:bookmarkStart w:id="539" w:name="_Toc458504851"/>
      <w:bookmarkStart w:id="540" w:name="_Toc152045564"/>
      <w:r>
        <w:rPr>
          <w:rFonts w:hint="eastAsia" w:eastAsia="仿宋"/>
          <w:color w:val="auto"/>
          <w:sz w:val="24"/>
          <w:highlight w:val="none"/>
          <w:lang w:eastAsia="zh-CN"/>
        </w:rPr>
        <w:t>6.2 评标原则</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A02CF0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评标委员会应该按照客观、公正、审慎的原则，根据招标文件规定的评审程序、评审方法和评审标准进行独立评审。</w:t>
      </w:r>
    </w:p>
    <w:p w14:paraId="159C46D5">
      <w:pPr>
        <w:pStyle w:val="5"/>
        <w:adjustRightInd w:val="0"/>
        <w:ind w:firstLine="482" w:firstLineChars="200"/>
        <w:rPr>
          <w:rFonts w:eastAsia="仿宋"/>
          <w:color w:val="auto"/>
          <w:sz w:val="24"/>
          <w:highlight w:val="none"/>
          <w:lang w:eastAsia="zh-CN"/>
        </w:rPr>
      </w:pPr>
      <w:bookmarkStart w:id="541" w:name="_Toc338943736"/>
      <w:bookmarkStart w:id="542" w:name="_Toc445554726"/>
      <w:bookmarkStart w:id="543" w:name="_Toc342296198"/>
      <w:bookmarkStart w:id="544" w:name="_Toc455587069"/>
      <w:bookmarkStart w:id="545" w:name="_Toc342294750"/>
      <w:bookmarkStart w:id="546" w:name="_Toc333599695"/>
      <w:bookmarkStart w:id="547" w:name="_Toc458504852"/>
      <w:bookmarkStart w:id="548" w:name="_Toc333587889"/>
      <w:bookmarkStart w:id="549" w:name="_Toc455587253"/>
      <w:bookmarkStart w:id="550" w:name="_Toc152045565"/>
      <w:bookmarkStart w:id="551" w:name="_Toc152042341"/>
      <w:bookmarkStart w:id="552" w:name="_Toc144974533"/>
      <w:bookmarkStart w:id="553" w:name="_Toc342297655"/>
      <w:bookmarkStart w:id="554" w:name="_Toc466024534"/>
      <w:bookmarkStart w:id="555" w:name="_Toc371415953"/>
      <w:bookmarkStart w:id="556" w:name="_Toc179632583"/>
      <w:bookmarkStart w:id="557" w:name="_Toc338944641"/>
      <w:bookmarkStart w:id="558" w:name="_Toc333600719"/>
      <w:r>
        <w:rPr>
          <w:rFonts w:hint="eastAsia" w:eastAsia="仿宋"/>
          <w:color w:val="auto"/>
          <w:sz w:val="24"/>
          <w:highlight w:val="none"/>
          <w:lang w:eastAsia="zh-CN"/>
        </w:rPr>
        <w:t>6.3 评标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63E9443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6.3.1 评标委员会按照招标文件第四章“资格审查和评标办法”规定的方法、评审因素、标准和程序对投标文件进行评审。“评标办法”没有规定的方法、评审因素和标准，不作为评标依据。</w:t>
      </w:r>
      <w:bookmarkStart w:id="559" w:name="_Toc333600720"/>
      <w:bookmarkStart w:id="560" w:name="_Toc342296199"/>
      <w:bookmarkStart w:id="561" w:name="_Toc338943737"/>
      <w:bookmarkStart w:id="562" w:name="_Toc333599696"/>
      <w:bookmarkStart w:id="563" w:name="_Toc152042342"/>
      <w:bookmarkStart w:id="564" w:name="_Toc342297656"/>
      <w:bookmarkStart w:id="565" w:name="_Toc152045566"/>
      <w:bookmarkStart w:id="566" w:name="_Toc144974534"/>
      <w:bookmarkStart w:id="567" w:name="_Toc338944642"/>
      <w:bookmarkStart w:id="568" w:name="_Toc179632584"/>
      <w:bookmarkStart w:id="569" w:name="_Toc342294751"/>
    </w:p>
    <w:p w14:paraId="710B67F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6.3.2 </w:t>
      </w:r>
      <w:r>
        <w:rPr>
          <w:rFonts w:ascii="宋体" w:hAnsi="宋体" w:eastAsia="仿宋"/>
          <w:color w:val="auto"/>
          <w:sz w:val="24"/>
          <w:highlight w:val="none"/>
        </w:rPr>
        <w:t>评标完成后，评标委员会应当向</w:t>
      </w:r>
      <w:r>
        <w:rPr>
          <w:rFonts w:hint="eastAsia" w:eastAsia="仿宋"/>
          <w:color w:val="auto"/>
          <w:sz w:val="24"/>
          <w:highlight w:val="none"/>
        </w:rPr>
        <w:t>采购</w:t>
      </w:r>
      <w:r>
        <w:rPr>
          <w:rFonts w:ascii="宋体" w:hAnsi="宋体" w:eastAsia="仿宋"/>
          <w:color w:val="auto"/>
          <w:sz w:val="24"/>
          <w:highlight w:val="none"/>
        </w:rPr>
        <w:t>人提交书面评标报告和中标候选人名单。评标委员会推荐中标</w:t>
      </w:r>
      <w:bookmarkStart w:id="570" w:name="_Toc300834979"/>
      <w:bookmarkStart w:id="571" w:name="_Toc361508615"/>
      <w:bookmarkStart w:id="572" w:name="_Toc384308240"/>
      <w:bookmarkStart w:id="573" w:name="_Toc247513982"/>
      <w:bookmarkStart w:id="574" w:name="_Toc352691502"/>
      <w:bookmarkStart w:id="575" w:name="_Toc369531546"/>
      <w:bookmarkStart w:id="576" w:name="_Toc12259"/>
      <w:bookmarkStart w:id="577" w:name="_Toc247527583"/>
      <w:r>
        <w:rPr>
          <w:rFonts w:ascii="宋体" w:hAnsi="宋体" w:eastAsia="仿宋"/>
          <w:color w:val="auto"/>
          <w:sz w:val="24"/>
          <w:highlight w:val="none"/>
        </w:rPr>
        <w:t>候选人的人数见投标人须知前附</w:t>
      </w:r>
      <w:bookmarkEnd w:id="570"/>
      <w:bookmarkEnd w:id="571"/>
      <w:bookmarkEnd w:id="572"/>
      <w:bookmarkEnd w:id="573"/>
      <w:bookmarkEnd w:id="574"/>
      <w:bookmarkEnd w:id="575"/>
      <w:bookmarkEnd w:id="576"/>
      <w:bookmarkEnd w:id="577"/>
      <w:r>
        <w:rPr>
          <w:rFonts w:ascii="宋体" w:hAnsi="宋体" w:eastAsia="仿宋"/>
          <w:color w:val="auto"/>
          <w:sz w:val="24"/>
          <w:highlight w:val="none"/>
        </w:rPr>
        <w:t>表。</w:t>
      </w:r>
    </w:p>
    <w:p w14:paraId="3C774E75">
      <w:pPr>
        <w:pStyle w:val="4"/>
        <w:rPr>
          <w:rStyle w:val="104"/>
          <w:rFonts w:hint="eastAsia" w:ascii="宋体" w:hAnsi="宋体" w:eastAsia="仿宋"/>
          <w:b/>
          <w:bCs/>
          <w:color w:val="auto"/>
          <w:sz w:val="24"/>
          <w:szCs w:val="24"/>
          <w:highlight w:val="none"/>
        </w:rPr>
      </w:pPr>
      <w:bookmarkStart w:id="578" w:name="_Toc371415954"/>
      <w:bookmarkStart w:id="579" w:name="_Toc445554727"/>
      <w:bookmarkStart w:id="580" w:name="_Toc466024535"/>
      <w:bookmarkStart w:id="581" w:name="_Toc455587254"/>
      <w:bookmarkStart w:id="582" w:name="_Toc455587070"/>
      <w:bookmarkStart w:id="583" w:name="_Toc458504853"/>
      <w:r>
        <w:rPr>
          <w:rStyle w:val="104"/>
          <w:rFonts w:hint="eastAsia" w:ascii="宋体" w:hAnsi="宋体" w:eastAsia="仿宋"/>
          <w:b/>
          <w:bCs/>
          <w:color w:val="auto"/>
          <w:sz w:val="24"/>
          <w:szCs w:val="24"/>
          <w:highlight w:val="none"/>
        </w:rPr>
        <w:t>7. 合同授予</w:t>
      </w:r>
      <w:bookmarkEnd w:id="559"/>
      <w:bookmarkEnd w:id="560"/>
      <w:bookmarkEnd w:id="561"/>
      <w:bookmarkEnd w:id="562"/>
      <w:bookmarkEnd w:id="563"/>
      <w:bookmarkEnd w:id="564"/>
      <w:bookmarkEnd w:id="565"/>
      <w:bookmarkEnd w:id="566"/>
      <w:bookmarkEnd w:id="567"/>
      <w:bookmarkEnd w:id="568"/>
      <w:bookmarkEnd w:id="569"/>
      <w:bookmarkEnd w:id="578"/>
      <w:bookmarkEnd w:id="579"/>
      <w:bookmarkEnd w:id="580"/>
      <w:bookmarkEnd w:id="581"/>
      <w:bookmarkEnd w:id="582"/>
      <w:bookmarkEnd w:id="583"/>
    </w:p>
    <w:p w14:paraId="51177D44">
      <w:pPr>
        <w:pStyle w:val="5"/>
        <w:adjustRightInd w:val="0"/>
        <w:ind w:firstLine="482" w:firstLineChars="200"/>
        <w:rPr>
          <w:rFonts w:eastAsia="仿宋"/>
          <w:color w:val="auto"/>
          <w:sz w:val="24"/>
          <w:highlight w:val="none"/>
          <w:lang w:eastAsia="zh-CN"/>
        </w:rPr>
      </w:pPr>
      <w:bookmarkStart w:id="584" w:name="_Toc362252685"/>
      <w:bookmarkStart w:id="585" w:name="_Toc455587071"/>
      <w:bookmarkStart w:id="586" w:name="_Toc466024536"/>
      <w:bookmarkStart w:id="587" w:name="_Toc349730879"/>
      <w:bookmarkStart w:id="588" w:name="_Toc458504854"/>
      <w:bookmarkStart w:id="589" w:name="_Toc455587255"/>
      <w:bookmarkStart w:id="590" w:name="_Toc371415955"/>
      <w:bookmarkStart w:id="591" w:name="_Toc445554728"/>
      <w:bookmarkStart w:id="592" w:name="_Toc333599697"/>
      <w:bookmarkStart w:id="593" w:name="_Toc333587891"/>
      <w:bookmarkStart w:id="594" w:name="_Toc152045567"/>
      <w:bookmarkStart w:id="595" w:name="_Toc342297657"/>
      <w:bookmarkStart w:id="596" w:name="_Toc152042343"/>
      <w:bookmarkStart w:id="597" w:name="_Toc342296200"/>
      <w:bookmarkStart w:id="598" w:name="_Toc342294752"/>
      <w:bookmarkStart w:id="599" w:name="_Toc338944643"/>
      <w:bookmarkStart w:id="600" w:name="_Toc333600721"/>
      <w:bookmarkStart w:id="601" w:name="_Toc144974535"/>
      <w:bookmarkStart w:id="602" w:name="_Toc338943738"/>
      <w:bookmarkStart w:id="603" w:name="_Toc179632585"/>
      <w:r>
        <w:rPr>
          <w:rFonts w:hint="eastAsia" w:eastAsia="仿宋"/>
          <w:color w:val="auto"/>
          <w:sz w:val="24"/>
          <w:highlight w:val="none"/>
          <w:lang w:eastAsia="zh-CN"/>
        </w:rPr>
        <w:t>7.1</w:t>
      </w:r>
      <w:bookmarkEnd w:id="584"/>
      <w:bookmarkEnd w:id="585"/>
      <w:bookmarkEnd w:id="586"/>
      <w:bookmarkEnd w:id="587"/>
      <w:bookmarkEnd w:id="588"/>
      <w:bookmarkEnd w:id="589"/>
      <w:bookmarkEnd w:id="590"/>
      <w:bookmarkEnd w:id="591"/>
      <w:r>
        <w:rPr>
          <w:rFonts w:hint="eastAsia" w:eastAsia="仿宋"/>
          <w:color w:val="auto"/>
          <w:sz w:val="24"/>
          <w:highlight w:val="none"/>
          <w:lang w:eastAsia="zh-CN"/>
        </w:rPr>
        <w:t xml:space="preserve"> 确定中标人</w:t>
      </w:r>
    </w:p>
    <w:p w14:paraId="726BC7E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7.1.1 按照投标人须知前附表规定，采购人或采购人授权评标委员会</w:t>
      </w:r>
      <w:r>
        <w:rPr>
          <w:rFonts w:hint="eastAsia" w:ascii="宋体" w:hAnsi="宋体" w:eastAsia="仿宋" w:cs="宋体"/>
          <w:color w:val="auto"/>
          <w:kern w:val="0"/>
          <w:sz w:val="24"/>
          <w:highlight w:val="none"/>
        </w:rPr>
        <w:t>在评标报告确定的中标候选人名单中按顺序确定中标人。</w:t>
      </w:r>
    </w:p>
    <w:p w14:paraId="64596BA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7.1.2 采购人确定中标人后，按投标人须知前附表规定的方式与内容公告中标结果。</w:t>
      </w:r>
    </w:p>
    <w:p w14:paraId="13DC5487">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7.2</w:t>
      </w:r>
      <w:bookmarkStart w:id="604" w:name="_Toc458504855"/>
      <w:bookmarkStart w:id="605" w:name="_Toc466024537"/>
      <w:bookmarkStart w:id="606" w:name="_Toc455587072"/>
      <w:bookmarkStart w:id="607" w:name="_Toc371415957"/>
      <w:bookmarkStart w:id="608" w:name="_Toc349730880"/>
      <w:bookmarkStart w:id="609" w:name="_Toc445554730"/>
      <w:bookmarkStart w:id="610" w:name="_Toc362252686"/>
      <w:bookmarkStart w:id="611" w:name="_Toc455587256"/>
      <w:r>
        <w:rPr>
          <w:rFonts w:hint="eastAsia" w:eastAsia="仿宋"/>
          <w:color w:val="auto"/>
          <w:sz w:val="24"/>
          <w:highlight w:val="none"/>
          <w:lang w:eastAsia="zh-CN"/>
        </w:rPr>
        <w:t xml:space="preserve"> 中标通知</w:t>
      </w:r>
      <w:bookmarkEnd w:id="604"/>
      <w:bookmarkEnd w:id="605"/>
      <w:bookmarkEnd w:id="606"/>
      <w:bookmarkEnd w:id="607"/>
      <w:bookmarkEnd w:id="608"/>
      <w:bookmarkEnd w:id="609"/>
      <w:bookmarkEnd w:id="610"/>
      <w:bookmarkEnd w:id="611"/>
    </w:p>
    <w:p w14:paraId="70D6690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7.2.1 中标结果确定后，采购人以书面形式向中标人发出中标通知书。</w:t>
      </w:r>
    </w:p>
    <w:p w14:paraId="37547D3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7.2.2 中标人须按投标人须知前附表规定向采购代理机构支付招标代理服务费，其计取标准见投标人须知前附表。</w:t>
      </w:r>
    </w:p>
    <w:p w14:paraId="4C75B3A5">
      <w:pPr>
        <w:pStyle w:val="5"/>
        <w:adjustRightInd w:val="0"/>
        <w:ind w:firstLine="482" w:firstLineChars="200"/>
        <w:rPr>
          <w:rFonts w:eastAsia="仿宋"/>
          <w:color w:val="auto"/>
          <w:sz w:val="24"/>
          <w:highlight w:val="none"/>
          <w:lang w:eastAsia="zh-CN"/>
        </w:rPr>
      </w:pPr>
      <w:bookmarkStart w:id="612" w:name="_Toc349730881"/>
      <w:bookmarkStart w:id="613" w:name="_Toc371415958"/>
      <w:bookmarkStart w:id="614" w:name="_Toc455587257"/>
      <w:bookmarkStart w:id="615" w:name="_Toc445554731"/>
      <w:bookmarkStart w:id="616" w:name="_Toc458504856"/>
      <w:bookmarkStart w:id="617" w:name="_Toc466024538"/>
      <w:bookmarkStart w:id="618" w:name="_Toc455587073"/>
      <w:bookmarkStart w:id="619" w:name="_Toc362252687"/>
      <w:r>
        <w:rPr>
          <w:rFonts w:hint="eastAsia" w:eastAsia="仿宋"/>
          <w:color w:val="auto"/>
          <w:sz w:val="24"/>
          <w:highlight w:val="none"/>
          <w:lang w:eastAsia="zh-CN"/>
        </w:rPr>
        <w:t>7.3 履约</w:t>
      </w:r>
      <w:bookmarkEnd w:id="612"/>
      <w:bookmarkEnd w:id="613"/>
      <w:bookmarkEnd w:id="614"/>
      <w:bookmarkEnd w:id="615"/>
      <w:bookmarkEnd w:id="616"/>
      <w:bookmarkEnd w:id="617"/>
      <w:bookmarkEnd w:id="618"/>
      <w:bookmarkEnd w:id="619"/>
      <w:r>
        <w:rPr>
          <w:rFonts w:hint="eastAsia" w:eastAsia="仿宋"/>
          <w:color w:val="auto"/>
          <w:sz w:val="24"/>
          <w:highlight w:val="none"/>
          <w:lang w:eastAsia="zh-CN"/>
        </w:rPr>
        <w:t>保证金</w:t>
      </w:r>
    </w:p>
    <w:p w14:paraId="638A222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.1</w:t>
      </w:r>
      <w:r>
        <w:rPr>
          <w:rFonts w:hint="eastAsia" w:ascii="宋体" w:hAnsi="宋体" w:eastAsia="仿宋"/>
          <w:color w:val="auto"/>
          <w:sz w:val="24"/>
          <w:highlight w:val="none"/>
        </w:rPr>
        <w:t xml:space="preserve"> 在签订合同前，中标人应按投标人须知前附表规定的金额、形式向采购人提交履约保证金。</w:t>
      </w:r>
      <w:r>
        <w:rPr>
          <w:rFonts w:eastAsia="仿宋"/>
          <w:color w:val="auto"/>
          <w:sz w:val="24"/>
          <w:highlight w:val="none"/>
        </w:rPr>
        <w:t>除投标人须知前附表另有规定外，履约保证金为中标合同金额的</w:t>
      </w:r>
      <w:r>
        <w:rPr>
          <w:rFonts w:hint="eastAsia" w:eastAsia="仿宋"/>
          <w:color w:val="auto"/>
          <w:sz w:val="24"/>
          <w:highlight w:val="none"/>
        </w:rPr>
        <w:t>2.5</w:t>
      </w:r>
      <w:r>
        <w:rPr>
          <w:rFonts w:eastAsia="仿宋"/>
          <w:color w:val="auto"/>
          <w:sz w:val="24"/>
          <w:highlight w:val="none"/>
        </w:rPr>
        <w:t>%。联合体中标的，其履约保证金以联合体各方或者联合体中牵头人的名义提交。</w:t>
      </w:r>
    </w:p>
    <w:p w14:paraId="3F6483C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.2</w:t>
      </w:r>
      <w:r>
        <w:rPr>
          <w:rFonts w:hint="eastAsia" w:ascii="宋体" w:hAnsi="宋体" w:eastAsia="仿宋"/>
          <w:color w:val="auto"/>
          <w:sz w:val="24"/>
          <w:highlight w:val="none"/>
        </w:rPr>
        <w:t xml:space="preserve"> 中标人不能按要求提交履约保证金的，视为中标人拒绝与采购人签订合同，其投标保证金不予退还；给采购人造成的损失超过投标保证金数额的，中标人还应当对超过部分予以赔偿。</w:t>
      </w:r>
    </w:p>
    <w:p w14:paraId="21CCF68B">
      <w:pPr>
        <w:pStyle w:val="5"/>
        <w:adjustRightInd w:val="0"/>
        <w:ind w:firstLine="482" w:firstLineChars="200"/>
        <w:rPr>
          <w:rFonts w:eastAsia="仿宋"/>
          <w:color w:val="auto"/>
          <w:sz w:val="24"/>
          <w:highlight w:val="none"/>
          <w:lang w:eastAsia="zh-CN"/>
        </w:rPr>
      </w:pPr>
      <w:bookmarkStart w:id="620" w:name="_Toc455587258"/>
      <w:bookmarkStart w:id="621" w:name="_Toc342294755"/>
      <w:bookmarkStart w:id="622" w:name="_Toc338944646"/>
      <w:bookmarkStart w:id="623" w:name="_Toc466024539"/>
      <w:bookmarkStart w:id="624" w:name="_Toc179632588"/>
      <w:bookmarkStart w:id="625" w:name="_Toc333599700"/>
      <w:bookmarkStart w:id="626" w:name="_Toc371415959"/>
      <w:bookmarkStart w:id="627" w:name="_Toc338943741"/>
      <w:bookmarkStart w:id="628" w:name="_Toc349730882"/>
      <w:bookmarkStart w:id="629" w:name="_Toc333587894"/>
      <w:bookmarkStart w:id="630" w:name="_Toc455587074"/>
      <w:bookmarkStart w:id="631" w:name="_Toc342296203"/>
      <w:bookmarkStart w:id="632" w:name="_Toc458504857"/>
      <w:bookmarkStart w:id="633" w:name="_Toc333600724"/>
      <w:bookmarkStart w:id="634" w:name="_Toc362252688"/>
      <w:bookmarkStart w:id="635" w:name="_Toc445554732"/>
      <w:r>
        <w:rPr>
          <w:rFonts w:hint="eastAsia" w:eastAsia="仿宋"/>
          <w:color w:val="auto"/>
          <w:sz w:val="24"/>
          <w:highlight w:val="none"/>
          <w:lang w:eastAsia="zh-CN"/>
        </w:rPr>
        <w:t>7.4 签订合同</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13DAE0E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.1</w:t>
      </w:r>
      <w:r>
        <w:rPr>
          <w:rFonts w:hint="eastAsia" w:ascii="宋体" w:hAnsi="宋体" w:eastAsia="仿宋"/>
          <w:color w:val="auto"/>
          <w:sz w:val="24"/>
          <w:highlight w:val="none"/>
        </w:rPr>
        <w:t xml:space="preserve"> 除投标人须知前附表另有规定外，</w:t>
      </w:r>
      <w:r>
        <w:rPr>
          <w:rFonts w:eastAsia="仿宋"/>
          <w:color w:val="auto"/>
          <w:sz w:val="24"/>
          <w:highlight w:val="none"/>
        </w:rPr>
        <w:t>采购人和中标人应当在中标通知书发出之日起</w:t>
      </w:r>
      <w:r>
        <w:rPr>
          <w:rFonts w:hint="eastAsia" w:eastAsia="仿宋"/>
          <w:color w:val="auto"/>
          <w:sz w:val="24"/>
          <w:highlight w:val="none"/>
        </w:rPr>
        <w:t>三十日内</w:t>
      </w:r>
      <w:r>
        <w:rPr>
          <w:rFonts w:eastAsia="仿宋"/>
          <w:color w:val="auto"/>
          <w:sz w:val="24"/>
          <w:highlight w:val="none"/>
        </w:rPr>
        <w:t>，根据招标文件和中标人的投标文件订立书面合同</w:t>
      </w:r>
      <w:r>
        <w:rPr>
          <w:rFonts w:hint="eastAsia" w:eastAsia="仿宋"/>
          <w:color w:val="auto"/>
          <w:sz w:val="24"/>
          <w:highlight w:val="none"/>
        </w:rPr>
        <w:t>，所签订的合同不得对招标文件确定的事项和中标人投标文件作实质性修改。</w:t>
      </w:r>
      <w:r>
        <w:rPr>
          <w:rFonts w:eastAsia="仿宋"/>
          <w:color w:val="auto"/>
          <w:sz w:val="24"/>
          <w:highlight w:val="none"/>
        </w:rPr>
        <w:t>中标人无正当理由</w:t>
      </w:r>
      <w:r>
        <w:rPr>
          <w:rFonts w:hint="eastAsia" w:eastAsia="仿宋"/>
          <w:color w:val="auto"/>
          <w:sz w:val="24"/>
          <w:highlight w:val="none"/>
        </w:rPr>
        <w:t>拒签</w:t>
      </w:r>
      <w:r>
        <w:rPr>
          <w:rFonts w:eastAsia="仿宋"/>
          <w:color w:val="auto"/>
          <w:sz w:val="24"/>
          <w:highlight w:val="none"/>
        </w:rPr>
        <w:t>合同，</w:t>
      </w:r>
      <w:r>
        <w:rPr>
          <w:rFonts w:hint="eastAsia" w:eastAsia="仿宋"/>
          <w:color w:val="auto"/>
          <w:sz w:val="24"/>
          <w:highlight w:val="none"/>
        </w:rPr>
        <w:t>包括但不限于</w:t>
      </w:r>
      <w:r>
        <w:rPr>
          <w:rFonts w:eastAsia="仿宋"/>
          <w:color w:val="auto"/>
          <w:sz w:val="24"/>
          <w:highlight w:val="none"/>
        </w:rPr>
        <w:t>在签订合同时向采购人提出</w:t>
      </w:r>
      <w:r>
        <w:rPr>
          <w:rFonts w:hint="eastAsia" w:eastAsia="仿宋"/>
          <w:color w:val="auto"/>
          <w:sz w:val="24"/>
          <w:highlight w:val="none"/>
        </w:rPr>
        <w:t>非法的附加条件</w:t>
      </w:r>
      <w:r>
        <w:rPr>
          <w:rFonts w:eastAsia="仿宋"/>
          <w:color w:val="auto"/>
          <w:sz w:val="24"/>
          <w:highlight w:val="none"/>
        </w:rPr>
        <w:t>，其投标保证金不予退还；给采购人造成的损失超过投标保证金数额的，中标人还应当对超过部分予以赔偿。</w:t>
      </w:r>
    </w:p>
    <w:p w14:paraId="72C1A4C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.2</w:t>
      </w:r>
      <w:r>
        <w:rPr>
          <w:rFonts w:hint="eastAsia" w:ascii="宋体" w:hAnsi="宋体" w:eastAsia="仿宋"/>
          <w:color w:val="auto"/>
          <w:sz w:val="24"/>
          <w:highlight w:val="none"/>
        </w:rPr>
        <w:t xml:space="preserve"> 因中标人原因未签订合同的，采购人可以按照评审报告推荐的中标候选人名单排序，确定下一候选人为中标人，也可以重新开展政府采购活动。</w:t>
      </w:r>
    </w:p>
    <w:p w14:paraId="5C453AF2">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7.</w:t>
      </w: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 xml:space="preserve">3 </w:t>
      </w:r>
      <w:r>
        <w:rPr>
          <w:rFonts w:ascii="宋体" w:hAnsi="宋体" w:eastAsia="仿宋"/>
          <w:color w:val="auto"/>
          <w:sz w:val="24"/>
          <w:highlight w:val="none"/>
        </w:rPr>
        <w:t>联合体中标的，联合体各方应当共同与采购人签订合同，就中标项目向采购人承担连带责任。</w:t>
      </w:r>
    </w:p>
    <w:bookmarkEnd w:id="592"/>
    <w:bookmarkEnd w:id="593"/>
    <w:bookmarkEnd w:id="594"/>
    <w:bookmarkEnd w:id="595"/>
    <w:bookmarkEnd w:id="596"/>
    <w:bookmarkEnd w:id="597"/>
    <w:bookmarkEnd w:id="598"/>
    <w:bookmarkEnd w:id="599"/>
    <w:bookmarkEnd w:id="600"/>
    <w:bookmarkEnd w:id="601"/>
    <w:bookmarkEnd w:id="602"/>
    <w:bookmarkEnd w:id="603"/>
    <w:p w14:paraId="0866D898">
      <w:pPr>
        <w:pStyle w:val="4"/>
        <w:rPr>
          <w:rStyle w:val="104"/>
          <w:rFonts w:hint="eastAsia" w:ascii="宋体" w:hAnsi="宋体" w:eastAsia="仿宋"/>
          <w:b/>
          <w:bCs/>
          <w:color w:val="auto"/>
          <w:sz w:val="24"/>
          <w:szCs w:val="24"/>
          <w:highlight w:val="none"/>
        </w:rPr>
      </w:pPr>
      <w:bookmarkStart w:id="636" w:name="_Toc458504860"/>
      <w:bookmarkStart w:id="637" w:name="_Toc455587075"/>
      <w:bookmarkStart w:id="638" w:name="_Toc455587259"/>
      <w:bookmarkStart w:id="639" w:name="_Toc466024542"/>
      <w:r>
        <w:rPr>
          <w:rStyle w:val="104"/>
          <w:rFonts w:hint="eastAsia" w:ascii="宋体" w:hAnsi="宋体" w:eastAsia="仿宋"/>
          <w:b/>
          <w:bCs/>
          <w:color w:val="auto"/>
          <w:sz w:val="24"/>
          <w:szCs w:val="24"/>
          <w:highlight w:val="none"/>
        </w:rPr>
        <w:t>8. 废标</w:t>
      </w:r>
      <w:bookmarkEnd w:id="636"/>
      <w:bookmarkEnd w:id="637"/>
      <w:bookmarkEnd w:id="638"/>
      <w:r>
        <w:rPr>
          <w:rStyle w:val="104"/>
          <w:rFonts w:hint="eastAsia" w:ascii="宋体" w:hAnsi="宋体" w:eastAsia="仿宋"/>
          <w:b/>
          <w:bCs/>
          <w:color w:val="auto"/>
          <w:sz w:val="24"/>
          <w:szCs w:val="24"/>
          <w:highlight w:val="none"/>
        </w:rPr>
        <w:t>、变更采购方式与终止招标</w:t>
      </w:r>
      <w:bookmarkEnd w:id="639"/>
    </w:p>
    <w:p w14:paraId="45BF4B85">
      <w:pPr>
        <w:pStyle w:val="5"/>
        <w:adjustRightInd w:val="0"/>
        <w:ind w:firstLine="482" w:firstLineChars="200"/>
        <w:rPr>
          <w:rFonts w:hint="eastAsia" w:eastAsia="仿宋"/>
          <w:color w:val="auto"/>
          <w:sz w:val="24"/>
          <w:highlight w:val="none"/>
          <w:lang w:eastAsia="zh-CN"/>
        </w:rPr>
      </w:pPr>
      <w:bookmarkStart w:id="640" w:name="_Toc458504861"/>
      <w:bookmarkStart w:id="641" w:name="_Toc466024543"/>
      <w:bookmarkStart w:id="642" w:name="_Toc455587076"/>
      <w:bookmarkStart w:id="643" w:name="_Toc455587260"/>
      <w:bookmarkStart w:id="644" w:name="_Toc152045572"/>
      <w:bookmarkStart w:id="645" w:name="_Toc179632590"/>
      <w:bookmarkStart w:id="646" w:name="_Toc144974540"/>
      <w:bookmarkStart w:id="647" w:name="_Toc333600726"/>
      <w:bookmarkStart w:id="648" w:name="_Toc342296205"/>
      <w:bookmarkStart w:id="649" w:name="_Toc342294757"/>
      <w:bookmarkStart w:id="650" w:name="_Toc342297662"/>
      <w:bookmarkStart w:id="651" w:name="_Toc333599702"/>
      <w:bookmarkStart w:id="652" w:name="_Toc338944648"/>
      <w:bookmarkStart w:id="653" w:name="_Toc371415961"/>
      <w:bookmarkStart w:id="654" w:name="_Toc152042348"/>
      <w:bookmarkStart w:id="655" w:name="_Toc338943743"/>
      <w:bookmarkStart w:id="656" w:name="_Toc445554734"/>
      <w:bookmarkStart w:id="657" w:name="_Toc333587896"/>
      <w:r>
        <w:rPr>
          <w:rFonts w:hint="eastAsia" w:eastAsia="仿宋"/>
          <w:color w:val="auto"/>
          <w:sz w:val="24"/>
          <w:highlight w:val="none"/>
          <w:lang w:eastAsia="zh-CN"/>
        </w:rPr>
        <w:t>8.1 废标</w:t>
      </w:r>
      <w:bookmarkEnd w:id="640"/>
      <w:bookmarkEnd w:id="641"/>
      <w:bookmarkEnd w:id="642"/>
      <w:bookmarkEnd w:id="643"/>
    </w:p>
    <w:p w14:paraId="37DA975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8.1.1 出现下列情形之一的，应予废标：</w:t>
      </w:r>
    </w:p>
    <w:p w14:paraId="2EFA12D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（1）符合专业条件的投标人或者对招标文件作实质响应的投标人不足3家的；</w:t>
      </w:r>
    </w:p>
    <w:p w14:paraId="2E3162A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（2）出现影响采购公正的违法、违规行为的；</w:t>
      </w:r>
    </w:p>
    <w:p w14:paraId="2623052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（3）投标人的报价均超过了采购预算或最高限价，采购人不能支付的；</w:t>
      </w:r>
    </w:p>
    <w:p w14:paraId="7926A3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（4）因重大变故，采购任务取消的。</w:t>
      </w:r>
    </w:p>
    <w:p w14:paraId="30E7EC54">
      <w:pPr>
        <w:pStyle w:val="5"/>
        <w:adjustRightInd w:val="0"/>
        <w:ind w:firstLine="482" w:firstLineChars="200"/>
        <w:rPr>
          <w:rFonts w:eastAsia="仿宋"/>
          <w:color w:val="auto"/>
          <w:sz w:val="24"/>
          <w:highlight w:val="none"/>
          <w:lang w:eastAsia="zh-CN"/>
        </w:rPr>
      </w:pPr>
      <w:bookmarkStart w:id="658" w:name="_Toc455587077"/>
      <w:bookmarkStart w:id="659" w:name="_Toc455587261"/>
      <w:bookmarkStart w:id="660" w:name="_Toc458504862"/>
      <w:bookmarkStart w:id="661" w:name="_Toc466024544"/>
      <w:r>
        <w:rPr>
          <w:rFonts w:hint="eastAsia" w:eastAsia="仿宋"/>
          <w:color w:val="auto"/>
          <w:sz w:val="24"/>
          <w:highlight w:val="none"/>
          <w:lang w:eastAsia="zh-CN"/>
        </w:rPr>
        <w:t>8.2</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Pr>
          <w:rFonts w:hint="eastAsia" w:eastAsia="仿宋"/>
          <w:color w:val="auto"/>
          <w:sz w:val="24"/>
          <w:highlight w:val="none"/>
          <w:lang w:eastAsia="zh-CN"/>
        </w:rPr>
        <w:t xml:space="preserve"> 重新招标与变更采购方式</w:t>
      </w:r>
      <w:bookmarkEnd w:id="660"/>
      <w:bookmarkEnd w:id="661"/>
    </w:p>
    <w:p w14:paraId="00E3B51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8.2.1 公开招标数额标准以上的采购项目，投标截止后投标人不足3家或者通过资格审查或符合性审查的投标人不足3家的，除采购任务取消情形外，按照以下方式处理：</w:t>
      </w:r>
    </w:p>
    <w:p w14:paraId="4DBD4F0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（1）招标文件存在不合理条款或者招标程序不符合规定的，采购人、采购代理机构改正后依法重新招标；</w:t>
      </w:r>
    </w:p>
    <w:p w14:paraId="77372DA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（2）招标文件没有不合理条款、招标程序符合规定，需要采用其他采购方式采购的，采购人应当依法报财政部门批准。</w:t>
      </w:r>
    </w:p>
    <w:p w14:paraId="03E51E1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11652689">
      <w:pPr>
        <w:pStyle w:val="5"/>
        <w:adjustRightInd w:val="0"/>
        <w:ind w:firstLine="482" w:firstLineChars="200"/>
        <w:rPr>
          <w:rFonts w:hint="eastAsia" w:eastAsia="仿宋"/>
          <w:color w:val="auto"/>
          <w:sz w:val="24"/>
          <w:highlight w:val="none"/>
          <w:lang w:eastAsia="zh-CN"/>
        </w:rPr>
      </w:pPr>
      <w:bookmarkStart w:id="662" w:name="_Toc445554736"/>
      <w:bookmarkStart w:id="663" w:name="_Toc458504863"/>
      <w:bookmarkStart w:id="664" w:name="_Toc455587262"/>
      <w:bookmarkStart w:id="665" w:name="_Toc455587078"/>
      <w:bookmarkStart w:id="666" w:name="_Toc466024545"/>
      <w:bookmarkStart w:id="667" w:name="_Toc333599704"/>
      <w:bookmarkStart w:id="668" w:name="_Toc338944650"/>
      <w:bookmarkStart w:id="669" w:name="_Toc338943745"/>
      <w:bookmarkStart w:id="670" w:name="_Toc152042350"/>
      <w:bookmarkStart w:id="671" w:name="_Toc179632592"/>
      <w:bookmarkStart w:id="672" w:name="_Toc342297664"/>
      <w:bookmarkStart w:id="673" w:name="_Toc333600728"/>
      <w:bookmarkStart w:id="674" w:name="_Toc342294759"/>
      <w:bookmarkStart w:id="675" w:name="_Toc152045574"/>
      <w:bookmarkStart w:id="676" w:name="_Toc144974542"/>
      <w:bookmarkStart w:id="677" w:name="_Toc342296207"/>
      <w:r>
        <w:rPr>
          <w:rFonts w:hint="eastAsia" w:eastAsia="仿宋"/>
          <w:color w:val="auto"/>
          <w:sz w:val="24"/>
          <w:highlight w:val="none"/>
          <w:lang w:eastAsia="zh-CN"/>
        </w:rPr>
        <w:t>8.3 终止招标</w:t>
      </w:r>
      <w:bookmarkEnd w:id="662"/>
      <w:bookmarkEnd w:id="663"/>
      <w:bookmarkEnd w:id="664"/>
      <w:bookmarkEnd w:id="665"/>
      <w:bookmarkEnd w:id="666"/>
    </w:p>
    <w:p w14:paraId="7D3E497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因不可抗力等原因，采购人终止招标的，将及时发布公告，或者以书面形式通知被邀请的或者已经获取招标文件的潜在投标人。</w:t>
      </w:r>
    </w:p>
    <w:bookmarkEnd w:id="667"/>
    <w:bookmarkEnd w:id="668"/>
    <w:bookmarkEnd w:id="669"/>
    <w:bookmarkEnd w:id="670"/>
    <w:bookmarkEnd w:id="671"/>
    <w:bookmarkEnd w:id="672"/>
    <w:bookmarkEnd w:id="673"/>
    <w:bookmarkEnd w:id="674"/>
    <w:bookmarkEnd w:id="675"/>
    <w:bookmarkEnd w:id="676"/>
    <w:bookmarkEnd w:id="677"/>
    <w:p w14:paraId="5ED33973">
      <w:pPr>
        <w:pStyle w:val="4"/>
        <w:rPr>
          <w:rStyle w:val="104"/>
          <w:rFonts w:hint="eastAsia" w:ascii="宋体" w:hAnsi="宋体" w:eastAsia="仿宋"/>
          <w:b/>
          <w:bCs/>
          <w:color w:val="auto"/>
          <w:sz w:val="24"/>
          <w:szCs w:val="24"/>
          <w:highlight w:val="none"/>
        </w:rPr>
      </w:pPr>
      <w:bookmarkStart w:id="678" w:name="_Toc455587263"/>
      <w:bookmarkStart w:id="679" w:name="_Toc458504864"/>
      <w:bookmarkStart w:id="680" w:name="_Toc455587079"/>
      <w:bookmarkStart w:id="681" w:name="_Toc466024546"/>
      <w:bookmarkStart w:id="682" w:name="_Toc445554737"/>
      <w:r>
        <w:rPr>
          <w:rStyle w:val="104"/>
          <w:rFonts w:hint="eastAsia" w:ascii="宋体" w:hAnsi="宋体" w:eastAsia="仿宋"/>
          <w:b/>
          <w:bCs/>
          <w:color w:val="auto"/>
          <w:sz w:val="24"/>
          <w:szCs w:val="24"/>
          <w:highlight w:val="none"/>
        </w:rPr>
        <w:t>9. 询问与质疑</w:t>
      </w:r>
    </w:p>
    <w:p w14:paraId="21E09EA6">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9.1 询问</w:t>
      </w:r>
    </w:p>
    <w:p w14:paraId="6F948E3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9.1.1 投标人对政府采购活动事项有疑问的，可依法按投标人须知前附表载明的时间提出询问。</w:t>
      </w:r>
    </w:p>
    <w:p w14:paraId="4AFA6DC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9.1.2 采购人或采购代理机构对供应商依法提出的询问，在3个工作日内作出答复，但答复的内容不得涉及商业秘密。</w:t>
      </w:r>
    </w:p>
    <w:p w14:paraId="533C6D3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9.1.3 除非采购人认为确有必要答复，否则，采购人有权拒绝回复投标人在本章第9.1.1项规定的时间后的询问。</w:t>
      </w:r>
    </w:p>
    <w:p w14:paraId="4F775BF4">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9.2 质疑</w:t>
      </w:r>
    </w:p>
    <w:p w14:paraId="2692599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 投标人认为招标文件、采购过程、中标结果使自己的权益受到损害的，可以在投标人须知前附表载明的时间向采购人、采购代理机构提出质疑，逾期提出的，采购人、采购代理机构可不予受理。对招标文件提出质疑的，质疑期限为供应商获得招标文件之日或者招标文件公告期限届满之日起计算。对采购过程提出质疑的，质疑期限为各采购程序环节结束之日起计算。对采购结果提出质疑的，质疑期限自采购结果公告期限届满之日起计算。</w:t>
      </w:r>
    </w:p>
    <w:p w14:paraId="756DADA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应以书面形式向采购人、采购代理机构提出质疑，质疑函须使用财政部制定的《政府采购供应商质疑函范本》格式，详见本章附件二“政府采购供应商询问函和质疑函范本”。质疑材料应当采用中文，有关材料是外文的，应当同时提供其中文译本。</w:t>
      </w:r>
    </w:p>
    <w:p w14:paraId="6D84E30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9.2.2 接收质疑的联系方式见投标人须知前附表，采购人、采购代理机构在收到质疑函后7个工作日内作出答复。</w:t>
      </w:r>
    </w:p>
    <w:p w14:paraId="2BDA8F1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9.2.3 投标人为自然人的，质疑函应当由本人签字；投标人为法人或者其他组织的，质疑函应当由法定代表人、主要负责人，或者其授权代表签字或者盖章，并加盖公章，附法定代表人（单位负责人）及其委托联系人的有效身份证复印件。</w:t>
      </w:r>
    </w:p>
    <w:p w14:paraId="3A64CC7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9.2.4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C49E6B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9.2.5 投标人应在法定质疑期内一次性提出针对同一采购程序环节的质疑，法定质疑期内针对同一采购程序环节再次提出的质疑，采购人、采购代理机构有权不予答复。质疑应当有具体的事项及根据，不得进行虚假、恶意质疑，扰乱政府采购活动正常的工作秩序。</w:t>
      </w:r>
    </w:p>
    <w:p w14:paraId="761688C7">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 xml:space="preserve">9.2.6 </w:t>
      </w:r>
      <w:r>
        <w:rPr>
          <w:rFonts w:eastAsia="仿宋"/>
          <w:color w:val="auto"/>
          <w:sz w:val="24"/>
          <w:highlight w:val="none"/>
        </w:rPr>
        <w:t>提出质疑的</w:t>
      </w:r>
      <w:r>
        <w:rPr>
          <w:rFonts w:hint="eastAsia" w:eastAsia="仿宋"/>
          <w:color w:val="auto"/>
          <w:sz w:val="24"/>
          <w:highlight w:val="none"/>
        </w:rPr>
        <w:t>投标人</w:t>
      </w:r>
      <w:r>
        <w:rPr>
          <w:rFonts w:eastAsia="仿宋"/>
          <w:color w:val="auto"/>
          <w:sz w:val="24"/>
          <w:highlight w:val="none"/>
        </w:rPr>
        <w:t>应当是参与所质疑项目采购活动的</w:t>
      </w:r>
      <w:r>
        <w:rPr>
          <w:rFonts w:hint="eastAsia" w:eastAsia="仿宋"/>
          <w:color w:val="auto"/>
          <w:sz w:val="24"/>
          <w:highlight w:val="none"/>
        </w:rPr>
        <w:t>投标人</w:t>
      </w:r>
      <w:r>
        <w:rPr>
          <w:rFonts w:eastAsia="仿宋"/>
          <w:color w:val="auto"/>
          <w:sz w:val="24"/>
          <w:highlight w:val="none"/>
        </w:rPr>
        <w:t>。潜在</w:t>
      </w:r>
      <w:r>
        <w:rPr>
          <w:rFonts w:hint="eastAsia" w:eastAsia="仿宋"/>
          <w:color w:val="auto"/>
          <w:sz w:val="24"/>
          <w:highlight w:val="none"/>
        </w:rPr>
        <w:t>投标人</w:t>
      </w:r>
      <w:r>
        <w:rPr>
          <w:rFonts w:eastAsia="仿宋"/>
          <w:color w:val="auto"/>
          <w:sz w:val="24"/>
          <w:highlight w:val="none"/>
        </w:rPr>
        <w:t>已依法获取其可质疑的</w:t>
      </w:r>
      <w:r>
        <w:rPr>
          <w:rFonts w:hint="eastAsia" w:eastAsia="仿宋"/>
          <w:color w:val="auto"/>
          <w:sz w:val="24"/>
          <w:highlight w:val="none"/>
        </w:rPr>
        <w:t>招标</w:t>
      </w:r>
      <w:r>
        <w:rPr>
          <w:rFonts w:eastAsia="仿宋"/>
          <w:color w:val="auto"/>
          <w:sz w:val="24"/>
          <w:highlight w:val="none"/>
        </w:rPr>
        <w:t>文件的，可以对</w:t>
      </w:r>
      <w:r>
        <w:rPr>
          <w:rFonts w:hint="eastAsia" w:eastAsia="仿宋"/>
          <w:color w:val="auto"/>
          <w:sz w:val="24"/>
          <w:highlight w:val="none"/>
        </w:rPr>
        <w:t>招标</w:t>
      </w:r>
      <w:r>
        <w:rPr>
          <w:rFonts w:eastAsia="仿宋"/>
          <w:color w:val="auto"/>
          <w:sz w:val="24"/>
          <w:highlight w:val="none"/>
        </w:rPr>
        <w:t>文件提出</w:t>
      </w:r>
      <w:r>
        <w:rPr>
          <w:rFonts w:hint="eastAsia" w:eastAsia="仿宋"/>
          <w:color w:val="auto"/>
          <w:sz w:val="24"/>
          <w:highlight w:val="none"/>
        </w:rPr>
        <w:t>质疑</w:t>
      </w:r>
      <w:r>
        <w:rPr>
          <w:rFonts w:eastAsia="仿宋"/>
          <w:color w:val="auto"/>
          <w:sz w:val="24"/>
          <w:highlight w:val="none"/>
        </w:rPr>
        <w:t>。</w:t>
      </w:r>
    </w:p>
    <w:p w14:paraId="7D81B09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9.2.7 质疑材料存在以下情形的，采购人、采购代理机构不予受理。</w:t>
      </w:r>
    </w:p>
    <w:p w14:paraId="4C440F2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（1）提起质疑的主体不是参与该政府采购项目活动的供应商；</w:t>
      </w:r>
    </w:p>
    <w:p w14:paraId="1001D16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（2）提起质疑的时间超过规定时限的；</w:t>
      </w:r>
    </w:p>
    <w:p w14:paraId="764D72A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（3）质疑材料不完整的；</w:t>
      </w:r>
    </w:p>
    <w:p w14:paraId="3A9FBE3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（4）质疑事项含有主观猜测等内容且未提供充分有效线索、难以查证的；</w:t>
      </w:r>
    </w:p>
    <w:p w14:paraId="40DFF2D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（5）质疑</w:t>
      </w:r>
      <w:r>
        <w:rPr>
          <w:rFonts w:ascii="宋体" w:hAnsi="宋体" w:eastAsia="仿宋"/>
          <w:color w:val="auto"/>
          <w:sz w:val="24"/>
          <w:highlight w:val="none"/>
        </w:rPr>
        <w:t>事项缺乏事实依据，</w:t>
      </w:r>
      <w:r>
        <w:rPr>
          <w:rFonts w:hint="eastAsia" w:ascii="宋体" w:hAnsi="宋体" w:eastAsia="仿宋"/>
          <w:color w:val="auto"/>
          <w:sz w:val="24"/>
          <w:highlight w:val="none"/>
        </w:rPr>
        <w:t>质疑</w:t>
      </w:r>
      <w:r>
        <w:rPr>
          <w:rFonts w:ascii="宋体" w:hAnsi="宋体" w:eastAsia="仿宋"/>
          <w:color w:val="auto"/>
          <w:sz w:val="24"/>
          <w:highlight w:val="none"/>
        </w:rPr>
        <w:t>事项不成立</w:t>
      </w:r>
      <w:r>
        <w:rPr>
          <w:rFonts w:hint="eastAsia" w:ascii="宋体" w:hAnsi="宋体" w:eastAsia="仿宋"/>
          <w:color w:val="auto"/>
          <w:sz w:val="24"/>
          <w:highlight w:val="none"/>
        </w:rPr>
        <w:t>的；</w:t>
      </w:r>
    </w:p>
    <w:p w14:paraId="57AA25A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捏造事实或者提供虚假材料；</w:t>
      </w:r>
    </w:p>
    <w:p w14:paraId="78B9A5A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ascii="宋体" w:hAnsi="宋体" w:eastAsia="仿宋"/>
          <w:color w:val="auto"/>
          <w:sz w:val="24"/>
          <w:highlight w:val="none"/>
        </w:rPr>
        <w:t>以非法手段取得证明材料。</w:t>
      </w:r>
      <w:r>
        <w:rPr>
          <w:rFonts w:hint="eastAsia" w:ascii="宋体" w:hAnsi="宋体" w:eastAsia="仿宋"/>
          <w:color w:val="auto"/>
          <w:sz w:val="24"/>
          <w:highlight w:val="none"/>
        </w:rPr>
        <w:t>证明材料</w:t>
      </w:r>
      <w:r>
        <w:rPr>
          <w:rFonts w:ascii="宋体" w:hAnsi="宋体" w:eastAsia="仿宋"/>
          <w:color w:val="auto"/>
          <w:sz w:val="24"/>
          <w:highlight w:val="none"/>
        </w:rPr>
        <w:t>来源的合法性存在明显疑问，</w:t>
      </w:r>
      <w:r>
        <w:rPr>
          <w:rFonts w:hint="eastAsia" w:ascii="宋体" w:hAnsi="宋体" w:eastAsia="仿宋"/>
          <w:color w:val="auto"/>
          <w:sz w:val="24"/>
          <w:highlight w:val="none"/>
        </w:rPr>
        <w:t>质疑</w:t>
      </w:r>
      <w:r>
        <w:rPr>
          <w:rFonts w:ascii="宋体" w:hAnsi="宋体" w:eastAsia="仿宋"/>
          <w:color w:val="auto"/>
          <w:sz w:val="24"/>
          <w:highlight w:val="none"/>
        </w:rPr>
        <w:t>人无法证明其取得方式合法的，视为以非法手段取得证明材料</w:t>
      </w:r>
      <w:r>
        <w:rPr>
          <w:rFonts w:hint="eastAsia" w:ascii="宋体" w:hAnsi="宋体" w:eastAsia="仿宋"/>
          <w:color w:val="auto"/>
          <w:sz w:val="24"/>
          <w:highlight w:val="none"/>
        </w:rPr>
        <w:t>；</w:t>
      </w:r>
    </w:p>
    <w:p w14:paraId="48C17AA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（8）对其他投标人的投标文件详细内容质疑，无法提供合法来源渠道的。</w:t>
      </w:r>
    </w:p>
    <w:p w14:paraId="7DE5DB5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9.2.8 质疑人在答复期满前撤回质疑的，应由法定代表人或授权代表人签字确认。质疑人不得以同一理由再次提出质疑。</w:t>
      </w:r>
    </w:p>
    <w:p w14:paraId="1B1AB80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9.2.9 因处理质疑发生的检验、检测、鉴定等费用，</w:t>
      </w:r>
      <w:r>
        <w:rPr>
          <w:rFonts w:ascii="宋体" w:hAnsi="宋体" w:eastAsia="仿宋"/>
          <w:color w:val="auto"/>
          <w:sz w:val="24"/>
          <w:highlight w:val="none"/>
        </w:rPr>
        <w:t>由提出申请的</w:t>
      </w:r>
      <w:r>
        <w:rPr>
          <w:rFonts w:hint="eastAsia" w:ascii="宋体" w:hAnsi="宋体" w:eastAsia="仿宋"/>
          <w:color w:val="auto"/>
          <w:sz w:val="24"/>
          <w:highlight w:val="none"/>
        </w:rPr>
        <w:t>投标人</w:t>
      </w:r>
      <w:r>
        <w:rPr>
          <w:rFonts w:ascii="宋体" w:hAnsi="宋体" w:eastAsia="仿宋"/>
          <w:color w:val="auto"/>
          <w:sz w:val="24"/>
          <w:highlight w:val="none"/>
        </w:rPr>
        <w:t>先行垫付。</w:t>
      </w:r>
      <w:r>
        <w:rPr>
          <w:rFonts w:hint="eastAsia" w:ascii="宋体" w:hAnsi="宋体" w:eastAsia="仿宋"/>
          <w:color w:val="auto"/>
          <w:sz w:val="24"/>
          <w:highlight w:val="none"/>
        </w:rPr>
        <w:t>质疑处理决定各方无异议</w:t>
      </w:r>
      <w:r>
        <w:rPr>
          <w:rFonts w:ascii="宋体" w:hAnsi="宋体" w:eastAsia="仿宋"/>
          <w:color w:val="auto"/>
          <w:sz w:val="24"/>
          <w:highlight w:val="none"/>
        </w:rPr>
        <w:t>后，按照</w:t>
      </w:r>
      <w:r>
        <w:rPr>
          <w:rFonts w:hint="eastAsia" w:ascii="宋体" w:hAnsi="宋体" w:eastAsia="仿宋"/>
          <w:color w:val="auto"/>
          <w:sz w:val="24"/>
          <w:highlight w:val="none"/>
        </w:rPr>
        <w:t>“</w:t>
      </w:r>
      <w:r>
        <w:rPr>
          <w:rFonts w:ascii="宋体" w:hAnsi="宋体" w:eastAsia="仿宋"/>
          <w:color w:val="auto"/>
          <w:sz w:val="24"/>
          <w:highlight w:val="none"/>
        </w:rPr>
        <w:t>谁过错谁负担</w:t>
      </w:r>
      <w:r>
        <w:rPr>
          <w:rFonts w:hint="eastAsia" w:ascii="宋体" w:hAnsi="宋体" w:eastAsia="仿宋"/>
          <w:color w:val="auto"/>
          <w:sz w:val="24"/>
          <w:highlight w:val="none"/>
        </w:rPr>
        <w:t>”</w:t>
      </w:r>
      <w:r>
        <w:rPr>
          <w:rFonts w:ascii="宋体" w:hAnsi="宋体" w:eastAsia="仿宋"/>
          <w:color w:val="auto"/>
          <w:sz w:val="24"/>
          <w:highlight w:val="none"/>
        </w:rPr>
        <w:t>的原则由承担责任的一方负担；双方都有责任的，由双方合理分担。</w:t>
      </w:r>
    </w:p>
    <w:p w14:paraId="0C5582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9.2.10 投标人不得以质疑为名进行虚假、恶意质疑，扰乱政府采购正常的工作秩序。投标人有下列情形之一的，属于虚假、恶意质疑，被质疑人应当驳回质疑，并向同级政府采购监督管理部门报告，将其列入不良行为记录名单，并依法予以处罚：</w:t>
      </w:r>
    </w:p>
    <w:p w14:paraId="5C1A8D9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（1）一年内三次以上质疑均查无实据的；</w:t>
      </w:r>
    </w:p>
    <w:p w14:paraId="779256D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（2）捏造事实或者提供虚假质疑材料的；</w:t>
      </w:r>
    </w:p>
    <w:p w14:paraId="2531474E">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以非法手段取</w:t>
      </w:r>
      <w:r>
        <w:rPr>
          <w:rFonts w:eastAsia="仿宋"/>
          <w:color w:val="auto"/>
          <w:sz w:val="24"/>
          <w:highlight w:val="none"/>
        </w:rPr>
        <w:t>得证明材料。</w:t>
      </w:r>
      <w:r>
        <w:rPr>
          <w:rFonts w:hint="eastAsia" w:eastAsia="仿宋"/>
          <w:color w:val="auto"/>
          <w:sz w:val="24"/>
          <w:highlight w:val="none"/>
        </w:rPr>
        <w:t>证明材料</w:t>
      </w:r>
      <w:r>
        <w:rPr>
          <w:rFonts w:eastAsia="仿宋"/>
          <w:color w:val="auto"/>
          <w:sz w:val="24"/>
          <w:highlight w:val="none"/>
        </w:rPr>
        <w:t>来源的合法性存在明显疑问，</w:t>
      </w:r>
      <w:r>
        <w:rPr>
          <w:rFonts w:hint="eastAsia" w:eastAsia="仿宋"/>
          <w:color w:val="auto"/>
          <w:sz w:val="24"/>
          <w:highlight w:val="none"/>
        </w:rPr>
        <w:t>质疑</w:t>
      </w:r>
      <w:r>
        <w:rPr>
          <w:rFonts w:eastAsia="仿宋"/>
          <w:color w:val="auto"/>
          <w:sz w:val="24"/>
          <w:highlight w:val="none"/>
        </w:rPr>
        <w:t>人无法证明其取得方式</w:t>
      </w:r>
      <w:r>
        <w:rPr>
          <w:rFonts w:ascii="宋体" w:hAnsi="宋体" w:eastAsia="仿宋"/>
          <w:color w:val="auto"/>
          <w:sz w:val="24"/>
          <w:highlight w:val="none"/>
        </w:rPr>
        <w:t>合法的，视为以非法手段取得证明材料</w:t>
      </w:r>
      <w:r>
        <w:rPr>
          <w:rFonts w:hint="eastAsia" w:ascii="宋体" w:hAnsi="宋体" w:eastAsia="仿宋"/>
          <w:color w:val="auto"/>
          <w:sz w:val="24"/>
          <w:highlight w:val="none"/>
        </w:rPr>
        <w:t>。</w:t>
      </w:r>
    </w:p>
    <w:p w14:paraId="6FDC4B94">
      <w:pPr>
        <w:pStyle w:val="4"/>
        <w:rPr>
          <w:rStyle w:val="104"/>
          <w:rFonts w:hint="eastAsia" w:ascii="宋体" w:hAnsi="宋体" w:eastAsia="仿宋"/>
          <w:b/>
          <w:bCs/>
          <w:color w:val="auto"/>
          <w:sz w:val="24"/>
          <w:szCs w:val="24"/>
          <w:highlight w:val="none"/>
        </w:rPr>
      </w:pPr>
      <w:r>
        <w:rPr>
          <w:rStyle w:val="104"/>
          <w:rFonts w:hint="eastAsia" w:ascii="宋体" w:hAnsi="宋体" w:eastAsia="仿宋"/>
          <w:b/>
          <w:bCs/>
          <w:color w:val="auto"/>
          <w:sz w:val="24"/>
          <w:szCs w:val="24"/>
          <w:highlight w:val="none"/>
        </w:rPr>
        <w:t>10. 纪律和监督</w:t>
      </w:r>
      <w:bookmarkEnd w:id="678"/>
      <w:bookmarkEnd w:id="679"/>
      <w:bookmarkEnd w:id="680"/>
      <w:bookmarkEnd w:id="681"/>
      <w:bookmarkEnd w:id="682"/>
    </w:p>
    <w:p w14:paraId="6586B2A1">
      <w:pPr>
        <w:pStyle w:val="5"/>
        <w:adjustRightInd w:val="0"/>
        <w:ind w:firstLine="482" w:firstLineChars="200"/>
        <w:rPr>
          <w:rFonts w:eastAsia="仿宋"/>
          <w:color w:val="auto"/>
          <w:sz w:val="24"/>
          <w:highlight w:val="none"/>
          <w:lang w:eastAsia="zh-CN"/>
        </w:rPr>
      </w:pPr>
      <w:bookmarkStart w:id="683" w:name="_Toc338943746"/>
      <w:bookmarkStart w:id="684" w:name="_Toc152042351"/>
      <w:bookmarkStart w:id="685" w:name="_Toc445554738"/>
      <w:bookmarkStart w:id="686" w:name="_Toc458504865"/>
      <w:bookmarkStart w:id="687" w:name="_Toc455587264"/>
      <w:bookmarkStart w:id="688" w:name="_Toc333599705"/>
      <w:bookmarkStart w:id="689" w:name="_Toc144974543"/>
      <w:bookmarkStart w:id="690" w:name="_Toc342294760"/>
      <w:bookmarkStart w:id="691" w:name="_Toc342296208"/>
      <w:bookmarkStart w:id="692" w:name="_Toc455587080"/>
      <w:bookmarkStart w:id="693" w:name="_Toc333600729"/>
      <w:bookmarkStart w:id="694" w:name="_Toc338944651"/>
      <w:bookmarkStart w:id="695" w:name="_Toc466024547"/>
      <w:bookmarkStart w:id="696" w:name="_Toc333587899"/>
      <w:bookmarkStart w:id="697" w:name="_Toc179632593"/>
      <w:bookmarkStart w:id="698" w:name="_Toc152045575"/>
      <w:bookmarkStart w:id="699" w:name="_Toc371415965"/>
      <w:bookmarkStart w:id="700" w:name="_Toc342297665"/>
      <w:r>
        <w:rPr>
          <w:rFonts w:hint="eastAsia" w:eastAsia="仿宋"/>
          <w:color w:val="auto"/>
          <w:sz w:val="24"/>
          <w:highlight w:val="none"/>
          <w:lang w:eastAsia="zh-CN"/>
        </w:rPr>
        <w:t>10.1 对采购人的纪律要求</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FBAFAE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采购人不得泄露招标投标活动中应当保密的情况和资料，不得与投标人串通损害国家利益、社会公共利益或者他人合法权益。</w:t>
      </w:r>
    </w:p>
    <w:p w14:paraId="7D010CD0">
      <w:pPr>
        <w:pStyle w:val="5"/>
        <w:adjustRightInd w:val="0"/>
        <w:ind w:firstLine="482" w:firstLineChars="200"/>
        <w:rPr>
          <w:rFonts w:eastAsia="仿宋"/>
          <w:color w:val="auto"/>
          <w:sz w:val="24"/>
          <w:highlight w:val="none"/>
          <w:lang w:eastAsia="zh-CN"/>
        </w:rPr>
      </w:pPr>
      <w:bookmarkStart w:id="701" w:name="_Toc338943747"/>
      <w:bookmarkStart w:id="702" w:name="_Toc333599706"/>
      <w:bookmarkStart w:id="703" w:name="_Toc445554739"/>
      <w:bookmarkStart w:id="704" w:name="_Toc179632594"/>
      <w:bookmarkStart w:id="705" w:name="_Toc342297666"/>
      <w:bookmarkStart w:id="706" w:name="_Toc342294761"/>
      <w:bookmarkStart w:id="707" w:name="_Toc333600730"/>
      <w:bookmarkStart w:id="708" w:name="_Toc455587081"/>
      <w:bookmarkStart w:id="709" w:name="_Toc338944652"/>
      <w:bookmarkStart w:id="710" w:name="_Toc458504866"/>
      <w:bookmarkStart w:id="711" w:name="_Toc455587265"/>
      <w:bookmarkStart w:id="712" w:name="_Toc144974544"/>
      <w:bookmarkStart w:id="713" w:name="_Toc342296209"/>
      <w:bookmarkStart w:id="714" w:name="_Toc466024548"/>
      <w:bookmarkStart w:id="715" w:name="_Toc371415966"/>
      <w:bookmarkStart w:id="716" w:name="_Toc152042352"/>
      <w:bookmarkStart w:id="717" w:name="_Toc152045576"/>
      <w:bookmarkStart w:id="718" w:name="_Toc333587900"/>
      <w:r>
        <w:rPr>
          <w:rFonts w:hint="eastAsia" w:eastAsia="仿宋"/>
          <w:color w:val="auto"/>
          <w:sz w:val="24"/>
          <w:highlight w:val="none"/>
          <w:lang w:eastAsia="zh-CN"/>
        </w:rPr>
        <w:t>10.2 对投标人的纪律要求</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3832CA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371EF3CE">
      <w:pPr>
        <w:pStyle w:val="4"/>
        <w:rPr>
          <w:rStyle w:val="104"/>
          <w:rFonts w:hint="eastAsia" w:ascii="宋体" w:hAnsi="宋体" w:eastAsia="仿宋"/>
          <w:b/>
          <w:bCs/>
          <w:color w:val="auto"/>
          <w:sz w:val="24"/>
          <w:szCs w:val="24"/>
          <w:highlight w:val="none"/>
        </w:rPr>
      </w:pPr>
      <w:bookmarkStart w:id="719" w:name="_Toc342296213"/>
      <w:bookmarkStart w:id="720" w:name="_Toc152045580"/>
      <w:bookmarkStart w:id="721" w:name="_Toc333600734"/>
      <w:bookmarkStart w:id="722" w:name="_Toc458504870"/>
      <w:bookmarkStart w:id="723" w:name="_Toc455587269"/>
      <w:bookmarkStart w:id="724" w:name="_Toc338944656"/>
      <w:bookmarkStart w:id="725" w:name="_Toc152042357"/>
      <w:bookmarkStart w:id="726" w:name="_Toc338943751"/>
      <w:bookmarkStart w:id="727" w:name="_Toc179632598"/>
      <w:bookmarkStart w:id="728" w:name="_Toc333599710"/>
      <w:bookmarkStart w:id="729" w:name="_Toc455587085"/>
      <w:bookmarkStart w:id="730" w:name="_Toc371415963"/>
      <w:bookmarkStart w:id="731" w:name="_Toc445554743"/>
      <w:bookmarkStart w:id="732" w:name="_Toc466024552"/>
      <w:bookmarkStart w:id="733" w:name="_Toc144974547"/>
      <w:bookmarkStart w:id="734" w:name="_Toc342297670"/>
      <w:bookmarkStart w:id="735" w:name="_Toc342294765"/>
      <w:r>
        <w:rPr>
          <w:rStyle w:val="104"/>
          <w:rFonts w:hint="eastAsia" w:ascii="宋体" w:hAnsi="宋体" w:eastAsia="仿宋"/>
          <w:b/>
          <w:bCs/>
          <w:color w:val="auto"/>
          <w:sz w:val="24"/>
          <w:szCs w:val="24"/>
          <w:highlight w:val="none"/>
        </w:rPr>
        <w:t>11. 政府采购政策</w:t>
      </w:r>
    </w:p>
    <w:p w14:paraId="66F3DBCA">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11.1 节能与环保</w:t>
      </w:r>
    </w:p>
    <w:p w14:paraId="37E3EA67">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11.1.1 采购标的在《关于印发节能产品政府采购品目清单的通知》（财库〔2019〕19号）清单内的，应当实行强制采购或优先采购。投标人所投产品如不具备国家确定的认证机构出具的、处于有效期内的节字标志认证证书，其投标将被认定为投标无效（产品属于强制采购）或不具有优先采购的条件（产品属于优先采购）。本次招标实行政府强制采购的节能产品详见投标人须知前附表。</w:t>
      </w:r>
    </w:p>
    <w:p w14:paraId="2F254504">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11.1.2 采购标的在《关于印发环境标志产品政府采购品目清单的通知》（财库〔2019〕18号）清单内的，应当实行优先采购。投标人所投产品如不具备国家确定的认证机构出具的、处于有效期内的环境标志产品认证证书，其投标不具有优先采购的条件。</w:t>
      </w:r>
    </w:p>
    <w:p w14:paraId="68306A0C">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11.2 促进中小企业发展</w:t>
      </w:r>
    </w:p>
    <w:p w14:paraId="2E86D80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11.2.1根据《政府采购促进中小企业发展管理办法》（财库〔2020〕46号）规定，投标人提供的货物、工程或者服务符合下列情形的，享受本条规定的中小企业扶持政策：</w:t>
      </w:r>
    </w:p>
    <w:p w14:paraId="1F0B0E6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（1）在货物采购项目中，货物由中小企业制造，即货物由中小企业生产且使用该中小企业商号或者注册商标；</w:t>
      </w:r>
    </w:p>
    <w:p w14:paraId="0548075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（2）在工程采购项目中，工程由中小企业承建，即工程施工单位为中小企业；</w:t>
      </w:r>
    </w:p>
    <w:p w14:paraId="2BD11C5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（3）在服务采购项目中，服务由中小企业承接，即提供服务的人员为中小企业依照《中华人民共和国劳动合同法》订立劳动合同的从业人员。</w:t>
      </w:r>
    </w:p>
    <w:p w14:paraId="6072996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在货物采购项目中，供应商提供的货物既有中小企业制造货物，也有大型企业制造货物的，不享受本条规定的中小企业扶持政策。</w:t>
      </w:r>
    </w:p>
    <w:p w14:paraId="3F99CFA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以联合体形式参加政府采购活动（如接受联合体投标时），联合体各方均为中小企业的，联合体视同中小企业。其中，联合体各方均为小微企业的，联合体视同小微企业。</w:t>
      </w:r>
    </w:p>
    <w:p w14:paraId="331B526A">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中小企业应当在投标文件中提供招标文件规定格式的《中小企业声明函》，并对其真实性负责。</w:t>
      </w:r>
    </w:p>
    <w:p w14:paraId="31B28C6E">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中小企业划型标准见工信部联企业〔2011〕300号文件。</w:t>
      </w:r>
    </w:p>
    <w:p w14:paraId="7B1DB03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11.2.2投标人须知前附表第1.1.7项规定本项目属于专门面向中小企业（含中型、小型、微型企业，下同）采购的，投标人应符合本章第11.2.1项规定外，还应符合本项目的资格要求。</w:t>
      </w:r>
    </w:p>
    <w:p w14:paraId="236D43E7">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11.2.3</w:t>
      </w:r>
      <w:r>
        <w:rPr>
          <w:rFonts w:hint="eastAsia" w:ascii="宋体" w:hAnsi="宋体" w:eastAsia="仿宋"/>
          <w:color w:val="auto"/>
          <w:sz w:val="24"/>
          <w:highlight w:val="none"/>
        </w:rPr>
        <w:t>投标人须知前附表第1.1.7项规定</w:t>
      </w:r>
      <w:r>
        <w:rPr>
          <w:rFonts w:hint="eastAsia" w:ascii="宋体" w:hAnsi="宋体" w:eastAsia="仿宋"/>
          <w:color w:val="auto"/>
          <w:sz w:val="24"/>
          <w:highlight w:val="none"/>
          <w:lang w:bidi="en-US"/>
        </w:rPr>
        <w:t>本项目属于未预留份额专门面向中小企业采购的采购项目，以及预留份额项目中的非预留部分采购时，对小微企业的投标报价按照投标人须知前附表规定的比例给予扣除；</w:t>
      </w:r>
      <w:r>
        <w:rPr>
          <w:rFonts w:hint="eastAsia" w:ascii="宋体" w:hAnsi="宋体" w:eastAsia="仿宋"/>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投标人须知前附表规定的比例给予报价扣除。用扣除后的价格参加评审。组成联合体或者接受分包的小微企业与联合体内其他企业、分包企业之间存在直接控股、管理关系的，不享受价格扣除优惠政策。</w:t>
      </w:r>
    </w:p>
    <w:p w14:paraId="3BEAC860">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6F2689FD">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auto"/>
          <w:sz w:val="24"/>
          <w:highlight w:val="none"/>
        </w:rPr>
        <w:t>政府</w:t>
      </w:r>
      <w:r>
        <w:rPr>
          <w:rFonts w:hint="eastAsia" w:ascii="宋体" w:hAnsi="宋体" w:eastAsia="仿宋"/>
          <w:color w:val="auto"/>
          <w:sz w:val="24"/>
          <w:highlight w:val="none"/>
          <w:lang w:bidi="en-US"/>
        </w:rPr>
        <w:t>采购活动中，符合条件的残疾人福利性单位视同小型、微型企业，享受评审价格扣除的政府采购政策。符合条件的残疾人福利性单位在参加政府采购活动时，应当提供招标文件规定格式的《残疾人福利性单位声明函》，无需提供《中小企业声明函》。</w:t>
      </w:r>
    </w:p>
    <w:p w14:paraId="76C2659C">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11.2.6 监狱企业、残疾人福利性单位属于小微企业的，不重复享受中小企业价格评审优惠政策。</w:t>
      </w:r>
    </w:p>
    <w:p w14:paraId="7F4A2F9C">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11.3 采购本国货物、工程和服务</w:t>
      </w:r>
    </w:p>
    <w:p w14:paraId="7D877800">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.1 政府采购应当采购本国货物、工程和服务。但有《中华人民共和国政府采购法》第十条规定情形的除外。</w:t>
      </w:r>
    </w:p>
    <w:p w14:paraId="34BC9828">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.2 本项目进口产品采购情况见投标人须知前附表。本项目如接受非本国货物、工程、服务参与投标，则具体要求见第</w:t>
      </w:r>
      <w:r>
        <w:rPr>
          <w:rFonts w:hint="eastAsia" w:ascii="宋体" w:hAnsi="宋体" w:eastAsia="仿宋"/>
          <w:color w:val="auto"/>
          <w:sz w:val="24"/>
          <w:highlight w:val="none"/>
          <w:lang w:bidi="en-US"/>
        </w:rPr>
        <w:t>三</w:t>
      </w:r>
      <w:r>
        <w:rPr>
          <w:rFonts w:ascii="宋体" w:hAnsi="宋体" w:eastAsia="仿宋"/>
          <w:color w:val="auto"/>
          <w:sz w:val="24"/>
          <w:highlight w:val="none"/>
          <w:lang w:bidi="en-US"/>
        </w:rPr>
        <w:t>章《采购需求》。</w:t>
      </w:r>
    </w:p>
    <w:p w14:paraId="4F2B9477">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B3E0A43">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11.4 需要执行的其他政府采购政策</w:t>
      </w:r>
    </w:p>
    <w:p w14:paraId="16F53095">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需要执行的其他政府采购政策：见投标人须知前附表。</w:t>
      </w:r>
    </w:p>
    <w:p w14:paraId="70DEBF6B">
      <w:pPr>
        <w:pStyle w:val="4"/>
        <w:rPr>
          <w:rStyle w:val="104"/>
          <w:rFonts w:hint="eastAsia" w:ascii="宋体" w:hAnsi="宋体" w:eastAsia="仿宋"/>
          <w:b/>
          <w:bCs/>
          <w:color w:val="auto"/>
          <w:sz w:val="24"/>
          <w:szCs w:val="24"/>
          <w:highlight w:val="none"/>
        </w:rPr>
      </w:pPr>
      <w:r>
        <w:rPr>
          <w:rStyle w:val="104"/>
          <w:rFonts w:hint="eastAsia" w:ascii="宋体" w:hAnsi="宋体" w:eastAsia="仿宋"/>
          <w:b/>
          <w:bCs/>
          <w:color w:val="auto"/>
          <w:sz w:val="24"/>
          <w:szCs w:val="24"/>
          <w:highlight w:val="none"/>
        </w:rPr>
        <w:t>12. 需要补充的其他内容</w:t>
      </w:r>
    </w:p>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14:paraId="6C6E3EAE">
      <w:pPr>
        <w:widowControl/>
        <w:adjustRightInd w:val="0"/>
        <w:snapToGrid w:val="0"/>
        <w:spacing w:line="360" w:lineRule="auto"/>
        <w:ind w:firstLine="480" w:firstLineChars="200"/>
        <w:rPr>
          <w:rFonts w:hint="eastAsia" w:eastAsia="仿宋"/>
          <w:color w:val="auto"/>
          <w:sz w:val="24"/>
          <w:highlight w:val="none"/>
          <w:lang w:bidi="en-US"/>
        </w:rPr>
      </w:pPr>
      <w:bookmarkStart w:id="736" w:name="_Toc455587271"/>
      <w:bookmarkStart w:id="737" w:name="_Toc466024554"/>
      <w:bookmarkStart w:id="738" w:name="_Toc445554745"/>
      <w:bookmarkStart w:id="739" w:name="_Toc455587087"/>
      <w:bookmarkStart w:id="740" w:name="_Toc458504872"/>
      <w:r>
        <w:rPr>
          <w:rFonts w:hint="eastAsia" w:eastAsia="仿宋"/>
          <w:color w:val="auto"/>
          <w:sz w:val="24"/>
          <w:highlight w:val="none"/>
          <w:lang w:bidi="en-US"/>
        </w:rPr>
        <w:t>需要补充的其他内容</w:t>
      </w:r>
      <w:bookmarkEnd w:id="736"/>
      <w:bookmarkEnd w:id="737"/>
      <w:bookmarkEnd w:id="738"/>
      <w:bookmarkEnd w:id="739"/>
      <w:bookmarkEnd w:id="740"/>
      <w:r>
        <w:rPr>
          <w:rFonts w:hint="eastAsia" w:eastAsia="仿宋"/>
          <w:color w:val="auto"/>
          <w:sz w:val="24"/>
          <w:highlight w:val="none"/>
          <w:lang w:bidi="en-US"/>
        </w:rPr>
        <w:t>：见投标人须知前附表。</w:t>
      </w:r>
    </w:p>
    <w:p w14:paraId="4BBC9E59">
      <w:pPr>
        <w:pStyle w:val="4"/>
        <w:jc w:val="center"/>
        <w:rPr>
          <w:rFonts w:eastAsia="黑体"/>
          <w:color w:val="auto"/>
          <w:highlight w:val="none"/>
        </w:rPr>
      </w:pPr>
      <w:r>
        <w:rPr>
          <w:rFonts w:ascii="宋体" w:hAnsi="宋体" w:eastAsia="仿宋"/>
          <w:color w:val="auto"/>
          <w:szCs w:val="21"/>
          <w:highlight w:val="none"/>
        </w:rPr>
        <w:br w:type="page"/>
      </w:r>
      <w:bookmarkStart w:id="741" w:name="_Toc24418"/>
      <w:bookmarkStart w:id="742" w:name="_Hlk44246314"/>
      <w:r>
        <w:rPr>
          <w:rFonts w:eastAsia="黑体"/>
          <w:color w:val="auto"/>
          <w:highlight w:val="none"/>
        </w:rPr>
        <w:t>附件</w:t>
      </w:r>
      <w:r>
        <w:rPr>
          <w:rFonts w:hint="eastAsia" w:eastAsia="黑体"/>
          <w:color w:val="auto"/>
          <w:highlight w:val="none"/>
        </w:rPr>
        <w:t>一</w:t>
      </w:r>
      <w:r>
        <w:rPr>
          <w:rFonts w:eastAsia="黑体"/>
          <w:color w:val="auto"/>
          <w:highlight w:val="none"/>
        </w:rPr>
        <w:t>：</w:t>
      </w:r>
      <w:r>
        <w:rPr>
          <w:rFonts w:hint="eastAsia" w:eastAsia="黑体"/>
          <w:color w:val="auto"/>
          <w:highlight w:val="none"/>
        </w:rPr>
        <w:t>全流程电子招标采购</w:t>
      </w:r>
      <w:r>
        <w:rPr>
          <w:rFonts w:eastAsia="黑体"/>
          <w:color w:val="auto"/>
          <w:highlight w:val="none"/>
        </w:rPr>
        <w:t>具体要求</w:t>
      </w:r>
      <w:bookmarkEnd w:id="741"/>
    </w:p>
    <w:bookmarkEnd w:id="742"/>
    <w:p w14:paraId="7E0AA747">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w:t>
      </w:r>
      <w:r>
        <w:rPr>
          <w:rFonts w:ascii="黑体" w:hAnsi="黑体" w:eastAsia="黑体"/>
          <w:color w:val="auto"/>
          <w:highlight w:val="none"/>
        </w:rPr>
        <w:t>评标委员会</w:t>
      </w:r>
      <w:r>
        <w:rPr>
          <w:rFonts w:hint="eastAsia" w:ascii="黑体" w:hAnsi="黑体" w:eastAsia="黑体"/>
          <w:color w:val="auto"/>
          <w:highlight w:val="none"/>
        </w:rPr>
        <w:t>”按“评审小组”理解，“投标无效”按“响应文件无效”理解。</w:t>
      </w:r>
    </w:p>
    <w:p w14:paraId="590F68D9">
      <w:pPr>
        <w:spacing w:line="400" w:lineRule="exact"/>
        <w:ind w:firstLine="420" w:firstLineChars="200"/>
        <w:rPr>
          <w:rFonts w:ascii="黑体" w:hAnsi="黑体" w:eastAsia="黑体"/>
          <w:color w:val="auto"/>
          <w:highlight w:val="none"/>
        </w:rPr>
      </w:pPr>
    </w:p>
    <w:p w14:paraId="2D72C9DA">
      <w:pPr>
        <w:spacing w:line="400" w:lineRule="exact"/>
        <w:ind w:firstLine="420" w:firstLineChars="200"/>
        <w:rPr>
          <w:rFonts w:hint="eastAsia" w:ascii="黑体" w:hAnsi="黑体" w:eastAsia="黑体"/>
          <w:color w:val="auto"/>
          <w:highlight w:val="none"/>
        </w:rPr>
      </w:pPr>
      <w:r>
        <w:rPr>
          <w:rFonts w:hint="eastAsia" w:ascii="黑体" w:hAnsi="黑体" w:eastAsia="黑体"/>
          <w:color w:val="auto"/>
          <w:highlight w:val="none"/>
        </w:rPr>
        <w:t>一</w:t>
      </w:r>
      <w:r>
        <w:rPr>
          <w:rFonts w:ascii="黑体" w:hAnsi="黑体" w:eastAsia="黑体"/>
          <w:color w:val="auto"/>
          <w:highlight w:val="none"/>
        </w:rPr>
        <w:t>、</w:t>
      </w:r>
      <w:r>
        <w:rPr>
          <w:rFonts w:hint="eastAsia"/>
          <w:color w:val="auto"/>
          <w:highlight w:val="none"/>
        </w:rPr>
        <w:t>CA</w:t>
      </w:r>
      <w:r>
        <w:rPr>
          <w:rFonts w:hint="eastAsia" w:ascii="黑体" w:hAnsi="黑体" w:eastAsia="黑体"/>
          <w:color w:val="auto"/>
          <w:highlight w:val="none"/>
        </w:rPr>
        <w:t>证书办理和</w:t>
      </w:r>
      <w:r>
        <w:rPr>
          <w:rFonts w:ascii="黑体" w:hAnsi="黑体" w:eastAsia="黑体"/>
          <w:color w:val="auto"/>
          <w:highlight w:val="none"/>
        </w:rPr>
        <w:t>注意事项</w:t>
      </w:r>
    </w:p>
    <w:p w14:paraId="5CAC31C4">
      <w:pPr>
        <w:spacing w:line="400" w:lineRule="exact"/>
        <w:ind w:firstLine="420" w:firstLineChars="200"/>
        <w:rPr>
          <w:color w:val="auto"/>
          <w:highlight w:val="none"/>
        </w:rPr>
      </w:pPr>
      <w:r>
        <w:rPr>
          <w:rFonts w:ascii="宋体" w:hAnsi="宋体"/>
          <w:color w:val="auto"/>
          <w:highlight w:val="none"/>
        </w:rPr>
        <w:t>1.</w:t>
      </w:r>
      <w:r>
        <w:rPr>
          <w:rFonts w:hint="eastAsia" w:ascii="宋体" w:hAnsi="宋体"/>
          <w:color w:val="auto"/>
          <w:highlight w:val="none"/>
        </w:rPr>
        <w:t>本项目采用全流程电子招标采购方式，</w:t>
      </w:r>
      <w:r>
        <w:rPr>
          <w:rFonts w:hint="eastAsia"/>
          <w:color w:val="auto"/>
          <w:highlight w:val="none"/>
        </w:rPr>
        <w:t>潜在投标人应及时办理CA证书，用于对投标文件进行电子签章及加、解密。</w:t>
      </w:r>
    </w:p>
    <w:p w14:paraId="3CA5727F">
      <w:pPr>
        <w:spacing w:line="400" w:lineRule="exact"/>
        <w:ind w:firstLine="420" w:firstLineChars="200"/>
        <w:rPr>
          <w:bCs/>
          <w:color w:val="auto"/>
          <w:highlight w:val="none"/>
        </w:rPr>
      </w:pPr>
      <w:r>
        <w:rPr>
          <w:rFonts w:ascii="宋体" w:hAnsi="宋体"/>
          <w:color w:val="auto"/>
          <w:highlight w:val="none"/>
        </w:rPr>
        <w:t>2.</w:t>
      </w:r>
      <w:r>
        <w:rPr>
          <w:rFonts w:hint="eastAsia" w:ascii="宋体" w:hAnsi="宋体"/>
          <w:color w:val="auto"/>
          <w:highlight w:val="none"/>
        </w:rPr>
        <w:t>CA</w:t>
      </w:r>
      <w:r>
        <w:rPr>
          <w:rFonts w:hint="eastAsia"/>
          <w:color w:val="auto"/>
          <w:highlight w:val="none"/>
        </w:rPr>
        <w:t>证书</w:t>
      </w:r>
      <w:r>
        <w:rPr>
          <w:rFonts w:hint="eastAsia" w:ascii="宋体" w:hAnsi="宋体"/>
          <w:color w:val="auto"/>
          <w:highlight w:val="none"/>
        </w:rPr>
        <w:t>办理详见</w:t>
      </w:r>
      <w:r>
        <w:rPr>
          <w:rFonts w:hint="eastAsia"/>
          <w:bCs/>
          <w:color w:val="auto"/>
          <w:highlight w:val="none"/>
        </w:rPr>
        <w:t>《优质采平台CA数字证书办理说明》：</w:t>
      </w:r>
    </w:p>
    <w:p w14:paraId="60E8C006">
      <w:pPr>
        <w:spacing w:line="400" w:lineRule="exact"/>
        <w:rPr>
          <w:rFonts w:hint="eastAsia"/>
          <w:b/>
          <w:bCs/>
          <w:color w:val="auto"/>
          <w:highlight w:val="none"/>
        </w:rPr>
      </w:pPr>
      <w:r>
        <w:rPr>
          <w:bCs/>
          <w:color w:val="auto"/>
          <w:highlight w:val="none"/>
          <w:u w:val="single"/>
        </w:rPr>
        <w:fldChar w:fldCharType="begin"/>
      </w:r>
      <w:r>
        <w:rPr>
          <w:bCs/>
          <w:color w:val="auto"/>
          <w:highlight w:val="none"/>
          <w:u w:val="single"/>
        </w:rPr>
        <w:instrText xml:space="preserve"> HYPERLINK "http://www.youzhicai.com/ActivityTopic/AdviceDetail/8f80a7ec-911f-4c4d-a123-f8849880f045" </w:instrText>
      </w:r>
      <w:r>
        <w:rPr>
          <w:bCs/>
          <w:color w:val="auto"/>
          <w:highlight w:val="none"/>
          <w:u w:val="single"/>
        </w:rPr>
        <w:fldChar w:fldCharType="separate"/>
      </w:r>
      <w:r>
        <w:rPr>
          <w:rStyle w:val="56"/>
          <w:bCs/>
          <w:color w:val="auto"/>
          <w:highlight w:val="none"/>
        </w:rPr>
        <w:t>http://www.youzhicai.com/ActivityTopic/AdviceDetail/8f80a7ec-911f-4c4d-a123-f</w:t>
      </w:r>
      <w:bookmarkStart w:id="743" w:name="_Hlt105085548"/>
      <w:bookmarkStart w:id="744" w:name="_Hlt105085547"/>
      <w:r>
        <w:rPr>
          <w:rStyle w:val="56"/>
          <w:bCs/>
          <w:color w:val="auto"/>
          <w:highlight w:val="none"/>
        </w:rPr>
        <w:t>8</w:t>
      </w:r>
      <w:bookmarkEnd w:id="743"/>
      <w:bookmarkEnd w:id="744"/>
      <w:r>
        <w:rPr>
          <w:rStyle w:val="56"/>
          <w:bCs/>
          <w:color w:val="auto"/>
          <w:highlight w:val="none"/>
        </w:rPr>
        <w:t>849880f045</w:t>
      </w:r>
      <w:r>
        <w:rPr>
          <w:bCs/>
          <w:color w:val="auto"/>
          <w:highlight w:val="none"/>
          <w:u w:val="single"/>
        </w:rPr>
        <w:fldChar w:fldCharType="end"/>
      </w:r>
      <w:r>
        <w:rPr>
          <w:bCs/>
          <w:color w:val="auto"/>
          <w:highlight w:val="none"/>
        </w:rPr>
        <w:t>。</w:t>
      </w:r>
    </w:p>
    <w:p w14:paraId="7033B701">
      <w:pPr>
        <w:spacing w:line="400" w:lineRule="exact"/>
        <w:ind w:firstLine="420" w:firstLineChars="200"/>
        <w:rPr>
          <w:color w:val="auto"/>
          <w:highlight w:val="none"/>
        </w:rPr>
      </w:pPr>
      <w:r>
        <w:rPr>
          <w:rFonts w:ascii="宋体" w:hAnsi="宋体"/>
          <w:color w:val="auto"/>
          <w:highlight w:val="none"/>
        </w:rPr>
        <w:t>3.</w:t>
      </w:r>
      <w:r>
        <w:rPr>
          <w:rFonts w:hint="eastAsia" w:ascii="宋体" w:hAnsi="宋体"/>
          <w:color w:val="auto"/>
          <w:highlight w:val="none"/>
        </w:rPr>
        <w:t>CA</w:t>
      </w:r>
      <w:r>
        <w:rPr>
          <w:rFonts w:hint="eastAsia"/>
          <w:color w:val="auto"/>
          <w:highlight w:val="none"/>
        </w:rPr>
        <w:t>证书</w:t>
      </w:r>
      <w:r>
        <w:rPr>
          <w:rFonts w:hint="eastAsia" w:ascii="宋体" w:hAnsi="宋体"/>
          <w:color w:val="auto"/>
          <w:highlight w:val="none"/>
        </w:rPr>
        <w:t>到期或即将到期，须在递交投标文件前办理续期。</w:t>
      </w:r>
    </w:p>
    <w:p w14:paraId="7EA24A0F">
      <w:pPr>
        <w:spacing w:line="400" w:lineRule="exact"/>
        <w:ind w:firstLine="420"/>
        <w:rPr>
          <w:color w:val="auto"/>
          <w:highlight w:val="none"/>
        </w:rPr>
      </w:pPr>
      <w:r>
        <w:rPr>
          <w:rFonts w:hint="eastAsia" w:ascii="宋体" w:hAnsi="宋体"/>
          <w:color w:val="auto"/>
          <w:highlight w:val="none"/>
        </w:rPr>
        <w:t>4</w:t>
      </w:r>
      <w:r>
        <w:rPr>
          <w:rFonts w:ascii="宋体" w:hAnsi="宋体"/>
          <w:color w:val="auto"/>
          <w:highlight w:val="none"/>
        </w:rPr>
        <w:t>.</w:t>
      </w:r>
      <w:r>
        <w:rPr>
          <w:rFonts w:hint="eastAsia" w:ascii="宋体" w:hAnsi="宋体"/>
          <w:color w:val="auto"/>
          <w:highlight w:val="none"/>
        </w:rPr>
        <w:t>CA锁</w:t>
      </w:r>
      <w:r>
        <w:rPr>
          <w:rFonts w:hint="eastAsia"/>
          <w:color w:val="auto"/>
          <w:highlight w:val="none"/>
        </w:rPr>
        <w:t>遗失、损坏等无法使用，须在递交投标文件前补办CA锁。</w:t>
      </w:r>
    </w:p>
    <w:p w14:paraId="6DFC78C6">
      <w:pPr>
        <w:spacing w:line="400" w:lineRule="exact"/>
        <w:ind w:firstLine="420"/>
        <w:rPr>
          <w:color w:val="auto"/>
          <w:highlight w:val="none"/>
        </w:rPr>
      </w:pPr>
      <w:r>
        <w:rPr>
          <w:rFonts w:ascii="宋体" w:hAnsi="宋体"/>
          <w:color w:val="auto"/>
          <w:highlight w:val="none"/>
        </w:rPr>
        <w:t>5.</w:t>
      </w:r>
      <w:r>
        <w:rPr>
          <w:rFonts w:hint="eastAsia" w:ascii="宋体" w:hAnsi="宋体"/>
          <w:color w:val="auto"/>
          <w:highlight w:val="none"/>
        </w:rPr>
        <w:t>企业</w:t>
      </w:r>
      <w:r>
        <w:rPr>
          <w:rFonts w:hint="eastAsia"/>
          <w:color w:val="auto"/>
          <w:highlight w:val="none"/>
        </w:rPr>
        <w:t>信息（包括但不限于企业名称和法定代表人信息）发生变更的，须在递交投标文件前变更CA证书。</w:t>
      </w:r>
    </w:p>
    <w:p w14:paraId="7B68C4A2">
      <w:pPr>
        <w:spacing w:line="400" w:lineRule="exact"/>
        <w:rPr>
          <w:rFonts w:ascii="宋体" w:hAnsi="宋体"/>
          <w:color w:val="auto"/>
          <w:highlight w:val="none"/>
        </w:rPr>
      </w:pPr>
      <w:r>
        <w:rPr>
          <w:rFonts w:ascii="宋体" w:hAnsi="宋体"/>
          <w:color w:val="auto"/>
          <w:highlight w:val="none"/>
        </w:rPr>
        <w:tab/>
      </w:r>
      <w:r>
        <w:rPr>
          <w:rFonts w:ascii="宋体" w:hAnsi="宋体"/>
          <w:color w:val="auto"/>
          <w:highlight w:val="none"/>
        </w:rPr>
        <w:t>6.</w:t>
      </w:r>
      <w:r>
        <w:rPr>
          <w:rFonts w:hint="eastAsia" w:ascii="宋体" w:hAnsi="宋体"/>
          <w:color w:val="auto"/>
          <w:highlight w:val="none"/>
        </w:rPr>
        <w:t>投标人由于</w:t>
      </w:r>
      <w:r>
        <w:rPr>
          <w:rFonts w:hint="eastAsia"/>
          <w:color w:val="auto"/>
          <w:highlight w:val="none"/>
        </w:rPr>
        <w:t>CA证书</w:t>
      </w:r>
      <w:r>
        <w:rPr>
          <w:rFonts w:hint="eastAsia" w:ascii="宋体" w:hAnsi="宋体"/>
          <w:color w:val="auto"/>
          <w:highlight w:val="none"/>
        </w:rPr>
        <w:t>遗失、损坏、更换、续期、企业信息变更等情况导致投标文件无法解密的，由投标人自行承担责任；</w:t>
      </w:r>
    </w:p>
    <w:p w14:paraId="25AB11FF">
      <w:pPr>
        <w:spacing w:line="400" w:lineRule="exact"/>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加密和解密投标文件</w:t>
      </w:r>
      <w:r>
        <w:rPr>
          <w:rFonts w:hint="eastAsia"/>
          <w:color w:val="auto"/>
          <w:highlight w:val="none"/>
        </w:rPr>
        <w:t>必须使用同一个CA证书</w:t>
      </w:r>
      <w:r>
        <w:rPr>
          <w:rFonts w:hint="eastAsia" w:ascii="宋体" w:hAnsi="宋体"/>
          <w:color w:val="auto"/>
          <w:highlight w:val="none"/>
        </w:rPr>
        <w:t>。</w:t>
      </w:r>
    </w:p>
    <w:p w14:paraId="54253DFC">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二</w:t>
      </w:r>
      <w:r>
        <w:rPr>
          <w:rFonts w:ascii="黑体" w:hAnsi="黑体" w:eastAsia="黑体"/>
          <w:color w:val="auto"/>
          <w:highlight w:val="none"/>
        </w:rPr>
        <w:t>、制作、签章、加密、上传电子投标文件</w:t>
      </w:r>
    </w:p>
    <w:p w14:paraId="68424164">
      <w:pPr>
        <w:spacing w:line="400" w:lineRule="exact"/>
        <w:ind w:firstLine="420" w:firstLineChars="200"/>
        <w:rPr>
          <w:rStyle w:val="56"/>
          <w:color w:val="auto"/>
          <w:highlight w:val="none"/>
        </w:rPr>
      </w:pPr>
      <w:r>
        <w:rPr>
          <w:rFonts w:ascii="宋体" w:hAnsi="宋体"/>
          <w:color w:val="auto"/>
          <w:highlight w:val="none"/>
        </w:rPr>
        <w:t>8.</w:t>
      </w:r>
      <w:r>
        <w:rPr>
          <w:rFonts w:hint="eastAsia" w:ascii="宋体" w:hAnsi="宋体"/>
          <w:color w:val="auto"/>
          <w:highlight w:val="none"/>
        </w:rPr>
        <w:t>本项目采用全流程电子化招标采购方式，潜在</w:t>
      </w:r>
      <w:r>
        <w:rPr>
          <w:rFonts w:hint="eastAsia"/>
          <w:color w:val="auto"/>
          <w:highlight w:val="none"/>
        </w:rPr>
        <w:t>投标人需使用</w:t>
      </w:r>
      <w:r>
        <w:rPr>
          <w:rFonts w:hint="eastAsia" w:ascii="宋体" w:hAnsi="宋体"/>
          <w:color w:val="auto"/>
          <w:highlight w:val="none"/>
        </w:rPr>
        <w:t>“</w:t>
      </w:r>
      <w:r>
        <w:rPr>
          <w:rFonts w:ascii="宋体" w:hAnsi="宋体"/>
          <w:color w:val="auto"/>
          <w:highlight w:val="none"/>
        </w:rPr>
        <w:t>优质采投标工具</w:t>
      </w:r>
      <w:r>
        <w:rPr>
          <w:rFonts w:hint="eastAsia" w:ascii="宋体" w:hAnsi="宋体"/>
          <w:color w:val="auto"/>
          <w:highlight w:val="none"/>
        </w:rPr>
        <w:t>客户端”（以下简称“投标工具”）制作</w:t>
      </w:r>
      <w:r>
        <w:rPr>
          <w:color w:val="auto"/>
          <w:highlight w:val="none"/>
        </w:rPr>
        <w:t>电子投标文件</w:t>
      </w:r>
      <w:r>
        <w:rPr>
          <w:rFonts w:hint="eastAsia"/>
          <w:color w:val="auto"/>
          <w:highlight w:val="none"/>
        </w:rPr>
        <w:t>，</w:t>
      </w:r>
      <w:r>
        <w:rPr>
          <w:rFonts w:hint="eastAsia" w:ascii="宋体" w:hAnsi="宋体"/>
          <w:color w:val="auto"/>
          <w:highlight w:val="none"/>
        </w:rPr>
        <w:t>投标工具及操作说明下载地址：</w:t>
      </w:r>
      <w:r>
        <w:rPr>
          <w:rStyle w:val="56"/>
          <w:rFonts w:hint="eastAsia"/>
          <w:color w:val="auto"/>
          <w:highlight w:val="none"/>
        </w:rPr>
        <w:fldChar w:fldCharType="begin"/>
      </w:r>
      <w:r>
        <w:rPr>
          <w:rStyle w:val="56"/>
          <w:rFonts w:hint="eastAsia"/>
          <w:color w:val="auto"/>
          <w:highlight w:val="none"/>
        </w:rPr>
        <w:instrText xml:space="preserve"> HYPERLINK "https://toolcdn.youzhicai.com/tools/BidderTools.zip" </w:instrText>
      </w:r>
      <w:r>
        <w:rPr>
          <w:rStyle w:val="56"/>
          <w:rFonts w:hint="eastAsia"/>
          <w:color w:val="auto"/>
          <w:highlight w:val="none"/>
        </w:rPr>
        <w:fldChar w:fldCharType="separate"/>
      </w:r>
      <w:r>
        <w:rPr>
          <w:rStyle w:val="56"/>
          <w:rFonts w:hint="eastAsia"/>
          <w:color w:val="auto"/>
          <w:highlight w:val="none"/>
        </w:rPr>
        <w:t>https://toolcdn.youzhicai.com/tools/BidderTools.zip</w:t>
      </w:r>
      <w:r>
        <w:rPr>
          <w:rStyle w:val="56"/>
          <w:rFonts w:hint="eastAsia"/>
          <w:color w:val="auto"/>
          <w:highlight w:val="none"/>
        </w:rPr>
        <w:fldChar w:fldCharType="end"/>
      </w:r>
      <w:r>
        <w:rPr>
          <w:rStyle w:val="56"/>
          <w:rFonts w:hint="eastAsia"/>
          <w:color w:val="auto"/>
          <w:highlight w:val="none"/>
        </w:rPr>
        <w:t>。</w:t>
      </w:r>
    </w:p>
    <w:p w14:paraId="454F6CC5">
      <w:pPr>
        <w:spacing w:line="400" w:lineRule="exact"/>
        <w:ind w:firstLine="420" w:firstLineChars="200"/>
        <w:rPr>
          <w:rStyle w:val="56"/>
          <w:color w:val="auto"/>
          <w:highlight w:val="none"/>
        </w:rPr>
      </w:pPr>
      <w:r>
        <w:rPr>
          <w:rStyle w:val="56"/>
          <w:color w:val="auto"/>
          <w:highlight w:val="none"/>
        </w:rPr>
        <w:tab/>
      </w:r>
      <w:r>
        <w:rPr>
          <w:rStyle w:val="56"/>
          <w:color w:val="auto"/>
          <w:highlight w:val="none"/>
        </w:rPr>
        <w:t>8.1.投标工具建议在window7或windows10操作系统下使用；</w:t>
      </w:r>
    </w:p>
    <w:p w14:paraId="37DADBB3">
      <w:pPr>
        <w:spacing w:line="400" w:lineRule="exact"/>
        <w:ind w:firstLine="420" w:firstLineChars="200"/>
        <w:rPr>
          <w:rFonts w:hint="eastAsia"/>
          <w:bCs/>
          <w:color w:val="auto"/>
          <w:sz w:val="18"/>
          <w:highlight w:val="none"/>
        </w:rPr>
      </w:pPr>
      <w:r>
        <w:rPr>
          <w:rStyle w:val="56"/>
          <w:color w:val="auto"/>
          <w:highlight w:val="none"/>
        </w:rPr>
        <w:tab/>
      </w:r>
      <w:r>
        <w:rPr>
          <w:rStyle w:val="56"/>
          <w:color w:val="auto"/>
          <w:highlight w:val="none"/>
        </w:rPr>
        <w:t>8.2.电子投标文件编制建议使用</w:t>
      </w:r>
      <w:r>
        <w:rPr>
          <w:color w:val="auto"/>
          <w:highlight w:val="none"/>
        </w:rPr>
        <w:t>office2010版本。</w:t>
      </w:r>
    </w:p>
    <w:p w14:paraId="1B4178D9">
      <w:pPr>
        <w:wordWrap w:val="0"/>
        <w:spacing w:line="400" w:lineRule="exact"/>
        <w:rPr>
          <w:bCs/>
          <w:color w:val="auto"/>
          <w:highlight w:val="none"/>
          <w:u w:val="single"/>
        </w:rPr>
      </w:pPr>
      <w:r>
        <w:rPr>
          <w:rFonts w:ascii="宋体" w:hAnsi="宋体"/>
          <w:color w:val="auto"/>
          <w:highlight w:val="none"/>
        </w:rPr>
        <w:tab/>
      </w:r>
      <w:r>
        <w:rPr>
          <w:rFonts w:hint="eastAsia" w:ascii="宋体" w:hAnsi="宋体"/>
          <w:color w:val="auto"/>
          <w:highlight w:val="none"/>
        </w:rPr>
        <w:t>9</w:t>
      </w:r>
      <w:r>
        <w:rPr>
          <w:rFonts w:ascii="宋体" w:hAnsi="宋体"/>
          <w:color w:val="auto"/>
          <w:highlight w:val="none"/>
        </w:rPr>
        <w:t>.</w:t>
      </w:r>
      <w:r>
        <w:rPr>
          <w:rFonts w:hint="eastAsia"/>
          <w:color w:val="auto"/>
          <w:highlight w:val="none"/>
        </w:rPr>
        <w:t>潜在投标人制作电子投标文件后，需在</w:t>
      </w:r>
      <w:r>
        <w:rPr>
          <w:rFonts w:hint="eastAsia" w:ascii="宋体" w:hAnsi="宋体"/>
          <w:color w:val="auto"/>
          <w:highlight w:val="none"/>
        </w:rPr>
        <w:t>投标工具</w:t>
      </w:r>
      <w:r>
        <w:rPr>
          <w:rFonts w:hint="eastAsia"/>
          <w:color w:val="auto"/>
          <w:highlight w:val="none"/>
        </w:rPr>
        <w:t>对</w:t>
      </w:r>
      <w:r>
        <w:rPr>
          <w:color w:val="auto"/>
          <w:highlight w:val="none"/>
        </w:rPr>
        <w:t>电子</w:t>
      </w:r>
      <w:r>
        <w:rPr>
          <w:rFonts w:hint="eastAsia"/>
          <w:color w:val="auto"/>
          <w:highlight w:val="none"/>
        </w:rPr>
        <w:t>投标文件进行电子签章（项目有特殊说明的除外），并使用CA</w:t>
      </w:r>
      <w:r>
        <w:rPr>
          <w:rFonts w:hint="eastAsia" w:ascii="宋体" w:hAnsi="宋体"/>
          <w:color w:val="auto"/>
          <w:highlight w:val="none"/>
        </w:rPr>
        <w:t>证书进行</w:t>
      </w:r>
      <w:r>
        <w:rPr>
          <w:rFonts w:hint="eastAsia"/>
          <w:color w:val="auto"/>
          <w:highlight w:val="none"/>
        </w:rPr>
        <w:t>加密。在</w:t>
      </w:r>
      <w:r>
        <w:rPr>
          <w:rFonts w:hint="eastAsia" w:ascii="宋体" w:hAnsi="宋体"/>
          <w:color w:val="auto"/>
          <w:highlight w:val="none"/>
        </w:rPr>
        <w:t>投标工具使用</w:t>
      </w:r>
      <w:r>
        <w:rPr>
          <w:rFonts w:ascii="宋体" w:hAnsi="宋体"/>
          <w:color w:val="auto"/>
          <w:highlight w:val="none"/>
        </w:rPr>
        <w:t>CA证书</w:t>
      </w:r>
      <w:r>
        <w:rPr>
          <w:rFonts w:hint="eastAsia"/>
          <w:color w:val="auto"/>
          <w:highlight w:val="none"/>
        </w:rPr>
        <w:t>时需安装“优质采数字证书助手”</w:t>
      </w:r>
      <w:r>
        <w:rPr>
          <w:rFonts w:hint="eastAsia" w:ascii="宋体" w:hAnsi="宋体"/>
          <w:color w:val="auto"/>
          <w:highlight w:val="none"/>
        </w:rPr>
        <w:t xml:space="preserve"> （即数字证书驱动）</w:t>
      </w:r>
      <w:r>
        <w:rPr>
          <w:rFonts w:hint="eastAsia"/>
          <w:color w:val="auto"/>
          <w:highlight w:val="none"/>
        </w:rPr>
        <w:t>，下载地址：</w:t>
      </w:r>
      <w:r>
        <w:rPr>
          <w:rStyle w:val="56"/>
          <w:rFonts w:hint="eastAsia"/>
          <w:color w:val="auto"/>
          <w:highlight w:val="none"/>
        </w:rPr>
        <w:fldChar w:fldCharType="begin"/>
      </w:r>
      <w:r>
        <w:rPr>
          <w:rStyle w:val="56"/>
          <w:rFonts w:hint="eastAsia"/>
          <w:color w:val="auto"/>
          <w:highlight w:val="none"/>
        </w:rPr>
        <w:instrText xml:space="preserve"> HYPERLINK "https://toolcdn.youzhicai.com/ca.zip" </w:instrText>
      </w:r>
      <w:r>
        <w:rPr>
          <w:rStyle w:val="56"/>
          <w:rFonts w:hint="eastAsia"/>
          <w:color w:val="auto"/>
          <w:highlight w:val="none"/>
        </w:rPr>
        <w:fldChar w:fldCharType="separate"/>
      </w:r>
      <w:r>
        <w:rPr>
          <w:rStyle w:val="56"/>
          <w:rFonts w:hint="eastAsia"/>
          <w:color w:val="auto"/>
          <w:highlight w:val="none"/>
        </w:rPr>
        <w:t>https://toolcdn.youzhicai.com/ca.zip</w:t>
      </w:r>
      <w:r>
        <w:rPr>
          <w:rStyle w:val="56"/>
          <w:rFonts w:hint="eastAsia"/>
          <w:color w:val="auto"/>
          <w:highlight w:val="none"/>
        </w:rPr>
        <w:fldChar w:fldCharType="end"/>
      </w:r>
      <w:r>
        <w:rPr>
          <w:rStyle w:val="56"/>
          <w:rFonts w:hint="eastAsia"/>
          <w:color w:val="auto"/>
          <w:highlight w:val="none"/>
        </w:rPr>
        <w:t>。</w:t>
      </w:r>
    </w:p>
    <w:p w14:paraId="2A103985">
      <w:pPr>
        <w:wordWrap w:val="0"/>
        <w:spacing w:line="400" w:lineRule="exact"/>
        <w:rPr>
          <w:rFonts w:ascii="宋体" w:hAnsi="宋体"/>
          <w:color w:val="auto"/>
          <w:highlight w:val="none"/>
        </w:rPr>
      </w:pPr>
      <w:r>
        <w:rPr>
          <w:color w:val="auto"/>
          <w:highlight w:val="none"/>
        </w:rPr>
        <w:tab/>
      </w:r>
      <w:r>
        <w:rPr>
          <w:rFonts w:ascii="宋体" w:hAnsi="宋体"/>
          <w:color w:val="auto"/>
          <w:highlight w:val="none"/>
        </w:rPr>
        <w:t>10.</w:t>
      </w:r>
      <w:r>
        <w:rPr>
          <w:rFonts w:hint="eastAsia" w:ascii="宋体" w:hAnsi="宋体"/>
          <w:color w:val="auto"/>
          <w:highlight w:val="none"/>
        </w:rPr>
        <w:t>潜在投标人完成制作、签章、加密投标文件后，需在</w:t>
      </w:r>
      <w:r>
        <w:rPr>
          <w:rFonts w:hint="eastAsia"/>
          <w:color w:val="auto"/>
          <w:highlight w:val="none"/>
        </w:rPr>
        <w:t>招标文件规定的投标截止时间前在</w:t>
      </w:r>
      <w:r>
        <w:rPr>
          <w:rFonts w:hint="eastAsia" w:ascii="宋体" w:hAnsi="宋体"/>
          <w:color w:val="auto"/>
          <w:highlight w:val="none"/>
        </w:rPr>
        <w:t>投标工具</w:t>
      </w:r>
      <w:r>
        <w:rPr>
          <w:rFonts w:hint="eastAsia"/>
          <w:color w:val="auto"/>
          <w:highlight w:val="none"/>
        </w:rPr>
        <w:t>完成上传。</w:t>
      </w:r>
      <w:r>
        <w:rPr>
          <w:rFonts w:hint="eastAsia" w:ascii="宋体" w:hAnsi="宋体"/>
          <w:color w:val="auto"/>
          <w:highlight w:val="none"/>
        </w:rPr>
        <w:t>投标截止时间以优质采云采购平台（</w:t>
      </w:r>
      <w:r>
        <w:rPr>
          <w:rFonts w:ascii="宋体" w:hAnsi="宋体"/>
          <w:color w:val="auto"/>
          <w:highlight w:val="none"/>
        </w:rPr>
        <w:t>www.youzhicai.com</w:t>
      </w:r>
      <w:r>
        <w:rPr>
          <w:rFonts w:hint="eastAsia" w:ascii="宋体" w:hAnsi="宋体"/>
          <w:color w:val="auto"/>
          <w:highlight w:val="none"/>
        </w:rPr>
        <w:t>）系统的时间为准，如未在投标截止时间前完成电子投标文件上传，系统将自动关闭上传通道。潜在投标人未完成电子投标文件上传的，视为没有递交投标文件。</w:t>
      </w:r>
    </w:p>
    <w:p w14:paraId="5BB743D4">
      <w:pPr>
        <w:wordWrap w:val="0"/>
        <w:spacing w:line="400" w:lineRule="exact"/>
        <w:ind w:firstLine="420"/>
        <w:rPr>
          <w:rFonts w:ascii="宋体" w:hAnsi="宋体"/>
          <w:color w:val="auto"/>
          <w:highlight w:val="none"/>
        </w:rPr>
      </w:pPr>
      <w:r>
        <w:rPr>
          <w:rFonts w:hint="eastAsia" w:ascii="宋体" w:hAnsi="宋体"/>
          <w:color w:val="auto"/>
          <w:highlight w:val="none"/>
        </w:rPr>
        <w:t>1</w:t>
      </w:r>
      <w:r>
        <w:rPr>
          <w:rFonts w:ascii="宋体" w:hAnsi="宋体"/>
          <w:color w:val="auto"/>
          <w:highlight w:val="none"/>
        </w:rPr>
        <w:t>1.</w:t>
      </w:r>
      <w:r>
        <w:rPr>
          <w:rFonts w:hint="eastAsia" w:ascii="宋体" w:hAnsi="宋体"/>
          <w:color w:val="auto"/>
          <w:highlight w:val="none"/>
        </w:rPr>
        <w:t>潜在投标人在投标文件递交截止时间前，可以对其所递交的电子投标文件进行撤回，修改后重新上传。</w:t>
      </w:r>
    </w:p>
    <w:p w14:paraId="4C67A794">
      <w:pPr>
        <w:spacing w:line="400" w:lineRule="exact"/>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2.</w:t>
      </w:r>
      <w:r>
        <w:rPr>
          <w:rFonts w:hint="eastAsia" w:ascii="宋体" w:hAnsi="宋体"/>
          <w:color w:val="auto"/>
          <w:highlight w:val="none"/>
        </w:rPr>
        <w:t>潜在投标人在制作、签章、加密、上传电子投标文件过程中，若存在技术操作问题，请及时联系优质采云采购平台客服人员，客服电话：</w:t>
      </w:r>
      <w:r>
        <w:rPr>
          <w:rFonts w:ascii="宋体" w:hAnsi="宋体"/>
          <w:color w:val="auto"/>
          <w:highlight w:val="none"/>
        </w:rPr>
        <w:t>400-0099-555</w:t>
      </w:r>
      <w:r>
        <w:rPr>
          <w:rFonts w:hint="eastAsia" w:ascii="宋体" w:hAnsi="宋体"/>
          <w:color w:val="auto"/>
          <w:highlight w:val="none"/>
        </w:rPr>
        <w:t>，</w:t>
      </w:r>
      <w:r>
        <w:rPr>
          <w:rFonts w:ascii="宋体" w:hAnsi="宋体"/>
          <w:color w:val="auto"/>
          <w:highlight w:val="none"/>
        </w:rPr>
        <w:t>0551-62220164</w:t>
      </w:r>
      <w:r>
        <w:rPr>
          <w:rFonts w:hint="eastAsia" w:ascii="宋体" w:hAnsi="宋体"/>
          <w:color w:val="auto"/>
          <w:highlight w:val="none"/>
        </w:rPr>
        <w:t>。</w:t>
      </w:r>
    </w:p>
    <w:p w14:paraId="4438F07A">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三</w:t>
      </w:r>
      <w:r>
        <w:rPr>
          <w:rFonts w:ascii="黑体" w:hAnsi="黑体" w:eastAsia="黑体"/>
          <w:color w:val="auto"/>
          <w:highlight w:val="none"/>
        </w:rPr>
        <w:t>、</w:t>
      </w:r>
      <w:r>
        <w:rPr>
          <w:rFonts w:hint="eastAsia" w:ascii="黑体" w:hAnsi="黑体" w:eastAsia="黑体"/>
          <w:color w:val="auto"/>
          <w:highlight w:val="none"/>
        </w:rPr>
        <w:t>开标</w:t>
      </w:r>
      <w:r>
        <w:rPr>
          <w:rFonts w:ascii="黑体" w:hAnsi="黑体" w:eastAsia="黑体"/>
          <w:color w:val="auto"/>
          <w:highlight w:val="none"/>
        </w:rPr>
        <w:t>和解密</w:t>
      </w:r>
    </w:p>
    <w:p w14:paraId="63B7E5BA">
      <w:pPr>
        <w:spacing w:line="400" w:lineRule="exact"/>
        <w:ind w:firstLine="420" w:firstLineChars="200"/>
        <w:rPr>
          <w:rFonts w:ascii="宋体" w:hAnsi="宋体"/>
          <w:color w:val="auto"/>
          <w:highlight w:val="none"/>
        </w:rPr>
      </w:pPr>
      <w:r>
        <w:rPr>
          <w:rFonts w:ascii="宋体" w:hAnsi="宋体"/>
          <w:color w:val="auto"/>
          <w:highlight w:val="none"/>
        </w:rPr>
        <w:t>13.</w:t>
      </w:r>
      <w:r>
        <w:rPr>
          <w:rFonts w:hint="eastAsia" w:ascii="宋体" w:hAnsi="宋体"/>
          <w:color w:val="auto"/>
          <w:highlight w:val="none"/>
        </w:rPr>
        <w:t>招标人或招标代理机构工作人员（以下简称工作人员）根据有关规定登录系统组织开标。投标文件递交截止时间后由投标人使用</w:t>
      </w:r>
      <w:r>
        <w:rPr>
          <w:rFonts w:hint="eastAsia"/>
          <w:color w:val="auto"/>
          <w:highlight w:val="none"/>
        </w:rPr>
        <w:t>CA证书</w:t>
      </w:r>
      <w:r>
        <w:rPr>
          <w:rFonts w:hint="eastAsia" w:ascii="宋体" w:hAnsi="宋体"/>
          <w:color w:val="auto"/>
          <w:highlight w:val="none"/>
        </w:rPr>
        <w:t>解密投标文件，工作人员导入已解密投标文件并公布开标结果。</w:t>
      </w:r>
    </w:p>
    <w:p w14:paraId="759DA097">
      <w:pPr>
        <w:spacing w:line="400" w:lineRule="exact"/>
        <w:ind w:firstLine="420" w:firstLineChars="200"/>
        <w:rPr>
          <w:rFonts w:ascii="宋体" w:hAnsi="宋体"/>
          <w:color w:val="auto"/>
          <w:highlight w:val="none"/>
        </w:rPr>
      </w:pPr>
      <w:r>
        <w:rPr>
          <w:rFonts w:ascii="宋体" w:hAnsi="宋体"/>
          <w:color w:val="auto"/>
          <w:highlight w:val="none"/>
        </w:rPr>
        <w:t>14.</w:t>
      </w:r>
      <w:r>
        <w:rPr>
          <w:rFonts w:hint="eastAsia" w:ascii="宋体" w:hAnsi="宋体"/>
          <w:color w:val="auto"/>
          <w:highlight w:val="none"/>
        </w:rPr>
        <w:t>投标文件可远程解密，投标人无需到达开标现场。招标文件“投标人须知”中另有规定的，从其规定。</w:t>
      </w:r>
    </w:p>
    <w:p w14:paraId="1C54CBCE">
      <w:pPr>
        <w:spacing w:line="400" w:lineRule="exact"/>
        <w:ind w:firstLine="420" w:firstLineChars="200"/>
        <w:rPr>
          <w:rFonts w:ascii="宋体" w:hAnsi="宋体"/>
          <w:color w:val="auto"/>
          <w:highlight w:val="none"/>
        </w:rPr>
      </w:pPr>
      <w:r>
        <w:rPr>
          <w:rFonts w:ascii="宋体" w:hAnsi="宋体"/>
          <w:color w:val="auto"/>
          <w:highlight w:val="none"/>
        </w:rPr>
        <w:t>15.</w:t>
      </w:r>
      <w:r>
        <w:rPr>
          <w:rFonts w:hint="eastAsia" w:ascii="宋体" w:hAnsi="宋体"/>
          <w:color w:val="auto"/>
          <w:highlight w:val="none"/>
        </w:rPr>
        <w:t>潜在投标人须按照招标文件的要求在投标文件递交截止时间前登录投标工具并保持在线，关注开标互动大厅消息直到项目评审结束。</w:t>
      </w:r>
    </w:p>
    <w:p w14:paraId="39CB2BEE">
      <w:pPr>
        <w:spacing w:line="400" w:lineRule="exact"/>
        <w:ind w:firstLine="420" w:firstLineChars="200"/>
        <w:rPr>
          <w:rFonts w:ascii="宋体" w:hAnsi="宋体"/>
          <w:color w:val="auto"/>
          <w:highlight w:val="none"/>
        </w:rPr>
      </w:pPr>
      <w:r>
        <w:rPr>
          <w:rFonts w:ascii="宋体" w:hAnsi="宋体"/>
          <w:color w:val="auto"/>
          <w:highlight w:val="none"/>
        </w:rPr>
        <w:t>16.</w:t>
      </w:r>
      <w:r>
        <w:rPr>
          <w:rFonts w:hint="eastAsia" w:ascii="宋体" w:hAnsi="宋体"/>
          <w:color w:val="auto"/>
          <w:highlight w:val="none"/>
        </w:rPr>
        <w:t>投标文件解密时限为投标文件递交截止时间后</w:t>
      </w:r>
      <w:r>
        <w:rPr>
          <w:rFonts w:ascii="宋体" w:hAnsi="宋体"/>
          <w:color w:val="auto"/>
          <w:highlight w:val="none"/>
        </w:rPr>
        <w:t>30</w:t>
      </w:r>
      <w:r>
        <w:rPr>
          <w:rFonts w:hint="eastAsia" w:ascii="宋体" w:hAnsi="宋体"/>
          <w:color w:val="auto"/>
          <w:highlight w:val="none"/>
        </w:rPr>
        <w:t>分钟（招标文件</w:t>
      </w:r>
      <w:r>
        <w:rPr>
          <w:rFonts w:ascii="宋体" w:hAnsi="宋体"/>
          <w:color w:val="auto"/>
          <w:highlight w:val="none"/>
        </w:rPr>
        <w:t>“</w:t>
      </w:r>
      <w:r>
        <w:rPr>
          <w:rFonts w:hint="eastAsia" w:ascii="宋体" w:hAnsi="宋体"/>
          <w:color w:val="auto"/>
          <w:highlight w:val="none"/>
        </w:rPr>
        <w:t>投标人须知</w:t>
      </w:r>
      <w:r>
        <w:rPr>
          <w:rFonts w:ascii="宋体" w:hAnsi="宋体"/>
          <w:color w:val="auto"/>
          <w:highlight w:val="none"/>
        </w:rPr>
        <w:t>”</w:t>
      </w:r>
      <w:r>
        <w:rPr>
          <w:rFonts w:hint="eastAsia" w:ascii="宋体" w:hAnsi="宋体"/>
          <w:color w:val="auto"/>
          <w:highlight w:val="none"/>
        </w:rPr>
        <w:t>中另有规定的，从其规定）。潜在投标人须在投标文件解密时限内完成投标文件解密，未能成功解密的视为放弃投标。招标文件</w:t>
      </w:r>
      <w:r>
        <w:rPr>
          <w:rFonts w:ascii="宋体" w:hAnsi="宋体"/>
          <w:color w:val="auto"/>
          <w:highlight w:val="none"/>
        </w:rPr>
        <w:t>“</w:t>
      </w:r>
      <w:r>
        <w:rPr>
          <w:rFonts w:hint="eastAsia" w:ascii="宋体" w:hAnsi="宋体"/>
          <w:color w:val="auto"/>
          <w:highlight w:val="none"/>
        </w:rPr>
        <w:t>投标人须知</w:t>
      </w:r>
      <w:r>
        <w:rPr>
          <w:rFonts w:ascii="宋体" w:hAnsi="宋体"/>
          <w:color w:val="auto"/>
          <w:highlight w:val="none"/>
        </w:rPr>
        <w:t>”</w:t>
      </w:r>
      <w:r>
        <w:rPr>
          <w:rFonts w:hint="eastAsia" w:ascii="宋体" w:hAnsi="宋体"/>
          <w:color w:val="auto"/>
          <w:highlight w:val="none"/>
        </w:rPr>
        <w:t>中对投标文件解密设有线下补救方案的，执行该补救方案。</w:t>
      </w:r>
    </w:p>
    <w:p w14:paraId="5CDDEDAE">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四</w:t>
      </w:r>
      <w:r>
        <w:rPr>
          <w:rFonts w:ascii="黑体" w:hAnsi="黑体" w:eastAsia="黑体"/>
          <w:color w:val="auto"/>
          <w:highlight w:val="none"/>
        </w:rPr>
        <w:t>、</w:t>
      </w:r>
      <w:r>
        <w:rPr>
          <w:rFonts w:hint="eastAsia" w:ascii="黑体" w:hAnsi="黑体" w:eastAsia="黑体"/>
          <w:color w:val="auto"/>
          <w:highlight w:val="none"/>
        </w:rPr>
        <w:t>评标</w:t>
      </w:r>
      <w:r>
        <w:rPr>
          <w:rFonts w:ascii="黑体" w:hAnsi="黑体" w:eastAsia="黑体"/>
          <w:color w:val="auto"/>
          <w:highlight w:val="none"/>
        </w:rPr>
        <w:t>和询标</w:t>
      </w:r>
    </w:p>
    <w:p w14:paraId="1CE7882A">
      <w:pPr>
        <w:spacing w:line="400" w:lineRule="exact"/>
        <w:ind w:firstLine="420" w:firstLineChars="200"/>
        <w:rPr>
          <w:rFonts w:ascii="宋体" w:hAnsi="宋体"/>
          <w:color w:val="auto"/>
          <w:highlight w:val="none"/>
        </w:rPr>
      </w:pPr>
      <w:r>
        <w:rPr>
          <w:rFonts w:ascii="宋体" w:hAnsi="宋体"/>
          <w:color w:val="auto"/>
          <w:highlight w:val="none"/>
        </w:rPr>
        <w:t>17.</w:t>
      </w:r>
      <w:r>
        <w:rPr>
          <w:rFonts w:hint="eastAsia" w:ascii="宋体" w:hAnsi="宋体"/>
          <w:color w:val="auto"/>
          <w:highlight w:val="none"/>
        </w:rPr>
        <w:t>评标委员会通过优质采电子评标工具将需要澄清、说明或补正的内容以询标函的形式发送给投标人，投标人</w:t>
      </w:r>
      <w:r>
        <w:rPr>
          <w:rFonts w:ascii="宋体" w:hAnsi="宋体"/>
          <w:color w:val="auto"/>
          <w:highlight w:val="none"/>
        </w:rPr>
        <w:t>/</w:t>
      </w:r>
      <w:r>
        <w:rPr>
          <w:rFonts w:hint="eastAsia" w:ascii="宋体" w:hAnsi="宋体"/>
          <w:color w:val="auto"/>
          <w:highlight w:val="none"/>
        </w:rPr>
        <w:t>供应商应登录投标工具并保持在线状态，以便及时接收评标委员会可能发出的询标函，并在询标函载明的时间内回复，若投标人未及时回复，视为放弃澄清。</w:t>
      </w:r>
    </w:p>
    <w:p w14:paraId="596C4AD4">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五、异常情形</w:t>
      </w:r>
    </w:p>
    <w:p w14:paraId="149829EE">
      <w:pPr>
        <w:spacing w:line="400" w:lineRule="exact"/>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8</w:t>
      </w:r>
      <w:r>
        <w:rPr>
          <w:rFonts w:hint="eastAsia" w:ascii="宋体" w:hAnsi="宋体"/>
          <w:color w:val="auto"/>
          <w:highlight w:val="none"/>
        </w:rPr>
        <w:t>.出现下列情形导致电子交易系统无法正常运行，影响招投标过程的公平、公正和信息安全，经第三方机构认定后，各方当事人免责：</w:t>
      </w:r>
    </w:p>
    <w:p w14:paraId="4D8D2E38">
      <w:pPr>
        <w:spacing w:line="400" w:lineRule="exact"/>
        <w:ind w:firstLine="420" w:firstLineChars="200"/>
        <w:rPr>
          <w:rFonts w:ascii="宋体" w:hAnsi="宋体"/>
          <w:color w:val="auto"/>
          <w:highlight w:val="none"/>
        </w:rPr>
      </w:pPr>
      <w:r>
        <w:rPr>
          <w:rFonts w:hint="eastAsia" w:ascii="宋体" w:hAnsi="宋体"/>
          <w:color w:val="auto"/>
          <w:highlight w:val="none"/>
        </w:rPr>
        <w:t>(1)网络、服务器、数据库发生故障造成无法访问或使用的；</w:t>
      </w:r>
    </w:p>
    <w:p w14:paraId="598020B2">
      <w:pPr>
        <w:spacing w:line="400" w:lineRule="exact"/>
        <w:ind w:firstLine="420" w:firstLineChars="200"/>
        <w:rPr>
          <w:rFonts w:ascii="宋体" w:hAnsi="宋体"/>
          <w:color w:val="auto"/>
          <w:highlight w:val="none"/>
        </w:rPr>
      </w:pPr>
      <w:r>
        <w:rPr>
          <w:rFonts w:hint="eastAsia" w:ascii="宋体" w:hAnsi="宋体"/>
          <w:color w:val="auto"/>
          <w:highlight w:val="none"/>
        </w:rPr>
        <w:t>(2)电力系统发生故障导致电子服务系统或电子交易系统无法运行；</w:t>
      </w:r>
    </w:p>
    <w:p w14:paraId="7538497E">
      <w:pPr>
        <w:spacing w:line="400" w:lineRule="exact"/>
        <w:ind w:firstLine="420" w:firstLineChars="200"/>
        <w:rPr>
          <w:rFonts w:ascii="宋体" w:hAnsi="宋体"/>
          <w:color w:val="auto"/>
          <w:highlight w:val="none"/>
        </w:rPr>
      </w:pPr>
      <w:r>
        <w:rPr>
          <w:rFonts w:hint="eastAsia" w:ascii="宋体" w:hAnsi="宋体"/>
          <w:color w:val="auto"/>
          <w:highlight w:val="none"/>
        </w:rPr>
        <w:t>(3)出现网络攻击、病毒入侵以及电子服务系统或电子交易系统安全漏洞导致无法正常提供服务的；</w:t>
      </w:r>
    </w:p>
    <w:p w14:paraId="6644416C">
      <w:pPr>
        <w:spacing w:line="400" w:lineRule="exact"/>
        <w:ind w:firstLine="420" w:firstLineChars="200"/>
        <w:rPr>
          <w:rFonts w:ascii="宋体" w:hAnsi="宋体"/>
          <w:color w:val="auto"/>
          <w:highlight w:val="none"/>
        </w:rPr>
      </w:pPr>
      <w:r>
        <w:rPr>
          <w:rFonts w:hint="eastAsia" w:ascii="宋体" w:hAnsi="宋体"/>
          <w:color w:val="auto"/>
          <w:highlight w:val="none"/>
        </w:rPr>
        <w:t>(4)其他无法保证招投标过程公平、公正和信息安全的情形。</w:t>
      </w:r>
    </w:p>
    <w:p w14:paraId="34488E13">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六、异常情形处理</w:t>
      </w:r>
    </w:p>
    <w:p w14:paraId="3D1D5EE3">
      <w:pPr>
        <w:spacing w:line="400" w:lineRule="exact"/>
        <w:ind w:firstLine="420" w:firstLineChars="200"/>
        <w:rPr>
          <w:color w:val="auto"/>
          <w:highlight w:val="none"/>
        </w:rPr>
      </w:pPr>
      <w:r>
        <w:rPr>
          <w:rFonts w:hint="eastAsia"/>
          <w:color w:val="auto"/>
          <w:highlight w:val="none"/>
        </w:rPr>
        <w:t>1</w:t>
      </w:r>
      <w:r>
        <w:rPr>
          <w:color w:val="auto"/>
          <w:highlight w:val="none"/>
        </w:rPr>
        <w:t>9</w:t>
      </w:r>
      <w:r>
        <w:rPr>
          <w:rFonts w:hint="eastAsia"/>
          <w:color w:val="auto"/>
          <w:highlight w:val="none"/>
        </w:rPr>
        <w:t>.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0BD21F33">
      <w:pPr>
        <w:spacing w:line="400" w:lineRule="exact"/>
        <w:ind w:firstLine="420" w:firstLineChars="200"/>
        <w:rPr>
          <w:color w:val="auto"/>
          <w:highlight w:val="none"/>
        </w:rPr>
      </w:pPr>
      <w:r>
        <w:rPr>
          <w:rFonts w:hint="eastAsia"/>
          <w:color w:val="auto"/>
          <w:highlight w:val="none"/>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布。</w:t>
      </w:r>
    </w:p>
    <w:p w14:paraId="72582362">
      <w:pPr>
        <w:spacing w:line="400" w:lineRule="exact"/>
        <w:ind w:firstLine="420" w:firstLineChars="200"/>
        <w:rPr>
          <w:color w:val="auto"/>
          <w:highlight w:val="none"/>
        </w:rPr>
      </w:pPr>
      <w:r>
        <w:rPr>
          <w:rFonts w:hint="eastAsia"/>
          <w:color w:val="auto"/>
          <w:highlight w:val="none"/>
        </w:rPr>
        <w:t>（2）项目恢复，导致项目中止的情形消除后，招标人或代理机构应当尽快恢复招投标程序，向投标人发出恢复交易通知，并发布公布；已发出延长中止期限通知的，按通知执行。</w:t>
      </w:r>
    </w:p>
    <w:p w14:paraId="4E1934E1">
      <w:pPr>
        <w:widowControl/>
        <w:adjustRightInd w:val="0"/>
        <w:snapToGrid w:val="0"/>
        <w:spacing w:line="360" w:lineRule="auto"/>
        <w:ind w:firstLine="420" w:firstLineChars="200"/>
        <w:rPr>
          <w:rFonts w:hint="eastAsia" w:ascii="宋体" w:hAnsi="宋体" w:eastAsia="仿宋"/>
          <w:color w:val="auto"/>
          <w:szCs w:val="21"/>
          <w:highlight w:val="none"/>
        </w:rPr>
      </w:pPr>
    </w:p>
    <w:p w14:paraId="54D1E077">
      <w:pPr>
        <w:spacing w:line="360" w:lineRule="auto"/>
        <w:jc w:val="center"/>
        <w:outlineLvl w:val="1"/>
        <w:rPr>
          <w:rFonts w:hint="eastAsia" w:ascii="Cambria" w:hAnsi="Cambria" w:eastAsia="黑体"/>
          <w:b/>
          <w:bCs/>
          <w:color w:val="auto"/>
          <w:sz w:val="32"/>
          <w:szCs w:val="32"/>
          <w:highlight w:val="none"/>
        </w:rPr>
      </w:pPr>
      <w:r>
        <w:rPr>
          <w:rFonts w:hint="eastAsia" w:ascii="宋体" w:hAnsi="宋体" w:eastAsia="仿宋"/>
          <w:color w:val="auto"/>
          <w:szCs w:val="21"/>
          <w:highlight w:val="none"/>
        </w:rPr>
        <w:br w:type="page"/>
      </w:r>
      <w:r>
        <w:rPr>
          <w:rFonts w:ascii="Cambria" w:hAnsi="Cambria" w:eastAsia="黑体"/>
          <w:b/>
          <w:bCs/>
          <w:color w:val="auto"/>
          <w:sz w:val="32"/>
          <w:szCs w:val="32"/>
          <w:highlight w:val="none"/>
        </w:rPr>
        <w:t>附件</w:t>
      </w:r>
      <w:r>
        <w:rPr>
          <w:rFonts w:hint="eastAsia" w:ascii="Cambria" w:hAnsi="Cambria" w:eastAsia="黑体"/>
          <w:b/>
          <w:bCs/>
          <w:color w:val="auto"/>
          <w:sz w:val="32"/>
          <w:szCs w:val="32"/>
          <w:highlight w:val="none"/>
        </w:rPr>
        <w:t>二</w:t>
      </w:r>
      <w:r>
        <w:rPr>
          <w:rFonts w:ascii="Cambria" w:hAnsi="Cambria" w:eastAsia="黑体"/>
          <w:b/>
          <w:bCs/>
          <w:color w:val="auto"/>
          <w:sz w:val="32"/>
          <w:szCs w:val="32"/>
          <w:highlight w:val="none"/>
        </w:rPr>
        <w:t>：</w:t>
      </w:r>
      <w:r>
        <w:rPr>
          <w:rFonts w:hint="eastAsia" w:ascii="Cambria" w:hAnsi="Cambria" w:eastAsia="黑体"/>
          <w:b/>
          <w:bCs/>
          <w:color w:val="auto"/>
          <w:sz w:val="32"/>
          <w:szCs w:val="32"/>
          <w:highlight w:val="none"/>
        </w:rPr>
        <w:t>政府采购供应商询问函和质疑函范本</w:t>
      </w:r>
    </w:p>
    <w:p w14:paraId="2D8D1D78">
      <w:pPr>
        <w:spacing w:line="360" w:lineRule="auto"/>
        <w:jc w:val="cente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询问函范本</w:t>
      </w:r>
    </w:p>
    <w:p w14:paraId="6E49F9E6">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ascii="宋体" w:hAnsi="宋体" w:cs="仿宋"/>
          <w:i/>
          <w:iCs/>
          <w:color w:val="auto"/>
          <w:sz w:val="24"/>
          <w:highlight w:val="none"/>
        </w:rPr>
        <w:t>（如为对采购文件或采购程序的询问或疑问，请按询问函范本或电子交易系统中网上询问格式附件进行提交）</w:t>
      </w:r>
    </w:p>
    <w:p w14:paraId="2F0D6570">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某采购单位、某代理机构：</w:t>
      </w:r>
    </w:p>
    <w:p w14:paraId="009C676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我单位拟参与某项目(某编号)的采购活动，现有以下内容(或条款)存在疑问(或无法理解)，特提出询问。</w:t>
      </w:r>
    </w:p>
    <w:p w14:paraId="0C2E31BD">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一、(事项一)</w:t>
      </w:r>
    </w:p>
    <w:p w14:paraId="4AA6FC6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1、(内容或条款)</w:t>
      </w:r>
    </w:p>
    <w:p w14:paraId="635E0D1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2、(说明疑问或无法理解原因)</w:t>
      </w:r>
    </w:p>
    <w:p w14:paraId="14E5FC2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3、(建议)</w:t>
      </w:r>
    </w:p>
    <w:p w14:paraId="746F9FF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二、(事项二)</w:t>
      </w:r>
    </w:p>
    <w:p w14:paraId="78F1D88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33965E2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随附相关证明材料如下： </w:t>
      </w:r>
    </w:p>
    <w:p w14:paraId="41DC1B8B">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p>
    <w:p w14:paraId="53F061FF">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p>
    <w:p w14:paraId="4D3FE4AA">
      <w:pPr>
        <w:tabs>
          <w:tab w:val="left" w:pos="630"/>
        </w:tabs>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50F614A3">
      <w:pPr>
        <w:rPr>
          <w:rFonts w:ascii="宋体" w:hAnsi="宋体"/>
          <w:b/>
          <w:color w:val="auto"/>
          <w:sz w:val="52"/>
          <w:highlight w:val="none"/>
        </w:rPr>
      </w:pPr>
      <w:r>
        <w:rPr>
          <w:rFonts w:hint="eastAsia" w:ascii="仿宋" w:hAnsi="仿宋" w:eastAsia="仿宋" w:cs="仿宋"/>
          <w:b/>
          <w:bCs/>
          <w:color w:val="auto"/>
          <w:sz w:val="32"/>
          <w:szCs w:val="44"/>
          <w:highlight w:val="none"/>
        </w:rPr>
        <w:br w:type="page"/>
      </w:r>
    </w:p>
    <w:p w14:paraId="1B49A5C9">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581684EA">
      <w:pPr>
        <w:adjustRightInd w:val="0"/>
        <w:snapToGrid w:val="0"/>
        <w:spacing w:before="240" w:beforeLines="100"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一、质疑供应商基本信息</w:t>
      </w:r>
    </w:p>
    <w:p w14:paraId="22404BD7">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3AC537D4">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06B7A164">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C465CDF">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4100B593">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77AA96EA">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7EB55216">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二、质疑项目基本情况</w:t>
      </w:r>
    </w:p>
    <w:p w14:paraId="159B125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1ED5F766">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0479D041">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79D7C752">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7F302FBA">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三、质疑事项具体内容</w:t>
      </w:r>
    </w:p>
    <w:p w14:paraId="70243573">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713322CD">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515880B6">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3AB3B825">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19CBACDA">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3F4C3727">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5CD2B776">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6C08F4C4">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四、与质疑事项相关的质疑请求</w:t>
      </w:r>
    </w:p>
    <w:p w14:paraId="468126C8">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6334188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55EEAC7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0FB2528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978F2CA">
      <w:pPr>
        <w:rPr>
          <w:rFonts w:hint="eastAsia" w:ascii="仿宋" w:hAnsi="仿宋" w:eastAsia="仿宋" w:cs="仿宋"/>
          <w:b/>
          <w:color w:val="auto"/>
          <w:sz w:val="28"/>
          <w:szCs w:val="32"/>
          <w:highlight w:val="none"/>
        </w:rPr>
      </w:pPr>
      <w:bookmarkStart w:id="745" w:name="_Toc11441"/>
      <w:r>
        <w:rPr>
          <w:rFonts w:hint="eastAsia" w:ascii="仿宋" w:hAnsi="仿宋" w:eastAsia="仿宋" w:cs="仿宋"/>
          <w:b/>
          <w:color w:val="auto"/>
          <w:sz w:val="28"/>
          <w:szCs w:val="32"/>
          <w:highlight w:val="none"/>
        </w:rPr>
        <w:t>质疑函制作说明：</w:t>
      </w:r>
      <w:bookmarkEnd w:id="745"/>
    </w:p>
    <w:p w14:paraId="2105EE5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7D79878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授权代表进行质疑的，质疑函应按要求列明“授权代表”的有关内容，并在附件中提交由质疑供应商签署的授权委托书。授权委托书应载明授权代表的姓名或者名称、代理事项、具体权限、期限和相关事项。</w:t>
      </w:r>
    </w:p>
    <w:p w14:paraId="7E47EF0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3.质疑供应商若对项目的某一采购包进行质疑，质疑函中应列明具体包号。</w:t>
      </w:r>
    </w:p>
    <w:p w14:paraId="7D75219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314C21A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68280B94">
      <w:pPr>
        <w:spacing w:line="360" w:lineRule="auto"/>
        <w:ind w:firstLine="435"/>
        <w:rPr>
          <w:rFonts w:hint="eastAsia" w:ascii="宋体" w:hAnsi="宋体" w:cs="宋体"/>
          <w:color w:val="auto"/>
          <w:szCs w:val="28"/>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6.质疑供应商为自然人的，质疑函应由本人签字；质疑供应商为法人或者其他组织的，质疑函应由法定代表人/主要负责人/其授权代表签字或者盖签字章，并加盖公章。</w:t>
      </w:r>
    </w:p>
    <w:p w14:paraId="6C24616D">
      <w:pPr>
        <w:widowControl/>
        <w:adjustRightInd w:val="0"/>
        <w:snapToGrid w:val="0"/>
        <w:spacing w:line="360" w:lineRule="auto"/>
        <w:ind w:firstLine="420" w:firstLineChars="200"/>
        <w:rPr>
          <w:rFonts w:hint="eastAsia" w:ascii="宋体" w:hAnsi="宋体" w:eastAsia="仿宋"/>
          <w:color w:val="auto"/>
          <w:szCs w:val="21"/>
          <w:highlight w:val="none"/>
        </w:rPr>
      </w:pPr>
    </w:p>
    <w:p w14:paraId="77A971BA">
      <w:pPr>
        <w:widowControl/>
        <w:adjustRightInd w:val="0"/>
        <w:snapToGrid w:val="0"/>
        <w:spacing w:line="360" w:lineRule="auto"/>
        <w:ind w:firstLine="420" w:firstLineChars="200"/>
        <w:rPr>
          <w:rFonts w:hint="eastAsia" w:ascii="宋体" w:hAnsi="宋体" w:eastAsia="仿宋"/>
          <w:color w:val="auto"/>
          <w:szCs w:val="21"/>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709BA86B">
      <w:pPr>
        <w:pStyle w:val="3"/>
        <w:widowControl/>
        <w:snapToGrid w:val="0"/>
        <w:spacing w:before="0" w:after="0" w:line="360" w:lineRule="auto"/>
        <w:jc w:val="center"/>
        <w:rPr>
          <w:rFonts w:hint="eastAsia" w:ascii="宋体" w:hAnsi="宋体" w:eastAsia="仿宋"/>
          <w:color w:val="auto"/>
          <w:highlight w:val="none"/>
        </w:rPr>
      </w:pPr>
      <w:bookmarkStart w:id="746" w:name="_Toc445554746"/>
      <w:bookmarkStart w:id="747" w:name="_Toc24366"/>
      <w:bookmarkStart w:id="748" w:name="_Toc466024555"/>
      <w:bookmarkStart w:id="749" w:name="_Toc342297701"/>
      <w:bookmarkStart w:id="750" w:name="_Toc342297699"/>
      <w:bookmarkStart w:id="751" w:name="_Toc342296244"/>
      <w:bookmarkStart w:id="752" w:name="_Toc152042375"/>
      <w:bookmarkStart w:id="753" w:name="_Toc144974565"/>
      <w:bookmarkStart w:id="754" w:name="_Toc152045598"/>
      <w:bookmarkStart w:id="755" w:name="_Toc342296242"/>
      <w:bookmarkStart w:id="756" w:name="_Toc241459648"/>
      <w:bookmarkStart w:id="757" w:name="_Toc179632616"/>
      <w:r>
        <w:rPr>
          <w:rFonts w:hint="eastAsia" w:ascii="宋体" w:hAnsi="宋体" w:eastAsia="仿宋"/>
          <w:color w:val="auto"/>
          <w:highlight w:val="none"/>
        </w:rPr>
        <w:t>第三章  采购需求</w:t>
      </w:r>
      <w:bookmarkEnd w:id="746"/>
      <w:bookmarkEnd w:id="747"/>
      <w:bookmarkEnd w:id="748"/>
    </w:p>
    <w:p w14:paraId="27239AFC">
      <w:pPr>
        <w:pStyle w:val="4"/>
        <w:rPr>
          <w:rStyle w:val="104"/>
          <w:rFonts w:ascii="宋体" w:hAnsi="宋体" w:eastAsia="仿宋"/>
          <w:b/>
          <w:bCs/>
          <w:color w:val="auto"/>
          <w:sz w:val="24"/>
          <w:szCs w:val="24"/>
          <w:highlight w:val="none"/>
        </w:rPr>
      </w:pPr>
      <w:bookmarkStart w:id="758" w:name="_Toc466024556"/>
      <w:bookmarkStart w:id="759" w:name="_Toc455587273"/>
      <w:bookmarkStart w:id="760" w:name="_Toc455587089"/>
      <w:bookmarkStart w:id="761" w:name="_Toc445554747"/>
      <w:r>
        <w:rPr>
          <w:rStyle w:val="104"/>
          <w:rFonts w:hint="eastAsia" w:ascii="宋体" w:hAnsi="宋体" w:eastAsia="仿宋"/>
          <w:b/>
          <w:bCs/>
          <w:color w:val="auto"/>
          <w:sz w:val="24"/>
          <w:szCs w:val="24"/>
          <w:highlight w:val="none"/>
        </w:rPr>
        <w:t xml:space="preserve">1. </w:t>
      </w:r>
      <w:bookmarkEnd w:id="758"/>
      <w:bookmarkEnd w:id="759"/>
      <w:bookmarkEnd w:id="760"/>
      <w:r>
        <w:rPr>
          <w:rStyle w:val="104"/>
          <w:rFonts w:hint="eastAsia" w:ascii="宋体" w:hAnsi="宋体" w:eastAsia="仿宋"/>
          <w:b/>
          <w:bCs/>
          <w:color w:val="auto"/>
          <w:sz w:val="24"/>
          <w:szCs w:val="24"/>
          <w:highlight w:val="none"/>
        </w:rPr>
        <w:t>总体说明</w:t>
      </w:r>
    </w:p>
    <w:p w14:paraId="73F78FF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40F83C8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02FE41F3">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6924FF86">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3429DDF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E5227B3">
      <w:pPr>
        <w:pStyle w:val="4"/>
        <w:rPr>
          <w:rStyle w:val="104"/>
          <w:rFonts w:hint="eastAsia" w:ascii="宋体" w:hAnsi="宋体" w:eastAsia="仿宋"/>
          <w:b/>
          <w:bCs/>
          <w:color w:val="auto"/>
          <w:sz w:val="24"/>
          <w:szCs w:val="24"/>
          <w:highlight w:val="none"/>
        </w:rPr>
      </w:pPr>
      <w:bookmarkStart w:id="762" w:name="_Toc466024557"/>
      <w:bookmarkStart w:id="763" w:name="_Toc455587274"/>
      <w:bookmarkStart w:id="764" w:name="_Toc455587090"/>
      <w:r>
        <w:rPr>
          <w:rStyle w:val="104"/>
          <w:rFonts w:hint="eastAsia" w:ascii="宋体" w:hAnsi="宋体" w:eastAsia="仿宋"/>
          <w:b/>
          <w:bCs/>
          <w:color w:val="auto"/>
          <w:sz w:val="24"/>
          <w:szCs w:val="24"/>
          <w:highlight w:val="none"/>
        </w:rPr>
        <w:t>2. 采购内容及范围</w:t>
      </w:r>
      <w:bookmarkEnd w:id="762"/>
      <w:bookmarkEnd w:id="763"/>
      <w:bookmarkEnd w:id="764"/>
    </w:p>
    <w:p w14:paraId="5511F01F">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47"/>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945"/>
        <w:gridCol w:w="1620"/>
        <w:gridCol w:w="825"/>
        <w:gridCol w:w="1935"/>
        <w:gridCol w:w="1320"/>
        <w:gridCol w:w="1228"/>
      </w:tblGrid>
      <w:tr w14:paraId="5F5C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168657D2">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0B2758D">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3CF7651">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C5980DD">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84DDE70">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1B4D264">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r>
              <w:rPr>
                <w:rFonts w:hint="eastAsia" w:ascii="Calibri" w:hAnsi="宋体" w:eastAsia="仿宋" w:cs="Times New Roman"/>
                <w:color w:val="auto"/>
                <w:sz w:val="24"/>
                <w:highlight w:val="none"/>
              </w:rPr>
              <w:t>所属行业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701D42DC">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291A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vMerge w:val="restart"/>
            <w:tcBorders>
              <w:top w:val="single" w:color="auto" w:sz="4" w:space="0"/>
              <w:left w:val="single" w:color="auto" w:sz="4" w:space="0"/>
              <w:right w:val="single" w:color="auto" w:sz="4" w:space="0"/>
            </w:tcBorders>
            <w:noWrap w:val="0"/>
            <w:vAlign w:val="center"/>
          </w:tcPr>
          <w:p w14:paraId="0686422C">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02BA7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B1FD9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数字化X射线摄影系统（DR）</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168633C">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bidi="ar"/>
              </w:rPr>
            </w:pPr>
            <w:r>
              <w:rPr>
                <w:rFonts w:hint="eastAsia" w:ascii="仿宋" w:hAnsi="仿宋" w:eastAsia="仿宋" w:cs="宋体"/>
                <w:color w:val="auto"/>
                <w:kern w:val="0"/>
                <w:sz w:val="24"/>
                <w:highlight w:val="none"/>
                <w:lang w:val="en-US" w:eastAsia="zh-CN" w:bidi="ar"/>
              </w:rPr>
              <w:t>3套</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011CD77">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390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C91E0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43E27F7F">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r w14:paraId="3C47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vMerge w:val="continue"/>
            <w:tcBorders>
              <w:left w:val="single" w:color="auto" w:sz="4" w:space="0"/>
              <w:right w:val="single" w:color="auto" w:sz="4" w:space="0"/>
            </w:tcBorders>
            <w:noWrap w:val="0"/>
            <w:vAlign w:val="center"/>
          </w:tcPr>
          <w:p w14:paraId="493514FD">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A4494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D3246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highlight w:val="none"/>
              </w:rPr>
            </w:pPr>
            <w:r>
              <w:rPr>
                <w:rFonts w:hint="eastAsia" w:ascii="仿宋" w:hAnsi="仿宋" w:eastAsia="仿宋" w:cs="宋体"/>
                <w:color w:val="auto"/>
                <w:kern w:val="0"/>
                <w:sz w:val="24"/>
                <w:highlight w:val="none"/>
                <w:lang w:eastAsia="zh-CN" w:bidi="ar"/>
              </w:rPr>
              <w:t>数字化X射线摄影系统（移动DR）</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44415D7">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1套</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2C5BF05">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130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9F472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589EA3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7EB8EEC5">
      <w:pPr>
        <w:widowControl/>
        <w:tabs>
          <w:tab w:val="left" w:pos="1406"/>
        </w:tabs>
        <w:snapToGrid w:val="0"/>
        <w:spacing w:line="360" w:lineRule="auto"/>
        <w:ind w:firstLine="482" w:firstLineChars="200"/>
        <w:rPr>
          <w:rFonts w:hint="eastAsia" w:ascii="宋体" w:hAnsi="宋体" w:eastAsia="仿宋"/>
          <w:b/>
          <w:color w:val="auto"/>
          <w:sz w:val="24"/>
          <w:highlight w:val="none"/>
        </w:rPr>
      </w:pPr>
      <w:r>
        <w:rPr>
          <w:rFonts w:hint="eastAsia" w:ascii="宋体" w:hAnsi="宋体" w:eastAsia="仿宋"/>
          <w:b/>
          <w:color w:val="auto"/>
          <w:sz w:val="24"/>
          <w:highlight w:val="none"/>
        </w:rPr>
        <w:t>2.2 采购范围</w:t>
      </w:r>
    </w:p>
    <w:p w14:paraId="638C3ECA">
      <w:pPr>
        <w:pStyle w:val="25"/>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地点）</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安装（包括提供医院配电箱与所购设备之间所需的电缆、控制柜等各种安装所需的电气设备及材料）、</w:t>
      </w:r>
      <w:r>
        <w:rPr>
          <w:rFonts w:hint="eastAsia" w:ascii="仿宋" w:hAnsi="仿宋" w:eastAsia="仿宋" w:cs="仿宋"/>
          <w:color w:val="auto"/>
          <w:sz w:val="24"/>
          <w:szCs w:val="24"/>
          <w:highlight w:val="none"/>
        </w:rPr>
        <w:t>调试、技术服务、培训、售后服务等所有内容。</w:t>
      </w:r>
    </w:p>
    <w:p w14:paraId="24064F9C">
      <w:pPr>
        <w:pStyle w:val="4"/>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50A6AE0C">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3D13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6A5F8F22">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交付（实施）的时间（期限）</w:t>
            </w:r>
          </w:p>
        </w:tc>
        <w:tc>
          <w:tcPr>
            <w:tcW w:w="7479" w:type="dxa"/>
            <w:noWrap w:val="0"/>
            <w:vAlign w:val="top"/>
          </w:tcPr>
          <w:p w14:paraId="68291E4A">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4A56E064">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7502DF7D">
            <w:pPr>
              <w:pStyle w:val="90"/>
              <w:keepNext w:val="0"/>
              <w:keepLines w:val="0"/>
              <w:suppressLineNumbers w:val="0"/>
              <w:spacing w:before="0" w:beforeAutospacing="0" w:after="0" w:afterAutospacing="0"/>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F534B70">
            <w:pPr>
              <w:pStyle w:val="90"/>
              <w:keepNext w:val="0"/>
              <w:keepLines w:val="0"/>
              <w:suppressLineNumbers w:val="0"/>
              <w:spacing w:before="0" w:beforeAutospacing="0" w:after="0" w:afterAutospacing="0"/>
              <w:ind w:left="0" w:right="0" w:firstLine="2160" w:firstLineChars="900"/>
              <w:rPr>
                <w:rFonts w:hint="eastAsia"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181C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top"/>
          </w:tcPr>
          <w:p w14:paraId="3D5A1CAD">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交付（实施）的地点（范围）</w:t>
            </w:r>
          </w:p>
        </w:tc>
        <w:tc>
          <w:tcPr>
            <w:tcW w:w="7479" w:type="dxa"/>
            <w:noWrap w:val="0"/>
            <w:vAlign w:val="top"/>
          </w:tcPr>
          <w:p w14:paraId="1EB81A06">
            <w:pPr>
              <w:pStyle w:val="90"/>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蚌埠医科大学第一附属医院</w:t>
            </w:r>
            <w:r>
              <w:rPr>
                <w:rFonts w:hint="eastAsia" w:ascii="宋体" w:hAnsi="宋体" w:eastAsia="仿宋" w:cs="Times New Roman"/>
                <w:color w:val="auto"/>
                <w:sz w:val="24"/>
                <w:highlight w:val="none"/>
                <w:lang w:val="en-US" w:eastAsia="zh-CN"/>
              </w:rPr>
              <w:t>内</w:t>
            </w:r>
            <w:r>
              <w:rPr>
                <w:rFonts w:hint="eastAsia" w:ascii="宋体" w:hAnsi="宋体" w:eastAsia="仿宋" w:cs="Times New Roman"/>
                <w:color w:val="auto"/>
                <w:sz w:val="24"/>
                <w:highlight w:val="none"/>
              </w:rPr>
              <w:t>，招标人指定地点</w:t>
            </w:r>
          </w:p>
        </w:tc>
      </w:tr>
      <w:tr w14:paraId="41BC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651717">
            <w:pPr>
              <w:pStyle w:val="90"/>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付款方式</w:t>
            </w:r>
          </w:p>
        </w:tc>
        <w:tc>
          <w:tcPr>
            <w:tcW w:w="7479" w:type="dxa"/>
            <w:noWrap w:val="0"/>
            <w:vAlign w:val="top"/>
          </w:tcPr>
          <w:p w14:paraId="0B0A89D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预付款支付形式:</w:t>
            </w:r>
          </w:p>
          <w:p w14:paraId="149B79B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1.如所投产品为中小企业生产的，合同生效后，预付合同款的40%(中标人向采购人提交等额的预付款保函或其他担保措施，见索即付，期限至设备到达采购人指定地点时);</w:t>
            </w:r>
          </w:p>
          <w:p w14:paraId="73DED3B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2.如所投产品为非中小企业生产的，合同生效后，预付合同款的20%(中标人向采购人提交等额的预付款保函或其他担保措施，见索即付，期限至设备到达采购人指定地点时)。</w:t>
            </w:r>
          </w:p>
          <w:p w14:paraId="1B3070E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预付款保函要求：</w:t>
            </w:r>
          </w:p>
          <w:p w14:paraId="4AD0544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06A4B68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15FD13A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452F1F3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572F59A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66B82D5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1C5FED6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p w14:paraId="5FC33F7C">
            <w:pPr>
              <w:keepNext w:val="0"/>
              <w:keepLines w:val="0"/>
              <w:suppressLineNumbers w:val="0"/>
              <w:spacing w:before="0" w:beforeAutospacing="0" w:after="0" w:afterAutospacing="0"/>
              <w:ind w:left="0" w:right="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设备完成安装并验收合格后开具全额发票后七个工作日内支付至合同总价的100%。</w:t>
            </w:r>
          </w:p>
          <w:p w14:paraId="0D139AE1">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006C1B28">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6CA0FC86">
            <w:pPr>
              <w:keepNext w:val="0"/>
              <w:keepLines w:val="0"/>
              <w:widowControl/>
              <w:suppressLineNumbers w:val="0"/>
              <w:adjustRightInd w:val="0"/>
              <w:snapToGrid w:val="0"/>
              <w:spacing w:before="0" w:beforeAutospacing="0" w:after="0" w:afterAutospacing="0" w:line="288" w:lineRule="auto"/>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p>
        </w:tc>
      </w:tr>
      <w:tr w14:paraId="0866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677B72F">
            <w:pPr>
              <w:pStyle w:val="90"/>
              <w:keepNext w:val="0"/>
              <w:keepLines w:val="0"/>
              <w:suppressLineNumbers w:val="0"/>
              <w:spacing w:before="0" w:beforeAutospacing="0" w:after="0" w:afterAutospacing="0"/>
              <w:ind w:left="0" w:right="0" w:firstLine="0" w:firstLineChars="0"/>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免费质保期</w:t>
            </w:r>
          </w:p>
        </w:tc>
        <w:tc>
          <w:tcPr>
            <w:tcW w:w="7479" w:type="dxa"/>
            <w:noWrap w:val="0"/>
            <w:vAlign w:val="top"/>
          </w:tcPr>
          <w:p w14:paraId="685908D8">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iCs/>
                <w:color w:val="auto"/>
                <w:sz w:val="24"/>
                <w:highlight w:val="none"/>
              </w:rPr>
            </w:pPr>
            <w:r>
              <w:rPr>
                <w:rFonts w:hint="eastAsia" w:ascii="宋体" w:hAnsi="宋体" w:eastAsia="仿宋" w:cs="Times New Roman"/>
                <w:color w:val="auto"/>
                <w:sz w:val="24"/>
                <w:highlight w:val="none"/>
                <w:lang w:val="en-US" w:eastAsia="zh-CN"/>
              </w:rPr>
              <w:t>免费质保期</w:t>
            </w:r>
            <w:r>
              <w:rPr>
                <w:rFonts w:hint="eastAsia" w:ascii="宋体" w:hAnsi="宋体" w:eastAsia="仿宋" w:cs="Calibri"/>
                <w:color w:val="auto"/>
                <w:sz w:val="24"/>
                <w:highlight w:val="none"/>
              </w:rPr>
              <w:t>：投标人自报，自验收合格之日起不少于</w:t>
            </w:r>
            <w:r>
              <w:rPr>
                <w:rFonts w:hint="eastAsia" w:ascii="宋体" w:hAnsi="宋体" w:eastAsia="仿宋" w:cs="Calibri"/>
                <w:color w:val="auto"/>
                <w:sz w:val="24"/>
                <w:highlight w:val="none"/>
                <w:lang w:val="en-US" w:eastAsia="zh-CN"/>
              </w:rPr>
              <w:t>2</w:t>
            </w:r>
            <w:r>
              <w:rPr>
                <w:rFonts w:hint="eastAsia" w:ascii="仿宋" w:hAnsi="仿宋" w:eastAsia="仿宋" w:cs="仿宋"/>
                <w:iCs/>
                <w:color w:val="auto"/>
                <w:sz w:val="24"/>
                <w:highlight w:val="none"/>
              </w:rPr>
              <w:t>年</w:t>
            </w:r>
          </w:p>
          <w:p w14:paraId="52A59DF2">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14B7E71D">
            <w:pPr>
              <w:pStyle w:val="90"/>
              <w:keepNext w:val="0"/>
              <w:keepLines w:val="0"/>
              <w:suppressLineNumbers w:val="0"/>
              <w:spacing w:before="0" w:beforeAutospacing="0" w:after="0" w:afterAutospacing="0"/>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3712CD6F">
            <w:pPr>
              <w:pStyle w:val="90"/>
              <w:keepNext w:val="0"/>
              <w:keepLines w:val="0"/>
              <w:suppressLineNumbers w:val="0"/>
              <w:spacing w:before="0" w:beforeAutospacing="0" w:after="0" w:afterAutospacing="0"/>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23EAF64A">
      <w:pPr>
        <w:pStyle w:val="90"/>
        <w:ind w:firstLine="480"/>
        <w:rPr>
          <w:rFonts w:ascii="宋体" w:hAnsi="宋体" w:eastAsia="仿宋"/>
          <w:color w:val="auto"/>
          <w:sz w:val="24"/>
          <w:highlight w:val="none"/>
        </w:rPr>
      </w:pPr>
    </w:p>
    <w:bookmarkEnd w:id="761"/>
    <w:p w14:paraId="2B81F9D3">
      <w:pPr>
        <w:pStyle w:val="25"/>
        <w:widowControl/>
        <w:snapToGrid w:val="0"/>
        <w:spacing w:line="360" w:lineRule="auto"/>
        <w:outlineLvl w:val="1"/>
        <w:rPr>
          <w:rStyle w:val="104"/>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765" w:name="_Toc455587275"/>
      <w:bookmarkStart w:id="766" w:name="_Toc455587091"/>
      <w:bookmarkStart w:id="767" w:name="_Toc445554749"/>
      <w:bookmarkStart w:id="768" w:name="_Toc466024558"/>
      <w:r>
        <w:rPr>
          <w:rStyle w:val="104"/>
          <w:rFonts w:hint="eastAsia" w:ascii="宋体" w:hAnsi="宋体" w:eastAsia="仿宋"/>
          <w:color w:val="auto"/>
          <w:sz w:val="24"/>
          <w:szCs w:val="24"/>
          <w:highlight w:val="none"/>
        </w:rPr>
        <w:t>4. 技术要求</w:t>
      </w:r>
      <w:bookmarkEnd w:id="765"/>
      <w:bookmarkEnd w:id="766"/>
      <w:bookmarkEnd w:id="767"/>
      <w:bookmarkEnd w:id="768"/>
    </w:p>
    <w:p w14:paraId="7B9AB339">
      <w:pPr>
        <w:pStyle w:val="25"/>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47"/>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530"/>
        <w:gridCol w:w="6185"/>
      </w:tblGrid>
      <w:tr w14:paraId="6467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pct"/>
            <w:noWrap w:val="0"/>
            <w:vAlign w:val="center"/>
          </w:tcPr>
          <w:p w14:paraId="003DE5AB">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0F7B6FAD">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6EB2A16F">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579A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0032E1EF">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21A58A1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6D2F984">
            <w:pPr>
              <w:keepNext w:val="0"/>
              <w:keepLines w:val="0"/>
              <w:suppressLineNumbers w:val="0"/>
              <w:spacing w:before="0" w:beforeAutospacing="0" w:after="0" w:afterAutospacing="0"/>
              <w:ind w:left="0" w:right="0"/>
              <w:jc w:val="center"/>
              <w:rPr>
                <w:rFonts w:hint="default"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0E25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0BE598E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17EC1C8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201C8FA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229B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20EC405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33C8882B">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31629BDC">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5363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4BF57F37">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lang w:eastAsia="zh-CN"/>
              </w:rPr>
              <w:t>普通</w:t>
            </w:r>
            <w:r>
              <w:rPr>
                <w:rFonts w:hint="eastAsia" w:ascii="仿宋" w:hAnsi="仿宋" w:eastAsia="仿宋" w:cs="仿宋"/>
                <w:color w:val="auto"/>
                <w:sz w:val="24"/>
                <w:highlight w:val="none"/>
              </w:rPr>
              <w:t>参数</w:t>
            </w:r>
          </w:p>
        </w:tc>
        <w:tc>
          <w:tcPr>
            <w:tcW w:w="1530" w:type="dxa"/>
            <w:noWrap w:val="0"/>
            <w:vAlign w:val="center"/>
          </w:tcPr>
          <w:p w14:paraId="62345A2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185" w:type="dxa"/>
            <w:noWrap w:val="0"/>
            <w:vAlign w:val="center"/>
          </w:tcPr>
          <w:p w14:paraId="23DE359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评分项</w:t>
            </w:r>
          </w:p>
        </w:tc>
      </w:tr>
      <w:tr w14:paraId="1407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4FB34533">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FC7FDE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5A6BA85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仿宋" w:hAnsi="仿宋" w:eastAsia="仿宋" w:cs="仿宋"/>
                <w:color w:val="auto"/>
                <w:sz w:val="24"/>
                <w:highlight w:val="none"/>
              </w:rPr>
              <w:t>评分项</w:t>
            </w:r>
          </w:p>
        </w:tc>
      </w:tr>
      <w:tr w14:paraId="5462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1229B570">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2AB77DBC">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1540E3F6">
            <w:pPr>
              <w:keepNext w:val="0"/>
              <w:keepLines w:val="0"/>
              <w:suppressLineNumbers w:val="0"/>
              <w:spacing w:before="0" w:beforeAutospacing="0" w:after="0" w:afterAutospacing="0"/>
              <w:ind w:left="0" w:right="0"/>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（2）须按照第六章投标文件格式十，提供技术要求偏离表和技术响应资料，如不提供视为投标无效。</w:t>
            </w:r>
          </w:p>
        </w:tc>
      </w:tr>
    </w:tbl>
    <w:p w14:paraId="6E88E736">
      <w:pPr>
        <w:pStyle w:val="25"/>
        <w:widowControl/>
        <w:snapToGrid w:val="0"/>
        <w:spacing w:line="360" w:lineRule="auto"/>
        <w:ind w:firstLine="480" w:firstLineChars="200"/>
        <w:rPr>
          <w:rFonts w:hint="eastAsia" w:hAnsi="宋体" w:eastAsia="仿宋"/>
          <w:color w:val="auto"/>
          <w:sz w:val="24"/>
          <w:szCs w:val="24"/>
          <w:highlight w:val="none"/>
        </w:rPr>
      </w:pPr>
    </w:p>
    <w:p w14:paraId="2573B90C">
      <w:pPr>
        <w:pStyle w:val="25"/>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tbl>
      <w:tblPr>
        <w:tblStyle w:val="47"/>
        <w:tblW w:w="912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7"/>
        <w:gridCol w:w="7930"/>
      </w:tblGrid>
      <w:tr w14:paraId="5949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DEA93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bookmarkStart w:id="769" w:name="_Toc9357"/>
            <w:bookmarkStart w:id="770" w:name="_Toc466024564"/>
            <w:bookmarkStart w:id="771" w:name="_Toc445554765"/>
            <w:r>
              <w:rPr>
                <w:rFonts w:hint="eastAsia" w:ascii="仿宋" w:hAnsi="仿宋" w:eastAsia="仿宋" w:cs="仿宋"/>
                <w:i w:val="0"/>
                <w:iCs w:val="0"/>
                <w:color w:val="000000"/>
                <w:kern w:val="0"/>
                <w:sz w:val="24"/>
                <w:szCs w:val="24"/>
                <w:u w:val="none"/>
                <w:lang w:val="en-US" w:eastAsia="zh-CN" w:bidi="ar"/>
              </w:rPr>
              <w:t>序号</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3EEE3A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r>
      <w:tr w14:paraId="0EB2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57E15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7C6AA04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配置一：</w:t>
            </w:r>
            <w:r>
              <w:rPr>
                <w:rFonts w:hint="eastAsia" w:ascii="仿宋" w:hAnsi="仿宋" w:eastAsia="仿宋" w:cs="仿宋"/>
                <w:color w:val="auto"/>
                <w:sz w:val="24"/>
                <w:highlight w:val="none"/>
              </w:rPr>
              <w:t>▲</w:t>
            </w:r>
            <w:r>
              <w:rPr>
                <w:rFonts w:hint="eastAsia" w:ascii="仿宋" w:hAnsi="仿宋" w:eastAsia="仿宋" w:cs="仿宋"/>
                <w:i w:val="0"/>
                <w:iCs w:val="0"/>
                <w:color w:val="000000"/>
                <w:kern w:val="0"/>
                <w:sz w:val="24"/>
                <w:szCs w:val="24"/>
                <w:u w:val="none"/>
                <w:lang w:val="en-US" w:eastAsia="zh-CN" w:bidi="ar"/>
              </w:rPr>
              <w:t>数字化X射线摄影系统（DR）3套，预算价390万元</w:t>
            </w:r>
          </w:p>
        </w:tc>
      </w:tr>
      <w:tr w14:paraId="16A7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7C85D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F2FAE3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高压发生器</w:t>
            </w:r>
          </w:p>
        </w:tc>
      </w:tr>
      <w:tr w14:paraId="66E7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EB2A5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B69431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最大输出功率：≥80KW</w:t>
            </w:r>
          </w:p>
        </w:tc>
      </w:tr>
      <w:tr w14:paraId="1E3F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907F0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9A903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逆变频率：≥200KHZ</w:t>
            </w:r>
          </w:p>
        </w:tc>
      </w:tr>
      <w:tr w14:paraId="4CF4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F73A8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21D50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管电压可调范围：40Kv～150Kv</w:t>
            </w:r>
          </w:p>
        </w:tc>
      </w:tr>
      <w:tr w14:paraId="0CEB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D3F52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520E91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管电流可调范围：10mA～1000mA</w:t>
            </w:r>
          </w:p>
        </w:tc>
      </w:tr>
      <w:tr w14:paraId="0598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7056D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7CED38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毫安秒范围：10-1000mAs</w:t>
            </w:r>
          </w:p>
        </w:tc>
      </w:tr>
      <w:tr w14:paraId="6281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8015A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5ABD7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曝光时间范围：1ms~10s</w:t>
            </w:r>
          </w:p>
        </w:tc>
      </w:tr>
      <w:tr w14:paraId="6C1E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3C699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BA6A23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曝光模式：支持kV+AEC自动曝光模式、kV+mA+AEC自动曝光模式、kV+mAs手动设定参数曝光模、kV+mAs+ms手动设定参数曝光模式、kV+mA+ms手动设定参数等曝光模式</w:t>
            </w:r>
          </w:p>
        </w:tc>
      </w:tr>
      <w:tr w14:paraId="4DEE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8A910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5EC28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X线球管</w:t>
            </w:r>
          </w:p>
        </w:tc>
      </w:tr>
      <w:tr w14:paraId="3C54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A3A75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D834EC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球管最大功率：≥80KW</w:t>
            </w:r>
          </w:p>
        </w:tc>
      </w:tr>
      <w:tr w14:paraId="76BA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AD90F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7B1AD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阳极热容量：≥350kHU</w:t>
            </w:r>
          </w:p>
        </w:tc>
      </w:tr>
      <w:tr w14:paraId="78EA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C8F62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57239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阳极旋转速度：≥9500转/分钟</w:t>
            </w:r>
          </w:p>
        </w:tc>
      </w:tr>
      <w:tr w14:paraId="3E0F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04048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7261606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阳极散热率：95kHU/min</w:t>
            </w:r>
          </w:p>
        </w:tc>
      </w:tr>
      <w:tr w14:paraId="2FD1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4000D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48C54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焦点个数及尺寸：焦点个数≥2个；小焦点≤0.6mm，大焦点≤1.2mm</w:t>
            </w:r>
          </w:p>
        </w:tc>
      </w:tr>
      <w:tr w14:paraId="1F2C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CF05D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129AC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束光器</w:t>
            </w:r>
          </w:p>
        </w:tc>
      </w:tr>
      <w:tr w14:paraId="2A9B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7A09E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BCDB22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激光定位功能：束光器内置激光定位系统</w:t>
            </w:r>
          </w:p>
        </w:tc>
      </w:tr>
      <w:tr w14:paraId="5142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FA7AF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BB097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射线野控制模式：手动电动一体化</w:t>
            </w:r>
          </w:p>
        </w:tc>
      </w:tr>
      <w:tr w14:paraId="63BA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960B2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616681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配置皮尺测量床旁拍照的距离</w:t>
            </w:r>
          </w:p>
        </w:tc>
      </w:tr>
      <w:tr w14:paraId="7809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EC00D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CBD253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束光器内置≥3片可供组合的附加滤过片， 可以组合成≥8档位滤过板</w:t>
            </w:r>
          </w:p>
        </w:tc>
      </w:tr>
      <w:tr w14:paraId="4A75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873EB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FEC775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无线平板探测器（6套，6套平板探测器均须满足以下技术参数要求，在3台设备上相互通用）</w:t>
            </w:r>
          </w:p>
        </w:tc>
      </w:tr>
      <w:tr w14:paraId="71C1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7C56F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C6F00E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数据传输方式：无线</w:t>
            </w:r>
          </w:p>
        </w:tc>
      </w:tr>
      <w:tr w14:paraId="4E9F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398BA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D8638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平板类型：碘化铯/非晶硅整板结构，非拼接平板</w:t>
            </w:r>
          </w:p>
        </w:tc>
      </w:tr>
      <w:tr w14:paraId="6DB2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FC44A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CC2A11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平板尺寸：≥43cm*43cm</w:t>
            </w:r>
          </w:p>
        </w:tc>
      </w:tr>
      <w:tr w14:paraId="06DF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8C611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B117E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像素尺寸：≤130μm</w:t>
            </w:r>
          </w:p>
        </w:tc>
      </w:tr>
      <w:tr w14:paraId="4F10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A2CE0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722F63E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灰阶范围</w:t>
            </w:r>
          </w:p>
        </w:tc>
      </w:tr>
      <w:tr w14:paraId="20C9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37033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B39982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DQE：≥65%</w:t>
            </w:r>
          </w:p>
        </w:tc>
      </w:tr>
      <w:tr w14:paraId="45BC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CDD2D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1D492B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无线平板探测器在线充电功能</w:t>
            </w:r>
          </w:p>
        </w:tc>
      </w:tr>
      <w:tr w14:paraId="7522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EE1D6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95B52C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防护等级</w:t>
            </w:r>
          </w:p>
        </w:tc>
      </w:tr>
      <w:tr w14:paraId="3CA9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057FF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273A3E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电池：配备</w:t>
            </w:r>
          </w:p>
        </w:tc>
      </w:tr>
      <w:tr w14:paraId="0A69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49F8C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80195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滤线栅：配置可拆卸的物理滤线栅</w:t>
            </w:r>
          </w:p>
        </w:tc>
      </w:tr>
      <w:tr w14:paraId="6E4F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47212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5D3C45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球管支架系统</w:t>
            </w:r>
          </w:p>
        </w:tc>
      </w:tr>
      <w:tr w14:paraId="0B3B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3EC04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7E96D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结构：井字轨悬吊式</w:t>
            </w:r>
          </w:p>
        </w:tc>
      </w:tr>
      <w:tr w14:paraId="09FC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FF070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7F0A8F3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驱动方式：电动/手动</w:t>
            </w:r>
          </w:p>
        </w:tc>
      </w:tr>
      <w:tr w14:paraId="651A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52DBC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AF4B5A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球管组件横向运动行程：≥150cm</w:t>
            </w:r>
          </w:p>
        </w:tc>
      </w:tr>
      <w:tr w14:paraId="150A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D8D1E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937DD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球管组件纵向运动行程：≥300cm</w:t>
            </w:r>
          </w:p>
        </w:tc>
      </w:tr>
      <w:tr w14:paraId="36B3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D33A1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8702C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球管组件垂直运动行程:≥180cm</w:t>
            </w:r>
          </w:p>
        </w:tc>
      </w:tr>
      <w:tr w14:paraId="4AA1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978A2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37FFA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球管组件绕垂直轴旋转范围：-90°~+90°</w:t>
            </w:r>
          </w:p>
        </w:tc>
      </w:tr>
      <w:tr w14:paraId="58FD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B4367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EF460F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球管组件绕水平轴旋转范围：-120°～+120°</w:t>
            </w:r>
          </w:p>
        </w:tc>
      </w:tr>
      <w:tr w14:paraId="23E0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A90B2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CCF196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立位最大SID：≥200cm</w:t>
            </w:r>
          </w:p>
        </w:tc>
      </w:tr>
      <w:tr w14:paraId="6D9D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F4ADE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549883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卧位最大SID：≥100cm</w:t>
            </w:r>
          </w:p>
        </w:tc>
      </w:tr>
      <w:tr w14:paraId="06A8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34A36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E03B50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胸片架</w:t>
            </w:r>
          </w:p>
        </w:tc>
      </w:tr>
      <w:tr w14:paraId="589D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91535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D872BD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探测器垂直移动范围：≥150cm</w:t>
            </w:r>
          </w:p>
        </w:tc>
      </w:tr>
      <w:tr w14:paraId="6E7A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682AA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375ABE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探测器倾斜角度范围：-20°~+90°</w:t>
            </w:r>
          </w:p>
        </w:tc>
      </w:tr>
      <w:tr w14:paraId="63FA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B9AE3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3E63E8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控制方式：电动+手动</w:t>
            </w:r>
          </w:p>
        </w:tc>
      </w:tr>
      <w:tr w14:paraId="6D18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C257D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5EE14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胸片架双侧控制面板</w:t>
            </w:r>
          </w:p>
        </w:tc>
      </w:tr>
      <w:tr w14:paraId="0BFC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AEFDC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49D68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电离室：配置物理电离室实现自动曝光</w:t>
            </w:r>
          </w:p>
        </w:tc>
      </w:tr>
      <w:tr w14:paraId="1FE8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144FB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79B4F2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滤线栅：配置物理滤线栅</w:t>
            </w:r>
          </w:p>
        </w:tc>
      </w:tr>
      <w:tr w14:paraId="366A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481BC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882A6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探测器中心到地面最小高度：≤315mm</w:t>
            </w:r>
          </w:p>
        </w:tc>
      </w:tr>
      <w:tr w14:paraId="4412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6DD39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A408C3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电动摄影床</w:t>
            </w:r>
          </w:p>
        </w:tc>
      </w:tr>
      <w:tr w14:paraId="1406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CC456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956DE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床面最低高度:≤50cm</w:t>
            </w:r>
          </w:p>
        </w:tc>
      </w:tr>
      <w:tr w14:paraId="4FD8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4DC63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02E208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床面板横向移动行程:≥20cm</w:t>
            </w:r>
          </w:p>
        </w:tc>
      </w:tr>
      <w:tr w14:paraId="643C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E79B5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79AC9D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床面板纵向移动行程:≥90cm</w:t>
            </w:r>
          </w:p>
        </w:tc>
      </w:tr>
      <w:tr w14:paraId="4600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768B3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734DD82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片盒移动行程:≥60cm</w:t>
            </w:r>
          </w:p>
        </w:tc>
      </w:tr>
      <w:tr w14:paraId="646B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12009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FA9515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床面最大负重量：≥250kg</w:t>
            </w:r>
          </w:p>
        </w:tc>
      </w:tr>
      <w:tr w14:paraId="2EDA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86EBE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D0AD15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电离室：配置物理电离室实现自动曝光</w:t>
            </w:r>
          </w:p>
        </w:tc>
      </w:tr>
      <w:tr w14:paraId="311B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88EE8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45791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滤线栅：配置物理滤线栅</w:t>
            </w:r>
          </w:p>
        </w:tc>
      </w:tr>
      <w:tr w14:paraId="4797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E7C21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F3B76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球管侧近台触控屏</w:t>
            </w:r>
          </w:p>
        </w:tc>
      </w:tr>
      <w:tr w14:paraId="0676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E4DAC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F258B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显示功能：屏幕可显示可依据重力方向自动调整方向显示：患者信息、滤线栅状态、SID数值、球管组件绕水平轴旋转角度等信息。</w:t>
            </w:r>
          </w:p>
        </w:tc>
      </w:tr>
      <w:tr w14:paraId="3903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54C45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72AC95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控制功能：通过触控屏可调整曝光部位选择、光参数（kV，mA，mAs等）等功能。</w:t>
            </w:r>
          </w:p>
        </w:tc>
      </w:tr>
      <w:tr w14:paraId="165D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E251D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EB5436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无线遥控器</w:t>
            </w:r>
          </w:p>
        </w:tc>
      </w:tr>
      <w:tr w14:paraId="11D3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D26DA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07A09A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无线控制方式：射频控制方式，非红外、非蓝牙式</w:t>
            </w:r>
          </w:p>
        </w:tc>
      </w:tr>
      <w:tr w14:paraId="106F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6D46C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52498D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功能：可遥控胸片架及电动床电动升降、支持一键立、卧位，一键临床摆位功能</w:t>
            </w:r>
          </w:p>
        </w:tc>
      </w:tr>
      <w:tr w14:paraId="6B9E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5D996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B34D4C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影像采集工作站</w:t>
            </w:r>
          </w:p>
        </w:tc>
      </w:tr>
      <w:tr w14:paraId="3984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55133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E3AF6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原厂计算机工作站</w:t>
            </w:r>
          </w:p>
        </w:tc>
      </w:tr>
      <w:tr w14:paraId="6E1C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6E1CA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783259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显示器：≥23英寸，最高分辨率≥1920*1080</w:t>
            </w:r>
          </w:p>
        </w:tc>
      </w:tr>
      <w:tr w14:paraId="299A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2ACC4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4FE5B8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图像基本后处理功能：包括但不限于图像预览、缩放、窗宽/窗位调整、标注、反色、翻转、旋转、输入文本、长度测量及校正、裁剪功能、感兴趣区域及角度测量等；</w:t>
            </w:r>
          </w:p>
        </w:tc>
      </w:tr>
      <w:tr w14:paraId="6E3D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61632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7915FA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DICOM3.0接口永久免费开放，支持ICOM Send，DICOM Print，DICOM Storage commitment，DICOM Query/RetrieveDICOM Worklist/MPPS等</w:t>
            </w:r>
          </w:p>
        </w:tc>
      </w:tr>
      <w:tr w14:paraId="0813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73C47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FFA797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长骨拼接功能：提供原厂全自动长骨拼接功能软件，一键自动拍摄，自动拼接，非手动拼接。</w:t>
            </w:r>
          </w:p>
        </w:tc>
      </w:tr>
      <w:tr w14:paraId="78F6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D3081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C8D84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一键自动摆位功能</w:t>
            </w:r>
          </w:p>
        </w:tc>
      </w:tr>
      <w:tr w14:paraId="5742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4A544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C9538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一键立位、卧位切换功能</w:t>
            </w:r>
          </w:p>
        </w:tc>
      </w:tr>
      <w:tr w14:paraId="1327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8D048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F3A62A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一键方式快速完成立位、卧位的机架摆位，包括但不限于SID、投照角度（如一键颈椎前后位、一键跟骨轴位）、投照野等。</w:t>
            </w:r>
          </w:p>
        </w:tc>
      </w:tr>
      <w:tr w14:paraId="2B13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A1D51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67DA7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一键自动摆位支持的预设协议个数≥15个</w:t>
            </w:r>
          </w:p>
        </w:tc>
      </w:tr>
      <w:tr w14:paraId="51D2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099AE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620F96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球管与平板探测器自动对中与自动跟踪功能：立位及卧位拍摄时，球管与平板之间均可实现平行及斜位有角度的自动对中和跟随运动</w:t>
            </w:r>
          </w:p>
        </w:tc>
      </w:tr>
      <w:tr w14:paraId="23A4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BF797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AAA59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支持原厂语音对讲功能以及多语音提示录播功能</w:t>
            </w:r>
          </w:p>
        </w:tc>
      </w:tr>
      <w:tr w14:paraId="6E06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C10CC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6F29DF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内置原厂胸片智能质控软件包</w:t>
            </w:r>
          </w:p>
        </w:tc>
      </w:tr>
      <w:tr w14:paraId="62E7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BC77F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7AE6E0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配置:二：数字化X射线摄影系统（移动DR）1套，预算价130万元</w:t>
            </w:r>
          </w:p>
        </w:tc>
      </w:tr>
      <w:tr w14:paraId="4F8A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BB383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632993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高压发生器</w:t>
            </w:r>
          </w:p>
        </w:tc>
      </w:tr>
      <w:tr w14:paraId="13A5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D5033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EF8802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最大输出功率：≥50KW</w:t>
            </w:r>
          </w:p>
        </w:tc>
      </w:tr>
      <w:tr w14:paraId="7390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11FF2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611E60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逆变频率：≥200kHz</w:t>
            </w:r>
          </w:p>
        </w:tc>
      </w:tr>
      <w:tr w14:paraId="7609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FD6F1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30231D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管电压范围：40Kv～150Kv</w:t>
            </w:r>
          </w:p>
        </w:tc>
      </w:tr>
      <w:tr w14:paraId="0AE8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8E58F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54C8A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最大管电流：≥560mA</w:t>
            </w:r>
          </w:p>
        </w:tc>
      </w:tr>
      <w:tr w14:paraId="410E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83E7F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24C40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最短曝光时间：≤1ms</w:t>
            </w:r>
          </w:p>
        </w:tc>
      </w:tr>
      <w:tr w14:paraId="26AE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BDB46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8FB36E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X射线球管</w:t>
            </w:r>
          </w:p>
        </w:tc>
      </w:tr>
      <w:tr w14:paraId="25A6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1A118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15684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阳极热容量：≥300kHu</w:t>
            </w:r>
          </w:p>
        </w:tc>
      </w:tr>
      <w:tr w14:paraId="4E27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4059A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8687B0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阳极旋转速度：≥3200r/min</w:t>
            </w:r>
          </w:p>
        </w:tc>
      </w:tr>
      <w:tr w14:paraId="061F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D38F8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1E1A5E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阳极散热率：≥1200HU/s</w:t>
            </w:r>
          </w:p>
        </w:tc>
      </w:tr>
      <w:tr w14:paraId="5FA8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4FAC0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DB85BA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焦点个数及尺寸：焦点个数≥2个；小焦点≤0.6mm，大焦点≤1.2mm</w:t>
            </w:r>
          </w:p>
        </w:tc>
      </w:tr>
      <w:tr w14:paraId="70C3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38CB3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57841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束光器</w:t>
            </w:r>
          </w:p>
        </w:tc>
      </w:tr>
      <w:tr w14:paraId="5BAC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87987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27FF6F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激光定位功能：束光器内置激光定位系统</w:t>
            </w:r>
          </w:p>
        </w:tc>
      </w:tr>
      <w:tr w14:paraId="67FC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39B07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EEABF2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射线野控制模式：手动电动一体化</w:t>
            </w:r>
          </w:p>
        </w:tc>
      </w:tr>
      <w:tr w14:paraId="19ED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197B4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52EE9E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配置皮尺测量床旁拍照的距离</w:t>
            </w:r>
          </w:p>
        </w:tc>
      </w:tr>
      <w:tr w14:paraId="6F11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85519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4FC31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无线平板探测器</w:t>
            </w:r>
          </w:p>
        </w:tc>
      </w:tr>
      <w:tr w14:paraId="403E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2A4B1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58FEB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平板材料</w:t>
            </w:r>
          </w:p>
        </w:tc>
      </w:tr>
      <w:tr w14:paraId="5A1E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C71A8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A021CF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成像面积：≥14×17英寸</w:t>
            </w:r>
          </w:p>
        </w:tc>
      </w:tr>
      <w:tr w14:paraId="3E44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1EA35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7C04491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像素尺寸：≤125um</w:t>
            </w:r>
          </w:p>
        </w:tc>
      </w:tr>
      <w:tr w14:paraId="47359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7BDA9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16AD11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灰阶度：≥16bits</w:t>
            </w:r>
          </w:p>
        </w:tc>
      </w:tr>
      <w:tr w14:paraId="6B80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FFEF0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E77289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数据传输方式：无线</w:t>
            </w:r>
          </w:p>
        </w:tc>
      </w:tr>
      <w:tr w14:paraId="1A03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8BC57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CE4346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DQE：≥65%</w:t>
            </w:r>
          </w:p>
        </w:tc>
      </w:tr>
      <w:tr w14:paraId="31EB1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6BE47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AF16A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无线平板探测器在线充电功能：具备</w:t>
            </w:r>
          </w:p>
        </w:tc>
      </w:tr>
      <w:tr w14:paraId="7E6C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92E58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F69802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防护等级：IP54</w:t>
            </w:r>
          </w:p>
        </w:tc>
      </w:tr>
      <w:tr w14:paraId="1DC6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92038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9BE67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电池：单电池曝光数≥400</w:t>
            </w:r>
          </w:p>
        </w:tc>
      </w:tr>
      <w:tr w14:paraId="1E04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CDE9E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D1F986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机架及控制系统</w:t>
            </w:r>
          </w:p>
        </w:tc>
      </w:tr>
      <w:tr w14:paraId="17A1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EC411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41B52D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机架结构：竖直可伸缩可旋转立柱+水平伸缩臂结构，不接受其他形式结构</w:t>
            </w:r>
          </w:p>
        </w:tc>
      </w:tr>
      <w:tr w14:paraId="693F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DC68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A3279F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X射线管绕垂直轴旋转角度范围：-180°~+180°</w:t>
            </w:r>
          </w:p>
        </w:tc>
      </w:tr>
      <w:tr w14:paraId="7300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2B144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56FD8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X射线管绕水平轴旋转角度范围：-180°~+180°</w:t>
            </w:r>
          </w:p>
        </w:tc>
      </w:tr>
      <w:tr w14:paraId="137A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33E9B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923982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X射线管绕水平轴向内、外旋转角度范围：-30°~+90°</w:t>
            </w:r>
          </w:p>
        </w:tc>
      </w:tr>
      <w:tr w14:paraId="7C8C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042CD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573CE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电动移动，设备没电的情况下可以机身解锁切换为手动推行</w:t>
            </w:r>
          </w:p>
        </w:tc>
      </w:tr>
      <w:tr w14:paraId="1D3D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94C0A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811D7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机器前端具备防碰撞功能</w:t>
            </w:r>
          </w:p>
        </w:tc>
      </w:tr>
      <w:tr w14:paraId="21FB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110D2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F2040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最大爬坡角度：≥12°</w:t>
            </w:r>
          </w:p>
        </w:tc>
      </w:tr>
      <w:tr w14:paraId="6E60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AB3DD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A1CDE9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电池续航能力：电动驱动≥50Km，同时≥100次曝光</w:t>
            </w:r>
          </w:p>
        </w:tc>
      </w:tr>
      <w:tr w14:paraId="1A7A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59557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B99F4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即时充电技术：支持边充电边曝光</w:t>
            </w:r>
          </w:p>
        </w:tc>
      </w:tr>
      <w:tr w14:paraId="0000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7B6C0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6553E3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整体机身宽度≤55cm</w:t>
            </w:r>
          </w:p>
        </w:tc>
      </w:tr>
      <w:tr w14:paraId="7C7A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4C0F0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00851D9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图像采集工作站</w:t>
            </w:r>
          </w:p>
        </w:tc>
      </w:tr>
      <w:tr w14:paraId="40F1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0B01B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E35566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原厂计算机工作站</w:t>
            </w:r>
          </w:p>
        </w:tc>
      </w:tr>
      <w:tr w14:paraId="4BF2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7E94D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DA645F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内置一体式触控显示器：≥19英寸</w:t>
            </w:r>
          </w:p>
        </w:tc>
      </w:tr>
      <w:tr w14:paraId="6DD3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5EC78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00132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图像基本后处理功能：包括但不限于图像预览、缩放、窗宽/窗位调整、标注、反色、翻转、旋转、输入文本、长度测量及校正、裁剪功能、感兴趣区域及角度测量等；</w:t>
            </w:r>
          </w:p>
        </w:tc>
      </w:tr>
      <w:tr w14:paraId="1D44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034CA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274347C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DICOM3.0接口永久免费开放，支持ICOM Send，DICOM Print，DICOM Storage commitment，DICOM Query/RetrieveDICOM Worklist/MPPS等</w:t>
            </w:r>
          </w:p>
        </w:tc>
      </w:tr>
      <w:tr w14:paraId="1F25F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DB1DE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175DB34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无线曝光遥控器</w:t>
            </w:r>
          </w:p>
        </w:tc>
      </w:tr>
      <w:tr w14:paraId="421A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5EED3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37DB6D2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无线控制方式：射频控制方式，非红外、非蓝牙式</w:t>
            </w:r>
          </w:p>
        </w:tc>
      </w:tr>
      <w:tr w14:paraId="2F33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3B579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930" w:type="dxa"/>
            <w:tcBorders>
              <w:top w:val="single" w:color="000000" w:sz="4" w:space="0"/>
              <w:left w:val="single" w:color="000000" w:sz="4" w:space="0"/>
              <w:bottom w:val="single" w:color="000000" w:sz="4" w:space="0"/>
              <w:right w:val="single" w:color="000000" w:sz="4" w:space="0"/>
            </w:tcBorders>
            <w:noWrap w:val="0"/>
            <w:vAlign w:val="center"/>
          </w:tcPr>
          <w:p w14:paraId="52F9E3D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可视化（曝光）终端：提供原厂可视化（曝光）终端</w:t>
            </w:r>
          </w:p>
        </w:tc>
      </w:tr>
    </w:tbl>
    <w:p w14:paraId="48BF9453">
      <w:pPr>
        <w:rPr>
          <w:rFonts w:hint="eastAsia" w:ascii="宋体" w:hAnsi="宋体" w:eastAsia="仿宋"/>
          <w:color w:val="auto"/>
          <w:highlight w:val="none"/>
        </w:rPr>
      </w:pPr>
    </w:p>
    <w:p w14:paraId="48BBB067">
      <w:pPr>
        <w:pStyle w:val="25"/>
        <w:widowControl/>
        <w:snapToGrid w:val="0"/>
        <w:spacing w:line="360" w:lineRule="auto"/>
        <w:rPr>
          <w:rFonts w:ascii="Times New Roman" w:hAnsi="Times New Roman"/>
          <w:color w:val="auto"/>
          <w:highlight w:val="none"/>
        </w:rPr>
      </w:pPr>
      <w:r>
        <w:rPr>
          <w:rFonts w:hint="eastAsia" w:ascii="Times New Roman" w:hAnsi="Times New Roman"/>
          <w:color w:val="auto"/>
          <w:highlight w:val="none"/>
        </w:rPr>
        <w:br w:type="page"/>
      </w:r>
      <w:r>
        <w:rPr>
          <w:rStyle w:val="104"/>
          <w:rFonts w:ascii="宋体" w:hAnsi="宋体" w:eastAsia="仿宋"/>
          <w:b/>
          <w:bCs/>
          <w:color w:val="auto"/>
          <w:sz w:val="24"/>
          <w:szCs w:val="24"/>
          <w:highlight w:val="none"/>
        </w:rPr>
        <w:t>5</w:t>
      </w:r>
      <w:r>
        <w:rPr>
          <w:rStyle w:val="104"/>
          <w:rFonts w:hint="eastAsia" w:ascii="宋体" w:hAnsi="宋体" w:eastAsia="仿宋"/>
          <w:b/>
          <w:bCs/>
          <w:color w:val="auto"/>
          <w:sz w:val="24"/>
          <w:szCs w:val="24"/>
          <w:highlight w:val="none"/>
          <w:lang w:val="en-US"/>
        </w:rPr>
        <w:t xml:space="preserve">. </w:t>
      </w:r>
      <w:r>
        <w:rPr>
          <w:rStyle w:val="104"/>
          <w:rFonts w:ascii="宋体" w:hAnsi="宋体" w:eastAsia="仿宋"/>
          <w:b/>
          <w:bCs/>
          <w:color w:val="auto"/>
          <w:sz w:val="24"/>
          <w:szCs w:val="24"/>
          <w:highlight w:val="none"/>
        </w:rPr>
        <w:t>技术支持和售后服务需求（本项需逐条应答）必须响应</w:t>
      </w:r>
    </w:p>
    <w:tbl>
      <w:tblPr>
        <w:tblStyle w:val="47"/>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52"/>
        <w:gridCol w:w="8409"/>
      </w:tblGrid>
      <w:tr w14:paraId="3E29DD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F981A4F">
            <w:pPr>
              <w:keepNext w:val="0"/>
              <w:keepLines w:val="0"/>
              <w:suppressLineNumbers w:val="0"/>
              <w:spacing w:before="0" w:beforeAutospacing="0" w:after="0" w:afterAutospacing="0"/>
              <w:ind w:left="0" w:right="0"/>
              <w:rPr>
                <w:rFonts w:hint="default" w:ascii="Calibri" w:hAnsi="Calibri" w:cs="Times New Roman"/>
                <w:b/>
                <w:color w:val="auto"/>
                <w:sz w:val="24"/>
                <w:highlight w:val="none"/>
              </w:rPr>
            </w:pPr>
            <w:r>
              <w:rPr>
                <w:rFonts w:hint="eastAsia" w:ascii="Calibri" w:hAnsi="Calibri" w:cs="Times New Roman"/>
                <w:b/>
                <w:color w:val="auto"/>
                <w:sz w:val="24"/>
                <w:highlight w:val="none"/>
              </w:rPr>
              <w:t>序号</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57D660EB">
            <w:pPr>
              <w:pStyle w:val="181"/>
              <w:keepNext w:val="0"/>
              <w:keepLines w:val="0"/>
              <w:suppressLineNumbers w:val="0"/>
              <w:tabs>
                <w:tab w:val="left" w:pos="1180"/>
              </w:tabs>
              <w:adjustRightInd w:val="0"/>
              <w:snapToGrid w:val="0"/>
              <w:spacing w:before="0" w:beforeAutospacing="0" w:after="0" w:afterAutospacing="0" w:line="360" w:lineRule="exact"/>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说明与要求</w:t>
            </w:r>
          </w:p>
        </w:tc>
      </w:tr>
      <w:tr w14:paraId="738A36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70644A8">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629BCDF8">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设备须是到货日前</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个月之内生产的全新产品，所有选配功能和部件均须列明清单，并详细说明各选配功能和部件的作用，未列入该清单的均视为标配内容包含在投标价格内。</w:t>
            </w:r>
          </w:p>
        </w:tc>
      </w:tr>
      <w:tr w14:paraId="1F637C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632EA3D">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203F49DD">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lang w:val="zh-CN"/>
              </w:rPr>
            </w:pPr>
            <w:r>
              <w:rPr>
                <w:rFonts w:hint="eastAsia" w:ascii="宋体" w:hAnsi="宋体" w:cs="宋体"/>
                <w:color w:val="auto"/>
                <w:sz w:val="24"/>
                <w:highlight w:val="none"/>
              </w:rPr>
              <w:t>进口产品须提供英文和中文对照版data sheet。投标文件中的外文内容，须提供内容相同的中文对照版。</w:t>
            </w:r>
          </w:p>
        </w:tc>
      </w:tr>
      <w:tr w14:paraId="4344B7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5E5AABE">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7A83325">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投标文件中提供产品彩色样本图。</w:t>
            </w:r>
          </w:p>
        </w:tc>
      </w:tr>
      <w:tr w14:paraId="7FD66F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72BFF311">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EDD6836">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整机原厂免费质保期（中标后合同签订前须提供原厂或原厂指定的售后服务商盖章确认的质保承诺函。免费质保期内，乙方免费提供不低于4次/年的标准化原厂预防性维护保养服务）≧2年，包括投标商提供的所有设备及附属配套部件，含第三方货物；免费质保期满后年维保费单独报价（不得高于投标总价的</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%），不计入投标总价。</w:t>
            </w:r>
          </w:p>
        </w:tc>
      </w:tr>
      <w:tr w14:paraId="7F86AB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2B8B469">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0E6FBBF">
            <w:pPr>
              <w:pStyle w:val="182"/>
              <w:keepNext w:val="0"/>
              <w:keepLines w:val="0"/>
              <w:widowControl/>
              <w:suppressLineNumbers w:val="0"/>
              <w:snapToGrid w:val="0"/>
              <w:spacing w:before="0" w:beforeAutospacing="0" w:after="0" w:afterAutospacing="0" w:line="360" w:lineRule="exact"/>
              <w:ind w:left="0" w:right="0"/>
              <w:rPr>
                <w:rFonts w:hint="eastAsia" w:ascii="宋体" w:hAnsi="宋体" w:cs="宋体"/>
                <w:color w:val="auto"/>
                <w:sz w:val="24"/>
                <w:highlight w:val="none"/>
              </w:rPr>
            </w:pPr>
            <w:r>
              <w:rPr>
                <w:rFonts w:hint="eastAsia" w:ascii="宋体" w:hAnsi="宋体" w:cs="宋体"/>
                <w:color w:val="auto"/>
                <w:sz w:val="24"/>
                <w:highlight w:val="none"/>
              </w:rPr>
              <w:t>投标文件中提供质保期满后的单次维修人工费用报价，该报价不计入投标总价。</w:t>
            </w:r>
          </w:p>
        </w:tc>
      </w:tr>
      <w:tr w14:paraId="02759C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75088DAE">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FBC74CF">
            <w:pPr>
              <w:pStyle w:val="182"/>
              <w:keepNext w:val="0"/>
              <w:keepLines w:val="0"/>
              <w:widowControl/>
              <w:suppressLineNumbers w:val="0"/>
              <w:snapToGrid w:val="0"/>
              <w:spacing w:before="0" w:beforeAutospacing="0" w:after="0" w:afterAutospacing="0" w:line="360" w:lineRule="exact"/>
              <w:ind w:left="0" w:right="0"/>
              <w:rPr>
                <w:rFonts w:hint="eastAsia" w:ascii="宋体" w:hAnsi="宋体" w:cs="宋体"/>
                <w:color w:val="auto"/>
                <w:sz w:val="24"/>
                <w:highlight w:val="none"/>
              </w:rPr>
            </w:pPr>
            <w:r>
              <w:rPr>
                <w:rFonts w:hint="eastAsia" w:ascii="宋体" w:hAnsi="宋体" w:cs="宋体"/>
                <w:color w:val="auto"/>
                <w:sz w:val="24"/>
                <w:highlight w:val="none"/>
              </w:rPr>
              <w:t>投标文件中提供所有价格超过1万元的维修配件清单，清单未提及的维修零配件视为价格低于1万元。</w:t>
            </w:r>
          </w:p>
        </w:tc>
      </w:tr>
      <w:tr w14:paraId="5C72FB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0C48357">
            <w:pPr>
              <w:pStyle w:val="181"/>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179A1F5">
            <w:pPr>
              <w:pStyle w:val="182"/>
              <w:keepNext w:val="0"/>
              <w:keepLines w:val="0"/>
              <w:widowControl/>
              <w:suppressLineNumbers w:val="0"/>
              <w:snapToGrid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提供本设备工作所需的所有消耗品和配套使用的耗材价格清单，价格清单未提及的消耗品和配套使用的耗材视为免费提供。</w:t>
            </w:r>
          </w:p>
        </w:tc>
      </w:tr>
      <w:tr w14:paraId="6F0453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BCD0C6F">
            <w:pPr>
              <w:pStyle w:val="181"/>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569783BE">
            <w:pPr>
              <w:pStyle w:val="181"/>
              <w:keepNext w:val="0"/>
              <w:keepLines w:val="0"/>
              <w:suppressLineNumbers w:val="0"/>
              <w:spacing w:before="0" w:beforeAutospacing="0" w:after="0" w:afterAutospacing="0" w:line="360" w:lineRule="exact"/>
              <w:ind w:left="0" w:right="0"/>
              <w:rPr>
                <w:rFonts w:hint="default" w:ascii="宋体" w:hAnsi="宋体" w:cs="宋体"/>
                <w:bCs/>
                <w:color w:val="auto"/>
                <w:sz w:val="24"/>
                <w:highlight w:val="none"/>
                <w:u w:val="single"/>
              </w:rPr>
            </w:pPr>
            <w:r>
              <w:rPr>
                <w:rFonts w:hint="eastAsia" w:ascii="宋体" w:hAnsi="宋体" w:cs="宋体"/>
                <w:color w:val="auto"/>
                <w:sz w:val="24"/>
                <w:highlight w:val="none"/>
              </w:rPr>
              <w:t>免费提供设备操作使用说明书和维修手册。终身开放进入维修模式的密码和其他维修权限。免费提供远程维修支持。</w:t>
            </w:r>
          </w:p>
        </w:tc>
      </w:tr>
      <w:tr w14:paraId="06238C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5937278">
            <w:pPr>
              <w:pStyle w:val="181"/>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8E3AFCC">
            <w:pPr>
              <w:pStyle w:val="181"/>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kern w:val="10"/>
                <w:sz w:val="24"/>
                <w:highlight w:val="none"/>
              </w:rPr>
            </w:pPr>
            <w:r>
              <w:rPr>
                <w:rFonts w:hint="eastAsia" w:ascii="宋体" w:hAnsi="宋体" w:cs="宋体"/>
                <w:color w:val="auto"/>
                <w:sz w:val="24"/>
                <w:highlight w:val="none"/>
              </w:rPr>
              <w:t>永久免费维护设备所配操作系统和应用软件，5年内免费升级应用软件至最新版本。</w:t>
            </w:r>
          </w:p>
        </w:tc>
      </w:tr>
      <w:tr w14:paraId="443E8A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D90CF5B">
            <w:pPr>
              <w:pStyle w:val="181"/>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10</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668B17D8">
            <w:pPr>
              <w:pStyle w:val="181"/>
              <w:keepNext w:val="0"/>
              <w:keepLines w:val="0"/>
              <w:suppressLineNumbers w:val="0"/>
              <w:spacing w:before="0" w:beforeAutospacing="0" w:after="0" w:afterAutospacing="0" w:line="360" w:lineRule="exact"/>
              <w:ind w:left="0" w:right="0"/>
              <w:rPr>
                <w:rFonts w:hint="default" w:ascii="宋体" w:hAnsi="宋体" w:cs="宋体"/>
                <w:bCs/>
                <w:color w:val="auto"/>
                <w:sz w:val="24"/>
                <w:highlight w:val="none"/>
                <w:u w:val="single"/>
              </w:rPr>
            </w:pPr>
            <w:r>
              <w:rPr>
                <w:rFonts w:hint="eastAsia" w:ascii="宋体" w:hAnsi="宋体" w:cs="宋体"/>
                <w:bCs/>
                <w:color w:val="auto"/>
                <w:sz w:val="24"/>
                <w:highlight w:val="none"/>
                <w:u w:val="none"/>
              </w:rPr>
              <w:t>在</w:t>
            </w:r>
            <w:r>
              <w:rPr>
                <w:rFonts w:hint="eastAsia" w:ascii="宋体" w:hAnsi="宋体" w:cs="宋体"/>
                <w:bCs/>
                <w:color w:val="auto"/>
                <w:sz w:val="24"/>
                <w:highlight w:val="none"/>
                <w:u w:val="none"/>
                <w:lang w:eastAsia="zh-CN"/>
              </w:rPr>
              <w:t>免费质保期</w:t>
            </w:r>
            <w:r>
              <w:rPr>
                <w:rFonts w:hint="eastAsia" w:ascii="宋体" w:hAnsi="宋体" w:cs="宋体"/>
                <w:bCs/>
                <w:color w:val="auto"/>
                <w:sz w:val="24"/>
                <w:highlight w:val="none"/>
                <w:u w:val="none"/>
              </w:rPr>
              <w:t>内应确保开机率95%以上，即每年故障和维修时间少于18天，如超过，则按照1:5顺延保修时间。</w:t>
            </w:r>
          </w:p>
        </w:tc>
      </w:tr>
      <w:tr w14:paraId="1C26C2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493C2F5">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3825DD6A">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维修费用的支付：</w:t>
            </w:r>
            <w:r>
              <w:rPr>
                <w:rFonts w:hint="eastAsia" w:ascii="宋体" w:hAnsi="宋体" w:cs="宋体"/>
                <w:color w:val="auto"/>
                <w:sz w:val="24"/>
                <w:highlight w:val="none"/>
                <w:lang w:eastAsia="zh-CN"/>
              </w:rPr>
              <w:t>免费质保期</w:t>
            </w:r>
            <w:r>
              <w:rPr>
                <w:rFonts w:hint="eastAsia" w:ascii="宋体" w:hAnsi="宋体" w:cs="宋体"/>
                <w:color w:val="auto"/>
                <w:sz w:val="24"/>
                <w:highlight w:val="none"/>
              </w:rPr>
              <w:t>后的维修费用，先维修后付款；零备件的更换：先更换后付款。</w:t>
            </w:r>
          </w:p>
        </w:tc>
      </w:tr>
    </w:tbl>
    <w:p w14:paraId="72A94D43">
      <w:pPr>
        <w:pStyle w:val="3"/>
        <w:widowControl/>
        <w:spacing w:before="0" w:after="0" w:line="240" w:lineRule="auto"/>
        <w:rPr>
          <w:rStyle w:val="104"/>
          <w:rFonts w:hint="eastAsia" w:ascii="宋体" w:hAnsi="宋体" w:eastAsia="仿宋"/>
          <w:b/>
          <w:bCs/>
          <w:color w:val="auto"/>
          <w:sz w:val="24"/>
          <w:szCs w:val="24"/>
          <w:highlight w:val="none"/>
          <w:lang w:val="en-US"/>
        </w:rPr>
      </w:pPr>
    </w:p>
    <w:p w14:paraId="333359BE">
      <w:pPr>
        <w:pStyle w:val="3"/>
        <w:widowControl/>
        <w:numPr>
          <w:ilvl w:val="0"/>
          <w:numId w:val="0"/>
        </w:numPr>
        <w:spacing w:before="0" w:after="0" w:line="360" w:lineRule="auto"/>
        <w:rPr>
          <w:rStyle w:val="104"/>
          <w:rFonts w:hint="eastAsia" w:ascii="宋体" w:hAnsi="宋体"/>
          <w:b w:val="0"/>
          <w:bCs w:val="0"/>
          <w:color w:val="auto"/>
          <w:sz w:val="24"/>
          <w:szCs w:val="24"/>
          <w:highlight w:val="none"/>
        </w:rPr>
      </w:pPr>
      <w:r>
        <w:rPr>
          <w:rFonts w:hint="eastAsia" w:ascii="宋体" w:hAnsi="宋体" w:eastAsia="黑体" w:cs="Times New Roman"/>
          <w:b w:val="0"/>
          <w:bCs w:val="0"/>
          <w:color w:val="auto"/>
          <w:kern w:val="2"/>
          <w:sz w:val="24"/>
          <w:szCs w:val="24"/>
          <w:highlight w:val="none"/>
          <w:lang w:val="en-US" w:eastAsia="zh-CN" w:bidi="ar-SA"/>
        </w:rPr>
        <w:t>6.</w:t>
      </w:r>
      <w:r>
        <w:rPr>
          <w:rStyle w:val="104"/>
          <w:rFonts w:hint="eastAsia" w:ascii="宋体" w:hAnsi="宋体" w:eastAsia="仿宋"/>
          <w:b/>
          <w:bCs/>
          <w:color w:val="auto"/>
          <w:sz w:val="24"/>
          <w:szCs w:val="24"/>
          <w:highlight w:val="none"/>
        </w:rPr>
        <w:t>应急</w:t>
      </w:r>
      <w:r>
        <w:rPr>
          <w:rStyle w:val="104"/>
          <w:rFonts w:hint="eastAsia" w:ascii="宋体" w:hAnsi="宋体" w:eastAsia="仿宋"/>
          <w:b/>
          <w:bCs/>
          <w:color w:val="auto"/>
          <w:sz w:val="24"/>
          <w:szCs w:val="24"/>
          <w:highlight w:val="none"/>
          <w:lang w:val="en-US"/>
        </w:rPr>
        <w:t>服务要求</w:t>
      </w:r>
    </w:p>
    <w:p w14:paraId="6474A3CD">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6.</w:t>
      </w:r>
      <w:r>
        <w:rPr>
          <w:rFonts w:hint="eastAsia" w:ascii="宋体" w:hAnsi="宋体" w:eastAsia="仿宋" w:cs="Times New Roman"/>
          <w:b w:val="0"/>
          <w:bCs w:val="0"/>
          <w:color w:val="auto"/>
          <w:kern w:val="2"/>
          <w:sz w:val="24"/>
          <w:szCs w:val="24"/>
          <w:highlight w:val="none"/>
        </w:rPr>
        <w:t>1备品备件：中标人提供能够满足质量保证期内的设备维修要求的备品备件，备品备件应是新品。</w:t>
      </w:r>
      <w:r>
        <w:rPr>
          <w:rFonts w:hint="eastAsia" w:ascii="宋体" w:hAnsi="宋体" w:eastAsia="仿宋" w:cs="Times New Roman"/>
          <w:b w:val="0"/>
          <w:bCs w:val="0"/>
          <w:color w:val="auto"/>
          <w:kern w:val="2"/>
          <w:sz w:val="24"/>
          <w:szCs w:val="24"/>
          <w:highlight w:val="none"/>
          <w:lang w:val="en-US" w:eastAsia="zh-CN"/>
        </w:rPr>
        <w:t>中标人应</w:t>
      </w:r>
      <w:r>
        <w:rPr>
          <w:rFonts w:hint="eastAsia" w:ascii="宋体" w:hAnsi="宋体" w:eastAsia="仿宋" w:cs="Times New Roman"/>
          <w:b w:val="0"/>
          <w:bCs w:val="0"/>
          <w:color w:val="auto"/>
          <w:kern w:val="2"/>
          <w:sz w:val="24"/>
          <w:szCs w:val="24"/>
          <w:highlight w:val="none"/>
        </w:rPr>
        <w:t>保证10年以上零部件供应期，</w:t>
      </w:r>
      <w:r>
        <w:rPr>
          <w:rFonts w:hint="eastAsia" w:ascii="宋体" w:hAnsi="宋体" w:eastAsia="仿宋" w:cs="Times New Roman"/>
          <w:b w:val="0"/>
          <w:bCs w:val="0"/>
          <w:color w:val="auto"/>
          <w:kern w:val="2"/>
          <w:sz w:val="24"/>
          <w:szCs w:val="24"/>
          <w:highlight w:val="none"/>
          <w:lang w:val="en-US" w:eastAsia="zh-CN"/>
        </w:rPr>
        <w:t>并</w:t>
      </w:r>
      <w:r>
        <w:rPr>
          <w:rFonts w:hint="eastAsia" w:ascii="宋体" w:hAnsi="宋体" w:eastAsia="仿宋" w:cs="Times New Roman"/>
          <w:b w:val="0"/>
          <w:bCs w:val="0"/>
          <w:color w:val="auto"/>
          <w:kern w:val="2"/>
          <w:sz w:val="24"/>
          <w:szCs w:val="24"/>
          <w:highlight w:val="none"/>
        </w:rPr>
        <w:t>对设备故障等突发状况及时响应。</w:t>
      </w:r>
    </w:p>
    <w:p w14:paraId="6112DB57">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6</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专用工具：中标人提供设备安装、调试、验收、维修、保养所必要的专用工具、仪器、仪表等工具。</w:t>
      </w:r>
    </w:p>
    <w:p w14:paraId="7540B289">
      <w:pPr>
        <w:pStyle w:val="3"/>
        <w:widowControl/>
        <w:spacing w:before="0" w:after="0" w:line="360" w:lineRule="auto"/>
        <w:rPr>
          <w:rFonts w:hint="default" w:ascii="宋体" w:hAnsi="宋体" w:eastAsia="仿宋" w:cs="Times New Roman"/>
          <w:b w:val="0"/>
          <w:bCs w:val="0"/>
          <w:color w:val="auto"/>
          <w:kern w:val="2"/>
          <w:sz w:val="24"/>
          <w:szCs w:val="24"/>
          <w:highlight w:val="none"/>
          <w:lang w:val="en-US" w:eastAsia="zh-CN"/>
        </w:rPr>
      </w:pPr>
      <w:r>
        <w:rPr>
          <w:rFonts w:hint="eastAsia" w:ascii="宋体" w:hAnsi="宋体" w:eastAsia="仿宋" w:cs="Times New Roman"/>
          <w:b w:val="0"/>
          <w:bCs w:val="0"/>
          <w:color w:val="auto"/>
          <w:kern w:val="2"/>
          <w:sz w:val="24"/>
          <w:szCs w:val="24"/>
          <w:highlight w:val="none"/>
          <w:lang w:val="en-US" w:eastAsia="zh-CN"/>
        </w:rPr>
        <w:t xml:space="preserve">6.3 </w:t>
      </w:r>
      <w:r>
        <w:rPr>
          <w:rFonts w:hint="eastAsia" w:ascii="宋体" w:hAnsi="宋体" w:eastAsia="仿宋" w:cs="Times New Roman"/>
          <w:b w:val="0"/>
          <w:bCs w:val="0"/>
          <w:color w:val="auto"/>
          <w:kern w:val="2"/>
          <w:sz w:val="24"/>
          <w:szCs w:val="24"/>
          <w:highlight w:val="none"/>
        </w:rPr>
        <w:t>接到报修后应及时响应，若未</w:t>
      </w:r>
      <w:r>
        <w:rPr>
          <w:rFonts w:hint="eastAsia" w:ascii="宋体" w:hAnsi="宋体" w:eastAsia="仿宋" w:cs="Times New Roman"/>
          <w:b w:val="0"/>
          <w:bCs w:val="0"/>
          <w:color w:val="auto"/>
          <w:kern w:val="2"/>
          <w:sz w:val="24"/>
          <w:szCs w:val="24"/>
          <w:highlight w:val="none"/>
          <w:lang w:val="en-US" w:eastAsia="zh-CN"/>
        </w:rPr>
        <w:t>及时</w:t>
      </w:r>
      <w:r>
        <w:rPr>
          <w:rFonts w:hint="eastAsia" w:ascii="宋体" w:hAnsi="宋体" w:eastAsia="仿宋" w:cs="Times New Roman"/>
          <w:b w:val="0"/>
          <w:bCs w:val="0"/>
          <w:color w:val="auto"/>
          <w:kern w:val="2"/>
          <w:sz w:val="24"/>
          <w:szCs w:val="24"/>
          <w:highlight w:val="none"/>
        </w:rPr>
        <w:t>修复设备故障，</w:t>
      </w:r>
      <w:r>
        <w:rPr>
          <w:rFonts w:hint="eastAsia" w:ascii="宋体" w:hAnsi="宋体" w:eastAsia="仿宋" w:cs="Times New Roman"/>
          <w:b w:val="0"/>
          <w:bCs w:val="0"/>
          <w:color w:val="auto"/>
          <w:kern w:val="2"/>
          <w:sz w:val="24"/>
          <w:szCs w:val="24"/>
          <w:highlight w:val="none"/>
          <w:lang w:val="en-US" w:eastAsia="zh-CN"/>
        </w:rPr>
        <w:t>应</w:t>
      </w:r>
      <w:r>
        <w:rPr>
          <w:rFonts w:hint="eastAsia" w:ascii="宋体" w:hAnsi="宋体" w:eastAsia="仿宋" w:cs="Times New Roman"/>
          <w:b w:val="0"/>
          <w:bCs w:val="0"/>
          <w:color w:val="auto"/>
          <w:kern w:val="2"/>
          <w:sz w:val="24"/>
          <w:szCs w:val="24"/>
          <w:highlight w:val="none"/>
        </w:rPr>
        <w:t>提供备用设备供院方使用。</w:t>
      </w:r>
    </w:p>
    <w:p w14:paraId="6EEBCF7C">
      <w:pPr>
        <w:pStyle w:val="3"/>
        <w:widowControl/>
        <w:spacing w:before="0" w:after="0" w:line="360" w:lineRule="auto"/>
        <w:rPr>
          <w:rFonts w:hint="eastAsia" w:ascii="宋体" w:hAnsi="宋体" w:eastAsia="仿宋" w:cs="Times New Roman"/>
          <w:b w:val="0"/>
          <w:bCs w:val="0"/>
          <w:color w:val="auto"/>
          <w:kern w:val="2"/>
          <w:sz w:val="24"/>
          <w:szCs w:val="24"/>
          <w:highlight w:val="none"/>
        </w:rPr>
      </w:pPr>
    </w:p>
    <w:p w14:paraId="49667B86">
      <w:pPr>
        <w:pStyle w:val="3"/>
        <w:widowControl/>
        <w:numPr>
          <w:ilvl w:val="0"/>
          <w:numId w:val="0"/>
        </w:numPr>
        <w:spacing w:before="0" w:after="0" w:line="360" w:lineRule="auto"/>
        <w:rPr>
          <w:rStyle w:val="104"/>
          <w:rFonts w:ascii="宋体" w:hAnsi="宋体" w:eastAsia="仿宋"/>
          <w:b/>
          <w:bCs/>
          <w:color w:val="auto"/>
          <w:sz w:val="24"/>
          <w:szCs w:val="24"/>
          <w:highlight w:val="none"/>
        </w:rPr>
      </w:pPr>
      <w:r>
        <w:rPr>
          <w:rFonts w:ascii="宋体" w:hAnsi="宋体" w:eastAsia="仿宋" w:cs="Times New Roman"/>
          <w:b/>
          <w:bCs/>
          <w:color w:val="auto"/>
          <w:kern w:val="2"/>
          <w:sz w:val="24"/>
          <w:szCs w:val="24"/>
          <w:highlight w:val="none"/>
          <w:lang w:val="en-US" w:eastAsia="zh-CN" w:bidi="ar-SA"/>
        </w:rPr>
        <w:t>7.</w:t>
      </w:r>
      <w:r>
        <w:rPr>
          <w:rStyle w:val="104"/>
          <w:rFonts w:ascii="宋体" w:hAnsi="宋体" w:eastAsia="仿宋"/>
          <w:b/>
          <w:bCs/>
          <w:color w:val="auto"/>
          <w:sz w:val="24"/>
          <w:szCs w:val="24"/>
          <w:highlight w:val="none"/>
        </w:rPr>
        <w:t>安装调试、验收试验及质量保证</w:t>
      </w:r>
    </w:p>
    <w:p w14:paraId="4F357E88">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中标人在设备安装地点负责安装、调试。</w:t>
      </w:r>
    </w:p>
    <w:p w14:paraId="244E21FD">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具体设备验收标准和程序按采购人要求执行，下列验收程序可参照执行：</w:t>
      </w:r>
    </w:p>
    <w:p w14:paraId="4543BF10">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446ED1B">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939525D">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中标人应根据采购人使用单位的技术要求提供相应的产品。由中标人所提供的设备部件间的连线和插接件均应视为设备内部器件，包含在相应的设备之中。</w:t>
      </w:r>
    </w:p>
    <w:p w14:paraId="7F61EA6C">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4）</w:t>
      </w:r>
      <w:r>
        <w:rPr>
          <w:rFonts w:hint="eastAsia" w:ascii="宋体" w:hAnsi="宋体" w:eastAsia="仿宋" w:cs="Times New Roman"/>
          <w:b w:val="0"/>
          <w:bCs w:val="0"/>
          <w:color w:val="auto"/>
          <w:kern w:val="2"/>
          <w:sz w:val="24"/>
          <w:szCs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75B5CC7D">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5）</w:t>
      </w:r>
      <w:r>
        <w:rPr>
          <w:rFonts w:hint="eastAsia" w:ascii="宋体" w:hAnsi="宋体" w:eastAsia="仿宋" w:cs="Times New Roman"/>
          <w:b w:val="0"/>
          <w:bCs w:val="0"/>
          <w:color w:val="auto"/>
          <w:kern w:val="2"/>
          <w:sz w:val="24"/>
          <w:szCs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CF6D07B">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16BD7AB9">
      <w:pPr>
        <w:pStyle w:val="3"/>
        <w:widowControl/>
        <w:spacing w:before="0" w:after="0" w:line="360" w:lineRule="auto"/>
        <w:rPr>
          <w:rFonts w:hint="eastAsia" w:ascii="宋体" w:hAnsi="宋体" w:eastAsia="仿宋" w:cs="Times New Roman"/>
          <w:b w:val="0"/>
          <w:bCs w:val="0"/>
          <w:color w:val="auto"/>
          <w:kern w:val="2"/>
          <w:sz w:val="24"/>
          <w:szCs w:val="24"/>
          <w:highlight w:val="none"/>
        </w:rPr>
      </w:pPr>
    </w:p>
    <w:p w14:paraId="4B31295D">
      <w:pPr>
        <w:pStyle w:val="3"/>
        <w:widowControl/>
        <w:numPr>
          <w:ilvl w:val="0"/>
          <w:numId w:val="0"/>
        </w:numPr>
        <w:spacing w:before="0" w:after="0" w:line="360" w:lineRule="auto"/>
        <w:rPr>
          <w:rFonts w:hint="eastAsia" w:ascii="宋体" w:hAnsi="宋体" w:eastAsia="仿宋" w:cs="Times New Roman"/>
          <w:b/>
          <w:bCs/>
          <w:color w:val="auto"/>
          <w:kern w:val="2"/>
          <w:sz w:val="24"/>
          <w:szCs w:val="24"/>
          <w:highlight w:val="none"/>
        </w:rPr>
      </w:pPr>
      <w:r>
        <w:rPr>
          <w:rFonts w:hint="eastAsia" w:ascii="宋体" w:hAnsi="宋体" w:eastAsia="仿宋" w:cs="Times New Roman"/>
          <w:b/>
          <w:bCs/>
          <w:color w:val="auto"/>
          <w:kern w:val="2"/>
          <w:sz w:val="24"/>
          <w:szCs w:val="24"/>
          <w:highlight w:val="none"/>
          <w:lang w:val="en-US" w:eastAsia="zh-CN" w:bidi="ar-SA"/>
        </w:rPr>
        <w:t>8.</w:t>
      </w:r>
      <w:r>
        <w:rPr>
          <w:rFonts w:hint="eastAsia" w:ascii="宋体" w:hAnsi="宋体" w:eastAsia="仿宋" w:cs="Times New Roman"/>
          <w:b/>
          <w:bCs/>
          <w:color w:val="auto"/>
          <w:kern w:val="2"/>
          <w:sz w:val="24"/>
          <w:szCs w:val="24"/>
          <w:highlight w:val="none"/>
        </w:rPr>
        <w:t>包装运输</w:t>
      </w:r>
    </w:p>
    <w:p w14:paraId="728A817E">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8.1 </w:t>
      </w:r>
      <w:r>
        <w:rPr>
          <w:rFonts w:hint="eastAsia" w:ascii="宋体" w:hAnsi="宋体" w:eastAsia="仿宋" w:cs="Times New Roman"/>
          <w:b w:val="0"/>
          <w:bCs w:val="0"/>
          <w:color w:val="auto"/>
          <w:kern w:val="2"/>
          <w:sz w:val="24"/>
          <w:szCs w:val="24"/>
          <w:highlight w:val="none"/>
        </w:rPr>
        <w:t>中标人负责设备包装、办理运输和保险，将设备安全运抵交货地点。</w:t>
      </w:r>
    </w:p>
    <w:p w14:paraId="6506EA5C">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8.2 </w:t>
      </w:r>
      <w:r>
        <w:rPr>
          <w:rFonts w:hint="eastAsia" w:ascii="宋体" w:hAnsi="宋体" w:eastAsia="仿宋" w:cs="Times New Roman"/>
          <w:b w:val="0"/>
          <w:bCs w:val="0"/>
          <w:color w:val="auto"/>
          <w:kern w:val="2"/>
          <w:sz w:val="24"/>
          <w:szCs w:val="24"/>
          <w:highlight w:val="none"/>
        </w:rPr>
        <w:t>设备制造完成并通过试验后应及时包装，否则应得到切实的保护，确保其不受污损。</w:t>
      </w:r>
    </w:p>
    <w:p w14:paraId="02766A15">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8.3 </w:t>
      </w:r>
      <w:r>
        <w:rPr>
          <w:rFonts w:hint="eastAsia" w:ascii="宋体" w:hAnsi="宋体" w:eastAsia="仿宋" w:cs="Times New Roman"/>
          <w:b w:val="0"/>
          <w:bCs w:val="0"/>
          <w:color w:val="auto"/>
          <w:kern w:val="2"/>
          <w:sz w:val="24"/>
          <w:szCs w:val="24"/>
          <w:highlight w:val="none"/>
        </w:rPr>
        <w:t>在包装箱外应标明采购人的订货号、发货号。</w:t>
      </w:r>
    </w:p>
    <w:p w14:paraId="0DF2AAA2">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.4 </w:t>
      </w:r>
      <w:r>
        <w:rPr>
          <w:rFonts w:hint="eastAsia" w:ascii="宋体" w:hAnsi="宋体" w:eastAsia="仿宋" w:cs="Times New Roman"/>
          <w:b w:val="0"/>
          <w:bCs w:val="0"/>
          <w:color w:val="auto"/>
          <w:kern w:val="2"/>
          <w:sz w:val="24"/>
          <w:szCs w:val="24"/>
          <w:highlight w:val="none"/>
        </w:rPr>
        <w:t>各种包装应能确保各零部件在运输过程中不致遭到损坏、丢失、变形、受潮和腐蚀。</w:t>
      </w:r>
    </w:p>
    <w:p w14:paraId="48CD6C41">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.5 </w:t>
      </w:r>
      <w:r>
        <w:rPr>
          <w:rFonts w:hint="eastAsia" w:ascii="宋体" w:hAnsi="宋体" w:eastAsia="仿宋" w:cs="Times New Roman"/>
          <w:b w:val="0"/>
          <w:bCs w:val="0"/>
          <w:color w:val="auto"/>
          <w:kern w:val="2"/>
          <w:sz w:val="24"/>
          <w:szCs w:val="24"/>
          <w:highlight w:val="none"/>
        </w:rPr>
        <w:t>包装箱上应有明显的包装储运图示标志。</w:t>
      </w:r>
    </w:p>
    <w:p w14:paraId="50A783D6">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.6 </w:t>
      </w:r>
      <w:r>
        <w:rPr>
          <w:rFonts w:hint="eastAsia" w:ascii="宋体" w:hAnsi="宋体" w:eastAsia="仿宋" w:cs="Times New Roman"/>
          <w:b w:val="0"/>
          <w:bCs w:val="0"/>
          <w:color w:val="auto"/>
          <w:kern w:val="2"/>
          <w:sz w:val="24"/>
          <w:szCs w:val="24"/>
          <w:highlight w:val="none"/>
        </w:rPr>
        <w:t>整体产品或分别运输的部件都要适应运输和装载的要求。</w:t>
      </w:r>
    </w:p>
    <w:p w14:paraId="3B04FD25">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.7 </w:t>
      </w:r>
      <w:r>
        <w:rPr>
          <w:rFonts w:hint="eastAsia" w:ascii="宋体" w:hAnsi="宋体" w:eastAsia="仿宋" w:cs="Times New Roman"/>
          <w:b w:val="0"/>
          <w:bCs w:val="0"/>
          <w:color w:val="auto"/>
          <w:kern w:val="2"/>
          <w:sz w:val="24"/>
          <w:szCs w:val="24"/>
          <w:highlight w:val="none"/>
        </w:rPr>
        <w:t>随产品提供的技术资料应完整无缺。</w:t>
      </w:r>
    </w:p>
    <w:p w14:paraId="0820839C">
      <w:pPr>
        <w:pStyle w:val="3"/>
        <w:widowControl/>
        <w:spacing w:before="0" w:after="0" w:line="360" w:lineRule="auto"/>
        <w:rPr>
          <w:rFonts w:hint="eastAsia" w:ascii="宋体" w:hAnsi="宋体" w:eastAsia="仿宋" w:cs="Times New Roman"/>
          <w:b w:val="0"/>
          <w:bCs w:val="0"/>
          <w:color w:val="auto"/>
          <w:kern w:val="2"/>
          <w:sz w:val="24"/>
          <w:szCs w:val="24"/>
          <w:highlight w:val="none"/>
        </w:rPr>
      </w:pPr>
    </w:p>
    <w:p w14:paraId="5EB06677">
      <w:pPr>
        <w:pStyle w:val="3"/>
        <w:widowControl/>
        <w:numPr>
          <w:ilvl w:val="0"/>
          <w:numId w:val="0"/>
        </w:numPr>
        <w:spacing w:before="0" w:after="0" w:line="360" w:lineRule="auto"/>
        <w:rPr>
          <w:rFonts w:hint="default" w:ascii="宋体" w:hAnsi="宋体" w:eastAsia="仿宋" w:cs="Times New Roman"/>
          <w:b/>
          <w:bCs/>
          <w:color w:val="auto"/>
          <w:kern w:val="2"/>
          <w:sz w:val="24"/>
          <w:szCs w:val="24"/>
          <w:highlight w:val="none"/>
          <w:lang w:val="en-US" w:eastAsia="zh-CN"/>
        </w:rPr>
      </w:pPr>
      <w:r>
        <w:rPr>
          <w:rFonts w:hint="default" w:ascii="宋体" w:hAnsi="宋体" w:eastAsia="仿宋" w:cs="Times New Roman"/>
          <w:b/>
          <w:bCs/>
          <w:color w:val="auto"/>
          <w:kern w:val="2"/>
          <w:sz w:val="24"/>
          <w:szCs w:val="24"/>
          <w:highlight w:val="none"/>
          <w:lang w:val="en-US" w:eastAsia="zh-CN" w:bidi="ar-SA"/>
        </w:rPr>
        <w:t>9.</w:t>
      </w:r>
      <w:r>
        <w:rPr>
          <w:rFonts w:hint="eastAsia" w:ascii="宋体" w:hAnsi="宋体" w:eastAsia="仿宋" w:cs="Times New Roman"/>
          <w:b/>
          <w:bCs/>
          <w:color w:val="auto"/>
          <w:kern w:val="2"/>
          <w:sz w:val="24"/>
          <w:szCs w:val="24"/>
          <w:highlight w:val="none"/>
          <w:lang w:val="en-US" w:eastAsia="zh-CN"/>
        </w:rPr>
        <w:t>培训要求</w:t>
      </w:r>
    </w:p>
    <w:p w14:paraId="3E956AD2">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9.1 </w:t>
      </w:r>
      <w:r>
        <w:rPr>
          <w:rFonts w:hint="eastAsia" w:ascii="宋体" w:hAnsi="宋体" w:eastAsia="仿宋" w:cs="Times New Roman"/>
          <w:b w:val="0"/>
          <w:bCs w:val="0"/>
          <w:color w:val="auto"/>
          <w:kern w:val="2"/>
          <w:sz w:val="24"/>
          <w:szCs w:val="24"/>
          <w:highlight w:val="none"/>
        </w:rPr>
        <w:t>技术人员厂方培训：维修维护</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1013060D">
      <w:pPr>
        <w:pStyle w:val="3"/>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9.2 </w:t>
      </w:r>
      <w:r>
        <w:rPr>
          <w:rFonts w:hint="eastAsia" w:ascii="宋体" w:hAnsi="宋体" w:eastAsia="仿宋" w:cs="Times New Roman"/>
          <w:b w:val="0"/>
          <w:bCs w:val="0"/>
          <w:color w:val="auto"/>
          <w:kern w:val="2"/>
          <w:sz w:val="24"/>
          <w:szCs w:val="24"/>
          <w:highlight w:val="none"/>
        </w:rPr>
        <w:t>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3D13F4B4">
      <w:pPr>
        <w:pStyle w:val="3"/>
        <w:widowControl/>
        <w:spacing w:before="0" w:after="0" w:line="360" w:lineRule="auto"/>
        <w:rPr>
          <w:rFonts w:hint="eastAsia" w:ascii="宋体" w:hAnsi="宋体" w:eastAsia="仿宋" w:cs="Times New Roman"/>
          <w:b w:val="0"/>
          <w:bCs w:val="0"/>
          <w:color w:val="auto"/>
          <w:kern w:val="2"/>
          <w:sz w:val="24"/>
          <w:szCs w:val="24"/>
          <w:highlight w:val="none"/>
        </w:rPr>
      </w:pPr>
    </w:p>
    <w:p w14:paraId="4F1C106E">
      <w:pPr>
        <w:numPr>
          <w:ilvl w:val="0"/>
          <w:numId w:val="0"/>
        </w:numPr>
        <w:adjustRightInd w:val="0"/>
        <w:snapToGrid w:val="0"/>
        <w:spacing w:line="360" w:lineRule="auto"/>
        <w:ind w:firstLine="0" w:firstLineChars="0"/>
        <w:rPr>
          <w:rFonts w:hint="eastAsia" w:ascii="宋体" w:hAnsi="宋体" w:eastAsia="仿宋" w:cs="Times New Roman"/>
          <w:b/>
          <w:bCs/>
          <w:color w:val="auto"/>
          <w:sz w:val="24"/>
          <w:szCs w:val="24"/>
          <w:highlight w:val="none"/>
        </w:rPr>
      </w:pPr>
      <w:r>
        <w:rPr>
          <w:rFonts w:hint="eastAsia" w:ascii="宋体" w:hAnsi="宋体" w:eastAsia="仿宋" w:cs="Times New Roman"/>
          <w:b/>
          <w:bCs/>
          <w:color w:val="auto"/>
          <w:kern w:val="2"/>
          <w:sz w:val="24"/>
          <w:szCs w:val="24"/>
          <w:highlight w:val="none"/>
          <w:lang w:val="en-US" w:eastAsia="zh-CN" w:bidi="ar-SA"/>
        </w:rPr>
        <w:t>10.</w:t>
      </w:r>
      <w:r>
        <w:rPr>
          <w:rFonts w:hint="eastAsia" w:ascii="宋体" w:hAnsi="宋体" w:eastAsia="仿宋" w:cs="Times New Roman"/>
          <w:b/>
          <w:bCs/>
          <w:color w:val="auto"/>
          <w:sz w:val="24"/>
          <w:szCs w:val="24"/>
          <w:highlight w:val="none"/>
        </w:rPr>
        <w:t>质保及售后服务</w:t>
      </w:r>
    </w:p>
    <w:p w14:paraId="42512759">
      <w:pPr>
        <w:adjustRightInd w:val="0"/>
        <w:snapToGrid w:val="0"/>
        <w:spacing w:line="360" w:lineRule="auto"/>
        <w:ind w:firstLine="0" w:firstLineChars="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10.1 </w:t>
      </w:r>
      <w:r>
        <w:rPr>
          <w:rFonts w:hint="eastAsia" w:ascii="宋体" w:hAnsi="宋体" w:eastAsia="仿宋" w:cs="Times New Roman"/>
          <w:color w:val="auto"/>
          <w:sz w:val="24"/>
          <w:szCs w:val="24"/>
          <w:highlight w:val="none"/>
        </w:rPr>
        <w:t>自双方签订《验收报告》起进入免费质保期。</w:t>
      </w:r>
    </w:p>
    <w:p w14:paraId="59C7610E">
      <w:pPr>
        <w:adjustRightInd w:val="0"/>
        <w:snapToGrid w:val="0"/>
        <w:spacing w:line="360" w:lineRule="auto"/>
        <w:ind w:firstLine="0" w:firstLineChars="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10.2 </w:t>
      </w:r>
      <w:r>
        <w:rPr>
          <w:rFonts w:hint="eastAsia" w:ascii="宋体" w:hAnsi="宋体" w:eastAsia="仿宋" w:cs="Times New Roman"/>
          <w:color w:val="auto"/>
          <w:sz w:val="24"/>
          <w:szCs w:val="24"/>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534BDD56">
      <w:pPr>
        <w:spacing w:line="360" w:lineRule="auto"/>
        <w:jc w:val="left"/>
        <w:rPr>
          <w:rFonts w:hint="eastAsia" w:ascii="仿宋" w:hAnsi="仿宋" w:eastAsia="仿宋" w:cs="仿宋"/>
          <w:b/>
          <w:bCs/>
          <w:color w:val="auto"/>
          <w:sz w:val="24"/>
          <w:highlight w:val="none"/>
          <w:lang w:val="en-US" w:eastAsia="zh-CN"/>
        </w:rPr>
      </w:pPr>
    </w:p>
    <w:p w14:paraId="5436410C">
      <w:pPr>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11.其他</w:t>
      </w:r>
    </w:p>
    <w:p w14:paraId="1D634F2D">
      <w:pPr>
        <w:widowControl/>
        <w:ind w:firstLine="480" w:firstLineChars="200"/>
        <w:rPr>
          <w:rFonts w:hint="eastAsia" w:ascii="宋体" w:hAnsi="宋体" w:eastAsia="仿宋" w:cs="Times New Roman"/>
          <w:color w:val="auto"/>
          <w:sz w:val="24"/>
          <w:szCs w:val="24"/>
          <w:highlight w:val="none"/>
        </w:rPr>
      </w:pPr>
      <w:r>
        <w:rPr>
          <w:rFonts w:hint="eastAsia" w:eastAsia="仿宋"/>
          <w:color w:val="auto"/>
          <w:sz w:val="24"/>
          <w:highlight w:val="none"/>
          <w:lang w:val="en-US" w:eastAsia="zh-CN"/>
        </w:rPr>
        <w:t>投标人所投产品应为性能稳定、安全的成熟设备，故障率低、维修便利，并在投标文件中针对所投产品技术先进性、设备性能、配置情况、设计等方面进行阐述说明，提供相应证明材料。</w:t>
      </w:r>
    </w:p>
    <w:p w14:paraId="4E4E03ED">
      <w:pPr>
        <w:pStyle w:val="3"/>
        <w:widowControl/>
        <w:spacing w:before="0" w:after="0" w:line="360" w:lineRule="auto"/>
        <w:rPr>
          <w:rFonts w:hint="eastAsia" w:ascii="宋体" w:hAnsi="宋体" w:eastAsia="仿宋"/>
          <w:color w:val="auto"/>
          <w:highlight w:val="none"/>
        </w:rPr>
      </w:pPr>
      <w:r>
        <w:rPr>
          <w:rFonts w:hint="eastAsia" w:ascii="宋体" w:hAnsi="宋体" w:eastAsia="仿宋"/>
          <w:color w:val="auto"/>
          <w:highlight w:val="none"/>
        </w:rPr>
        <w:br w:type="page"/>
      </w:r>
      <w:r>
        <w:rPr>
          <w:rFonts w:hint="eastAsia" w:ascii="宋体" w:hAnsi="宋体" w:eastAsia="仿宋"/>
          <w:color w:val="auto"/>
          <w:highlight w:val="none"/>
        </w:rPr>
        <w:t>第四章  资格审查和评标办法（综合评分法）</w:t>
      </w:r>
      <w:bookmarkEnd w:id="769"/>
    </w:p>
    <w:bookmarkEnd w:id="749"/>
    <w:bookmarkEnd w:id="750"/>
    <w:bookmarkEnd w:id="751"/>
    <w:bookmarkEnd w:id="752"/>
    <w:bookmarkEnd w:id="753"/>
    <w:bookmarkEnd w:id="754"/>
    <w:bookmarkEnd w:id="755"/>
    <w:bookmarkEnd w:id="756"/>
    <w:bookmarkEnd w:id="757"/>
    <w:bookmarkEnd w:id="770"/>
    <w:bookmarkEnd w:id="771"/>
    <w:p w14:paraId="02A05C68">
      <w:pPr>
        <w:pStyle w:val="4"/>
        <w:jc w:val="center"/>
        <w:rPr>
          <w:rFonts w:hint="eastAsia" w:eastAsia="仿宋"/>
          <w:color w:val="auto"/>
          <w:highlight w:val="none"/>
        </w:rPr>
      </w:pPr>
      <w:r>
        <w:rPr>
          <w:rFonts w:hint="eastAsia" w:eastAsia="仿宋"/>
          <w:color w:val="auto"/>
          <w:highlight w:val="none"/>
        </w:rPr>
        <w:t>第一节  资格审查</w:t>
      </w:r>
    </w:p>
    <w:p w14:paraId="4F553B1E">
      <w:pPr>
        <w:spacing w:line="360" w:lineRule="auto"/>
        <w:jc w:val="center"/>
        <w:rPr>
          <w:rFonts w:hint="eastAsia" w:eastAsia="仿宋"/>
          <w:b/>
          <w:color w:val="auto"/>
          <w:sz w:val="28"/>
          <w:szCs w:val="28"/>
          <w:highlight w:val="none"/>
        </w:rPr>
      </w:pPr>
      <w:r>
        <w:rPr>
          <w:rFonts w:hint="eastAsia" w:eastAsia="仿宋"/>
          <w:b/>
          <w:color w:val="auto"/>
          <w:sz w:val="28"/>
          <w:szCs w:val="28"/>
          <w:highlight w:val="none"/>
        </w:rPr>
        <w:t>资格审查办法前附表</w:t>
      </w:r>
    </w:p>
    <w:p w14:paraId="12740371">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本《资格审查办法前附表》是对本节《资格审查》的具体补充和修改，如有不一致，以本《资格审查办法前附表》为准。</w:t>
      </w:r>
    </w:p>
    <w:tbl>
      <w:tblPr>
        <w:tblStyle w:val="47"/>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99"/>
        <w:gridCol w:w="4799"/>
        <w:gridCol w:w="2503"/>
      </w:tblGrid>
      <w:tr w14:paraId="002E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16301981">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b/>
                <w:color w:val="auto"/>
                <w:sz w:val="24"/>
                <w:szCs w:val="22"/>
                <w:highlight w:val="none"/>
              </w:rPr>
              <w:t>资格审查办法前附表</w:t>
            </w:r>
          </w:p>
        </w:tc>
      </w:tr>
      <w:tr w14:paraId="676A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4EC3F895">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序号</w:t>
            </w:r>
          </w:p>
        </w:tc>
        <w:tc>
          <w:tcPr>
            <w:tcW w:w="997" w:type="pct"/>
            <w:tcBorders>
              <w:bottom w:val="single" w:color="auto" w:sz="4" w:space="0"/>
            </w:tcBorders>
            <w:noWrap w:val="0"/>
            <w:vAlign w:val="center"/>
          </w:tcPr>
          <w:p w14:paraId="636A8121">
            <w:pPr>
              <w:pStyle w:val="178"/>
              <w:keepNext w:val="0"/>
              <w:keepLines w:val="0"/>
              <w:suppressLineNumbers w:val="0"/>
              <w:pBdr>
                <w:bottom w:val="none" w:color="auto" w:sz="0" w:space="0"/>
              </w:pBdr>
              <w:tabs>
                <w:tab w:val="clear" w:pos="4153"/>
                <w:tab w:val="clear" w:pos="8306"/>
              </w:tabs>
              <w:snapToGrid w:val="0"/>
              <w:spacing w:before="0" w:beforeAutospacing="0" w:after="0" w:afterAutospacing="0" w:line="240" w:lineRule="auto"/>
              <w:ind w:left="0" w:right="-10"/>
              <w:textAlignment w:val="auto"/>
              <w:rPr>
                <w:rFonts w:hint="default" w:ascii="宋体" w:hAnsi="宋体" w:cs="Times New Roman"/>
                <w:color w:val="auto"/>
                <w:kern w:val="2"/>
                <w:szCs w:val="24"/>
                <w:highlight w:val="none"/>
              </w:rPr>
            </w:pPr>
            <w:r>
              <w:rPr>
                <w:rFonts w:hint="eastAsia" w:ascii="宋体" w:hAnsi="宋体" w:cs="Times New Roman"/>
                <w:color w:val="auto"/>
                <w:kern w:val="2"/>
                <w:szCs w:val="24"/>
                <w:highlight w:val="none"/>
              </w:rPr>
              <w:t>审查因素</w:t>
            </w:r>
          </w:p>
        </w:tc>
        <w:tc>
          <w:tcPr>
            <w:tcW w:w="2393" w:type="pct"/>
            <w:tcBorders>
              <w:bottom w:val="single" w:color="auto" w:sz="4" w:space="0"/>
            </w:tcBorders>
            <w:noWrap w:val="0"/>
            <w:vAlign w:val="center"/>
          </w:tcPr>
          <w:p w14:paraId="11EBDD45">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审查标准</w:t>
            </w:r>
          </w:p>
        </w:tc>
        <w:tc>
          <w:tcPr>
            <w:tcW w:w="1246" w:type="pct"/>
            <w:tcBorders>
              <w:bottom w:val="single" w:color="auto" w:sz="4" w:space="0"/>
            </w:tcBorders>
            <w:noWrap w:val="0"/>
            <w:vAlign w:val="center"/>
          </w:tcPr>
          <w:p w14:paraId="4477FF6B">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格式及材料要求</w:t>
            </w:r>
          </w:p>
        </w:tc>
      </w:tr>
      <w:tr w14:paraId="4550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2" w:type="pct"/>
            <w:tcBorders>
              <w:bottom w:val="single" w:color="auto" w:sz="4" w:space="0"/>
            </w:tcBorders>
            <w:noWrap w:val="0"/>
            <w:vAlign w:val="center"/>
          </w:tcPr>
          <w:p w14:paraId="2BC3E9F9">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1</w:t>
            </w:r>
          </w:p>
        </w:tc>
        <w:tc>
          <w:tcPr>
            <w:tcW w:w="997" w:type="pct"/>
            <w:tcBorders>
              <w:bottom w:val="single" w:color="auto" w:sz="4" w:space="0"/>
            </w:tcBorders>
            <w:noWrap w:val="0"/>
            <w:vAlign w:val="center"/>
          </w:tcPr>
          <w:p w14:paraId="3E3C74A6">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营业执照等证明材料</w:t>
            </w:r>
          </w:p>
        </w:tc>
        <w:tc>
          <w:tcPr>
            <w:tcW w:w="2393" w:type="pct"/>
            <w:tcBorders>
              <w:bottom w:val="single" w:color="auto" w:sz="4" w:space="0"/>
            </w:tcBorders>
            <w:noWrap w:val="0"/>
            <w:vAlign w:val="center"/>
          </w:tcPr>
          <w:p w14:paraId="4C0D5202">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投标人为企业（包括公司、合伙企业、个人独资企业）的，提供有效的营业执照；</w:t>
            </w:r>
          </w:p>
          <w:p w14:paraId="217CF939">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投标人为事业单位的，提供有效的事业单位法人证书；</w:t>
            </w:r>
          </w:p>
          <w:p w14:paraId="3DF724CE">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投标人为社会团体的，提供有效的社会团体法人登记证书；</w:t>
            </w:r>
          </w:p>
          <w:p w14:paraId="780495AD">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投标人为个体工商户的，提供有效的营业执照；</w:t>
            </w:r>
          </w:p>
          <w:p w14:paraId="1B641C6A">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投标人为不具法人资格的专业服务机构的，提供有效的执业许可证等证明材料；</w:t>
            </w:r>
          </w:p>
          <w:p w14:paraId="3A999418">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投标人为自然人的，提供有效的自然人身份证明；</w:t>
            </w:r>
          </w:p>
          <w:p w14:paraId="2C3C87A2">
            <w:pPr>
              <w:keepNext w:val="0"/>
              <w:keepLines w:val="0"/>
              <w:suppressLineNumbers w:val="0"/>
              <w:spacing w:before="0" w:beforeAutospacing="0" w:after="50" w:afterAutospacing="0"/>
              <w:ind w:left="0" w:right="-10"/>
              <w:jc w:val="left"/>
              <w:rPr>
                <w:rFonts w:hint="default" w:ascii="宋体" w:hAnsi="宋体" w:cs="Times New Roman"/>
                <w:color w:val="auto"/>
                <w:sz w:val="24"/>
                <w:szCs w:val="28"/>
                <w:highlight w:val="none"/>
              </w:rPr>
            </w:pPr>
            <w:r>
              <w:rPr>
                <w:rFonts w:hint="eastAsia" w:ascii="仿宋" w:hAnsi="仿宋" w:eastAsia="仿宋" w:cs="仿宋"/>
                <w:color w:val="auto"/>
                <w:sz w:val="24"/>
                <w:szCs w:val="28"/>
                <w:highlight w:val="none"/>
              </w:rPr>
              <w:t>其他投标人应按照有关法律、法规和规章规定，提供有效的相应证明材料。</w:t>
            </w:r>
          </w:p>
        </w:tc>
        <w:tc>
          <w:tcPr>
            <w:tcW w:w="1246" w:type="pct"/>
            <w:noWrap w:val="0"/>
            <w:vAlign w:val="center"/>
          </w:tcPr>
          <w:p w14:paraId="00299033">
            <w:pPr>
              <w:keepNext w:val="0"/>
              <w:keepLines w:val="0"/>
              <w:suppressLineNumbers w:val="0"/>
              <w:spacing w:before="0" w:beforeAutospacing="0" w:after="50" w:afterAutospacing="0"/>
              <w:ind w:left="0" w:right="-10"/>
              <w:jc w:val="left"/>
              <w:rPr>
                <w:rFonts w:hint="eastAsia" w:ascii="宋体" w:hAnsi="宋体" w:cs="Times New Roman"/>
                <w:color w:val="auto"/>
                <w:sz w:val="24"/>
                <w:highlight w:val="none"/>
              </w:rPr>
            </w:pPr>
            <w:r>
              <w:rPr>
                <w:rFonts w:hint="eastAsia" w:ascii="仿宋" w:hAnsi="仿宋" w:eastAsia="仿宋" w:cs="仿宋"/>
                <w:color w:val="auto"/>
                <w:sz w:val="24"/>
                <w:highlight w:val="none"/>
              </w:rPr>
              <w:t>提供原件扫描件或电子证照</w:t>
            </w:r>
          </w:p>
        </w:tc>
      </w:tr>
      <w:tr w14:paraId="0F79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3CCD1375">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2</w:t>
            </w:r>
          </w:p>
        </w:tc>
        <w:tc>
          <w:tcPr>
            <w:tcW w:w="997" w:type="pct"/>
            <w:tcBorders>
              <w:bottom w:val="single" w:color="auto" w:sz="4" w:space="0"/>
            </w:tcBorders>
            <w:noWrap w:val="0"/>
            <w:vAlign w:val="center"/>
          </w:tcPr>
          <w:p w14:paraId="4343AB5E">
            <w:pPr>
              <w:keepNext w:val="0"/>
              <w:keepLines w:val="0"/>
              <w:suppressLineNumbers w:val="0"/>
              <w:spacing w:before="0" w:beforeAutospacing="0" w:after="50" w:afterAutospacing="0"/>
              <w:ind w:left="0" w:right="-10"/>
              <w:jc w:val="center"/>
              <w:rPr>
                <w:rFonts w:hint="default" w:ascii="宋体" w:hAnsi="宋体" w:cs="Times New Roman"/>
                <w:color w:val="auto"/>
                <w:sz w:val="24"/>
                <w:szCs w:val="28"/>
                <w:highlight w:val="none"/>
              </w:rPr>
            </w:pPr>
            <w:r>
              <w:rPr>
                <w:rFonts w:hint="eastAsia" w:ascii="宋体" w:hAnsi="宋体" w:eastAsia="仿宋" w:cs="Times New Roman"/>
                <w:color w:val="auto"/>
                <w:sz w:val="24"/>
                <w:highlight w:val="none"/>
              </w:rPr>
              <w:t>信用状况</w:t>
            </w:r>
          </w:p>
        </w:tc>
        <w:tc>
          <w:tcPr>
            <w:tcW w:w="2393" w:type="pct"/>
            <w:tcBorders>
              <w:bottom w:val="single" w:color="auto" w:sz="4" w:space="0"/>
            </w:tcBorders>
            <w:noWrap w:val="0"/>
            <w:vAlign w:val="center"/>
          </w:tcPr>
          <w:p w14:paraId="51075DCF">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kern w:val="0"/>
                <w:sz w:val="24"/>
                <w:highlight w:val="none"/>
              </w:rPr>
              <w:t>符合第二章“投标人须知”正文第1.3.3项要求，</w:t>
            </w:r>
            <w:r>
              <w:rPr>
                <w:rFonts w:hint="eastAsia" w:ascii="宋体" w:hAnsi="宋体" w:eastAsia="仿宋" w:cs="Times New Roman"/>
                <w:color w:val="auto"/>
                <w:sz w:val="24"/>
                <w:highlight w:val="none"/>
              </w:rPr>
              <w:t>信用状况只依据下述查询平台（网址）发布的信息：</w:t>
            </w:r>
          </w:p>
          <w:p w14:paraId="1827BD75">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eastAsia" w:ascii="宋体" w:hAnsi="宋体" w:eastAsia="仿宋" w:cs="Times New Roman"/>
                <w:color w:val="auto"/>
                <w:sz w:val="24"/>
                <w:szCs w:val="24"/>
                <w:highlight w:val="none"/>
              </w:rPr>
              <w:t>（</w:t>
            </w:r>
            <w:r>
              <w:rPr>
                <w:rFonts w:hint="default" w:ascii="Calibri" w:hAnsi="Calibri" w:eastAsia="仿宋" w:cs="Times New Roman"/>
                <w:color w:val="auto"/>
                <w:sz w:val="24"/>
                <w:szCs w:val="24"/>
                <w:highlight w:val="none"/>
              </w:rPr>
              <w:t>1</w:t>
            </w:r>
            <w:r>
              <w:rPr>
                <w:rFonts w:hint="eastAsia" w:ascii="宋体" w:hAnsi="宋体" w:eastAsia="仿宋" w:cs="Times New Roman"/>
                <w:color w:val="auto"/>
                <w:sz w:val="24"/>
                <w:szCs w:val="24"/>
                <w:highlight w:val="none"/>
              </w:rPr>
              <w:t>）信用中国</w:t>
            </w:r>
            <w:r>
              <w:rPr>
                <w:rFonts w:hint="default" w:ascii="Calibri" w:hAnsi="Calibri" w:eastAsia="仿宋" w:cs="Times New Roman"/>
                <w:color w:val="auto"/>
                <w:sz w:val="24"/>
                <w:szCs w:val="24"/>
                <w:highlight w:val="none"/>
              </w:rPr>
              <w:t>网站</w:t>
            </w:r>
          </w:p>
          <w:p w14:paraId="49175055">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（www.creditchina.gov.cn）；</w:t>
            </w:r>
          </w:p>
          <w:p w14:paraId="3D882DAB">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（2）中国执行信息公开网</w:t>
            </w:r>
          </w:p>
          <w:p w14:paraId="3F38F2CA">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（http://zxgk.court.gov.cn/）</w:t>
            </w:r>
            <w:r>
              <w:rPr>
                <w:rFonts w:hint="eastAsia" w:ascii="Calibri" w:hAnsi="Calibri" w:eastAsia="仿宋" w:cs="Times New Roman"/>
                <w:color w:val="auto"/>
                <w:sz w:val="24"/>
                <w:szCs w:val="24"/>
                <w:highlight w:val="none"/>
              </w:rPr>
              <w:t>；</w:t>
            </w:r>
          </w:p>
          <w:p w14:paraId="6C5C3685">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eastAsia" w:ascii="Calibri" w:hAnsi="Calibri" w:eastAsia="仿宋" w:cs="Times New Roman"/>
                <w:color w:val="auto"/>
                <w:sz w:val="24"/>
                <w:szCs w:val="24"/>
                <w:highlight w:val="none"/>
              </w:rPr>
              <w:t>（3）</w:t>
            </w:r>
            <w:r>
              <w:rPr>
                <w:rFonts w:hint="default" w:ascii="Calibri" w:hAnsi="Calibri" w:eastAsia="仿宋" w:cs="Times New Roman"/>
                <w:color w:val="auto"/>
                <w:sz w:val="24"/>
                <w:szCs w:val="24"/>
                <w:highlight w:val="none"/>
              </w:rPr>
              <w:t>中国政府采购网</w:t>
            </w:r>
          </w:p>
          <w:p w14:paraId="7E088273">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（http://www.ccgp.gov.cn/）</w:t>
            </w:r>
            <w:r>
              <w:rPr>
                <w:rFonts w:hint="eastAsia" w:ascii="Calibri" w:hAnsi="Calibri" w:eastAsia="仿宋" w:cs="Times New Roman"/>
                <w:color w:val="auto"/>
                <w:sz w:val="24"/>
                <w:szCs w:val="24"/>
                <w:highlight w:val="none"/>
              </w:rPr>
              <w:t>；</w:t>
            </w:r>
          </w:p>
          <w:p w14:paraId="21F67D2A">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（4）国家企业信用信息公示系统</w:t>
            </w:r>
          </w:p>
          <w:p w14:paraId="4DDF470C">
            <w:pPr>
              <w:pStyle w:val="5"/>
              <w:suppressLineNumbers w:val="0"/>
              <w:spacing w:before="0" w:beforeAutospacing="0" w:after="0" w:afterAutospacing="0" w:line="240" w:lineRule="auto"/>
              <w:ind w:left="0" w:right="0"/>
              <w:outlineLvl w:val="2"/>
              <w:rPr>
                <w:rFonts w:hint="default" w:cs="Times New Roman"/>
                <w:color w:val="auto"/>
                <w:highlight w:val="none"/>
              </w:rPr>
            </w:pPr>
            <w:r>
              <w:rPr>
                <w:rFonts w:hint="default" w:ascii="Times New Roman" w:hAnsi="Times New Roman" w:eastAsia="仿宋" w:cs="Times New Roman"/>
                <w:b w:val="0"/>
                <w:bCs w:val="0"/>
                <w:color w:val="auto"/>
                <w:sz w:val="24"/>
                <w:highlight w:val="none"/>
                <w:lang w:eastAsia="zh-CN" w:bidi="ar-SA"/>
              </w:rPr>
              <w:t>（http://www.gsxt.gov.cn/）</w:t>
            </w:r>
            <w:r>
              <w:rPr>
                <w:rFonts w:hint="eastAsia" w:ascii="Times New Roman" w:hAnsi="Times New Roman" w:eastAsia="仿宋" w:cs="Times New Roman"/>
                <w:b w:val="0"/>
                <w:bCs w:val="0"/>
                <w:color w:val="auto"/>
                <w:sz w:val="24"/>
                <w:highlight w:val="none"/>
                <w:lang w:eastAsia="zh-CN" w:bidi="ar-SA"/>
              </w:rPr>
              <w:t>。</w:t>
            </w:r>
          </w:p>
        </w:tc>
        <w:tc>
          <w:tcPr>
            <w:tcW w:w="1246" w:type="pct"/>
            <w:tcBorders>
              <w:bottom w:val="single" w:color="auto" w:sz="4" w:space="0"/>
            </w:tcBorders>
            <w:noWrap w:val="0"/>
            <w:vAlign w:val="center"/>
          </w:tcPr>
          <w:p w14:paraId="3F490410">
            <w:pPr>
              <w:keepNext w:val="0"/>
              <w:keepLines w:val="0"/>
              <w:widowControl/>
              <w:suppressLineNumbers w:val="0"/>
              <w:adjustRightInd w:val="0"/>
              <w:snapToGrid w:val="0"/>
              <w:spacing w:before="0" w:beforeAutospacing="0" w:after="0" w:afterAutospacing="0"/>
              <w:ind w:left="0" w:right="0"/>
              <w:rPr>
                <w:rFonts w:hint="eastAsia" w:ascii="宋体" w:hAnsi="宋体" w:cs="Times New Roman"/>
                <w:color w:val="auto"/>
                <w:sz w:val="24"/>
                <w:highlight w:val="none"/>
              </w:rPr>
            </w:pPr>
            <w:r>
              <w:rPr>
                <w:rFonts w:hint="eastAsia" w:ascii="宋体" w:hAnsi="宋体" w:eastAsia="仿宋" w:cs="宋体"/>
                <w:color w:val="auto"/>
                <w:sz w:val="24"/>
                <w:highlight w:val="none"/>
              </w:rPr>
              <w:t>采购人或采购代理机构查询，并留存查询记录</w:t>
            </w:r>
          </w:p>
        </w:tc>
      </w:tr>
      <w:tr w14:paraId="5C4D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1516318B">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3</w:t>
            </w:r>
          </w:p>
        </w:tc>
        <w:tc>
          <w:tcPr>
            <w:tcW w:w="997" w:type="pct"/>
            <w:tcBorders>
              <w:bottom w:val="single" w:color="auto" w:sz="4" w:space="0"/>
            </w:tcBorders>
            <w:noWrap w:val="0"/>
            <w:vAlign w:val="center"/>
          </w:tcPr>
          <w:p w14:paraId="4CBD893C">
            <w:pPr>
              <w:keepNext w:val="0"/>
              <w:keepLines w:val="0"/>
              <w:suppressLineNumbers w:val="0"/>
              <w:spacing w:before="0" w:beforeAutospacing="0" w:after="50" w:afterAutospacing="0"/>
              <w:ind w:left="0" w:right="-10"/>
              <w:jc w:val="center"/>
              <w:rPr>
                <w:rFonts w:hint="default" w:ascii="宋体" w:hAnsi="宋体" w:cs="Times New Roman"/>
                <w:color w:val="auto"/>
                <w:sz w:val="24"/>
                <w:szCs w:val="18"/>
                <w:highlight w:val="none"/>
              </w:rPr>
            </w:pPr>
            <w:r>
              <w:rPr>
                <w:rFonts w:hint="eastAsia" w:ascii="宋体" w:hAnsi="宋体" w:eastAsia="仿宋" w:cs="Times New Roman"/>
                <w:color w:val="auto"/>
                <w:sz w:val="24"/>
                <w:highlight w:val="none"/>
              </w:rPr>
              <w:t>政府采购供应商资格承诺函</w:t>
            </w:r>
          </w:p>
        </w:tc>
        <w:tc>
          <w:tcPr>
            <w:tcW w:w="2393" w:type="pct"/>
            <w:tcBorders>
              <w:bottom w:val="single" w:color="auto" w:sz="4" w:space="0"/>
            </w:tcBorders>
            <w:noWrap w:val="0"/>
            <w:vAlign w:val="center"/>
          </w:tcPr>
          <w:p w14:paraId="4D1B1440">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szCs w:val="28"/>
                <w:highlight w:val="none"/>
              </w:rPr>
            </w:pPr>
            <w:r>
              <w:rPr>
                <w:rFonts w:hint="eastAsia" w:ascii="宋体" w:hAnsi="宋体" w:eastAsia="仿宋" w:cs="Times New Roman"/>
                <w:color w:val="auto"/>
                <w:sz w:val="24"/>
                <w:highlight w:val="none"/>
              </w:rPr>
              <w:t>格式、填写要求符合招标文件规定并加盖投标人电子签章。</w:t>
            </w:r>
          </w:p>
        </w:tc>
        <w:tc>
          <w:tcPr>
            <w:tcW w:w="1246" w:type="pct"/>
            <w:tcBorders>
              <w:bottom w:val="single" w:color="auto" w:sz="4" w:space="0"/>
            </w:tcBorders>
            <w:noWrap w:val="0"/>
            <w:vAlign w:val="center"/>
          </w:tcPr>
          <w:p w14:paraId="0B509067">
            <w:pPr>
              <w:keepNext w:val="0"/>
              <w:keepLines w:val="0"/>
              <w:suppressLineNumbers w:val="0"/>
              <w:adjustRightInd w:val="0"/>
              <w:snapToGrid w:val="0"/>
              <w:spacing w:before="0" w:beforeAutospacing="0" w:after="0" w:afterAutospacing="0"/>
              <w:ind w:left="0" w:right="-1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详见第六章投标文件格式九（二）</w:t>
            </w:r>
          </w:p>
        </w:tc>
      </w:tr>
      <w:tr w14:paraId="2668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41583E85">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4</w:t>
            </w:r>
          </w:p>
        </w:tc>
        <w:tc>
          <w:tcPr>
            <w:tcW w:w="997" w:type="pct"/>
            <w:tcBorders>
              <w:bottom w:val="single" w:color="auto" w:sz="4" w:space="0"/>
            </w:tcBorders>
            <w:noWrap w:val="0"/>
            <w:vAlign w:val="center"/>
          </w:tcPr>
          <w:p w14:paraId="55E9E9C6">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中小企业声明函</w:t>
            </w:r>
          </w:p>
          <w:p w14:paraId="51010926">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（专门面向中小企业采购项目/采购包适用）</w:t>
            </w:r>
          </w:p>
        </w:tc>
        <w:tc>
          <w:tcPr>
            <w:tcW w:w="2393" w:type="pct"/>
            <w:tcBorders>
              <w:bottom w:val="single" w:color="auto" w:sz="4" w:space="0"/>
            </w:tcBorders>
            <w:noWrap w:val="0"/>
            <w:vAlign w:val="center"/>
          </w:tcPr>
          <w:p w14:paraId="3E886950">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符合招标公告中落实政府采购政策需满足的资格要求。</w:t>
            </w:r>
          </w:p>
        </w:tc>
        <w:tc>
          <w:tcPr>
            <w:tcW w:w="1246" w:type="pct"/>
            <w:tcBorders>
              <w:bottom w:val="single" w:color="auto" w:sz="4" w:space="0"/>
            </w:tcBorders>
            <w:noWrap w:val="0"/>
            <w:vAlign w:val="center"/>
          </w:tcPr>
          <w:p w14:paraId="251857B4">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详见第六章投标文件格式五</w:t>
            </w:r>
          </w:p>
        </w:tc>
      </w:tr>
      <w:tr w14:paraId="473E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362" w:type="pct"/>
            <w:vMerge w:val="restart"/>
            <w:noWrap w:val="0"/>
            <w:vAlign w:val="center"/>
          </w:tcPr>
          <w:p w14:paraId="103B813F">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5</w:t>
            </w:r>
          </w:p>
        </w:tc>
        <w:tc>
          <w:tcPr>
            <w:tcW w:w="997" w:type="pct"/>
            <w:vMerge w:val="restart"/>
            <w:noWrap w:val="0"/>
            <w:vAlign w:val="center"/>
          </w:tcPr>
          <w:p w14:paraId="09ADA6FA">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中小企业承揽份额（如有）</w:t>
            </w:r>
          </w:p>
        </w:tc>
        <w:tc>
          <w:tcPr>
            <w:tcW w:w="2393" w:type="pct"/>
            <w:tcBorders>
              <w:bottom w:val="single" w:color="auto" w:sz="4" w:space="0"/>
            </w:tcBorders>
            <w:noWrap w:val="0"/>
            <w:vAlign w:val="center"/>
          </w:tcPr>
          <w:p w14:paraId="2377D8AF">
            <w:pPr>
              <w:keepNext w:val="0"/>
              <w:keepLines w:val="0"/>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如本项目（包）允许通过组成联合体预留部分采购份额面向中小企业采购、且投标人因落实政府采购政策拟组成联合体的，必须提供。</w:t>
            </w:r>
          </w:p>
          <w:p w14:paraId="62BA2869">
            <w:pPr>
              <w:keepNext w:val="0"/>
              <w:keepLines w:val="0"/>
              <w:suppressLineNumbers w:val="0"/>
              <w:spacing w:before="0" w:beforeAutospacing="0" w:after="0" w:afterAutospacing="0"/>
              <w:ind w:left="0" w:right="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中小企业承揽份额须满足招标文件要求。</w:t>
            </w:r>
          </w:p>
        </w:tc>
        <w:tc>
          <w:tcPr>
            <w:tcW w:w="1246" w:type="pct"/>
            <w:tcBorders>
              <w:bottom w:val="single" w:color="auto" w:sz="4" w:space="0"/>
            </w:tcBorders>
            <w:noWrap w:val="0"/>
            <w:vAlign w:val="center"/>
          </w:tcPr>
          <w:p w14:paraId="2BA00E98">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详见第六章投标文件格式七</w:t>
            </w:r>
          </w:p>
        </w:tc>
      </w:tr>
      <w:tr w14:paraId="55C8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362" w:type="pct"/>
            <w:vMerge w:val="continue"/>
            <w:noWrap w:val="0"/>
            <w:vAlign w:val="center"/>
          </w:tcPr>
          <w:p w14:paraId="40010851">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p>
        </w:tc>
        <w:tc>
          <w:tcPr>
            <w:tcW w:w="997" w:type="pct"/>
            <w:vMerge w:val="continue"/>
            <w:noWrap w:val="0"/>
            <w:vAlign w:val="center"/>
          </w:tcPr>
          <w:p w14:paraId="03650435">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p>
        </w:tc>
        <w:tc>
          <w:tcPr>
            <w:tcW w:w="2393" w:type="pct"/>
            <w:noWrap w:val="0"/>
            <w:vAlign w:val="center"/>
          </w:tcPr>
          <w:p w14:paraId="3204B4A3">
            <w:pPr>
              <w:keepNext w:val="0"/>
              <w:keepLines w:val="0"/>
              <w:suppressLineNumbers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如本项目（包）允许通过分包措施预留部分采购份额面向中小企业采购、且投标人因落实政府采购政策拟进行分包的，必须提供。</w:t>
            </w:r>
          </w:p>
          <w:p w14:paraId="1690F865">
            <w:pPr>
              <w:keepNext w:val="0"/>
              <w:keepLines w:val="0"/>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中小企业承揽份额须满足招标文件要求。</w:t>
            </w:r>
          </w:p>
        </w:tc>
        <w:tc>
          <w:tcPr>
            <w:tcW w:w="1246" w:type="pct"/>
            <w:noWrap w:val="0"/>
            <w:vAlign w:val="center"/>
          </w:tcPr>
          <w:p w14:paraId="481BA767">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详见第六章投标文件格式八</w:t>
            </w:r>
          </w:p>
        </w:tc>
      </w:tr>
      <w:tr w14:paraId="42F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43E46204">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default" w:ascii="宋体" w:hAnsi="宋体" w:cs="Times New Roman"/>
                <w:color w:val="auto"/>
                <w:sz w:val="24"/>
                <w:highlight w:val="none"/>
              </w:rPr>
              <w:t>6</w:t>
            </w:r>
          </w:p>
        </w:tc>
        <w:tc>
          <w:tcPr>
            <w:tcW w:w="997" w:type="pct"/>
            <w:noWrap w:val="0"/>
            <w:vAlign w:val="center"/>
          </w:tcPr>
          <w:p w14:paraId="06384DE7">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资质要求</w:t>
            </w:r>
          </w:p>
          <w:p w14:paraId="369A7514">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（如有）</w:t>
            </w:r>
          </w:p>
        </w:tc>
        <w:tc>
          <w:tcPr>
            <w:tcW w:w="2393" w:type="pct"/>
            <w:noWrap w:val="0"/>
            <w:vAlign w:val="center"/>
          </w:tcPr>
          <w:p w14:paraId="1F145406">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符合招标公告中资格要求。</w:t>
            </w:r>
          </w:p>
        </w:tc>
        <w:tc>
          <w:tcPr>
            <w:tcW w:w="1246" w:type="pct"/>
            <w:noWrap w:val="0"/>
            <w:vAlign w:val="center"/>
          </w:tcPr>
          <w:p w14:paraId="65783607">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提供符合投标人资格中要求的资质证书扫描件或电子证照</w:t>
            </w:r>
          </w:p>
        </w:tc>
      </w:tr>
      <w:tr w14:paraId="4271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08901EFB">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7</w:t>
            </w:r>
          </w:p>
        </w:tc>
        <w:tc>
          <w:tcPr>
            <w:tcW w:w="997" w:type="pct"/>
            <w:noWrap w:val="0"/>
            <w:vAlign w:val="center"/>
          </w:tcPr>
          <w:p w14:paraId="15DD63A9">
            <w:pPr>
              <w:pStyle w:val="152"/>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业绩要求</w:t>
            </w:r>
          </w:p>
          <w:p w14:paraId="40679786">
            <w:pPr>
              <w:pStyle w:val="152"/>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（如有）</w:t>
            </w:r>
          </w:p>
        </w:tc>
        <w:tc>
          <w:tcPr>
            <w:tcW w:w="2393" w:type="pct"/>
            <w:noWrap w:val="0"/>
            <w:vAlign w:val="center"/>
          </w:tcPr>
          <w:p w14:paraId="3DA363CE">
            <w:pPr>
              <w:pStyle w:val="152"/>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8"/>
                <w:highlight w:val="none"/>
              </w:rPr>
            </w:pPr>
            <w:r>
              <w:rPr>
                <w:rFonts w:hint="eastAsia" w:ascii="宋体" w:hAnsi="宋体" w:eastAsia="仿宋" w:cs="Times New Roman"/>
                <w:color w:val="auto"/>
                <w:sz w:val="24"/>
                <w:szCs w:val="24"/>
                <w:highlight w:val="none"/>
              </w:rPr>
              <w:t>符合招标公告中资格要求。</w:t>
            </w:r>
          </w:p>
        </w:tc>
        <w:tc>
          <w:tcPr>
            <w:tcW w:w="1246" w:type="pct"/>
            <w:noWrap w:val="0"/>
            <w:vAlign w:val="center"/>
          </w:tcPr>
          <w:p w14:paraId="5D5586F7">
            <w:pPr>
              <w:keepNext w:val="0"/>
              <w:keepLines w:val="0"/>
              <w:widowControl/>
              <w:suppressLineNumbers w:val="0"/>
              <w:adjustRightInd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提供合同原件扫描件</w:t>
            </w:r>
          </w:p>
          <w:p w14:paraId="00B54157">
            <w:pPr>
              <w:pStyle w:val="5"/>
              <w:suppressLineNumbers w:val="0"/>
              <w:spacing w:before="0" w:beforeAutospacing="0" w:after="0" w:afterAutospacing="0" w:line="240" w:lineRule="auto"/>
              <w:ind w:left="0" w:right="0"/>
              <w:outlineLvl w:val="2"/>
              <w:rPr>
                <w:rFonts w:hint="eastAsia" w:cs="Times New Roman"/>
                <w:color w:val="auto"/>
                <w:highlight w:val="none"/>
              </w:rPr>
            </w:pPr>
            <w:r>
              <w:rPr>
                <w:rFonts w:hint="eastAsia" w:eastAsia="仿宋" w:cs="Times New Roman"/>
                <w:b w:val="0"/>
                <w:bCs w:val="0"/>
                <w:color w:val="auto"/>
                <w:kern w:val="2"/>
                <w:sz w:val="24"/>
                <w:highlight w:val="none"/>
                <w:lang w:eastAsia="zh-CN" w:bidi="ar-SA"/>
              </w:rPr>
              <w:t>详见第六章投标文件格式九（三）</w:t>
            </w:r>
          </w:p>
        </w:tc>
      </w:tr>
    </w:tbl>
    <w:p w14:paraId="6A1D3422">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p>
    <w:p w14:paraId="64905E4B">
      <w:pPr>
        <w:pStyle w:val="153"/>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07BF9963">
      <w:pPr>
        <w:pStyle w:val="4"/>
        <w:rPr>
          <w:rStyle w:val="104"/>
          <w:rFonts w:hint="eastAsia" w:ascii="宋体" w:hAnsi="宋体" w:eastAsia="仿宋"/>
          <w:b/>
          <w:bCs/>
          <w:color w:val="auto"/>
          <w:sz w:val="24"/>
          <w:szCs w:val="24"/>
          <w:highlight w:val="none"/>
        </w:rPr>
      </w:pPr>
      <w:bookmarkStart w:id="772" w:name="_Toc417623587"/>
      <w:bookmarkStart w:id="773" w:name="_Toc324404867"/>
      <w:r>
        <w:rPr>
          <w:rStyle w:val="104"/>
          <w:rFonts w:hint="eastAsia" w:ascii="宋体" w:hAnsi="宋体" w:eastAsia="仿宋"/>
          <w:b/>
          <w:bCs/>
          <w:color w:val="auto"/>
          <w:sz w:val="24"/>
          <w:szCs w:val="24"/>
          <w:highlight w:val="none"/>
        </w:rPr>
        <w:t>1. 资格审查办法</w:t>
      </w:r>
      <w:bookmarkEnd w:id="772"/>
      <w:bookmarkEnd w:id="773"/>
    </w:p>
    <w:p w14:paraId="3F3E804B">
      <w:pPr>
        <w:snapToGrid w:val="0"/>
        <w:spacing w:line="360" w:lineRule="auto"/>
        <w:ind w:firstLine="480" w:firstLineChars="200"/>
        <w:rPr>
          <w:rFonts w:hint="eastAsia" w:ascii="宋体" w:hAnsi="宋体" w:eastAsia="仿宋"/>
          <w:color w:val="auto"/>
          <w:sz w:val="24"/>
          <w:highlight w:val="none"/>
        </w:rPr>
      </w:pPr>
      <w:bookmarkStart w:id="774" w:name="_Hlk44246459"/>
      <w:r>
        <w:rPr>
          <w:rFonts w:hint="eastAsia" w:ascii="宋体" w:hAnsi="宋体" w:eastAsia="仿宋"/>
          <w:color w:val="auto"/>
          <w:sz w:val="24"/>
          <w:highlight w:val="none"/>
        </w:rPr>
        <w:t>公开招标采购项目开标结束后，采购人或者采购代理机构应当依法组建资格审查小组，按资格审查办法前附表中的审查标准对投标人的资格进行审查。符合本章第一节第2条规定审查标准的申请人均通过资格审查。</w:t>
      </w:r>
    </w:p>
    <w:bookmarkEnd w:id="774"/>
    <w:p w14:paraId="1A3212E2">
      <w:pPr>
        <w:pStyle w:val="4"/>
        <w:rPr>
          <w:rStyle w:val="104"/>
          <w:rFonts w:hint="eastAsia" w:ascii="宋体" w:hAnsi="宋体" w:eastAsia="仿宋"/>
          <w:b/>
          <w:bCs/>
          <w:color w:val="auto"/>
          <w:sz w:val="24"/>
          <w:szCs w:val="24"/>
          <w:highlight w:val="none"/>
        </w:rPr>
      </w:pPr>
      <w:r>
        <w:rPr>
          <w:rStyle w:val="104"/>
          <w:rFonts w:hint="eastAsia" w:ascii="宋体" w:hAnsi="宋体" w:eastAsia="仿宋"/>
          <w:b/>
          <w:bCs/>
          <w:color w:val="auto"/>
          <w:sz w:val="24"/>
          <w:szCs w:val="24"/>
          <w:highlight w:val="none"/>
        </w:rPr>
        <w:t>2. 资格审查标准</w:t>
      </w:r>
    </w:p>
    <w:p w14:paraId="1B095AD5">
      <w:pPr>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审查标准：见资格审查办法前附表。</w:t>
      </w:r>
    </w:p>
    <w:p w14:paraId="1FBE1590">
      <w:pPr>
        <w:pStyle w:val="4"/>
        <w:rPr>
          <w:rStyle w:val="104"/>
          <w:rFonts w:hint="eastAsia" w:ascii="宋体" w:hAnsi="宋体" w:eastAsia="仿宋"/>
          <w:b/>
          <w:bCs/>
          <w:color w:val="auto"/>
          <w:sz w:val="24"/>
          <w:szCs w:val="24"/>
          <w:highlight w:val="none"/>
        </w:rPr>
      </w:pPr>
      <w:r>
        <w:rPr>
          <w:rStyle w:val="104"/>
          <w:rFonts w:hint="eastAsia" w:ascii="宋体" w:hAnsi="宋体" w:eastAsia="仿宋"/>
          <w:b/>
          <w:bCs/>
          <w:color w:val="auto"/>
          <w:sz w:val="24"/>
          <w:szCs w:val="24"/>
          <w:highlight w:val="none"/>
        </w:rPr>
        <w:t>3. 资格审查程序</w:t>
      </w:r>
    </w:p>
    <w:p w14:paraId="767EBEFC">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3.1 资格审查</w:t>
      </w:r>
    </w:p>
    <w:p w14:paraId="0C475009">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3.1.1 资格审查小组按照规定的资格审查标准，对各投标人依次进行审查。有一项不符合审查标准的，资格审查不合格，其投标无效。</w:t>
      </w:r>
    </w:p>
    <w:p w14:paraId="6B1738D4">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1.</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投标人有以下情形之一的，</w:t>
      </w:r>
      <w:r>
        <w:rPr>
          <w:rFonts w:hint="eastAsia" w:ascii="宋体" w:hAnsi="宋体" w:eastAsia="仿宋"/>
          <w:color w:val="auto"/>
          <w:sz w:val="24"/>
          <w:highlight w:val="none"/>
        </w:rPr>
        <w:t>资格审查不合格，其投标无效</w:t>
      </w:r>
      <w:r>
        <w:rPr>
          <w:rFonts w:ascii="宋体" w:hAnsi="宋体" w:eastAsia="仿宋"/>
          <w:color w:val="auto"/>
          <w:sz w:val="24"/>
          <w:highlight w:val="none"/>
        </w:rPr>
        <w:t>：</w:t>
      </w:r>
    </w:p>
    <w:p w14:paraId="79140689">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w:t>
      </w:r>
      <w:r>
        <w:rPr>
          <w:rFonts w:hint="eastAsia" w:ascii="宋体" w:hAnsi="宋体" w:eastAsia="仿宋"/>
          <w:color w:val="auto"/>
          <w:sz w:val="24"/>
          <w:highlight w:val="none"/>
        </w:rPr>
        <w:t>1</w:t>
      </w:r>
      <w:r>
        <w:rPr>
          <w:rFonts w:ascii="宋体" w:hAnsi="宋体" w:eastAsia="仿宋"/>
          <w:color w:val="auto"/>
          <w:sz w:val="24"/>
          <w:highlight w:val="none"/>
        </w:rPr>
        <w:t>）有弄虚作假、</w:t>
      </w:r>
      <w:r>
        <w:rPr>
          <w:rFonts w:hint="eastAsia" w:ascii="宋体" w:hAnsi="宋体" w:eastAsia="仿宋"/>
          <w:color w:val="auto"/>
          <w:sz w:val="24"/>
          <w:highlight w:val="none"/>
        </w:rPr>
        <w:t>向资格审查小组</w:t>
      </w:r>
      <w:r>
        <w:rPr>
          <w:rFonts w:ascii="宋体" w:hAnsi="宋体" w:eastAsia="仿宋"/>
          <w:color w:val="auto"/>
          <w:sz w:val="24"/>
          <w:highlight w:val="none"/>
        </w:rPr>
        <w:t>行贿等违法行为</w:t>
      </w:r>
      <w:r>
        <w:rPr>
          <w:rFonts w:hint="eastAsia" w:ascii="宋体" w:hAnsi="宋体" w:eastAsia="仿宋"/>
          <w:color w:val="auto"/>
          <w:sz w:val="24"/>
          <w:highlight w:val="none"/>
        </w:rPr>
        <w:t>；</w:t>
      </w:r>
    </w:p>
    <w:p w14:paraId="04FBAA18">
      <w:pPr>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（2）不按照资格审查小组要求澄清、补正的</w:t>
      </w:r>
      <w:r>
        <w:rPr>
          <w:rFonts w:ascii="宋体" w:hAnsi="宋体" w:eastAsia="仿宋"/>
          <w:color w:val="auto"/>
          <w:sz w:val="24"/>
          <w:highlight w:val="none"/>
        </w:rPr>
        <w:t>。</w:t>
      </w:r>
    </w:p>
    <w:p w14:paraId="76173108">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3.2 投标文件澄清</w:t>
      </w:r>
    </w:p>
    <w:p w14:paraId="19821C2D">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ascii="宋体" w:hAnsi="宋体" w:eastAsia="仿宋"/>
          <w:color w:val="auto"/>
          <w:sz w:val="24"/>
          <w:highlight w:val="none"/>
        </w:rPr>
        <w:t>在</w:t>
      </w:r>
      <w:r>
        <w:rPr>
          <w:rFonts w:hint="eastAsia" w:ascii="宋体" w:hAnsi="宋体" w:eastAsia="仿宋"/>
          <w:color w:val="auto"/>
          <w:sz w:val="24"/>
          <w:highlight w:val="none"/>
        </w:rPr>
        <w:t>资格审查</w:t>
      </w:r>
      <w:r>
        <w:rPr>
          <w:rFonts w:ascii="宋体" w:hAnsi="宋体" w:eastAsia="仿宋"/>
          <w:color w:val="auto"/>
          <w:sz w:val="24"/>
          <w:highlight w:val="none"/>
        </w:rPr>
        <w:t>过程中，</w:t>
      </w:r>
      <w:r>
        <w:rPr>
          <w:rFonts w:hint="eastAsia" w:ascii="宋体" w:hAnsi="宋体" w:eastAsia="仿宋"/>
          <w:color w:val="auto"/>
          <w:sz w:val="24"/>
          <w:highlight w:val="none"/>
        </w:rPr>
        <w:t>资格审查小组</w:t>
      </w:r>
      <w:r>
        <w:rPr>
          <w:rFonts w:ascii="宋体" w:hAnsi="宋体" w:eastAsia="仿宋"/>
          <w:color w:val="auto"/>
          <w:sz w:val="24"/>
          <w:highlight w:val="none"/>
        </w:rPr>
        <w:t>可以书面形式要求投标人对投标文件中含义不明确、对同类问题表述不一致或者有明显文字错误的内容作必要的澄清、说明或补正。澄清、说明或补正应以书面方式进行。</w:t>
      </w:r>
      <w:r>
        <w:rPr>
          <w:rFonts w:hint="eastAsia" w:ascii="宋体" w:hAnsi="宋体" w:eastAsia="仿宋"/>
          <w:color w:val="auto"/>
          <w:sz w:val="24"/>
          <w:highlight w:val="none"/>
        </w:rPr>
        <w:t>资格审查小组</w:t>
      </w:r>
      <w:r>
        <w:rPr>
          <w:rFonts w:ascii="宋体" w:hAnsi="宋体" w:eastAsia="仿宋"/>
          <w:color w:val="auto"/>
          <w:sz w:val="24"/>
          <w:highlight w:val="none"/>
        </w:rPr>
        <w:t>不接受投标人主动提出的澄清、说明或补正。</w:t>
      </w:r>
    </w:p>
    <w:p w14:paraId="699169AC">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澄清、说明或补正不得超出投标文件的范围且不得改变投标文件的实质性内容，并构成投标文件的组成部分。</w:t>
      </w:r>
    </w:p>
    <w:p w14:paraId="2DDAEE93">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.3</w:t>
      </w:r>
      <w:r>
        <w:rPr>
          <w:rFonts w:hint="eastAsia" w:ascii="宋体" w:hAnsi="宋体" w:eastAsia="仿宋"/>
          <w:color w:val="auto"/>
          <w:sz w:val="24"/>
          <w:highlight w:val="none"/>
        </w:rPr>
        <w:t xml:space="preserve"> 资格审查小组</w:t>
      </w:r>
      <w:r>
        <w:rPr>
          <w:rFonts w:ascii="宋体" w:hAnsi="宋体" w:eastAsia="仿宋"/>
          <w:color w:val="auto"/>
          <w:sz w:val="24"/>
          <w:highlight w:val="none"/>
        </w:rPr>
        <w:t>对投标人提交的澄清、说明或补正有疑问的，可以要求投标人进一步澄清、说明或补正，直至满足</w:t>
      </w:r>
      <w:r>
        <w:rPr>
          <w:rFonts w:hint="eastAsia" w:ascii="宋体" w:hAnsi="宋体" w:eastAsia="仿宋"/>
          <w:color w:val="auto"/>
          <w:sz w:val="24"/>
          <w:highlight w:val="none"/>
        </w:rPr>
        <w:t>资格审查小组</w:t>
      </w:r>
      <w:r>
        <w:rPr>
          <w:rFonts w:ascii="宋体" w:hAnsi="宋体" w:eastAsia="仿宋"/>
          <w:color w:val="auto"/>
          <w:sz w:val="24"/>
          <w:highlight w:val="none"/>
        </w:rPr>
        <w:t>的要求。</w:t>
      </w:r>
    </w:p>
    <w:p w14:paraId="35FB7152">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3.3 资格审查结果</w:t>
      </w:r>
    </w:p>
    <w:p w14:paraId="33CB8F56">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.1</w:t>
      </w:r>
      <w:r>
        <w:rPr>
          <w:rFonts w:hint="eastAsia" w:ascii="宋体" w:hAnsi="宋体" w:eastAsia="仿宋"/>
          <w:color w:val="auto"/>
          <w:sz w:val="24"/>
          <w:highlight w:val="none"/>
        </w:rPr>
        <w:t xml:space="preserve"> 资格审查完成后，资格审查小组应当出具各投标人资格审查结果的书面意见</w:t>
      </w:r>
      <w:r>
        <w:rPr>
          <w:rFonts w:ascii="宋体" w:hAnsi="宋体" w:eastAsia="仿宋"/>
          <w:color w:val="auto"/>
          <w:sz w:val="24"/>
          <w:highlight w:val="none"/>
        </w:rPr>
        <w:t>。</w:t>
      </w:r>
    </w:p>
    <w:p w14:paraId="0BC286D0">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.2</w:t>
      </w:r>
      <w:r>
        <w:rPr>
          <w:rFonts w:hint="eastAsia" w:ascii="宋体" w:hAnsi="宋体" w:eastAsia="仿宋"/>
          <w:color w:val="auto"/>
          <w:sz w:val="24"/>
          <w:highlight w:val="none"/>
        </w:rPr>
        <w:t xml:space="preserve"> 只有通过资格审查的投标人才能进入下一步的评标程序</w:t>
      </w:r>
      <w:r>
        <w:rPr>
          <w:rFonts w:ascii="宋体" w:hAnsi="宋体" w:eastAsia="仿宋"/>
          <w:color w:val="auto"/>
          <w:sz w:val="24"/>
          <w:highlight w:val="none"/>
        </w:rPr>
        <w:t>。</w:t>
      </w:r>
    </w:p>
    <w:p w14:paraId="279C474D">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3.3.3 合格投标人不足3家的，按废标处理。</w:t>
      </w:r>
    </w:p>
    <w:p w14:paraId="1C6A0EA3">
      <w:pPr>
        <w:pStyle w:val="153"/>
        <w:adjustRightInd w:val="0"/>
        <w:snapToGrid w:val="0"/>
        <w:spacing w:before="0" w:line="360" w:lineRule="auto"/>
        <w:ind w:firstLine="482" w:firstLineChars="200"/>
        <w:jc w:val="center"/>
        <w:rPr>
          <w:rFonts w:hint="eastAsia" w:ascii="宋体" w:hAnsi="宋体" w:eastAsia="仿宋"/>
          <w:b/>
          <w:color w:val="auto"/>
          <w:sz w:val="24"/>
          <w:szCs w:val="24"/>
          <w:highlight w:val="none"/>
        </w:rPr>
      </w:pPr>
    </w:p>
    <w:p w14:paraId="1BD9F299">
      <w:pPr>
        <w:pStyle w:val="153"/>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001E1A4E">
      <w:pPr>
        <w:pStyle w:val="4"/>
        <w:jc w:val="center"/>
        <w:rPr>
          <w:rFonts w:hint="eastAsia" w:eastAsia="仿宋"/>
          <w:color w:val="auto"/>
          <w:highlight w:val="none"/>
        </w:rPr>
      </w:pPr>
      <w:r>
        <w:rPr>
          <w:rFonts w:hint="eastAsia" w:eastAsia="仿宋"/>
          <w:color w:val="auto"/>
          <w:highlight w:val="none"/>
        </w:rPr>
        <w:t>第二节  评标办法</w:t>
      </w:r>
    </w:p>
    <w:p w14:paraId="68C00B9F">
      <w:pPr>
        <w:pStyle w:val="153"/>
        <w:adjustRightInd w:val="0"/>
        <w:snapToGrid w:val="0"/>
        <w:spacing w:before="0" w:line="360" w:lineRule="auto"/>
        <w:ind w:firstLine="562" w:firstLineChars="200"/>
        <w:jc w:val="center"/>
        <w:rPr>
          <w:rFonts w:hint="eastAsia" w:ascii="宋体" w:hAnsi="宋体" w:eastAsia="仿宋"/>
          <w:b/>
          <w:color w:val="auto"/>
          <w:highlight w:val="none"/>
        </w:rPr>
      </w:pPr>
      <w:r>
        <w:rPr>
          <w:rFonts w:hint="eastAsia" w:ascii="宋体" w:hAnsi="宋体" w:eastAsia="仿宋"/>
          <w:b/>
          <w:color w:val="auto"/>
          <w:highlight w:val="none"/>
        </w:rPr>
        <w:t>评标办法前附表</w:t>
      </w:r>
    </w:p>
    <w:p w14:paraId="03D84FEE">
      <w:pPr>
        <w:widowControl/>
        <w:adjustRightInd w:val="0"/>
        <w:snapToGrid w:val="0"/>
        <w:spacing w:before="240" w:beforeLines="100" w:after="120" w:afterLines="50" w:line="360" w:lineRule="auto"/>
        <w:ind w:firstLine="482" w:firstLineChars="200"/>
        <w:rPr>
          <w:rFonts w:hint="eastAsia" w:ascii="宋体" w:hAnsi="宋体" w:eastAsia="仿宋"/>
          <w:b/>
          <w:color w:val="auto"/>
          <w:sz w:val="28"/>
          <w:szCs w:val="28"/>
          <w:highlight w:val="none"/>
        </w:rPr>
      </w:pPr>
      <w:r>
        <w:rPr>
          <w:rFonts w:hint="eastAsia" w:ascii="宋体" w:hAnsi="宋体" w:eastAsia="仿宋"/>
          <w:b/>
          <w:bCs/>
          <w:color w:val="auto"/>
          <w:sz w:val="24"/>
          <w:highlight w:val="none"/>
        </w:rPr>
        <w:t>本《评标办法前附表》是对本节《评标办法》的具体补充和修改，如有不一致，以本《评标办法前附表》为准。</w:t>
      </w:r>
    </w:p>
    <w:p w14:paraId="56921250">
      <w:pPr>
        <w:pStyle w:val="153"/>
        <w:adjustRightInd w:val="0"/>
        <w:snapToGrid w:val="0"/>
        <w:spacing w:before="0" w:line="360" w:lineRule="auto"/>
        <w:ind w:firstLine="482" w:firstLineChars="200"/>
        <w:rPr>
          <w:rFonts w:hint="eastAsia" w:ascii="楷体_GB2312" w:hAnsi="宋体" w:eastAsia="楷体_GB2312"/>
          <w:b/>
          <w:i/>
          <w:color w:val="auto"/>
          <w:sz w:val="24"/>
          <w:szCs w:val="24"/>
          <w:highlight w:val="none"/>
        </w:rPr>
      </w:pPr>
      <w:r>
        <w:rPr>
          <w:rFonts w:hint="eastAsia" w:ascii="宋体" w:hAnsi="宋体" w:eastAsia="仿宋"/>
          <w:b/>
          <w:color w:val="auto"/>
          <w:sz w:val="24"/>
          <w:szCs w:val="24"/>
          <w:highlight w:val="none"/>
        </w:rPr>
        <w:t>1. 符合性审查表</w:t>
      </w:r>
    </w:p>
    <w:tbl>
      <w:tblPr>
        <w:tblStyle w:val="47"/>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4F4DD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02444722">
            <w:pPr>
              <w:keepNext w:val="0"/>
              <w:keepLines w:val="0"/>
              <w:widowControl/>
              <w:suppressLineNumbers w:val="0"/>
              <w:spacing w:before="0" w:beforeAutospacing="0" w:after="0" w:afterAutospacing="0"/>
              <w:ind w:left="0" w:right="0"/>
              <w:jc w:val="center"/>
              <w:rPr>
                <w:rFonts w:hint="eastAsia" w:ascii="宋体" w:hAnsi="宋体" w:cs="Times New Roman"/>
                <w:b/>
                <w:color w:val="auto"/>
                <w:kern w:val="0"/>
                <w:sz w:val="24"/>
                <w:highlight w:val="none"/>
              </w:rPr>
            </w:pPr>
            <w:r>
              <w:rPr>
                <w:rFonts w:hint="eastAsia" w:ascii="宋体" w:hAnsi="宋体" w:eastAsia="仿宋" w:cs="Times New Roman"/>
                <w:b/>
                <w:color w:val="auto"/>
                <w:kern w:val="0"/>
                <w:sz w:val="24"/>
                <w:highlight w:val="none"/>
              </w:rPr>
              <w:t>条款号</w:t>
            </w:r>
          </w:p>
        </w:tc>
        <w:tc>
          <w:tcPr>
            <w:tcW w:w="1843" w:type="dxa"/>
            <w:noWrap w:val="0"/>
            <w:vAlign w:val="center"/>
          </w:tcPr>
          <w:p w14:paraId="188D64FC">
            <w:pPr>
              <w:keepNext w:val="0"/>
              <w:keepLines w:val="0"/>
              <w:widowControl/>
              <w:suppressLineNumbers w:val="0"/>
              <w:spacing w:before="0" w:beforeAutospacing="0" w:after="0" w:afterAutospacing="0"/>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审查因素</w:t>
            </w:r>
          </w:p>
        </w:tc>
        <w:tc>
          <w:tcPr>
            <w:tcW w:w="6533" w:type="dxa"/>
            <w:noWrap w:val="0"/>
            <w:vAlign w:val="center"/>
          </w:tcPr>
          <w:p w14:paraId="18202CFE">
            <w:pPr>
              <w:keepNext w:val="0"/>
              <w:keepLines w:val="0"/>
              <w:widowControl/>
              <w:suppressLineNumbers w:val="0"/>
              <w:spacing w:before="0" w:beforeAutospacing="0" w:after="0" w:afterAutospacing="0"/>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审查标准</w:t>
            </w:r>
          </w:p>
        </w:tc>
      </w:tr>
      <w:tr w14:paraId="25000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21152096">
            <w:pPr>
              <w:keepNext w:val="0"/>
              <w:keepLines w:val="0"/>
              <w:widowControl/>
              <w:suppressLineNumbers w:val="0"/>
              <w:spacing w:before="0" w:beforeAutospacing="0" w:after="0" w:afterAutospacing="0"/>
              <w:ind w:left="0" w:right="0"/>
              <w:jc w:val="center"/>
              <w:rPr>
                <w:rFonts w:hint="default"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3.1.2</w:t>
            </w:r>
          </w:p>
        </w:tc>
        <w:tc>
          <w:tcPr>
            <w:tcW w:w="1843" w:type="dxa"/>
            <w:noWrap w:val="0"/>
            <w:vAlign w:val="center"/>
          </w:tcPr>
          <w:p w14:paraId="4598C2BA">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投标人名称</w:t>
            </w:r>
          </w:p>
        </w:tc>
        <w:tc>
          <w:tcPr>
            <w:tcW w:w="6533" w:type="dxa"/>
            <w:noWrap w:val="0"/>
            <w:vAlign w:val="center"/>
          </w:tcPr>
          <w:p w14:paraId="43A3EB4E">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与营业执照（或事业单位法人证书等证明材料）一致</w:t>
            </w:r>
          </w:p>
        </w:tc>
      </w:tr>
      <w:tr w14:paraId="4A0F1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D17C466">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709CFDB">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投标文件签署</w:t>
            </w:r>
          </w:p>
        </w:tc>
        <w:tc>
          <w:tcPr>
            <w:tcW w:w="6533" w:type="dxa"/>
            <w:noWrap w:val="0"/>
            <w:vAlign w:val="center"/>
          </w:tcPr>
          <w:p w14:paraId="6B677FCE">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投标文件签字盖章符合招标文件规定</w:t>
            </w:r>
          </w:p>
        </w:tc>
      </w:tr>
      <w:tr w14:paraId="77E8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3EB1D77">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1F1B061F">
            <w:pPr>
              <w:keepNext w:val="0"/>
              <w:keepLines w:val="0"/>
              <w:suppressLineNumbers w:val="0"/>
              <w:spacing w:before="0" w:beforeAutospacing="0" w:after="0" w:afterAutospacing="0" w:line="240" w:lineRule="exact"/>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法定代表人（单位负责人）身份证明及授权委托书</w:t>
            </w:r>
          </w:p>
        </w:tc>
        <w:tc>
          <w:tcPr>
            <w:tcW w:w="6533" w:type="dxa"/>
            <w:noWrap w:val="0"/>
            <w:vAlign w:val="center"/>
          </w:tcPr>
          <w:p w14:paraId="03B28A75">
            <w:pPr>
              <w:keepNext w:val="0"/>
              <w:keepLines w:val="0"/>
              <w:suppressLineNumbers w:val="0"/>
              <w:spacing w:before="0" w:beforeAutospacing="0" w:after="0" w:afterAutospacing="0" w:line="240" w:lineRule="exact"/>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法定代表人（单位负责人）身份证明及授权委托书符合招标文件规定的格式，按规定格式签字盖章</w:t>
            </w:r>
          </w:p>
        </w:tc>
      </w:tr>
      <w:tr w14:paraId="76151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AE216D4">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5B3BB439">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投标文件格式</w:t>
            </w:r>
          </w:p>
        </w:tc>
        <w:tc>
          <w:tcPr>
            <w:tcW w:w="6533" w:type="dxa"/>
            <w:noWrap w:val="0"/>
            <w:vAlign w:val="center"/>
          </w:tcPr>
          <w:p w14:paraId="2E252EA0">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符合招标文件给定格式要求，实质性内容齐全，关键内容、字迹清晰可辨</w:t>
            </w:r>
          </w:p>
        </w:tc>
      </w:tr>
      <w:tr w14:paraId="31C0F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E3AFABD">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06375B13">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联合体投标</w:t>
            </w:r>
          </w:p>
          <w:p w14:paraId="03566731">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（如适用）</w:t>
            </w:r>
          </w:p>
        </w:tc>
        <w:tc>
          <w:tcPr>
            <w:tcW w:w="6533" w:type="dxa"/>
            <w:noWrap w:val="0"/>
            <w:vAlign w:val="center"/>
          </w:tcPr>
          <w:p w14:paraId="16225333">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提供联合体协议书，并明确联合体牵头人</w:t>
            </w:r>
          </w:p>
        </w:tc>
      </w:tr>
      <w:tr w14:paraId="56BDB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70B1DE3">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5E613994">
            <w:pPr>
              <w:keepNext w:val="0"/>
              <w:keepLines w:val="0"/>
              <w:widowControl/>
              <w:suppressLineNumbers w:val="0"/>
              <w:spacing w:before="0" w:beforeAutospacing="0" w:after="0" w:afterAutospacing="0"/>
              <w:ind w:left="0" w:right="0"/>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投标范围</w:t>
            </w:r>
          </w:p>
        </w:tc>
        <w:tc>
          <w:tcPr>
            <w:tcW w:w="6533" w:type="dxa"/>
            <w:noWrap w:val="0"/>
            <w:vAlign w:val="center"/>
          </w:tcPr>
          <w:p w14:paraId="508AC126">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符合招标文件要求</w:t>
            </w:r>
          </w:p>
        </w:tc>
      </w:tr>
      <w:tr w14:paraId="78F5D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A100CAD">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5114FDBE">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投标报价</w:t>
            </w:r>
          </w:p>
        </w:tc>
        <w:tc>
          <w:tcPr>
            <w:tcW w:w="6533" w:type="dxa"/>
            <w:noWrap w:val="0"/>
            <w:vAlign w:val="top"/>
          </w:tcPr>
          <w:p w14:paraId="6F4A93C1">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仿宋_GB2312"/>
                <w:color w:val="auto"/>
                <w:sz w:val="24"/>
                <w:highlight w:val="none"/>
                <w:lang w:val="zh-CN"/>
              </w:rPr>
              <w:t>投标报价不得超过</w:t>
            </w:r>
            <w:r>
              <w:rPr>
                <w:rFonts w:hint="eastAsia" w:ascii="宋体" w:hAnsi="宋体" w:eastAsia="仿宋" w:cs="仿宋_GB2312"/>
                <w:color w:val="auto"/>
                <w:sz w:val="24"/>
                <w:highlight w:val="none"/>
              </w:rPr>
              <w:t>预算金额或</w:t>
            </w:r>
            <w:r>
              <w:rPr>
                <w:rFonts w:hint="eastAsia" w:ascii="宋体" w:hAnsi="宋体" w:eastAsia="仿宋" w:cs="仿宋_GB2312"/>
                <w:color w:val="auto"/>
                <w:sz w:val="24"/>
                <w:highlight w:val="none"/>
                <w:lang w:val="zh-CN"/>
              </w:rPr>
              <w:t>最高限价，</w:t>
            </w:r>
            <w:r>
              <w:rPr>
                <w:rFonts w:hint="eastAsia" w:ascii="宋体" w:hAnsi="宋体" w:eastAsia="仿宋" w:cs="Times New Roman"/>
                <w:color w:val="auto"/>
                <w:sz w:val="24"/>
                <w:highlight w:val="none"/>
              </w:rPr>
              <w:t>只能有一个有效报价，不得提交选择性报价（按招标文件规定提交备选投标方案的除外），</w:t>
            </w:r>
            <w:r>
              <w:rPr>
                <w:rFonts w:hint="eastAsia" w:ascii="宋体" w:hAnsi="宋体" w:eastAsia="仿宋" w:cs="Times New Roman"/>
                <w:color w:val="auto"/>
                <w:sz w:val="24"/>
                <w:highlight w:val="none"/>
                <w:lang w:bidi="ar"/>
              </w:rPr>
              <w:t>符合第二章投标人须知第3.2款要求</w:t>
            </w:r>
          </w:p>
        </w:tc>
      </w:tr>
      <w:tr w14:paraId="7902B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5827E0B">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6EC2C275">
            <w:pPr>
              <w:pStyle w:val="152"/>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商务要求</w:t>
            </w:r>
          </w:p>
        </w:tc>
        <w:tc>
          <w:tcPr>
            <w:tcW w:w="6533" w:type="dxa"/>
            <w:noWrap w:val="0"/>
            <w:vAlign w:val="center"/>
          </w:tcPr>
          <w:p w14:paraId="08A69264">
            <w:pPr>
              <w:pStyle w:val="152"/>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rPr>
            </w:pPr>
            <w:r>
              <w:rPr>
                <w:rFonts w:hint="eastAsia" w:ascii="宋体" w:hAnsi="宋体" w:eastAsia="仿宋" w:cs="Times New Roman"/>
                <w:color w:val="auto"/>
                <w:sz w:val="24"/>
                <w:highlight w:val="none"/>
              </w:rPr>
              <w:t>符合实质性要求，偏离范围和项数符合招标文件规定</w:t>
            </w:r>
          </w:p>
        </w:tc>
      </w:tr>
      <w:tr w14:paraId="1BA96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53B3002">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09315BAC">
            <w:pPr>
              <w:keepNext w:val="0"/>
              <w:keepLines w:val="0"/>
              <w:widowControl/>
              <w:suppressLineNumbers w:val="0"/>
              <w:spacing w:before="0" w:beforeAutospacing="0" w:after="0" w:afterAutospacing="0"/>
              <w:ind w:left="0" w:right="0"/>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技术要求</w:t>
            </w:r>
          </w:p>
        </w:tc>
        <w:tc>
          <w:tcPr>
            <w:tcW w:w="6533" w:type="dxa"/>
            <w:noWrap w:val="0"/>
            <w:vAlign w:val="center"/>
          </w:tcPr>
          <w:p w14:paraId="6607DF32">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符合实质性要求，偏离范围和项数符合招标文件规定</w:t>
            </w:r>
          </w:p>
        </w:tc>
      </w:tr>
      <w:tr w14:paraId="49EE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7376D5A">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647425DE">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投标有效期</w:t>
            </w:r>
          </w:p>
        </w:tc>
        <w:tc>
          <w:tcPr>
            <w:tcW w:w="6533" w:type="dxa"/>
            <w:noWrap w:val="0"/>
            <w:vAlign w:val="center"/>
          </w:tcPr>
          <w:p w14:paraId="3C5382C9">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符合招标文件要求</w:t>
            </w:r>
          </w:p>
        </w:tc>
      </w:tr>
      <w:tr w14:paraId="106FD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5B68AE41">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03A110D9">
            <w:pPr>
              <w:pStyle w:val="152"/>
              <w:keepNext w:val="0"/>
              <w:keepLines w:val="0"/>
              <w:suppressLineNumbers w:val="0"/>
              <w:adjustRightInd w:val="0"/>
              <w:spacing w:before="0" w:beforeAutospacing="0" w:after="0" w:afterAutospacing="0"/>
              <w:ind w:left="0" w:right="0"/>
              <w:rPr>
                <w:rFonts w:hint="eastAsia" w:ascii="宋体" w:hAnsi="宋体" w:cs="Times New Roman"/>
                <w:color w:val="auto"/>
                <w:sz w:val="24"/>
                <w:szCs w:val="24"/>
                <w:highlight w:val="none"/>
              </w:rPr>
            </w:pPr>
            <w:r>
              <w:rPr>
                <w:rFonts w:hint="eastAsia" w:ascii="宋体" w:hAnsi="宋体" w:eastAsia="仿宋" w:cs="Times New Roman"/>
                <w:color w:val="auto"/>
                <w:sz w:val="24"/>
                <w:szCs w:val="24"/>
                <w:highlight w:val="none"/>
              </w:rPr>
              <w:t>进口产品</w:t>
            </w:r>
          </w:p>
        </w:tc>
        <w:tc>
          <w:tcPr>
            <w:tcW w:w="6533" w:type="dxa"/>
            <w:noWrap w:val="0"/>
            <w:vAlign w:val="center"/>
          </w:tcPr>
          <w:p w14:paraId="4337B946">
            <w:pPr>
              <w:pStyle w:val="152"/>
              <w:keepNext w:val="0"/>
              <w:keepLines w:val="0"/>
              <w:suppressLineNumbers w:val="0"/>
              <w:adjustRightInd w:val="0"/>
              <w:spacing w:before="0" w:beforeAutospacing="0" w:after="0" w:afterAutospacing="0"/>
              <w:ind w:left="0" w:right="0"/>
              <w:rPr>
                <w:rFonts w:hint="eastAsia" w:ascii="宋体" w:hAnsi="宋体" w:cs="Times New Roman"/>
                <w:color w:val="auto"/>
                <w:sz w:val="24"/>
                <w:szCs w:val="24"/>
                <w:highlight w:val="none"/>
              </w:rPr>
            </w:pPr>
            <w:r>
              <w:rPr>
                <w:rFonts w:hint="eastAsia" w:ascii="宋体" w:hAnsi="宋体" w:eastAsia="仿宋" w:cs="Times New Roman"/>
                <w:color w:val="auto"/>
                <w:sz w:val="24"/>
                <w:szCs w:val="24"/>
                <w:highlight w:val="none"/>
              </w:rPr>
              <w:t>不接受进口产品投标的，投标产品不得为进口产品（执行</w:t>
            </w:r>
            <w:r>
              <w:rPr>
                <w:rFonts w:hint="default" w:ascii="宋体" w:hAnsi="宋体" w:eastAsia="仿宋" w:cs="Times New Roman"/>
                <w:color w:val="auto"/>
                <w:sz w:val="24"/>
                <w:szCs w:val="24"/>
                <w:highlight w:val="none"/>
              </w:rPr>
              <w:t>财办库</w:t>
            </w:r>
            <w:r>
              <w:rPr>
                <w:rFonts w:hint="eastAsia" w:ascii="宋体" w:hAnsi="宋体" w:eastAsia="仿宋" w:cs="Times New Roman"/>
                <w:color w:val="auto"/>
                <w:sz w:val="24"/>
                <w:szCs w:val="24"/>
                <w:highlight w:val="none"/>
              </w:rPr>
              <w:t>〔2008〕</w:t>
            </w:r>
            <w:r>
              <w:rPr>
                <w:rFonts w:hint="default" w:ascii="宋体" w:hAnsi="宋体" w:eastAsia="仿宋" w:cs="Times New Roman"/>
                <w:color w:val="auto"/>
                <w:sz w:val="24"/>
                <w:szCs w:val="24"/>
                <w:highlight w:val="none"/>
              </w:rPr>
              <w:t>248号</w:t>
            </w:r>
            <w:r>
              <w:rPr>
                <w:rFonts w:hint="eastAsia" w:ascii="宋体" w:hAnsi="宋体" w:eastAsia="仿宋" w:cs="Times New Roman"/>
                <w:color w:val="auto"/>
                <w:sz w:val="24"/>
                <w:szCs w:val="24"/>
                <w:highlight w:val="none"/>
              </w:rPr>
              <w:t>文件规定）</w:t>
            </w:r>
          </w:p>
        </w:tc>
      </w:tr>
      <w:tr w14:paraId="1FA7A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4076846">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09F7A88">
            <w:pPr>
              <w:pStyle w:val="152"/>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强制采购节能产品</w:t>
            </w:r>
          </w:p>
        </w:tc>
        <w:tc>
          <w:tcPr>
            <w:tcW w:w="6533" w:type="dxa"/>
            <w:noWrap w:val="0"/>
            <w:vAlign w:val="center"/>
          </w:tcPr>
          <w:p w14:paraId="197E1A6D">
            <w:pPr>
              <w:pStyle w:val="152"/>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采购标的若属于《节能产品政府采购品目清单》范围中政府强制采购产品，则投标人提供产品须获得国家确定的认证机构出具的、处于有效期之内的节能（水）产品认证证书</w:t>
            </w:r>
          </w:p>
        </w:tc>
      </w:tr>
      <w:tr w14:paraId="005F4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531FC28A">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662045A">
            <w:pPr>
              <w:pStyle w:val="152"/>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投标文件制作机器识别码</w:t>
            </w:r>
          </w:p>
        </w:tc>
        <w:tc>
          <w:tcPr>
            <w:tcW w:w="6533" w:type="dxa"/>
            <w:noWrap w:val="0"/>
            <w:vAlign w:val="center"/>
          </w:tcPr>
          <w:p w14:paraId="53BA3F2A">
            <w:pPr>
              <w:pStyle w:val="152"/>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不同投标人未出现使用相同的投标文件制作机器识别码进行投标的情形</w:t>
            </w:r>
          </w:p>
        </w:tc>
      </w:tr>
      <w:tr w14:paraId="09453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649681C1">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5C26CE5D">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权利义务</w:t>
            </w:r>
          </w:p>
        </w:tc>
        <w:tc>
          <w:tcPr>
            <w:tcW w:w="6533" w:type="dxa"/>
            <w:noWrap w:val="0"/>
            <w:vAlign w:val="center"/>
          </w:tcPr>
          <w:p w14:paraId="0AF18B3E">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符合招标文件合同条款要求，未另行设定采购人不能接受的采购人应承担的义务，未对投标人的义务予以削弱</w:t>
            </w:r>
          </w:p>
        </w:tc>
      </w:tr>
      <w:tr w14:paraId="51C49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60489C04">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BF55076">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提供同一品牌产品</w:t>
            </w:r>
          </w:p>
        </w:tc>
        <w:tc>
          <w:tcPr>
            <w:tcW w:w="6533" w:type="dxa"/>
            <w:noWrap w:val="0"/>
            <w:vAlign w:val="center"/>
          </w:tcPr>
          <w:p w14:paraId="104C91C4">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单一产品采购项目中，提供同一品牌产品的不同投标人参加同一包项下投标的，以一家投标人计算有效投标人数量。非单一产品采购项目中，提供任意一个核心产品为同一品牌且通过资格审查、符合性审查的不同投标人参加同一包项下投标的，以一家投标人计算有效投标人数量。若有效投标人不足三家，本项目废标</w:t>
            </w:r>
          </w:p>
        </w:tc>
      </w:tr>
      <w:tr w14:paraId="12E45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10214142">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504755C4">
            <w:pPr>
              <w:pStyle w:val="152"/>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低价说明</w:t>
            </w:r>
          </w:p>
        </w:tc>
        <w:tc>
          <w:tcPr>
            <w:tcW w:w="6533" w:type="dxa"/>
            <w:noWrap w:val="0"/>
            <w:vAlign w:val="center"/>
          </w:tcPr>
          <w:p w14:paraId="431955B0">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投标人的报价明显低于其他通过符合性审查投标人的报价，评标委员会要求其提供书面说明时，投标人不能证明其报价合理性的，投标无效</w:t>
            </w:r>
          </w:p>
        </w:tc>
      </w:tr>
      <w:tr w14:paraId="46464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DC0B7D1">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180A541D">
            <w:pPr>
              <w:pStyle w:val="152"/>
              <w:keepNext w:val="0"/>
              <w:keepLines w:val="0"/>
              <w:suppressLineNumbers w:val="0"/>
              <w:spacing w:before="0" w:beforeAutospacing="0" w:after="0" w:afterAutospacing="0"/>
              <w:ind w:left="0" w:right="0"/>
              <w:rPr>
                <w:rFonts w:hint="default" w:ascii="宋体" w:hAnsi="宋体" w:cs="Times New Roman"/>
                <w:color w:val="auto"/>
                <w:sz w:val="24"/>
                <w:szCs w:val="24"/>
                <w:highlight w:val="none"/>
              </w:rPr>
            </w:pPr>
            <w:r>
              <w:rPr>
                <w:rFonts w:hint="eastAsia" w:ascii="宋体" w:hAnsi="宋体" w:eastAsia="仿宋" w:cs="Times New Roman"/>
                <w:color w:val="auto"/>
                <w:sz w:val="24"/>
                <w:szCs w:val="24"/>
                <w:highlight w:val="none"/>
              </w:rPr>
              <w:t>其他</w:t>
            </w:r>
          </w:p>
        </w:tc>
        <w:tc>
          <w:tcPr>
            <w:tcW w:w="6533" w:type="dxa"/>
            <w:noWrap w:val="0"/>
            <w:vAlign w:val="center"/>
          </w:tcPr>
          <w:p w14:paraId="52973279">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符合法律、行政法规规定的其他条件</w:t>
            </w:r>
          </w:p>
          <w:p w14:paraId="303F3F04">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不符合招标文件列明的其他投标无效的情形</w:t>
            </w:r>
          </w:p>
        </w:tc>
      </w:tr>
    </w:tbl>
    <w:p w14:paraId="01D57D09">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ascii="宋体" w:hAnsi="宋体" w:eastAsia="仿宋"/>
          <w:b/>
          <w:color w:val="auto"/>
          <w:sz w:val="24"/>
          <w:szCs w:val="24"/>
          <w:highlight w:val="none"/>
        </w:rPr>
        <w:br w:type="page"/>
      </w:r>
      <w:r>
        <w:rPr>
          <w:rFonts w:hint="eastAsia" w:ascii="宋体" w:hAnsi="宋体" w:eastAsia="仿宋"/>
          <w:b/>
          <w:color w:val="auto"/>
          <w:sz w:val="24"/>
          <w:szCs w:val="24"/>
          <w:highlight w:val="none"/>
        </w:rPr>
        <w:t>2、详细评审表</w:t>
      </w:r>
    </w:p>
    <w:p w14:paraId="794BEFDC">
      <w:pPr>
        <w:pStyle w:val="4"/>
        <w:widowControl/>
        <w:adjustRightInd w:val="0"/>
        <w:spacing w:before="0" w:after="0" w:line="360" w:lineRule="auto"/>
        <w:ind w:firstLine="0" w:firstLineChars="0"/>
        <w:rPr>
          <w:rFonts w:ascii="宋体" w:hAnsi="宋体" w:eastAsia="仿宋"/>
          <w:bCs w:val="0"/>
          <w:color w:val="auto"/>
          <w:sz w:val="24"/>
          <w:szCs w:val="24"/>
          <w:highlight w:val="none"/>
        </w:rPr>
      </w:pPr>
      <w:bookmarkStart w:id="775" w:name="_Toc445554766"/>
    </w:p>
    <w:tbl>
      <w:tblPr>
        <w:tblStyle w:val="47"/>
        <w:tblW w:w="952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708"/>
        <w:gridCol w:w="1701"/>
        <w:gridCol w:w="4225"/>
        <w:gridCol w:w="2012"/>
      </w:tblGrid>
      <w:tr w14:paraId="7610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3510723A">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auto"/>
                <w:sz w:val="24"/>
                <w:highlight w:val="none"/>
              </w:rPr>
            </w:pPr>
            <w:r>
              <w:rPr>
                <w:rFonts w:hint="eastAsia" w:ascii="Calibri" w:hAnsi="Calibri" w:eastAsia="仿宋" w:cs="Times New Roman"/>
                <w:b/>
                <w:color w:val="auto"/>
                <w:sz w:val="24"/>
                <w:highlight w:val="none"/>
              </w:rPr>
              <w:t>条款号</w:t>
            </w:r>
          </w:p>
        </w:tc>
        <w:tc>
          <w:tcPr>
            <w:tcW w:w="1701" w:type="dxa"/>
            <w:noWrap w:val="0"/>
            <w:vAlign w:val="center"/>
          </w:tcPr>
          <w:p w14:paraId="267CE40C">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default" w:ascii="Calibri" w:hAnsi="Calibri" w:eastAsia="仿宋" w:cs="Times New Roman"/>
                <w:b/>
                <w:color w:val="auto"/>
                <w:sz w:val="24"/>
                <w:highlight w:val="none"/>
              </w:rPr>
              <w:t>条款内容</w:t>
            </w:r>
          </w:p>
        </w:tc>
        <w:tc>
          <w:tcPr>
            <w:tcW w:w="4225" w:type="dxa"/>
            <w:noWrap w:val="0"/>
            <w:vAlign w:val="center"/>
          </w:tcPr>
          <w:p w14:paraId="607B78BA">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default" w:ascii="Calibri" w:hAnsi="Calibri" w:eastAsia="仿宋" w:cs="Times New Roman"/>
                <w:b/>
                <w:color w:val="auto"/>
                <w:sz w:val="24"/>
                <w:highlight w:val="none"/>
              </w:rPr>
              <w:t>编列内容</w:t>
            </w:r>
          </w:p>
        </w:tc>
        <w:tc>
          <w:tcPr>
            <w:tcW w:w="2012" w:type="dxa"/>
            <w:noWrap w:val="0"/>
            <w:vAlign w:val="center"/>
          </w:tcPr>
          <w:p w14:paraId="1422F94A">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备注</w:t>
            </w:r>
          </w:p>
        </w:tc>
      </w:tr>
      <w:tr w14:paraId="5BE6F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21F4D732">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sz w:val="24"/>
                <w:highlight w:val="none"/>
              </w:rPr>
              <w:t>3.2.1</w:t>
            </w:r>
          </w:p>
        </w:tc>
        <w:tc>
          <w:tcPr>
            <w:tcW w:w="1701" w:type="dxa"/>
            <w:noWrap w:val="0"/>
            <w:vAlign w:val="center"/>
          </w:tcPr>
          <w:p w14:paraId="1A030521">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auto"/>
                <w:sz w:val="24"/>
                <w:highlight w:val="none"/>
              </w:rPr>
            </w:pPr>
            <w:r>
              <w:rPr>
                <w:rFonts w:hint="default" w:ascii="宋体" w:hAnsi="宋体" w:eastAsia="仿宋" w:cs="Times New Roman"/>
                <w:color w:val="auto"/>
                <w:sz w:val="24"/>
                <w:highlight w:val="none"/>
              </w:rPr>
              <w:t>分值构成</w:t>
            </w:r>
          </w:p>
          <w:p w14:paraId="068899EA">
            <w:pPr>
              <w:keepNext w:val="0"/>
              <w:keepLines w:val="0"/>
              <w:suppressLineNumbers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总分100分</w:t>
            </w:r>
            <w:r>
              <w:rPr>
                <w:rFonts w:hint="eastAsia" w:ascii="宋体" w:hAnsi="宋体" w:eastAsia="仿宋" w:cs="Times New Roman"/>
                <w:color w:val="auto"/>
                <w:sz w:val="24"/>
                <w:highlight w:val="none"/>
              </w:rPr>
              <w:t>）</w:t>
            </w:r>
          </w:p>
        </w:tc>
        <w:tc>
          <w:tcPr>
            <w:tcW w:w="4225" w:type="dxa"/>
            <w:noWrap w:val="0"/>
            <w:vAlign w:val="center"/>
          </w:tcPr>
          <w:p w14:paraId="01D9BB7B">
            <w:pPr>
              <w:keepNext w:val="0"/>
              <w:keepLines w:val="0"/>
              <w:suppressLineNumbers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商务部分：5分</w:t>
            </w:r>
          </w:p>
          <w:p w14:paraId="36AE29DA">
            <w:pPr>
              <w:keepNext w:val="0"/>
              <w:keepLines w:val="0"/>
              <w:suppressLineNumbers w:val="0"/>
              <w:snapToGrid w:val="0"/>
              <w:spacing w:before="0" w:beforeAutospacing="0" w:after="0" w:afterAutospacing="0" w:line="288" w:lineRule="auto"/>
              <w:ind w:left="0" w:right="0"/>
              <w:rPr>
                <w:rFonts w:hint="default"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rPr>
              <w:t>技术部分</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lang w:val="en-US" w:eastAsia="zh-CN"/>
              </w:rPr>
              <w:t>65分</w:t>
            </w:r>
          </w:p>
          <w:p w14:paraId="6CEDCA4B">
            <w:pPr>
              <w:keepNext w:val="0"/>
              <w:keepLines w:val="0"/>
              <w:suppressLineNumbers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default" w:ascii="宋体" w:hAnsi="宋体" w:eastAsia="仿宋" w:cs="Times New Roman"/>
                <w:color w:val="auto"/>
                <w:sz w:val="24"/>
                <w:highlight w:val="none"/>
              </w:rPr>
              <w:t>投标报价：</w:t>
            </w:r>
            <w:r>
              <w:rPr>
                <w:rFonts w:hint="eastAsia" w:ascii="宋体" w:hAnsi="宋体" w:eastAsia="仿宋" w:cs="Times New Roman"/>
                <w:color w:val="auto"/>
                <w:sz w:val="24"/>
                <w:highlight w:val="none"/>
                <w:lang w:val="en-US" w:eastAsia="zh-CN"/>
              </w:rPr>
              <w:t>30分</w:t>
            </w:r>
          </w:p>
        </w:tc>
        <w:tc>
          <w:tcPr>
            <w:tcW w:w="2012" w:type="dxa"/>
            <w:noWrap w:val="0"/>
            <w:vAlign w:val="top"/>
          </w:tcPr>
          <w:p w14:paraId="448CA1D8">
            <w:pPr>
              <w:keepNext w:val="0"/>
              <w:keepLines w:val="0"/>
              <w:widowControl/>
              <w:suppressLineNumbers w:val="0"/>
              <w:snapToGrid w:val="0"/>
              <w:spacing w:before="0" w:beforeAutospacing="0" w:after="0" w:afterAutospacing="0" w:line="288" w:lineRule="auto"/>
              <w:ind w:left="0" w:right="0"/>
              <w:jc w:val="left"/>
              <w:rPr>
                <w:rFonts w:hint="default" w:ascii="宋体" w:hAnsi="宋体" w:cs="Times New Roman"/>
                <w:color w:val="auto"/>
                <w:kern w:val="0"/>
                <w:sz w:val="24"/>
                <w:highlight w:val="none"/>
              </w:rPr>
            </w:pPr>
          </w:p>
        </w:tc>
      </w:tr>
      <w:tr w14:paraId="7DD37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412FBF26">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3.2.2</w:t>
            </w:r>
          </w:p>
        </w:tc>
        <w:tc>
          <w:tcPr>
            <w:tcW w:w="1701" w:type="dxa"/>
            <w:noWrap w:val="0"/>
            <w:vAlign w:val="center"/>
          </w:tcPr>
          <w:p w14:paraId="1F43C62F">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color w:val="auto"/>
                <w:sz w:val="24"/>
                <w:highlight w:val="none"/>
              </w:rPr>
            </w:pPr>
            <w:r>
              <w:rPr>
                <w:rFonts w:hint="eastAsia" w:ascii="Calibri" w:hAnsi="Calibri" w:eastAsia="仿宋" w:cs="Times New Roman"/>
                <w:color w:val="auto"/>
                <w:sz w:val="24"/>
                <w:highlight w:val="none"/>
              </w:rPr>
              <w:t>评标基准价计算方法</w:t>
            </w:r>
          </w:p>
        </w:tc>
        <w:tc>
          <w:tcPr>
            <w:tcW w:w="4225" w:type="dxa"/>
            <w:noWrap w:val="0"/>
            <w:vAlign w:val="center"/>
          </w:tcPr>
          <w:p w14:paraId="521966BF">
            <w:pPr>
              <w:keepNext w:val="0"/>
              <w:keepLines w:val="0"/>
              <w:suppressLineNumbers w:val="0"/>
              <w:snapToGrid w:val="0"/>
              <w:spacing w:before="0" w:beforeAutospacing="0" w:after="0" w:afterAutospacing="0" w:line="288" w:lineRule="auto"/>
              <w:ind w:left="0" w:right="0"/>
              <w:rPr>
                <w:rFonts w:hint="eastAsia" w:ascii="Calibri" w:hAnsi="Calibri" w:cs="Times New Roman"/>
                <w:color w:val="auto"/>
                <w:sz w:val="24"/>
                <w:highlight w:val="none"/>
              </w:rPr>
            </w:pPr>
            <w:r>
              <w:rPr>
                <w:rFonts w:hint="eastAsia" w:ascii="Calibri" w:hAnsi="Calibri" w:eastAsia="仿宋" w:cs="Times New Roman"/>
                <w:color w:val="auto"/>
                <w:sz w:val="24"/>
                <w:highlight w:val="none"/>
              </w:rPr>
              <w:t>有效的投标报价中的最低价作为评标基准价</w:t>
            </w:r>
          </w:p>
        </w:tc>
        <w:tc>
          <w:tcPr>
            <w:tcW w:w="2012" w:type="dxa"/>
            <w:noWrap w:val="0"/>
            <w:vAlign w:val="center"/>
          </w:tcPr>
          <w:p w14:paraId="6A2AEA5A">
            <w:pPr>
              <w:keepNext w:val="0"/>
              <w:keepLines w:val="0"/>
              <w:suppressLineNumbers w:val="0"/>
              <w:snapToGrid w:val="0"/>
              <w:spacing w:before="0" w:beforeAutospacing="0" w:after="0" w:afterAutospacing="0" w:line="288" w:lineRule="auto"/>
              <w:ind w:left="-38" w:right="0"/>
              <w:rPr>
                <w:rFonts w:hint="eastAsia" w:ascii="宋体" w:hAnsi="宋体" w:cs="Times New Roman"/>
                <w:color w:val="auto"/>
                <w:sz w:val="24"/>
                <w:highlight w:val="none"/>
              </w:rPr>
            </w:pPr>
          </w:p>
        </w:tc>
      </w:tr>
      <w:tr w14:paraId="3A31A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1CFA2840">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auto"/>
                <w:sz w:val="24"/>
                <w:highlight w:val="none"/>
              </w:rPr>
            </w:pPr>
            <w:r>
              <w:rPr>
                <w:rFonts w:hint="eastAsia" w:ascii="Calibri" w:hAnsi="Calibri" w:eastAsia="仿宋" w:cs="Times New Roman"/>
                <w:b/>
                <w:color w:val="auto"/>
                <w:sz w:val="24"/>
                <w:highlight w:val="none"/>
              </w:rPr>
              <w:t>条款号</w:t>
            </w:r>
          </w:p>
        </w:tc>
        <w:tc>
          <w:tcPr>
            <w:tcW w:w="1701" w:type="dxa"/>
            <w:noWrap w:val="0"/>
            <w:vAlign w:val="center"/>
          </w:tcPr>
          <w:p w14:paraId="467E077C">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eastAsia" w:ascii="Calibri" w:hAnsi="Calibri" w:eastAsia="仿宋" w:cs="Times New Roman"/>
                <w:b/>
                <w:color w:val="auto"/>
                <w:sz w:val="24"/>
                <w:highlight w:val="none"/>
              </w:rPr>
              <w:t>评分因素</w:t>
            </w:r>
          </w:p>
        </w:tc>
        <w:tc>
          <w:tcPr>
            <w:tcW w:w="6237" w:type="dxa"/>
            <w:gridSpan w:val="2"/>
            <w:noWrap w:val="0"/>
            <w:vAlign w:val="center"/>
          </w:tcPr>
          <w:p w14:paraId="7415A391">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color w:val="auto"/>
                <w:kern w:val="0"/>
                <w:sz w:val="24"/>
                <w:highlight w:val="none"/>
              </w:rPr>
            </w:pPr>
            <w:r>
              <w:rPr>
                <w:rFonts w:hint="eastAsia" w:ascii="Calibri" w:hAnsi="Calibri" w:eastAsia="仿宋" w:cs="Times New Roman"/>
                <w:b/>
                <w:color w:val="auto"/>
                <w:sz w:val="24"/>
                <w:highlight w:val="none"/>
              </w:rPr>
              <w:t>评分标准</w:t>
            </w:r>
          </w:p>
        </w:tc>
      </w:tr>
      <w:tr w14:paraId="6C0C2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17FA9863">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3.2.3（1）</w:t>
            </w:r>
          </w:p>
          <w:p w14:paraId="1C6A01F6">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商务</w:t>
            </w:r>
          </w:p>
          <w:p w14:paraId="32966C3D">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部分</w:t>
            </w:r>
          </w:p>
        </w:tc>
        <w:tc>
          <w:tcPr>
            <w:tcW w:w="708" w:type="dxa"/>
            <w:noWrap w:val="0"/>
            <w:vAlign w:val="center"/>
          </w:tcPr>
          <w:p w14:paraId="2F1973FE">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01C18B5C">
            <w:pPr>
              <w:keepNext w:val="0"/>
              <w:keepLines w:val="0"/>
              <w:widowControl/>
              <w:suppressLineNumbers w:val="0"/>
              <w:snapToGrid w:val="0"/>
              <w:spacing w:before="0" w:beforeAutospacing="0" w:after="0" w:afterAutospacing="0" w:line="288" w:lineRule="auto"/>
              <w:ind w:left="0" w:right="0"/>
              <w:rPr>
                <w:rFonts w:hint="default" w:ascii="楷体" w:hAnsi="楷体" w:eastAsia="楷体" w:cs="Times New Roman"/>
                <w:color w:val="auto"/>
                <w:sz w:val="24"/>
                <w:highlight w:val="none"/>
              </w:rPr>
            </w:pPr>
            <w:r>
              <w:rPr>
                <w:rFonts w:hint="eastAsia" w:ascii="仿宋" w:hAnsi="仿宋" w:eastAsia="仿宋" w:cs="仿宋"/>
                <w:color w:val="auto"/>
                <w:sz w:val="24"/>
                <w:highlight w:val="none"/>
              </w:rPr>
              <w:t>所投产品业绩（5分）</w:t>
            </w:r>
          </w:p>
        </w:tc>
        <w:tc>
          <w:tcPr>
            <w:tcW w:w="6237" w:type="dxa"/>
            <w:gridSpan w:val="2"/>
            <w:noWrap w:val="0"/>
            <w:vAlign w:val="center"/>
          </w:tcPr>
          <w:p w14:paraId="507A788E">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1、开标时间6个月以内的首次注册的产品，要求提供近2021年1月以来（以合同签订时间为准)，所投核心产品同品牌同类型产品具有医疗机构供货业绩的，每提供一个业绩得1分，最高得5分；</w:t>
            </w:r>
          </w:p>
          <w:p w14:paraId="7FDBFBAD">
            <w:pPr>
              <w:keepNext w:val="0"/>
              <w:keepLines w:val="0"/>
              <w:suppressLineNumbers w:val="0"/>
              <w:spacing w:before="0" w:beforeAutospacing="0" w:after="0" w:afterAutospacing="0" w:line="360" w:lineRule="auto"/>
              <w:ind w:left="0" w:right="0"/>
              <w:rPr>
                <w:rFonts w:hint="eastAsia" w:ascii="Calibri" w:hAnsi="Calibri" w:cs="Times New Roman"/>
                <w:color w:val="auto"/>
                <w:highlight w:val="none"/>
              </w:rPr>
            </w:pPr>
            <w:r>
              <w:rPr>
                <w:rFonts w:hint="eastAsia" w:ascii="仿宋" w:hAnsi="仿宋" w:eastAsia="仿宋" w:cs="仿宋"/>
                <w:color w:val="auto"/>
                <w:sz w:val="24"/>
                <w:highlight w:val="none"/>
              </w:rPr>
              <w:t>2、开标时间6个月之前首次注册的产品，要求提供2021年1月至今(以合同签订时间为准），所投核心产品同品牌同型号产品具有医疗机构供货业绩的，每提供一个业绩得1分，最高得5分。</w:t>
            </w:r>
          </w:p>
          <w:p w14:paraId="7878A578">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4983E48D">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（1）本项为所投产品业绩；</w:t>
            </w:r>
          </w:p>
          <w:p w14:paraId="1732CE9A">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（2）投标文件中提供合同扫描件，如合同中无法体现签订时间、产品品牌等评审因素的，须同时提供业主单位加盖公章证明材料扫描件，否则不得分；</w:t>
            </w:r>
          </w:p>
          <w:p w14:paraId="7FE59A4A">
            <w:pPr>
              <w:keepNext w:val="0"/>
              <w:keepLines w:val="0"/>
              <w:widowControl/>
              <w:suppressLineNumbers w:val="0"/>
              <w:snapToGrid w:val="0"/>
              <w:spacing w:before="0" w:beforeAutospacing="0" w:after="0" w:afterAutospacing="0" w:line="288" w:lineRule="auto"/>
              <w:ind w:left="0" w:right="0"/>
              <w:rPr>
                <w:rFonts w:hint="default" w:ascii="楷体" w:hAnsi="楷体" w:eastAsia="楷体" w:cs="Times New Roman"/>
                <w:i/>
                <w:iCs/>
                <w:color w:val="auto"/>
                <w:kern w:val="0"/>
                <w:sz w:val="24"/>
                <w:highlight w:val="none"/>
              </w:rPr>
            </w:pPr>
            <w:r>
              <w:rPr>
                <w:rFonts w:hint="eastAsia" w:ascii="仿宋" w:hAnsi="仿宋" w:eastAsia="仿宋" w:cs="仿宋"/>
                <w:b/>
                <w:bCs/>
                <w:color w:val="auto"/>
                <w:sz w:val="24"/>
                <w:highlight w:val="none"/>
              </w:rPr>
              <w:t>（3）以上业绩须为已供货（安装）完毕的业绩，投标文件中无须提供已供货（安装）完毕证明材料扫描件，投标人在“业绩汇总表”中备注是否供货（安装）完毕即可。</w:t>
            </w:r>
          </w:p>
        </w:tc>
      </w:tr>
      <w:tr w14:paraId="4C611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7A8721A9">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3.2.3（2）</w:t>
            </w:r>
          </w:p>
          <w:p w14:paraId="3768F417">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技术</w:t>
            </w:r>
          </w:p>
          <w:p w14:paraId="3CECF161">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部分</w:t>
            </w:r>
          </w:p>
        </w:tc>
        <w:tc>
          <w:tcPr>
            <w:tcW w:w="708" w:type="dxa"/>
            <w:noWrap w:val="0"/>
            <w:vAlign w:val="center"/>
          </w:tcPr>
          <w:p w14:paraId="66A35AAB">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0D156E8F">
            <w:pPr>
              <w:keepNext w:val="0"/>
              <w:keepLines w:val="0"/>
              <w:suppressLineNumbers w:val="0"/>
              <w:snapToGrid w:val="0"/>
              <w:spacing w:before="0" w:beforeAutospacing="0" w:after="0" w:afterAutospacing="0"/>
              <w:ind w:left="0" w:right="0"/>
              <w:jc w:val="center"/>
              <w:rPr>
                <w:rFonts w:hint="default" w:ascii="楷体" w:hAnsi="楷体" w:eastAsia="楷体" w:cs="Times New Roman"/>
                <w:color w:val="auto"/>
                <w:sz w:val="24"/>
                <w:highlight w:val="none"/>
              </w:rPr>
            </w:pPr>
            <w:r>
              <w:rPr>
                <w:rFonts w:hint="eastAsia" w:ascii="仿宋" w:hAnsi="仿宋" w:eastAsia="仿宋" w:cs="仿宋"/>
                <w:bCs/>
                <w:color w:val="auto"/>
                <w:sz w:val="24"/>
                <w:szCs w:val="20"/>
                <w:highlight w:val="none"/>
              </w:rPr>
              <w:t>产品的技术参数（3</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rPr>
              <w:t>分）</w:t>
            </w:r>
          </w:p>
        </w:tc>
        <w:tc>
          <w:tcPr>
            <w:tcW w:w="6237" w:type="dxa"/>
            <w:gridSpan w:val="2"/>
            <w:noWrap w:val="0"/>
            <w:vAlign w:val="center"/>
          </w:tcPr>
          <w:p w14:paraId="76FC9EFA">
            <w:pPr>
              <w:keepNext w:val="0"/>
              <w:keepLines w:val="0"/>
              <w:suppressLineNumbers w:val="0"/>
              <w:snapToGrid w:val="0"/>
              <w:spacing w:before="0" w:beforeAutospacing="0" w:after="0" w:afterAutospacing="0"/>
              <w:ind w:left="0" w:right="0"/>
              <w:rPr>
                <w:rFonts w:hint="default"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1.根据投标文件与招标文件要求实质性响应参数（标记“*”的技术参数）的偏离情况进行评审。技术支持资料显示不满足招标文件要求的或未提供技术支持资料的，投标将被否决；</w:t>
            </w:r>
          </w:p>
          <w:p w14:paraId="2BED99D2">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lang w:val="en-US" w:eastAsia="zh-CN"/>
              </w:rPr>
              <w:t>2</w:t>
            </w:r>
            <w:r>
              <w:rPr>
                <w:rFonts w:hint="eastAsia" w:ascii="仿宋" w:hAnsi="仿宋" w:eastAsia="仿宋" w:cs="仿宋"/>
                <w:b w:val="0"/>
                <w:bCs w:val="0"/>
                <w:color w:val="auto"/>
                <w:sz w:val="24"/>
                <w:szCs w:val="20"/>
                <w:highlight w:val="none"/>
              </w:rPr>
              <w:t>.根据投标文件与招标文件要求重要参数（标记“★”的技术参数）的偏离情况进行评审，每满足一项得</w:t>
            </w:r>
            <w:r>
              <w:rPr>
                <w:rFonts w:hint="eastAsia" w:ascii="仿宋" w:hAnsi="仿宋" w:eastAsia="仿宋" w:cs="仿宋"/>
                <w:b w:val="0"/>
                <w:bCs w:val="0"/>
                <w:color w:val="auto"/>
                <w:sz w:val="24"/>
                <w:szCs w:val="20"/>
                <w:highlight w:val="none"/>
                <w:lang w:val="en-US" w:eastAsia="zh-CN"/>
              </w:rPr>
              <w:t>4</w:t>
            </w:r>
            <w:r>
              <w:rPr>
                <w:rFonts w:hint="eastAsia" w:ascii="仿宋" w:hAnsi="仿宋" w:eastAsia="仿宋" w:cs="仿宋"/>
                <w:b w:val="0"/>
                <w:bCs w:val="0"/>
                <w:color w:val="auto"/>
                <w:sz w:val="24"/>
                <w:szCs w:val="20"/>
                <w:highlight w:val="none"/>
              </w:rPr>
              <w:t>分，共</w:t>
            </w:r>
            <w:r>
              <w:rPr>
                <w:rFonts w:hint="eastAsia" w:ascii="仿宋" w:hAnsi="仿宋" w:eastAsia="仿宋" w:cs="仿宋"/>
                <w:b w:val="0"/>
                <w:bCs w:val="0"/>
                <w:color w:val="auto"/>
                <w:sz w:val="24"/>
                <w:szCs w:val="20"/>
                <w:highlight w:val="none"/>
                <w:lang w:val="en-US" w:eastAsia="zh-CN"/>
              </w:rPr>
              <w:t>5</w:t>
            </w:r>
            <w:r>
              <w:rPr>
                <w:rFonts w:hint="eastAsia" w:ascii="仿宋" w:hAnsi="仿宋" w:eastAsia="仿宋" w:cs="仿宋"/>
                <w:b w:val="0"/>
                <w:bCs w:val="0"/>
                <w:color w:val="auto"/>
                <w:sz w:val="24"/>
                <w:szCs w:val="20"/>
                <w:highlight w:val="none"/>
              </w:rPr>
              <w:t>项，满分</w:t>
            </w:r>
            <w:r>
              <w:rPr>
                <w:rFonts w:hint="eastAsia" w:ascii="仿宋" w:hAnsi="仿宋" w:eastAsia="仿宋" w:cs="仿宋"/>
                <w:b w:val="0"/>
                <w:bCs w:val="0"/>
                <w:color w:val="auto"/>
                <w:sz w:val="24"/>
                <w:szCs w:val="20"/>
                <w:highlight w:val="none"/>
                <w:lang w:val="en-US" w:eastAsia="zh-CN"/>
              </w:rPr>
              <w:t>20</w:t>
            </w:r>
            <w:r>
              <w:rPr>
                <w:rFonts w:hint="eastAsia" w:ascii="仿宋" w:hAnsi="仿宋" w:eastAsia="仿宋" w:cs="仿宋"/>
                <w:b w:val="0"/>
                <w:bCs w:val="0"/>
                <w:color w:val="auto"/>
                <w:sz w:val="24"/>
                <w:szCs w:val="20"/>
                <w:highlight w:val="none"/>
              </w:rPr>
              <w:t>分。</w:t>
            </w:r>
          </w:p>
          <w:p w14:paraId="31107D07">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lang w:val="en-US" w:eastAsia="zh-CN"/>
              </w:rPr>
              <w:t>3</w:t>
            </w:r>
            <w:r>
              <w:rPr>
                <w:rFonts w:hint="eastAsia" w:ascii="仿宋" w:hAnsi="仿宋" w:eastAsia="仿宋" w:cs="仿宋"/>
                <w:b w:val="0"/>
                <w:bCs w:val="0"/>
                <w:color w:val="auto"/>
                <w:sz w:val="24"/>
                <w:szCs w:val="20"/>
                <w:highlight w:val="none"/>
              </w:rPr>
              <w:t>.根据投标文件与招标文件要求的普通参数（标记“█”的技术参数）的偏离情况进行评审，每满足一项得</w:t>
            </w:r>
            <w:r>
              <w:rPr>
                <w:rFonts w:hint="eastAsia" w:ascii="仿宋" w:hAnsi="仿宋" w:eastAsia="仿宋" w:cs="仿宋"/>
                <w:b w:val="0"/>
                <w:bCs w:val="0"/>
                <w:color w:val="auto"/>
                <w:sz w:val="24"/>
                <w:szCs w:val="20"/>
                <w:highlight w:val="none"/>
                <w:lang w:val="en-US" w:eastAsia="zh-CN"/>
              </w:rPr>
              <w:t>1</w:t>
            </w:r>
            <w:r>
              <w:rPr>
                <w:rFonts w:hint="eastAsia" w:ascii="仿宋" w:hAnsi="仿宋" w:eastAsia="仿宋" w:cs="仿宋"/>
                <w:b w:val="0"/>
                <w:bCs w:val="0"/>
                <w:color w:val="auto"/>
                <w:sz w:val="24"/>
                <w:szCs w:val="20"/>
                <w:highlight w:val="none"/>
              </w:rPr>
              <w:t>分，共</w:t>
            </w:r>
            <w:r>
              <w:rPr>
                <w:rFonts w:hint="eastAsia" w:ascii="仿宋" w:hAnsi="仿宋" w:eastAsia="仿宋" w:cs="仿宋"/>
                <w:b w:val="0"/>
                <w:bCs w:val="0"/>
                <w:color w:val="auto"/>
                <w:sz w:val="24"/>
                <w:szCs w:val="20"/>
                <w:highlight w:val="none"/>
                <w:lang w:val="en-US" w:eastAsia="zh-CN"/>
              </w:rPr>
              <w:t>14</w:t>
            </w:r>
            <w:r>
              <w:rPr>
                <w:rFonts w:hint="eastAsia" w:ascii="仿宋" w:hAnsi="仿宋" w:eastAsia="仿宋" w:cs="仿宋"/>
                <w:b w:val="0"/>
                <w:bCs w:val="0"/>
                <w:color w:val="auto"/>
                <w:sz w:val="24"/>
                <w:szCs w:val="20"/>
                <w:highlight w:val="none"/>
              </w:rPr>
              <w:t>项，满分</w:t>
            </w:r>
            <w:r>
              <w:rPr>
                <w:rFonts w:hint="eastAsia" w:ascii="仿宋" w:hAnsi="仿宋" w:eastAsia="仿宋" w:cs="仿宋"/>
                <w:b w:val="0"/>
                <w:bCs w:val="0"/>
                <w:color w:val="auto"/>
                <w:sz w:val="24"/>
                <w:szCs w:val="20"/>
                <w:highlight w:val="none"/>
                <w:lang w:val="en-US" w:eastAsia="zh-CN"/>
              </w:rPr>
              <w:t>14</w:t>
            </w:r>
            <w:r>
              <w:rPr>
                <w:rFonts w:hint="eastAsia" w:ascii="仿宋" w:hAnsi="仿宋" w:eastAsia="仿宋" w:cs="仿宋"/>
                <w:b w:val="0"/>
                <w:bCs w:val="0"/>
                <w:color w:val="auto"/>
                <w:sz w:val="24"/>
                <w:szCs w:val="20"/>
                <w:highlight w:val="none"/>
              </w:rPr>
              <w:t>分。</w:t>
            </w:r>
          </w:p>
          <w:p w14:paraId="117F81B7">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4</w:t>
            </w:r>
            <w:r>
              <w:rPr>
                <w:rFonts w:hint="eastAsia" w:ascii="仿宋" w:hAnsi="仿宋" w:eastAsia="仿宋" w:cs="仿宋"/>
                <w:b w:val="0"/>
                <w:bCs w:val="0"/>
                <w:color w:val="auto"/>
                <w:sz w:val="24"/>
                <w:szCs w:val="20"/>
                <w:highlight w:val="none"/>
              </w:rPr>
              <w:t>.其他无标识项，大于</w:t>
            </w:r>
            <w:r>
              <w:rPr>
                <w:rFonts w:hint="eastAsia" w:ascii="仿宋" w:hAnsi="仿宋" w:eastAsia="仿宋" w:cs="仿宋"/>
                <w:b w:val="0"/>
                <w:bCs w:val="0"/>
                <w:color w:val="auto"/>
                <w:sz w:val="24"/>
                <w:szCs w:val="20"/>
                <w:highlight w:val="none"/>
                <w:lang w:val="en-US" w:eastAsia="zh-CN"/>
              </w:rPr>
              <w:t>5</w:t>
            </w:r>
            <w:r>
              <w:rPr>
                <w:rFonts w:hint="eastAsia" w:ascii="仿宋" w:hAnsi="仿宋" w:eastAsia="仿宋" w:cs="仿宋"/>
                <w:b w:val="0"/>
                <w:bCs w:val="0"/>
                <w:color w:val="auto"/>
                <w:sz w:val="24"/>
                <w:szCs w:val="20"/>
                <w:highlight w:val="none"/>
              </w:rPr>
              <w:t>项负偏离的投标将被否决</w:t>
            </w:r>
            <w:r>
              <w:rPr>
                <w:rFonts w:hint="eastAsia" w:ascii="仿宋" w:hAnsi="仿宋" w:eastAsia="仿宋" w:cs="仿宋"/>
                <w:b w:val="0"/>
                <w:bCs w:val="0"/>
                <w:color w:val="auto"/>
                <w:sz w:val="24"/>
                <w:szCs w:val="20"/>
                <w:highlight w:val="none"/>
                <w:lang w:val="en-US" w:eastAsia="zh-CN"/>
              </w:rPr>
              <w:t>。</w:t>
            </w:r>
          </w:p>
          <w:p w14:paraId="2C8F6F4E">
            <w:pPr>
              <w:keepNext w:val="0"/>
              <w:keepLines w:val="0"/>
              <w:suppressLineNumbers w:val="0"/>
              <w:snapToGrid w:val="0"/>
              <w:spacing w:before="0" w:beforeAutospacing="0" w:after="0" w:afterAutospacing="0"/>
              <w:ind w:left="0" w:right="0"/>
              <w:rPr>
                <w:rFonts w:hint="default" w:ascii="楷体" w:hAnsi="楷体" w:eastAsia="楷体" w:cs="Times New Roman"/>
                <w:color w:val="auto"/>
                <w:kern w:val="0"/>
                <w:sz w:val="24"/>
                <w:highlight w:val="none"/>
              </w:rPr>
            </w:pPr>
            <w:r>
              <w:rPr>
                <w:rFonts w:hint="eastAsia" w:ascii="仿宋" w:hAnsi="仿宋" w:eastAsia="仿宋" w:cs="仿宋"/>
                <w:b/>
                <w:bCs/>
                <w:color w:val="auto"/>
                <w:sz w:val="24"/>
                <w:szCs w:val="20"/>
                <w:highlight w:val="none"/>
              </w:rPr>
              <w:t>技术资料：对于标注“*”号项参数、“★”和“█”参数技术参数/条款的响应情况，以招标文件明确要求的材料为准，如未明确证明材料的类型，则以技术支持资料作为评审依据，技术支持资料包括：制造商公开发布的资料或产品技术白皮书或产品彩页或产品制造商出具的加盖公章的证明材料或检测机构出具的检测报告为准。若所投产品制造商公开发布的资料与检测机构出具的检测报告不一致，以检测机构出具的检测报告为准。为便于评审，投标供应商对证明材料中的关键参数进行标注。</w:t>
            </w:r>
          </w:p>
        </w:tc>
      </w:tr>
      <w:tr w14:paraId="2F5D5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BAF0A5A">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23914C60">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2</w:t>
            </w:r>
          </w:p>
        </w:tc>
        <w:tc>
          <w:tcPr>
            <w:tcW w:w="1701" w:type="dxa"/>
            <w:noWrap w:val="0"/>
            <w:vAlign w:val="center"/>
          </w:tcPr>
          <w:p w14:paraId="12D71B2B">
            <w:pPr>
              <w:keepNext w:val="0"/>
              <w:keepLines w:val="0"/>
              <w:widowControl/>
              <w:suppressLineNumbers w:val="0"/>
              <w:snapToGrid w:val="0"/>
              <w:spacing w:before="0" w:beforeAutospacing="0" w:after="0" w:afterAutospacing="0" w:line="288" w:lineRule="auto"/>
              <w:ind w:left="0" w:right="0"/>
              <w:rPr>
                <w:rFonts w:hint="default" w:ascii="楷体" w:hAnsi="楷体" w:eastAsia="楷体" w:cs="Times New Roman"/>
                <w:color w:val="auto"/>
                <w:sz w:val="24"/>
                <w:highlight w:val="none"/>
              </w:rPr>
            </w:pPr>
            <w:r>
              <w:rPr>
                <w:rFonts w:hint="eastAsia" w:ascii="仿宋" w:hAnsi="仿宋" w:eastAsia="仿宋" w:cs="仿宋"/>
                <w:bCs/>
                <w:color w:val="auto"/>
                <w:sz w:val="24"/>
                <w:szCs w:val="20"/>
                <w:highlight w:val="none"/>
              </w:rPr>
              <w:t>综合评价（</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rPr>
              <w:t>分）</w:t>
            </w:r>
          </w:p>
        </w:tc>
        <w:tc>
          <w:tcPr>
            <w:tcW w:w="6237" w:type="dxa"/>
            <w:gridSpan w:val="2"/>
            <w:noWrap w:val="0"/>
            <w:vAlign w:val="center"/>
          </w:tcPr>
          <w:p w14:paraId="44497499">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评标委员会根据投标人所投产品的</w:t>
            </w:r>
            <w:r>
              <w:rPr>
                <w:rFonts w:hint="eastAsia" w:ascii="仿宋" w:hAnsi="仿宋" w:eastAsia="仿宋" w:cs="仿宋"/>
                <w:bCs/>
                <w:color w:val="auto"/>
                <w:sz w:val="24"/>
                <w:highlight w:val="none"/>
              </w:rPr>
              <w:t>配置情况、设计等方面进行</w:t>
            </w:r>
            <w:r>
              <w:rPr>
                <w:rFonts w:hint="eastAsia" w:ascii="仿宋" w:hAnsi="仿宋" w:eastAsia="仿宋" w:cs="仿宋"/>
                <w:bCs/>
                <w:color w:val="auto"/>
                <w:sz w:val="24"/>
                <w:szCs w:val="24"/>
                <w:highlight w:val="none"/>
              </w:rPr>
              <w:t>综合评审：</w:t>
            </w:r>
          </w:p>
          <w:p w14:paraId="0A384CE4">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highlight w:val="none"/>
              </w:rPr>
              <w:t>所投产品配置丰富、设计人性化的，得</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highlight w:val="none"/>
              </w:rPr>
              <w:t>分；</w:t>
            </w:r>
          </w:p>
          <w:p w14:paraId="136E96AC">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所投产品配置</w:t>
            </w:r>
            <w:r>
              <w:rPr>
                <w:rFonts w:hint="eastAsia" w:ascii="仿宋" w:hAnsi="仿宋" w:eastAsia="仿宋" w:cs="仿宋"/>
                <w:bCs/>
                <w:color w:val="auto"/>
                <w:sz w:val="24"/>
                <w:szCs w:val="24"/>
                <w:highlight w:val="none"/>
                <w:lang w:val="en-US" w:eastAsia="zh-CN"/>
              </w:rPr>
              <w:t>较</w:t>
            </w:r>
            <w:r>
              <w:rPr>
                <w:rFonts w:hint="eastAsia" w:ascii="仿宋" w:hAnsi="仿宋" w:eastAsia="仿宋" w:cs="仿宋"/>
                <w:bCs/>
                <w:color w:val="auto"/>
                <w:sz w:val="24"/>
                <w:szCs w:val="24"/>
                <w:highlight w:val="none"/>
              </w:rPr>
              <w:t>丰富、设计</w:t>
            </w:r>
            <w:r>
              <w:rPr>
                <w:rFonts w:hint="eastAsia" w:ascii="仿宋" w:hAnsi="仿宋" w:eastAsia="仿宋" w:cs="仿宋"/>
                <w:bCs/>
                <w:color w:val="auto"/>
                <w:sz w:val="24"/>
                <w:szCs w:val="24"/>
                <w:highlight w:val="none"/>
                <w:lang w:val="en-US" w:eastAsia="zh-CN"/>
              </w:rPr>
              <w:t>较</w:t>
            </w:r>
            <w:r>
              <w:rPr>
                <w:rFonts w:hint="eastAsia" w:ascii="仿宋" w:hAnsi="仿宋" w:eastAsia="仿宋" w:cs="仿宋"/>
                <w:bCs/>
                <w:color w:val="auto"/>
                <w:sz w:val="24"/>
                <w:szCs w:val="24"/>
                <w:highlight w:val="none"/>
              </w:rPr>
              <w:t>人性化的，得</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w:t>
            </w:r>
          </w:p>
          <w:p w14:paraId="6CC5B513">
            <w:pPr>
              <w:keepNext w:val="0"/>
              <w:keepLines w:val="0"/>
              <w:numPr>
                <w:ilvl w:val="0"/>
                <w:numId w:val="0"/>
              </w:numPr>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highlight w:val="none"/>
              </w:rPr>
              <w:t>所投产品配置待优化、设计待提高的，得1分。</w:t>
            </w:r>
          </w:p>
          <w:p w14:paraId="4E229736">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4）未提供</w:t>
            </w:r>
            <w:r>
              <w:rPr>
                <w:rFonts w:hint="eastAsia" w:ascii="仿宋" w:hAnsi="仿宋" w:eastAsia="仿宋" w:cs="仿宋"/>
                <w:bCs/>
                <w:color w:val="auto"/>
                <w:sz w:val="24"/>
                <w:szCs w:val="24"/>
                <w:highlight w:val="none"/>
                <w:lang w:val="en-US" w:eastAsia="zh-CN"/>
              </w:rPr>
              <w:t>任何内容</w:t>
            </w:r>
            <w:r>
              <w:rPr>
                <w:rFonts w:hint="eastAsia" w:ascii="仿宋" w:hAnsi="仿宋" w:eastAsia="仿宋" w:cs="仿宋"/>
                <w:bCs/>
                <w:color w:val="auto"/>
                <w:sz w:val="24"/>
                <w:szCs w:val="24"/>
                <w:highlight w:val="none"/>
              </w:rPr>
              <w:t xml:space="preserve">的不得分。 </w:t>
            </w:r>
          </w:p>
          <w:p w14:paraId="4F7290B0">
            <w:pPr>
              <w:keepNext w:val="0"/>
              <w:keepLines w:val="0"/>
              <w:suppressLineNumbers w:val="0"/>
              <w:snapToGrid w:val="0"/>
              <w:spacing w:before="0" w:beforeAutospacing="0" w:after="0" w:afterAutospacing="0"/>
              <w:ind w:left="0" w:right="0"/>
              <w:rPr>
                <w:rFonts w:hint="default" w:ascii="楷体" w:hAnsi="楷体" w:eastAsia="楷体" w:cs="Times New Roman"/>
                <w:color w:val="auto"/>
                <w:kern w:val="0"/>
                <w:sz w:val="24"/>
                <w:highlight w:val="none"/>
              </w:rPr>
            </w:pPr>
            <w:r>
              <w:rPr>
                <w:rFonts w:hint="eastAsia" w:ascii="仿宋" w:hAnsi="仿宋" w:eastAsia="仿宋" w:cs="仿宋"/>
                <w:b/>
                <w:bCs/>
                <w:color w:val="auto"/>
                <w:sz w:val="24"/>
                <w:szCs w:val="20"/>
                <w:highlight w:val="none"/>
              </w:rPr>
              <w:t>注：投标文件中提供产品</w:t>
            </w:r>
            <w:r>
              <w:rPr>
                <w:rFonts w:hint="eastAsia" w:ascii="仿宋" w:hAnsi="仿宋" w:eastAsia="仿宋" w:cs="仿宋"/>
                <w:b/>
                <w:bCs/>
                <w:color w:val="auto"/>
                <w:sz w:val="24"/>
                <w:szCs w:val="20"/>
                <w:highlight w:val="none"/>
                <w:lang w:val="en-US" w:eastAsia="zh-CN"/>
              </w:rPr>
              <w:t>配置</w:t>
            </w:r>
            <w:r>
              <w:rPr>
                <w:rFonts w:hint="eastAsia" w:ascii="仿宋" w:hAnsi="仿宋" w:eastAsia="仿宋" w:cs="仿宋"/>
                <w:b/>
                <w:bCs/>
                <w:color w:val="auto"/>
                <w:sz w:val="24"/>
                <w:szCs w:val="20"/>
                <w:highlight w:val="none"/>
                <w:lang w:eastAsia="zh-CN"/>
              </w:rPr>
              <w:t>、</w:t>
            </w:r>
            <w:r>
              <w:rPr>
                <w:rFonts w:hint="eastAsia" w:ascii="仿宋" w:hAnsi="仿宋" w:eastAsia="仿宋" w:cs="仿宋"/>
                <w:b/>
                <w:bCs/>
                <w:color w:val="auto"/>
                <w:sz w:val="24"/>
                <w:szCs w:val="20"/>
                <w:highlight w:val="none"/>
                <w:lang w:val="en-US" w:eastAsia="zh-CN"/>
              </w:rPr>
              <w:t>设计</w:t>
            </w:r>
            <w:r>
              <w:rPr>
                <w:rFonts w:hint="eastAsia" w:ascii="仿宋" w:hAnsi="仿宋" w:eastAsia="仿宋" w:cs="仿宋"/>
                <w:b/>
                <w:bCs/>
                <w:color w:val="auto"/>
                <w:sz w:val="24"/>
                <w:szCs w:val="20"/>
                <w:highlight w:val="none"/>
              </w:rPr>
              <w:t>说明。</w:t>
            </w:r>
          </w:p>
        </w:tc>
      </w:tr>
      <w:tr w14:paraId="3E308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31EADAC5">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0509276F">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3</w:t>
            </w:r>
          </w:p>
        </w:tc>
        <w:tc>
          <w:tcPr>
            <w:tcW w:w="1701" w:type="dxa"/>
            <w:noWrap w:val="0"/>
            <w:vAlign w:val="center"/>
          </w:tcPr>
          <w:p w14:paraId="39AF47E5">
            <w:pPr>
              <w:keepNext w:val="0"/>
              <w:keepLines w:val="0"/>
              <w:widowControl/>
              <w:suppressLineNumbers w:val="0"/>
              <w:adjustRightInd w:val="0"/>
              <w:snapToGrid w:val="0"/>
              <w:spacing w:before="0" w:beforeAutospacing="0" w:after="0" w:afterAutospacing="0" w:line="288" w:lineRule="auto"/>
              <w:ind w:left="0" w:right="0"/>
              <w:rPr>
                <w:rFonts w:hint="default" w:ascii="楷体" w:hAnsi="楷体" w:eastAsia="楷体" w:cs="Times New Roman"/>
                <w:color w:val="auto"/>
                <w:sz w:val="24"/>
                <w:highlight w:val="none"/>
              </w:rPr>
            </w:pPr>
            <w:r>
              <w:rPr>
                <w:rFonts w:hint="eastAsia" w:ascii="仿宋" w:hAnsi="仿宋" w:eastAsia="仿宋" w:cs="仿宋"/>
                <w:bCs/>
                <w:color w:val="auto"/>
                <w:sz w:val="24"/>
                <w:szCs w:val="20"/>
                <w:highlight w:val="none"/>
              </w:rPr>
              <w:t>售后</w:t>
            </w:r>
            <w:r>
              <w:rPr>
                <w:rFonts w:hint="eastAsia" w:ascii="仿宋" w:hAnsi="仿宋" w:eastAsia="仿宋" w:cs="仿宋"/>
                <w:bCs/>
                <w:color w:val="auto"/>
                <w:sz w:val="24"/>
                <w:szCs w:val="20"/>
                <w:highlight w:val="none"/>
                <w:lang w:val="en-US" w:eastAsia="zh-CN"/>
              </w:rPr>
              <w:t>与应急服务</w:t>
            </w:r>
            <w:r>
              <w:rPr>
                <w:rFonts w:hint="eastAsia" w:ascii="仿宋" w:hAnsi="仿宋" w:eastAsia="仿宋" w:cs="仿宋"/>
                <w:bCs/>
                <w:color w:val="auto"/>
                <w:sz w:val="24"/>
                <w:szCs w:val="20"/>
                <w:highlight w:val="none"/>
              </w:rPr>
              <w:t>方案（1</w:t>
            </w:r>
            <w:r>
              <w:rPr>
                <w:rFonts w:hint="eastAsia" w:ascii="仿宋" w:hAnsi="仿宋" w:eastAsia="仿宋" w:cs="仿宋"/>
                <w:bCs/>
                <w:color w:val="auto"/>
                <w:sz w:val="24"/>
                <w:szCs w:val="20"/>
                <w:highlight w:val="none"/>
                <w:lang w:val="en-US" w:eastAsia="zh-CN"/>
              </w:rPr>
              <w:t>0</w:t>
            </w:r>
            <w:r>
              <w:rPr>
                <w:rFonts w:hint="eastAsia" w:ascii="仿宋" w:hAnsi="仿宋" w:eastAsia="仿宋" w:cs="仿宋"/>
                <w:bCs/>
                <w:color w:val="auto"/>
                <w:sz w:val="24"/>
                <w:szCs w:val="20"/>
                <w:highlight w:val="none"/>
              </w:rPr>
              <w:t>分）</w:t>
            </w:r>
          </w:p>
        </w:tc>
        <w:tc>
          <w:tcPr>
            <w:tcW w:w="6237" w:type="dxa"/>
            <w:gridSpan w:val="2"/>
            <w:noWrap w:val="0"/>
            <w:vAlign w:val="center"/>
          </w:tcPr>
          <w:p w14:paraId="0BE8BA59">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评标委员会依据投标</w:t>
            </w:r>
            <w:r>
              <w:rPr>
                <w:rFonts w:hint="eastAsia" w:ascii="仿宋" w:hAnsi="仿宋" w:eastAsia="仿宋" w:cs="仿宋"/>
                <w:bCs/>
                <w:color w:val="auto"/>
                <w:sz w:val="24"/>
                <w:highlight w:val="none"/>
                <w:lang w:val="en-US" w:eastAsia="zh-CN"/>
              </w:rPr>
              <w:t>人提供的</w:t>
            </w:r>
            <w:r>
              <w:rPr>
                <w:rFonts w:hint="eastAsia" w:ascii="仿宋" w:hAnsi="仿宋" w:eastAsia="仿宋" w:cs="仿宋"/>
                <w:bCs/>
                <w:color w:val="auto"/>
                <w:sz w:val="24"/>
                <w:highlight w:val="none"/>
              </w:rPr>
              <w:t>售后</w:t>
            </w:r>
            <w:r>
              <w:rPr>
                <w:rFonts w:hint="eastAsia" w:ascii="仿宋" w:hAnsi="仿宋" w:eastAsia="仿宋" w:cs="仿宋"/>
                <w:bCs/>
                <w:color w:val="auto"/>
                <w:sz w:val="24"/>
                <w:highlight w:val="none"/>
                <w:lang w:val="en-US" w:eastAsia="zh-CN"/>
              </w:rPr>
              <w:t>与应急服务</w:t>
            </w:r>
            <w:r>
              <w:rPr>
                <w:rFonts w:hint="eastAsia" w:ascii="仿宋" w:hAnsi="仿宋" w:eastAsia="仿宋" w:cs="仿宋"/>
                <w:bCs/>
                <w:color w:val="auto"/>
                <w:sz w:val="24"/>
                <w:highlight w:val="none"/>
              </w:rPr>
              <w:t>方案进行综合评审：</w:t>
            </w:r>
          </w:p>
          <w:p w14:paraId="05F82209">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1.售后服务方案：</w:t>
            </w:r>
          </w:p>
          <w:p w14:paraId="459AED85">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1）对本项目的特点和难点理解准确，</w:t>
            </w:r>
            <w:r>
              <w:rPr>
                <w:rFonts w:hint="eastAsia" w:ascii="仿宋" w:hAnsi="仿宋" w:eastAsia="仿宋" w:cs="仿宋"/>
                <w:bCs/>
                <w:color w:val="auto"/>
                <w:sz w:val="24"/>
                <w:highlight w:val="none"/>
                <w:lang w:val="en-US" w:eastAsia="zh-CN"/>
              </w:rPr>
              <w:t>售后服务</w:t>
            </w:r>
            <w:r>
              <w:rPr>
                <w:rFonts w:hint="eastAsia" w:ascii="仿宋" w:hAnsi="仿宋" w:eastAsia="仿宋" w:cs="仿宋"/>
                <w:bCs/>
                <w:color w:val="auto"/>
                <w:sz w:val="24"/>
                <w:highlight w:val="none"/>
              </w:rPr>
              <w:t>方案优于本项目采购需求，可行性、实用性、针对性强，得5分；</w:t>
            </w:r>
          </w:p>
          <w:p w14:paraId="106DF8CC">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2）对本项目的特点和难点理解基本准确，</w:t>
            </w:r>
            <w:r>
              <w:rPr>
                <w:rFonts w:hint="eastAsia" w:ascii="仿宋" w:hAnsi="仿宋" w:eastAsia="仿宋" w:cs="仿宋"/>
                <w:bCs/>
                <w:color w:val="auto"/>
                <w:sz w:val="24"/>
                <w:highlight w:val="none"/>
                <w:lang w:val="en-US" w:eastAsia="zh-CN"/>
              </w:rPr>
              <w:t>售后服务</w:t>
            </w:r>
            <w:r>
              <w:rPr>
                <w:rFonts w:hint="eastAsia" w:ascii="仿宋" w:hAnsi="仿宋" w:eastAsia="仿宋" w:cs="仿宋"/>
                <w:bCs/>
                <w:color w:val="auto"/>
                <w:sz w:val="24"/>
                <w:highlight w:val="none"/>
              </w:rPr>
              <w:t>方案基本</w:t>
            </w:r>
            <w:r>
              <w:rPr>
                <w:rFonts w:hint="eastAsia" w:ascii="仿宋" w:hAnsi="仿宋" w:eastAsia="仿宋" w:cs="仿宋"/>
                <w:bCs/>
                <w:color w:val="auto"/>
                <w:sz w:val="24"/>
                <w:highlight w:val="none"/>
                <w:lang w:val="en-US" w:eastAsia="zh-CN"/>
              </w:rPr>
              <w:t>满足</w:t>
            </w:r>
            <w:r>
              <w:rPr>
                <w:rFonts w:hint="eastAsia" w:ascii="仿宋" w:hAnsi="仿宋" w:eastAsia="仿宋" w:cs="仿宋"/>
                <w:bCs/>
                <w:color w:val="auto"/>
                <w:sz w:val="24"/>
                <w:highlight w:val="none"/>
              </w:rPr>
              <w:t>本项目采购需求，具有可行性、实用性和针对性，得3分；</w:t>
            </w:r>
          </w:p>
          <w:p w14:paraId="323407BE">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3</w:t>
            </w:r>
            <w:r>
              <w:rPr>
                <w:rFonts w:hint="eastAsia" w:ascii="仿宋" w:hAnsi="仿宋" w:eastAsia="仿宋" w:cs="仿宋"/>
                <w:bCs/>
                <w:color w:val="auto"/>
                <w:sz w:val="24"/>
                <w:highlight w:val="none"/>
              </w:rPr>
              <w:t>）对本项目的特点和难点理解有待提升，</w:t>
            </w:r>
            <w:r>
              <w:rPr>
                <w:rFonts w:hint="eastAsia" w:ascii="仿宋" w:hAnsi="仿宋" w:eastAsia="仿宋" w:cs="仿宋"/>
                <w:bCs/>
                <w:color w:val="auto"/>
                <w:sz w:val="24"/>
                <w:highlight w:val="none"/>
                <w:lang w:val="en-US" w:eastAsia="zh-CN"/>
              </w:rPr>
              <w:t>售后服务</w:t>
            </w:r>
            <w:r>
              <w:rPr>
                <w:rFonts w:hint="eastAsia" w:ascii="仿宋" w:hAnsi="仿宋" w:eastAsia="仿宋" w:cs="仿宋"/>
                <w:bCs/>
                <w:color w:val="auto"/>
                <w:sz w:val="24"/>
                <w:highlight w:val="none"/>
              </w:rPr>
              <w:t>方案可行性、实用性和针对性有待改善，得</w:t>
            </w:r>
            <w:r>
              <w:rPr>
                <w:rFonts w:hint="eastAsia" w:ascii="仿宋" w:hAnsi="仿宋" w:eastAsia="仿宋" w:cs="仿宋"/>
                <w:bCs/>
                <w:color w:val="auto"/>
                <w:sz w:val="24"/>
                <w:highlight w:val="none"/>
                <w:lang w:eastAsia="zh-CN"/>
              </w:rPr>
              <w:t>1</w:t>
            </w:r>
            <w:r>
              <w:rPr>
                <w:rFonts w:hint="eastAsia" w:ascii="仿宋" w:hAnsi="仿宋" w:eastAsia="仿宋" w:cs="仿宋"/>
                <w:bCs/>
                <w:color w:val="auto"/>
                <w:sz w:val="24"/>
                <w:highlight w:val="none"/>
              </w:rPr>
              <w:t>分；</w:t>
            </w:r>
          </w:p>
          <w:p w14:paraId="562B330B">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4</w:t>
            </w:r>
            <w:r>
              <w:rPr>
                <w:rFonts w:hint="eastAsia" w:ascii="仿宋" w:hAnsi="仿宋" w:eastAsia="仿宋" w:cs="仿宋"/>
                <w:bCs/>
                <w:color w:val="auto"/>
                <w:sz w:val="24"/>
                <w:highlight w:val="none"/>
              </w:rPr>
              <w:t>）未提供方案的不得分。</w:t>
            </w:r>
          </w:p>
          <w:p w14:paraId="234F0153">
            <w:pPr>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2.应急服务</w:t>
            </w:r>
            <w:r>
              <w:rPr>
                <w:rFonts w:hint="eastAsia" w:ascii="仿宋" w:hAnsi="仿宋" w:eastAsia="仿宋" w:cs="仿宋"/>
                <w:b/>
                <w:color w:val="auto"/>
                <w:sz w:val="24"/>
                <w:highlight w:val="none"/>
                <w:lang w:val="en-US" w:eastAsia="zh-CN"/>
              </w:rPr>
              <w:t>方案</w:t>
            </w:r>
            <w:r>
              <w:rPr>
                <w:rFonts w:hint="eastAsia" w:ascii="仿宋" w:hAnsi="仿宋" w:eastAsia="仿宋" w:cs="仿宋"/>
                <w:b/>
                <w:color w:val="auto"/>
                <w:sz w:val="24"/>
                <w:highlight w:val="none"/>
              </w:rPr>
              <w:t>：</w:t>
            </w:r>
          </w:p>
          <w:p w14:paraId="567BA33B">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1）应急服务方案完整详细，备品备件供应可以得到充分保障，应急服务响应及时，方案实用性强的，得</w:t>
            </w:r>
            <w:r>
              <w:rPr>
                <w:rFonts w:hint="eastAsia" w:ascii="仿宋" w:hAnsi="仿宋" w:eastAsia="仿宋" w:cs="仿宋"/>
                <w:bCs/>
                <w:color w:val="auto"/>
                <w:sz w:val="24"/>
                <w:highlight w:val="none"/>
                <w:lang w:eastAsia="zh-CN"/>
              </w:rPr>
              <w:t>5</w:t>
            </w:r>
            <w:r>
              <w:rPr>
                <w:rFonts w:hint="eastAsia" w:ascii="仿宋" w:hAnsi="仿宋" w:eastAsia="仿宋" w:cs="仿宋"/>
                <w:bCs/>
                <w:color w:val="auto"/>
                <w:sz w:val="24"/>
                <w:highlight w:val="none"/>
              </w:rPr>
              <w:t>分；</w:t>
            </w:r>
          </w:p>
          <w:p w14:paraId="798CCBA9">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2）应急服务方案基本完整，备品备件供应基本可以满足使用，应急服务响应较及时，方案实用性较强的，得</w:t>
            </w:r>
            <w:r>
              <w:rPr>
                <w:rFonts w:hint="eastAsia" w:ascii="仿宋" w:hAnsi="仿宋" w:eastAsia="仿宋" w:cs="仿宋"/>
                <w:bCs/>
                <w:color w:val="auto"/>
                <w:sz w:val="24"/>
                <w:highlight w:val="none"/>
                <w:lang w:eastAsia="zh-CN"/>
              </w:rPr>
              <w:t>3</w:t>
            </w:r>
            <w:r>
              <w:rPr>
                <w:rFonts w:hint="eastAsia" w:ascii="仿宋" w:hAnsi="仿宋" w:eastAsia="仿宋" w:cs="仿宋"/>
                <w:bCs/>
                <w:color w:val="auto"/>
                <w:sz w:val="24"/>
                <w:highlight w:val="none"/>
              </w:rPr>
              <w:t>分；</w:t>
            </w:r>
          </w:p>
          <w:p w14:paraId="6FD32AAE">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3）应急服务方案内容不够完整，备品备件供应能力有待提升，方案实用性有待加强的得1分；</w:t>
            </w:r>
          </w:p>
          <w:p w14:paraId="16952210">
            <w:pPr>
              <w:keepNext w:val="0"/>
              <w:keepLines w:val="0"/>
              <w:widowControl/>
              <w:suppressLineNumbers w:val="0"/>
              <w:snapToGrid/>
              <w:spacing w:before="0" w:beforeAutospacing="0" w:after="0" w:afterAutospacing="0" w:line="360" w:lineRule="auto"/>
              <w:ind w:left="0" w:right="0"/>
              <w:rPr>
                <w:rFonts w:hint="default" w:ascii="楷体" w:hAnsi="楷体" w:eastAsia="楷体" w:cs="Times New Roman"/>
                <w:color w:val="auto"/>
                <w:kern w:val="0"/>
                <w:sz w:val="24"/>
                <w:highlight w:val="none"/>
              </w:rPr>
            </w:pPr>
            <w:r>
              <w:rPr>
                <w:rFonts w:hint="eastAsia" w:ascii="仿宋" w:hAnsi="仿宋" w:eastAsia="仿宋" w:cs="仿宋"/>
                <w:bCs/>
                <w:color w:val="auto"/>
                <w:sz w:val="24"/>
                <w:highlight w:val="none"/>
              </w:rPr>
              <w:t>4）未提供方案的不得分。</w:t>
            </w:r>
          </w:p>
        </w:tc>
      </w:tr>
      <w:tr w14:paraId="117B9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82BB334">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635B047E">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4</w:t>
            </w:r>
          </w:p>
        </w:tc>
        <w:tc>
          <w:tcPr>
            <w:tcW w:w="1701" w:type="dxa"/>
            <w:noWrap w:val="0"/>
            <w:vAlign w:val="center"/>
          </w:tcPr>
          <w:p w14:paraId="25F84688">
            <w:pPr>
              <w:keepNext w:val="0"/>
              <w:keepLines w:val="0"/>
              <w:widowControl/>
              <w:suppressLineNumbers w:val="0"/>
              <w:adjustRightInd w:val="0"/>
              <w:snapToGrid w:val="0"/>
              <w:spacing w:before="0" w:beforeAutospacing="0" w:after="0" w:afterAutospacing="0" w:line="288" w:lineRule="auto"/>
              <w:ind w:left="0" w:right="0"/>
              <w:rPr>
                <w:rFonts w:hint="default" w:ascii="楷体" w:hAnsi="楷体" w:eastAsia="楷体" w:cs="Times New Roman"/>
                <w:color w:val="auto"/>
                <w:sz w:val="24"/>
                <w:highlight w:val="none"/>
              </w:rPr>
            </w:pPr>
            <w:r>
              <w:rPr>
                <w:rFonts w:hint="eastAsia" w:ascii="仿宋" w:hAnsi="仿宋" w:eastAsia="仿宋" w:cs="仿宋"/>
                <w:color w:val="auto"/>
                <w:sz w:val="24"/>
                <w:highlight w:val="none"/>
              </w:rPr>
              <w:t>质保承诺（</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分）</w:t>
            </w:r>
          </w:p>
        </w:tc>
        <w:tc>
          <w:tcPr>
            <w:tcW w:w="6237" w:type="dxa"/>
            <w:gridSpan w:val="2"/>
            <w:noWrap w:val="0"/>
            <w:vAlign w:val="center"/>
          </w:tcPr>
          <w:p w14:paraId="350A02D4">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所投产品整机免费质保期，在招标文件要求免费质保期的基础上每增加1年得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分（增加部分不足1年的不得分），满分</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分。</w:t>
            </w:r>
          </w:p>
          <w:p w14:paraId="4EF31CE2">
            <w:pPr>
              <w:keepNext w:val="0"/>
              <w:keepLines w:val="0"/>
              <w:widowControl/>
              <w:suppressLineNumbers w:val="0"/>
              <w:snapToGrid w:val="0"/>
              <w:spacing w:before="0" w:beforeAutospacing="0" w:after="0" w:afterAutospacing="0" w:line="288" w:lineRule="auto"/>
              <w:ind w:left="0" w:right="0"/>
              <w:rPr>
                <w:rFonts w:hint="default" w:ascii="楷体" w:hAnsi="楷体" w:eastAsia="楷体" w:cs="Times New Roman"/>
                <w:color w:val="auto"/>
                <w:kern w:val="0"/>
                <w:sz w:val="24"/>
                <w:highlight w:val="none"/>
              </w:rPr>
            </w:pPr>
            <w:r>
              <w:rPr>
                <w:rFonts w:hint="eastAsia" w:ascii="仿宋" w:hAnsi="仿宋" w:eastAsia="仿宋" w:cs="仿宋"/>
                <w:b/>
                <w:color w:val="auto"/>
                <w:sz w:val="24"/>
                <w:highlight w:val="none"/>
              </w:rPr>
              <w:t>注：以开标一览表中所报免费质保期为评审依据。</w:t>
            </w:r>
          </w:p>
        </w:tc>
      </w:tr>
      <w:tr w14:paraId="3337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326FA282">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65A1D05B">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lang w:val="en-US" w:eastAsia="zh-CN"/>
              </w:rPr>
            </w:pPr>
            <w:r>
              <w:rPr>
                <w:rFonts w:hint="eastAsia" w:ascii="宋体" w:hAnsi="宋体" w:eastAsia="仿宋" w:cs="Times New Roman"/>
                <w:color w:val="auto"/>
                <w:kern w:val="0"/>
                <w:sz w:val="24"/>
                <w:highlight w:val="none"/>
                <w:lang w:val="en-US" w:eastAsia="zh-CN"/>
              </w:rPr>
              <w:t>5</w:t>
            </w:r>
          </w:p>
        </w:tc>
        <w:tc>
          <w:tcPr>
            <w:tcW w:w="1701" w:type="dxa"/>
            <w:noWrap w:val="0"/>
            <w:vAlign w:val="center"/>
          </w:tcPr>
          <w:p w14:paraId="2EFAF751">
            <w:pPr>
              <w:keepNext w:val="0"/>
              <w:keepLines w:val="0"/>
              <w:suppressLineNumbers w:val="0"/>
              <w:snapToGrid/>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rPr>
              <w:t>技术培训方案（5分）</w:t>
            </w:r>
          </w:p>
        </w:tc>
        <w:tc>
          <w:tcPr>
            <w:tcW w:w="6237" w:type="dxa"/>
            <w:gridSpan w:val="2"/>
            <w:noWrap w:val="0"/>
            <w:vAlign w:val="center"/>
          </w:tcPr>
          <w:p w14:paraId="0D3235D1">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根据投标人提供的技术培训方案</w:t>
            </w:r>
            <w:r>
              <w:rPr>
                <w:rFonts w:hint="eastAsia" w:ascii="仿宋" w:hAnsi="仿宋" w:eastAsia="仿宋" w:cs="仿宋"/>
                <w:bCs/>
                <w:color w:val="auto"/>
                <w:sz w:val="24"/>
                <w:highlight w:val="none"/>
              </w:rPr>
              <w:t>进行综合评审</w:t>
            </w:r>
            <w:r>
              <w:rPr>
                <w:rFonts w:hint="eastAsia" w:ascii="仿宋" w:hAnsi="仿宋" w:eastAsia="仿宋" w:cs="仿宋"/>
                <w:bCs/>
                <w:color w:val="auto"/>
                <w:sz w:val="24"/>
                <w:szCs w:val="24"/>
                <w:highlight w:val="none"/>
              </w:rPr>
              <w:t>：</w:t>
            </w:r>
          </w:p>
          <w:p w14:paraId="2C2216F7">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1）对本项目的特点和难点理解准确，技术培训方案优于本项目采购需求，完整详细，可行性、实用性、针对性强，得5分；</w:t>
            </w:r>
          </w:p>
          <w:p w14:paraId="4887578D">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2）对本项目的特点和难点理解基本准确，技术培训方案适合本项目采购需求，较完整详细，具有可行性、实用性和针对性，得3分；</w:t>
            </w:r>
          </w:p>
          <w:p w14:paraId="1F51ACB6">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对本项目的特点和难点理解有待提升，技术培训方案可行性、实用性和针对性有待改善，得</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w:t>
            </w:r>
          </w:p>
          <w:p w14:paraId="62E60FE0">
            <w:pPr>
              <w:keepNext w:val="0"/>
              <w:keepLines w:val="0"/>
              <w:suppressLineNumbers w:val="0"/>
              <w:snapToGrid/>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）未提供方案的不得分。</w:t>
            </w:r>
          </w:p>
        </w:tc>
      </w:tr>
      <w:tr w14:paraId="5D1F6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30A7C710">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6BB6EBCF">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宋体" w:cs="Times New Roman"/>
                <w:color w:val="auto"/>
                <w:kern w:val="0"/>
                <w:sz w:val="24"/>
                <w:highlight w:val="none"/>
                <w:lang w:eastAsia="zh-CN"/>
              </w:rPr>
            </w:pPr>
            <w:r>
              <w:rPr>
                <w:rFonts w:hint="eastAsia" w:ascii="宋体" w:hAnsi="宋体" w:eastAsia="仿宋" w:cs="Times New Roman"/>
                <w:color w:val="auto"/>
                <w:kern w:val="0"/>
                <w:sz w:val="24"/>
                <w:highlight w:val="none"/>
                <w:lang w:val="en-US" w:eastAsia="zh-CN"/>
              </w:rPr>
              <w:t>6</w:t>
            </w:r>
          </w:p>
        </w:tc>
        <w:tc>
          <w:tcPr>
            <w:tcW w:w="1701" w:type="dxa"/>
            <w:noWrap w:val="0"/>
            <w:vAlign w:val="center"/>
          </w:tcPr>
          <w:p w14:paraId="387D19F1">
            <w:pPr>
              <w:keepNext w:val="0"/>
              <w:keepLines w:val="0"/>
              <w:suppressLineNumbers w:val="0"/>
              <w:snapToGrid/>
              <w:spacing w:before="0" w:beforeAutospacing="0" w:after="0" w:afterAutospacing="0" w:line="360" w:lineRule="auto"/>
              <w:ind w:left="0" w:right="0"/>
              <w:rPr>
                <w:rFonts w:hint="default" w:ascii="楷体" w:hAnsi="楷体" w:eastAsia="楷体" w:cs="Times New Roman"/>
                <w:color w:val="auto"/>
                <w:sz w:val="24"/>
                <w:highlight w:val="none"/>
              </w:rPr>
            </w:pPr>
            <w:r>
              <w:rPr>
                <w:rFonts w:hint="eastAsia" w:ascii="仿宋" w:hAnsi="仿宋" w:eastAsia="仿宋" w:cs="仿宋"/>
                <w:bCs/>
                <w:color w:val="auto"/>
                <w:sz w:val="24"/>
                <w:highlight w:val="none"/>
                <w:lang w:val="en-US" w:eastAsia="zh-CN"/>
              </w:rPr>
              <w:t>供货安装方案（3分）</w:t>
            </w:r>
          </w:p>
        </w:tc>
        <w:tc>
          <w:tcPr>
            <w:tcW w:w="6237" w:type="dxa"/>
            <w:gridSpan w:val="2"/>
            <w:noWrap w:val="0"/>
            <w:vAlign w:val="center"/>
          </w:tcPr>
          <w:p w14:paraId="46E4B309">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根据投标人提供的针对本项目的供货安装方案，方案</w:t>
            </w:r>
            <w:r>
              <w:rPr>
                <w:rFonts w:hint="eastAsia" w:ascii="仿宋" w:hAnsi="仿宋" w:eastAsia="仿宋" w:cs="仿宋"/>
                <w:bCs/>
                <w:color w:val="auto"/>
                <w:sz w:val="24"/>
                <w:highlight w:val="none"/>
                <w:lang w:val="en-US" w:eastAsia="zh-CN"/>
              </w:rPr>
              <w:t>内容从</w:t>
            </w:r>
            <w:r>
              <w:rPr>
                <w:rFonts w:hint="eastAsia" w:ascii="仿宋" w:hAnsi="仿宋" w:eastAsia="仿宋" w:cs="仿宋"/>
                <w:bCs/>
                <w:color w:val="auto"/>
                <w:sz w:val="24"/>
                <w:highlight w:val="none"/>
              </w:rPr>
              <w:t>采购供应、货物配送运输</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确保本项目</w:t>
            </w:r>
            <w:r>
              <w:rPr>
                <w:rFonts w:hint="eastAsia" w:ascii="仿宋" w:hAnsi="仿宋" w:eastAsia="仿宋" w:cs="仿宋"/>
                <w:bCs/>
                <w:color w:val="auto"/>
                <w:sz w:val="24"/>
                <w:highlight w:val="none"/>
              </w:rPr>
              <w:t>保质保量准时完成</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货物安装、调试</w:t>
            </w:r>
            <w:r>
              <w:rPr>
                <w:rFonts w:hint="eastAsia" w:ascii="仿宋" w:hAnsi="仿宋" w:eastAsia="仿宋" w:cs="仿宋"/>
                <w:bCs/>
                <w:color w:val="auto"/>
                <w:sz w:val="24"/>
                <w:highlight w:val="none"/>
                <w:lang w:val="en-US" w:eastAsia="zh-CN"/>
              </w:rPr>
              <w:t>等方面考虑，</w:t>
            </w:r>
            <w:r>
              <w:rPr>
                <w:rFonts w:hint="eastAsia" w:ascii="仿宋" w:hAnsi="仿宋" w:eastAsia="仿宋" w:cs="仿宋"/>
                <w:bCs/>
                <w:color w:val="auto"/>
                <w:sz w:val="24"/>
                <w:highlight w:val="none"/>
              </w:rPr>
              <w:t>由评标委员会进行综合评审。</w:t>
            </w:r>
          </w:p>
          <w:p w14:paraId="5D920B9C">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方案优于本项目采购需求，完整详细，可行性、实用性、针对性强，得</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w:t>
            </w:r>
          </w:p>
          <w:p w14:paraId="32475C2D">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方案及计划安排</w:t>
            </w:r>
            <w:r>
              <w:rPr>
                <w:rFonts w:hint="eastAsia" w:ascii="仿宋" w:hAnsi="仿宋" w:eastAsia="仿宋" w:cs="仿宋"/>
                <w:bCs/>
                <w:color w:val="auto"/>
                <w:sz w:val="24"/>
                <w:highlight w:val="none"/>
                <w:lang w:val="en-US" w:eastAsia="zh-CN"/>
              </w:rPr>
              <w:t>能满足采购需求</w:t>
            </w:r>
            <w:r>
              <w:rPr>
                <w:rFonts w:hint="eastAsia" w:ascii="仿宋" w:hAnsi="仿宋" w:eastAsia="仿宋" w:cs="仿宋"/>
                <w:bCs/>
                <w:color w:val="auto"/>
                <w:sz w:val="24"/>
                <w:highlight w:val="none"/>
              </w:rPr>
              <w:t>，可行性、实用性针对性</w:t>
            </w:r>
            <w:r>
              <w:rPr>
                <w:rFonts w:hint="eastAsia" w:ascii="仿宋" w:hAnsi="仿宋" w:eastAsia="仿宋" w:cs="仿宋"/>
                <w:bCs/>
                <w:color w:val="auto"/>
                <w:sz w:val="24"/>
                <w:highlight w:val="none"/>
                <w:lang w:val="en-US" w:eastAsia="zh-CN"/>
              </w:rPr>
              <w:t>较强的</w:t>
            </w:r>
            <w:r>
              <w:rPr>
                <w:rFonts w:hint="eastAsia" w:ascii="仿宋" w:hAnsi="仿宋" w:eastAsia="仿宋" w:cs="仿宋"/>
                <w:bCs/>
                <w:color w:val="auto"/>
                <w:sz w:val="24"/>
                <w:highlight w:val="none"/>
              </w:rPr>
              <w:t>，得</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分；</w:t>
            </w:r>
          </w:p>
          <w:p w14:paraId="7B437005">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方案及计划安排有待提升，可行性、实用性针对性有待改善，得</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分；</w:t>
            </w:r>
          </w:p>
          <w:p w14:paraId="47D10005">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default" w:ascii="楷体" w:hAnsi="楷体" w:eastAsia="楷体" w:cs="Times New Roman"/>
                <w:color w:val="auto"/>
                <w:kern w:val="0"/>
                <w:sz w:val="24"/>
                <w:highlight w:val="none"/>
              </w:rPr>
            </w:pPr>
            <w:r>
              <w:rPr>
                <w:rFonts w:hint="eastAsia" w:ascii="仿宋" w:hAnsi="仿宋" w:eastAsia="仿宋" w:cs="仿宋"/>
                <w:bCs/>
                <w:color w:val="auto"/>
                <w:sz w:val="24"/>
                <w:highlight w:val="none"/>
                <w:lang w:eastAsia="zh-CN"/>
              </w:rPr>
              <w:t>4）</w:t>
            </w:r>
            <w:r>
              <w:rPr>
                <w:rFonts w:hint="eastAsia" w:ascii="仿宋" w:hAnsi="仿宋" w:eastAsia="仿宋" w:cs="仿宋"/>
                <w:bCs/>
                <w:color w:val="auto"/>
                <w:sz w:val="24"/>
                <w:highlight w:val="none"/>
                <w:lang w:val="en-US" w:eastAsia="zh-CN"/>
              </w:rPr>
              <w:t>未提供方案的不得分。</w:t>
            </w:r>
          </w:p>
        </w:tc>
      </w:tr>
      <w:tr w14:paraId="6673E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32294DA1">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3.2.3（3）</w:t>
            </w:r>
          </w:p>
          <w:p w14:paraId="38A8DC9E">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投标</w:t>
            </w:r>
          </w:p>
          <w:p w14:paraId="429DFF7E">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报价</w:t>
            </w:r>
          </w:p>
        </w:tc>
        <w:tc>
          <w:tcPr>
            <w:tcW w:w="708" w:type="dxa"/>
            <w:noWrap w:val="0"/>
            <w:vAlign w:val="center"/>
          </w:tcPr>
          <w:p w14:paraId="6B1C9D00">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465343C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投标报价得分计算</w:t>
            </w:r>
          </w:p>
        </w:tc>
        <w:tc>
          <w:tcPr>
            <w:tcW w:w="4225" w:type="dxa"/>
            <w:noWrap w:val="0"/>
            <w:vAlign w:val="center"/>
          </w:tcPr>
          <w:p w14:paraId="0A2E6C5B">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满足招标文件要求且投标价格最低的投标报价的价格分为满分，其他投标人的价格分统一按照下列公式计算：</w:t>
            </w:r>
          </w:p>
          <w:p w14:paraId="1DA5717A">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投标报价得分＝（评标基准价/投标报价）×投标报价满分分值。</w:t>
            </w:r>
          </w:p>
        </w:tc>
        <w:tc>
          <w:tcPr>
            <w:tcW w:w="2012" w:type="dxa"/>
            <w:noWrap w:val="0"/>
            <w:vAlign w:val="center"/>
          </w:tcPr>
          <w:p w14:paraId="56A93283">
            <w:pPr>
              <w:keepNext w:val="0"/>
              <w:keepLines w:val="0"/>
              <w:widowControl/>
              <w:suppressLineNumbers w:val="0"/>
              <w:snapToGrid w:val="0"/>
              <w:spacing w:before="0" w:beforeAutospacing="0" w:after="0" w:afterAutospacing="0" w:line="288" w:lineRule="auto"/>
              <w:ind w:left="0" w:right="0"/>
              <w:rPr>
                <w:rFonts w:hint="default"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30分</w:t>
            </w:r>
          </w:p>
        </w:tc>
      </w:tr>
      <w:tr w14:paraId="32D6B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6F503BB3">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3.2.3（4）</w:t>
            </w:r>
          </w:p>
          <w:p w14:paraId="5ED3B92F">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sz w:val="24"/>
                <w:highlight w:val="none"/>
              </w:rPr>
              <w:t>其他评分因素</w:t>
            </w:r>
          </w:p>
        </w:tc>
        <w:tc>
          <w:tcPr>
            <w:tcW w:w="708" w:type="dxa"/>
            <w:noWrap w:val="0"/>
            <w:vAlign w:val="center"/>
          </w:tcPr>
          <w:p w14:paraId="11C979D9">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6FA41EC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其他评分因素（如有）</w:t>
            </w:r>
          </w:p>
        </w:tc>
        <w:tc>
          <w:tcPr>
            <w:tcW w:w="4225" w:type="dxa"/>
            <w:noWrap w:val="0"/>
            <w:vAlign w:val="center"/>
          </w:tcPr>
          <w:p w14:paraId="12B907F9">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p>
        </w:tc>
        <w:tc>
          <w:tcPr>
            <w:tcW w:w="2012" w:type="dxa"/>
            <w:noWrap w:val="0"/>
            <w:vAlign w:val="center"/>
          </w:tcPr>
          <w:p w14:paraId="76C62A85">
            <w:pPr>
              <w:keepNext w:val="0"/>
              <w:keepLines w:val="0"/>
              <w:suppressLineNumbers w:val="0"/>
              <w:snapToGrid w:val="0"/>
              <w:spacing w:before="0" w:beforeAutospacing="0" w:after="0" w:afterAutospacing="0" w:line="288" w:lineRule="auto"/>
              <w:ind w:left="-38"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p>
        </w:tc>
      </w:tr>
    </w:tbl>
    <w:p w14:paraId="349C8545">
      <w:p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27EC17D0">
      <w:pPr>
        <w:pStyle w:val="4"/>
        <w:widowControl/>
        <w:adjustRightInd w:val="0"/>
        <w:spacing w:before="0" w:after="0" w:line="360" w:lineRule="auto"/>
        <w:ind w:firstLine="482" w:firstLineChars="200"/>
        <w:rPr>
          <w:rFonts w:ascii="宋体" w:hAnsi="宋体" w:eastAsia="仿宋"/>
          <w:bCs w:val="0"/>
          <w:color w:val="auto"/>
          <w:sz w:val="24"/>
          <w:szCs w:val="24"/>
          <w:highlight w:val="none"/>
        </w:rPr>
      </w:pPr>
      <w:bookmarkStart w:id="776" w:name="_Toc455587098"/>
      <w:bookmarkStart w:id="777" w:name="_Toc466024565"/>
      <w:bookmarkStart w:id="778" w:name="_Toc455587282"/>
      <w:r>
        <w:rPr>
          <w:rFonts w:hint="eastAsia" w:ascii="宋体" w:hAnsi="宋体" w:eastAsia="仿宋"/>
          <w:bCs w:val="0"/>
          <w:color w:val="auto"/>
          <w:sz w:val="24"/>
          <w:szCs w:val="24"/>
          <w:highlight w:val="none"/>
        </w:rPr>
        <w:t>1. 评标方法</w:t>
      </w:r>
      <w:bookmarkEnd w:id="775"/>
      <w:bookmarkEnd w:id="776"/>
      <w:bookmarkEnd w:id="777"/>
      <w:bookmarkEnd w:id="778"/>
    </w:p>
    <w:p w14:paraId="300883BA">
      <w:pPr>
        <w:pStyle w:val="152"/>
        <w:adjustRightInd w:val="0"/>
        <w:snapToGrid w:val="0"/>
        <w:spacing w:line="360" w:lineRule="auto"/>
        <w:ind w:firstLine="480" w:firstLineChars="200"/>
        <w:rPr>
          <w:rFonts w:hint="eastAsia" w:ascii="ˎ̥" w:hAnsi="ˎ̥" w:eastAsia="仿宋" w:cs="宋体"/>
          <w:color w:val="auto"/>
          <w:sz w:val="24"/>
          <w:szCs w:val="24"/>
          <w:highlight w:val="none"/>
        </w:rPr>
      </w:pPr>
      <w:r>
        <w:rPr>
          <w:rFonts w:hint="eastAsia" w:ascii="ˎ̥" w:hAnsi="ˎ̥" w:eastAsia="仿宋" w:cs="宋体"/>
          <w:color w:val="auto"/>
          <w:sz w:val="24"/>
          <w:szCs w:val="24"/>
          <w:highlight w:val="none"/>
        </w:rPr>
        <w:t>本次评标采用综合评分法。评标委员会</w:t>
      </w:r>
      <w:r>
        <w:rPr>
          <w:rFonts w:ascii="ˎ̥" w:hAnsi="ˎ̥" w:eastAsia="仿宋" w:cs="宋体"/>
          <w:color w:val="auto"/>
          <w:sz w:val="24"/>
          <w:szCs w:val="24"/>
          <w:highlight w:val="none"/>
        </w:rPr>
        <w:t>按照</w:t>
      </w:r>
      <w:r>
        <w:rPr>
          <w:rFonts w:hint="eastAsia" w:ascii="Cambria Math" w:hAnsi="Cambria Math" w:eastAsia="仿宋" w:cs="Calibri"/>
          <w:color w:val="auto"/>
          <w:sz w:val="24"/>
          <w:szCs w:val="24"/>
          <w:highlight w:val="none"/>
        </w:rPr>
        <w:t>本章</w:t>
      </w:r>
      <w:r>
        <w:rPr>
          <w:rFonts w:hint="eastAsia" w:ascii="ˎ̥" w:hAnsi="ˎ̥" w:eastAsia="仿宋" w:cs="宋体"/>
          <w:color w:val="auto"/>
          <w:sz w:val="24"/>
          <w:szCs w:val="24"/>
          <w:highlight w:val="none"/>
        </w:rPr>
        <w:t>第二节</w:t>
      </w:r>
      <w:r>
        <w:rPr>
          <w:rFonts w:hint="eastAsia" w:ascii="Cambria Math" w:hAnsi="Cambria Math" w:eastAsia="仿宋" w:cs="Calibri"/>
          <w:color w:val="auto"/>
          <w:sz w:val="24"/>
          <w:szCs w:val="24"/>
          <w:highlight w:val="none"/>
        </w:rPr>
        <w:t>第</w:t>
      </w:r>
      <w:r>
        <w:rPr>
          <w:rFonts w:hint="eastAsia" w:ascii="仿宋" w:hAnsi="仿宋" w:eastAsia="仿宋" w:cs="仿宋"/>
          <w:color w:val="auto"/>
          <w:sz w:val="24"/>
          <w:szCs w:val="24"/>
          <w:highlight w:val="none"/>
        </w:rPr>
        <w:t>3</w:t>
      </w:r>
      <w:r>
        <w:rPr>
          <w:rFonts w:hint="eastAsia" w:ascii="Cambria Math" w:hAnsi="Cambria Math" w:eastAsia="仿宋" w:cs="Calibri"/>
          <w:color w:val="auto"/>
          <w:sz w:val="24"/>
          <w:szCs w:val="24"/>
          <w:highlight w:val="none"/>
        </w:rPr>
        <w:t>条规定的评审标准</w:t>
      </w:r>
      <w:r>
        <w:rPr>
          <w:rFonts w:hint="eastAsia" w:ascii="ˎ̥" w:hAnsi="ˎ̥" w:eastAsia="仿宋" w:cs="宋体"/>
          <w:color w:val="auto"/>
          <w:sz w:val="24"/>
          <w:szCs w:val="24"/>
          <w:highlight w:val="none"/>
        </w:rPr>
        <w:t>对通过资格审查的</w:t>
      </w:r>
      <w:r>
        <w:rPr>
          <w:rFonts w:ascii="ˎ̥" w:hAnsi="ˎ̥" w:eastAsia="仿宋" w:cs="宋体"/>
          <w:color w:val="auto"/>
          <w:sz w:val="24"/>
          <w:szCs w:val="24"/>
          <w:highlight w:val="none"/>
        </w:rPr>
        <w:t>投标文件</w:t>
      </w:r>
      <w:r>
        <w:rPr>
          <w:rFonts w:hint="eastAsia" w:ascii="ˎ̥" w:hAnsi="ˎ̥" w:eastAsia="仿宋" w:cs="宋体"/>
          <w:color w:val="auto"/>
          <w:sz w:val="24"/>
          <w:szCs w:val="24"/>
          <w:highlight w:val="none"/>
        </w:rPr>
        <w:t>进行评审，在投标文件满足招标文件全部实质性要求的投标人中，按总</w:t>
      </w:r>
      <w:r>
        <w:rPr>
          <w:rFonts w:ascii="ˎ̥" w:hAnsi="ˎ̥" w:eastAsia="仿宋" w:cs="宋体"/>
          <w:color w:val="auto"/>
          <w:sz w:val="24"/>
          <w:szCs w:val="24"/>
          <w:highlight w:val="none"/>
        </w:rPr>
        <w:t>得分</w:t>
      </w:r>
      <w:r>
        <w:rPr>
          <w:rFonts w:hint="eastAsia" w:ascii="ˎ̥" w:hAnsi="ˎ̥" w:eastAsia="仿宋" w:cs="宋体"/>
          <w:color w:val="auto"/>
          <w:sz w:val="24"/>
          <w:szCs w:val="24"/>
          <w:highlight w:val="none"/>
        </w:rPr>
        <w:t>由高到低的顺序推荐中标候选人。如果总得分出现相同的情况，总得分相同的中标候选人按因落实政府采购政策进行价格调整后的投标报价由低到高排序；总得分与进行政策性价格调整的投标报价均相同的，则所投产品为节能或环境标志产品者优先（同时列入节能产品政府采购品目清单和环境标志产品政府采购品目清单的产品，优先于只列入其中一个清单的产品）；若前述均相同且所投产品同为节能/环境标志产品或均无节能/环境标志产品，则采取评标委员会随机抽签方式确定中标候选人排序。</w:t>
      </w:r>
    </w:p>
    <w:p w14:paraId="7AB53800">
      <w:pPr>
        <w:pStyle w:val="4"/>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779" w:name="_Toc445554768"/>
      <w:bookmarkStart w:id="780" w:name="_Toc455587100"/>
      <w:bookmarkStart w:id="781" w:name="_Toc455587284"/>
      <w:bookmarkStart w:id="782" w:name="_Toc466024567"/>
      <w:r>
        <w:rPr>
          <w:rFonts w:hint="eastAsia" w:ascii="宋体" w:hAnsi="宋体" w:eastAsia="仿宋"/>
          <w:bCs w:val="0"/>
          <w:color w:val="auto"/>
          <w:sz w:val="24"/>
          <w:szCs w:val="24"/>
          <w:highlight w:val="none"/>
        </w:rPr>
        <w:t>2. 评标委员会的组成和职责</w:t>
      </w:r>
      <w:bookmarkEnd w:id="779"/>
      <w:bookmarkEnd w:id="780"/>
      <w:bookmarkEnd w:id="781"/>
      <w:bookmarkEnd w:id="782"/>
    </w:p>
    <w:p w14:paraId="04A6A59C">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2.1 评标委员会的组成</w:t>
      </w:r>
    </w:p>
    <w:p w14:paraId="47F5C613">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评标委员会由采购人依法组建。</w:t>
      </w:r>
      <w:r>
        <w:rPr>
          <w:rFonts w:hint="eastAsia" w:ascii="宋体" w:hAnsi="宋体" w:eastAsia="仿宋" w:cs="宋体"/>
          <w:color w:val="auto"/>
          <w:sz w:val="24"/>
          <w:szCs w:val="24"/>
          <w:highlight w:val="none"/>
        </w:rPr>
        <w:t>评标委员会应当推选组长，但采购人代表不得担任组长。</w:t>
      </w:r>
    </w:p>
    <w:p w14:paraId="4F0D3DA0">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2.2 评标委员会的职责</w:t>
      </w:r>
    </w:p>
    <w:p w14:paraId="4C38375A">
      <w:pPr>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根据</w:t>
      </w:r>
      <w:r>
        <w:rPr>
          <w:rFonts w:hint="eastAsia" w:ascii="Arial" w:hAnsi="Arial" w:eastAsia="仿宋" w:cs="Arial"/>
          <w:color w:val="auto"/>
          <w:kern w:val="0"/>
          <w:sz w:val="24"/>
          <w:highlight w:val="none"/>
        </w:rPr>
        <w:t>招标</w:t>
      </w:r>
      <w:r>
        <w:rPr>
          <w:rFonts w:ascii="Arial" w:hAnsi="Arial" w:eastAsia="仿宋" w:cs="Arial"/>
          <w:color w:val="auto"/>
          <w:kern w:val="0"/>
          <w:sz w:val="24"/>
          <w:highlight w:val="none"/>
        </w:rPr>
        <w:t>文件规定的评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程序、评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方法和评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标准进行独立评审。</w:t>
      </w:r>
      <w:r>
        <w:rPr>
          <w:rFonts w:hint="eastAsia" w:ascii="宋体" w:hAnsi="宋体" w:eastAsia="仿宋"/>
          <w:color w:val="auto"/>
          <w:sz w:val="24"/>
          <w:highlight w:val="none"/>
        </w:rPr>
        <w:t>评标委员会成员</w:t>
      </w:r>
      <w:r>
        <w:rPr>
          <w:rFonts w:ascii="Arial" w:hAnsi="Arial" w:eastAsia="仿宋" w:cs="Arial"/>
          <w:color w:val="auto"/>
          <w:kern w:val="0"/>
          <w:sz w:val="24"/>
          <w:highlight w:val="none"/>
        </w:rPr>
        <w:t>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报告上签字，对自己的评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意见承担法律责任。对需要共同认定的事项存在争议的，按照少数服从多数的原则做出结论。对评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报告有异议的，应当在评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报告上签署不同意见并说明理由，否则视为同意评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w:t>
      </w:r>
    </w:p>
    <w:p w14:paraId="72D72D49">
      <w:pPr>
        <w:pStyle w:val="153"/>
        <w:snapToGrid w:val="0"/>
        <w:spacing w:line="360" w:lineRule="auto"/>
        <w:ind w:firstLine="482"/>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w:t>
      </w:r>
      <w:r>
        <w:rPr>
          <w:rFonts w:ascii="宋体" w:hAnsi="宋体" w:eastAsia="仿宋"/>
          <w:b/>
          <w:color w:val="auto"/>
          <w:sz w:val="24"/>
          <w:szCs w:val="24"/>
          <w:highlight w:val="none"/>
        </w:rPr>
        <w:t>.3 对评标委员会成员的纪律要求</w:t>
      </w:r>
    </w:p>
    <w:p w14:paraId="6C466452">
      <w:pPr>
        <w:widowControl/>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评标委员会成员不得收受他人的财物或者其他好处，不得向他人</w:t>
      </w:r>
      <w:r>
        <w:rPr>
          <w:rFonts w:hint="eastAsia" w:ascii="Arial" w:hAnsi="Arial" w:eastAsia="仿宋" w:cs="Arial"/>
          <w:color w:val="auto"/>
          <w:kern w:val="0"/>
          <w:sz w:val="24"/>
          <w:highlight w:val="none"/>
        </w:rPr>
        <w:t>透露</w:t>
      </w:r>
      <w:r>
        <w:rPr>
          <w:rFonts w:ascii="Arial" w:hAnsi="Arial" w:eastAsia="仿宋" w:cs="Arial"/>
          <w:color w:val="auto"/>
          <w:kern w:val="0"/>
          <w:sz w:val="24"/>
          <w:highlight w:val="none"/>
        </w:rPr>
        <w:t>对投标文件的评审和比较、中标候选人的推荐情况以及评标有关的其他情况。在评标活动中，评标委员会成员不得擅离职守，影响评标程序正常进行，不得使用“评标办法”没有规定的评审因素和标准进行评标。</w:t>
      </w:r>
    </w:p>
    <w:p w14:paraId="6A658DE0">
      <w:pPr>
        <w:pStyle w:val="4"/>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783" w:name="_Toc466024569"/>
      <w:bookmarkStart w:id="784" w:name="_Toc455587102"/>
      <w:bookmarkStart w:id="785" w:name="_Toc445554770"/>
      <w:bookmarkStart w:id="786" w:name="_Toc455587286"/>
      <w:bookmarkStart w:id="787" w:name="_Toc455587285"/>
      <w:bookmarkStart w:id="788" w:name="_Toc455587101"/>
      <w:bookmarkStart w:id="789" w:name="_Toc466024568"/>
      <w:bookmarkStart w:id="790" w:name="_Toc445554769"/>
      <w:r>
        <w:rPr>
          <w:rFonts w:hint="eastAsia" w:ascii="宋体" w:hAnsi="宋体" w:eastAsia="仿宋"/>
          <w:bCs w:val="0"/>
          <w:color w:val="auto"/>
          <w:sz w:val="24"/>
          <w:szCs w:val="24"/>
          <w:highlight w:val="none"/>
        </w:rPr>
        <w:t>3. 评审标准</w:t>
      </w:r>
      <w:bookmarkEnd w:id="783"/>
      <w:bookmarkEnd w:id="784"/>
      <w:bookmarkEnd w:id="785"/>
      <w:bookmarkEnd w:id="786"/>
    </w:p>
    <w:p w14:paraId="64BB5365">
      <w:pPr>
        <w:pStyle w:val="152"/>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 符合性审查标准</w:t>
      </w:r>
    </w:p>
    <w:p w14:paraId="3EC35667">
      <w:pPr>
        <w:pStyle w:val="152"/>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3.1.1 评标委员会对资格审查合格的投标人的投标文件进行符合性审查，以确定其是否满足招标文件的实质性要求。</w:t>
      </w:r>
    </w:p>
    <w:p w14:paraId="03514657">
      <w:pPr>
        <w:pStyle w:val="152"/>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3.1.2 评标委员会根据《符合性审查表》中规定的审查因素和审查标准，对投标人的投标文件是否实质上响应招标文件进行符合性审查，并形成符合性审查评审结果。投标人有任何一项不符合要求的，投标无效。</w:t>
      </w:r>
    </w:p>
    <w:p w14:paraId="1BCA9668">
      <w:pPr>
        <w:pStyle w:val="152"/>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3.2 分值构成与详细评审标准</w:t>
      </w:r>
    </w:p>
    <w:p w14:paraId="49677487">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3.2.1 分值构成：见评标办法前附表。</w:t>
      </w:r>
    </w:p>
    <w:p w14:paraId="0AA5208E">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3.2.2 评标基准价计算：见评标办法前附表。</w:t>
      </w:r>
    </w:p>
    <w:p w14:paraId="4C82074E">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3.2.3 评分标准：见评标办法前附表。</w:t>
      </w:r>
    </w:p>
    <w:p w14:paraId="6E8428EE">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3.2.4 取评标委员会对各投标人评审得分的算术平均值作为投标人得分，其中投标报价得分按规定进行计算。</w:t>
      </w:r>
    </w:p>
    <w:p w14:paraId="2FE11F15">
      <w:pPr>
        <w:pStyle w:val="4"/>
        <w:widowControl/>
        <w:adjustRightInd w:val="0"/>
        <w:spacing w:before="0" w:after="0" w:line="360" w:lineRule="auto"/>
        <w:ind w:firstLine="482" w:firstLineChars="200"/>
        <w:rPr>
          <w:rFonts w:hint="eastAsia" w:ascii="宋体" w:hAnsi="宋体" w:eastAsia="仿宋"/>
          <w:bCs w:val="0"/>
          <w:color w:val="auto"/>
          <w:sz w:val="24"/>
          <w:szCs w:val="24"/>
          <w:highlight w:val="none"/>
        </w:rPr>
      </w:pPr>
      <w:r>
        <w:rPr>
          <w:rFonts w:hint="eastAsia" w:ascii="宋体" w:hAnsi="宋体" w:eastAsia="仿宋"/>
          <w:bCs w:val="0"/>
          <w:color w:val="auto"/>
          <w:sz w:val="24"/>
          <w:szCs w:val="24"/>
          <w:highlight w:val="none"/>
        </w:rPr>
        <w:t>4. 评标程序</w:t>
      </w:r>
      <w:bookmarkEnd w:id="787"/>
      <w:bookmarkEnd w:id="788"/>
      <w:bookmarkEnd w:id="789"/>
      <w:bookmarkEnd w:id="790"/>
    </w:p>
    <w:p w14:paraId="3C2BF484">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资格审查完成后，合格投标人不少于3家的，开始评标工作。评标先做准备工作，再进行符合性审查，然后进行详细评审。</w:t>
      </w:r>
    </w:p>
    <w:p w14:paraId="011829EF">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4.1 评标准备工作</w:t>
      </w:r>
    </w:p>
    <w:p w14:paraId="1EE1C871">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评标委员会熟悉评标</w:t>
      </w:r>
      <w:bookmarkStart w:id="791" w:name="_Hlk79160145"/>
      <w:r>
        <w:rPr>
          <w:rFonts w:hint="eastAsia" w:ascii="宋体" w:hAnsi="宋体" w:eastAsia="仿宋"/>
          <w:color w:val="auto"/>
          <w:sz w:val="24"/>
          <w:szCs w:val="24"/>
          <w:highlight w:val="none"/>
        </w:rPr>
        <w:t>工作</w:t>
      </w:r>
      <w:bookmarkEnd w:id="791"/>
      <w:r>
        <w:rPr>
          <w:rFonts w:hint="eastAsia" w:ascii="宋体" w:hAnsi="宋体" w:eastAsia="仿宋"/>
          <w:color w:val="auto"/>
          <w:sz w:val="24"/>
          <w:szCs w:val="24"/>
          <w:highlight w:val="none"/>
        </w:rPr>
        <w:t>情况：</w:t>
      </w:r>
    </w:p>
    <w:p w14:paraId="662E3DDE">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（1）听取采购人或者其委托的采购代理机构对招标项目情况的介绍；</w:t>
      </w:r>
    </w:p>
    <w:p w14:paraId="6C2A5EC5">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（2）阅读、研究招标文件和相关评标资料，获取评标所需要的重要信息和数据,至少应了解和熟悉以下内容：招标目的、采购范围、项目性质、招标文件规定的主要技术参数要求和主要商务条款；</w:t>
      </w:r>
    </w:p>
    <w:p w14:paraId="73337A00">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（3）熟悉招标文件规定的评标标准和评标方法及在评标过程中需要考虑的相关因素；</w:t>
      </w:r>
    </w:p>
    <w:p w14:paraId="70DB1FA8">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（4）核对评标工作资料；</w:t>
      </w:r>
    </w:p>
    <w:p w14:paraId="20921B1D">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（5）使用电子评标方式的，还应当熟悉电子评标系统使用方法。</w:t>
      </w:r>
    </w:p>
    <w:p w14:paraId="1BF3C97A">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4.2 符合性审查</w:t>
      </w:r>
    </w:p>
    <w:p w14:paraId="5FBE54DD">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4.2.1 评标委员会依据本章规定的标准对投标文件进行符合性审查。有一项不符合评审标准的，按无效投标处理。</w:t>
      </w:r>
    </w:p>
    <w:p w14:paraId="136A09F2">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4.2.2 投标人有以下情形之一的，按照无效投标处理：</w:t>
      </w:r>
    </w:p>
    <w:p w14:paraId="7EBA93D9">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（1）不按评标委员会要求澄清、说明或补正的；</w:t>
      </w:r>
    </w:p>
    <w:p w14:paraId="49C63465">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（2）未实质性响应招标文件的；</w:t>
      </w:r>
    </w:p>
    <w:p w14:paraId="0BB288C2">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（3）投标文件中存在采购人不能接受的其它附加实质性条件的；</w:t>
      </w:r>
    </w:p>
    <w:p w14:paraId="3A413BB6">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（4）串通投标或弄虚作假或有其他违法行为的；</w:t>
      </w:r>
    </w:p>
    <w:p w14:paraId="197B4ACC">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（5）法律、法规和规章规定的其他情形的。</w:t>
      </w:r>
    </w:p>
    <w:p w14:paraId="6427D58D">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4.2.3 投标文件报价出现前后不一致的，按照下列规定修正：</w:t>
      </w:r>
    </w:p>
    <w:p w14:paraId="7AC026E9">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（1）投标文件中开标一览表（报价表）内容与投标文件中相应内容不一致的，以开标一览表（报价表）为准；</w:t>
      </w:r>
    </w:p>
    <w:p w14:paraId="158208C8">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（2）大写金额和小写金额不一致的，以大写金额为准；</w:t>
      </w:r>
    </w:p>
    <w:p w14:paraId="6CF26B93">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（3）单价金额小数点或者百分比有明显错位的，以开标一览表的总价为准，并修改单价；</w:t>
      </w:r>
    </w:p>
    <w:p w14:paraId="338868F0">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（4）总价金额与按单价汇总金额不一致的，以单价金额计算结果为准。</w:t>
      </w:r>
    </w:p>
    <w:p w14:paraId="5E669F4B">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同时出现两种以上不一致的，按照前款规定的顺序修正。修正后的报价经投标人确认后产生约束力，投标人不确认的，其投标无效。</w:t>
      </w:r>
    </w:p>
    <w:p w14:paraId="66276791">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中标后，按修正后的投标报价为基准，按同比例修正各单价。</w:t>
      </w:r>
    </w:p>
    <w:p w14:paraId="4C1061BA">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4.2.4 评标委员会按照规定的原则对投标报价进行校核时，发现投标报价存在多处算术错误或漏项的，使得投标报价校核无法进行的，其投标按无效处理。</w:t>
      </w:r>
    </w:p>
    <w:p w14:paraId="4CCA6C0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4.2.5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91C1F2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4.2.6 投标报价出现下列情形的，投标无效：</w:t>
      </w:r>
    </w:p>
    <w:p w14:paraId="122B8DD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（1）投标文件提交两个及以上的投标报价、提交任何有选择性的报价或者提交有附加条件的报价的投标将按无效处理，投标人须知前附表允许递交备选方案的除外；</w:t>
      </w:r>
    </w:p>
    <w:p w14:paraId="083847E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（2）投标报价超过招标文件中规定的预算金额或者最高限价的；</w:t>
      </w:r>
    </w:p>
    <w:p w14:paraId="63A8052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（3）评标委员会认为投标人的报价明显低于其他通过符合性审查投标人的报价，有可能影响产品质量或者不能诚信履约的，投标人未能按要求提供书面说明或者提交相关证明材料证明其报价合理性的；</w:t>
      </w:r>
    </w:p>
    <w:p w14:paraId="4A42812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（4）投标人对根据本章第二节4.2.3项规定修正后的报价不确认的。</w:t>
      </w:r>
    </w:p>
    <w:p w14:paraId="2899B37C">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4.3 详细评审</w:t>
      </w:r>
    </w:p>
    <w:p w14:paraId="60D0A8E3">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4.3.1 评标委员会按本章</w:t>
      </w:r>
      <w:r>
        <w:rPr>
          <w:rFonts w:hint="eastAsia" w:ascii="宋体" w:hAnsi="宋体" w:eastAsia="仿宋"/>
          <w:color w:val="auto"/>
          <w:sz w:val="24"/>
          <w:highlight w:val="none"/>
        </w:rPr>
        <w:t>第二节</w:t>
      </w:r>
      <w:r>
        <w:rPr>
          <w:rFonts w:hint="eastAsia" w:ascii="宋体" w:hAnsi="宋体" w:eastAsia="仿宋"/>
          <w:color w:val="auto"/>
          <w:sz w:val="24"/>
          <w:szCs w:val="24"/>
          <w:highlight w:val="none"/>
        </w:rPr>
        <w:t>3.2款规定的标准进行评分，并计算各投标人综合评审得分。</w:t>
      </w:r>
    </w:p>
    <w:p w14:paraId="656E97C1">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4.3.2 评标委员会成员对投标人的价格分和客观评分项的评分应当一致。采购人、采购代理机构应当对评审数据进行校对、核对。</w:t>
      </w:r>
    </w:p>
    <w:p w14:paraId="3427F8AA">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4.3.3 评分分值计算保留小数点后两位，小数点后第三位“四舍五入”。</w:t>
      </w:r>
    </w:p>
    <w:p w14:paraId="74F9E4BD">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4.3.4 相同品牌产品参加投标时，按以下要求确定中标人推荐资格：</w:t>
      </w:r>
    </w:p>
    <w:p w14:paraId="7DCC8F24">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采用综合评分法时：</w:t>
      </w:r>
    </w:p>
    <w:p w14:paraId="4689ECAD">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单一产品采购项目，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4E199C96">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非单一产品采购项目，核心产品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1B3894F8">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792" w:name="_Toc455587103"/>
      <w:bookmarkStart w:id="793" w:name="_Toc466024570"/>
      <w:bookmarkStart w:id="794" w:name="_Toc445554771"/>
      <w:bookmarkStart w:id="795" w:name="_Toc455587287"/>
      <w:r>
        <w:rPr>
          <w:rFonts w:hint="eastAsia" w:ascii="宋体" w:hAnsi="宋体" w:eastAsia="仿宋"/>
          <w:b/>
          <w:color w:val="auto"/>
          <w:sz w:val="24"/>
          <w:szCs w:val="24"/>
          <w:highlight w:val="none"/>
        </w:rPr>
        <w:t>4.4 投标文件的澄清</w:t>
      </w:r>
      <w:bookmarkEnd w:id="792"/>
      <w:bookmarkEnd w:id="793"/>
      <w:bookmarkEnd w:id="794"/>
      <w:bookmarkEnd w:id="795"/>
    </w:p>
    <w:p w14:paraId="317A66C0">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13D57C12">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65716387">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4.4.3 评标委员会对投标人提交的澄清、说明或补正有疑问的，可以要求投标人进一步澄清、说明或补正，直至满足评标委员会的要求。</w:t>
      </w:r>
    </w:p>
    <w:p w14:paraId="0EDED20C">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4.4.4 实质上没有响应招标文件要求的投标将被拒绝。投标人不得通过修正或撤销不合要求的偏离或保留从而使其投标成为实质上响应的投标。评标委员会不接受投标人主动提出的澄清、说明或补正。</w:t>
      </w:r>
    </w:p>
    <w:p w14:paraId="45C5B54F">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796" w:name="_Toc455587104"/>
      <w:bookmarkStart w:id="797" w:name="_Toc445554772"/>
      <w:bookmarkStart w:id="798" w:name="_Toc466024571"/>
      <w:bookmarkStart w:id="799" w:name="_Toc455587288"/>
      <w:r>
        <w:rPr>
          <w:rFonts w:hint="eastAsia" w:ascii="宋体" w:hAnsi="宋体" w:eastAsia="仿宋"/>
          <w:b/>
          <w:color w:val="auto"/>
          <w:sz w:val="24"/>
          <w:szCs w:val="24"/>
          <w:highlight w:val="none"/>
        </w:rPr>
        <w:t>4.5 评标结果</w:t>
      </w:r>
      <w:bookmarkEnd w:id="796"/>
      <w:bookmarkEnd w:id="797"/>
      <w:bookmarkEnd w:id="798"/>
      <w:bookmarkEnd w:id="799"/>
    </w:p>
    <w:p w14:paraId="72004A0E">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4.5.1 除第二章投标人须知前附表授权评标委员会直接确定中标人外，评标委员会按照得分由高到低的顺序推荐中标候选人，并标明排序。</w:t>
      </w:r>
    </w:p>
    <w:p w14:paraId="6BE778B3">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4.5.2 完成评标后，</w:t>
      </w:r>
      <w:r>
        <w:rPr>
          <w:rFonts w:hint="eastAsia" w:ascii="宋体" w:hAnsi="宋体" w:eastAsia="仿宋" w:cs="宋体"/>
          <w:color w:val="auto"/>
          <w:sz w:val="24"/>
          <w:szCs w:val="24"/>
          <w:highlight w:val="none"/>
        </w:rPr>
        <w:t>评标委员会根据全体评标成员签字的原始评标记录和评标结果编写评标报告。评标报告应当包括以下内容：</w:t>
      </w:r>
    </w:p>
    <w:p w14:paraId="7455B59B">
      <w:pPr>
        <w:pStyle w:val="152"/>
        <w:adjustRightInd w:val="0"/>
        <w:spacing w:line="360" w:lineRule="auto"/>
        <w:ind w:firstLine="480" w:firstLineChars="200"/>
        <w:rPr>
          <w:rFonts w:ascii="宋体" w:hAnsi="宋体" w:eastAsia="仿宋" w:cs="宋体"/>
          <w:color w:val="auto"/>
          <w:sz w:val="24"/>
          <w:szCs w:val="24"/>
          <w:highlight w:val="none"/>
        </w:rPr>
      </w:pPr>
      <w:bookmarkStart w:id="800" w:name="_Toc445554773"/>
      <w:bookmarkStart w:id="801" w:name="_Toc455587289"/>
      <w:bookmarkStart w:id="802" w:name="_Toc455587105"/>
      <w:r>
        <w:rPr>
          <w:rFonts w:hint="eastAsia" w:ascii="宋体" w:hAnsi="宋体" w:eastAsia="仿宋" w:cs="宋体"/>
          <w:color w:val="auto"/>
          <w:sz w:val="24"/>
          <w:szCs w:val="24"/>
          <w:highlight w:val="none"/>
        </w:rPr>
        <w:t>（1）招标公告的发布媒介、开标日期和地点；</w:t>
      </w:r>
    </w:p>
    <w:p w14:paraId="758C17C1">
      <w:pPr>
        <w:pStyle w:val="152"/>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（2）投标人名单和评标委员会成员名单；</w:t>
      </w:r>
    </w:p>
    <w:p w14:paraId="2F916CCB">
      <w:pPr>
        <w:pStyle w:val="152"/>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（3）评标方法和标准；</w:t>
      </w:r>
    </w:p>
    <w:p w14:paraId="616F64D5">
      <w:pPr>
        <w:pStyle w:val="152"/>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（4）开标记录和评标情况及说明，包括无效投标人名单及原因；</w:t>
      </w:r>
    </w:p>
    <w:p w14:paraId="0D7261BB">
      <w:pPr>
        <w:pStyle w:val="152"/>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（5）评标结果，确定的中标候选人名单或者经采购人委托直接确定的中标人；</w:t>
      </w:r>
    </w:p>
    <w:p w14:paraId="730D887A">
      <w:pPr>
        <w:pStyle w:val="152"/>
        <w:adjustRightInd w:val="0"/>
        <w:spacing w:line="360" w:lineRule="auto"/>
        <w:ind w:firstLine="480" w:firstLineChars="200"/>
        <w:rPr>
          <w:rFonts w:hint="eastAsia" w:ascii="宋体" w:hAnsi="宋体" w:eastAsia="仿宋" w:cs="宋体"/>
          <w:color w:val="auto"/>
          <w:sz w:val="24"/>
          <w:szCs w:val="24"/>
          <w:highlight w:val="none"/>
        </w:rPr>
      </w:pPr>
      <w:r>
        <w:rPr>
          <w:rFonts w:hint="eastAsia" w:ascii="宋体" w:hAnsi="宋体" w:eastAsia="仿宋" w:cs="宋体"/>
          <w:color w:val="auto"/>
          <w:sz w:val="24"/>
          <w:szCs w:val="24"/>
          <w:highlight w:val="none"/>
        </w:rPr>
        <w:t>（6）其他需要说明的情况，包括评标过程中投标人根据评标委员会要求进行的澄清、说明或者补正，评标委员会成员的更换等。</w:t>
      </w:r>
    </w:p>
    <w:p w14:paraId="6C3E6684">
      <w:pPr>
        <w:pStyle w:val="4"/>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03" w:name="_Toc466024572"/>
      <w:r>
        <w:rPr>
          <w:rFonts w:hint="eastAsia" w:ascii="宋体" w:hAnsi="宋体" w:eastAsia="仿宋"/>
          <w:bCs w:val="0"/>
          <w:color w:val="auto"/>
          <w:sz w:val="24"/>
          <w:szCs w:val="24"/>
          <w:highlight w:val="none"/>
        </w:rPr>
        <w:t>5. 其他</w:t>
      </w:r>
      <w:bookmarkEnd w:id="800"/>
      <w:bookmarkEnd w:id="801"/>
      <w:bookmarkEnd w:id="802"/>
      <w:bookmarkEnd w:id="803"/>
    </w:p>
    <w:p w14:paraId="28029599">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由采购人按照法律法规相关规定取消其中标资格，并从其他中标候选人中依照推荐次序确定中标人。</w:t>
      </w:r>
    </w:p>
    <w:p w14:paraId="6FE0F5A3">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5.2 投标人提供业绩、荣誉证书、资质资格证书、相关证明材料等文件及资料均须在投标文件中提供，电子投标文件中提供扫描件或电子证照。如未在投标文件中提供，则资格审查、符合性审查相应项视为不通过；评分项目相应项不予计分。</w:t>
      </w:r>
    </w:p>
    <w:p w14:paraId="0C98588A">
      <w:pPr>
        <w:widowControl/>
        <w:spacing w:line="400" w:lineRule="exact"/>
        <w:ind w:firstLine="480" w:firstLineChars="200"/>
        <w:rPr>
          <w:rFonts w:ascii="宋体" w:hAnsi="宋体" w:eastAsia="仿宋"/>
          <w:color w:val="auto"/>
          <w:sz w:val="24"/>
          <w:highlight w:val="none"/>
        </w:rPr>
      </w:pPr>
    </w:p>
    <w:p w14:paraId="539CFD56">
      <w:pPr>
        <w:widowControl/>
        <w:spacing w:line="400" w:lineRule="exact"/>
        <w:ind w:firstLine="480" w:firstLineChars="200"/>
        <w:rPr>
          <w:rFonts w:ascii="宋体" w:hAnsi="宋体" w:eastAsia="仿宋"/>
          <w:color w:val="auto"/>
          <w:sz w:val="24"/>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5339ED78">
      <w:pPr>
        <w:pStyle w:val="3"/>
        <w:widowControl/>
        <w:spacing w:before="0" w:after="0" w:line="240" w:lineRule="auto"/>
        <w:jc w:val="center"/>
        <w:rPr>
          <w:rFonts w:hint="eastAsia" w:ascii="宋体" w:hAnsi="宋体" w:eastAsia="仿宋"/>
          <w:color w:val="auto"/>
          <w:highlight w:val="none"/>
        </w:rPr>
      </w:pPr>
      <w:bookmarkStart w:id="804" w:name="_Toc466024582"/>
      <w:bookmarkStart w:id="805" w:name="_Toc395"/>
      <w:bookmarkStart w:id="806" w:name="_Toc445554783"/>
      <w:bookmarkStart w:id="807" w:name="_Toc256409867"/>
      <w:bookmarkStart w:id="808" w:name="_Toc153630652"/>
      <w:bookmarkStart w:id="809" w:name="_Toc256434217"/>
      <w:bookmarkStart w:id="810" w:name="_Toc153636085"/>
      <w:bookmarkStart w:id="811" w:name="_Toc153635713"/>
      <w:bookmarkStart w:id="812" w:name="_Toc165463683"/>
      <w:bookmarkStart w:id="813" w:name="_Toc255490647"/>
      <w:bookmarkStart w:id="814" w:name="_Toc153634810"/>
      <w:bookmarkStart w:id="815" w:name="_Toc139194404"/>
      <w:bookmarkStart w:id="816" w:name="_Toc256955329"/>
      <w:bookmarkStart w:id="817" w:name="_Toc221418700"/>
      <w:bookmarkStart w:id="818" w:name="_Toc177181404"/>
      <w:bookmarkStart w:id="819" w:name="_Toc138323410"/>
      <w:bookmarkStart w:id="820" w:name="_Toc176927207"/>
      <w:bookmarkStart w:id="821" w:name="_Toc199585022"/>
      <w:bookmarkStart w:id="822" w:name="_Toc192231354"/>
      <w:bookmarkStart w:id="823" w:name="_Toc162410278"/>
      <w:bookmarkStart w:id="824" w:name="_Toc176780575"/>
      <w:bookmarkStart w:id="825" w:name="_Toc152696791"/>
      <w:bookmarkStart w:id="826" w:name="_Toc138638816"/>
      <w:bookmarkStart w:id="827" w:name="_Toc162331289"/>
      <w:bookmarkStart w:id="828" w:name="_Toc153485042"/>
      <w:bookmarkStart w:id="829" w:name="_Toc162406884"/>
      <w:bookmarkStart w:id="830" w:name="_Toc201377864"/>
      <w:r>
        <w:rPr>
          <w:rFonts w:hint="eastAsia" w:ascii="宋体" w:hAnsi="宋体" w:eastAsia="仿宋"/>
          <w:color w:val="auto"/>
          <w:highlight w:val="none"/>
        </w:rPr>
        <w:t>第五章  合同条款及格式</w:t>
      </w:r>
      <w:bookmarkEnd w:id="804"/>
      <w:bookmarkEnd w:id="805"/>
      <w:bookmarkEnd w:id="806"/>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14:paraId="4BE8CFBE">
      <w:pPr>
        <w:spacing w:line="38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设备采购合同</w:t>
      </w:r>
    </w:p>
    <w:p w14:paraId="1367D78E">
      <w:pPr>
        <w:spacing w:line="380" w:lineRule="exact"/>
        <w:rPr>
          <w:rFonts w:hint="eastAsia" w:ascii="仿宋_GB2312" w:eastAsia="仿宋_GB2312"/>
          <w:color w:val="auto"/>
          <w:sz w:val="24"/>
          <w:highlight w:val="none"/>
        </w:rPr>
      </w:pPr>
      <w:r>
        <w:rPr>
          <w:rFonts w:hint="eastAsia" w:ascii="仿宋_GB2312" w:eastAsia="仿宋_GB2312" w:cs="Arial"/>
          <w:color w:val="auto"/>
          <w:sz w:val="24"/>
          <w:highlight w:val="none"/>
        </w:rPr>
        <w:t>购货单位（以下简称甲方）：</w:t>
      </w:r>
      <w:r>
        <w:rPr>
          <w:rFonts w:hint="eastAsia" w:ascii="仿宋_GB2312" w:eastAsia="仿宋_GB2312"/>
          <w:color w:val="auto"/>
          <w:sz w:val="24"/>
          <w:highlight w:val="none"/>
        </w:rPr>
        <w:t xml:space="preserve">蚌埠医科大学第一附属医院                      </w:t>
      </w:r>
    </w:p>
    <w:p w14:paraId="0CC4DFB6">
      <w:pPr>
        <w:spacing w:line="380" w:lineRule="exact"/>
        <w:rPr>
          <w:rFonts w:ascii="仿宋_GB2312" w:hAnsi="Georgia" w:eastAsia="仿宋_GB2312"/>
          <w:color w:val="auto"/>
          <w:sz w:val="24"/>
          <w:highlight w:val="none"/>
        </w:rPr>
      </w:pPr>
      <w:r>
        <w:rPr>
          <w:rFonts w:hint="eastAsia" w:ascii="仿宋_GB2312" w:eastAsia="仿宋_GB2312" w:cs="Arial"/>
          <w:color w:val="auto"/>
          <w:sz w:val="24"/>
          <w:highlight w:val="none"/>
        </w:rPr>
        <w:t>供货单位（以下简称乙方）：</w:t>
      </w:r>
      <w:r>
        <w:rPr>
          <w:rFonts w:hint="eastAsia" w:ascii="仿宋_GB2312" w:eastAsia="仿宋_GB2312" w:cs="Arial"/>
          <w:color w:val="auto"/>
          <w:sz w:val="24"/>
          <w:highlight w:val="none"/>
          <w:u w:val="single"/>
        </w:rPr>
        <w:t xml:space="preserve">                      </w:t>
      </w:r>
      <w:r>
        <w:rPr>
          <w:rFonts w:hint="eastAsia" w:ascii="仿宋_GB2312" w:eastAsia="仿宋_GB2312" w:cs="Arial"/>
          <w:color w:val="auto"/>
          <w:sz w:val="24"/>
          <w:highlight w:val="none"/>
        </w:rPr>
        <w:t xml:space="preserve">                 </w:t>
      </w:r>
      <w:r>
        <w:rPr>
          <w:rFonts w:hint="eastAsia" w:ascii="仿宋_GB2312" w:hAnsi="Georgia" w:eastAsia="仿宋_GB2312"/>
          <w:color w:val="auto"/>
          <w:sz w:val="24"/>
          <w:highlight w:val="none"/>
        </w:rPr>
        <w:t>　　　</w:t>
      </w:r>
    </w:p>
    <w:p w14:paraId="6E12BFDA">
      <w:pPr>
        <w:spacing w:line="380" w:lineRule="exact"/>
        <w:rPr>
          <w:rFonts w:ascii="仿宋_GB2312" w:hAnsi="Georgia" w:eastAsia="仿宋_GB2312"/>
          <w:color w:val="auto"/>
          <w:sz w:val="24"/>
          <w:highlight w:val="none"/>
        </w:rPr>
      </w:pPr>
      <w:r>
        <w:rPr>
          <w:rFonts w:hint="eastAsia" w:ascii="仿宋_GB2312" w:hAnsi="Georgia" w:eastAsia="仿宋_GB2312"/>
          <w:color w:val="auto"/>
          <w:sz w:val="24"/>
          <w:highlight w:val="none"/>
        </w:rPr>
        <w:t>签订地点：安徽 蚌埠 龙子湖区</w:t>
      </w:r>
    </w:p>
    <w:p w14:paraId="16369ECB">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甲方向乙方订购</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医疗设备及其服务，为明确双方权利和责任，</w:t>
      </w:r>
      <w:r>
        <w:rPr>
          <w:rFonts w:hint="eastAsia" w:ascii="仿宋_GB2312" w:hAnsi="Georgia" w:eastAsia="仿宋_GB2312"/>
          <w:color w:val="auto"/>
          <w:sz w:val="24"/>
          <w:highlight w:val="none"/>
        </w:rPr>
        <w:t>根据《中华人民共和国</w:t>
      </w:r>
      <w:r>
        <w:rPr>
          <w:rFonts w:hint="eastAsia" w:ascii="仿宋_GB2312" w:hAnsi="Georgia" w:eastAsia="仿宋_GB2312"/>
          <w:color w:val="auto"/>
          <w:sz w:val="24"/>
          <w:highlight w:val="none"/>
          <w:lang w:eastAsia="zh-CN"/>
        </w:rPr>
        <w:t>民法典</w:t>
      </w:r>
      <w:r>
        <w:rPr>
          <w:rFonts w:hint="eastAsia" w:ascii="仿宋_GB2312" w:hAnsi="Georgia" w:eastAsia="仿宋_GB2312"/>
          <w:color w:val="auto"/>
          <w:sz w:val="24"/>
          <w:highlight w:val="none"/>
        </w:rPr>
        <w:t>》及其他有关法律法规的规定，甲、乙双方遵循平等自愿、</w:t>
      </w:r>
      <w:r>
        <w:rPr>
          <w:rFonts w:hint="eastAsia" w:ascii="仿宋_GB2312" w:eastAsia="仿宋_GB2312"/>
          <w:color w:val="auto"/>
          <w:sz w:val="24"/>
          <w:highlight w:val="none"/>
        </w:rPr>
        <w:t>互惠互利、协商一致、</w:t>
      </w:r>
      <w:r>
        <w:rPr>
          <w:rFonts w:hint="eastAsia" w:ascii="仿宋_GB2312" w:hAnsi="Georgia" w:eastAsia="仿宋_GB2312"/>
          <w:color w:val="auto"/>
          <w:sz w:val="24"/>
          <w:highlight w:val="none"/>
        </w:rPr>
        <w:t>诚实信用的原则，就产品进货购销事宜协商订立本合同</w:t>
      </w:r>
      <w:r>
        <w:rPr>
          <w:rFonts w:hint="eastAsia" w:ascii="仿宋_GB2312" w:eastAsia="仿宋_GB2312"/>
          <w:color w:val="auto"/>
          <w:sz w:val="24"/>
          <w:highlight w:val="none"/>
        </w:rPr>
        <w:t>共同遵守。具体条款如下：</w:t>
      </w:r>
    </w:p>
    <w:p w14:paraId="417191AC">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一、在本合同签订时，乙方应向甲方提交以下材料：产品注册证、特殊产品生产许可证和业务代表身份证明等。</w:t>
      </w:r>
    </w:p>
    <w:p w14:paraId="276EFF7B">
      <w:pPr>
        <w:spacing w:line="380" w:lineRule="exact"/>
        <w:ind w:firstLine="480" w:firstLineChars="200"/>
        <w:rPr>
          <w:rFonts w:ascii="仿宋_GB2312" w:eastAsia="仿宋_GB2312"/>
          <w:bCs/>
          <w:color w:val="auto"/>
          <w:sz w:val="24"/>
          <w:highlight w:val="none"/>
        </w:rPr>
      </w:pPr>
      <w:r>
        <w:rPr>
          <w:rFonts w:hint="eastAsia" w:ascii="仿宋_GB2312" w:hAnsi="Arial" w:eastAsia="仿宋_GB2312" w:cs="Arial"/>
          <w:color w:val="auto"/>
          <w:sz w:val="24"/>
          <w:highlight w:val="none"/>
        </w:rPr>
        <w:t>二、</w:t>
      </w:r>
      <w:r>
        <w:rPr>
          <w:rFonts w:hint="eastAsia" w:ascii="仿宋_GB2312" w:eastAsia="仿宋_GB2312"/>
          <w:bCs/>
          <w:color w:val="auto"/>
          <w:sz w:val="24"/>
          <w:highlight w:val="none"/>
        </w:rPr>
        <w:t>采购内容：</w:t>
      </w:r>
    </w:p>
    <w:tbl>
      <w:tblPr>
        <w:tblStyle w:val="47"/>
        <w:tblW w:w="1033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332"/>
        <w:gridCol w:w="1500"/>
        <w:gridCol w:w="854"/>
        <w:gridCol w:w="22"/>
        <w:gridCol w:w="1476"/>
        <w:gridCol w:w="1224"/>
        <w:gridCol w:w="843"/>
        <w:gridCol w:w="1243"/>
      </w:tblGrid>
      <w:tr w14:paraId="7585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36" w:type="dxa"/>
            <w:noWrap w:val="0"/>
            <w:vAlign w:val="center"/>
          </w:tcPr>
          <w:p w14:paraId="31D46DBC">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品     名</w:t>
            </w:r>
          </w:p>
        </w:tc>
        <w:tc>
          <w:tcPr>
            <w:tcW w:w="1332" w:type="dxa"/>
            <w:noWrap w:val="0"/>
            <w:vAlign w:val="center"/>
          </w:tcPr>
          <w:p w14:paraId="47C52010">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型  号</w:t>
            </w:r>
          </w:p>
        </w:tc>
        <w:tc>
          <w:tcPr>
            <w:tcW w:w="1500" w:type="dxa"/>
            <w:noWrap w:val="0"/>
            <w:vAlign w:val="center"/>
          </w:tcPr>
          <w:p w14:paraId="319218B5">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生  产  商</w:t>
            </w:r>
          </w:p>
        </w:tc>
        <w:tc>
          <w:tcPr>
            <w:tcW w:w="876" w:type="dxa"/>
            <w:gridSpan w:val="2"/>
            <w:noWrap w:val="0"/>
            <w:vAlign w:val="center"/>
          </w:tcPr>
          <w:p w14:paraId="7BC4F477">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数 量</w:t>
            </w:r>
          </w:p>
        </w:tc>
        <w:tc>
          <w:tcPr>
            <w:tcW w:w="1476" w:type="dxa"/>
            <w:noWrap w:val="0"/>
            <w:vAlign w:val="center"/>
          </w:tcPr>
          <w:p w14:paraId="6AA5189C">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单  价</w:t>
            </w:r>
          </w:p>
        </w:tc>
        <w:tc>
          <w:tcPr>
            <w:tcW w:w="1224" w:type="dxa"/>
            <w:noWrap w:val="0"/>
            <w:vAlign w:val="center"/>
          </w:tcPr>
          <w:p w14:paraId="3A3095DF">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总  价</w:t>
            </w:r>
          </w:p>
        </w:tc>
        <w:tc>
          <w:tcPr>
            <w:tcW w:w="843" w:type="dxa"/>
            <w:noWrap w:val="0"/>
            <w:vAlign w:val="center"/>
          </w:tcPr>
          <w:p w14:paraId="013C9634">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交货地点</w:t>
            </w:r>
          </w:p>
        </w:tc>
        <w:tc>
          <w:tcPr>
            <w:tcW w:w="1243" w:type="dxa"/>
            <w:noWrap w:val="0"/>
            <w:vAlign w:val="center"/>
          </w:tcPr>
          <w:p w14:paraId="35423816">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交货时间</w:t>
            </w:r>
          </w:p>
        </w:tc>
      </w:tr>
      <w:tr w14:paraId="76C8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836" w:type="dxa"/>
            <w:noWrap w:val="0"/>
            <w:vAlign w:val="center"/>
          </w:tcPr>
          <w:p w14:paraId="65150F81">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1332" w:type="dxa"/>
            <w:noWrap w:val="0"/>
            <w:vAlign w:val="center"/>
          </w:tcPr>
          <w:p w14:paraId="48F0542B">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1500" w:type="dxa"/>
            <w:noWrap w:val="0"/>
            <w:vAlign w:val="center"/>
          </w:tcPr>
          <w:p w14:paraId="37E6E4B6">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876" w:type="dxa"/>
            <w:gridSpan w:val="2"/>
            <w:noWrap w:val="0"/>
            <w:vAlign w:val="center"/>
          </w:tcPr>
          <w:p w14:paraId="27CB5B0D">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1476" w:type="dxa"/>
            <w:noWrap w:val="0"/>
            <w:vAlign w:val="center"/>
          </w:tcPr>
          <w:p w14:paraId="5535BB9D">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1224" w:type="dxa"/>
            <w:noWrap w:val="0"/>
            <w:vAlign w:val="center"/>
          </w:tcPr>
          <w:p w14:paraId="1B7B27D4">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843" w:type="dxa"/>
            <w:noWrap w:val="0"/>
            <w:vAlign w:val="center"/>
          </w:tcPr>
          <w:p w14:paraId="39990C72">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甲方指定地点</w:t>
            </w:r>
          </w:p>
        </w:tc>
        <w:tc>
          <w:tcPr>
            <w:tcW w:w="1243" w:type="dxa"/>
            <w:noWrap w:val="0"/>
            <w:vAlign w:val="center"/>
          </w:tcPr>
          <w:p w14:paraId="60F7BC2C">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r>
      <w:tr w14:paraId="643F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0330" w:type="dxa"/>
            <w:gridSpan w:val="9"/>
            <w:noWrap w:val="0"/>
            <w:vAlign w:val="top"/>
          </w:tcPr>
          <w:p w14:paraId="620D3068">
            <w:pPr>
              <w:keepNext w:val="0"/>
              <w:keepLines w:val="0"/>
              <w:suppressLineNumbers w:val="0"/>
              <w:spacing w:before="0" w:beforeAutospacing="0" w:after="0" w:afterAutospacing="0" w:line="380" w:lineRule="exact"/>
              <w:ind w:left="0" w:right="0"/>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该价格已包括设备所有标配和选配功能，详细配置见标书。</w:t>
            </w:r>
          </w:p>
          <w:p w14:paraId="7451D4DB">
            <w:pPr>
              <w:keepNext w:val="0"/>
              <w:keepLines w:val="0"/>
              <w:suppressLineNumbers w:val="0"/>
              <w:spacing w:before="0" w:beforeAutospacing="0" w:after="0" w:afterAutospacing="0" w:line="380" w:lineRule="exact"/>
              <w:ind w:left="0" w:right="0"/>
              <w:rPr>
                <w:rFonts w:hint="default" w:ascii="仿宋_GB2312" w:hAnsi="Calibri" w:eastAsia="仿宋_GB2312" w:cs="Times New Roman"/>
                <w:b/>
                <w:color w:val="auto"/>
                <w:sz w:val="24"/>
                <w:highlight w:val="none"/>
              </w:rPr>
            </w:pPr>
            <w:r>
              <w:rPr>
                <w:rFonts w:hint="eastAsia" w:ascii="仿宋_GB2312" w:hAnsi="Calibri" w:eastAsia="仿宋_GB2312" w:cs="Times New Roman"/>
                <w:b/>
                <w:color w:val="auto"/>
                <w:sz w:val="22"/>
                <w:highlight w:val="none"/>
              </w:rPr>
              <w:t>配套耗材价格：</w:t>
            </w:r>
          </w:p>
        </w:tc>
      </w:tr>
      <w:tr w14:paraId="0C56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836" w:type="dxa"/>
            <w:noWrap w:val="0"/>
            <w:vAlign w:val="center"/>
          </w:tcPr>
          <w:p w14:paraId="4F357C91">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b/>
                <w:color w:val="auto"/>
                <w:sz w:val="24"/>
                <w:highlight w:val="none"/>
              </w:rPr>
            </w:pPr>
            <w:r>
              <w:rPr>
                <w:rFonts w:hint="eastAsia" w:ascii="仿宋_GB2312" w:hAnsi="Calibri" w:eastAsia="仿宋_GB2312" w:cs="Times New Roman"/>
                <w:b/>
                <w:color w:val="auto"/>
                <w:sz w:val="24"/>
                <w:highlight w:val="none"/>
              </w:rPr>
              <w:t>金 额 合 计</w:t>
            </w:r>
          </w:p>
        </w:tc>
        <w:tc>
          <w:tcPr>
            <w:tcW w:w="3686" w:type="dxa"/>
            <w:gridSpan w:val="3"/>
            <w:noWrap w:val="0"/>
            <w:vAlign w:val="center"/>
          </w:tcPr>
          <w:p w14:paraId="5FE216BC">
            <w:pPr>
              <w:keepNext w:val="0"/>
              <w:keepLines w:val="0"/>
              <w:suppressLineNumbers w:val="0"/>
              <w:spacing w:before="0" w:beforeAutospacing="0" w:after="0" w:afterAutospacing="0" w:line="380" w:lineRule="exact"/>
              <w:ind w:left="0" w:right="0"/>
              <w:rPr>
                <w:rFonts w:hint="default" w:ascii="仿宋_GB2312" w:hAnsi="Calibri" w:eastAsia="仿宋_GB2312" w:cs="Times New Roman"/>
                <w:color w:val="auto"/>
                <w:sz w:val="24"/>
                <w:highlight w:val="none"/>
              </w:rPr>
            </w:pPr>
          </w:p>
        </w:tc>
        <w:tc>
          <w:tcPr>
            <w:tcW w:w="4808" w:type="dxa"/>
            <w:gridSpan w:val="5"/>
            <w:noWrap w:val="0"/>
            <w:vAlign w:val="center"/>
          </w:tcPr>
          <w:p w14:paraId="5BDBBC9F">
            <w:pPr>
              <w:keepNext w:val="0"/>
              <w:keepLines w:val="0"/>
              <w:suppressLineNumbers w:val="0"/>
              <w:spacing w:before="0" w:beforeAutospacing="0" w:after="0" w:afterAutospacing="0" w:line="380" w:lineRule="exact"/>
              <w:ind w:left="0" w:right="0"/>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人民币大写：</w:t>
            </w:r>
          </w:p>
        </w:tc>
      </w:tr>
    </w:tbl>
    <w:p w14:paraId="6418F12B">
      <w:pPr>
        <w:spacing w:line="380" w:lineRule="exact"/>
        <w:ind w:firstLine="480" w:firstLineChars="200"/>
        <w:rPr>
          <w:rFonts w:ascii="仿宋_GB2312" w:eastAsia="仿宋_GB2312"/>
          <w:b/>
          <w:bCs/>
          <w:color w:val="auto"/>
          <w:sz w:val="24"/>
          <w:highlight w:val="none"/>
        </w:rPr>
      </w:pPr>
      <w:r>
        <w:rPr>
          <w:rFonts w:hint="eastAsia" w:ascii="仿宋_GB2312" w:eastAsia="仿宋_GB2312"/>
          <w:bCs/>
          <w:color w:val="auto"/>
          <w:sz w:val="24"/>
          <w:highlight w:val="none"/>
        </w:rPr>
        <w:t>注：上表“总价”包含该设备验收合格前发生的所有费用，</w:t>
      </w:r>
      <w:r>
        <w:rPr>
          <w:rFonts w:hint="eastAsia" w:ascii="仿宋_GB2312" w:eastAsia="仿宋_GB2312" w:cs="宋体"/>
          <w:color w:val="auto"/>
          <w:kern w:val="0"/>
          <w:sz w:val="24"/>
          <w:szCs w:val="21"/>
          <w:highlight w:val="none"/>
        </w:rPr>
        <w:t>以及验收合格后发生的与使用该产品相关的</w:t>
      </w:r>
      <w:r>
        <w:rPr>
          <w:rFonts w:hint="eastAsia" w:ascii="仿宋_GB2312" w:eastAsia="仿宋_GB2312" w:cs="宋体"/>
          <w:color w:val="auto"/>
          <w:kern w:val="0"/>
          <w:sz w:val="24"/>
          <w:highlight w:val="none"/>
        </w:rPr>
        <w:t>技术指导、培训、咨询等费用，甲方不再另向乙方支付其它任何费用。</w:t>
      </w:r>
    </w:p>
    <w:p w14:paraId="3798E28C">
      <w:pPr>
        <w:spacing w:line="380" w:lineRule="exact"/>
        <w:ind w:firstLine="480" w:firstLineChars="200"/>
        <w:rPr>
          <w:rFonts w:ascii="仿宋_GB2312" w:hAnsi="Arial" w:eastAsia="仿宋_GB2312" w:cs="Arial"/>
          <w:color w:val="auto"/>
          <w:sz w:val="24"/>
          <w:highlight w:val="none"/>
        </w:rPr>
      </w:pPr>
      <w:r>
        <w:rPr>
          <w:rFonts w:hint="eastAsia" w:ascii="仿宋_GB2312" w:eastAsia="仿宋_GB2312"/>
          <w:color w:val="auto"/>
          <w:sz w:val="24"/>
          <w:highlight w:val="none"/>
        </w:rPr>
        <w:t>三、</w:t>
      </w:r>
      <w:r>
        <w:rPr>
          <w:rFonts w:hint="eastAsia" w:ascii="仿宋_GB2312" w:hAnsi="Arial" w:eastAsia="仿宋_GB2312" w:cs="Arial"/>
          <w:color w:val="auto"/>
          <w:sz w:val="24"/>
          <w:highlight w:val="none"/>
        </w:rPr>
        <w:t>产品质量：</w:t>
      </w:r>
    </w:p>
    <w:p w14:paraId="2E5544B6">
      <w:pPr>
        <w:spacing w:line="380" w:lineRule="exact"/>
        <w:ind w:firstLine="480" w:firstLineChars="200"/>
        <w:rPr>
          <w:rFonts w:ascii="仿宋_GB2312" w:eastAsia="仿宋_GB2312"/>
          <w:color w:val="auto"/>
          <w:sz w:val="24"/>
          <w:highlight w:val="none"/>
        </w:rPr>
      </w:pPr>
      <w:r>
        <w:rPr>
          <w:rFonts w:hint="eastAsia" w:ascii="仿宋_GB2312" w:hAnsi="Arial" w:eastAsia="仿宋_GB2312" w:cs="Arial"/>
          <w:color w:val="auto"/>
          <w:sz w:val="24"/>
          <w:highlight w:val="none"/>
        </w:rPr>
        <w:t>1、设备符合产品注册标准、国家强制性标准、国家法律法规规定的标准、招投标文件所要求的技术标准</w:t>
      </w:r>
      <w:r>
        <w:rPr>
          <w:rFonts w:hint="eastAsia" w:ascii="仿宋_GB2312" w:eastAsia="仿宋_GB2312"/>
          <w:color w:val="auto"/>
          <w:sz w:val="24"/>
          <w:highlight w:val="none"/>
        </w:rPr>
        <w:t>。</w:t>
      </w:r>
    </w:p>
    <w:p w14:paraId="216AAD2F">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2、保证是原产地生产的原装产品，否则按退货处理。</w:t>
      </w:r>
    </w:p>
    <w:p w14:paraId="4354DDCB">
      <w:pPr>
        <w:spacing w:line="380" w:lineRule="exact"/>
        <w:ind w:firstLine="480" w:firstLineChars="200"/>
        <w:rPr>
          <w:rFonts w:ascii="仿宋_GB2312" w:hAnsi="Arial" w:eastAsia="仿宋_GB2312" w:cs="Arial"/>
          <w:color w:val="auto"/>
          <w:sz w:val="24"/>
          <w:highlight w:val="none"/>
        </w:rPr>
      </w:pPr>
      <w:r>
        <w:rPr>
          <w:rFonts w:hint="eastAsia" w:ascii="仿宋_GB2312" w:eastAsia="仿宋_GB2312"/>
          <w:color w:val="auto"/>
          <w:sz w:val="24"/>
          <w:highlight w:val="none"/>
        </w:rPr>
        <w:t>3、如因乙方设备原因导致甲方损失，乙方应予以赔偿。</w:t>
      </w:r>
    </w:p>
    <w:p w14:paraId="0457C91A">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四、货物交付</w:t>
      </w:r>
    </w:p>
    <w:p w14:paraId="07EBAA3A">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1、乙方在合同生效的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天内向甲方交付上述设备，在满足安装条件之日起</w:t>
      </w:r>
      <w:r>
        <w:rPr>
          <w:rFonts w:hint="eastAsia" w:ascii="仿宋_GB2312" w:eastAsia="仿宋_GB2312"/>
          <w:color w:val="auto"/>
          <w:sz w:val="24"/>
          <w:highlight w:val="none"/>
          <w:u w:val="single"/>
        </w:rPr>
        <w:t xml:space="preserve">  2  </w:t>
      </w:r>
      <w:r>
        <w:rPr>
          <w:rFonts w:hint="eastAsia" w:ascii="仿宋_GB2312" w:eastAsia="仿宋_GB2312"/>
          <w:color w:val="auto"/>
          <w:sz w:val="24"/>
          <w:highlight w:val="none"/>
        </w:rPr>
        <w:t>天内开始安装。</w:t>
      </w:r>
    </w:p>
    <w:p w14:paraId="1553A4E5">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2、乙方应确保设备安全无损地运抵甲方指定现场，并承担运保费、税费、装卸费等所有相关费用，货物交付甲方后所有权转移至甲方。</w:t>
      </w:r>
    </w:p>
    <w:p w14:paraId="033F8234">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五、货物验收</w:t>
      </w:r>
    </w:p>
    <w:p w14:paraId="69F1E972">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1、甲方</w:t>
      </w:r>
      <w:r>
        <w:rPr>
          <w:rFonts w:hint="eastAsia" w:ascii="仿宋_GB2312" w:hAnsi="Arial" w:eastAsia="仿宋_GB2312" w:cs="Arial"/>
          <w:bCs/>
          <w:color w:val="auto"/>
          <w:sz w:val="24"/>
          <w:highlight w:val="none"/>
        </w:rPr>
        <w:t>组织相关专业专家按照</w:t>
      </w:r>
      <w:r>
        <w:rPr>
          <w:rFonts w:hint="eastAsia" w:ascii="仿宋_GB2312" w:hAnsi="Arial" w:eastAsia="仿宋_GB2312" w:cs="Arial"/>
          <w:color w:val="auto"/>
          <w:sz w:val="24"/>
          <w:highlight w:val="none"/>
        </w:rPr>
        <w:t>国家法律法规规定的标准</w:t>
      </w:r>
      <w:r>
        <w:rPr>
          <w:rFonts w:hint="eastAsia" w:ascii="仿宋_GB2312" w:hAnsi="Arial" w:eastAsia="仿宋_GB2312" w:cs="Arial"/>
          <w:bCs/>
          <w:color w:val="auto"/>
          <w:sz w:val="24"/>
          <w:highlight w:val="none"/>
        </w:rPr>
        <w:t>、</w:t>
      </w:r>
      <w:r>
        <w:rPr>
          <w:rFonts w:hint="eastAsia" w:ascii="仿宋_GB2312" w:hAnsi="Arial" w:eastAsia="仿宋_GB2312" w:cs="Arial"/>
          <w:color w:val="auto"/>
          <w:sz w:val="24"/>
          <w:highlight w:val="none"/>
        </w:rPr>
        <w:t>招投标文件所要求的技术标准</w:t>
      </w:r>
      <w:r>
        <w:rPr>
          <w:rFonts w:hint="eastAsia" w:ascii="仿宋_GB2312" w:eastAsia="仿宋_GB2312"/>
          <w:color w:val="auto"/>
          <w:sz w:val="24"/>
          <w:highlight w:val="none"/>
        </w:rPr>
        <w:t>、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13A4BBD5">
      <w:pPr>
        <w:spacing w:line="380" w:lineRule="exact"/>
        <w:ind w:firstLine="480" w:firstLineChars="200"/>
        <w:rPr>
          <w:rFonts w:ascii="仿宋_GB2312" w:hAnsi="Arial" w:eastAsia="仿宋_GB2312" w:cs="Arial"/>
          <w:bCs/>
          <w:color w:val="auto"/>
          <w:sz w:val="24"/>
          <w:highlight w:val="none"/>
        </w:rPr>
      </w:pPr>
      <w:r>
        <w:rPr>
          <w:rFonts w:hint="eastAsia" w:ascii="仿宋_GB2312" w:eastAsia="仿宋_GB2312"/>
          <w:color w:val="auto"/>
          <w:sz w:val="24"/>
          <w:highlight w:val="none"/>
        </w:rPr>
        <w:t>2、乙方提供设备的产品说明书</w:t>
      </w:r>
      <w:r>
        <w:rPr>
          <w:rFonts w:hint="eastAsia" w:ascii="仿宋_GB2312" w:hAnsi="宋体" w:eastAsia="仿宋_GB2312"/>
          <w:color w:val="auto"/>
          <w:sz w:val="24"/>
          <w:highlight w:val="none"/>
        </w:rPr>
        <w:t>（用户手册或操作手册）</w:t>
      </w:r>
      <w:r>
        <w:rPr>
          <w:rFonts w:hint="eastAsia" w:ascii="仿宋_GB2312" w:eastAsia="仿宋_GB2312"/>
          <w:color w:val="auto"/>
          <w:sz w:val="24"/>
          <w:highlight w:val="none"/>
        </w:rPr>
        <w:t>、相应的图纸、产品合格证或出厂检验报告、保修证明、发票和其他应具有的单证等，产品具有金属铭牌（标识内容包括产品名称、型号、编号及生产商联系电话等）；</w:t>
      </w:r>
      <w:r>
        <w:rPr>
          <w:rFonts w:hint="eastAsia" w:ascii="仿宋_GB2312" w:hAnsi="Arial" w:eastAsia="仿宋_GB2312" w:cs="Arial"/>
          <w:bCs/>
          <w:color w:val="auto"/>
          <w:sz w:val="24"/>
          <w:highlight w:val="none"/>
        </w:rPr>
        <w:t>对于进口设备，须提供</w:t>
      </w:r>
      <w:r>
        <w:rPr>
          <w:rFonts w:hint="eastAsia" w:ascii="仿宋_GB2312" w:eastAsia="仿宋_GB2312"/>
          <w:color w:val="auto"/>
          <w:sz w:val="24"/>
          <w:highlight w:val="none"/>
        </w:rPr>
        <w:t>原产地证明、</w:t>
      </w:r>
      <w:r>
        <w:rPr>
          <w:rFonts w:hint="eastAsia" w:ascii="仿宋_GB2312" w:hAnsi="Arial" w:eastAsia="仿宋_GB2312" w:cs="Arial"/>
          <w:bCs/>
          <w:color w:val="auto"/>
          <w:sz w:val="24"/>
          <w:highlight w:val="none"/>
        </w:rPr>
        <w:t>相应报关及商检资料，以上文书资料应随同设备一起交付甲方。</w:t>
      </w:r>
    </w:p>
    <w:p w14:paraId="79B37778">
      <w:pPr>
        <w:spacing w:line="380" w:lineRule="exact"/>
        <w:ind w:firstLine="480" w:firstLineChars="200"/>
        <w:rPr>
          <w:rFonts w:ascii="仿宋_GB2312" w:eastAsia="仿宋_GB2312"/>
          <w:color w:val="auto"/>
          <w:sz w:val="24"/>
          <w:highlight w:val="none"/>
        </w:rPr>
      </w:pPr>
      <w:r>
        <w:rPr>
          <w:rFonts w:hint="eastAsia" w:ascii="仿宋_GB2312" w:hAnsi="Arial" w:eastAsia="仿宋_GB2312" w:cs="Arial"/>
          <w:bCs/>
          <w:color w:val="auto"/>
          <w:sz w:val="24"/>
          <w:highlight w:val="none"/>
        </w:rPr>
        <w:t>3、</w:t>
      </w:r>
      <w:r>
        <w:rPr>
          <w:rFonts w:hint="eastAsia" w:ascii="仿宋_GB2312" w:eastAsia="仿宋_GB2312"/>
          <w:color w:val="auto"/>
          <w:sz w:val="24"/>
          <w:highlight w:val="none"/>
        </w:rPr>
        <w:t>乙方免费提供专用维修工具，免费提供校准、检测和质控相关工具及技术规范；</w:t>
      </w:r>
    </w:p>
    <w:p w14:paraId="1DD4CC6B">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4、安装调试验收完成后进入试运行，试运行结束后，双方签署验收文件视为最终验收；</w:t>
      </w:r>
    </w:p>
    <w:p w14:paraId="6105301C">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六、随附义务</w:t>
      </w:r>
    </w:p>
    <w:p w14:paraId="0FBC81BE">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74DA47F9">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2、乙方提供与该设备使用有关技术服务（如制定设备操作规程等）、学术和维修交流等。</w:t>
      </w:r>
    </w:p>
    <w:p w14:paraId="6D42B9FE">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3、乙方在销售过称中自觉抵制商业贿赂行为，</w:t>
      </w:r>
      <w:r>
        <w:rPr>
          <w:rFonts w:hint="eastAsia" w:ascii="仿宋_GB2312" w:hAnsi="Tahoma" w:eastAsia="仿宋_GB2312" w:cs="Tahoma"/>
          <w:color w:val="auto"/>
          <w:sz w:val="24"/>
          <w:highlight w:val="none"/>
        </w:rPr>
        <w:t>以各种名义给予医疗机构、医疗系统工作人员回扣、提成等。</w:t>
      </w:r>
    </w:p>
    <w:p w14:paraId="1DF0699F">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4、乙方应保证甲方在使用该设备或其任何一部分时免受第三方提出侵犯其专利权、商标权、工业产权等知识产权的起诉。</w:t>
      </w:r>
    </w:p>
    <w:p w14:paraId="2141580F">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七、付款：</w:t>
      </w:r>
    </w:p>
    <w:p w14:paraId="1B933302">
      <w:pPr>
        <w:spacing w:line="380" w:lineRule="exact"/>
        <w:ind w:firstLine="420"/>
        <w:rPr>
          <w:rFonts w:hint="eastAsia" w:ascii="仿宋_GB2312" w:eastAsia="仿宋_GB2312"/>
          <w:color w:val="auto"/>
          <w:sz w:val="24"/>
          <w:highlight w:val="none"/>
        </w:rPr>
      </w:pPr>
      <w:r>
        <w:rPr>
          <w:rFonts w:hint="eastAsia" w:ascii="仿宋_GB2312" w:eastAsia="仿宋_GB2312"/>
          <w:color w:val="auto"/>
          <w:sz w:val="24"/>
          <w:highlight w:val="none"/>
        </w:rPr>
        <w:t>1、设备完成安装</w:t>
      </w:r>
      <w:r>
        <w:rPr>
          <w:rFonts w:hint="eastAsia" w:ascii="仿宋_GB2312" w:eastAsia="仿宋_GB2312"/>
          <w:color w:val="auto"/>
          <w:sz w:val="24"/>
          <w:highlight w:val="none"/>
          <w:lang w:eastAsia="zh-CN"/>
        </w:rPr>
        <w:t>并</w:t>
      </w:r>
      <w:r>
        <w:rPr>
          <w:rFonts w:hint="eastAsia" w:ascii="仿宋_GB2312" w:eastAsia="仿宋_GB2312"/>
          <w:color w:val="auto"/>
          <w:sz w:val="24"/>
          <w:highlight w:val="none"/>
        </w:rPr>
        <w:t>验收合格</w:t>
      </w:r>
      <w:r>
        <w:rPr>
          <w:rFonts w:hint="eastAsia" w:ascii="仿宋_GB2312" w:eastAsia="仿宋_GB2312"/>
          <w:color w:val="auto"/>
          <w:sz w:val="24"/>
          <w:highlight w:val="none"/>
          <w:lang w:eastAsia="zh-CN"/>
        </w:rPr>
        <w:t>后</w:t>
      </w:r>
      <w:r>
        <w:rPr>
          <w:rFonts w:hint="eastAsia" w:ascii="仿宋_GB2312" w:eastAsia="仿宋_GB2312"/>
          <w:color w:val="auto"/>
          <w:sz w:val="24"/>
          <w:highlight w:val="none"/>
        </w:rPr>
        <w:t>开具全额发票，按医院付款流程支付</w:t>
      </w:r>
      <w:r>
        <w:rPr>
          <w:rFonts w:hint="eastAsia" w:ascii="仿宋_GB2312" w:eastAsia="仿宋_GB2312"/>
          <w:color w:val="auto"/>
          <w:sz w:val="24"/>
          <w:highlight w:val="none"/>
          <w:lang w:val="en-US" w:eastAsia="zh-CN"/>
        </w:rPr>
        <w:t>至</w:t>
      </w:r>
      <w:r>
        <w:rPr>
          <w:rFonts w:hint="eastAsia" w:ascii="仿宋_GB2312" w:eastAsia="仿宋_GB2312"/>
          <w:color w:val="auto"/>
          <w:sz w:val="24"/>
          <w:highlight w:val="none"/>
        </w:rPr>
        <w:t>合同总价的100%。</w:t>
      </w:r>
    </w:p>
    <w:p w14:paraId="49DA3A8D">
      <w:pPr>
        <w:widowControl/>
        <w:adjustRightInd w:val="0"/>
        <w:snapToGrid w:val="0"/>
        <w:spacing w:line="288" w:lineRule="auto"/>
        <w:ind w:firstLine="480" w:firstLineChars="200"/>
        <w:rPr>
          <w:rFonts w:hint="eastAsia" w:ascii="宋体" w:hAnsi="宋体" w:eastAsia="仿宋" w:cs="Calibri"/>
          <w:color w:val="auto"/>
          <w:sz w:val="24"/>
          <w:highlight w:val="none"/>
        </w:rPr>
      </w:pP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lang w:val="en-US" w:eastAsia="zh-CN"/>
        </w:rPr>
        <w:t>1</w:t>
      </w: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rPr>
        <w:t>如所投产品为中小企业生产的，合同生效后，预付合同款的40%(</w:t>
      </w:r>
      <w:r>
        <w:rPr>
          <w:rFonts w:hint="eastAsia" w:ascii="宋体" w:hAnsi="宋体" w:eastAsia="仿宋" w:cs="Calibri"/>
          <w:color w:val="auto"/>
          <w:sz w:val="24"/>
          <w:highlight w:val="none"/>
          <w:lang w:val="en-US" w:eastAsia="zh-CN"/>
        </w:rPr>
        <w:t>乙方</w:t>
      </w:r>
      <w:r>
        <w:rPr>
          <w:rFonts w:hint="eastAsia" w:ascii="宋体" w:hAnsi="宋体" w:eastAsia="仿宋" w:cs="Calibri"/>
          <w:color w:val="auto"/>
          <w:sz w:val="24"/>
          <w:highlight w:val="none"/>
        </w:rPr>
        <w:t>向采购人提交等额的预付款保函或其他担保措施，见索即付，期限至设备到达采购人指定地点时);</w:t>
      </w:r>
    </w:p>
    <w:p w14:paraId="3DABFE08">
      <w:pPr>
        <w:widowControl/>
        <w:adjustRightInd w:val="0"/>
        <w:snapToGrid w:val="0"/>
        <w:spacing w:line="288" w:lineRule="auto"/>
        <w:ind w:firstLine="480" w:firstLineChars="200"/>
        <w:rPr>
          <w:rFonts w:hint="eastAsia" w:ascii="仿宋_GB2312" w:eastAsia="仿宋_GB2312"/>
          <w:color w:val="auto"/>
          <w:sz w:val="24"/>
          <w:highlight w:val="none"/>
        </w:rPr>
      </w:pP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lang w:val="en-US" w:eastAsia="zh-CN"/>
        </w:rPr>
        <w:t>2</w:t>
      </w: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rPr>
        <w:t>如所投产品为非中小企业生产的，合同生效后，预付合同款的20%(</w:t>
      </w:r>
      <w:r>
        <w:rPr>
          <w:rFonts w:hint="eastAsia" w:ascii="宋体" w:hAnsi="宋体" w:eastAsia="仿宋" w:cs="Calibri"/>
          <w:color w:val="auto"/>
          <w:sz w:val="24"/>
          <w:highlight w:val="none"/>
          <w:lang w:val="en-US" w:eastAsia="zh-CN"/>
        </w:rPr>
        <w:t>乙方</w:t>
      </w:r>
      <w:r>
        <w:rPr>
          <w:rFonts w:hint="eastAsia" w:ascii="宋体" w:hAnsi="宋体" w:eastAsia="仿宋" w:cs="Calibri"/>
          <w:color w:val="auto"/>
          <w:sz w:val="24"/>
          <w:highlight w:val="none"/>
        </w:rPr>
        <w:t>向采购人提交等额的预付款保函或其他担保措施，见索即付，期限至设备到达采购人指定地点时)。</w:t>
      </w:r>
    </w:p>
    <w:p w14:paraId="1F21EAA5">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2、支付方式：电汇                    币种： 人民币</w:t>
      </w:r>
    </w:p>
    <w:p w14:paraId="645F3964">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八、维修：</w:t>
      </w:r>
    </w:p>
    <w:p w14:paraId="434C68D7">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1、乙方提供设备整机（含所有部件）保修期</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个月。保修期自双方签署验收文件之日起计算，保修期内免零配件费、工时费等为维修设备而发生的一切其它费用。</w:t>
      </w:r>
    </w:p>
    <w:p w14:paraId="5AE09510">
      <w:pPr>
        <w:spacing w:line="380" w:lineRule="exact"/>
        <w:ind w:firstLine="420"/>
        <w:rPr>
          <w:rFonts w:ascii="仿宋_GB2312" w:hAnsi="宋体" w:eastAsia="仿宋_GB2312"/>
          <w:color w:val="auto"/>
          <w:sz w:val="24"/>
          <w:highlight w:val="none"/>
        </w:rPr>
      </w:pPr>
      <w:r>
        <w:rPr>
          <w:rFonts w:hint="eastAsia" w:ascii="仿宋_GB2312" w:eastAsia="仿宋_GB2312"/>
          <w:color w:val="auto"/>
          <w:sz w:val="24"/>
          <w:highlight w:val="none"/>
        </w:rPr>
        <w:t>2、乙方在保修期内应确保开机率95%以上，即每年故障和维修时间少于18天，如超过，</w:t>
      </w:r>
      <w:r>
        <w:rPr>
          <w:rFonts w:hint="eastAsia" w:ascii="仿宋_GB2312" w:hAnsi="宋体" w:eastAsia="仿宋_GB2312"/>
          <w:color w:val="auto"/>
          <w:sz w:val="24"/>
          <w:highlight w:val="none"/>
        </w:rPr>
        <w:t>则按照1:5顺延保修时间。</w:t>
      </w:r>
    </w:p>
    <w:p w14:paraId="2152553C">
      <w:pPr>
        <w:spacing w:line="380" w:lineRule="exact"/>
        <w:ind w:firstLine="42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3、保修期内，乙方免费提供不低于4次/年的标准化原厂预防性维护保养服务并附保养内容和实施方案；</w:t>
      </w:r>
    </w:p>
    <w:p w14:paraId="67124560">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4、保修期内维修响应时间2小时，到现场时间12小时；</w:t>
      </w:r>
    </w:p>
    <w:p w14:paraId="3F23E68F">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5、设备在保修期内如出现三次以上因质量问题引起的故障，公司应负责更换相同配置的新设备。</w:t>
      </w:r>
    </w:p>
    <w:p w14:paraId="3E19DDDE">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6、保修期满后，设备故障时乙方应先提供维修服务，甲方在设备故障排除30天内付款；维修时间超过72h，乙方</w:t>
      </w:r>
      <w:r>
        <w:rPr>
          <w:rFonts w:hint="eastAsia" w:ascii="仿宋_GB2312" w:eastAsia="仿宋_GB2312" w:cs="宋体"/>
          <w:color w:val="auto"/>
          <w:kern w:val="0"/>
          <w:sz w:val="24"/>
          <w:highlight w:val="none"/>
        </w:rPr>
        <w:t>提供相同功能档次的</w:t>
      </w:r>
      <w:r>
        <w:rPr>
          <w:rFonts w:hint="eastAsia" w:ascii="仿宋_GB2312" w:eastAsia="仿宋_GB2312"/>
          <w:color w:val="auto"/>
          <w:sz w:val="24"/>
          <w:highlight w:val="none"/>
        </w:rPr>
        <w:t>备用设备</w:t>
      </w:r>
      <w:r>
        <w:rPr>
          <w:rFonts w:hint="eastAsia" w:ascii="仿宋_GB2312" w:eastAsia="仿宋_GB2312" w:cs="宋体"/>
          <w:color w:val="auto"/>
          <w:kern w:val="0"/>
          <w:sz w:val="24"/>
          <w:highlight w:val="none"/>
        </w:rPr>
        <w:t>给甲方作为代替使用</w:t>
      </w:r>
      <w:r>
        <w:rPr>
          <w:rFonts w:hint="eastAsia" w:ascii="仿宋_GB2312" w:eastAsia="仿宋_GB2312"/>
          <w:color w:val="auto"/>
          <w:sz w:val="24"/>
          <w:highlight w:val="none"/>
        </w:rPr>
        <w:t>。</w:t>
      </w:r>
    </w:p>
    <w:p w14:paraId="2965ED04">
      <w:pPr>
        <w:spacing w:line="380" w:lineRule="exact"/>
        <w:ind w:firstLine="480" w:firstLineChars="200"/>
        <w:rPr>
          <w:rFonts w:ascii="仿宋_GB2312" w:hAnsi="Arial" w:eastAsia="仿宋_GB2312" w:cs="Arial"/>
          <w:color w:val="auto"/>
          <w:sz w:val="24"/>
          <w:highlight w:val="none"/>
        </w:rPr>
      </w:pPr>
      <w:r>
        <w:rPr>
          <w:rFonts w:hint="eastAsia" w:ascii="仿宋_GB2312" w:eastAsia="仿宋_GB2312"/>
          <w:color w:val="auto"/>
          <w:sz w:val="24"/>
          <w:highlight w:val="none"/>
        </w:rPr>
        <w:t>九、</w:t>
      </w:r>
      <w:r>
        <w:rPr>
          <w:rFonts w:hint="eastAsia" w:ascii="仿宋_GB2312" w:hAnsi="Arial" w:eastAsia="仿宋_GB2312" w:cs="Arial"/>
          <w:color w:val="auto"/>
          <w:sz w:val="24"/>
          <w:highlight w:val="none"/>
        </w:rPr>
        <w:t>合同纠纷：甲、乙双方因履行本合同发生争议时，双方应通过友好协商解决，</w:t>
      </w:r>
      <w:r>
        <w:rPr>
          <w:rFonts w:hint="eastAsia" w:ascii="仿宋_GB2312" w:eastAsia="仿宋_GB2312"/>
          <w:color w:val="auto"/>
          <w:sz w:val="24"/>
          <w:highlight w:val="none"/>
        </w:rPr>
        <w:t>不能协商解决时，可向合同签订地人民法院起诉</w:t>
      </w:r>
      <w:r>
        <w:rPr>
          <w:rFonts w:hint="eastAsia" w:ascii="仿宋_GB2312" w:hAnsi="Arial" w:eastAsia="仿宋_GB2312" w:cs="Arial"/>
          <w:color w:val="auto"/>
          <w:sz w:val="24"/>
          <w:highlight w:val="none"/>
        </w:rPr>
        <w:t xml:space="preserve">。 </w:t>
      </w:r>
    </w:p>
    <w:p w14:paraId="4C4DFBDB">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十、违约责任</w:t>
      </w:r>
    </w:p>
    <w:p w14:paraId="355053B1">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1、乙方不能交货的，甲方不再向乙方支付剩余货款，乙方除足额返还甲方已付货款外，应向甲方偿付相当于不能交货部分货款10%的违约金。</w:t>
      </w:r>
    </w:p>
    <w:p w14:paraId="190013C1">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2、乙方所交货物品种、规格、质量不符合国家法律法规和合同规定的，由乙方负责包换或退货，并承担换退货实际费用。</w:t>
      </w:r>
    </w:p>
    <w:p w14:paraId="5B0D8E70">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167EDC0D">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4D1FE7E0">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十一、合同附件</w:t>
      </w:r>
    </w:p>
    <w:p w14:paraId="4892E22B">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合同附件是本合同不可分割的组成部分，与合同具有同等法律效力。</w:t>
      </w:r>
    </w:p>
    <w:p w14:paraId="59851D75">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本合同附件包括：配置清单、技术标准、设备技术说明、招投标文件、谈判记录及其他承诺等。</w:t>
      </w:r>
    </w:p>
    <w:p w14:paraId="40B27FDE">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十二、其它</w:t>
      </w:r>
    </w:p>
    <w:p w14:paraId="32549B11">
      <w:pPr>
        <w:spacing w:line="380" w:lineRule="exact"/>
        <w:ind w:firstLine="480" w:firstLineChars="200"/>
        <w:rPr>
          <w:rFonts w:ascii="仿宋_GB2312" w:eastAsia="仿宋_GB2312"/>
          <w:color w:val="auto"/>
          <w:sz w:val="24"/>
          <w:highlight w:val="none"/>
        </w:rPr>
      </w:pPr>
      <w:r>
        <w:rPr>
          <w:rFonts w:hint="eastAsia" w:ascii="仿宋_GB2312" w:hAnsi="Arial" w:eastAsia="仿宋_GB2312" w:cs="Arial"/>
          <w:color w:val="auto"/>
          <w:sz w:val="24"/>
          <w:highlight w:val="none"/>
        </w:rPr>
        <w:t>合同未尽事宜，由甲乙双方另行协商或签订补充协议，补充协议是本合同的组成部分，</w:t>
      </w:r>
      <w:r>
        <w:rPr>
          <w:rFonts w:hint="eastAsia" w:ascii="仿宋_GB2312" w:eastAsia="仿宋_GB2312"/>
          <w:color w:val="auto"/>
          <w:sz w:val="24"/>
          <w:highlight w:val="none"/>
        </w:rPr>
        <w:t>与合同具有同等法律效力。</w:t>
      </w:r>
    </w:p>
    <w:p w14:paraId="073FD61D">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十三、合同生效</w:t>
      </w:r>
    </w:p>
    <w:p w14:paraId="4216CCD7">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本合同在甲乙双方签字盖章后生效，未经双方同意，任一方转让本合同无效。</w:t>
      </w:r>
    </w:p>
    <w:p w14:paraId="2CCB4616">
      <w:pPr>
        <w:spacing w:line="380" w:lineRule="exact"/>
        <w:ind w:firstLine="480" w:firstLineChars="200"/>
        <w:rPr>
          <w:rFonts w:ascii="仿宋_GB2312" w:hAnsi="Arial" w:eastAsia="仿宋_GB2312" w:cs="Arial"/>
          <w:color w:val="auto"/>
          <w:sz w:val="24"/>
          <w:highlight w:val="none"/>
        </w:rPr>
      </w:pPr>
      <w:r>
        <w:rPr>
          <w:rFonts w:hint="eastAsia" w:ascii="仿宋_GB2312" w:eastAsia="仿宋_GB2312"/>
          <w:color w:val="auto"/>
          <w:sz w:val="24"/>
          <w:highlight w:val="none"/>
        </w:rPr>
        <w:t>十四、</w:t>
      </w:r>
      <w:r>
        <w:rPr>
          <w:rFonts w:hint="eastAsia" w:ascii="仿宋_GB2312" w:hAnsi="Arial" w:eastAsia="仿宋_GB2312" w:cs="Arial"/>
          <w:color w:val="auto"/>
          <w:sz w:val="24"/>
          <w:highlight w:val="none"/>
        </w:rPr>
        <w:t xml:space="preserve">本合同一式四份，甲方三份乙方一份。 </w:t>
      </w:r>
    </w:p>
    <w:p w14:paraId="2A6523E7">
      <w:pPr>
        <w:spacing w:line="380" w:lineRule="exact"/>
        <w:ind w:firstLine="480" w:firstLineChars="200"/>
        <w:rPr>
          <w:rFonts w:ascii="仿宋_GB2312" w:hAnsi="Arial" w:eastAsia="仿宋_GB2312" w:cs="Arial"/>
          <w:color w:val="auto"/>
          <w:sz w:val="24"/>
          <w:highlight w:val="none"/>
        </w:rPr>
      </w:pPr>
    </w:p>
    <w:p w14:paraId="3100CA62">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购货单位（甲方</w:t>
      </w:r>
      <w:r>
        <w:rPr>
          <w:rFonts w:hint="eastAsia" w:ascii="仿宋_GB2312" w:hAnsi="Georgia" w:eastAsia="仿宋_GB2312" w:cs="宋体"/>
          <w:color w:val="auto"/>
          <w:kern w:val="0"/>
          <w:sz w:val="24"/>
          <w:highlight w:val="none"/>
        </w:rPr>
        <w:t>盖章</w:t>
      </w:r>
      <w:r>
        <w:rPr>
          <w:rFonts w:hint="eastAsia" w:ascii="仿宋_GB2312" w:hAnsi="Arial" w:eastAsia="仿宋_GB2312" w:cs="Arial"/>
          <w:color w:val="auto"/>
          <w:sz w:val="24"/>
          <w:highlight w:val="none"/>
        </w:rPr>
        <w:t>）： 蚌埠医科大学第一附属医院              供货单位：（乙方</w:t>
      </w:r>
      <w:r>
        <w:rPr>
          <w:rFonts w:hint="eastAsia" w:ascii="仿宋_GB2312" w:hAnsi="Georgia" w:eastAsia="仿宋_GB2312" w:cs="宋体"/>
          <w:color w:val="auto"/>
          <w:kern w:val="0"/>
          <w:sz w:val="24"/>
          <w:highlight w:val="none"/>
        </w:rPr>
        <w:t>盖章</w:t>
      </w:r>
      <w:r>
        <w:rPr>
          <w:rFonts w:hint="eastAsia" w:ascii="仿宋_GB2312" w:hAnsi="Arial" w:eastAsia="仿宋_GB2312" w:cs="Arial"/>
          <w:color w:val="auto"/>
          <w:sz w:val="24"/>
          <w:highlight w:val="none"/>
        </w:rPr>
        <w:t>）：</w:t>
      </w:r>
    </w:p>
    <w:p w14:paraId="66292BBA">
      <w:pPr>
        <w:spacing w:line="380" w:lineRule="exact"/>
        <w:ind w:left="420"/>
        <w:rPr>
          <w:rFonts w:hint="eastAsia" w:ascii="仿宋_GB2312" w:hAnsi="Arial" w:eastAsia="仿宋_GB2312" w:cs="Arial"/>
          <w:color w:val="auto"/>
          <w:sz w:val="24"/>
          <w:highlight w:val="none"/>
        </w:rPr>
      </w:pPr>
      <w:r>
        <w:rPr>
          <w:rFonts w:hint="eastAsia" w:ascii="仿宋_GB2312" w:hAnsi="Arial" w:eastAsia="仿宋_GB2312" w:cs="Arial"/>
          <w:color w:val="auto"/>
          <w:sz w:val="24"/>
          <w:highlight w:val="none"/>
        </w:rPr>
        <w:t xml:space="preserve">地 址： 安徽省蚌埠市长淮路287号                           地 址： </w:t>
      </w:r>
    </w:p>
    <w:p w14:paraId="408C228E">
      <w:pPr>
        <w:spacing w:line="380" w:lineRule="exact"/>
        <w:ind w:left="420"/>
        <w:rPr>
          <w:rFonts w:hint="eastAsia" w:ascii="仿宋_GB2312" w:hAnsi="Georgia" w:eastAsia="仿宋_GB2312" w:cs="宋体"/>
          <w:color w:val="auto"/>
          <w:kern w:val="0"/>
          <w:sz w:val="24"/>
          <w:highlight w:val="none"/>
        </w:rPr>
      </w:pPr>
      <w:r>
        <w:rPr>
          <w:rFonts w:hint="eastAsia" w:ascii="仿宋_GB2312" w:hAnsi="Georgia" w:eastAsia="仿宋_GB2312" w:cs="宋体"/>
          <w:color w:val="auto"/>
          <w:kern w:val="0"/>
          <w:sz w:val="24"/>
          <w:highlight w:val="none"/>
        </w:rPr>
        <w:t>电话/传真：0552-3086953（设备科）</w:t>
      </w:r>
      <w:r>
        <w:rPr>
          <w:rFonts w:hint="eastAsia" w:ascii="仿宋_GB2312" w:hAnsi="Arial" w:eastAsia="仿宋_GB2312" w:cs="Arial"/>
          <w:color w:val="auto"/>
          <w:sz w:val="24"/>
          <w:highlight w:val="none"/>
        </w:rPr>
        <w:t xml:space="preserve">                          </w:t>
      </w:r>
      <w:r>
        <w:rPr>
          <w:rFonts w:hint="eastAsia" w:ascii="仿宋_GB2312" w:hAnsi="Georgia" w:eastAsia="仿宋_GB2312" w:cs="宋体"/>
          <w:color w:val="auto"/>
          <w:kern w:val="0"/>
          <w:sz w:val="24"/>
          <w:highlight w:val="none"/>
        </w:rPr>
        <w:t>电话/传真：</w:t>
      </w:r>
    </w:p>
    <w:p w14:paraId="37786E01">
      <w:pPr>
        <w:spacing w:line="380" w:lineRule="exact"/>
        <w:ind w:left="420"/>
        <w:rPr>
          <w:rFonts w:ascii="仿宋_GB2312" w:hAnsi="Arial" w:eastAsia="仿宋_GB2312" w:cs="Arial"/>
          <w:color w:val="auto"/>
          <w:sz w:val="24"/>
          <w:highlight w:val="none"/>
        </w:rPr>
      </w:pPr>
      <w:r>
        <w:rPr>
          <w:rFonts w:hint="eastAsia" w:ascii="仿宋_GB2312" w:hAnsi="Georgia" w:eastAsia="仿宋_GB2312" w:cs="宋体"/>
          <w:color w:val="auto"/>
          <w:kern w:val="0"/>
          <w:sz w:val="24"/>
          <w:highlight w:val="none"/>
        </w:rPr>
        <w:t>电子邮件：                                                 电子邮件：</w:t>
      </w:r>
    </w:p>
    <w:p w14:paraId="0588C441">
      <w:pPr>
        <w:spacing w:line="380" w:lineRule="exact"/>
        <w:ind w:left="420"/>
        <w:rPr>
          <w:rFonts w:hint="eastAsia" w:ascii="仿宋_GB2312" w:hAnsi="Arial" w:eastAsia="仿宋_GB2312" w:cs="Arial"/>
          <w:color w:val="auto"/>
          <w:sz w:val="24"/>
          <w:highlight w:val="none"/>
        </w:rPr>
      </w:pPr>
      <w:r>
        <w:rPr>
          <w:rFonts w:hint="eastAsia" w:ascii="仿宋_GB2312" w:hAnsi="Arial" w:eastAsia="仿宋_GB2312" w:cs="Arial"/>
          <w:color w:val="auto"/>
          <w:sz w:val="24"/>
          <w:highlight w:val="none"/>
        </w:rPr>
        <w:t xml:space="preserve">开 户 行： </w:t>
      </w:r>
      <w:r>
        <w:rPr>
          <w:rFonts w:hint="eastAsia" w:ascii="仿宋_GB2312" w:hAnsi="Arial" w:eastAsia="仿宋_GB2312" w:cs="Arial"/>
          <w:color w:val="auto"/>
          <w:sz w:val="22"/>
          <w:highlight w:val="none"/>
        </w:rPr>
        <w:t>农业银行蚌埠开发区支行</w:t>
      </w:r>
      <w:r>
        <w:rPr>
          <w:rFonts w:hint="eastAsia" w:ascii="仿宋_GB2312" w:hAnsi="Arial" w:eastAsia="仿宋_GB2312" w:cs="Arial"/>
          <w:color w:val="auto"/>
          <w:sz w:val="24"/>
          <w:highlight w:val="none"/>
        </w:rPr>
        <w:t xml:space="preserve">                        </w:t>
      </w:r>
      <w:r>
        <w:rPr>
          <w:rFonts w:ascii="仿宋_GB2312" w:hAnsi="Arial" w:eastAsia="仿宋_GB2312" w:cs="Arial"/>
          <w:color w:val="auto"/>
          <w:sz w:val="24"/>
          <w:highlight w:val="none"/>
        </w:rPr>
        <w:t xml:space="preserve"> </w:t>
      </w:r>
      <w:r>
        <w:rPr>
          <w:rFonts w:hint="eastAsia" w:ascii="仿宋_GB2312" w:hAnsi="Arial" w:eastAsia="仿宋_GB2312" w:cs="Arial"/>
          <w:color w:val="auto"/>
          <w:sz w:val="24"/>
          <w:highlight w:val="none"/>
        </w:rPr>
        <w:t xml:space="preserve">   开 户 行： </w:t>
      </w:r>
    </w:p>
    <w:p w14:paraId="467A1E49">
      <w:pPr>
        <w:spacing w:line="380" w:lineRule="exact"/>
        <w:ind w:left="420"/>
        <w:rPr>
          <w:rFonts w:hint="eastAsia" w:ascii="仿宋_GB2312" w:hAnsi="Arial" w:eastAsia="仿宋_GB2312" w:cs="Arial"/>
          <w:color w:val="auto"/>
          <w:sz w:val="24"/>
          <w:highlight w:val="none"/>
        </w:rPr>
      </w:pPr>
      <w:r>
        <w:rPr>
          <w:rFonts w:hint="eastAsia" w:ascii="仿宋_GB2312" w:hAnsi="Arial" w:eastAsia="仿宋_GB2312" w:cs="Arial"/>
          <w:color w:val="auto"/>
          <w:sz w:val="24"/>
          <w:highlight w:val="none"/>
        </w:rPr>
        <w:t xml:space="preserve">帐 号：  12093001040011096                              </w:t>
      </w:r>
      <w:r>
        <w:rPr>
          <w:rFonts w:ascii="仿宋_GB2312" w:hAnsi="Arial" w:eastAsia="仿宋_GB2312" w:cs="Arial"/>
          <w:color w:val="auto"/>
          <w:sz w:val="24"/>
          <w:highlight w:val="none"/>
        </w:rPr>
        <w:t xml:space="preserve"> </w:t>
      </w:r>
      <w:r>
        <w:rPr>
          <w:rFonts w:hint="eastAsia" w:ascii="仿宋_GB2312" w:hAnsi="Arial" w:eastAsia="仿宋_GB2312" w:cs="Arial"/>
          <w:color w:val="auto"/>
          <w:sz w:val="24"/>
          <w:highlight w:val="none"/>
        </w:rPr>
        <w:t xml:space="preserve">  帐 号： </w:t>
      </w:r>
    </w:p>
    <w:p w14:paraId="7FC9C8D6">
      <w:pPr>
        <w:spacing w:line="380" w:lineRule="exact"/>
        <w:ind w:left="42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税 号：123400004850011660                                  税 号：</w:t>
      </w:r>
    </w:p>
    <w:p w14:paraId="102BA1F4">
      <w:pPr>
        <w:spacing w:line="380" w:lineRule="exact"/>
        <w:ind w:left="420"/>
        <w:rPr>
          <w:rFonts w:hint="eastAsia" w:ascii="仿宋_GB2312" w:hAnsi="Arial" w:eastAsia="仿宋_GB2312" w:cs="Arial"/>
          <w:color w:val="auto"/>
          <w:sz w:val="24"/>
          <w:highlight w:val="none"/>
        </w:rPr>
      </w:pPr>
      <w:r>
        <w:rPr>
          <w:rFonts w:hint="eastAsia" w:ascii="仿宋_GB2312" w:hAnsi="Arial" w:eastAsia="仿宋_GB2312" w:cs="Arial"/>
          <w:color w:val="auto"/>
          <w:sz w:val="24"/>
          <w:highlight w:val="none"/>
        </w:rPr>
        <w:t>法定代表人：                                               法定代表人：              法人或销售总经理电话：</w:t>
      </w:r>
    </w:p>
    <w:p w14:paraId="28773995">
      <w:pPr>
        <w:spacing w:line="380" w:lineRule="exact"/>
        <w:ind w:left="420"/>
        <w:rPr>
          <w:rFonts w:hint="eastAsia" w:ascii="仿宋_GB2312" w:hAnsi="Arial" w:eastAsia="仿宋_GB2312" w:cs="Arial"/>
          <w:color w:val="auto"/>
          <w:sz w:val="24"/>
          <w:highlight w:val="none"/>
        </w:rPr>
      </w:pPr>
      <w:r>
        <w:rPr>
          <w:rFonts w:hint="eastAsia" w:ascii="仿宋_GB2312" w:hAnsi="Arial" w:eastAsia="仿宋_GB2312" w:cs="Arial"/>
          <w:color w:val="auto"/>
          <w:sz w:val="24"/>
          <w:highlight w:val="none"/>
        </w:rPr>
        <w:t>委托代理人：                                               委托代理人：              电话：</w:t>
      </w:r>
    </w:p>
    <w:p w14:paraId="061A7960">
      <w:pPr>
        <w:spacing w:line="380" w:lineRule="exact"/>
        <w:ind w:left="420"/>
        <w:rPr>
          <w:rFonts w:ascii="仿宋_GB2312" w:hAnsi="Georgia" w:eastAsia="仿宋_GB2312" w:cs="宋体"/>
          <w:color w:val="auto"/>
          <w:kern w:val="0"/>
          <w:sz w:val="24"/>
          <w:highlight w:val="none"/>
        </w:rPr>
      </w:pPr>
      <w:r>
        <w:rPr>
          <w:rFonts w:hint="eastAsia" w:ascii="仿宋_GB2312" w:hAnsi="Georgia" w:eastAsia="仿宋_GB2312" w:cs="宋体"/>
          <w:color w:val="auto"/>
          <w:kern w:val="0"/>
          <w:sz w:val="24"/>
          <w:highlight w:val="none"/>
        </w:rPr>
        <w:t xml:space="preserve">签字日期：　    年　 </w:t>
      </w:r>
      <w:r>
        <w:rPr>
          <w:rFonts w:ascii="仿宋_GB2312" w:hAnsi="Georgia" w:eastAsia="仿宋_GB2312" w:cs="宋体"/>
          <w:color w:val="auto"/>
          <w:kern w:val="0"/>
          <w:sz w:val="24"/>
          <w:highlight w:val="none"/>
        </w:rPr>
        <w:t xml:space="preserve"> </w:t>
      </w:r>
      <w:r>
        <w:rPr>
          <w:rFonts w:hint="eastAsia" w:ascii="仿宋_GB2312" w:hAnsi="Georgia" w:eastAsia="仿宋_GB2312" w:cs="宋体"/>
          <w:color w:val="auto"/>
          <w:kern w:val="0"/>
          <w:sz w:val="24"/>
          <w:highlight w:val="none"/>
        </w:rPr>
        <w:t>月　  日　　　　                     签字日期：　     年　  月　  日</w:t>
      </w:r>
    </w:p>
    <w:p w14:paraId="5E7B58E2">
      <w:pPr>
        <w:spacing w:line="380" w:lineRule="exact"/>
        <w:ind w:left="420"/>
        <w:rPr>
          <w:rFonts w:ascii="微软雅黑" w:hAnsi="微软雅黑" w:eastAsia="微软雅黑"/>
          <w:color w:val="auto"/>
          <w:sz w:val="33"/>
          <w:szCs w:val="33"/>
          <w:highlight w:val="none"/>
          <w:shd w:val="clear" w:color="auto" w:fill="FFFFFF"/>
        </w:rPr>
        <w:sectPr>
          <w:pgSz w:w="11906" w:h="16838"/>
          <w:pgMar w:top="794" w:right="737" w:bottom="794" w:left="737" w:header="851" w:footer="992" w:gutter="0"/>
          <w:pgBorders>
            <w:top w:val="none" w:sz="0" w:space="0"/>
            <w:left w:val="none" w:sz="0" w:space="0"/>
            <w:bottom w:val="none" w:sz="0" w:space="0"/>
            <w:right w:val="none" w:sz="0" w:space="0"/>
          </w:pgBorders>
          <w:cols w:space="720" w:num="1"/>
          <w:docGrid w:type="lines" w:linePitch="312" w:charSpace="0"/>
        </w:sectPr>
      </w:pPr>
    </w:p>
    <w:p w14:paraId="591992C4">
      <w:pPr>
        <w:spacing w:line="360" w:lineRule="auto"/>
        <w:ind w:firstLine="161" w:firstLineChars="50"/>
        <w:jc w:val="center"/>
        <w:rPr>
          <w:rFonts w:ascii="宋体" w:hAnsi="宋体"/>
          <w:b/>
          <w:color w:val="auto"/>
          <w:sz w:val="32"/>
          <w:szCs w:val="32"/>
          <w:highlight w:val="none"/>
        </w:rPr>
      </w:pPr>
      <w:r>
        <w:rPr>
          <w:rFonts w:hint="eastAsia" w:ascii="宋体" w:hAnsi="宋体"/>
          <w:b/>
          <w:color w:val="auto"/>
          <w:sz w:val="32"/>
          <w:szCs w:val="32"/>
          <w:highlight w:val="none"/>
        </w:rPr>
        <w:t>医疗卫生机构医药产品廉洁购销合同</w:t>
      </w:r>
    </w:p>
    <w:p w14:paraId="400A75A4">
      <w:pPr>
        <w:spacing w:line="360" w:lineRule="auto"/>
        <w:rPr>
          <w:rFonts w:hint="eastAsia" w:ascii="宋体" w:hAnsi="宋体"/>
          <w:color w:val="auto"/>
          <w:sz w:val="24"/>
          <w:highlight w:val="none"/>
        </w:rPr>
      </w:pPr>
      <w:r>
        <w:rPr>
          <w:rFonts w:hint="eastAsia" w:ascii="宋体" w:hAnsi="宋体"/>
          <w:color w:val="auto"/>
          <w:sz w:val="24"/>
          <w:highlight w:val="none"/>
        </w:rPr>
        <w:t>甲方：蚌埠医科大学第一附属医院</w:t>
      </w:r>
    </w:p>
    <w:p w14:paraId="77A7C649">
      <w:pPr>
        <w:spacing w:line="360" w:lineRule="auto"/>
        <w:rPr>
          <w:rFonts w:ascii="宋体" w:hAnsi="宋体"/>
          <w:color w:val="auto"/>
          <w:sz w:val="24"/>
          <w:highlight w:val="none"/>
          <w:u w:val="single"/>
        </w:rPr>
      </w:pPr>
      <w:r>
        <w:rPr>
          <w:rFonts w:hint="eastAsia" w:ascii="宋体" w:hAnsi="宋体"/>
          <w:color w:val="auto"/>
          <w:sz w:val="24"/>
          <w:highlight w:val="none"/>
        </w:rPr>
        <w:t>乙方：</w:t>
      </w:r>
      <w:r>
        <w:rPr>
          <w:rFonts w:hint="eastAsia" w:ascii="宋体" w:hAnsi="宋体"/>
          <w:color w:val="auto"/>
          <w:sz w:val="24"/>
          <w:highlight w:val="none"/>
          <w:u w:val="single"/>
        </w:rPr>
        <w:t xml:space="preserve">                      </w:t>
      </w:r>
    </w:p>
    <w:p w14:paraId="54BF9F17">
      <w:pPr>
        <w:spacing w:line="360" w:lineRule="auto"/>
        <w:rPr>
          <w:rFonts w:ascii="仿宋" w:hAnsi="仿宋" w:eastAsia="仿宋"/>
          <w:color w:val="auto"/>
          <w:sz w:val="24"/>
          <w:highlight w:val="none"/>
        </w:rPr>
      </w:pPr>
      <w:r>
        <w:rPr>
          <w:rFonts w:hint="eastAsia" w:ascii="宋体" w:hAnsi="宋体"/>
          <w:color w:val="auto"/>
          <w:sz w:val="28"/>
          <w:szCs w:val="28"/>
          <w:highlight w:val="none"/>
        </w:rPr>
        <w:t xml:space="preserve">    </w:t>
      </w:r>
      <w:r>
        <w:rPr>
          <w:rFonts w:hint="eastAsia" w:ascii="仿宋" w:hAnsi="仿宋" w:eastAsia="仿宋"/>
          <w:color w:val="auto"/>
          <w:sz w:val="24"/>
          <w:highlight w:val="none"/>
        </w:rPr>
        <w:t>为进一步加强医疗卫生行风建设，规范医疗卫生机构医药购销行为，有效防范商业贿赂行为，营造公平交易、 诚实守信的购销环境，经甲、乙双方协商，同意签订本合同，并共同遵守：</w:t>
      </w:r>
    </w:p>
    <w:p w14:paraId="26ACF0E4">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一、甲乙双方按照《合同法》及医药产品购销合同约定购销药品、医用耗材、医用设备等医药产品。</w:t>
      </w:r>
    </w:p>
    <w:p w14:paraId="706639A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 xml:space="preserve">    二、甲方应当严格执行医药产品购销合同验收、入库制度，对采购医药产品及发票进行查验，不得违反有关规定合同外采购、违价采购或从非规定渠道采购。</w:t>
      </w:r>
    </w:p>
    <w:p w14:paraId="3308700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86F1FC1">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四、严禁甲方工作人员利用任何途径和方式，为乙方统计医师个人及临床科室有关医药产品用量信息，或为乙方统计提供便利。</w:t>
      </w:r>
    </w:p>
    <w:p w14:paraId="6CF700A9">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 xml:space="preserve">    五、乙方不得以回扣、宴请等方式影响甲方工作人员采购或使用医药产品的选择权，不得在学术活动中提供旅游、超标准支付食宿费用。</w:t>
      </w:r>
    </w:p>
    <w:p w14:paraId="52DE7B1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六、乙方指定</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A3DA85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七、乙方如违反本合同，一经发现，甲方有权终止购销合同，并向有关卫生健康行政部门报告。如乙方被列入商业贿赂不良记录，则严格按照《安徽省医药购销领域商业贿赂不良记录管理办法》相关规定处理。</w:t>
      </w:r>
    </w:p>
    <w:p w14:paraId="1309F43E">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八、本合同作为医药产品购销合同的重要组成部分，与购销合同一并执行，具有同等的法律效力。</w:t>
      </w:r>
    </w:p>
    <w:p w14:paraId="1405EB6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 xml:space="preserve">    九、本合同一式三份，甲、乙双方各执一份，甲方纪检监察部门（基层医疗卫生机构上报上级卫生健康行政部门）执一份，并从签订之日起生效。</w:t>
      </w:r>
    </w:p>
    <w:p w14:paraId="3B92AC26">
      <w:pPr>
        <w:spacing w:line="600" w:lineRule="exact"/>
        <w:rPr>
          <w:rFonts w:hint="eastAsia" w:ascii="宋体" w:hAnsi="宋体"/>
          <w:color w:val="auto"/>
          <w:sz w:val="24"/>
          <w:highlight w:val="none"/>
        </w:rPr>
      </w:pPr>
      <w:r>
        <w:rPr>
          <w:rFonts w:hint="eastAsia" w:ascii="宋体" w:hAnsi="宋体"/>
          <w:color w:val="auto"/>
          <w:sz w:val="24"/>
          <w:highlight w:val="none"/>
        </w:rPr>
        <w:t>甲方（盖章）：蚌埠医科大学第一附属医院       乙方（盖章）：</w:t>
      </w:r>
    </w:p>
    <w:p w14:paraId="49E5CE4C">
      <w:pPr>
        <w:spacing w:line="600" w:lineRule="exact"/>
        <w:rPr>
          <w:rFonts w:hint="eastAsia" w:ascii="宋体" w:hAnsi="宋体"/>
          <w:color w:val="auto"/>
          <w:sz w:val="24"/>
          <w:highlight w:val="none"/>
        </w:rPr>
      </w:pPr>
      <w:r>
        <w:rPr>
          <w:rFonts w:hint="eastAsia" w:ascii="宋体" w:hAnsi="宋体"/>
          <w:color w:val="auto"/>
          <w:sz w:val="24"/>
          <w:highlight w:val="none"/>
        </w:rPr>
        <w:t>法定代表人（负责人）：胡建国               法定代表人（负责人）：</w:t>
      </w:r>
    </w:p>
    <w:p w14:paraId="13614FC1">
      <w:pPr>
        <w:spacing w:line="600" w:lineRule="exact"/>
        <w:rPr>
          <w:rFonts w:hint="eastAsia" w:ascii="宋体" w:hAnsi="宋体"/>
          <w:color w:val="auto"/>
          <w:sz w:val="24"/>
          <w:highlight w:val="none"/>
        </w:rPr>
      </w:pPr>
      <w:r>
        <w:rPr>
          <w:rFonts w:hint="eastAsia" w:ascii="宋体" w:hAnsi="宋体"/>
          <w:color w:val="auto"/>
          <w:sz w:val="24"/>
          <w:highlight w:val="none"/>
        </w:rPr>
        <w:t>经办人签名：                              经办人签名：</w:t>
      </w:r>
    </w:p>
    <w:p w14:paraId="655AC36D">
      <w:pPr>
        <w:spacing w:line="600" w:lineRule="exact"/>
        <w:rPr>
          <w:rFonts w:ascii="楷体" w:hAnsi="楷体" w:eastAsia="楷体"/>
          <w:color w:val="auto"/>
          <w:sz w:val="24"/>
          <w:highlight w:val="none"/>
        </w:rPr>
      </w:pPr>
      <w:r>
        <w:rPr>
          <w:rFonts w:hint="eastAsia" w:ascii="宋体" w:hAnsi="宋体"/>
          <w:color w:val="auto"/>
          <w:sz w:val="24"/>
          <w:highlight w:val="none"/>
        </w:rPr>
        <w:t xml:space="preserve">              年     月     日                          年     月      日</w:t>
      </w:r>
    </w:p>
    <w:p w14:paraId="334D3FEA">
      <w:pPr>
        <w:widowControl/>
        <w:rPr>
          <w:rFonts w:ascii="宋体" w:hAnsi="宋体" w:eastAsia="仿宋"/>
          <w:color w:val="auto"/>
          <w:highlight w:val="none"/>
        </w:rPr>
      </w:pPr>
    </w:p>
    <w:p w14:paraId="7EFC8F32">
      <w:pPr>
        <w:pStyle w:val="3"/>
        <w:widowControl/>
        <w:jc w:val="center"/>
        <w:rPr>
          <w:rFonts w:ascii="宋体" w:hAnsi="宋体" w:eastAsia="仿宋"/>
          <w:color w:val="auto"/>
          <w:sz w:val="30"/>
          <w:szCs w:val="30"/>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177AB952">
      <w:pPr>
        <w:pStyle w:val="3"/>
        <w:widowControl/>
        <w:spacing w:before="0" w:after="0" w:line="240" w:lineRule="auto"/>
        <w:jc w:val="center"/>
        <w:rPr>
          <w:rFonts w:hint="eastAsia" w:ascii="宋体" w:hAnsi="宋体" w:eastAsia="仿宋"/>
          <w:color w:val="auto"/>
          <w:highlight w:val="none"/>
        </w:rPr>
      </w:pPr>
      <w:bookmarkStart w:id="831" w:name="_Toc466024585"/>
      <w:bookmarkStart w:id="832" w:name="_Toc13236"/>
      <w:bookmarkStart w:id="833" w:name="_Toc445554784"/>
      <w:r>
        <w:rPr>
          <w:rFonts w:hint="eastAsia" w:ascii="宋体" w:hAnsi="宋体" w:eastAsia="仿宋"/>
          <w:color w:val="auto"/>
          <w:highlight w:val="none"/>
        </w:rPr>
        <w:t>第六章  投标文件格式</w:t>
      </w:r>
      <w:bookmarkEnd w:id="831"/>
      <w:bookmarkEnd w:id="832"/>
      <w:bookmarkEnd w:id="833"/>
    </w:p>
    <w:p w14:paraId="1C9E583B">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7C1ED255">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701B0342">
      <w:pPr>
        <w:widowControl/>
        <w:adjustRightInd w:val="0"/>
        <w:snapToGrid w:val="0"/>
        <w:spacing w:line="360" w:lineRule="auto"/>
        <w:ind w:firstLine="480" w:firstLineChars="200"/>
        <w:rPr>
          <w:rFonts w:hint="eastAsia" w:ascii="仿宋_GB2312" w:hAnsi="黑体" w:eastAsia="仿宋_GB2312"/>
          <w:color w:val="auto"/>
          <w:sz w:val="24"/>
          <w:highlight w:val="none"/>
        </w:rPr>
      </w:pPr>
      <w:r>
        <w:rPr>
          <w:rFonts w:hint="eastAsia" w:ascii="仿宋_GB2312" w:hAnsi="黑体" w:eastAsia="仿宋_GB2312"/>
          <w:color w:val="auto"/>
          <w:sz w:val="24"/>
          <w:highlight w:val="none"/>
        </w:rPr>
        <w:t>注：1.投标人应按给定格式编制投标文件，相关格式可以扩展。评标办法、招标澄清修改等招标文件要求提供相关材料的，此处未给出格式、章节的，请投标人自定格式，编制在投标文件内。</w:t>
      </w:r>
    </w:p>
    <w:p w14:paraId="51943C34">
      <w:pPr>
        <w:widowControl/>
        <w:adjustRightInd w:val="0"/>
        <w:snapToGrid w:val="0"/>
        <w:spacing w:line="360" w:lineRule="auto"/>
        <w:ind w:firstLine="480" w:firstLineChars="200"/>
        <w:rPr>
          <w:rFonts w:hint="eastAsia" w:ascii="仿宋_GB2312" w:hAnsi="宋体" w:eastAsia="仿宋_GB2312"/>
          <w:color w:val="auto"/>
          <w:sz w:val="24"/>
          <w:highlight w:val="none"/>
        </w:rPr>
      </w:pPr>
      <w:r>
        <w:rPr>
          <w:rFonts w:hint="eastAsia" w:ascii="仿宋_GB2312" w:hAnsi="黑体" w:eastAsia="仿宋_GB2312"/>
          <w:color w:val="auto"/>
          <w:sz w:val="24"/>
          <w:highlight w:val="none"/>
        </w:rPr>
        <w:t>2.采用全流程电子招标投标时，投标文件格式要求盖章的，可为电子签章，或盖章后的扫描件。投标文件格式要求签字的，电子投标文件中，应采用签字后的扫描件。</w:t>
      </w:r>
    </w:p>
    <w:p w14:paraId="4E671432">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2268797C">
      <w:pPr>
        <w:widowControl/>
        <w:spacing w:line="560" w:lineRule="exact"/>
        <w:ind w:firstLine="420" w:firstLineChars="200"/>
        <w:jc w:val="center"/>
        <w:rPr>
          <w:rFonts w:hint="eastAsia" w:ascii="宋体" w:hAnsi="宋体" w:eastAsia="仿宋"/>
          <w:color w:val="auto"/>
          <w:szCs w:val="21"/>
          <w:highlight w:val="none"/>
        </w:rPr>
      </w:pPr>
    </w:p>
    <w:p w14:paraId="7EDF1384">
      <w:pPr>
        <w:widowControl/>
        <w:spacing w:line="560" w:lineRule="exact"/>
        <w:ind w:firstLine="420" w:firstLineChars="200"/>
        <w:jc w:val="center"/>
        <w:rPr>
          <w:rFonts w:hint="eastAsia" w:ascii="宋体" w:hAnsi="宋体" w:eastAsia="仿宋"/>
          <w:color w:val="auto"/>
          <w:szCs w:val="21"/>
          <w:highlight w:val="none"/>
        </w:rPr>
      </w:pPr>
    </w:p>
    <w:p w14:paraId="1BBF414F">
      <w:pPr>
        <w:widowControl/>
        <w:spacing w:line="560" w:lineRule="exact"/>
        <w:ind w:firstLine="420" w:firstLineChars="200"/>
        <w:jc w:val="center"/>
        <w:rPr>
          <w:rFonts w:hint="eastAsia" w:ascii="宋体" w:hAnsi="宋体" w:eastAsia="仿宋"/>
          <w:color w:val="auto"/>
          <w:szCs w:val="21"/>
          <w:highlight w:val="none"/>
        </w:rPr>
      </w:pPr>
    </w:p>
    <w:p w14:paraId="4C771131">
      <w:pPr>
        <w:widowControl/>
        <w:spacing w:line="560" w:lineRule="exact"/>
        <w:ind w:firstLine="420" w:firstLineChars="200"/>
        <w:jc w:val="center"/>
        <w:rPr>
          <w:rFonts w:hint="eastAsia" w:ascii="宋体" w:hAnsi="宋体" w:cs="宋体"/>
          <w:color w:val="auto"/>
          <w:szCs w:val="21"/>
          <w:highlight w:val="none"/>
        </w:rPr>
      </w:pPr>
    </w:p>
    <w:p w14:paraId="08A80BFE">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u w:val="single"/>
        </w:rPr>
        <w:t xml:space="preserve">             </w:t>
      </w:r>
      <w:r>
        <w:rPr>
          <w:rFonts w:hint="eastAsia" w:ascii="宋体" w:hAnsi="宋体" w:cs="宋体"/>
          <w:color w:val="auto"/>
          <w:sz w:val="44"/>
          <w:szCs w:val="44"/>
          <w:highlight w:val="none"/>
        </w:rPr>
        <w:t>（项目名称）招标</w:t>
      </w:r>
    </w:p>
    <w:p w14:paraId="1730C1BC">
      <w:pPr>
        <w:widowControl/>
        <w:spacing w:line="560" w:lineRule="exact"/>
        <w:ind w:firstLine="400" w:firstLineChars="200"/>
        <w:jc w:val="center"/>
        <w:rPr>
          <w:rFonts w:hint="eastAsia" w:ascii="宋体" w:hAnsi="宋体" w:cs="宋体"/>
          <w:color w:val="auto"/>
          <w:sz w:val="20"/>
          <w:szCs w:val="20"/>
          <w:highlight w:val="none"/>
        </w:rPr>
      </w:pPr>
    </w:p>
    <w:p w14:paraId="113A01BA">
      <w:pPr>
        <w:widowControl/>
        <w:spacing w:line="560" w:lineRule="exact"/>
        <w:ind w:firstLine="400" w:firstLineChars="200"/>
        <w:jc w:val="center"/>
        <w:rPr>
          <w:rFonts w:hint="eastAsia" w:ascii="宋体" w:hAnsi="宋体" w:cs="宋体"/>
          <w:color w:val="auto"/>
          <w:sz w:val="20"/>
          <w:szCs w:val="20"/>
          <w:highlight w:val="none"/>
        </w:rPr>
      </w:pPr>
    </w:p>
    <w:p w14:paraId="0415FEED">
      <w:pPr>
        <w:widowControl/>
        <w:snapToGrid w:val="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4B24E511">
      <w:pPr>
        <w:widowControl/>
        <w:spacing w:line="560" w:lineRule="exact"/>
        <w:ind w:firstLine="560" w:firstLineChars="200"/>
        <w:rPr>
          <w:rFonts w:hint="eastAsia" w:ascii="宋体" w:hAnsi="宋体" w:cs="宋体"/>
          <w:color w:val="auto"/>
          <w:sz w:val="28"/>
          <w:szCs w:val="28"/>
          <w:highlight w:val="none"/>
        </w:rPr>
      </w:pPr>
    </w:p>
    <w:p w14:paraId="508D9927">
      <w:pPr>
        <w:widowControl/>
        <w:spacing w:line="560" w:lineRule="exact"/>
        <w:ind w:firstLine="560" w:firstLineChars="200"/>
        <w:rPr>
          <w:rFonts w:hint="eastAsia" w:ascii="宋体" w:hAnsi="宋体" w:cs="宋体"/>
          <w:color w:val="auto"/>
          <w:sz w:val="28"/>
          <w:szCs w:val="28"/>
          <w:highlight w:val="none"/>
        </w:rPr>
      </w:pPr>
    </w:p>
    <w:p w14:paraId="507F6A6E">
      <w:pPr>
        <w:widowControl/>
        <w:spacing w:line="560" w:lineRule="exact"/>
        <w:ind w:firstLine="560" w:firstLineChars="200"/>
        <w:rPr>
          <w:rFonts w:hint="eastAsia" w:ascii="宋体" w:hAnsi="宋体" w:cs="宋体"/>
          <w:color w:val="auto"/>
          <w:sz w:val="28"/>
          <w:szCs w:val="28"/>
          <w:highlight w:val="none"/>
        </w:rPr>
      </w:pPr>
    </w:p>
    <w:p w14:paraId="156BD5DF">
      <w:pPr>
        <w:widowControl/>
        <w:spacing w:line="560" w:lineRule="exact"/>
        <w:ind w:firstLine="560" w:firstLineChars="200"/>
        <w:rPr>
          <w:rFonts w:hint="eastAsia" w:ascii="宋体" w:hAnsi="宋体" w:cs="宋体"/>
          <w:color w:val="auto"/>
          <w:sz w:val="28"/>
          <w:szCs w:val="28"/>
          <w:highlight w:val="none"/>
        </w:rPr>
      </w:pPr>
    </w:p>
    <w:p w14:paraId="70058218">
      <w:pPr>
        <w:widowControl/>
        <w:spacing w:line="560" w:lineRule="exact"/>
        <w:ind w:firstLine="560" w:firstLineChars="200"/>
        <w:rPr>
          <w:rFonts w:hint="eastAsia" w:ascii="宋体" w:hAnsi="宋体" w:cs="宋体"/>
          <w:color w:val="auto"/>
          <w:sz w:val="28"/>
          <w:szCs w:val="28"/>
          <w:highlight w:val="none"/>
        </w:rPr>
      </w:pPr>
    </w:p>
    <w:p w14:paraId="212A6FC5">
      <w:pPr>
        <w:widowControl/>
        <w:spacing w:line="560" w:lineRule="exact"/>
        <w:ind w:firstLine="560" w:firstLineChars="200"/>
        <w:rPr>
          <w:rFonts w:hint="eastAsia" w:ascii="宋体" w:hAnsi="宋体" w:cs="宋体"/>
          <w:color w:val="auto"/>
          <w:sz w:val="28"/>
          <w:szCs w:val="28"/>
          <w:highlight w:val="none"/>
        </w:rPr>
      </w:pPr>
    </w:p>
    <w:p w14:paraId="5BA77558">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279474FB">
      <w:pPr>
        <w:widowControl/>
        <w:spacing w:line="560" w:lineRule="exact"/>
        <w:ind w:firstLine="560" w:firstLineChars="200"/>
        <w:rPr>
          <w:rFonts w:hint="eastAsia" w:ascii="宋体" w:hAnsi="宋体" w:cs="宋体"/>
          <w:color w:val="auto"/>
          <w:sz w:val="28"/>
          <w:szCs w:val="28"/>
          <w:highlight w:val="none"/>
        </w:rPr>
      </w:pPr>
    </w:p>
    <w:p w14:paraId="2653C8CB">
      <w:pPr>
        <w:widowControl/>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法定代表人（单位负责人）或其委托代理人：</w:t>
      </w:r>
      <w:r>
        <w:rPr>
          <w:rFonts w:hint="eastAsia" w:ascii="宋体" w:hAnsi="宋体" w:cs="宋体"/>
          <w:color w:val="auto"/>
          <w:sz w:val="28"/>
          <w:szCs w:val="28"/>
          <w:highlight w:val="none"/>
          <w:u w:val="single"/>
        </w:rPr>
        <w:t xml:space="preserve">        </w:t>
      </w:r>
    </w:p>
    <w:p w14:paraId="28B0DB27">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511225DB">
      <w:pPr>
        <w:widowControl/>
        <w:jc w:val="center"/>
        <w:rPr>
          <w:rFonts w:hint="eastAsia" w:ascii="宋体" w:hAnsi="宋体" w:cs="宋体"/>
          <w:b/>
          <w:bCs/>
          <w:color w:val="auto"/>
          <w:sz w:val="44"/>
          <w:szCs w:val="44"/>
          <w:highlight w:val="none"/>
        </w:rPr>
      </w:pPr>
    </w:p>
    <w:p w14:paraId="5CF95565">
      <w:pPr>
        <w:widowControl/>
        <w:jc w:val="center"/>
        <w:rPr>
          <w:rFonts w:hint="eastAsia" w:ascii="宋体" w:hAnsi="宋体" w:cs="宋体"/>
          <w:b/>
          <w:bCs/>
          <w:color w:val="auto"/>
          <w:sz w:val="44"/>
          <w:szCs w:val="44"/>
          <w:highlight w:val="none"/>
        </w:rPr>
      </w:pPr>
    </w:p>
    <w:p w14:paraId="5F75F553">
      <w:pPr>
        <w:widowControl/>
        <w:jc w:val="center"/>
        <w:rPr>
          <w:rFonts w:hint="eastAsia" w:ascii="宋体" w:hAnsi="宋体" w:cs="宋体"/>
          <w:b/>
          <w:bCs/>
          <w:color w:val="auto"/>
          <w:sz w:val="44"/>
          <w:szCs w:val="44"/>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5310DE3F">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4C6E4A0F">
      <w:pPr>
        <w:widowControl/>
        <w:rPr>
          <w:rFonts w:hint="eastAsia" w:ascii="宋体" w:hAnsi="宋体" w:cs="宋体"/>
          <w:bCs/>
          <w:color w:val="auto"/>
          <w:sz w:val="28"/>
          <w:szCs w:val="28"/>
          <w:highlight w:val="none"/>
        </w:rPr>
      </w:pPr>
    </w:p>
    <w:p w14:paraId="2FE572C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一、投标函</w:t>
      </w:r>
    </w:p>
    <w:p w14:paraId="65E6205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二、开标一览表</w:t>
      </w:r>
    </w:p>
    <w:p w14:paraId="7BE1A6A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0B2D4D81">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四、投标人综合情况简介</w:t>
      </w:r>
    </w:p>
    <w:p w14:paraId="5250C04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五、中小企业声明函（货物）</w:t>
      </w:r>
    </w:p>
    <w:p w14:paraId="400B34A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64803A2A">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七、联合体协议书(如有)</w:t>
      </w:r>
    </w:p>
    <w:p w14:paraId="2D3705A9">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八、分包意向协议书（如有）</w:t>
      </w:r>
    </w:p>
    <w:p w14:paraId="29F8569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九、资格审查材料</w:t>
      </w:r>
    </w:p>
    <w:p w14:paraId="2CDCB401">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十、符合性审查与详细评审材料</w:t>
      </w:r>
    </w:p>
    <w:p w14:paraId="52AAE50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十一、主要标的承诺函</w:t>
      </w:r>
    </w:p>
    <w:p w14:paraId="5A9CD59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十二、投标人认为应该提供的其他材料</w:t>
      </w:r>
    </w:p>
    <w:p w14:paraId="1AC8B66B">
      <w:pPr>
        <w:widowControl/>
        <w:rPr>
          <w:rFonts w:hint="eastAsia" w:ascii="宋体" w:hAnsi="宋体" w:cs="宋体"/>
          <w:bCs/>
          <w:color w:val="auto"/>
          <w:highlight w:val="none"/>
        </w:rPr>
      </w:pPr>
    </w:p>
    <w:p w14:paraId="07718072">
      <w:pPr>
        <w:pStyle w:val="4"/>
        <w:widowControl/>
        <w:spacing w:before="120" w:after="120" w:line="240" w:lineRule="auto"/>
        <w:jc w:val="center"/>
        <w:rPr>
          <w:rStyle w:val="104"/>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37E72E9B">
      <w:pPr>
        <w:widowControl/>
        <w:rPr>
          <w:rFonts w:hint="eastAsia" w:ascii="宋体" w:hAnsi="宋体" w:cs="宋体"/>
          <w:b/>
          <w:color w:val="auto"/>
          <w:szCs w:val="21"/>
          <w:highlight w:val="none"/>
        </w:rPr>
      </w:pPr>
    </w:p>
    <w:p w14:paraId="7A3EAFAB">
      <w:pPr>
        <w:pStyle w:val="4"/>
        <w:widowControl/>
        <w:spacing w:before="120" w:after="120" w:line="240" w:lineRule="auto"/>
        <w:jc w:val="center"/>
        <w:rPr>
          <w:rStyle w:val="104"/>
          <w:rFonts w:hint="eastAsia" w:ascii="宋体" w:hAnsi="宋体" w:eastAsia="宋体" w:cs="宋体"/>
          <w:b/>
          <w:bCs w:val="0"/>
          <w:color w:val="auto"/>
          <w:sz w:val="30"/>
          <w:szCs w:val="30"/>
          <w:highlight w:val="none"/>
        </w:rPr>
      </w:pPr>
      <w:bookmarkStart w:id="834" w:name="_Toc466024587"/>
      <w:bookmarkStart w:id="835" w:name="_Toc445554786"/>
      <w:r>
        <w:rPr>
          <w:rStyle w:val="104"/>
          <w:rFonts w:hint="eastAsia" w:ascii="宋体" w:hAnsi="宋体" w:eastAsia="宋体" w:cs="宋体"/>
          <w:b/>
          <w:bCs w:val="0"/>
          <w:color w:val="auto"/>
          <w:sz w:val="30"/>
          <w:szCs w:val="30"/>
          <w:highlight w:val="none"/>
        </w:rPr>
        <w:t>一、投标函</w:t>
      </w:r>
    </w:p>
    <w:p w14:paraId="5488EA38">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致：【采购人名称】（采购人名称)</w:t>
      </w:r>
    </w:p>
    <w:p w14:paraId="2871AB5D">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403286EC">
      <w:pPr>
        <w:widowControl/>
        <w:spacing w:line="400" w:lineRule="exact"/>
        <w:ind w:firstLine="420" w:firstLineChars="200"/>
        <w:rPr>
          <w:rFonts w:hint="eastAsia" w:ascii="宋体" w:hAnsi="宋体" w:cs="宋体"/>
          <w:color w:val="auto"/>
          <w:szCs w:val="21"/>
          <w:highlight w:val="none"/>
        </w:rPr>
      </w:pPr>
    </w:p>
    <w:p w14:paraId="77928C9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1.我方已仔细研究了编号为【项目编号】的【项目名称】招标文件的全部内容，接受你方在招标文件中对投标人的约束条件。我方愿意以开标一览表中确定的投标总价，按照合同的约定履行合同义务。</w:t>
      </w:r>
    </w:p>
    <w:p w14:paraId="0E49F48F">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2.我方承诺在招标文件规定的投标有效期内不修改、撤销投标文件</w:t>
      </w:r>
      <w:r>
        <w:rPr>
          <w:rFonts w:hint="eastAsia" w:ascii="宋体" w:hAnsi="宋体" w:cs="宋体"/>
          <w:color w:val="auto"/>
          <w:highlight w:val="none"/>
        </w:rPr>
        <w:t>，且随时准备接受你方发出的中标通知书</w:t>
      </w:r>
      <w:r>
        <w:rPr>
          <w:rFonts w:hint="eastAsia" w:ascii="宋体" w:hAnsi="宋体" w:cs="宋体"/>
          <w:color w:val="auto"/>
          <w:szCs w:val="21"/>
          <w:highlight w:val="none"/>
        </w:rPr>
        <w:t>。</w:t>
      </w:r>
    </w:p>
    <w:p w14:paraId="5F497FB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3.我方已详细审查全部招标文件，包括全部澄清、修改、答疑补充文件。我们完全理解并同意放弃对这方面有不明及误解的权力。</w:t>
      </w:r>
    </w:p>
    <w:p w14:paraId="16ED46D6">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4.我方在此声明，所递交的投标文件及有关资料内容完整、真实和准确，且不存在招标文件第二章“投标人须知”第1.3.3项规定的任何一种情形。</w:t>
      </w:r>
    </w:p>
    <w:p w14:paraId="4E56180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5.如我方中标：</w:t>
      </w:r>
    </w:p>
    <w:p w14:paraId="7C8A558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747A152A">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34C3ABEA">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24245B2D">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（4）我方承诺在合同约定的期限内提供并交付货物及服务，履行合同规定的各项义务。</w:t>
      </w:r>
    </w:p>
    <w:p w14:paraId="707E489D">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6.我方同意按照你方要求提供与我方投标有关的一切数据或资料，完全理解你方不一定接受最低价的投标或收到的任何投标。</w:t>
      </w:r>
    </w:p>
    <w:p w14:paraId="2C475FAE">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7.我方对投标文件中所提供资料、文件、证书及证件的真实性、合法性和有效性负责。</w:t>
      </w:r>
    </w:p>
    <w:p w14:paraId="2F63C68E">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 xml:space="preserve">                                               </w:t>
      </w:r>
    </w:p>
    <w:p w14:paraId="61089124">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rPr>
      </w:pPr>
    </w:p>
    <w:p w14:paraId="610F3B04">
      <w:pPr>
        <w:pStyle w:val="152"/>
        <w:spacing w:line="390" w:lineRule="atLeas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3C15FE5F">
      <w:pPr>
        <w:pStyle w:val="152"/>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733E7368">
      <w:pPr>
        <w:pStyle w:val="152"/>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0AB10A14">
      <w:pPr>
        <w:pStyle w:val="152"/>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1A149E4C">
      <w:pPr>
        <w:pStyle w:val="152"/>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282F6CDC">
      <w:pPr>
        <w:pStyle w:val="152"/>
        <w:spacing w:line="200" w:lineRule="atLeast"/>
        <w:rPr>
          <w:rFonts w:hint="eastAsia"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5DE31015">
      <w:pPr>
        <w:pStyle w:val="152"/>
        <w:spacing w:line="200" w:lineRule="atLeast"/>
        <w:rPr>
          <w:rFonts w:hint="eastAsia" w:ascii="宋体" w:hAnsi="宋体" w:cs="宋体"/>
          <w:color w:val="auto"/>
          <w:sz w:val="20"/>
          <w:szCs w:val="20"/>
          <w:highlight w:val="none"/>
        </w:rPr>
      </w:pPr>
    </w:p>
    <w:p w14:paraId="78A95BEF">
      <w:pPr>
        <w:pStyle w:val="152"/>
        <w:spacing w:before="6" w:line="220" w:lineRule="atLeast"/>
        <w:rPr>
          <w:rFonts w:hint="eastAsia" w:ascii="宋体" w:hAnsi="宋体" w:cs="宋体"/>
          <w:color w:val="auto"/>
          <w:sz w:val="22"/>
          <w:szCs w:val="22"/>
          <w:highlight w:val="none"/>
        </w:rPr>
      </w:pPr>
    </w:p>
    <w:p w14:paraId="753CA696">
      <w:pPr>
        <w:pStyle w:val="152"/>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52A8DB61">
      <w:pPr>
        <w:pStyle w:val="4"/>
        <w:widowControl/>
        <w:spacing w:before="120" w:after="120" w:line="240" w:lineRule="auto"/>
        <w:jc w:val="center"/>
        <w:rPr>
          <w:rStyle w:val="104"/>
          <w:rFonts w:hint="eastAsia" w:ascii="宋体" w:hAnsi="宋体" w:eastAsia="宋体" w:cs="宋体"/>
          <w:b/>
          <w:bCs w:val="0"/>
          <w:color w:val="auto"/>
          <w:sz w:val="30"/>
          <w:szCs w:val="30"/>
          <w:highlight w:val="none"/>
        </w:rPr>
      </w:pPr>
      <w:r>
        <w:rPr>
          <w:rStyle w:val="104"/>
          <w:rFonts w:hint="eastAsia" w:ascii="宋体" w:hAnsi="宋体" w:eastAsia="宋体" w:cs="宋体"/>
          <w:b/>
          <w:bCs w:val="0"/>
          <w:color w:val="auto"/>
          <w:sz w:val="30"/>
          <w:szCs w:val="30"/>
          <w:highlight w:val="none"/>
        </w:rPr>
        <w:t>二、开标一览表</w:t>
      </w:r>
      <w:bookmarkEnd w:id="834"/>
      <w:bookmarkEnd w:id="835"/>
    </w:p>
    <w:p w14:paraId="12C5A631">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7"/>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11101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59FE03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12F49AA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453B968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10580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C4094C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6664A01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5B76BA79">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3F4F0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570EA6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0909EA0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54084C5D">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4A2F3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607332D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1D40D69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分包号（无分包，不填写）</w:t>
            </w:r>
          </w:p>
        </w:tc>
        <w:tc>
          <w:tcPr>
            <w:tcW w:w="6095" w:type="dxa"/>
            <w:noWrap w:val="0"/>
            <w:vAlign w:val="center"/>
          </w:tcPr>
          <w:p w14:paraId="54BA118C">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1F944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369C23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6DA2D38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6095" w:type="dxa"/>
            <w:noWrap w:val="0"/>
            <w:vAlign w:val="center"/>
          </w:tcPr>
          <w:p w14:paraId="6545D990">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585D4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01EAAD8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715" w:type="dxa"/>
            <w:noWrap w:val="0"/>
            <w:vAlign w:val="center"/>
          </w:tcPr>
          <w:p w14:paraId="6B1ACC1E">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免费</w:t>
            </w:r>
            <w:r>
              <w:rPr>
                <w:rFonts w:hint="eastAsia" w:ascii="宋体" w:hAnsi="宋体" w:cs="宋体"/>
                <w:color w:val="auto"/>
                <w:kern w:val="0"/>
                <w:szCs w:val="21"/>
                <w:highlight w:val="none"/>
                <w:lang w:val="en-US" w:eastAsia="zh-CN"/>
              </w:rPr>
              <w:t>质</w:t>
            </w:r>
            <w:r>
              <w:rPr>
                <w:rFonts w:hint="eastAsia" w:ascii="宋体" w:hAnsi="宋体" w:cs="宋体"/>
                <w:color w:val="auto"/>
                <w:kern w:val="0"/>
                <w:szCs w:val="21"/>
                <w:highlight w:val="none"/>
              </w:rPr>
              <w:t>保期</w:t>
            </w:r>
          </w:p>
        </w:tc>
        <w:tc>
          <w:tcPr>
            <w:tcW w:w="6095" w:type="dxa"/>
            <w:noWrap w:val="0"/>
            <w:vAlign w:val="center"/>
          </w:tcPr>
          <w:p w14:paraId="217C4E9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8F22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4DA906B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2715" w:type="dxa"/>
            <w:noWrap w:val="0"/>
            <w:vAlign w:val="center"/>
          </w:tcPr>
          <w:p w14:paraId="11B2FC3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质保期满后年维保费单独报价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lang w:eastAsia="zh-CN"/>
              </w:rPr>
              <w:t>）</w:t>
            </w:r>
          </w:p>
        </w:tc>
        <w:tc>
          <w:tcPr>
            <w:tcW w:w="6095" w:type="dxa"/>
            <w:noWrap w:val="0"/>
            <w:vAlign w:val="center"/>
          </w:tcPr>
          <w:p w14:paraId="731A91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E6F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630DDFF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2715" w:type="dxa"/>
            <w:noWrap w:val="0"/>
            <w:vAlign w:val="center"/>
          </w:tcPr>
          <w:p w14:paraId="6AD42F3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过保后的单次维修人工费用价格</w:t>
            </w:r>
          </w:p>
        </w:tc>
        <w:tc>
          <w:tcPr>
            <w:tcW w:w="6095" w:type="dxa"/>
            <w:noWrap w:val="0"/>
            <w:vAlign w:val="center"/>
          </w:tcPr>
          <w:p w14:paraId="39DCB22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0B1D3B7C">
      <w:pPr>
        <w:widowControl/>
        <w:spacing w:line="200" w:lineRule="atLeast"/>
        <w:rPr>
          <w:rFonts w:hint="eastAsia" w:ascii="宋体" w:hAnsi="宋体" w:cs="宋体"/>
          <w:color w:val="auto"/>
          <w:kern w:val="0"/>
          <w:szCs w:val="21"/>
          <w:highlight w:val="none"/>
        </w:rPr>
      </w:pPr>
    </w:p>
    <w:p w14:paraId="180F92F4">
      <w:pPr>
        <w:widowControl/>
        <w:spacing w:before="18" w:line="280" w:lineRule="atLeast"/>
        <w:rPr>
          <w:rFonts w:hint="eastAsia" w:ascii="宋体" w:hAnsi="宋体" w:cs="宋体"/>
          <w:color w:val="auto"/>
          <w:kern w:val="0"/>
          <w:szCs w:val="21"/>
          <w:highlight w:val="none"/>
        </w:rPr>
      </w:pPr>
    </w:p>
    <w:p w14:paraId="759573B3">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投</w:t>
      </w:r>
      <w:r>
        <w:rPr>
          <w:rFonts w:hint="eastAsia" w:ascii="宋体" w:hAnsi="宋体" w:cs="宋体"/>
          <w:color w:val="auto"/>
          <w:spacing w:val="43"/>
          <w:kern w:val="0"/>
          <w:szCs w:val="21"/>
          <w:highlight w:val="none"/>
        </w:rPr>
        <w:t xml:space="preserve"> </w:t>
      </w:r>
      <w:r>
        <w:rPr>
          <w:rFonts w:hint="eastAsia" w:ascii="宋体" w:hAnsi="宋体" w:cs="宋体"/>
          <w:color w:val="auto"/>
          <w:kern w:val="0"/>
          <w:szCs w:val="21"/>
          <w:highlight w:val="none"/>
        </w:rPr>
        <w:t>标</w:t>
      </w:r>
      <w:r>
        <w:rPr>
          <w:rFonts w:hint="eastAsia" w:ascii="宋体" w:hAnsi="宋体" w:cs="宋体"/>
          <w:color w:val="auto"/>
          <w:spacing w:val="43"/>
          <w:kern w:val="0"/>
          <w:szCs w:val="21"/>
          <w:highlight w:val="none"/>
        </w:rPr>
        <w:t xml:space="preserve"> </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0151C215">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1D926F9B">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8387E77">
      <w:pPr>
        <w:widowControl/>
        <w:spacing w:line="200" w:lineRule="atLeast"/>
        <w:rPr>
          <w:rFonts w:hint="eastAsia" w:ascii="宋体" w:hAnsi="宋体" w:cs="宋体"/>
          <w:color w:val="auto"/>
          <w:kern w:val="0"/>
          <w:szCs w:val="21"/>
          <w:highlight w:val="none"/>
        </w:rPr>
      </w:pPr>
    </w:p>
    <w:p w14:paraId="56BA46E5">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1DEB48B0">
      <w:pPr>
        <w:pStyle w:val="4"/>
        <w:widowControl/>
        <w:spacing w:before="120" w:after="120" w:line="240" w:lineRule="auto"/>
        <w:jc w:val="center"/>
        <w:rPr>
          <w:rStyle w:val="104"/>
          <w:rFonts w:hint="eastAsia" w:ascii="宋体" w:hAnsi="宋体" w:eastAsia="宋体" w:cs="宋体"/>
          <w:b w:val="0"/>
          <w:bCs/>
          <w:color w:val="auto"/>
          <w:sz w:val="30"/>
          <w:szCs w:val="30"/>
          <w:highlight w:val="none"/>
        </w:rPr>
      </w:pPr>
      <w:bookmarkStart w:id="836" w:name="_Toc445554787"/>
      <w:bookmarkStart w:id="837" w:name="_Toc466024588"/>
      <w:r>
        <w:rPr>
          <w:rStyle w:val="104"/>
          <w:rFonts w:hint="eastAsia" w:ascii="宋体" w:hAnsi="宋体" w:eastAsia="宋体" w:cs="宋体"/>
          <w:b/>
          <w:bCs w:val="0"/>
          <w:color w:val="auto"/>
          <w:sz w:val="30"/>
          <w:szCs w:val="30"/>
          <w:highlight w:val="none"/>
        </w:rPr>
        <w:t>三、分项报价表</w:t>
      </w:r>
      <w:bookmarkEnd w:id="836"/>
      <w:bookmarkEnd w:id="837"/>
    </w:p>
    <w:p w14:paraId="7C6EA195">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表3-1  分项报价表</w:t>
      </w:r>
    </w:p>
    <w:p w14:paraId="46940BCA">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招标</w:t>
      </w:r>
      <w:r>
        <w:rPr>
          <w:rFonts w:hint="eastAsia" w:ascii="宋体" w:hAnsi="宋体" w:cs="宋体"/>
          <w:color w:val="auto"/>
          <w:spacing w:val="-1"/>
          <w:kern w:val="0"/>
          <w:position w:val="-4"/>
          <w:szCs w:val="21"/>
          <w:highlight w:val="none"/>
        </w:rPr>
        <w:t>编</w:t>
      </w:r>
      <w:r>
        <w:rPr>
          <w:rFonts w:hint="eastAsia" w:ascii="宋体" w:hAnsi="宋体" w:cs="宋体"/>
          <w:color w:val="auto"/>
          <w:kern w:val="0"/>
          <w:position w:val="-4"/>
          <w:szCs w:val="21"/>
          <w:highlight w:val="none"/>
        </w:rPr>
        <w:t>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7"/>
        <w:tblW w:w="14216"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567"/>
        <w:gridCol w:w="1134"/>
        <w:gridCol w:w="1050"/>
        <w:gridCol w:w="934"/>
        <w:gridCol w:w="1050"/>
        <w:gridCol w:w="651"/>
        <w:gridCol w:w="709"/>
        <w:gridCol w:w="992"/>
        <w:gridCol w:w="993"/>
        <w:gridCol w:w="851"/>
        <w:gridCol w:w="850"/>
        <w:gridCol w:w="850"/>
      </w:tblGrid>
      <w:tr w14:paraId="21A3D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38" w:type="dxa"/>
            <w:vMerge w:val="restart"/>
            <w:noWrap w:val="0"/>
            <w:vAlign w:val="center"/>
          </w:tcPr>
          <w:p w14:paraId="796658D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0B7C2C1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vMerge w:val="restart"/>
            <w:noWrap w:val="0"/>
            <w:vAlign w:val="center"/>
          </w:tcPr>
          <w:p w14:paraId="72A7121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05C901D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567" w:type="dxa"/>
            <w:vMerge w:val="restart"/>
            <w:noWrap w:val="0"/>
            <w:vAlign w:val="center"/>
          </w:tcPr>
          <w:p w14:paraId="066B6E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528" w:type="dxa"/>
            <w:gridSpan w:val="6"/>
            <w:noWrap w:val="0"/>
            <w:vAlign w:val="center"/>
          </w:tcPr>
          <w:p w14:paraId="03A5598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992" w:type="dxa"/>
            <w:noWrap w:val="0"/>
            <w:vAlign w:val="center"/>
          </w:tcPr>
          <w:p w14:paraId="62E3E1C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993" w:type="dxa"/>
            <w:noWrap w:val="0"/>
            <w:vAlign w:val="center"/>
          </w:tcPr>
          <w:p w14:paraId="216C37B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851" w:type="dxa"/>
            <w:noWrap w:val="0"/>
            <w:vAlign w:val="center"/>
          </w:tcPr>
          <w:p w14:paraId="5FEE53F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850" w:type="dxa"/>
            <w:noWrap w:val="0"/>
            <w:vAlign w:val="center"/>
          </w:tcPr>
          <w:p w14:paraId="020F39F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850" w:type="dxa"/>
            <w:noWrap w:val="0"/>
            <w:vAlign w:val="center"/>
          </w:tcPr>
          <w:p w14:paraId="3459F30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00ABA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6794BA6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vMerge w:val="continue"/>
            <w:noWrap w:val="0"/>
            <w:vAlign w:val="center"/>
          </w:tcPr>
          <w:p w14:paraId="5F5B195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vMerge w:val="continue"/>
            <w:noWrap w:val="0"/>
            <w:vAlign w:val="center"/>
          </w:tcPr>
          <w:p w14:paraId="33CF398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2F77314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4B2DF0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7060AEB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66DE196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6B99B61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050" w:type="dxa"/>
            <w:noWrap w:val="0"/>
            <w:vAlign w:val="center"/>
          </w:tcPr>
          <w:p w14:paraId="0C7BB04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1379088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651" w:type="dxa"/>
            <w:noWrap w:val="0"/>
            <w:vAlign w:val="center"/>
          </w:tcPr>
          <w:p w14:paraId="5323C5F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09" w:type="dxa"/>
            <w:noWrap w:val="0"/>
            <w:vAlign w:val="center"/>
          </w:tcPr>
          <w:p w14:paraId="50FDF67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2" w:type="dxa"/>
            <w:noWrap w:val="0"/>
            <w:vAlign w:val="center"/>
          </w:tcPr>
          <w:p w14:paraId="4052104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63EC111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6F79180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614E73B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CF606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14A0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6AE36F3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2A014AE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4" w:type="dxa"/>
            <w:noWrap w:val="0"/>
            <w:vAlign w:val="center"/>
          </w:tcPr>
          <w:p w14:paraId="5BB051E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1492B43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7B01ED8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14:paraId="133C38F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2649E28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34" w:type="dxa"/>
            <w:noWrap w:val="0"/>
            <w:vAlign w:val="center"/>
          </w:tcPr>
          <w:p w14:paraId="7B9FC55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777AB03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51" w:type="dxa"/>
            <w:noWrap w:val="0"/>
            <w:vAlign w:val="center"/>
          </w:tcPr>
          <w:p w14:paraId="0DFAB97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14:paraId="0328B0E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2" w:type="dxa"/>
            <w:noWrap w:val="0"/>
            <w:vAlign w:val="center"/>
          </w:tcPr>
          <w:p w14:paraId="7C50FBF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noWrap w:val="0"/>
            <w:vAlign w:val="center"/>
          </w:tcPr>
          <w:p w14:paraId="1811C81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1" w:type="dxa"/>
            <w:noWrap w:val="0"/>
            <w:vAlign w:val="center"/>
          </w:tcPr>
          <w:p w14:paraId="5871A9C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0" w:type="dxa"/>
            <w:noWrap w:val="0"/>
            <w:vAlign w:val="center"/>
          </w:tcPr>
          <w:p w14:paraId="0A61FE6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394B717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2594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C59586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6AC8287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461C6BC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2B033C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29B1A51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27D25D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18B737D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46512DA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1BEC21F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0120F65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5607EA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1F8E414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11EB6F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2B7F3DC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7F7072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16FF8BE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C5A6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2A30EA5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2CA0AB9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2BDF33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4F02CB6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7BA2357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D71A95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5C0EB95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12F1C80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56131AF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0F5CD08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66D98C1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558BB1D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4421B5D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0A514F8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1AF8A4B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66D87A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B24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1A837CD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4276D77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057151F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250ABBC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3AB0F7F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2B4408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70914D0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36124FE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38071A4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371525D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168E7DE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6CEBC2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53DB32A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7ED0F74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139002B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3C828D9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E9D5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515DE16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3250DBE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4E49D83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710CD80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2FA9959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7E19A81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07D71C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5EFEDF1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0F2BFC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5F9D9A6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050FBEB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570C99D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61C5433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4974A9F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0506E9B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A2BC68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1EF4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680" w:type="dxa"/>
            <w:gridSpan w:val="11"/>
            <w:noWrap w:val="0"/>
            <w:vAlign w:val="center"/>
          </w:tcPr>
          <w:p w14:paraId="28D4FF5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p>
        </w:tc>
        <w:tc>
          <w:tcPr>
            <w:tcW w:w="992" w:type="dxa"/>
            <w:noWrap w:val="0"/>
            <w:vAlign w:val="center"/>
          </w:tcPr>
          <w:p w14:paraId="211FABB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544" w:type="dxa"/>
            <w:gridSpan w:val="4"/>
            <w:noWrap w:val="0"/>
            <w:vAlign w:val="center"/>
          </w:tcPr>
          <w:p w14:paraId="5D890BB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00FF185F">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592BAD3F">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1.“单价”系指货物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生产、包装、运输、保险、装卸（至指定地点）、安装（招标文件要求报价）、调试、检验、试运行、技术服务、培训等所有应由投标人承担的各项费用及税金。</w:t>
      </w:r>
    </w:p>
    <w:p w14:paraId="5C173B4E">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2.投标总价=分项报价表合计。</w:t>
      </w:r>
    </w:p>
    <w:p w14:paraId="6748E9C5">
      <w:pPr>
        <w:widowControl/>
        <w:spacing w:line="200" w:lineRule="atLeas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14:paraId="6C4C2C7C">
      <w:pPr>
        <w:widowControl/>
        <w:spacing w:line="200" w:lineRule="atLeast"/>
        <w:rPr>
          <w:rFonts w:hint="eastAsia" w:ascii="宋体" w:hAnsi="宋体" w:cs="宋体"/>
          <w:color w:val="auto"/>
          <w:kern w:val="0"/>
          <w:sz w:val="20"/>
          <w:szCs w:val="20"/>
          <w:highlight w:val="none"/>
        </w:rPr>
        <w:sectPr>
          <w:footnotePr>
            <w:numFmt w:val="decimalEnclosedCircleChinese"/>
            <w:numRestart w:val="eachPage"/>
          </w:footnotePr>
          <w:pgSz w:w="16838" w:h="11906" w:orient="landscape"/>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r>
        <w:rPr>
          <w:rFonts w:hint="eastAsia" w:ascii="宋体" w:hAnsi="宋体" w:cs="宋体"/>
          <w:color w:val="auto"/>
          <w:kern w:val="0"/>
          <w:sz w:val="20"/>
          <w:szCs w:val="20"/>
          <w:highlight w:val="none"/>
        </w:rPr>
        <w:t xml:space="preserve"> </w:t>
      </w:r>
    </w:p>
    <w:p w14:paraId="2A43FB6A">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表3-2  质保期外备件及易损件</w:t>
      </w:r>
      <w:r>
        <w:rPr>
          <w:rFonts w:hint="eastAsia" w:ascii="宋体" w:hAnsi="宋体" w:cs="宋体"/>
          <w:color w:val="auto"/>
          <w:kern w:val="0"/>
          <w:sz w:val="28"/>
          <w:szCs w:val="28"/>
          <w:highlight w:val="none"/>
        </w:rPr>
        <w:t>分项报价表</w:t>
      </w:r>
    </w:p>
    <w:p w14:paraId="21F8F8FB">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招标</w:t>
      </w:r>
      <w:r>
        <w:rPr>
          <w:rFonts w:hint="eastAsia" w:ascii="宋体" w:hAnsi="宋体" w:cs="宋体"/>
          <w:color w:val="auto"/>
          <w:spacing w:val="-1"/>
          <w:kern w:val="0"/>
          <w:position w:val="-4"/>
          <w:szCs w:val="21"/>
          <w:highlight w:val="none"/>
        </w:rPr>
        <w:t>编</w:t>
      </w:r>
      <w:r>
        <w:rPr>
          <w:rFonts w:hint="eastAsia" w:ascii="宋体" w:hAnsi="宋体" w:cs="宋体"/>
          <w:color w:val="auto"/>
          <w:kern w:val="0"/>
          <w:position w:val="-4"/>
          <w:szCs w:val="21"/>
          <w:highlight w:val="none"/>
        </w:rPr>
        <w:t>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7"/>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579974D6">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2DB56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2DB345E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55C7B2E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568B9F8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34425A2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2AA6D80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0B1C610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1BF5131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4333A21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64DBCEF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1D348E9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4E434C3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47890343">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6A497B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3A1EC1B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23E3C90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2F42FF0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11BA1A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768D9A4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67AA23C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2CBBF2A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518486C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5D7C288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535BE3D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48F336F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4481740">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CC3B5B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71CA883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58BB4A0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397B13A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054F16A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22ECA4C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7BA8EEC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55CB92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38AF0A3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4799E65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3FC71C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1ED1ADA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B971E28">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8D05BE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7FF3376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13787E9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424CD4D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1C6DC67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0219A2A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3465082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07A6D1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34C4F36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497CA20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5615D87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5E83477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36AAC458">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0A685B4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r>
              <w:rPr>
                <w:rFonts w:hint="eastAsia" w:ascii="宋体" w:hAnsi="宋体" w:cs="宋体"/>
                <w:b/>
                <w:color w:val="auto"/>
                <w:kern w:val="0"/>
                <w:szCs w:val="21"/>
                <w:highlight w:val="none"/>
              </w:rPr>
              <w:t>此表价格不含在投标总价内</w:t>
            </w:r>
            <w:r>
              <w:rPr>
                <w:rFonts w:hint="eastAsia" w:ascii="宋体" w:hAnsi="宋体" w:cs="宋体"/>
                <w:color w:val="auto"/>
                <w:kern w:val="0"/>
                <w:szCs w:val="21"/>
                <w:highlight w:val="none"/>
              </w:rPr>
              <w:t>）</w:t>
            </w:r>
          </w:p>
        </w:tc>
        <w:tc>
          <w:tcPr>
            <w:tcW w:w="1050" w:type="dxa"/>
            <w:tcBorders>
              <w:top w:val="single" w:color="000000" w:sz="4" w:space="0"/>
              <w:left w:val="nil"/>
              <w:bottom w:val="single" w:color="000000" w:sz="4" w:space="0"/>
              <w:right w:val="single" w:color="000000" w:sz="4" w:space="0"/>
            </w:tcBorders>
            <w:noWrap w:val="0"/>
            <w:vAlign w:val="center"/>
          </w:tcPr>
          <w:p w14:paraId="023EE4B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7E86C25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08B46E69">
      <w:pPr>
        <w:widowControl/>
        <w:spacing w:line="272" w:lineRule="atLeast"/>
        <w:ind w:left="160" w:right="-20"/>
        <w:rPr>
          <w:rFonts w:hint="eastAsia" w:ascii="宋体" w:hAnsi="宋体" w:cs="宋体"/>
          <w:color w:val="auto"/>
          <w:kern w:val="0"/>
          <w:szCs w:val="21"/>
          <w:highlight w:val="none"/>
        </w:rPr>
      </w:pPr>
    </w:p>
    <w:p w14:paraId="30DA157F">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6838" w:h="11906" w:orient="landscape"/>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64F2AD93">
      <w:pPr>
        <w:pStyle w:val="4"/>
        <w:widowControl/>
        <w:wordWrap w:val="0"/>
        <w:spacing w:before="120" w:after="120" w:line="240" w:lineRule="auto"/>
        <w:jc w:val="center"/>
        <w:rPr>
          <w:rFonts w:hint="eastAsia" w:ascii="宋体" w:hAnsi="宋体" w:cs="宋体"/>
          <w:color w:val="auto"/>
          <w:kern w:val="0"/>
          <w:sz w:val="30"/>
          <w:szCs w:val="30"/>
          <w:highlight w:val="none"/>
        </w:rPr>
      </w:pPr>
      <w:bookmarkStart w:id="838" w:name="_Toc466024589"/>
      <w:r>
        <w:rPr>
          <w:rStyle w:val="104"/>
          <w:rFonts w:hint="eastAsia" w:ascii="宋体" w:hAnsi="宋体" w:eastAsia="宋体" w:cs="宋体"/>
          <w:b/>
          <w:bCs w:val="0"/>
          <w:color w:val="auto"/>
          <w:sz w:val="30"/>
          <w:szCs w:val="30"/>
          <w:highlight w:val="none"/>
        </w:rPr>
        <w:t>四、投标人综合情况简介</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5638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114AB716">
            <w:pPr>
              <w:keepNext w:val="0"/>
              <w:keepLines w:val="0"/>
              <w:widowControl/>
              <w:suppressLineNumbers w:val="0"/>
              <w:wordWrap w:val="0"/>
              <w:adjustRightInd w:val="0"/>
              <w:snapToGrid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项目名称：【项目名称】</w:t>
            </w:r>
          </w:p>
        </w:tc>
      </w:tr>
      <w:tr w14:paraId="075E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156D3EE4">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kern w:val="0"/>
                <w:szCs w:val="21"/>
                <w:highlight w:val="none"/>
              </w:rPr>
              <w:t>：</w:t>
            </w:r>
            <w:r>
              <w:rPr>
                <w:rFonts w:hint="eastAsia" w:ascii="宋体" w:hAnsi="宋体" w:cs="宋体"/>
                <w:color w:val="auto"/>
                <w:szCs w:val="21"/>
                <w:highlight w:val="none"/>
              </w:rPr>
              <w:t>【项目编号】</w:t>
            </w:r>
          </w:p>
        </w:tc>
      </w:tr>
      <w:tr w14:paraId="4E8B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6EF87F24">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基本信息</w:t>
            </w:r>
          </w:p>
        </w:tc>
        <w:tc>
          <w:tcPr>
            <w:tcW w:w="1536" w:type="dxa"/>
            <w:noWrap w:val="0"/>
            <w:vAlign w:val="center"/>
          </w:tcPr>
          <w:p w14:paraId="73D1545A">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szCs w:val="21"/>
                <w:highlight w:val="none"/>
                <w:lang w:eastAsia="en-US"/>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全称</w:t>
            </w:r>
          </w:p>
        </w:tc>
        <w:tc>
          <w:tcPr>
            <w:tcW w:w="6912" w:type="dxa"/>
            <w:gridSpan w:val="3"/>
            <w:noWrap w:val="0"/>
            <w:vAlign w:val="center"/>
          </w:tcPr>
          <w:p w14:paraId="61427952">
            <w:pPr>
              <w:keepNext/>
              <w:keepLines/>
              <w:widowControl/>
              <w:suppressLineNumbers w:val="0"/>
              <w:spacing w:before="120" w:beforeAutospacing="0" w:after="120" w:afterAutospacing="0"/>
              <w:ind w:left="0" w:right="630"/>
              <w:jc w:val="left"/>
              <w:outlineLvl w:val="1"/>
              <w:rPr>
                <w:rFonts w:hint="eastAsia" w:ascii="宋体" w:hAnsi="宋体" w:cs="宋体"/>
                <w:b/>
                <w:bCs/>
                <w:color w:val="auto"/>
                <w:highlight w:val="none"/>
              </w:rPr>
            </w:pPr>
          </w:p>
        </w:tc>
      </w:tr>
      <w:tr w14:paraId="084E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60CCA36C">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p>
        </w:tc>
        <w:tc>
          <w:tcPr>
            <w:tcW w:w="1536" w:type="dxa"/>
            <w:noWrap w:val="0"/>
            <w:vAlign w:val="center"/>
          </w:tcPr>
          <w:p w14:paraId="7E13FF45">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w:t>
            </w:r>
            <w:r>
              <w:rPr>
                <w:rFonts w:hint="eastAsia" w:ascii="宋体" w:hAnsi="宋体" w:cs="宋体"/>
                <w:color w:val="auto"/>
                <w:kern w:val="0"/>
                <w:szCs w:val="21"/>
                <w:highlight w:val="none"/>
                <w:lang w:eastAsia="en-US"/>
              </w:rPr>
              <w:t>地址</w:t>
            </w:r>
          </w:p>
        </w:tc>
        <w:tc>
          <w:tcPr>
            <w:tcW w:w="6912" w:type="dxa"/>
            <w:gridSpan w:val="3"/>
            <w:noWrap w:val="0"/>
            <w:vAlign w:val="center"/>
          </w:tcPr>
          <w:p w14:paraId="5007EED2">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4D2F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47EB80C1">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76734302">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联系人</w:t>
            </w:r>
          </w:p>
        </w:tc>
        <w:tc>
          <w:tcPr>
            <w:tcW w:w="2579" w:type="dxa"/>
            <w:noWrap w:val="0"/>
            <w:vAlign w:val="center"/>
          </w:tcPr>
          <w:p w14:paraId="06EA9B6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1AB5FE1B">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联系电话</w:t>
            </w:r>
          </w:p>
        </w:tc>
        <w:tc>
          <w:tcPr>
            <w:tcW w:w="2659" w:type="dxa"/>
            <w:noWrap w:val="0"/>
            <w:vAlign w:val="center"/>
          </w:tcPr>
          <w:p w14:paraId="3C994B1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2E5F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10923EF2">
            <w:pPr>
              <w:keepNext w:val="0"/>
              <w:keepLines w:val="0"/>
              <w:suppressLineNumbers w:val="0"/>
              <w:wordWrap w:val="0"/>
              <w:spacing w:before="120" w:beforeLines="5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投标人公章：</w:t>
            </w:r>
          </w:p>
          <w:p w14:paraId="03BE6604">
            <w:pPr>
              <w:keepNext w:val="0"/>
              <w:keepLines w:val="0"/>
              <w:suppressLineNumbers w:val="0"/>
              <w:wordWrap w:val="0"/>
              <w:spacing w:before="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填表日期：</w:t>
            </w:r>
          </w:p>
        </w:tc>
      </w:tr>
      <w:tr w14:paraId="7645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854" w:type="dxa"/>
            <w:gridSpan w:val="5"/>
            <w:noWrap w:val="0"/>
            <w:vAlign w:val="center"/>
          </w:tcPr>
          <w:p w14:paraId="24ED02B8">
            <w:pPr>
              <w:keepNext w:val="0"/>
              <w:keepLines w:val="0"/>
              <w:suppressLineNumbers w:val="0"/>
              <w:wordWrap w:val="0"/>
              <w:spacing w:before="120" w:beforeLines="50" w:beforeAutospacing="0" w:after="0" w:afterAutospacing="0" w:line="360" w:lineRule="auto"/>
              <w:ind w:left="0" w:right="0"/>
              <w:rPr>
                <w:rFonts w:hint="eastAsia" w:ascii="宋体" w:hAnsi="宋体" w:cs="宋体"/>
                <w:color w:val="auto"/>
                <w:highlight w:val="none"/>
              </w:rPr>
            </w:pPr>
            <w:r>
              <w:rPr>
                <w:rFonts w:hint="eastAsia" w:ascii="宋体" w:hAnsi="宋体" w:cs="宋体"/>
                <w:color w:val="auto"/>
                <w:highlight w:val="none"/>
              </w:rPr>
              <w:t>填表说明：</w:t>
            </w:r>
          </w:p>
          <w:p w14:paraId="52BE1990">
            <w:pPr>
              <w:keepNext w:val="0"/>
              <w:keepLines w:val="0"/>
              <w:suppressLineNumbers w:val="0"/>
              <w:wordWrap w:val="0"/>
              <w:spacing w:before="0" w:beforeAutospacing="0" w:after="0" w:afterAutospacing="0" w:line="360" w:lineRule="auto"/>
              <w:ind w:left="0" w:right="0"/>
              <w:rPr>
                <w:rFonts w:hint="eastAsia" w:ascii="宋体" w:hAnsi="宋体" w:cs="宋体"/>
                <w:color w:val="auto"/>
                <w:kern w:val="0"/>
                <w:highlight w:val="none"/>
              </w:rPr>
            </w:pPr>
            <w:r>
              <w:rPr>
                <w:rFonts w:hint="eastAsia" w:ascii="宋体" w:hAnsi="宋体" w:cs="宋体"/>
                <w:color w:val="auto"/>
                <w:highlight w:val="none"/>
              </w:rPr>
              <w:t>请填表人认真、准确填写，并加盖单位公章，为便于成交后进行政府采购合同备案，请填写完整。</w:t>
            </w:r>
          </w:p>
        </w:tc>
      </w:tr>
    </w:tbl>
    <w:p w14:paraId="30A3D5F0">
      <w:pPr>
        <w:pStyle w:val="4"/>
        <w:widowControl/>
        <w:spacing w:before="120" w:after="120" w:line="240" w:lineRule="auto"/>
        <w:jc w:val="center"/>
        <w:rPr>
          <w:rStyle w:val="104"/>
          <w:rFonts w:hint="eastAsia" w:ascii="宋体" w:hAnsi="宋体" w:eastAsia="宋体" w:cs="宋体"/>
          <w:b/>
          <w:bCs/>
          <w:color w:val="auto"/>
          <w:sz w:val="30"/>
          <w:szCs w:val="30"/>
          <w:highlight w:val="none"/>
        </w:rPr>
      </w:pPr>
      <w:r>
        <w:rPr>
          <w:rFonts w:ascii="仿宋" w:hAnsi="仿宋" w:eastAsia="仿宋"/>
          <w:color w:val="auto"/>
          <w:kern w:val="0"/>
          <w:szCs w:val="21"/>
          <w:highlight w:val="none"/>
        </w:rPr>
        <w:br w:type="page"/>
      </w:r>
      <w:r>
        <w:rPr>
          <w:rStyle w:val="104"/>
          <w:rFonts w:hint="eastAsia" w:ascii="宋体" w:hAnsi="宋体" w:eastAsia="宋体" w:cs="宋体"/>
          <w:b/>
          <w:bCs/>
          <w:color w:val="auto"/>
          <w:sz w:val="30"/>
          <w:szCs w:val="30"/>
          <w:highlight w:val="none"/>
        </w:rPr>
        <w:t>五、</w:t>
      </w:r>
      <w:bookmarkEnd w:id="838"/>
      <w:r>
        <w:rPr>
          <w:rStyle w:val="104"/>
          <w:rFonts w:hint="eastAsia" w:ascii="宋体" w:hAnsi="宋体" w:eastAsia="宋体" w:cs="宋体"/>
          <w:b/>
          <w:bCs/>
          <w:color w:val="auto"/>
          <w:sz w:val="30"/>
          <w:szCs w:val="30"/>
          <w:highlight w:val="none"/>
        </w:rPr>
        <w:t>中小企业声明函（货物）</w:t>
      </w:r>
    </w:p>
    <w:p w14:paraId="52F519C1">
      <w:pPr>
        <w:pStyle w:val="27"/>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200C9BC7">
      <w:pPr>
        <w:pStyle w:val="19"/>
        <w:snapToGrid w:val="0"/>
        <w:spacing w:line="360" w:lineRule="auto"/>
        <w:ind w:firstLine="420" w:firstLineChars="200"/>
        <w:rPr>
          <w:rFonts w:hint="eastAsia" w:ascii="宋体" w:hAnsi="宋体" w:eastAsia="宋体" w:cs="宋体"/>
          <w:color w:val="auto"/>
          <w:sz w:val="21"/>
          <w:szCs w:val="21"/>
          <w:highlight w:val="none"/>
        </w:rPr>
      </w:pPr>
    </w:p>
    <w:p w14:paraId="06A85274">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color w:val="auto"/>
          <w:sz w:val="21"/>
          <w:szCs w:val="21"/>
          <w:highlight w:val="none"/>
          <w:u w:val="single" w:color="000000"/>
          <w:lang w:bidi="ar"/>
        </w:rPr>
        <w:t>（单位名称）</w:t>
      </w:r>
      <w:r>
        <w:rPr>
          <w:rFonts w:hint="eastAsia" w:cs="宋体"/>
          <w:color w:val="auto"/>
          <w:kern w:val="2"/>
          <w:sz w:val="21"/>
          <w:szCs w:val="21"/>
          <w:highlight w:val="none"/>
        </w:rPr>
        <w:t>的</w:t>
      </w:r>
      <w:r>
        <w:rPr>
          <w:rFonts w:hint="eastAsia" w:cs="宋体"/>
          <w:i/>
          <w:color w:val="auto"/>
          <w:sz w:val="21"/>
          <w:szCs w:val="21"/>
          <w:highlight w:val="none"/>
          <w:u w:val="single" w:color="000000"/>
          <w:lang w:bidi="ar"/>
        </w:rPr>
        <w:t>（项目名称）</w:t>
      </w:r>
      <w:r>
        <w:rPr>
          <w:rFonts w:hint="eastAsia" w:cs="宋体"/>
          <w:color w:val="auto"/>
          <w:kern w:val="2"/>
          <w:sz w:val="21"/>
          <w:szCs w:val="21"/>
          <w:highlight w:val="none"/>
        </w:rPr>
        <w:t>采购活动，提供的货物全部由符合政策要求的中小企业制造。相关企业（含联合体中的中小企业、签订分包意向协议的中小企业）的具体情况如下：</w:t>
      </w:r>
    </w:p>
    <w:p w14:paraId="22BFE478">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Fonts w:hint="eastAsia" w:cs="宋体"/>
          <w:color w:val="auto"/>
          <w:kern w:val="2"/>
          <w:sz w:val="21"/>
          <w:szCs w:val="21"/>
          <w:highlight w:val="none"/>
          <w:vertAlign w:val="superscript"/>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3F276B83">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06EF4CB9">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1EF0ECE3">
      <w:pPr>
        <w:pStyle w:val="42"/>
        <w:widowControl w:val="0"/>
        <w:autoSpaceDE w:val="0"/>
        <w:autoSpaceDN w:val="0"/>
        <w:snapToGrid w:val="0"/>
        <w:spacing w:before="0" w:beforeAutospacing="0" w:after="0" w:afterAutospacing="0" w:line="360" w:lineRule="auto"/>
        <w:ind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248DE0BF">
      <w:pPr>
        <w:pStyle w:val="42"/>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39BDD11C">
      <w:pPr>
        <w:pStyle w:val="42"/>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5109E750">
      <w:pPr>
        <w:pStyle w:val="42"/>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4D766372">
      <w:pPr>
        <w:pStyle w:val="42"/>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注一：不符合中小企业扶持政策的，或所有标的信息不能填写全面的，无需提供；请投标人务必全面、准确了解相关政策、产品及制造商等相关信息后，谨慎提交。</w:t>
      </w:r>
    </w:p>
    <w:p w14:paraId="531123AA">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投标人须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属于提供虚假材料谋取中标，</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投标人可自行登录工业和信息化部官网进行中小企业规模类型自测（查询网址https://www.miit.gov.cn/）。</w:t>
      </w:r>
    </w:p>
    <w:p w14:paraId="43C6F6B4">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0536D47C">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312722D1">
      <w:pPr>
        <w:spacing w:line="360" w:lineRule="auto"/>
        <w:rPr>
          <w:rFonts w:hint="eastAsia" w:ascii="宋体" w:hAnsi="宋体" w:cs="宋体"/>
          <w:color w:val="auto"/>
          <w:highlight w:val="none"/>
        </w:rPr>
      </w:pPr>
      <w:bookmarkStart w:id="839" w:name="OLE_LINK14"/>
      <w:bookmarkStart w:id="840" w:name="OLE_LINK13"/>
    </w:p>
    <w:p w14:paraId="42E337FA">
      <w:pPr>
        <w:spacing w:line="360" w:lineRule="auto"/>
        <w:rPr>
          <w:rFonts w:hint="eastAsia" w:ascii="宋体" w:hAnsi="宋体" w:cs="宋体"/>
          <w:color w:val="auto"/>
          <w:highlight w:val="none"/>
        </w:rPr>
      </w:pPr>
    </w:p>
    <w:p w14:paraId="2691081D">
      <w:pPr>
        <w:rPr>
          <w:rFonts w:hint="eastAsia" w:ascii="宋体" w:hAnsi="宋体" w:cs="宋体"/>
          <w:color w:val="auto"/>
          <w:highlight w:val="none"/>
        </w:rPr>
      </w:pPr>
    </w:p>
    <w:p w14:paraId="24AA6393">
      <w:pPr>
        <w:pStyle w:val="27"/>
        <w:spacing w:line="360" w:lineRule="auto"/>
        <w:jc w:val="center"/>
        <w:rPr>
          <w:rFonts w:hint="eastAsia" w:hAnsi="宋体" w:cs="宋体"/>
          <w:b/>
          <w:color w:val="auto"/>
          <w:spacing w:val="6"/>
          <w:szCs w:val="24"/>
          <w:highlight w:val="none"/>
        </w:rPr>
      </w:pPr>
      <w:r>
        <w:rPr>
          <w:rFonts w:hint="eastAsia" w:hAnsi="宋体" w:cs="宋体"/>
          <w:b/>
          <w:color w:val="auto"/>
          <w:spacing w:val="6"/>
          <w:szCs w:val="24"/>
          <w:highlight w:val="none"/>
        </w:rPr>
        <w:t>残疾人福利性单位声明函</w:t>
      </w:r>
    </w:p>
    <w:bookmarkEnd w:id="839"/>
    <w:bookmarkEnd w:id="840"/>
    <w:p w14:paraId="010870CA">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项目采购活动提供本单位制造的货物（由本单位承担工程/提供服务），或者提供其他残疾人福利性单位制造的货物（不包括使用非残疾人福利性单位注册商标的货物）。</w:t>
      </w:r>
    </w:p>
    <w:p w14:paraId="61201DDE">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4CD7CD57">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2E560948">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3B42A36F">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63D5EAA7">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0185FBD3">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5702D0C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4EE6EFF">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7AB11B60">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4DF8A2BC">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54F1F6FF">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74FD1FFF">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7EE1636A">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1317040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045AC87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3DC1942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62D37F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4813D82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030EEC1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6C5533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331190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DEFB0F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7935FA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0A5F2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391965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0B3696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137DC9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A6384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CD58F5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F71CEA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AA5DE8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65FE8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815347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2869325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01BA13F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39E0E49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09F3B6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5D24175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367E005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5A1E5399">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499BC65F">
      <w:pPr>
        <w:pStyle w:val="4"/>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bCs w:val="0"/>
          <w:color w:val="auto"/>
          <w:kern w:val="0"/>
          <w:sz w:val="28"/>
          <w:szCs w:val="28"/>
          <w:highlight w:val="none"/>
        </w:rPr>
        <w:t>六、</w:t>
      </w:r>
      <w:r>
        <w:rPr>
          <w:rFonts w:hint="eastAsia" w:ascii="宋体" w:hAnsi="宋体" w:cs="宋体"/>
          <w:color w:val="auto"/>
          <w:kern w:val="0"/>
          <w:sz w:val="28"/>
          <w:szCs w:val="28"/>
          <w:highlight w:val="none"/>
        </w:rPr>
        <w:t>法定代表人（单位负责人）身份证明或授权委托书</w:t>
      </w:r>
    </w:p>
    <w:p w14:paraId="16BD94F3">
      <w:pPr>
        <w:jc w:val="center"/>
        <w:rPr>
          <w:rFonts w:hint="eastAsia" w:ascii="宋体" w:hAnsi="宋体" w:cs="宋体"/>
          <w:b/>
          <w:color w:val="auto"/>
          <w:highlight w:val="none"/>
        </w:rPr>
      </w:pPr>
      <w:r>
        <w:rPr>
          <w:rFonts w:hint="eastAsia" w:ascii="宋体" w:hAnsi="宋体" w:cs="宋体"/>
          <w:b/>
          <w:color w:val="auto"/>
          <w:kern w:val="0"/>
          <w:sz w:val="28"/>
          <w:szCs w:val="28"/>
          <w:highlight w:val="none"/>
        </w:rPr>
        <w:t>法定代表人（单位负责人）身份证明</w:t>
      </w:r>
    </w:p>
    <w:p w14:paraId="0FF134B8">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投标人名称：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7D8B7DC2">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7672B426">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502D92DA">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273149E4">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38DEEFD1">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748A7518">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投标人名称）的法定代表人（单位负责人）。</w:t>
      </w:r>
    </w:p>
    <w:p w14:paraId="52F52693">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0B005AEA">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4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477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133D02C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7077EB4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7D6A0395">
      <w:pPr>
        <w:widowControl/>
        <w:spacing w:before="12" w:line="360" w:lineRule="auto"/>
        <w:rPr>
          <w:rFonts w:hint="eastAsia" w:ascii="宋体" w:hAnsi="宋体" w:cs="宋体"/>
          <w:color w:val="auto"/>
          <w:kern w:val="0"/>
          <w:highlight w:val="none"/>
        </w:rPr>
      </w:pPr>
    </w:p>
    <w:p w14:paraId="4B00EDD3">
      <w:pPr>
        <w:widowControl/>
        <w:spacing w:before="12" w:line="360" w:lineRule="auto"/>
        <w:rPr>
          <w:rFonts w:hint="eastAsia" w:ascii="宋体" w:hAnsi="宋体" w:cs="宋体"/>
          <w:color w:val="auto"/>
          <w:kern w:val="0"/>
          <w:highlight w:val="none"/>
        </w:rPr>
      </w:pPr>
    </w:p>
    <w:p w14:paraId="1F98582F">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投标人：</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0D74F2F4">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2E18E2F4">
      <w:pPr>
        <w:widowControl/>
        <w:ind w:left="2874" w:right="-20"/>
        <w:rPr>
          <w:rFonts w:hint="eastAsia" w:ascii="宋体" w:hAnsi="宋体" w:cs="宋体"/>
          <w:color w:val="auto"/>
          <w:kern w:val="0"/>
          <w:sz w:val="28"/>
          <w:szCs w:val="28"/>
          <w:highlight w:val="none"/>
        </w:rPr>
      </w:pPr>
    </w:p>
    <w:p w14:paraId="1F6F815A">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6A536171">
      <w:pPr>
        <w:widowControl/>
        <w:spacing w:before="3" w:line="260" w:lineRule="atLeast"/>
        <w:rPr>
          <w:rFonts w:hint="eastAsia" w:ascii="宋体" w:hAnsi="宋体" w:cs="宋体"/>
          <w:color w:val="auto"/>
          <w:kern w:val="0"/>
          <w:sz w:val="26"/>
          <w:szCs w:val="26"/>
          <w:highlight w:val="none"/>
        </w:rPr>
      </w:pPr>
    </w:p>
    <w:p w14:paraId="0D9E7277">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（投标人名称）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投标文件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3A8BB52B">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4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52E8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898" w:type="dxa"/>
            <w:noWrap w:val="0"/>
            <w:vAlign w:val="center"/>
          </w:tcPr>
          <w:p w14:paraId="559C4C8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代理人身份证（正面）</w:t>
            </w:r>
          </w:p>
        </w:tc>
        <w:tc>
          <w:tcPr>
            <w:tcW w:w="3899" w:type="dxa"/>
            <w:noWrap w:val="0"/>
            <w:vAlign w:val="center"/>
          </w:tcPr>
          <w:p w14:paraId="7FE69FF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代理人身份证（反面）</w:t>
            </w:r>
          </w:p>
        </w:tc>
      </w:tr>
      <w:tr w14:paraId="48F2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7D6835D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4A91DCF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4DF99D6B">
      <w:pPr>
        <w:widowControl/>
        <w:spacing w:line="360" w:lineRule="auto"/>
        <w:rPr>
          <w:rFonts w:hint="eastAsia" w:ascii="宋体" w:hAnsi="宋体" w:cs="宋体"/>
          <w:color w:val="auto"/>
          <w:kern w:val="0"/>
          <w:highlight w:val="none"/>
        </w:rPr>
      </w:pPr>
    </w:p>
    <w:p w14:paraId="3DDA7438">
      <w:pPr>
        <w:pStyle w:val="15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6DBFBDF4">
      <w:pPr>
        <w:pStyle w:val="15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292CAC4F">
      <w:pPr>
        <w:pStyle w:val="15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投标人：</w:t>
      </w:r>
      <w:r>
        <w:rPr>
          <w:rFonts w:hint="eastAsia" w:ascii="宋体" w:hAnsi="宋体" w:cs="宋体"/>
          <w:color w:val="auto"/>
          <w:szCs w:val="24"/>
          <w:highlight w:val="none"/>
          <w:u w:val="single"/>
        </w:rPr>
        <w:t xml:space="preserve">                            （盖单位章）</w:t>
      </w:r>
    </w:p>
    <w:p w14:paraId="33E24DD9">
      <w:pPr>
        <w:pStyle w:val="15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733C5C6E">
      <w:pPr>
        <w:pStyle w:val="152"/>
        <w:spacing w:line="360" w:lineRule="auto"/>
        <w:ind w:firstLine="2604" w:firstLineChars="1240"/>
        <w:rPr>
          <w:rFonts w:hint="eastAsia"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AE7FC02">
      <w:pPr>
        <w:widowControl/>
        <w:spacing w:line="295" w:lineRule="atLeast"/>
        <w:ind w:left="556" w:right="-20"/>
        <w:rPr>
          <w:rFonts w:hint="eastAsia" w:ascii="宋体" w:hAnsi="宋体" w:cs="宋体"/>
          <w:color w:val="auto"/>
          <w:kern w:val="0"/>
          <w:szCs w:val="21"/>
          <w:highlight w:val="none"/>
        </w:rPr>
      </w:pPr>
    </w:p>
    <w:p w14:paraId="6A80292A">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7FA82471">
      <w:pPr>
        <w:pStyle w:val="4"/>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七、联合体协议书（如有）</w:t>
      </w:r>
    </w:p>
    <w:p w14:paraId="6DD505FC">
      <w:pPr>
        <w:widowControl/>
        <w:spacing w:before="7" w:line="110" w:lineRule="atLeast"/>
        <w:rPr>
          <w:rFonts w:hint="eastAsia" w:ascii="宋体" w:hAnsi="宋体" w:cs="宋体"/>
          <w:color w:val="auto"/>
          <w:kern w:val="0"/>
          <w:sz w:val="11"/>
          <w:szCs w:val="11"/>
          <w:highlight w:val="none"/>
        </w:rPr>
      </w:pPr>
      <w:r>
        <w:rPr>
          <w:rFonts w:hint="eastAsia" w:ascii="宋体" w:hAnsi="宋体" w:cs="宋体"/>
          <w:color w:val="auto"/>
          <w:kern w:val="0"/>
          <w:sz w:val="11"/>
          <w:szCs w:val="11"/>
          <w:highlight w:val="none"/>
        </w:rPr>
        <w:t xml:space="preserve"> </w:t>
      </w:r>
    </w:p>
    <w:p w14:paraId="6F386FE5">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（所有成员单位名称）自愿组成联合体，共同参加【项目名称】的采购活动。现就联合体投标事宜订立如下协议。</w:t>
      </w:r>
    </w:p>
    <w:p w14:paraId="5BA5FA94">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（某成员单位名称）为牵头人。</w:t>
      </w:r>
    </w:p>
    <w:p w14:paraId="51C0D6DE">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A4ADA65">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3、联合体将严格按照招标文件的各项要求，递交投标文件，履行合同，并对外承担连带责任。</w:t>
      </w:r>
    </w:p>
    <w:p w14:paraId="6E1FA928">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4、联合体各成员单位内部的职责分工如下：</w:t>
      </w:r>
    </w:p>
    <w:p w14:paraId="08C681FE">
      <w:pPr>
        <w:pStyle w:val="152"/>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（1）牵头人单位：</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21F8A650">
      <w:pPr>
        <w:pStyle w:val="152"/>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（2）成员单位一：</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47E9B2EB">
      <w:pPr>
        <w:pStyle w:val="152"/>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705CC275">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w:t>
      </w:r>
    </w:p>
    <w:p w14:paraId="7F7C53BE">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 xml:space="preserve">5、本协议书自签署之日起生效，合同履行完毕后自动失效。 </w:t>
      </w:r>
    </w:p>
    <w:p w14:paraId="29AE754B">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6、本协议书一式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份，联合体牵头人、成员和采购人各执一份。</w:t>
      </w:r>
    </w:p>
    <w:p w14:paraId="51B3DC8C">
      <w:pPr>
        <w:pStyle w:val="152"/>
        <w:topLinePunct/>
        <w:spacing w:line="440" w:lineRule="atLeast"/>
        <w:rPr>
          <w:rFonts w:hint="eastAsia" w:ascii="宋体" w:hAnsi="宋体" w:cs="宋体"/>
          <w:color w:val="auto"/>
          <w:szCs w:val="24"/>
          <w:highlight w:val="none"/>
        </w:rPr>
      </w:pPr>
    </w:p>
    <w:p w14:paraId="0F4F52F3">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牵头人名称：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31ADFEE1">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622C65B5">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78D3C853">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79529A43">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3F3C442B">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26776071">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11201571">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5D815AE1">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48E50B77">
      <w:pPr>
        <w:pStyle w:val="152"/>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7CA636E3">
      <w:pPr>
        <w:widowControl/>
        <w:spacing w:line="200" w:lineRule="atLeast"/>
        <w:rPr>
          <w:rFonts w:hint="eastAsia" w:ascii="宋体" w:hAnsi="宋体" w:cs="宋体"/>
          <w:color w:val="auto"/>
          <w:kern w:val="0"/>
          <w:sz w:val="24"/>
          <w:highlight w:val="none"/>
        </w:rPr>
      </w:pPr>
    </w:p>
    <w:p w14:paraId="03147531">
      <w:pPr>
        <w:widowControl/>
        <w:rPr>
          <w:rFonts w:hint="eastAsia" w:ascii="宋体" w:hAnsi="宋体" w:cs="宋体"/>
          <w:color w:val="auto"/>
          <w:highlight w:val="none"/>
        </w:rPr>
      </w:pPr>
    </w:p>
    <w:p w14:paraId="26557E1D">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7B4B5F2F">
      <w:pPr>
        <w:pStyle w:val="4"/>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八、分包意向协议书（如有）</w:t>
      </w:r>
    </w:p>
    <w:p w14:paraId="39C8BB9D">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我方承诺一旦在【项目名称】中获得采购合同，拟按下表进行分包。在本项目中签署的一切文件和处理的一切事宜，我方及分包单位均予以承认。分包单位将严格按照招标文件、投标文件的各项要求履行合同，且不再次分包，我方对外承担连带责任。</w:t>
      </w:r>
    </w:p>
    <w:p w14:paraId="19175506">
      <w:pPr>
        <w:pStyle w:val="152"/>
        <w:topLinePunct/>
        <w:spacing w:line="440" w:lineRule="atLeast"/>
        <w:ind w:firstLine="420"/>
        <w:rPr>
          <w:rFonts w:hint="eastAsia" w:ascii="宋体" w:hAnsi="宋体" w:cs="宋体"/>
          <w:color w:val="auto"/>
          <w:szCs w:val="24"/>
          <w:highlight w:val="none"/>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00"/>
        <w:gridCol w:w="1266"/>
        <w:gridCol w:w="1322"/>
        <w:gridCol w:w="2389"/>
      </w:tblGrid>
      <w:tr w14:paraId="3713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6EB69690">
            <w:pPr>
              <w:pStyle w:val="152"/>
              <w:keepNext w:val="0"/>
              <w:keepLines w:val="0"/>
              <w:suppressLineNumbers w:val="0"/>
              <w:topLinePunct/>
              <w:spacing w:before="0" w:beforeAutospacing="0" w:after="0" w:afterAutospacing="0"/>
              <w:ind w:left="0" w:right="0"/>
              <w:jc w:val="center"/>
              <w:rPr>
                <w:rFonts w:hint="eastAsia" w:ascii="宋体" w:hAnsi="宋体" w:cs="宋体"/>
                <w:b/>
                <w:bCs/>
                <w:color w:val="auto"/>
                <w:szCs w:val="24"/>
                <w:highlight w:val="none"/>
              </w:rPr>
            </w:pPr>
            <w:r>
              <w:rPr>
                <w:rFonts w:hint="eastAsia" w:ascii="宋体" w:hAnsi="宋体" w:cs="宋体"/>
                <w:b/>
                <w:bCs/>
                <w:color w:val="auto"/>
                <w:szCs w:val="24"/>
                <w:highlight w:val="none"/>
              </w:rPr>
              <w:t>序号</w:t>
            </w:r>
          </w:p>
        </w:tc>
        <w:tc>
          <w:tcPr>
            <w:tcW w:w="2300" w:type="dxa"/>
            <w:noWrap w:val="0"/>
            <w:vAlign w:val="center"/>
          </w:tcPr>
          <w:p w14:paraId="38D8A5D0">
            <w:pPr>
              <w:pStyle w:val="152"/>
              <w:keepNext w:val="0"/>
              <w:keepLines w:val="0"/>
              <w:suppressLineNumbers w:val="0"/>
              <w:topLinePunct/>
              <w:spacing w:before="0" w:beforeAutospacing="0" w:after="0" w:afterAutospacing="0"/>
              <w:ind w:left="0" w:right="0"/>
              <w:jc w:val="center"/>
              <w:rPr>
                <w:rFonts w:hint="eastAsia" w:ascii="宋体" w:hAnsi="宋体" w:cs="宋体"/>
                <w:b/>
                <w:bCs/>
                <w:color w:val="auto"/>
                <w:szCs w:val="24"/>
                <w:highlight w:val="none"/>
              </w:rPr>
            </w:pPr>
            <w:r>
              <w:rPr>
                <w:rFonts w:hint="eastAsia" w:ascii="宋体" w:hAnsi="宋体" w:cs="宋体"/>
                <w:b/>
                <w:bCs/>
                <w:color w:val="auto"/>
                <w:szCs w:val="24"/>
                <w:highlight w:val="none"/>
              </w:rPr>
              <w:t>单位名称</w:t>
            </w:r>
          </w:p>
          <w:p w14:paraId="7D2B0AD5">
            <w:pPr>
              <w:pStyle w:val="152"/>
              <w:keepNext w:val="0"/>
              <w:keepLines w:val="0"/>
              <w:suppressLineNumbers w:val="0"/>
              <w:topLinePunct/>
              <w:spacing w:before="0" w:beforeAutospacing="0" w:after="0" w:afterAutospacing="0"/>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（分包单位）</w:t>
            </w:r>
          </w:p>
        </w:tc>
        <w:tc>
          <w:tcPr>
            <w:tcW w:w="1266" w:type="dxa"/>
            <w:noWrap w:val="0"/>
            <w:vAlign w:val="center"/>
          </w:tcPr>
          <w:p w14:paraId="03263B55">
            <w:pPr>
              <w:pStyle w:val="152"/>
              <w:keepNext w:val="0"/>
              <w:keepLines w:val="0"/>
              <w:suppressLineNumbers w:val="0"/>
              <w:topLinePunct/>
              <w:spacing w:before="0" w:beforeAutospacing="0" w:after="0" w:afterAutospacing="0"/>
              <w:ind w:left="0" w:right="0"/>
              <w:jc w:val="center"/>
              <w:rPr>
                <w:rFonts w:hint="eastAsia" w:ascii="宋体" w:hAnsi="宋体" w:cs="宋体"/>
                <w:b/>
                <w:bCs/>
                <w:color w:val="auto"/>
                <w:szCs w:val="24"/>
                <w:highlight w:val="none"/>
              </w:rPr>
            </w:pPr>
            <w:r>
              <w:rPr>
                <w:rFonts w:hint="eastAsia" w:ascii="宋体" w:hAnsi="宋体" w:cs="宋体"/>
                <w:b/>
                <w:bCs/>
                <w:color w:val="auto"/>
                <w:szCs w:val="24"/>
                <w:highlight w:val="none"/>
              </w:rPr>
              <w:t>资质</w:t>
            </w:r>
          </w:p>
          <w:p w14:paraId="49FBA82B">
            <w:pPr>
              <w:pStyle w:val="152"/>
              <w:keepNext w:val="0"/>
              <w:keepLines w:val="0"/>
              <w:suppressLineNumbers w:val="0"/>
              <w:topLinePunct/>
              <w:spacing w:before="0" w:beforeAutospacing="0" w:after="0" w:afterAutospacing="0"/>
              <w:ind w:left="0" w:right="0"/>
              <w:jc w:val="center"/>
              <w:rPr>
                <w:rFonts w:hint="eastAsia" w:ascii="宋体" w:hAnsi="宋体" w:cs="宋体"/>
                <w:b/>
                <w:bCs/>
                <w:color w:val="auto"/>
                <w:szCs w:val="24"/>
                <w:highlight w:val="none"/>
              </w:rPr>
            </w:pPr>
            <w:r>
              <w:rPr>
                <w:rFonts w:hint="eastAsia" w:ascii="宋体" w:hAnsi="宋体" w:cs="宋体"/>
                <w:b/>
                <w:bCs/>
                <w:color w:val="auto"/>
                <w:szCs w:val="24"/>
                <w:highlight w:val="none"/>
              </w:rPr>
              <w:t>（如有）</w:t>
            </w:r>
          </w:p>
        </w:tc>
        <w:tc>
          <w:tcPr>
            <w:tcW w:w="1322" w:type="dxa"/>
            <w:noWrap w:val="0"/>
            <w:vAlign w:val="center"/>
          </w:tcPr>
          <w:p w14:paraId="6099F336">
            <w:pPr>
              <w:pStyle w:val="152"/>
              <w:keepNext w:val="0"/>
              <w:keepLines w:val="0"/>
              <w:suppressLineNumbers w:val="0"/>
              <w:topLinePunct/>
              <w:spacing w:before="0" w:beforeAutospacing="0" w:after="0" w:afterAutospacing="0"/>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拟分包内容</w:t>
            </w:r>
          </w:p>
        </w:tc>
        <w:tc>
          <w:tcPr>
            <w:tcW w:w="2389" w:type="dxa"/>
            <w:noWrap w:val="0"/>
            <w:vAlign w:val="center"/>
          </w:tcPr>
          <w:p w14:paraId="678C8DB8">
            <w:pPr>
              <w:pStyle w:val="152"/>
              <w:keepNext w:val="0"/>
              <w:keepLines w:val="0"/>
              <w:suppressLineNumbers w:val="0"/>
              <w:topLinePunct/>
              <w:spacing w:before="0" w:beforeAutospacing="0" w:after="0" w:afterAutospacing="0"/>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拟分包合同金额占合同金额的比例</w:t>
            </w:r>
          </w:p>
        </w:tc>
      </w:tr>
      <w:tr w14:paraId="57DF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714CB1FF">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r>
              <w:rPr>
                <w:rFonts w:hint="eastAsia" w:ascii="宋体" w:hAnsi="宋体" w:cs="宋体"/>
                <w:color w:val="auto"/>
                <w:szCs w:val="24"/>
                <w:highlight w:val="none"/>
              </w:rPr>
              <w:t>1</w:t>
            </w:r>
          </w:p>
        </w:tc>
        <w:tc>
          <w:tcPr>
            <w:tcW w:w="2300" w:type="dxa"/>
            <w:noWrap w:val="0"/>
            <w:vAlign w:val="top"/>
          </w:tcPr>
          <w:p w14:paraId="646CD543">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266" w:type="dxa"/>
            <w:noWrap w:val="0"/>
            <w:vAlign w:val="top"/>
          </w:tcPr>
          <w:p w14:paraId="5A5750E8">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322" w:type="dxa"/>
            <w:noWrap w:val="0"/>
            <w:vAlign w:val="top"/>
          </w:tcPr>
          <w:p w14:paraId="0918861F">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2389" w:type="dxa"/>
            <w:noWrap w:val="0"/>
            <w:vAlign w:val="top"/>
          </w:tcPr>
          <w:p w14:paraId="2E3A17FD">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r>
      <w:tr w14:paraId="61BA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3CEA1811">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r>
              <w:rPr>
                <w:rFonts w:hint="eastAsia" w:ascii="宋体" w:hAnsi="宋体" w:cs="宋体"/>
                <w:color w:val="auto"/>
                <w:szCs w:val="24"/>
                <w:highlight w:val="none"/>
              </w:rPr>
              <w:t>2</w:t>
            </w:r>
          </w:p>
        </w:tc>
        <w:tc>
          <w:tcPr>
            <w:tcW w:w="2300" w:type="dxa"/>
            <w:noWrap w:val="0"/>
            <w:vAlign w:val="top"/>
          </w:tcPr>
          <w:p w14:paraId="08236477">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266" w:type="dxa"/>
            <w:noWrap w:val="0"/>
            <w:vAlign w:val="top"/>
          </w:tcPr>
          <w:p w14:paraId="39D8E4E1">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322" w:type="dxa"/>
            <w:noWrap w:val="0"/>
            <w:vAlign w:val="top"/>
          </w:tcPr>
          <w:p w14:paraId="232CCA4D">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2389" w:type="dxa"/>
            <w:noWrap w:val="0"/>
            <w:vAlign w:val="top"/>
          </w:tcPr>
          <w:p w14:paraId="4FC58FD4">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r>
      <w:tr w14:paraId="7011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6AAE3D77">
            <w:pPr>
              <w:pStyle w:val="152"/>
              <w:keepNext w:val="0"/>
              <w:keepLines w:val="0"/>
              <w:suppressLineNumbers w:val="0"/>
              <w:topLinePunct/>
              <w:spacing w:before="0" w:beforeAutospacing="0" w:after="0" w:afterAutospacing="0"/>
              <w:ind w:left="0" w:right="0"/>
              <w:jc w:val="left"/>
              <w:rPr>
                <w:rFonts w:hint="default" w:ascii="宋体" w:hAnsi="宋体" w:cs="宋体"/>
                <w:color w:val="auto"/>
                <w:szCs w:val="24"/>
                <w:highlight w:val="none"/>
              </w:rPr>
            </w:pPr>
            <w:r>
              <w:rPr>
                <w:rFonts w:hint="eastAsia" w:ascii="宋体" w:hAnsi="宋体" w:cs="宋体"/>
                <w:color w:val="auto"/>
                <w:szCs w:val="24"/>
                <w:highlight w:val="none"/>
              </w:rPr>
              <w:t>...</w:t>
            </w:r>
          </w:p>
        </w:tc>
        <w:tc>
          <w:tcPr>
            <w:tcW w:w="2300" w:type="dxa"/>
            <w:noWrap w:val="0"/>
            <w:vAlign w:val="top"/>
          </w:tcPr>
          <w:p w14:paraId="6AE498D1">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266" w:type="dxa"/>
            <w:noWrap w:val="0"/>
            <w:vAlign w:val="top"/>
          </w:tcPr>
          <w:p w14:paraId="5CB81000">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322" w:type="dxa"/>
            <w:noWrap w:val="0"/>
            <w:vAlign w:val="top"/>
          </w:tcPr>
          <w:p w14:paraId="21163F3A">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2389" w:type="dxa"/>
            <w:noWrap w:val="0"/>
            <w:vAlign w:val="top"/>
          </w:tcPr>
          <w:p w14:paraId="6918DCD8">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r>
    </w:tbl>
    <w:p w14:paraId="37E49462">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注：</w:t>
      </w:r>
    </w:p>
    <w:p w14:paraId="59CCB98C">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1.如本项目允许分包，且投标人拟进行分包时，必须提供；如未提供，或提供了但未填写拟签订分包合同的单位名称、拟分包合同金额占合同总金额的比例，投标无效。</w:t>
      </w:r>
    </w:p>
    <w:p w14:paraId="52A8A1E5">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2.如招标公告载明的资格要求与拟分包内容相关，则投标人须在本表中列明分包单位的相应资质，并附资质证书的原件扫描件或电子证书，否则投标无效。</w:t>
      </w:r>
    </w:p>
    <w:p w14:paraId="5128DB5B">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3.投标人为享受政府采购支持中小企业发展政策而向中小微企业分包时，须同时提供分包单位的中小企业声明函，分包单位的企业划型以中小企业声明函作为判断依据。</w:t>
      </w:r>
    </w:p>
    <w:p w14:paraId="7DF9BFED">
      <w:pPr>
        <w:pStyle w:val="152"/>
        <w:topLinePunct/>
        <w:spacing w:line="440" w:lineRule="atLeast"/>
        <w:jc w:val="right"/>
        <w:rPr>
          <w:rFonts w:hint="eastAsia" w:ascii="宋体" w:hAnsi="宋体" w:cs="宋体"/>
          <w:color w:val="auto"/>
          <w:szCs w:val="24"/>
          <w:highlight w:val="none"/>
        </w:rPr>
      </w:pPr>
    </w:p>
    <w:p w14:paraId="1823A4F4">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投标人名称：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27164FFD">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6FBF1708">
      <w:pPr>
        <w:pStyle w:val="152"/>
        <w:topLinePunct/>
        <w:spacing w:line="440" w:lineRule="atLeast"/>
        <w:rPr>
          <w:rFonts w:hint="eastAsia" w:ascii="宋体" w:hAnsi="宋体" w:cs="宋体"/>
          <w:color w:val="auto"/>
          <w:szCs w:val="24"/>
          <w:highlight w:val="none"/>
        </w:rPr>
      </w:pPr>
    </w:p>
    <w:p w14:paraId="2018B210">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分包单位一名称：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5D5B37E2">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16290A61">
      <w:pPr>
        <w:pStyle w:val="152"/>
        <w:topLinePunct/>
        <w:spacing w:line="440" w:lineRule="atLeast"/>
        <w:rPr>
          <w:rFonts w:hint="eastAsia" w:ascii="宋体" w:hAnsi="宋体" w:cs="宋体"/>
          <w:color w:val="auto"/>
          <w:szCs w:val="24"/>
          <w:highlight w:val="none"/>
        </w:rPr>
      </w:pPr>
    </w:p>
    <w:p w14:paraId="7BAF82ED">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分包单位二名称：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07B6966F">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2B13439E">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56F37561">
      <w:pPr>
        <w:pStyle w:val="152"/>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DCC55C8">
      <w:pPr>
        <w:spacing w:line="440" w:lineRule="exact"/>
        <w:rPr>
          <w:rFonts w:hint="eastAsia" w:ascii="宋体" w:hAnsi="宋体" w:cs="宋体"/>
          <w:color w:val="auto"/>
          <w:szCs w:val="21"/>
          <w:highlight w:val="none"/>
        </w:rPr>
      </w:pPr>
    </w:p>
    <w:p w14:paraId="56A7865F">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4FE43D63">
      <w:pPr>
        <w:pStyle w:val="4"/>
        <w:widowControl/>
        <w:spacing w:before="120" w:after="120" w:line="240" w:lineRule="auto"/>
        <w:jc w:val="center"/>
        <w:rPr>
          <w:rStyle w:val="104"/>
          <w:rFonts w:hint="eastAsia" w:ascii="宋体" w:hAnsi="宋体" w:eastAsia="宋体" w:cs="宋体"/>
          <w:b/>
          <w:bCs w:val="0"/>
          <w:color w:val="auto"/>
          <w:sz w:val="30"/>
          <w:szCs w:val="30"/>
          <w:highlight w:val="none"/>
        </w:rPr>
      </w:pPr>
      <w:r>
        <w:rPr>
          <w:rStyle w:val="104"/>
          <w:rFonts w:hint="eastAsia" w:ascii="宋体" w:hAnsi="宋体" w:eastAsia="宋体" w:cs="宋体"/>
          <w:b/>
          <w:bCs w:val="0"/>
          <w:color w:val="auto"/>
          <w:sz w:val="30"/>
          <w:szCs w:val="30"/>
          <w:highlight w:val="none"/>
        </w:rPr>
        <w:t>九、资格审查材料</w:t>
      </w:r>
    </w:p>
    <w:p w14:paraId="7AB2A6DC">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0902FE41">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原件扫描件或电子证照</w:t>
      </w:r>
      <w:r>
        <w:rPr>
          <w:rFonts w:hint="eastAsia" w:ascii="宋体" w:hAnsi="宋体" w:cs="宋体"/>
          <w:color w:val="auto"/>
          <w:szCs w:val="21"/>
          <w:highlight w:val="none"/>
        </w:rPr>
        <w:t>；</w:t>
      </w:r>
    </w:p>
    <w:p w14:paraId="1A186B73">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2．建议设置审查索引，以便资格审查小组顺利开展审查工作；</w:t>
      </w:r>
    </w:p>
    <w:p w14:paraId="3135E8F4">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3．内容须清晰、明确，若提供相关资料内容模糊不清或无法辨认，资格审查小组有权不予认可。</w:t>
      </w:r>
    </w:p>
    <w:p w14:paraId="79AF9BB0">
      <w:pPr>
        <w:tabs>
          <w:tab w:val="left" w:pos="1260"/>
        </w:tabs>
        <w:jc w:val="center"/>
        <w:rPr>
          <w:rFonts w:hint="eastAsia" w:cs="宋体"/>
          <w:bCs/>
          <w:color w:val="auto"/>
          <w:sz w:val="24"/>
          <w:highlight w:val="none"/>
        </w:rPr>
      </w:pPr>
    </w:p>
    <w:p w14:paraId="44B5D19C">
      <w:pPr>
        <w:pStyle w:val="5"/>
        <w:keepNext w:val="0"/>
        <w:tabs>
          <w:tab w:val="left" w:pos="1260"/>
        </w:tabs>
        <w:jc w:val="center"/>
        <w:rPr>
          <w:rFonts w:hint="eastAsia" w:cs="宋体"/>
          <w:color w:val="auto"/>
          <w:sz w:val="24"/>
          <w:highlight w:val="none"/>
          <w:lang w:eastAsia="zh-CN"/>
        </w:rPr>
      </w:pPr>
      <w:r>
        <w:rPr>
          <w:rFonts w:hint="eastAsia" w:cs="宋体"/>
          <w:bCs w:val="0"/>
          <w:color w:val="auto"/>
          <w:sz w:val="24"/>
          <w:highlight w:val="none"/>
          <w:lang w:eastAsia="zh-CN"/>
        </w:rPr>
        <w:t>（一）招标文件要求的相关资格证明</w:t>
      </w:r>
    </w:p>
    <w:p w14:paraId="03CCD44F">
      <w:pPr>
        <w:rPr>
          <w:rFonts w:hint="eastAsia" w:ascii="宋体" w:hAnsi="宋体" w:cs="宋体"/>
          <w:b/>
          <w:color w:val="auto"/>
          <w:highlight w:val="none"/>
        </w:rPr>
      </w:pPr>
      <w:r>
        <w:rPr>
          <w:rFonts w:hint="eastAsia" w:ascii="宋体" w:hAnsi="宋体" w:cs="宋体"/>
          <w:b/>
          <w:color w:val="auto"/>
          <w:highlight w:val="none"/>
        </w:rPr>
        <w:t>1-1营业执照等证明材料原件扫描件或电子证照</w:t>
      </w:r>
    </w:p>
    <w:p w14:paraId="27221131">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投标人为企业（包括公司、合伙企业、个人独资企业）的，提供有效的营业执照；</w:t>
      </w:r>
    </w:p>
    <w:p w14:paraId="68B84007">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投标人为事业单位的，提供有效的事业单位法人证书；</w:t>
      </w:r>
    </w:p>
    <w:p w14:paraId="5732CE46">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投标人为社会团体的，提供有效的社会团体法人登记证书；</w:t>
      </w:r>
    </w:p>
    <w:p w14:paraId="00DEC2FB">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投标人为个体工商户的，提供有效的营业执照；</w:t>
      </w:r>
    </w:p>
    <w:p w14:paraId="27115CF1">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投标人为不具法人资格的专业服务机构的，提供有效的执业许可证等证明材料；</w:t>
      </w:r>
    </w:p>
    <w:p w14:paraId="71E1DE4B">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投标人为自然人的，提供有效的自然人身份证明；</w:t>
      </w:r>
    </w:p>
    <w:p w14:paraId="369C7912">
      <w:pPr>
        <w:rPr>
          <w:rFonts w:hint="eastAsia" w:ascii="宋体" w:hAnsi="宋体" w:cs="宋体"/>
          <w:color w:val="auto"/>
          <w:sz w:val="18"/>
          <w:szCs w:val="18"/>
          <w:highlight w:val="none"/>
        </w:rPr>
      </w:pPr>
      <w:r>
        <w:rPr>
          <w:rFonts w:hint="eastAsia" w:ascii="宋体" w:hAnsi="宋体" w:cs="宋体"/>
          <w:color w:val="auto"/>
          <w:sz w:val="18"/>
          <w:szCs w:val="18"/>
          <w:highlight w:val="none"/>
        </w:rPr>
        <w:t>其他投标人应按照有关法律、法规和规章规定，提供有效的相应证明材料。</w:t>
      </w:r>
    </w:p>
    <w:p w14:paraId="7D05135C">
      <w:pPr>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14:paraId="0FDD5C55">
      <w:pPr>
        <w:rPr>
          <w:rFonts w:hint="eastAsia" w:ascii="宋体" w:hAnsi="宋体" w:cs="宋体"/>
          <w:color w:val="auto"/>
          <w:sz w:val="18"/>
          <w:szCs w:val="18"/>
          <w:highlight w:val="none"/>
        </w:rPr>
      </w:pPr>
      <w:r>
        <w:rPr>
          <w:rFonts w:hint="eastAsia" w:ascii="宋体" w:hAnsi="宋体" w:cs="宋体"/>
          <w:color w:val="auto"/>
          <w:sz w:val="18"/>
          <w:szCs w:val="18"/>
          <w:highlight w:val="none"/>
        </w:rPr>
        <w:t>1.联合体投标的联合体各方均须提供。</w:t>
      </w:r>
    </w:p>
    <w:p w14:paraId="24751AA8">
      <w:pPr>
        <w:rPr>
          <w:rFonts w:hint="eastAsia" w:ascii="宋体" w:hAnsi="宋体" w:cs="宋体"/>
          <w:color w:val="auto"/>
          <w:sz w:val="18"/>
          <w:szCs w:val="18"/>
          <w:highlight w:val="none"/>
        </w:rPr>
      </w:pPr>
      <w:r>
        <w:rPr>
          <w:rFonts w:hint="eastAsia" w:ascii="宋体" w:hAnsi="宋体" w:cs="宋体"/>
          <w:color w:val="auto"/>
          <w:sz w:val="18"/>
          <w:szCs w:val="18"/>
          <w:highlight w:val="none"/>
        </w:rPr>
        <w:t>2.分支机构以分支机构名义参加投标的，应提供该分支机构的上述证明文件；同时还应提供其所属法人/其他组织出具的授权书（格式自拟，须加盖其所属法人/其他组织的公章）；</w:t>
      </w:r>
    </w:p>
    <w:p w14:paraId="76C1D1D7">
      <w:pPr>
        <w:rPr>
          <w:rFonts w:hint="eastAsia" w:ascii="宋体" w:hAnsi="宋体" w:cs="宋体"/>
          <w:color w:val="auto"/>
          <w:sz w:val="18"/>
          <w:szCs w:val="18"/>
          <w:highlight w:val="none"/>
        </w:rPr>
      </w:pPr>
      <w:r>
        <w:rPr>
          <w:rFonts w:hint="eastAsia" w:ascii="宋体" w:hAnsi="宋体" w:cs="宋体"/>
          <w:color w:val="auto"/>
          <w:sz w:val="18"/>
          <w:szCs w:val="18"/>
          <w:highlight w:val="none"/>
        </w:rPr>
        <w:t>3.分支机构以其所属法人/其他组织名义参加投标的，应提供其所属法人/其他组织的上述证明文件；同时还应提供其所属法人/其他组织出具的授权书（格式自拟，须加盖其所属法人/其他组织的公章）；</w:t>
      </w:r>
    </w:p>
    <w:p w14:paraId="40B6D0E0">
      <w:pPr>
        <w:rPr>
          <w:rFonts w:hint="eastAsia" w:ascii="宋体" w:hAnsi="宋体" w:cs="宋体"/>
          <w:color w:val="auto"/>
          <w:szCs w:val="21"/>
          <w:highlight w:val="none"/>
        </w:rPr>
      </w:pPr>
      <w:r>
        <w:rPr>
          <w:rFonts w:hint="eastAsia" w:ascii="宋体" w:hAnsi="宋体" w:cs="宋体"/>
          <w:color w:val="auto"/>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58CE41E0">
      <w:pPr>
        <w:pStyle w:val="90"/>
        <w:rPr>
          <w:rFonts w:hint="eastAsia"/>
          <w:color w:val="auto"/>
          <w:highlight w:val="none"/>
        </w:rPr>
      </w:pPr>
    </w:p>
    <w:p w14:paraId="65EC4DC2">
      <w:pPr>
        <w:rPr>
          <w:rFonts w:hint="eastAsia" w:ascii="宋体" w:hAnsi="宋体" w:cs="宋体"/>
          <w:b/>
          <w:color w:val="auto"/>
          <w:highlight w:val="none"/>
        </w:rPr>
      </w:pPr>
      <w:r>
        <w:rPr>
          <w:rFonts w:hint="eastAsia" w:ascii="宋体" w:hAnsi="宋体" w:cs="宋体"/>
          <w:b/>
          <w:color w:val="auto"/>
          <w:highlight w:val="none"/>
        </w:rPr>
        <w:t>1-2资质证书（如有）</w:t>
      </w:r>
    </w:p>
    <w:p w14:paraId="080858E0">
      <w:pPr>
        <w:rPr>
          <w:rFonts w:hint="eastAsia" w:ascii="宋体" w:hAnsi="宋体" w:cs="宋体"/>
          <w:snapToGrid w:val="0"/>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snapToGrid w:val="0"/>
          <w:color w:val="auto"/>
          <w:sz w:val="18"/>
          <w:szCs w:val="18"/>
          <w:highlight w:val="none"/>
        </w:rPr>
        <w:t>资质证书包括但不限于投标货物生产（制造）、销售、服务（安装、改造、维修、保养）许可证及有关投标货物（产品）有效鉴定证明等材料。</w:t>
      </w:r>
    </w:p>
    <w:p w14:paraId="109C6A35">
      <w:pPr>
        <w:rPr>
          <w:rFonts w:hint="eastAsia" w:ascii="宋体" w:hAnsi="宋体" w:cs="宋体"/>
          <w:color w:val="auto"/>
          <w:szCs w:val="21"/>
          <w:highlight w:val="none"/>
        </w:rPr>
      </w:pPr>
    </w:p>
    <w:p w14:paraId="096A2127">
      <w:pPr>
        <w:rPr>
          <w:rFonts w:hint="eastAsia" w:ascii="宋体" w:hAnsi="宋体" w:cs="宋体"/>
          <w:b/>
          <w:color w:val="auto"/>
          <w:highlight w:val="none"/>
        </w:rPr>
      </w:pPr>
      <w:r>
        <w:rPr>
          <w:rFonts w:hint="eastAsia" w:ascii="宋体" w:hAnsi="宋体" w:cs="宋体"/>
          <w:b/>
          <w:color w:val="auto"/>
          <w:highlight w:val="none"/>
        </w:rPr>
        <w:t>1-3制造商的相关资质证明（如有）</w:t>
      </w:r>
    </w:p>
    <w:p w14:paraId="0FD35B7D">
      <w:pPr>
        <w:rPr>
          <w:rFonts w:hint="eastAsia" w:ascii="宋体" w:hAnsi="宋体" w:cs="宋体"/>
          <w:b/>
          <w:color w:val="auto"/>
          <w:highlight w:val="none"/>
        </w:rPr>
      </w:pPr>
    </w:p>
    <w:p w14:paraId="35D6641D">
      <w:pPr>
        <w:rPr>
          <w:rFonts w:hint="eastAsia" w:ascii="宋体" w:hAnsi="宋体" w:cs="宋体"/>
          <w:b/>
          <w:color w:val="auto"/>
          <w:highlight w:val="none"/>
        </w:rPr>
      </w:pPr>
      <w:r>
        <w:rPr>
          <w:rFonts w:hint="eastAsia" w:ascii="宋体" w:hAnsi="宋体" w:cs="宋体"/>
          <w:b/>
          <w:color w:val="auto"/>
          <w:highlight w:val="none"/>
        </w:rPr>
        <w:t>1-4产品的相关资质证明文件（如有）</w:t>
      </w:r>
    </w:p>
    <w:p w14:paraId="040AEDE4">
      <w:pPr>
        <w:rPr>
          <w:rFonts w:hint="eastAsia" w:ascii="宋体" w:hAnsi="宋体" w:cs="宋体"/>
          <w:b/>
          <w:color w:val="auto"/>
          <w:highlight w:val="none"/>
        </w:rPr>
      </w:pPr>
    </w:p>
    <w:p w14:paraId="25D7BAF0">
      <w:pPr>
        <w:rPr>
          <w:rFonts w:hint="eastAsia" w:ascii="宋体" w:hAnsi="宋体" w:cs="宋体"/>
          <w:b/>
          <w:color w:val="auto"/>
          <w:highlight w:val="none"/>
        </w:rPr>
      </w:pPr>
      <w:r>
        <w:rPr>
          <w:rFonts w:hint="eastAsia" w:ascii="宋体" w:hAnsi="宋体" w:cs="宋体"/>
          <w:b/>
          <w:color w:val="auto"/>
          <w:highlight w:val="none"/>
        </w:rPr>
        <w:t>1-5其他要求的相关</w:t>
      </w:r>
      <w:r>
        <w:rPr>
          <w:rFonts w:hint="eastAsia" w:ascii="宋体" w:hAnsi="宋体" w:cs="宋体"/>
          <w:b/>
          <w:color w:val="auto"/>
          <w:szCs w:val="21"/>
          <w:highlight w:val="none"/>
        </w:rPr>
        <w:t>资格证明材料</w:t>
      </w:r>
      <w:r>
        <w:rPr>
          <w:rFonts w:hint="eastAsia" w:ascii="宋体" w:hAnsi="宋体" w:cs="宋体"/>
          <w:b/>
          <w:color w:val="auto"/>
          <w:highlight w:val="none"/>
        </w:rPr>
        <w:t>（如有）</w:t>
      </w:r>
    </w:p>
    <w:p w14:paraId="1C39E7B5">
      <w:pPr>
        <w:widowControl/>
        <w:tabs>
          <w:tab w:val="left" w:pos="5580"/>
        </w:tabs>
        <w:spacing w:line="360" w:lineRule="auto"/>
        <w:rPr>
          <w:rFonts w:hint="eastAsia" w:ascii="宋体" w:hAnsi="宋体" w:cs="宋体"/>
          <w:color w:val="auto"/>
          <w:szCs w:val="21"/>
          <w:highlight w:val="none"/>
        </w:rPr>
      </w:pPr>
    </w:p>
    <w:p w14:paraId="2BE00FC3">
      <w:pPr>
        <w:widowControl/>
        <w:tabs>
          <w:tab w:val="left" w:pos="55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注意对照招标公告及第四章规定，提供各类资格证明材料</w:t>
      </w:r>
    </w:p>
    <w:p w14:paraId="6E0EBD36">
      <w:pPr>
        <w:widowControl/>
        <w:tabs>
          <w:tab w:val="left" w:pos="5580"/>
        </w:tabs>
        <w:spacing w:line="360" w:lineRule="auto"/>
        <w:jc w:val="center"/>
        <w:outlineLvl w:val="2"/>
        <w:rPr>
          <w:rFonts w:hint="eastAsia" w:ascii="宋体" w:hAnsi="宋体" w:cs="宋体"/>
          <w:b/>
          <w:color w:val="auto"/>
          <w:sz w:val="24"/>
          <w:highlight w:val="none"/>
        </w:rPr>
      </w:pPr>
      <w:r>
        <w:rPr>
          <w:rFonts w:hint="eastAsia" w:ascii="宋体" w:hAnsi="宋体" w:cs="宋体"/>
          <w:b/>
          <w:color w:val="auto"/>
          <w:szCs w:val="21"/>
          <w:highlight w:val="none"/>
        </w:rPr>
        <w:br w:type="page"/>
      </w:r>
      <w:r>
        <w:rPr>
          <w:rFonts w:hint="eastAsia" w:ascii="宋体" w:hAnsi="宋体" w:cs="宋体"/>
          <w:b/>
          <w:bCs/>
          <w:color w:val="auto"/>
          <w:kern w:val="0"/>
          <w:sz w:val="24"/>
          <w:highlight w:val="none"/>
          <w:lang w:bidi="en-US"/>
        </w:rPr>
        <w:t>（二）政府采购供应商资格承诺函</w:t>
      </w:r>
    </w:p>
    <w:p w14:paraId="430F599B">
      <w:pPr>
        <w:snapToGrid w:val="0"/>
        <w:spacing w:line="360" w:lineRule="auto"/>
        <w:rPr>
          <w:rFonts w:hint="eastAsia" w:ascii="宋体" w:hAnsi="宋体" w:cs="宋体"/>
          <w:color w:val="auto"/>
          <w:highlight w:val="none"/>
          <w:u w:val="single"/>
          <w:lang w:bidi="en-US"/>
        </w:rPr>
      </w:pPr>
      <w:r>
        <w:rPr>
          <w:rFonts w:hint="eastAsia" w:ascii="宋体" w:hAnsi="宋体" w:cs="宋体"/>
          <w:color w:val="auto"/>
          <w:highlight w:val="none"/>
          <w:lang w:bidi="en-US"/>
        </w:rPr>
        <w:t>致：【采购人名称】</w:t>
      </w:r>
    </w:p>
    <w:p w14:paraId="614CA5BF">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487E79E1">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72BA87C8">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41F5C1D0">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3D12A28A">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1895272C">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6FD6A83D">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70E54D00">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5E6D1F56">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（七）符合其他法律法规规定的政府采购供应商条件。</w:t>
      </w:r>
    </w:p>
    <w:p w14:paraId="0670B761">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2EEDFA73">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77A1FA9E">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2FDC6C97">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（盖单位章）</w:t>
      </w:r>
    </w:p>
    <w:p w14:paraId="14A2E1CD">
      <w:pPr>
        <w:bidi/>
        <w:ind w:left="0" w:right="0"/>
        <w:jc w:val="left"/>
        <w:rPr>
          <w:rFonts w:hint="eastAsia" w:ascii="仿宋" w:hAnsi="仿宋" w:eastAsia="仿宋" w:cs="仿宋"/>
          <w:color w:val="auto"/>
          <w:highlight w:val="none"/>
          <w:lang w:bidi="en-US"/>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720EAE21">
      <w:pPr>
        <w:tabs>
          <w:tab w:val="left" w:pos="5580"/>
        </w:tabs>
        <w:jc w:val="center"/>
        <w:outlineLvl w:val="2"/>
        <w:rPr>
          <w:rFonts w:ascii="宋体" w:hAnsi="宋体" w:cs="宋体"/>
          <w:b/>
          <w:bCs/>
          <w:color w:val="auto"/>
          <w:kern w:val="0"/>
          <w:sz w:val="24"/>
          <w:highlight w:val="none"/>
          <w:lang w:bidi="en-US"/>
        </w:rPr>
      </w:pPr>
      <w:r>
        <w:rPr>
          <w:rFonts w:hint="eastAsia" w:ascii="宋体" w:hAnsi="宋体" w:cs="宋体"/>
          <w:color w:val="auto"/>
          <w:szCs w:val="21"/>
          <w:highlight w:val="none"/>
        </w:rPr>
        <w:br w:type="page"/>
      </w:r>
      <w:r>
        <w:rPr>
          <w:rFonts w:hint="eastAsia" w:ascii="宋体" w:hAnsi="宋体" w:cs="宋体"/>
          <w:b/>
          <w:bCs/>
          <w:color w:val="auto"/>
          <w:kern w:val="0"/>
          <w:sz w:val="24"/>
          <w:highlight w:val="none"/>
          <w:lang w:bidi="en-US"/>
        </w:rPr>
        <w:t>（三）用于资格审查的业绩证明材料（如有）</w:t>
      </w:r>
    </w:p>
    <w:p w14:paraId="39052DBD">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668B9A19">
      <w:pPr>
        <w:pStyle w:val="27"/>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4B7AB764">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7B4D2402">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3E1AF685">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3434D813">
      <w:pPr>
        <w:jc w:val="center"/>
        <w:rPr>
          <w:rFonts w:hint="eastAsia" w:ascii="宋体" w:hAnsi="宋体" w:cs="宋体"/>
          <w:color w:val="auto"/>
          <w:sz w:val="28"/>
          <w:highlight w:val="none"/>
        </w:rPr>
      </w:pPr>
    </w:p>
    <w:p w14:paraId="72A95030">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47"/>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131F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26E622E">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5391F0EB">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504FE943">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797D402B">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100D25FE">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17DA38FB">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485A60E8">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5A93D578">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2678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3FC44EBB">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48DF8B4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10F6839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19EA9B3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74F1BAA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50590F2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49550676">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5F30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88AA188">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35EA60E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AFDCC6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4CE355E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6DF0269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7552DC9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62A06D6E">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3EF3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BE02E99">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7808981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77DA22B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1F8F0AD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5AC0AD4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2A9E965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3D35447C">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6C71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7917BB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13A9ED3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44845E2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7559DA8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1814898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19DB08D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6B10C320">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0A1C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1954806">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7F0CAB0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FB165B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5B2B270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78D1B4E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379BC42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4A42D848">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04F2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BE706A8">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04A9E3F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C29609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0A9EE85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4EFF9FC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60903A2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6FA2C7A9">
            <w:pPr>
              <w:keepNext w:val="0"/>
              <w:keepLines w:val="0"/>
              <w:suppressLineNumbers w:val="0"/>
              <w:spacing w:before="0" w:beforeAutospacing="0" w:after="0" w:afterAutospacing="0"/>
              <w:ind w:left="0" w:right="0"/>
              <w:rPr>
                <w:rFonts w:hint="eastAsia" w:ascii="宋体" w:hAnsi="宋体" w:cs="宋体"/>
                <w:color w:val="auto"/>
                <w:highlight w:val="none"/>
              </w:rPr>
            </w:pPr>
          </w:p>
        </w:tc>
      </w:tr>
    </w:tbl>
    <w:p w14:paraId="4CF9138D">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注：应附中标/成交通知书（如有）和合同协议书，以及验收报告（验收证明文件）（如有）等材料（具体以资格要求为准），具体年份时间要求见招标公告。</w:t>
      </w:r>
    </w:p>
    <w:p w14:paraId="38A02D42">
      <w:pPr>
        <w:rPr>
          <w:rFonts w:hint="eastAsia" w:ascii="宋体" w:hAnsi="宋体" w:cs="宋体"/>
          <w:color w:val="auto"/>
          <w:highlight w:val="none"/>
          <w:lang w:bidi="en-US"/>
        </w:rPr>
      </w:pPr>
    </w:p>
    <w:p w14:paraId="130E82E2">
      <w:pPr>
        <w:rPr>
          <w:rFonts w:hint="eastAsia" w:ascii="宋体" w:hAnsi="宋体" w:cs="宋体"/>
          <w:color w:val="auto"/>
          <w:highlight w:val="none"/>
          <w:lang w:bidi="en-US"/>
        </w:rPr>
      </w:pPr>
    </w:p>
    <w:p w14:paraId="4E92309B">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4383A861">
      <w:pPr>
        <w:pStyle w:val="5"/>
        <w:keepNext w:val="0"/>
        <w:tabs>
          <w:tab w:val="left" w:pos="1260"/>
        </w:tabs>
        <w:jc w:val="center"/>
        <w:rPr>
          <w:rFonts w:hint="eastAsia" w:cs="宋体"/>
          <w:bCs w:val="0"/>
          <w:color w:val="auto"/>
          <w:sz w:val="24"/>
          <w:highlight w:val="none"/>
          <w:lang w:eastAsia="zh-CN"/>
        </w:rPr>
      </w:pPr>
      <w:r>
        <w:rPr>
          <w:rFonts w:hint="eastAsia" w:cs="宋体"/>
          <w:bCs w:val="0"/>
          <w:color w:val="auto"/>
          <w:sz w:val="24"/>
          <w:highlight w:val="none"/>
          <w:lang w:eastAsia="zh-CN"/>
        </w:rPr>
        <w:t>（四）制造商授权书</w:t>
      </w:r>
      <w:r>
        <w:rPr>
          <w:rStyle w:val="59"/>
          <w:rFonts w:hint="eastAsia" w:cs="宋体"/>
          <w:bCs w:val="0"/>
          <w:color w:val="auto"/>
          <w:sz w:val="21"/>
          <w:szCs w:val="21"/>
          <w:highlight w:val="none"/>
          <w:lang w:eastAsia="zh-CN"/>
        </w:rPr>
        <w:footnoteReference w:id="1"/>
      </w:r>
    </w:p>
    <w:p w14:paraId="0882CE2B">
      <w:pPr>
        <w:jc w:val="center"/>
        <w:rPr>
          <w:b/>
          <w:bCs/>
          <w:color w:val="auto"/>
          <w:highlight w:val="none"/>
        </w:rPr>
      </w:pPr>
      <w:r>
        <w:rPr>
          <w:rFonts w:hint="eastAsia"/>
          <w:b/>
          <w:bCs/>
          <w:color w:val="auto"/>
          <w:highlight w:val="none"/>
        </w:rPr>
        <w:t>注：非进口产品无需提供制造商授权书</w:t>
      </w:r>
    </w:p>
    <w:p w14:paraId="61F1EC42">
      <w:pPr>
        <w:tabs>
          <w:tab w:val="left" w:pos="0"/>
        </w:tabs>
        <w:spacing w:line="44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lang w:bidi="en-US"/>
        </w:rPr>
        <w:t>【采购人名称】</w:t>
      </w:r>
    </w:p>
    <w:p w14:paraId="679950CF">
      <w:pPr>
        <w:tabs>
          <w:tab w:val="left" w:pos="0"/>
        </w:tabs>
        <w:spacing w:line="440" w:lineRule="exact"/>
        <w:ind w:left="105" w:lef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（制造商名称）是按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（国家/地区名称）法律成立的制造商，主要营业地点设在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（制造商地址）。兹指派按中华人民共和国的法律正式成立的，主要营业地点设在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（投标人地址）的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（项目名称）投标活动。我单位同意按照成交合同供货，并对产品质量承担责任。</w:t>
      </w:r>
    </w:p>
    <w:p w14:paraId="6AE8B622">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p>
    <w:p w14:paraId="5BA57EAF">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（盖单位章）  制造商名称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C1B117D">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签字人职务</w:t>
      </w:r>
      <w:r>
        <w:rPr>
          <w:rFonts w:hint="eastAsia" w:ascii="宋体" w:hAnsi="宋体" w:cs="宋体"/>
          <w:color w:val="auto"/>
          <w:szCs w:val="21"/>
          <w:highlight w:val="none"/>
          <w:u w:val="single"/>
        </w:rPr>
        <w:t xml:space="preserve">                             </w:t>
      </w:r>
    </w:p>
    <w:p w14:paraId="160D7515">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签字人姓名</w:t>
      </w:r>
      <w:r>
        <w:rPr>
          <w:rFonts w:hint="eastAsia" w:ascii="宋体" w:hAnsi="宋体" w:cs="宋体"/>
          <w:color w:val="auto"/>
          <w:szCs w:val="21"/>
          <w:highlight w:val="none"/>
          <w:u w:val="single"/>
        </w:rPr>
        <w:t xml:space="preserve">                             </w:t>
      </w:r>
    </w:p>
    <w:p w14:paraId="24C70C71">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签字人签名</w:t>
      </w:r>
      <w:r>
        <w:rPr>
          <w:rFonts w:hint="eastAsia" w:ascii="宋体" w:hAnsi="宋体" w:cs="宋体"/>
          <w:color w:val="auto"/>
          <w:szCs w:val="21"/>
          <w:highlight w:val="none"/>
          <w:u w:val="single"/>
        </w:rPr>
        <w:t xml:space="preserve">                             </w:t>
      </w:r>
    </w:p>
    <w:p w14:paraId="29E8D4AF">
      <w:pPr>
        <w:widowControl/>
        <w:spacing w:before="5" w:line="200" w:lineRule="atLeast"/>
        <w:rPr>
          <w:rFonts w:hint="eastAsia" w:ascii="宋体" w:hAnsi="宋体" w:cs="宋体"/>
          <w:color w:val="auto"/>
          <w:kern w:val="0"/>
          <w:sz w:val="20"/>
          <w:szCs w:val="20"/>
          <w:highlight w:val="none"/>
        </w:rPr>
      </w:pPr>
    </w:p>
    <w:p w14:paraId="6FA92930">
      <w:pPr>
        <w:widowControl/>
        <w:spacing w:line="200" w:lineRule="atLeast"/>
        <w:rPr>
          <w:rFonts w:hint="eastAsia" w:ascii="宋体" w:hAnsi="宋体" w:cs="宋体"/>
          <w:color w:val="auto"/>
          <w:kern w:val="0"/>
          <w:sz w:val="20"/>
          <w:szCs w:val="20"/>
          <w:highlight w:val="none"/>
        </w:rPr>
      </w:pPr>
    </w:p>
    <w:p w14:paraId="382A542D">
      <w:pPr>
        <w:widowControl/>
        <w:spacing w:line="200" w:lineRule="atLeast"/>
        <w:rPr>
          <w:rFonts w:hint="eastAsia" w:ascii="宋体" w:hAnsi="宋体" w:cs="宋体"/>
          <w:color w:val="auto"/>
          <w:kern w:val="0"/>
          <w:sz w:val="22"/>
          <w:highlight w:val="none"/>
        </w:rPr>
      </w:pPr>
    </w:p>
    <w:p w14:paraId="3261DB2A">
      <w:pPr>
        <w:widowControl/>
        <w:spacing w:line="261" w:lineRule="auto"/>
        <w:ind w:left="120" w:right="40"/>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292215B6">
      <w:pPr>
        <w:pStyle w:val="4"/>
        <w:widowControl/>
        <w:spacing w:before="120" w:after="120" w:line="240" w:lineRule="auto"/>
        <w:jc w:val="center"/>
        <w:rPr>
          <w:rStyle w:val="104"/>
          <w:rFonts w:hint="eastAsia" w:ascii="宋体" w:hAnsi="宋体" w:eastAsia="宋体" w:cs="宋体"/>
          <w:b/>
          <w:bCs/>
          <w:color w:val="auto"/>
          <w:sz w:val="30"/>
          <w:szCs w:val="30"/>
          <w:highlight w:val="none"/>
        </w:rPr>
      </w:pPr>
      <w:r>
        <w:rPr>
          <w:rStyle w:val="104"/>
          <w:rFonts w:hint="eastAsia" w:ascii="宋体" w:hAnsi="宋体" w:eastAsia="宋体" w:cs="宋体"/>
          <w:b/>
          <w:bCs w:val="0"/>
          <w:color w:val="auto"/>
          <w:sz w:val="30"/>
          <w:szCs w:val="30"/>
          <w:highlight w:val="none"/>
        </w:rPr>
        <w:t>十</w:t>
      </w:r>
      <w:r>
        <w:rPr>
          <w:rStyle w:val="104"/>
          <w:rFonts w:hint="eastAsia" w:ascii="宋体" w:hAnsi="宋体" w:eastAsia="宋体" w:cs="宋体"/>
          <w:b/>
          <w:bCs/>
          <w:color w:val="auto"/>
          <w:sz w:val="30"/>
          <w:szCs w:val="30"/>
          <w:highlight w:val="none"/>
        </w:rPr>
        <w:t>、符合性审查与详细评审材料</w:t>
      </w:r>
    </w:p>
    <w:p w14:paraId="37C3A7F6">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38E69DA8">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原件扫描件或电子证照</w:t>
      </w:r>
      <w:r>
        <w:rPr>
          <w:rFonts w:hint="eastAsia" w:ascii="宋体" w:hAnsi="宋体" w:cs="宋体"/>
          <w:color w:val="auto"/>
          <w:szCs w:val="21"/>
          <w:highlight w:val="none"/>
        </w:rPr>
        <w:t>；</w:t>
      </w:r>
    </w:p>
    <w:p w14:paraId="0D7B7E69">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2．建议设置评审索引，以便评标委员会顺利开展评审工作；</w:t>
      </w:r>
    </w:p>
    <w:p w14:paraId="3019001E">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3．内容须清晰、明确，若提供相关资料内容模糊不清或无法辨认，评标委员会有权不予认可。</w:t>
      </w:r>
    </w:p>
    <w:p w14:paraId="7724A3AE">
      <w:pPr>
        <w:pStyle w:val="5"/>
        <w:spacing w:before="120" w:after="120" w:line="240" w:lineRule="auto"/>
        <w:jc w:val="center"/>
        <w:rPr>
          <w:rStyle w:val="104"/>
          <w:rFonts w:hint="eastAsia" w:ascii="宋体" w:hAnsi="宋体" w:eastAsia="宋体" w:cs="宋体"/>
          <w:b/>
          <w:bCs/>
          <w:color w:val="auto"/>
          <w:sz w:val="24"/>
          <w:szCs w:val="24"/>
          <w:highlight w:val="none"/>
        </w:rPr>
      </w:pPr>
      <w:r>
        <w:rPr>
          <w:rFonts w:hint="eastAsia" w:cs="宋体"/>
          <w:color w:val="auto"/>
          <w:sz w:val="24"/>
          <w:highlight w:val="none"/>
          <w:lang w:eastAsia="zh-CN"/>
        </w:rPr>
        <w:t>（一）商务要求偏离表</w:t>
      </w:r>
    </w:p>
    <w:tbl>
      <w:tblPr>
        <w:tblStyle w:val="47"/>
        <w:tblW w:w="9978" w:type="dxa"/>
        <w:tblInd w:w="0" w:type="dxa"/>
        <w:tblLayout w:type="fixed"/>
        <w:tblCellMar>
          <w:top w:w="0" w:type="dxa"/>
          <w:left w:w="108" w:type="dxa"/>
          <w:bottom w:w="0" w:type="dxa"/>
          <w:right w:w="108" w:type="dxa"/>
        </w:tblCellMar>
      </w:tblPr>
      <w:tblGrid>
        <w:gridCol w:w="738"/>
        <w:gridCol w:w="1370"/>
        <w:gridCol w:w="2382"/>
        <w:gridCol w:w="2553"/>
        <w:gridCol w:w="1570"/>
        <w:gridCol w:w="1365"/>
      </w:tblGrid>
      <w:tr w14:paraId="440C59A2">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214EEE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370" w:type="dxa"/>
            <w:tcBorders>
              <w:top w:val="single" w:color="000000" w:sz="4" w:space="0"/>
              <w:left w:val="nil"/>
              <w:bottom w:val="single" w:color="000000" w:sz="4" w:space="0"/>
              <w:right w:val="single" w:color="000000" w:sz="4" w:space="0"/>
            </w:tcBorders>
            <w:noWrap w:val="0"/>
            <w:vAlign w:val="center"/>
          </w:tcPr>
          <w:p w14:paraId="219785A0">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商务要求项</w:t>
            </w:r>
          </w:p>
        </w:tc>
        <w:tc>
          <w:tcPr>
            <w:tcW w:w="2382" w:type="dxa"/>
            <w:tcBorders>
              <w:top w:val="single" w:color="000000" w:sz="4" w:space="0"/>
              <w:left w:val="nil"/>
              <w:bottom w:val="single" w:color="000000" w:sz="4" w:space="0"/>
              <w:right w:val="single" w:color="000000" w:sz="4" w:space="0"/>
            </w:tcBorders>
            <w:noWrap w:val="0"/>
            <w:vAlign w:val="center"/>
          </w:tcPr>
          <w:p w14:paraId="1A342927">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6FC7BFB7">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0C5FACFA">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65E43F38">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497CA156">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BAEC8A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70" w:type="dxa"/>
            <w:tcBorders>
              <w:top w:val="single" w:color="000000" w:sz="4" w:space="0"/>
              <w:left w:val="nil"/>
              <w:bottom w:val="single" w:color="000000" w:sz="4" w:space="0"/>
              <w:right w:val="single" w:color="000000" w:sz="4" w:space="0"/>
            </w:tcBorders>
            <w:noWrap w:val="0"/>
            <w:vAlign w:val="center"/>
          </w:tcPr>
          <w:p w14:paraId="25694F8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交付（实施）的时间（期限）</w:t>
            </w:r>
          </w:p>
        </w:tc>
        <w:tc>
          <w:tcPr>
            <w:tcW w:w="2382" w:type="dxa"/>
            <w:tcBorders>
              <w:top w:val="single" w:color="000000" w:sz="4" w:space="0"/>
              <w:left w:val="nil"/>
              <w:bottom w:val="single" w:color="000000" w:sz="4" w:space="0"/>
              <w:right w:val="single" w:color="000000" w:sz="4" w:space="0"/>
            </w:tcBorders>
            <w:noWrap w:val="0"/>
            <w:vAlign w:val="center"/>
          </w:tcPr>
          <w:p w14:paraId="332F6D4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337876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E74E1C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07ED769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2C9A790">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B20A5B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70" w:type="dxa"/>
            <w:tcBorders>
              <w:top w:val="single" w:color="000000" w:sz="4" w:space="0"/>
              <w:left w:val="nil"/>
              <w:bottom w:val="single" w:color="000000" w:sz="4" w:space="0"/>
              <w:right w:val="single" w:color="000000" w:sz="4" w:space="0"/>
            </w:tcBorders>
            <w:noWrap w:val="0"/>
            <w:vAlign w:val="center"/>
          </w:tcPr>
          <w:p w14:paraId="29FB39D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交付（实施）的地点（范围）</w:t>
            </w:r>
          </w:p>
        </w:tc>
        <w:tc>
          <w:tcPr>
            <w:tcW w:w="2382" w:type="dxa"/>
            <w:tcBorders>
              <w:top w:val="single" w:color="000000" w:sz="4" w:space="0"/>
              <w:left w:val="nil"/>
              <w:bottom w:val="single" w:color="000000" w:sz="4" w:space="0"/>
              <w:right w:val="single" w:color="000000" w:sz="4" w:space="0"/>
            </w:tcBorders>
            <w:noWrap w:val="0"/>
            <w:vAlign w:val="center"/>
          </w:tcPr>
          <w:p w14:paraId="216841B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C49FF4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5C0EDC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2CCB706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83464F6">
        <w:tblPrEx>
          <w:tblCellMar>
            <w:top w:w="0" w:type="dxa"/>
            <w:left w:w="108" w:type="dxa"/>
            <w:bottom w:w="0" w:type="dxa"/>
            <w:right w:w="108" w:type="dxa"/>
          </w:tblCellMar>
        </w:tblPrEx>
        <w:trPr>
          <w:trHeight w:val="406"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9E47D9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70" w:type="dxa"/>
            <w:tcBorders>
              <w:top w:val="single" w:color="000000" w:sz="4" w:space="0"/>
              <w:left w:val="nil"/>
              <w:bottom w:val="single" w:color="000000" w:sz="4" w:space="0"/>
              <w:right w:val="single" w:color="000000" w:sz="4" w:space="0"/>
            </w:tcBorders>
            <w:noWrap w:val="0"/>
            <w:vAlign w:val="center"/>
          </w:tcPr>
          <w:p w14:paraId="1450D2C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2382" w:type="dxa"/>
            <w:tcBorders>
              <w:top w:val="single" w:color="000000" w:sz="4" w:space="0"/>
              <w:left w:val="nil"/>
              <w:bottom w:val="single" w:color="000000" w:sz="4" w:space="0"/>
              <w:right w:val="single" w:color="000000" w:sz="4" w:space="0"/>
            </w:tcBorders>
            <w:noWrap w:val="0"/>
            <w:vAlign w:val="center"/>
          </w:tcPr>
          <w:p w14:paraId="2607397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DBE624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185F40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71CCB99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5323C80">
        <w:tblPrEx>
          <w:tblCellMar>
            <w:top w:w="0" w:type="dxa"/>
            <w:left w:w="108" w:type="dxa"/>
            <w:bottom w:w="0" w:type="dxa"/>
            <w:right w:w="108" w:type="dxa"/>
          </w:tblCellMar>
        </w:tblPrEx>
        <w:trPr>
          <w:trHeight w:val="662"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93A795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370" w:type="dxa"/>
            <w:tcBorders>
              <w:top w:val="single" w:color="000000" w:sz="4" w:space="0"/>
              <w:left w:val="nil"/>
              <w:bottom w:val="single" w:color="000000" w:sz="4" w:space="0"/>
              <w:right w:val="single" w:color="000000" w:sz="4" w:space="0"/>
            </w:tcBorders>
            <w:noWrap w:val="0"/>
            <w:vAlign w:val="center"/>
          </w:tcPr>
          <w:p w14:paraId="72B0676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质量保证期</w:t>
            </w:r>
          </w:p>
        </w:tc>
        <w:tc>
          <w:tcPr>
            <w:tcW w:w="2382" w:type="dxa"/>
            <w:tcBorders>
              <w:top w:val="single" w:color="000000" w:sz="4" w:space="0"/>
              <w:left w:val="nil"/>
              <w:bottom w:val="single" w:color="000000" w:sz="4" w:space="0"/>
              <w:right w:val="single" w:color="000000" w:sz="4" w:space="0"/>
            </w:tcBorders>
            <w:noWrap w:val="0"/>
            <w:vAlign w:val="center"/>
          </w:tcPr>
          <w:p w14:paraId="4780F9C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1FF0EA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7385C98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242FA38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3CBEE26">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0E4CDF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70" w:type="dxa"/>
            <w:tcBorders>
              <w:top w:val="single" w:color="000000" w:sz="4" w:space="0"/>
              <w:left w:val="nil"/>
              <w:bottom w:val="single" w:color="000000" w:sz="4" w:space="0"/>
              <w:right w:val="single" w:color="000000" w:sz="4" w:space="0"/>
            </w:tcBorders>
            <w:noWrap w:val="0"/>
            <w:vAlign w:val="center"/>
          </w:tcPr>
          <w:p w14:paraId="5D5941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382" w:type="dxa"/>
            <w:tcBorders>
              <w:top w:val="single" w:color="000000" w:sz="4" w:space="0"/>
              <w:left w:val="nil"/>
              <w:bottom w:val="single" w:color="000000" w:sz="4" w:space="0"/>
              <w:right w:val="single" w:color="000000" w:sz="4" w:space="0"/>
            </w:tcBorders>
            <w:noWrap w:val="0"/>
            <w:vAlign w:val="center"/>
          </w:tcPr>
          <w:p w14:paraId="2F097C1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C543C9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969D45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230B0E0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43DE8F07">
      <w:pPr>
        <w:rPr>
          <w:rFonts w:hint="eastAsia" w:ascii="宋体" w:hAnsi="宋体" w:cs="宋体"/>
          <w:color w:val="auto"/>
          <w:szCs w:val="21"/>
          <w:highlight w:val="none"/>
        </w:rPr>
      </w:pPr>
      <w:r>
        <w:rPr>
          <w:rFonts w:hint="eastAsia" w:ascii="宋体" w:hAnsi="宋体" w:cs="宋体"/>
          <w:color w:val="auto"/>
          <w:szCs w:val="21"/>
          <w:highlight w:val="none"/>
        </w:rPr>
        <w:t>投标人保证：除商务要求偏离表列出的偏差外，投标人响应招标文件的全部要求。</w:t>
      </w:r>
    </w:p>
    <w:p w14:paraId="4CA6F9EE">
      <w:pPr>
        <w:widowControl/>
        <w:spacing w:line="360" w:lineRule="exact"/>
        <w:ind w:firstLine="411" w:firstLineChars="196"/>
        <w:rPr>
          <w:rFonts w:hint="eastAsia" w:ascii="宋体" w:hAnsi="宋体" w:cs="宋体"/>
          <w:color w:val="auto"/>
          <w:highlight w:val="none"/>
        </w:rPr>
      </w:pPr>
    </w:p>
    <w:p w14:paraId="28613EF9">
      <w:pPr>
        <w:pStyle w:val="5"/>
        <w:spacing w:before="120" w:after="120" w:line="240" w:lineRule="auto"/>
        <w:jc w:val="center"/>
        <w:rPr>
          <w:rFonts w:hint="eastAsia" w:cs="宋体"/>
          <w:color w:val="auto"/>
          <w:sz w:val="24"/>
          <w:highlight w:val="none"/>
          <w:lang w:eastAsia="zh-CN"/>
        </w:rPr>
      </w:pPr>
      <w:r>
        <w:rPr>
          <w:rFonts w:hint="eastAsia" w:cs="宋体"/>
          <w:color w:val="auto"/>
          <w:sz w:val="24"/>
          <w:highlight w:val="none"/>
          <w:lang w:eastAsia="zh-CN"/>
        </w:rPr>
        <w:t>（二）技术要求偏离表</w:t>
      </w:r>
    </w:p>
    <w:tbl>
      <w:tblPr>
        <w:tblStyle w:val="47"/>
        <w:tblW w:w="10516" w:type="dxa"/>
        <w:tblInd w:w="93" w:type="dxa"/>
        <w:tblLayout w:type="fixed"/>
        <w:tblCellMar>
          <w:top w:w="0" w:type="dxa"/>
          <w:left w:w="108" w:type="dxa"/>
          <w:bottom w:w="0" w:type="dxa"/>
          <w:right w:w="108" w:type="dxa"/>
        </w:tblCellMar>
      </w:tblPr>
      <w:tblGrid>
        <w:gridCol w:w="947"/>
        <w:gridCol w:w="1270"/>
        <w:gridCol w:w="2013"/>
        <w:gridCol w:w="1951"/>
        <w:gridCol w:w="1709"/>
        <w:gridCol w:w="1313"/>
        <w:gridCol w:w="1313"/>
      </w:tblGrid>
      <w:tr w14:paraId="435E45CB">
        <w:tblPrEx>
          <w:tblCellMar>
            <w:top w:w="0" w:type="dxa"/>
            <w:left w:w="108" w:type="dxa"/>
            <w:bottom w:w="0" w:type="dxa"/>
            <w:right w:w="108" w:type="dxa"/>
          </w:tblCellMar>
        </w:tblPrEx>
        <w:trPr>
          <w:trHeight w:val="508" w:hRule="atLeast"/>
        </w:trPr>
        <w:tc>
          <w:tcPr>
            <w:tcW w:w="947" w:type="dxa"/>
            <w:tcBorders>
              <w:top w:val="single" w:color="000000" w:sz="4" w:space="0"/>
              <w:left w:val="single" w:color="000000" w:sz="4" w:space="0"/>
              <w:bottom w:val="single" w:color="auto" w:sz="4" w:space="0"/>
              <w:right w:val="single" w:color="000000" w:sz="4" w:space="0"/>
            </w:tcBorders>
            <w:noWrap w:val="0"/>
            <w:vAlign w:val="center"/>
          </w:tcPr>
          <w:p w14:paraId="6F53A416">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270" w:type="dxa"/>
            <w:tcBorders>
              <w:top w:val="single" w:color="000000" w:sz="4" w:space="0"/>
              <w:left w:val="nil"/>
              <w:bottom w:val="single" w:color="auto" w:sz="4" w:space="0"/>
              <w:right w:val="single" w:color="000000" w:sz="4" w:space="0"/>
            </w:tcBorders>
            <w:noWrap w:val="0"/>
            <w:vAlign w:val="center"/>
          </w:tcPr>
          <w:p w14:paraId="49F07A72">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技术要求项</w:t>
            </w:r>
          </w:p>
          <w:p w14:paraId="1A2639AC">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2013" w:type="dxa"/>
            <w:tcBorders>
              <w:top w:val="single" w:color="000000" w:sz="4" w:space="0"/>
              <w:left w:val="nil"/>
              <w:bottom w:val="single" w:color="000000" w:sz="4" w:space="0"/>
              <w:right w:val="single" w:color="000000" w:sz="4" w:space="0"/>
            </w:tcBorders>
            <w:noWrap w:val="0"/>
            <w:vAlign w:val="center"/>
          </w:tcPr>
          <w:p w14:paraId="27C9C202">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1951" w:type="dxa"/>
            <w:tcBorders>
              <w:top w:val="single" w:color="000000" w:sz="4" w:space="0"/>
              <w:left w:val="nil"/>
              <w:bottom w:val="single" w:color="000000" w:sz="4" w:space="0"/>
              <w:right w:val="single" w:color="000000" w:sz="4" w:space="0"/>
            </w:tcBorders>
            <w:noWrap w:val="0"/>
            <w:vAlign w:val="center"/>
          </w:tcPr>
          <w:p w14:paraId="112EF0A7">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709" w:type="dxa"/>
            <w:tcBorders>
              <w:top w:val="single" w:color="000000" w:sz="4" w:space="0"/>
              <w:left w:val="nil"/>
              <w:bottom w:val="single" w:color="000000" w:sz="4" w:space="0"/>
              <w:right w:val="single" w:color="000000" w:sz="4" w:space="0"/>
            </w:tcBorders>
            <w:noWrap w:val="0"/>
            <w:vAlign w:val="center"/>
          </w:tcPr>
          <w:p w14:paraId="79574FDE">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13" w:type="dxa"/>
            <w:tcBorders>
              <w:top w:val="single" w:color="000000" w:sz="4" w:space="0"/>
              <w:left w:val="nil"/>
              <w:bottom w:val="single" w:color="000000" w:sz="4" w:space="0"/>
              <w:right w:val="single" w:color="000000" w:sz="4" w:space="0"/>
            </w:tcBorders>
            <w:noWrap w:val="0"/>
            <w:vAlign w:val="center"/>
          </w:tcPr>
          <w:p w14:paraId="13510C25">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证明材料</w:t>
            </w:r>
          </w:p>
          <w:p w14:paraId="30232421">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（具体页码）</w:t>
            </w:r>
          </w:p>
        </w:tc>
        <w:tc>
          <w:tcPr>
            <w:tcW w:w="1313" w:type="dxa"/>
            <w:tcBorders>
              <w:top w:val="single" w:color="000000" w:sz="4" w:space="0"/>
              <w:left w:val="nil"/>
              <w:bottom w:val="single" w:color="000000" w:sz="4" w:space="0"/>
              <w:right w:val="single" w:color="000000" w:sz="4" w:space="0"/>
            </w:tcBorders>
            <w:noWrap w:val="0"/>
            <w:vAlign w:val="center"/>
          </w:tcPr>
          <w:p w14:paraId="4E82373B">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6D242A3E">
        <w:tblPrEx>
          <w:tblCellMar>
            <w:top w:w="0" w:type="dxa"/>
            <w:left w:w="108" w:type="dxa"/>
            <w:bottom w:w="0" w:type="dxa"/>
            <w:right w:w="108" w:type="dxa"/>
          </w:tblCellMar>
        </w:tblPrEx>
        <w:trPr>
          <w:trHeight w:val="321" w:hRule="atLeast"/>
        </w:trPr>
        <w:tc>
          <w:tcPr>
            <w:tcW w:w="947" w:type="dxa"/>
            <w:vMerge w:val="restart"/>
            <w:tcBorders>
              <w:top w:val="single" w:color="auto" w:sz="4" w:space="0"/>
              <w:left w:val="single" w:color="000000" w:sz="4" w:space="0"/>
              <w:bottom w:val="single" w:color="000000" w:sz="4" w:space="0"/>
              <w:right w:val="single" w:color="000000" w:sz="4" w:space="0"/>
            </w:tcBorders>
            <w:noWrap w:val="0"/>
            <w:vAlign w:val="center"/>
          </w:tcPr>
          <w:p w14:paraId="695DCD80">
            <w:pPr>
              <w:keepNext w:val="0"/>
              <w:keepLines w:val="0"/>
              <w:widowControl/>
              <w:suppressLineNumbers w:val="0"/>
              <w:spacing w:before="0" w:beforeAutospacing="0" w:after="0" w:afterAutospacing="0"/>
              <w:ind w:left="0" w:right="0"/>
              <w:rPr>
                <w:rFonts w:hint="eastAsia" w:ascii="宋体" w:hAnsi="宋体" w:cs="宋体"/>
                <w:bCs/>
                <w:color w:val="auto"/>
                <w:kern w:val="0"/>
                <w:szCs w:val="21"/>
                <w:highlight w:val="none"/>
              </w:rPr>
            </w:pPr>
          </w:p>
        </w:tc>
        <w:tc>
          <w:tcPr>
            <w:tcW w:w="1270" w:type="dxa"/>
            <w:vMerge w:val="restart"/>
            <w:tcBorders>
              <w:top w:val="single" w:color="auto" w:sz="4" w:space="0"/>
              <w:left w:val="nil"/>
              <w:bottom w:val="single" w:color="000000" w:sz="4" w:space="0"/>
              <w:right w:val="single" w:color="000000" w:sz="4" w:space="0"/>
            </w:tcBorders>
            <w:noWrap w:val="0"/>
            <w:vAlign w:val="center"/>
          </w:tcPr>
          <w:p w14:paraId="1B56E390">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41CDF71D">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center"/>
          </w:tcPr>
          <w:p w14:paraId="11C8D60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0C15F9E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6A1881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94269F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5A896B1">
        <w:tblPrEx>
          <w:tblCellMar>
            <w:top w:w="0" w:type="dxa"/>
            <w:left w:w="108" w:type="dxa"/>
            <w:bottom w:w="0" w:type="dxa"/>
            <w:right w:w="108" w:type="dxa"/>
          </w:tblCellMar>
        </w:tblPrEx>
        <w:trPr>
          <w:trHeight w:val="321" w:hRule="atLeast"/>
        </w:trPr>
        <w:tc>
          <w:tcPr>
            <w:tcW w:w="947" w:type="dxa"/>
            <w:vMerge w:val="continue"/>
            <w:tcBorders>
              <w:top w:val="nil"/>
              <w:left w:val="single" w:color="000000" w:sz="4" w:space="0"/>
              <w:bottom w:val="single" w:color="000000" w:sz="4" w:space="0"/>
              <w:right w:val="single" w:color="000000" w:sz="4" w:space="0"/>
            </w:tcBorders>
            <w:noWrap w:val="0"/>
            <w:vAlign w:val="center"/>
          </w:tcPr>
          <w:p w14:paraId="16E68D1B">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20BBB69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6F75642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1BEA653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0A510B7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F55031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06759EA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5402FB4">
        <w:tblPrEx>
          <w:tblCellMar>
            <w:top w:w="0" w:type="dxa"/>
            <w:left w:w="108" w:type="dxa"/>
            <w:bottom w:w="0" w:type="dxa"/>
            <w:right w:w="108" w:type="dxa"/>
          </w:tblCellMar>
        </w:tblPrEx>
        <w:trPr>
          <w:trHeight w:val="334" w:hRule="atLeast"/>
        </w:trPr>
        <w:tc>
          <w:tcPr>
            <w:tcW w:w="947" w:type="dxa"/>
            <w:vMerge w:val="continue"/>
            <w:tcBorders>
              <w:top w:val="nil"/>
              <w:left w:val="single" w:color="000000" w:sz="4" w:space="0"/>
              <w:bottom w:val="single" w:color="auto" w:sz="4" w:space="0"/>
              <w:right w:val="single" w:color="000000" w:sz="4" w:space="0"/>
            </w:tcBorders>
            <w:noWrap w:val="0"/>
            <w:vAlign w:val="center"/>
          </w:tcPr>
          <w:p w14:paraId="13A85EEF">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continue"/>
            <w:tcBorders>
              <w:top w:val="nil"/>
              <w:left w:val="nil"/>
              <w:bottom w:val="single" w:color="auto" w:sz="4" w:space="0"/>
              <w:right w:val="single" w:color="000000" w:sz="4" w:space="0"/>
            </w:tcBorders>
            <w:noWrap w:val="0"/>
            <w:vAlign w:val="center"/>
          </w:tcPr>
          <w:p w14:paraId="1526DA3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483143D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7EB3FD2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10F1C1E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6D03922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61991B6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85B7898">
        <w:tblPrEx>
          <w:tblCellMar>
            <w:top w:w="0" w:type="dxa"/>
            <w:left w:w="108" w:type="dxa"/>
            <w:bottom w:w="0" w:type="dxa"/>
            <w:right w:w="108" w:type="dxa"/>
          </w:tblCellMar>
        </w:tblPrEx>
        <w:trPr>
          <w:trHeight w:val="321" w:hRule="atLeast"/>
        </w:trPr>
        <w:tc>
          <w:tcPr>
            <w:tcW w:w="947" w:type="dxa"/>
            <w:vMerge w:val="restart"/>
            <w:tcBorders>
              <w:top w:val="single" w:color="auto" w:sz="4" w:space="0"/>
              <w:left w:val="single" w:color="000000" w:sz="4" w:space="0"/>
              <w:bottom w:val="single" w:color="000000" w:sz="4" w:space="0"/>
              <w:right w:val="single" w:color="000000" w:sz="4" w:space="0"/>
            </w:tcBorders>
            <w:noWrap w:val="0"/>
            <w:vAlign w:val="center"/>
          </w:tcPr>
          <w:p w14:paraId="2623B6FD">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restart"/>
            <w:tcBorders>
              <w:top w:val="single" w:color="auto" w:sz="4" w:space="0"/>
              <w:left w:val="nil"/>
              <w:bottom w:val="single" w:color="000000" w:sz="4" w:space="0"/>
              <w:right w:val="single" w:color="000000" w:sz="4" w:space="0"/>
            </w:tcBorders>
            <w:noWrap w:val="0"/>
            <w:vAlign w:val="center"/>
          </w:tcPr>
          <w:p w14:paraId="633DD54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356D268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3DFF3A8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3685A19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5A4ACC9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7E5157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E6F9786">
        <w:tblPrEx>
          <w:tblCellMar>
            <w:top w:w="0" w:type="dxa"/>
            <w:left w:w="108" w:type="dxa"/>
            <w:bottom w:w="0" w:type="dxa"/>
            <w:right w:w="108" w:type="dxa"/>
          </w:tblCellMar>
        </w:tblPrEx>
        <w:trPr>
          <w:trHeight w:val="321" w:hRule="atLeast"/>
        </w:trPr>
        <w:tc>
          <w:tcPr>
            <w:tcW w:w="947" w:type="dxa"/>
            <w:vMerge w:val="continue"/>
            <w:tcBorders>
              <w:top w:val="nil"/>
              <w:left w:val="single" w:color="000000" w:sz="4" w:space="0"/>
              <w:bottom w:val="single" w:color="000000" w:sz="4" w:space="0"/>
              <w:right w:val="single" w:color="000000" w:sz="4" w:space="0"/>
            </w:tcBorders>
            <w:noWrap w:val="0"/>
            <w:vAlign w:val="center"/>
          </w:tcPr>
          <w:p w14:paraId="2EC3D0FC">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699ACC5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1E3B233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0CF6B29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6AAB096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321ED1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339481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7ADCD3B">
        <w:tblPrEx>
          <w:tblCellMar>
            <w:top w:w="0" w:type="dxa"/>
            <w:left w:w="108" w:type="dxa"/>
            <w:bottom w:w="0" w:type="dxa"/>
            <w:right w:w="108" w:type="dxa"/>
          </w:tblCellMar>
        </w:tblPrEx>
        <w:trPr>
          <w:trHeight w:val="330" w:hRule="atLeast"/>
        </w:trPr>
        <w:tc>
          <w:tcPr>
            <w:tcW w:w="947" w:type="dxa"/>
            <w:vMerge w:val="continue"/>
            <w:tcBorders>
              <w:top w:val="nil"/>
              <w:left w:val="single" w:color="000000" w:sz="4" w:space="0"/>
              <w:bottom w:val="single" w:color="000000" w:sz="4" w:space="0"/>
              <w:right w:val="single" w:color="000000" w:sz="4" w:space="0"/>
            </w:tcBorders>
            <w:noWrap w:val="0"/>
            <w:vAlign w:val="center"/>
          </w:tcPr>
          <w:p w14:paraId="33B1CE0D">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788A12D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69AEE19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1B35549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6C0ECD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23DEC8E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2DE2C08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226956F7">
      <w:pPr>
        <w:rPr>
          <w:rFonts w:hint="eastAsia" w:ascii="宋体" w:hAnsi="宋体" w:cs="宋体"/>
          <w:color w:val="auto"/>
          <w:szCs w:val="21"/>
          <w:highlight w:val="none"/>
        </w:rPr>
      </w:pPr>
      <w:r>
        <w:rPr>
          <w:rFonts w:hint="eastAsia" w:ascii="宋体" w:hAnsi="宋体" w:cs="宋体"/>
          <w:color w:val="auto"/>
          <w:szCs w:val="21"/>
          <w:highlight w:val="none"/>
        </w:rPr>
        <w:t>投标人保证：除技术要求偏离表列出的偏差外，投标人响应招标文件的全部要求。</w:t>
      </w:r>
    </w:p>
    <w:p w14:paraId="5D821F4E">
      <w:pPr>
        <w:widowControl/>
        <w:spacing w:line="360" w:lineRule="exact"/>
        <w:ind w:firstLine="470" w:firstLineChars="196"/>
        <w:rPr>
          <w:rFonts w:hint="eastAsia" w:ascii="宋体" w:hAnsi="宋体" w:cs="宋体"/>
          <w:color w:val="auto"/>
          <w:kern w:val="0"/>
          <w:sz w:val="24"/>
          <w:highlight w:val="none"/>
        </w:rPr>
      </w:pPr>
    </w:p>
    <w:p w14:paraId="197E0A17">
      <w:pPr>
        <w:pStyle w:val="5"/>
        <w:jc w:val="center"/>
        <w:rPr>
          <w:rStyle w:val="104"/>
          <w:rFonts w:hint="eastAsia" w:ascii="宋体" w:hAnsi="宋体" w:eastAsia="宋体" w:cs="宋体"/>
          <w:b/>
          <w:bCs w:val="0"/>
          <w:color w:val="auto"/>
          <w:sz w:val="24"/>
          <w:szCs w:val="24"/>
          <w:highlight w:val="none"/>
        </w:rPr>
      </w:pPr>
      <w:r>
        <w:rPr>
          <w:rFonts w:hint="eastAsia" w:cs="宋体"/>
          <w:color w:val="auto"/>
          <w:highlight w:val="none"/>
        </w:rPr>
        <w:br w:type="page"/>
      </w:r>
      <w:r>
        <w:rPr>
          <w:rFonts w:hint="eastAsia" w:cs="宋体"/>
          <w:color w:val="auto"/>
          <w:sz w:val="24"/>
          <w:highlight w:val="none"/>
          <w:lang w:eastAsia="zh-CN"/>
        </w:rPr>
        <w:t>（三）</w:t>
      </w:r>
      <w:r>
        <w:rPr>
          <w:rStyle w:val="104"/>
          <w:rFonts w:hint="eastAsia" w:ascii="宋体" w:hAnsi="宋体" w:eastAsia="宋体" w:cs="宋体"/>
          <w:b/>
          <w:bCs w:val="0"/>
          <w:color w:val="auto"/>
          <w:sz w:val="24"/>
          <w:szCs w:val="24"/>
          <w:highlight w:val="none"/>
        </w:rPr>
        <w:t>技术响应资料</w:t>
      </w:r>
    </w:p>
    <w:p w14:paraId="2385B874">
      <w:pPr>
        <w:widowControl/>
        <w:jc w:val="left"/>
        <w:rPr>
          <w:rFonts w:hint="eastAsia" w:ascii="宋体" w:hAnsi="宋体" w:cs="宋体"/>
          <w:color w:val="auto"/>
          <w:highlight w:val="none"/>
        </w:rPr>
      </w:pPr>
    </w:p>
    <w:p w14:paraId="0BB38379">
      <w:pPr>
        <w:pStyle w:val="6"/>
        <w:keepNext w:val="0"/>
        <w:tabs>
          <w:tab w:val="left" w:pos="1260"/>
        </w:tabs>
        <w:jc w:val="center"/>
        <w:rPr>
          <w:rFonts w:hint="eastAsia" w:cs="宋体"/>
          <w:b w:val="0"/>
          <w:bCs w:val="0"/>
          <w:color w:val="auto"/>
          <w:sz w:val="24"/>
          <w:highlight w:val="none"/>
          <w:lang w:eastAsia="zh-CN"/>
        </w:rPr>
      </w:pPr>
      <w:r>
        <w:rPr>
          <w:rFonts w:hint="eastAsia" w:ascii="宋体" w:hAnsi="宋体" w:cs="宋体"/>
          <w:color w:val="auto"/>
          <w:sz w:val="24"/>
          <w:highlight w:val="none"/>
          <w:lang w:eastAsia="zh-CN"/>
        </w:rPr>
        <w:t>1.货物（服务）主要技术指标和性能的详细说明</w:t>
      </w:r>
    </w:p>
    <w:tbl>
      <w:tblPr>
        <w:tblStyle w:val="47"/>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701"/>
        <w:gridCol w:w="1134"/>
        <w:gridCol w:w="1984"/>
        <w:gridCol w:w="2269"/>
        <w:gridCol w:w="1135"/>
      </w:tblGrid>
      <w:tr w14:paraId="00EFA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278486A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1701" w:type="dxa"/>
            <w:noWrap w:val="0"/>
            <w:vAlign w:val="center"/>
          </w:tcPr>
          <w:p w14:paraId="065CF5A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主要部件或功能配置名称</w:t>
            </w:r>
          </w:p>
        </w:tc>
        <w:tc>
          <w:tcPr>
            <w:tcW w:w="1134" w:type="dxa"/>
            <w:noWrap w:val="0"/>
            <w:vAlign w:val="center"/>
          </w:tcPr>
          <w:p w14:paraId="58D71892">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规格/型号</w:t>
            </w:r>
          </w:p>
        </w:tc>
        <w:tc>
          <w:tcPr>
            <w:tcW w:w="1984" w:type="dxa"/>
            <w:noWrap w:val="0"/>
            <w:vAlign w:val="center"/>
          </w:tcPr>
          <w:p w14:paraId="214FDFAB">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产地、品牌及制造商名称</w:t>
            </w:r>
          </w:p>
        </w:tc>
        <w:tc>
          <w:tcPr>
            <w:tcW w:w="2269" w:type="dxa"/>
            <w:noWrap w:val="0"/>
            <w:vAlign w:val="center"/>
          </w:tcPr>
          <w:p w14:paraId="013DA932">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主要技术指标及功能描述</w:t>
            </w:r>
          </w:p>
        </w:tc>
        <w:tc>
          <w:tcPr>
            <w:tcW w:w="1135" w:type="dxa"/>
            <w:noWrap w:val="0"/>
            <w:vAlign w:val="center"/>
          </w:tcPr>
          <w:p w14:paraId="1FF7D32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C904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5976E403">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4E893F65">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761C105C">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69AB6FB9">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2269" w:type="dxa"/>
            <w:noWrap w:val="0"/>
            <w:vAlign w:val="top"/>
          </w:tcPr>
          <w:p w14:paraId="35997F1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74D7920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672F0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7F34961C">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543F9EBD">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13560BAA">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000C5C2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8A3715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41DBD5F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6E55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3CC753F5">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C966D3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4C943D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1FBCEC2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283748C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05FA6F8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519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028A1FDA">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3537714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0EA997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6CBFC10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277F456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7867E32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B78C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6BA5DC4F">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5551A54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453D81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7802C46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B9F192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0BF2A23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2C214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47131BA7">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341E3B4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38A311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2CCCDD4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0BD5C3F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174E95F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5FCE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3F89399D">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175F921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AFDEFE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5266E49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2CE437B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97B8EB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2580F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04BAD71D">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850797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24B2D1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7E12F8E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5C157FE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5A7AA8B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8E1C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00F4BE21">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603989F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C0F2DF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1666DB7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4A62C20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1B17339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4469DC22">
      <w:pPr>
        <w:widowControl/>
        <w:jc w:val="left"/>
        <w:rPr>
          <w:rFonts w:hint="eastAsia" w:ascii="宋体" w:hAnsi="宋体" w:cs="宋体"/>
          <w:color w:val="auto"/>
          <w:sz w:val="24"/>
          <w:highlight w:val="none"/>
        </w:rPr>
      </w:pPr>
      <w:r>
        <w:rPr>
          <w:rFonts w:hint="eastAsia" w:ascii="宋体" w:hAnsi="宋体" w:cs="宋体"/>
          <w:color w:val="auto"/>
          <w:sz w:val="24"/>
          <w:highlight w:val="none"/>
        </w:rPr>
        <w:t>注：投标人应将投标产品拆分为相关主要部件分别描述。</w:t>
      </w:r>
    </w:p>
    <w:p w14:paraId="67B30D4D">
      <w:pPr>
        <w:widowControl/>
        <w:jc w:val="left"/>
        <w:rPr>
          <w:rFonts w:hint="eastAsia" w:ascii="宋体" w:hAnsi="宋体" w:cs="宋体"/>
          <w:color w:val="auto"/>
          <w:sz w:val="24"/>
          <w:highlight w:val="none"/>
        </w:rPr>
      </w:pPr>
    </w:p>
    <w:p w14:paraId="18CED77C">
      <w:pPr>
        <w:pStyle w:val="6"/>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2.货物（服务）说明（按此格式或者投标人自定格式）</w:t>
      </w:r>
    </w:p>
    <w:tbl>
      <w:tblPr>
        <w:tblStyle w:val="4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9"/>
        <w:gridCol w:w="5930"/>
      </w:tblGrid>
      <w:tr w14:paraId="55DB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jc w:val="center"/>
        </w:trPr>
        <w:tc>
          <w:tcPr>
            <w:tcW w:w="3109" w:type="dxa"/>
            <w:noWrap w:val="0"/>
            <w:vAlign w:val="center"/>
          </w:tcPr>
          <w:p w14:paraId="790228F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5930" w:type="dxa"/>
            <w:noWrap w:val="0"/>
            <w:vAlign w:val="center"/>
          </w:tcPr>
          <w:p w14:paraId="0C375B4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p>
        </w:tc>
      </w:tr>
      <w:tr w14:paraId="19E9B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039" w:type="dxa"/>
            <w:gridSpan w:val="2"/>
            <w:noWrap w:val="0"/>
            <w:vAlign w:val="center"/>
          </w:tcPr>
          <w:p w14:paraId="3FF150C5">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供货范围</w:t>
            </w:r>
          </w:p>
        </w:tc>
      </w:tr>
      <w:tr w14:paraId="6E11E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039" w:type="dxa"/>
            <w:gridSpan w:val="2"/>
            <w:noWrap w:val="0"/>
            <w:vAlign w:val="center"/>
          </w:tcPr>
          <w:p w14:paraId="022484A9">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工艺、参数等货物（服务）详细说明</w:t>
            </w:r>
          </w:p>
        </w:tc>
      </w:tr>
    </w:tbl>
    <w:p w14:paraId="3BA79E6A">
      <w:pPr>
        <w:widowControl/>
        <w:jc w:val="left"/>
        <w:rPr>
          <w:rFonts w:hint="eastAsia" w:ascii="宋体" w:hAnsi="宋体" w:cs="宋体"/>
          <w:color w:val="auto"/>
          <w:sz w:val="24"/>
          <w:highlight w:val="none"/>
        </w:rPr>
      </w:pPr>
    </w:p>
    <w:p w14:paraId="1C5FBDFE">
      <w:pPr>
        <w:pStyle w:val="6"/>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3.供货安装（调试）方案</w:t>
      </w:r>
    </w:p>
    <w:p w14:paraId="1AE9923C">
      <w:pPr>
        <w:rPr>
          <w:rFonts w:hint="eastAsia" w:ascii="宋体" w:hAnsi="宋体" w:cs="宋体"/>
          <w:color w:val="auto"/>
          <w:sz w:val="24"/>
          <w:highlight w:val="none"/>
          <w:lang w:bidi="en-US"/>
        </w:rPr>
      </w:pPr>
    </w:p>
    <w:p w14:paraId="6CDAD36B">
      <w:pPr>
        <w:pStyle w:val="6"/>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4.维保、售后服务体系与维保方案</w:t>
      </w:r>
    </w:p>
    <w:p w14:paraId="16D838A4">
      <w:pPr>
        <w:rPr>
          <w:rFonts w:hint="eastAsia" w:ascii="宋体" w:hAnsi="宋体" w:cs="宋体"/>
          <w:color w:val="auto"/>
          <w:sz w:val="24"/>
          <w:highlight w:val="none"/>
          <w:lang w:bidi="en-US"/>
        </w:rPr>
      </w:pPr>
    </w:p>
    <w:p w14:paraId="23CCFA50">
      <w:pPr>
        <w:pStyle w:val="6"/>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5.培训方案</w:t>
      </w:r>
    </w:p>
    <w:p w14:paraId="3D8BD266">
      <w:pPr>
        <w:rPr>
          <w:rFonts w:hint="eastAsia" w:ascii="宋体" w:hAnsi="宋体" w:cs="宋体"/>
          <w:color w:val="auto"/>
          <w:sz w:val="24"/>
          <w:highlight w:val="none"/>
          <w:lang w:bidi="en-US"/>
        </w:rPr>
      </w:pPr>
    </w:p>
    <w:p w14:paraId="5160B87A">
      <w:pPr>
        <w:pStyle w:val="6"/>
        <w:tabs>
          <w:tab w:val="left" w:pos="1260"/>
        </w:tabs>
        <w:jc w:val="center"/>
        <w:rPr>
          <w:rFonts w:hint="eastAsia" w:ascii="宋体" w:hAnsi="宋体" w:cs="宋体"/>
          <w:iCs w:val="0"/>
          <w:color w:val="auto"/>
          <w:sz w:val="24"/>
          <w:highlight w:val="none"/>
          <w:lang w:eastAsia="zh-CN"/>
        </w:rPr>
      </w:pPr>
      <w:r>
        <w:rPr>
          <w:rFonts w:hint="eastAsia" w:ascii="宋体" w:hAnsi="宋体" w:cs="宋体"/>
          <w:iCs w:val="0"/>
          <w:color w:val="auto"/>
          <w:sz w:val="24"/>
          <w:highlight w:val="none"/>
          <w:lang w:eastAsia="zh-CN"/>
        </w:rPr>
        <w:t>6.所投货物（服务）的技术资料或检测报告等</w:t>
      </w:r>
    </w:p>
    <w:p w14:paraId="0A6532DE">
      <w:pPr>
        <w:rPr>
          <w:rFonts w:hint="eastAsia" w:ascii="宋体" w:hAnsi="宋体" w:cs="宋体"/>
          <w:b/>
          <w:bCs/>
          <w:color w:val="auto"/>
          <w:sz w:val="24"/>
          <w:highlight w:val="none"/>
        </w:rPr>
      </w:pPr>
    </w:p>
    <w:p w14:paraId="4B4BE633">
      <w:pPr>
        <w:spacing w:line="360" w:lineRule="auto"/>
        <w:jc w:val="center"/>
        <w:outlineLvl w:val="2"/>
        <w:rPr>
          <w:rFonts w:hint="eastAsia" w:ascii="宋体" w:hAnsi="宋体" w:cs="宋体"/>
          <w:b/>
          <w:bCs/>
          <w:color w:val="auto"/>
          <w:kern w:val="0"/>
          <w:sz w:val="24"/>
          <w:highlight w:val="none"/>
          <w:lang w:bidi="en-US"/>
        </w:rPr>
      </w:pPr>
      <w:r>
        <w:rPr>
          <w:rFonts w:hint="eastAsia" w:ascii="宋体" w:hAnsi="宋体" w:cs="宋体"/>
          <w:b/>
          <w:bCs/>
          <w:color w:val="auto"/>
          <w:kern w:val="0"/>
          <w:sz w:val="24"/>
          <w:highlight w:val="none"/>
          <w:lang w:bidi="en-US"/>
        </w:rPr>
        <w:br w:type="page"/>
      </w:r>
      <w:r>
        <w:rPr>
          <w:rFonts w:hint="eastAsia" w:ascii="宋体" w:hAnsi="宋体" w:cs="宋体"/>
          <w:b/>
          <w:bCs/>
          <w:color w:val="auto"/>
          <w:kern w:val="0"/>
          <w:sz w:val="24"/>
          <w:highlight w:val="none"/>
          <w:lang w:bidi="en-US"/>
        </w:rPr>
        <w:t>（四）用于评标的业绩证明材料</w:t>
      </w:r>
    </w:p>
    <w:p w14:paraId="251D6008">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3B595E70">
      <w:pPr>
        <w:pStyle w:val="27"/>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56D4792A">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5D5BCADF">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39FCD53D">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34E9F236">
      <w:pPr>
        <w:jc w:val="center"/>
        <w:rPr>
          <w:rFonts w:hint="eastAsia" w:ascii="宋体" w:hAnsi="宋体" w:cs="宋体"/>
          <w:color w:val="auto"/>
          <w:sz w:val="28"/>
          <w:highlight w:val="none"/>
        </w:rPr>
      </w:pPr>
    </w:p>
    <w:p w14:paraId="6B5B4AE0">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47"/>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0F0D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1729496">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6A14906C">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69CCE37E">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5BD039CC">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2DB140C6">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4CFC2BDE">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4BB5E8DA">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1708EAD3">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5559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D2525BE">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1B18A3E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026C200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097FE0F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55583E7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7EE6498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4BFAB4BC">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0DB1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4E98D808">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58CC00E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4162C15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747E946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78EB3A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2C61FBE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23BA72EC">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0DED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3DEA70D3">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7C18695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7D1E4E4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3438062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41C929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150AD32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4733D306">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51B4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DA908E0">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0366F86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4D4812C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5D7E49F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2AB590F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507A6D4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40576EA9">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1E53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903352D">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208B00C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6DD178E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69354D5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564CF35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3270F2C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01AB6F9D">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1020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6302A36">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64F092C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702A36B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5C10009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3A8D1FC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38FD258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57C9EE6F">
            <w:pPr>
              <w:keepNext w:val="0"/>
              <w:keepLines w:val="0"/>
              <w:suppressLineNumbers w:val="0"/>
              <w:spacing w:before="0" w:beforeAutospacing="0" w:after="0" w:afterAutospacing="0"/>
              <w:ind w:left="0" w:right="0"/>
              <w:rPr>
                <w:rFonts w:hint="eastAsia" w:ascii="宋体" w:hAnsi="宋体" w:cs="宋体"/>
                <w:color w:val="auto"/>
                <w:highlight w:val="none"/>
              </w:rPr>
            </w:pPr>
          </w:p>
        </w:tc>
      </w:tr>
    </w:tbl>
    <w:p w14:paraId="359B8AA6">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注：应附中标/成交通知书（如有）和合同协议书，以及验收报告（验收证明文件）（如有）等材料（具体以评标办法章节要求为准），具体年份时间要求见评标办法章节。</w:t>
      </w:r>
    </w:p>
    <w:p w14:paraId="660051DB">
      <w:pPr>
        <w:rPr>
          <w:rFonts w:hint="eastAsia" w:ascii="宋体" w:hAnsi="宋体" w:cs="宋体"/>
          <w:color w:val="auto"/>
          <w:highlight w:val="none"/>
          <w:lang w:bidi="en-US"/>
        </w:rPr>
      </w:pPr>
    </w:p>
    <w:p w14:paraId="72B3A8CE">
      <w:pPr>
        <w:rPr>
          <w:rFonts w:hint="eastAsia" w:ascii="宋体" w:hAnsi="宋体" w:cs="宋体"/>
          <w:color w:val="auto"/>
          <w:highlight w:val="none"/>
          <w:lang w:bidi="en-US"/>
        </w:rPr>
      </w:pPr>
    </w:p>
    <w:p w14:paraId="00BCB3A1">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0A64BA36">
      <w:pPr>
        <w:pStyle w:val="5"/>
        <w:tabs>
          <w:tab w:val="left" w:pos="1260"/>
        </w:tabs>
        <w:jc w:val="center"/>
        <w:rPr>
          <w:rFonts w:hint="eastAsia" w:cs="宋体"/>
          <w:color w:val="auto"/>
          <w:sz w:val="24"/>
          <w:highlight w:val="none"/>
          <w:lang w:eastAsia="zh-CN"/>
        </w:rPr>
      </w:pPr>
      <w:r>
        <w:rPr>
          <w:rFonts w:hint="eastAsia" w:cs="宋体"/>
          <w:color w:val="auto"/>
          <w:sz w:val="24"/>
          <w:highlight w:val="none"/>
          <w:lang w:eastAsia="zh-CN"/>
        </w:rPr>
        <w:t>（五）样品（如有）</w:t>
      </w:r>
    </w:p>
    <w:p w14:paraId="51E98180">
      <w:pPr>
        <w:jc w:val="center"/>
        <w:rPr>
          <w:rFonts w:hint="eastAsia"/>
          <w:color w:val="auto"/>
          <w:highlight w:val="none"/>
        </w:rPr>
      </w:pPr>
      <w:r>
        <w:rPr>
          <w:rFonts w:hint="eastAsia" w:ascii="宋体" w:hAnsi="宋体" w:cs="宋体"/>
          <w:color w:val="auto"/>
          <w:highlight w:val="none"/>
        </w:rPr>
        <w:t>如招标文件要求提供样品，请按规定提供。</w:t>
      </w:r>
    </w:p>
    <w:p w14:paraId="7FEF3349">
      <w:pPr>
        <w:rPr>
          <w:color w:val="auto"/>
          <w:highlight w:val="none"/>
        </w:rPr>
      </w:pPr>
    </w:p>
    <w:p w14:paraId="30BDBCC0">
      <w:pPr>
        <w:pStyle w:val="5"/>
        <w:tabs>
          <w:tab w:val="left" w:pos="1260"/>
        </w:tabs>
        <w:jc w:val="center"/>
        <w:rPr>
          <w:rFonts w:cs="宋体"/>
          <w:color w:val="auto"/>
          <w:sz w:val="24"/>
          <w:highlight w:val="none"/>
          <w:lang w:eastAsia="zh-CN"/>
        </w:rPr>
      </w:pPr>
      <w:r>
        <w:rPr>
          <w:rFonts w:hint="eastAsia" w:cs="宋体"/>
          <w:color w:val="auto"/>
          <w:sz w:val="24"/>
          <w:highlight w:val="none"/>
          <w:lang w:eastAsia="zh-CN"/>
        </w:rPr>
        <w:t>（六）其他材料</w:t>
      </w:r>
    </w:p>
    <w:p w14:paraId="26B2E2D4">
      <w:pPr>
        <w:widowControl/>
        <w:jc w:val="left"/>
        <w:rPr>
          <w:rFonts w:hint="eastAsia" w:ascii="宋体" w:hAnsi="宋体" w:cs="宋体"/>
          <w:color w:val="auto"/>
          <w:highlight w:val="none"/>
        </w:rPr>
      </w:pPr>
    </w:p>
    <w:p w14:paraId="670C33D1">
      <w:pPr>
        <w:widowControl/>
        <w:jc w:val="left"/>
        <w:rPr>
          <w:rFonts w:hint="eastAsia" w:ascii="宋体" w:hAnsi="宋体" w:cs="宋体"/>
          <w:color w:val="auto"/>
          <w:highlight w:val="none"/>
        </w:rPr>
      </w:pPr>
    </w:p>
    <w:p w14:paraId="312D6EDA">
      <w:pPr>
        <w:widowControl/>
        <w:jc w:val="left"/>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2DAD4A3E">
      <w:pPr>
        <w:spacing w:line="360" w:lineRule="auto"/>
        <w:jc w:val="center"/>
        <w:outlineLvl w:val="1"/>
        <w:rPr>
          <w:rFonts w:hint="eastAsia" w:ascii="宋体" w:hAnsi="宋体"/>
          <w:b/>
          <w:color w:val="auto"/>
          <w:sz w:val="24"/>
          <w:highlight w:val="none"/>
        </w:rPr>
      </w:pPr>
      <w:bookmarkStart w:id="841" w:name="_Hlk11531103"/>
      <w:r>
        <w:rPr>
          <w:rStyle w:val="104"/>
          <w:rFonts w:hint="eastAsia" w:ascii="宋体" w:hAnsi="宋体" w:eastAsia="宋体" w:cs="宋体"/>
          <w:color w:val="auto"/>
          <w:sz w:val="30"/>
          <w:szCs w:val="30"/>
          <w:highlight w:val="none"/>
        </w:rPr>
        <w:t>十一、主要标的承诺函</w:t>
      </w:r>
    </w:p>
    <w:p w14:paraId="3673063F">
      <w:pPr>
        <w:jc w:val="center"/>
        <w:rPr>
          <w:rFonts w:hint="eastAsia"/>
          <w:color w:val="auto"/>
          <w:highlight w:val="none"/>
        </w:rPr>
      </w:pPr>
      <w:r>
        <w:rPr>
          <w:rFonts w:hint="eastAsia" w:ascii="宋体" w:hAnsi="宋体"/>
          <w:b/>
          <w:color w:val="auto"/>
          <w:sz w:val="24"/>
          <w:highlight w:val="none"/>
        </w:rPr>
        <w:t>（列出招标文件标明</w:t>
      </w:r>
      <w:r>
        <w:rPr>
          <w:rFonts w:hint="eastAsia" w:ascii="仿宋" w:hAnsi="仿宋" w:eastAsia="仿宋" w:cs="仿宋"/>
          <w:color w:val="auto"/>
          <w:sz w:val="24"/>
          <w:highlight w:val="none"/>
        </w:rPr>
        <w:t>▲</w:t>
      </w:r>
      <w:r>
        <w:rPr>
          <w:rFonts w:hint="eastAsia" w:ascii="宋体" w:hAnsi="宋体"/>
          <w:b/>
          <w:color w:val="auto"/>
          <w:sz w:val="24"/>
          <w:highlight w:val="none"/>
        </w:rPr>
        <w:t>货物的信息）</w:t>
      </w:r>
    </w:p>
    <w:p w14:paraId="1D8F02A5">
      <w:pPr>
        <w:widowControl/>
        <w:tabs>
          <w:tab w:val="left" w:leader="underscore" w:pos="2880"/>
        </w:tabs>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致：【采购人名称】（采购人名称)</w:t>
      </w:r>
    </w:p>
    <w:p w14:paraId="6380E446">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4872847E">
      <w:pPr>
        <w:spacing w:line="360" w:lineRule="auto"/>
        <w:ind w:firstLine="435"/>
        <w:rPr>
          <w:rFonts w:ascii="宋体" w:hAnsi="宋体"/>
          <w:color w:val="auto"/>
          <w:szCs w:val="21"/>
          <w:highlight w:val="none"/>
        </w:rPr>
      </w:pPr>
      <w:r>
        <w:rPr>
          <w:rFonts w:hint="eastAsia" w:ascii="宋体" w:hAnsi="宋体"/>
          <w:color w:val="auto"/>
          <w:szCs w:val="21"/>
          <w:highlight w:val="none"/>
        </w:rPr>
        <w:t>我单位同意中标结果公告中公告以下主要标的信息并承诺：投标文件中所提供的主要标的信息均真实有效。若被发现存在任何虚假、隐瞒情况，我单位承担由此产生的一切后果。</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83"/>
        <w:gridCol w:w="1062"/>
        <w:gridCol w:w="1646"/>
        <w:gridCol w:w="1890"/>
        <w:gridCol w:w="1809"/>
        <w:gridCol w:w="1003"/>
      </w:tblGrid>
      <w:tr w14:paraId="5C4B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37" w:type="pct"/>
            <w:noWrap w:val="0"/>
            <w:vAlign w:val="center"/>
          </w:tcPr>
          <w:p w14:paraId="7C1A627A">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序号</w:t>
            </w:r>
          </w:p>
        </w:tc>
        <w:tc>
          <w:tcPr>
            <w:tcW w:w="803" w:type="pct"/>
            <w:noWrap w:val="0"/>
            <w:vAlign w:val="center"/>
          </w:tcPr>
          <w:p w14:paraId="7B0B567C">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名称</w:t>
            </w:r>
          </w:p>
        </w:tc>
        <w:tc>
          <w:tcPr>
            <w:tcW w:w="539" w:type="pct"/>
            <w:noWrap w:val="0"/>
            <w:vAlign w:val="center"/>
          </w:tcPr>
          <w:p w14:paraId="2E0FC76A">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品牌</w:t>
            </w:r>
          </w:p>
        </w:tc>
        <w:tc>
          <w:tcPr>
            <w:tcW w:w="835" w:type="pct"/>
            <w:noWrap w:val="0"/>
            <w:vAlign w:val="center"/>
          </w:tcPr>
          <w:p w14:paraId="5092DD62">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规格型号</w:t>
            </w:r>
          </w:p>
        </w:tc>
        <w:tc>
          <w:tcPr>
            <w:tcW w:w="959" w:type="pct"/>
            <w:noWrap w:val="0"/>
            <w:vAlign w:val="center"/>
          </w:tcPr>
          <w:p w14:paraId="5BD3A0AE">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数量</w:t>
            </w:r>
          </w:p>
        </w:tc>
        <w:tc>
          <w:tcPr>
            <w:tcW w:w="918" w:type="pct"/>
            <w:noWrap w:val="0"/>
            <w:vAlign w:val="center"/>
          </w:tcPr>
          <w:p w14:paraId="66782EF2">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单价</w:t>
            </w:r>
          </w:p>
        </w:tc>
        <w:tc>
          <w:tcPr>
            <w:tcW w:w="509" w:type="pct"/>
            <w:noWrap w:val="0"/>
            <w:vAlign w:val="center"/>
          </w:tcPr>
          <w:p w14:paraId="126F43D2">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备注</w:t>
            </w:r>
          </w:p>
        </w:tc>
      </w:tr>
      <w:tr w14:paraId="6DAD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426D8766">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1</w:t>
            </w:r>
          </w:p>
        </w:tc>
        <w:tc>
          <w:tcPr>
            <w:tcW w:w="803" w:type="pct"/>
            <w:noWrap w:val="0"/>
            <w:vAlign w:val="center"/>
          </w:tcPr>
          <w:p w14:paraId="438405C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7FAA5084">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0060F932">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2FD47DB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1BC99144">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026492B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7FE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33D4DC33">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2</w:t>
            </w:r>
          </w:p>
        </w:tc>
        <w:tc>
          <w:tcPr>
            <w:tcW w:w="803" w:type="pct"/>
            <w:noWrap w:val="0"/>
            <w:vAlign w:val="center"/>
          </w:tcPr>
          <w:p w14:paraId="60BB243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0909FBF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677BC72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5F1D0996">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59404BF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649D3E8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5128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5BA0A02B">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3</w:t>
            </w:r>
          </w:p>
        </w:tc>
        <w:tc>
          <w:tcPr>
            <w:tcW w:w="803" w:type="pct"/>
            <w:noWrap w:val="0"/>
            <w:vAlign w:val="center"/>
          </w:tcPr>
          <w:p w14:paraId="67956D7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58F8613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297BAAF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426F675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0DB195C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9BDA4E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21A3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73B4DABD">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4</w:t>
            </w:r>
          </w:p>
        </w:tc>
        <w:tc>
          <w:tcPr>
            <w:tcW w:w="803" w:type="pct"/>
            <w:noWrap w:val="0"/>
            <w:vAlign w:val="center"/>
          </w:tcPr>
          <w:p w14:paraId="361E6AB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3E80AC69">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45294AC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6144968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5829573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6B47674C">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53F5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12CC9734">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5</w:t>
            </w:r>
          </w:p>
        </w:tc>
        <w:tc>
          <w:tcPr>
            <w:tcW w:w="803" w:type="pct"/>
            <w:noWrap w:val="0"/>
            <w:vAlign w:val="center"/>
          </w:tcPr>
          <w:p w14:paraId="74CB17D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526D083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3EF044D6">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68A2BF0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3F09533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04B82A62">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5B45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1110710C">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w:t>
            </w:r>
          </w:p>
        </w:tc>
        <w:tc>
          <w:tcPr>
            <w:tcW w:w="803" w:type="pct"/>
            <w:noWrap w:val="0"/>
            <w:vAlign w:val="center"/>
          </w:tcPr>
          <w:p w14:paraId="780A26B5">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65B2345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1F2A982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6B9201B6">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19FE3EF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C6C07B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bl>
    <w:p w14:paraId="357DC406">
      <w:pPr>
        <w:adjustRightInd w:val="0"/>
        <w:snapToGrid w:val="0"/>
        <w:spacing w:line="360" w:lineRule="auto"/>
        <w:rPr>
          <w:rFonts w:ascii="宋体" w:hAnsi="宋体"/>
          <w:b/>
          <w:bCs/>
          <w:color w:val="auto"/>
          <w:szCs w:val="21"/>
          <w:highlight w:val="none"/>
        </w:rPr>
      </w:pPr>
    </w:p>
    <w:p w14:paraId="648A561B">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备注：</w:t>
      </w:r>
    </w:p>
    <w:p w14:paraId="4C2ACCB9">
      <w:pPr>
        <w:spacing w:line="360" w:lineRule="auto"/>
        <w:ind w:firstLine="435"/>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表中所列内容为满足本项目要求的</w:t>
      </w:r>
      <w:r>
        <w:rPr>
          <w:rFonts w:hint="eastAsia" w:ascii="宋体" w:hAnsi="宋体"/>
          <w:bCs/>
          <w:color w:val="auto"/>
          <w:szCs w:val="21"/>
          <w:highlight w:val="none"/>
        </w:rPr>
        <w:t>主要标的信息；</w:t>
      </w:r>
    </w:p>
    <w:p w14:paraId="48DD635E">
      <w:pPr>
        <w:spacing w:line="360" w:lineRule="auto"/>
        <w:ind w:firstLine="435"/>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中标人提供的以上承诺情况（含名称、品牌、规格型号、数量、单价），经评标委员会确认后，将按约定随中标结果公告同时公告。</w:t>
      </w:r>
    </w:p>
    <w:bookmarkEnd w:id="841"/>
    <w:p w14:paraId="2A5A8921">
      <w:pPr>
        <w:pStyle w:val="4"/>
        <w:widowControl/>
        <w:spacing w:before="120" w:after="120" w:line="240" w:lineRule="auto"/>
        <w:jc w:val="center"/>
        <w:rPr>
          <w:rStyle w:val="104"/>
          <w:rFonts w:hint="eastAsia" w:ascii="宋体" w:hAnsi="宋体" w:eastAsia="宋体" w:cs="宋体"/>
          <w:b/>
          <w:bCs/>
          <w:color w:val="auto"/>
          <w:sz w:val="30"/>
          <w:szCs w:val="30"/>
          <w:highlight w:val="none"/>
        </w:rPr>
      </w:pPr>
      <w:r>
        <w:rPr>
          <w:rStyle w:val="104"/>
          <w:rFonts w:hint="eastAsia" w:ascii="宋体" w:hAnsi="宋体" w:eastAsia="宋体" w:cs="宋体"/>
          <w:b/>
          <w:bCs/>
          <w:color w:val="auto"/>
          <w:sz w:val="30"/>
          <w:szCs w:val="30"/>
          <w:highlight w:val="none"/>
        </w:rPr>
        <w:br w:type="page"/>
      </w:r>
      <w:r>
        <w:rPr>
          <w:rStyle w:val="104"/>
          <w:rFonts w:hint="eastAsia" w:ascii="宋体" w:hAnsi="宋体" w:eastAsia="宋体" w:cs="宋体"/>
          <w:b/>
          <w:bCs/>
          <w:color w:val="auto"/>
          <w:sz w:val="30"/>
          <w:szCs w:val="30"/>
          <w:highlight w:val="none"/>
        </w:rPr>
        <w:t>十二、投标人认为应该提供的其他资料</w:t>
      </w:r>
    </w:p>
    <w:p w14:paraId="34F50807">
      <w:pPr>
        <w:widowControl/>
        <w:jc w:val="left"/>
        <w:rPr>
          <w:rFonts w:hint="eastAsia" w:ascii="宋体" w:hAnsi="宋体" w:cs="宋体"/>
          <w:color w:val="auto"/>
          <w:szCs w:val="21"/>
          <w:highlight w:val="none"/>
        </w:rPr>
      </w:pPr>
    </w:p>
    <w:sectPr>
      <w:footerReference r:id="rId9" w:type="even"/>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书宋简体">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3D64">
    <w:pPr>
      <w:pStyle w:val="31"/>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FC1BD">
    <w:pPr>
      <w:pStyle w:val="31"/>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E236">
    <w:pPr>
      <w:pStyle w:val="3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14</w:t>
    </w:r>
    <w:r>
      <w:rPr>
        <w:rFonts w:ascii="宋体" w:hAnsi="宋体"/>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7F572">
    <w:pPr>
      <w:pStyle w:val="3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40</w:t>
    </w:r>
    <w:r>
      <w:rPr>
        <w:rFonts w:ascii="宋体" w:hAnsi="宋体"/>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6FD98">
    <w:pPr>
      <w:pStyle w:val="31"/>
      <w:framePr w:wrap="around" w:vAnchor="text" w:hAnchor="margin" w:xAlign="center" w:y="1"/>
      <w:rPr>
        <w:rStyle w:val="52"/>
      </w:rPr>
    </w:pPr>
    <w:r>
      <w:fldChar w:fldCharType="begin"/>
    </w:r>
    <w:r>
      <w:rPr>
        <w:rStyle w:val="52"/>
      </w:rPr>
      <w:instrText xml:space="preserve">PAGE  </w:instrText>
    </w:r>
    <w:r>
      <w:fldChar w:fldCharType="separate"/>
    </w:r>
    <w:r>
      <w:fldChar w:fldCharType="end"/>
    </w:r>
  </w:p>
  <w:p w14:paraId="08AE0C78">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7E0C822">
      <w:pPr>
        <w:widowControl/>
        <w:jc w:val="left"/>
        <w:rPr>
          <w:rFonts w:eastAsia="仿宋"/>
        </w:rPr>
      </w:pPr>
      <w:r>
        <w:rPr>
          <w:rStyle w:val="59"/>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 w:id="1">
    <w:p w14:paraId="5D5951B4">
      <w:pPr>
        <w:widowControl/>
        <w:spacing w:line="200" w:lineRule="atLeast"/>
        <w:rPr>
          <w:rFonts w:hint="eastAsia" w:ascii="楷体" w:hAnsi="楷体" w:eastAsia="楷体" w:cs="楷体"/>
          <w:color w:val="0000FF"/>
        </w:rPr>
      </w:pPr>
      <w:r>
        <w:rPr>
          <w:rStyle w:val="59"/>
          <w:rFonts w:hint="eastAsia" w:ascii="楷体" w:hAnsi="楷体" w:eastAsia="楷体" w:cs="楷体"/>
          <w:color w:val="0000FF"/>
        </w:rPr>
        <w:footnoteRef/>
      </w:r>
      <w:r>
        <w:rPr>
          <w:rFonts w:hint="eastAsia" w:ascii="楷体" w:hAnsi="楷体" w:eastAsia="楷体" w:cs="楷体"/>
          <w:bCs/>
          <w:color w:val="0000FF"/>
          <w:kern w:val="0"/>
          <w:szCs w:val="21"/>
        </w:rPr>
        <w:t>注：除进口产品外，制造商授权书不作为资格条件。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7727">
    <w:pPr>
      <w:pStyle w:val="32"/>
      <w:jc w:val="left"/>
      <w:rPr>
        <w:sz w:val="21"/>
      </w:rPr>
    </w:pPr>
    <w:r>
      <w:rPr>
        <w:rFonts w:hint="eastAsia"/>
        <w:sz w:val="21"/>
      </w:rPr>
      <w:t xml:space="preserve">        项目名称                                             安徽省招标集团股份有限公司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7C96A"/>
    <w:multiLevelType w:val="singleLevel"/>
    <w:tmpl w:val="9F17C96A"/>
    <w:lvl w:ilvl="0" w:tentative="0">
      <w:start w:val="1"/>
      <w:numFmt w:val="bullet"/>
      <w:pStyle w:val="22"/>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ZWY5YTRiNjUyOGY0NGQ4NjBlZDczYzUzYzRkOTYifQ=="/>
  </w:docVars>
  <w:rsids>
    <w:rsidRoot w:val="00172A27"/>
    <w:rsid w:val="00000EE6"/>
    <w:rsid w:val="000015DE"/>
    <w:rsid w:val="00003E42"/>
    <w:rsid w:val="00004E49"/>
    <w:rsid w:val="0000515D"/>
    <w:rsid w:val="000051EC"/>
    <w:rsid w:val="00005E04"/>
    <w:rsid w:val="0000746E"/>
    <w:rsid w:val="00010114"/>
    <w:rsid w:val="0001038B"/>
    <w:rsid w:val="00010F47"/>
    <w:rsid w:val="000124DF"/>
    <w:rsid w:val="00012FFE"/>
    <w:rsid w:val="00013B67"/>
    <w:rsid w:val="000155DE"/>
    <w:rsid w:val="00020481"/>
    <w:rsid w:val="000218DB"/>
    <w:rsid w:val="00023307"/>
    <w:rsid w:val="0002356B"/>
    <w:rsid w:val="000246C1"/>
    <w:rsid w:val="00024F3F"/>
    <w:rsid w:val="000255A6"/>
    <w:rsid w:val="00025A74"/>
    <w:rsid w:val="00025AC2"/>
    <w:rsid w:val="00026830"/>
    <w:rsid w:val="00027256"/>
    <w:rsid w:val="0002748A"/>
    <w:rsid w:val="0002784F"/>
    <w:rsid w:val="00031C00"/>
    <w:rsid w:val="00032599"/>
    <w:rsid w:val="0003297D"/>
    <w:rsid w:val="00033736"/>
    <w:rsid w:val="00034B9D"/>
    <w:rsid w:val="00036A83"/>
    <w:rsid w:val="00036B9A"/>
    <w:rsid w:val="000375C2"/>
    <w:rsid w:val="00037C3C"/>
    <w:rsid w:val="000404FE"/>
    <w:rsid w:val="00041449"/>
    <w:rsid w:val="0004245A"/>
    <w:rsid w:val="000427C4"/>
    <w:rsid w:val="00042C11"/>
    <w:rsid w:val="00043439"/>
    <w:rsid w:val="000439A3"/>
    <w:rsid w:val="00043D27"/>
    <w:rsid w:val="00043E94"/>
    <w:rsid w:val="000468AA"/>
    <w:rsid w:val="000468B6"/>
    <w:rsid w:val="000473AB"/>
    <w:rsid w:val="0005058F"/>
    <w:rsid w:val="00050D28"/>
    <w:rsid w:val="00052113"/>
    <w:rsid w:val="00053E8B"/>
    <w:rsid w:val="000547D3"/>
    <w:rsid w:val="00054E5C"/>
    <w:rsid w:val="00056D97"/>
    <w:rsid w:val="00057923"/>
    <w:rsid w:val="00060A4A"/>
    <w:rsid w:val="00063445"/>
    <w:rsid w:val="00063931"/>
    <w:rsid w:val="00064B9A"/>
    <w:rsid w:val="00065650"/>
    <w:rsid w:val="0006576D"/>
    <w:rsid w:val="00070A25"/>
    <w:rsid w:val="00073AF9"/>
    <w:rsid w:val="00074DF9"/>
    <w:rsid w:val="00075412"/>
    <w:rsid w:val="00075935"/>
    <w:rsid w:val="000761BE"/>
    <w:rsid w:val="000772D3"/>
    <w:rsid w:val="00077482"/>
    <w:rsid w:val="00081489"/>
    <w:rsid w:val="000816E1"/>
    <w:rsid w:val="00083268"/>
    <w:rsid w:val="000849D7"/>
    <w:rsid w:val="0008541F"/>
    <w:rsid w:val="00090E07"/>
    <w:rsid w:val="000916C1"/>
    <w:rsid w:val="0009475E"/>
    <w:rsid w:val="00094F75"/>
    <w:rsid w:val="00096107"/>
    <w:rsid w:val="000976ED"/>
    <w:rsid w:val="000979EA"/>
    <w:rsid w:val="00097DC6"/>
    <w:rsid w:val="000A0F60"/>
    <w:rsid w:val="000A128E"/>
    <w:rsid w:val="000A12FF"/>
    <w:rsid w:val="000A16B8"/>
    <w:rsid w:val="000A3B07"/>
    <w:rsid w:val="000A3D79"/>
    <w:rsid w:val="000A4340"/>
    <w:rsid w:val="000A5BF7"/>
    <w:rsid w:val="000A5C0C"/>
    <w:rsid w:val="000A61DD"/>
    <w:rsid w:val="000A62BA"/>
    <w:rsid w:val="000A6FC0"/>
    <w:rsid w:val="000A70D0"/>
    <w:rsid w:val="000A77EE"/>
    <w:rsid w:val="000A79DD"/>
    <w:rsid w:val="000A7DC5"/>
    <w:rsid w:val="000B0EE4"/>
    <w:rsid w:val="000B46DA"/>
    <w:rsid w:val="000B6A03"/>
    <w:rsid w:val="000C0ECE"/>
    <w:rsid w:val="000C5A16"/>
    <w:rsid w:val="000C5BA6"/>
    <w:rsid w:val="000C5D50"/>
    <w:rsid w:val="000C7096"/>
    <w:rsid w:val="000C7736"/>
    <w:rsid w:val="000D279E"/>
    <w:rsid w:val="000D3FE0"/>
    <w:rsid w:val="000D4E5D"/>
    <w:rsid w:val="000D7B48"/>
    <w:rsid w:val="000E11B8"/>
    <w:rsid w:val="000E21BD"/>
    <w:rsid w:val="000E4AD6"/>
    <w:rsid w:val="000E5ADA"/>
    <w:rsid w:val="000E6D50"/>
    <w:rsid w:val="000F01D6"/>
    <w:rsid w:val="000F0D8B"/>
    <w:rsid w:val="000F2211"/>
    <w:rsid w:val="000F2F23"/>
    <w:rsid w:val="000F4ADB"/>
    <w:rsid w:val="000F53CC"/>
    <w:rsid w:val="000F584F"/>
    <w:rsid w:val="000F5D14"/>
    <w:rsid w:val="000F667F"/>
    <w:rsid w:val="000F7880"/>
    <w:rsid w:val="000F7E56"/>
    <w:rsid w:val="001025F4"/>
    <w:rsid w:val="0010348B"/>
    <w:rsid w:val="00107FD5"/>
    <w:rsid w:val="00112587"/>
    <w:rsid w:val="00112E2C"/>
    <w:rsid w:val="00112EE6"/>
    <w:rsid w:val="0011378C"/>
    <w:rsid w:val="001152D7"/>
    <w:rsid w:val="00116812"/>
    <w:rsid w:val="00116960"/>
    <w:rsid w:val="00117B7B"/>
    <w:rsid w:val="00117FBE"/>
    <w:rsid w:val="00121B37"/>
    <w:rsid w:val="00121B69"/>
    <w:rsid w:val="001223FC"/>
    <w:rsid w:val="00122F13"/>
    <w:rsid w:val="001234D6"/>
    <w:rsid w:val="001238B9"/>
    <w:rsid w:val="00124A16"/>
    <w:rsid w:val="00127355"/>
    <w:rsid w:val="00127B39"/>
    <w:rsid w:val="001308B8"/>
    <w:rsid w:val="001312B3"/>
    <w:rsid w:val="001332F5"/>
    <w:rsid w:val="00133B1E"/>
    <w:rsid w:val="00134BF1"/>
    <w:rsid w:val="00134D87"/>
    <w:rsid w:val="0013669F"/>
    <w:rsid w:val="00140F5C"/>
    <w:rsid w:val="00141914"/>
    <w:rsid w:val="00142F60"/>
    <w:rsid w:val="00143525"/>
    <w:rsid w:val="001445A3"/>
    <w:rsid w:val="0014469A"/>
    <w:rsid w:val="0014502C"/>
    <w:rsid w:val="001460C4"/>
    <w:rsid w:val="00146FD4"/>
    <w:rsid w:val="00147984"/>
    <w:rsid w:val="00147A4D"/>
    <w:rsid w:val="00150872"/>
    <w:rsid w:val="001535DC"/>
    <w:rsid w:val="00155032"/>
    <w:rsid w:val="00155351"/>
    <w:rsid w:val="001572C7"/>
    <w:rsid w:val="00160C40"/>
    <w:rsid w:val="00161BC7"/>
    <w:rsid w:val="001626E4"/>
    <w:rsid w:val="00163D7D"/>
    <w:rsid w:val="00164A8E"/>
    <w:rsid w:val="00164BCE"/>
    <w:rsid w:val="001651AB"/>
    <w:rsid w:val="001661D2"/>
    <w:rsid w:val="00166FE9"/>
    <w:rsid w:val="00167340"/>
    <w:rsid w:val="001703F4"/>
    <w:rsid w:val="0017148F"/>
    <w:rsid w:val="00171F36"/>
    <w:rsid w:val="001728C2"/>
    <w:rsid w:val="00172A35"/>
    <w:rsid w:val="00175802"/>
    <w:rsid w:val="001771D6"/>
    <w:rsid w:val="0018065B"/>
    <w:rsid w:val="00180FD4"/>
    <w:rsid w:val="001828E4"/>
    <w:rsid w:val="00182FAC"/>
    <w:rsid w:val="001836EB"/>
    <w:rsid w:val="001841F8"/>
    <w:rsid w:val="00186E39"/>
    <w:rsid w:val="00187020"/>
    <w:rsid w:val="00190C19"/>
    <w:rsid w:val="00191926"/>
    <w:rsid w:val="001934F7"/>
    <w:rsid w:val="0019476E"/>
    <w:rsid w:val="00195BD9"/>
    <w:rsid w:val="00196B3C"/>
    <w:rsid w:val="00196DDF"/>
    <w:rsid w:val="001A06B0"/>
    <w:rsid w:val="001A0D56"/>
    <w:rsid w:val="001A140C"/>
    <w:rsid w:val="001A14D6"/>
    <w:rsid w:val="001A19C8"/>
    <w:rsid w:val="001A19EC"/>
    <w:rsid w:val="001A1FBB"/>
    <w:rsid w:val="001A2C11"/>
    <w:rsid w:val="001A2D1D"/>
    <w:rsid w:val="001A2E92"/>
    <w:rsid w:val="001A44E4"/>
    <w:rsid w:val="001A4A07"/>
    <w:rsid w:val="001A5724"/>
    <w:rsid w:val="001A6276"/>
    <w:rsid w:val="001A79D1"/>
    <w:rsid w:val="001A7D2C"/>
    <w:rsid w:val="001A7D6D"/>
    <w:rsid w:val="001B02CF"/>
    <w:rsid w:val="001B042A"/>
    <w:rsid w:val="001B07F0"/>
    <w:rsid w:val="001B282E"/>
    <w:rsid w:val="001B2929"/>
    <w:rsid w:val="001B3E90"/>
    <w:rsid w:val="001C11DF"/>
    <w:rsid w:val="001C200A"/>
    <w:rsid w:val="001C243D"/>
    <w:rsid w:val="001C265C"/>
    <w:rsid w:val="001C5CE1"/>
    <w:rsid w:val="001C754D"/>
    <w:rsid w:val="001D02FB"/>
    <w:rsid w:val="001D1122"/>
    <w:rsid w:val="001D1C3E"/>
    <w:rsid w:val="001D238A"/>
    <w:rsid w:val="001D29AE"/>
    <w:rsid w:val="001D3E51"/>
    <w:rsid w:val="001D7CF6"/>
    <w:rsid w:val="001E0418"/>
    <w:rsid w:val="001E044A"/>
    <w:rsid w:val="001E09CE"/>
    <w:rsid w:val="001E1E9A"/>
    <w:rsid w:val="001E2297"/>
    <w:rsid w:val="001E2782"/>
    <w:rsid w:val="001E6D55"/>
    <w:rsid w:val="001E7EDC"/>
    <w:rsid w:val="001F0114"/>
    <w:rsid w:val="001F353B"/>
    <w:rsid w:val="001F66E1"/>
    <w:rsid w:val="001F68D4"/>
    <w:rsid w:val="001F6A1B"/>
    <w:rsid w:val="0020035B"/>
    <w:rsid w:val="0020458B"/>
    <w:rsid w:val="00204F51"/>
    <w:rsid w:val="00206CE4"/>
    <w:rsid w:val="00210DFF"/>
    <w:rsid w:val="002112BC"/>
    <w:rsid w:val="0021199B"/>
    <w:rsid w:val="002128A6"/>
    <w:rsid w:val="002128BE"/>
    <w:rsid w:val="00212B56"/>
    <w:rsid w:val="002164FE"/>
    <w:rsid w:val="00216CD9"/>
    <w:rsid w:val="00217E32"/>
    <w:rsid w:val="00217FAC"/>
    <w:rsid w:val="00222380"/>
    <w:rsid w:val="00222456"/>
    <w:rsid w:val="00224C6E"/>
    <w:rsid w:val="0022505B"/>
    <w:rsid w:val="00226066"/>
    <w:rsid w:val="00226DBD"/>
    <w:rsid w:val="00230331"/>
    <w:rsid w:val="00231005"/>
    <w:rsid w:val="00231053"/>
    <w:rsid w:val="002321B7"/>
    <w:rsid w:val="00232795"/>
    <w:rsid w:val="00233F42"/>
    <w:rsid w:val="00233FC5"/>
    <w:rsid w:val="00236181"/>
    <w:rsid w:val="00237227"/>
    <w:rsid w:val="0023767B"/>
    <w:rsid w:val="00237A6E"/>
    <w:rsid w:val="00242711"/>
    <w:rsid w:val="00244D65"/>
    <w:rsid w:val="00245699"/>
    <w:rsid w:val="00245A12"/>
    <w:rsid w:val="00246076"/>
    <w:rsid w:val="0025032C"/>
    <w:rsid w:val="00251733"/>
    <w:rsid w:val="00255049"/>
    <w:rsid w:val="00257657"/>
    <w:rsid w:val="0026067A"/>
    <w:rsid w:val="00260BEB"/>
    <w:rsid w:val="00261B38"/>
    <w:rsid w:val="00263356"/>
    <w:rsid w:val="0026531B"/>
    <w:rsid w:val="00265615"/>
    <w:rsid w:val="00266066"/>
    <w:rsid w:val="00266565"/>
    <w:rsid w:val="00266B0E"/>
    <w:rsid w:val="0027098A"/>
    <w:rsid w:val="002715A1"/>
    <w:rsid w:val="00271C5D"/>
    <w:rsid w:val="00272008"/>
    <w:rsid w:val="00273E55"/>
    <w:rsid w:val="00274241"/>
    <w:rsid w:val="00274F39"/>
    <w:rsid w:val="00276080"/>
    <w:rsid w:val="00276280"/>
    <w:rsid w:val="002769A2"/>
    <w:rsid w:val="00276FE3"/>
    <w:rsid w:val="00277535"/>
    <w:rsid w:val="00281123"/>
    <w:rsid w:val="00281D54"/>
    <w:rsid w:val="00281D9F"/>
    <w:rsid w:val="0028213E"/>
    <w:rsid w:val="00283136"/>
    <w:rsid w:val="0028363E"/>
    <w:rsid w:val="00284E56"/>
    <w:rsid w:val="00286EAC"/>
    <w:rsid w:val="0028769B"/>
    <w:rsid w:val="00287DFF"/>
    <w:rsid w:val="0029320E"/>
    <w:rsid w:val="00295C13"/>
    <w:rsid w:val="00296F58"/>
    <w:rsid w:val="002A01F0"/>
    <w:rsid w:val="002A0879"/>
    <w:rsid w:val="002A1C9C"/>
    <w:rsid w:val="002A444F"/>
    <w:rsid w:val="002A5D60"/>
    <w:rsid w:val="002A5EBD"/>
    <w:rsid w:val="002A5F75"/>
    <w:rsid w:val="002B08BA"/>
    <w:rsid w:val="002B12B6"/>
    <w:rsid w:val="002B1A96"/>
    <w:rsid w:val="002B1C7D"/>
    <w:rsid w:val="002B2078"/>
    <w:rsid w:val="002B2FA7"/>
    <w:rsid w:val="002B4A27"/>
    <w:rsid w:val="002B4AE4"/>
    <w:rsid w:val="002B70C1"/>
    <w:rsid w:val="002C14FE"/>
    <w:rsid w:val="002C1B39"/>
    <w:rsid w:val="002C213A"/>
    <w:rsid w:val="002C2FB0"/>
    <w:rsid w:val="002C3F6A"/>
    <w:rsid w:val="002C53B6"/>
    <w:rsid w:val="002C5E6B"/>
    <w:rsid w:val="002C73EB"/>
    <w:rsid w:val="002C790A"/>
    <w:rsid w:val="002D06CF"/>
    <w:rsid w:val="002D0E61"/>
    <w:rsid w:val="002D2007"/>
    <w:rsid w:val="002D27C9"/>
    <w:rsid w:val="002D43C3"/>
    <w:rsid w:val="002D4A0D"/>
    <w:rsid w:val="002D5B6E"/>
    <w:rsid w:val="002D5D09"/>
    <w:rsid w:val="002D6122"/>
    <w:rsid w:val="002D6A1E"/>
    <w:rsid w:val="002D7BCC"/>
    <w:rsid w:val="002E0475"/>
    <w:rsid w:val="002E0DEC"/>
    <w:rsid w:val="002E4A98"/>
    <w:rsid w:val="002E4CE5"/>
    <w:rsid w:val="002E5F09"/>
    <w:rsid w:val="002E7141"/>
    <w:rsid w:val="002F3EC6"/>
    <w:rsid w:val="002F4654"/>
    <w:rsid w:val="002F4E5D"/>
    <w:rsid w:val="002F6329"/>
    <w:rsid w:val="002F66AC"/>
    <w:rsid w:val="002F705A"/>
    <w:rsid w:val="002F7BEE"/>
    <w:rsid w:val="002F7F61"/>
    <w:rsid w:val="0030379C"/>
    <w:rsid w:val="00305BFF"/>
    <w:rsid w:val="00306B25"/>
    <w:rsid w:val="00307CC9"/>
    <w:rsid w:val="00307FD1"/>
    <w:rsid w:val="00310097"/>
    <w:rsid w:val="00312774"/>
    <w:rsid w:val="003148AA"/>
    <w:rsid w:val="0031711F"/>
    <w:rsid w:val="003177DA"/>
    <w:rsid w:val="00320D03"/>
    <w:rsid w:val="00321FF9"/>
    <w:rsid w:val="00322124"/>
    <w:rsid w:val="003225EC"/>
    <w:rsid w:val="00324B74"/>
    <w:rsid w:val="00326F79"/>
    <w:rsid w:val="00327B3D"/>
    <w:rsid w:val="00330AD8"/>
    <w:rsid w:val="003326B1"/>
    <w:rsid w:val="00333A18"/>
    <w:rsid w:val="00333F38"/>
    <w:rsid w:val="00334351"/>
    <w:rsid w:val="0033453F"/>
    <w:rsid w:val="00334582"/>
    <w:rsid w:val="003353AB"/>
    <w:rsid w:val="00341733"/>
    <w:rsid w:val="003427DF"/>
    <w:rsid w:val="00342D2D"/>
    <w:rsid w:val="003437C7"/>
    <w:rsid w:val="003444B5"/>
    <w:rsid w:val="00345B7C"/>
    <w:rsid w:val="00346313"/>
    <w:rsid w:val="00346964"/>
    <w:rsid w:val="00347BA6"/>
    <w:rsid w:val="00347E8F"/>
    <w:rsid w:val="00350B6E"/>
    <w:rsid w:val="003513F2"/>
    <w:rsid w:val="00351711"/>
    <w:rsid w:val="00353053"/>
    <w:rsid w:val="00353D04"/>
    <w:rsid w:val="00355AF1"/>
    <w:rsid w:val="0035676B"/>
    <w:rsid w:val="00356F67"/>
    <w:rsid w:val="00357CA1"/>
    <w:rsid w:val="00360F32"/>
    <w:rsid w:val="0036138D"/>
    <w:rsid w:val="00362C07"/>
    <w:rsid w:val="00363705"/>
    <w:rsid w:val="00364313"/>
    <w:rsid w:val="0036551F"/>
    <w:rsid w:val="00365B2C"/>
    <w:rsid w:val="00367E0D"/>
    <w:rsid w:val="0037008C"/>
    <w:rsid w:val="003700A0"/>
    <w:rsid w:val="0037148A"/>
    <w:rsid w:val="00371C23"/>
    <w:rsid w:val="0037310B"/>
    <w:rsid w:val="00373D8A"/>
    <w:rsid w:val="00374BB0"/>
    <w:rsid w:val="003760BB"/>
    <w:rsid w:val="003762AC"/>
    <w:rsid w:val="003775F4"/>
    <w:rsid w:val="003806EA"/>
    <w:rsid w:val="00381246"/>
    <w:rsid w:val="00382560"/>
    <w:rsid w:val="00384920"/>
    <w:rsid w:val="00385E7A"/>
    <w:rsid w:val="00387913"/>
    <w:rsid w:val="003905F9"/>
    <w:rsid w:val="0039071F"/>
    <w:rsid w:val="003932B9"/>
    <w:rsid w:val="003967E2"/>
    <w:rsid w:val="00397F08"/>
    <w:rsid w:val="003A001C"/>
    <w:rsid w:val="003A00E8"/>
    <w:rsid w:val="003A07AC"/>
    <w:rsid w:val="003A0D61"/>
    <w:rsid w:val="003A1760"/>
    <w:rsid w:val="003A4BED"/>
    <w:rsid w:val="003A51FF"/>
    <w:rsid w:val="003A53B1"/>
    <w:rsid w:val="003A654E"/>
    <w:rsid w:val="003A675D"/>
    <w:rsid w:val="003A6B65"/>
    <w:rsid w:val="003B330F"/>
    <w:rsid w:val="003B3926"/>
    <w:rsid w:val="003B66B5"/>
    <w:rsid w:val="003B6922"/>
    <w:rsid w:val="003C0F55"/>
    <w:rsid w:val="003C1CE5"/>
    <w:rsid w:val="003C1E21"/>
    <w:rsid w:val="003C2C89"/>
    <w:rsid w:val="003C3393"/>
    <w:rsid w:val="003C64C5"/>
    <w:rsid w:val="003C704C"/>
    <w:rsid w:val="003C7640"/>
    <w:rsid w:val="003D16BD"/>
    <w:rsid w:val="003D4199"/>
    <w:rsid w:val="003D6C18"/>
    <w:rsid w:val="003E1306"/>
    <w:rsid w:val="003E17B3"/>
    <w:rsid w:val="003E2432"/>
    <w:rsid w:val="003E2CEC"/>
    <w:rsid w:val="003E2FDF"/>
    <w:rsid w:val="003E415B"/>
    <w:rsid w:val="003E468D"/>
    <w:rsid w:val="003E5E25"/>
    <w:rsid w:val="003E6BB5"/>
    <w:rsid w:val="003E7687"/>
    <w:rsid w:val="003F0D0F"/>
    <w:rsid w:val="003F101B"/>
    <w:rsid w:val="003F1CA3"/>
    <w:rsid w:val="003F23C9"/>
    <w:rsid w:val="003F2746"/>
    <w:rsid w:val="003F2BE8"/>
    <w:rsid w:val="003F38D7"/>
    <w:rsid w:val="003F4C1E"/>
    <w:rsid w:val="003F59A5"/>
    <w:rsid w:val="003F7E4F"/>
    <w:rsid w:val="0040042C"/>
    <w:rsid w:val="00400523"/>
    <w:rsid w:val="00402FF0"/>
    <w:rsid w:val="00404B45"/>
    <w:rsid w:val="004053F3"/>
    <w:rsid w:val="004054D1"/>
    <w:rsid w:val="00406417"/>
    <w:rsid w:val="00406A90"/>
    <w:rsid w:val="00410D35"/>
    <w:rsid w:val="00412C19"/>
    <w:rsid w:val="00413192"/>
    <w:rsid w:val="00413208"/>
    <w:rsid w:val="00422301"/>
    <w:rsid w:val="00425ABC"/>
    <w:rsid w:val="00431932"/>
    <w:rsid w:val="004347EE"/>
    <w:rsid w:val="00434D17"/>
    <w:rsid w:val="00435BA2"/>
    <w:rsid w:val="00436185"/>
    <w:rsid w:val="004371D0"/>
    <w:rsid w:val="004372C8"/>
    <w:rsid w:val="00437397"/>
    <w:rsid w:val="00440C74"/>
    <w:rsid w:val="00444894"/>
    <w:rsid w:val="00445D94"/>
    <w:rsid w:val="00450901"/>
    <w:rsid w:val="00451450"/>
    <w:rsid w:val="004516C9"/>
    <w:rsid w:val="00455BFC"/>
    <w:rsid w:val="004560B8"/>
    <w:rsid w:val="0046162D"/>
    <w:rsid w:val="00461BED"/>
    <w:rsid w:val="00461C22"/>
    <w:rsid w:val="004628D7"/>
    <w:rsid w:val="004628DE"/>
    <w:rsid w:val="00462BB9"/>
    <w:rsid w:val="00463827"/>
    <w:rsid w:val="00463E9B"/>
    <w:rsid w:val="00464A87"/>
    <w:rsid w:val="00465F99"/>
    <w:rsid w:val="00470D00"/>
    <w:rsid w:val="0047292D"/>
    <w:rsid w:val="00472BFF"/>
    <w:rsid w:val="00474201"/>
    <w:rsid w:val="004743F1"/>
    <w:rsid w:val="00474D7B"/>
    <w:rsid w:val="00475316"/>
    <w:rsid w:val="00475814"/>
    <w:rsid w:val="004763FB"/>
    <w:rsid w:val="004818A1"/>
    <w:rsid w:val="00482683"/>
    <w:rsid w:val="00482BA3"/>
    <w:rsid w:val="00483EBD"/>
    <w:rsid w:val="004851D5"/>
    <w:rsid w:val="004877F5"/>
    <w:rsid w:val="00490556"/>
    <w:rsid w:val="00490764"/>
    <w:rsid w:val="004911F3"/>
    <w:rsid w:val="00493FBE"/>
    <w:rsid w:val="00494B58"/>
    <w:rsid w:val="004954D9"/>
    <w:rsid w:val="00495CAE"/>
    <w:rsid w:val="004A0EC8"/>
    <w:rsid w:val="004A1EC5"/>
    <w:rsid w:val="004A381C"/>
    <w:rsid w:val="004A5C6C"/>
    <w:rsid w:val="004A5C87"/>
    <w:rsid w:val="004B02A6"/>
    <w:rsid w:val="004B1E33"/>
    <w:rsid w:val="004B3DB4"/>
    <w:rsid w:val="004B46A2"/>
    <w:rsid w:val="004B528A"/>
    <w:rsid w:val="004B569C"/>
    <w:rsid w:val="004B6068"/>
    <w:rsid w:val="004B6333"/>
    <w:rsid w:val="004B724B"/>
    <w:rsid w:val="004B7403"/>
    <w:rsid w:val="004B7AC5"/>
    <w:rsid w:val="004C0D1D"/>
    <w:rsid w:val="004C4DD2"/>
    <w:rsid w:val="004C53E7"/>
    <w:rsid w:val="004C618F"/>
    <w:rsid w:val="004D1339"/>
    <w:rsid w:val="004D1387"/>
    <w:rsid w:val="004D2495"/>
    <w:rsid w:val="004D4E39"/>
    <w:rsid w:val="004D5913"/>
    <w:rsid w:val="004D6D3C"/>
    <w:rsid w:val="004E0C6D"/>
    <w:rsid w:val="004E2397"/>
    <w:rsid w:val="004E2AC2"/>
    <w:rsid w:val="004E3242"/>
    <w:rsid w:val="004E3821"/>
    <w:rsid w:val="004E6F07"/>
    <w:rsid w:val="004F03D0"/>
    <w:rsid w:val="004F08DE"/>
    <w:rsid w:val="004F4659"/>
    <w:rsid w:val="004F5655"/>
    <w:rsid w:val="004F57F5"/>
    <w:rsid w:val="004F5C59"/>
    <w:rsid w:val="004F7AB7"/>
    <w:rsid w:val="00501A38"/>
    <w:rsid w:val="005026C3"/>
    <w:rsid w:val="00503933"/>
    <w:rsid w:val="0050448F"/>
    <w:rsid w:val="00504B58"/>
    <w:rsid w:val="005051FB"/>
    <w:rsid w:val="00505B66"/>
    <w:rsid w:val="005068A9"/>
    <w:rsid w:val="00510991"/>
    <w:rsid w:val="005109D2"/>
    <w:rsid w:val="005109EB"/>
    <w:rsid w:val="005112C9"/>
    <w:rsid w:val="00511F1D"/>
    <w:rsid w:val="0051266C"/>
    <w:rsid w:val="005160D5"/>
    <w:rsid w:val="0051720C"/>
    <w:rsid w:val="00517537"/>
    <w:rsid w:val="00517580"/>
    <w:rsid w:val="0052142D"/>
    <w:rsid w:val="00521A3E"/>
    <w:rsid w:val="005228C0"/>
    <w:rsid w:val="00522ABB"/>
    <w:rsid w:val="00522CC7"/>
    <w:rsid w:val="005269E9"/>
    <w:rsid w:val="005323B2"/>
    <w:rsid w:val="00532557"/>
    <w:rsid w:val="00532F96"/>
    <w:rsid w:val="005334BC"/>
    <w:rsid w:val="005425C4"/>
    <w:rsid w:val="00542B90"/>
    <w:rsid w:val="005436DB"/>
    <w:rsid w:val="00543B7C"/>
    <w:rsid w:val="00544428"/>
    <w:rsid w:val="00544533"/>
    <w:rsid w:val="0054740D"/>
    <w:rsid w:val="00550089"/>
    <w:rsid w:val="00550AC5"/>
    <w:rsid w:val="00550C4F"/>
    <w:rsid w:val="00552515"/>
    <w:rsid w:val="005532C5"/>
    <w:rsid w:val="005535C2"/>
    <w:rsid w:val="00562BF2"/>
    <w:rsid w:val="005662F7"/>
    <w:rsid w:val="005678BA"/>
    <w:rsid w:val="00570194"/>
    <w:rsid w:val="005725D1"/>
    <w:rsid w:val="00573644"/>
    <w:rsid w:val="00573714"/>
    <w:rsid w:val="00574ABD"/>
    <w:rsid w:val="0057601A"/>
    <w:rsid w:val="00580C15"/>
    <w:rsid w:val="00581065"/>
    <w:rsid w:val="0058138D"/>
    <w:rsid w:val="00583396"/>
    <w:rsid w:val="00584087"/>
    <w:rsid w:val="0058523D"/>
    <w:rsid w:val="00587D01"/>
    <w:rsid w:val="00590704"/>
    <w:rsid w:val="005915AC"/>
    <w:rsid w:val="005921FC"/>
    <w:rsid w:val="00595FA3"/>
    <w:rsid w:val="00596FBF"/>
    <w:rsid w:val="005A1BFB"/>
    <w:rsid w:val="005A1E00"/>
    <w:rsid w:val="005A2E2F"/>
    <w:rsid w:val="005A57AB"/>
    <w:rsid w:val="005A6E70"/>
    <w:rsid w:val="005A78C5"/>
    <w:rsid w:val="005A7E35"/>
    <w:rsid w:val="005B11CF"/>
    <w:rsid w:val="005B1718"/>
    <w:rsid w:val="005B218E"/>
    <w:rsid w:val="005B2767"/>
    <w:rsid w:val="005B3A3A"/>
    <w:rsid w:val="005B5115"/>
    <w:rsid w:val="005C1942"/>
    <w:rsid w:val="005C2719"/>
    <w:rsid w:val="005C2FD6"/>
    <w:rsid w:val="005C5BB9"/>
    <w:rsid w:val="005C7C99"/>
    <w:rsid w:val="005D02C9"/>
    <w:rsid w:val="005D3220"/>
    <w:rsid w:val="005D3A70"/>
    <w:rsid w:val="005D67F1"/>
    <w:rsid w:val="005D7854"/>
    <w:rsid w:val="005D78EB"/>
    <w:rsid w:val="005E0238"/>
    <w:rsid w:val="005E174D"/>
    <w:rsid w:val="005E177A"/>
    <w:rsid w:val="005E22E1"/>
    <w:rsid w:val="005E5081"/>
    <w:rsid w:val="005E5E31"/>
    <w:rsid w:val="005E7108"/>
    <w:rsid w:val="005F0B98"/>
    <w:rsid w:val="005F6552"/>
    <w:rsid w:val="005F6E1C"/>
    <w:rsid w:val="005F71AF"/>
    <w:rsid w:val="005F79BC"/>
    <w:rsid w:val="0060066E"/>
    <w:rsid w:val="00600E56"/>
    <w:rsid w:val="00600F06"/>
    <w:rsid w:val="006011D5"/>
    <w:rsid w:val="00601AB9"/>
    <w:rsid w:val="00601BE8"/>
    <w:rsid w:val="00602420"/>
    <w:rsid w:val="006033DF"/>
    <w:rsid w:val="006038FB"/>
    <w:rsid w:val="00604264"/>
    <w:rsid w:val="00605DD2"/>
    <w:rsid w:val="0060652C"/>
    <w:rsid w:val="00606ABA"/>
    <w:rsid w:val="00607743"/>
    <w:rsid w:val="00607D8D"/>
    <w:rsid w:val="00612482"/>
    <w:rsid w:val="006128E2"/>
    <w:rsid w:val="006132F9"/>
    <w:rsid w:val="006139AE"/>
    <w:rsid w:val="00613A30"/>
    <w:rsid w:val="00613A8D"/>
    <w:rsid w:val="00613F12"/>
    <w:rsid w:val="00620484"/>
    <w:rsid w:val="0062098B"/>
    <w:rsid w:val="00621D5C"/>
    <w:rsid w:val="0062338C"/>
    <w:rsid w:val="0062359C"/>
    <w:rsid w:val="0062741C"/>
    <w:rsid w:val="00627C85"/>
    <w:rsid w:val="00633F6A"/>
    <w:rsid w:val="00634BF7"/>
    <w:rsid w:val="006354E6"/>
    <w:rsid w:val="00635F79"/>
    <w:rsid w:val="00636108"/>
    <w:rsid w:val="00637B8B"/>
    <w:rsid w:val="00641649"/>
    <w:rsid w:val="0064285F"/>
    <w:rsid w:val="006451E1"/>
    <w:rsid w:val="00645757"/>
    <w:rsid w:val="006468BE"/>
    <w:rsid w:val="00646E39"/>
    <w:rsid w:val="006522D1"/>
    <w:rsid w:val="00652CC5"/>
    <w:rsid w:val="00654E52"/>
    <w:rsid w:val="00655B10"/>
    <w:rsid w:val="00656B43"/>
    <w:rsid w:val="00660164"/>
    <w:rsid w:val="00660B27"/>
    <w:rsid w:val="00661004"/>
    <w:rsid w:val="00661783"/>
    <w:rsid w:val="00661E73"/>
    <w:rsid w:val="00663504"/>
    <w:rsid w:val="00663F63"/>
    <w:rsid w:val="0066508F"/>
    <w:rsid w:val="00665ED2"/>
    <w:rsid w:val="00666592"/>
    <w:rsid w:val="0066676B"/>
    <w:rsid w:val="006725DA"/>
    <w:rsid w:val="006726D4"/>
    <w:rsid w:val="00675871"/>
    <w:rsid w:val="00675F31"/>
    <w:rsid w:val="00680778"/>
    <w:rsid w:val="0068090C"/>
    <w:rsid w:val="00681014"/>
    <w:rsid w:val="00681EC0"/>
    <w:rsid w:val="00686738"/>
    <w:rsid w:val="00687651"/>
    <w:rsid w:val="0069052F"/>
    <w:rsid w:val="00690EB4"/>
    <w:rsid w:val="00691D8C"/>
    <w:rsid w:val="006942C5"/>
    <w:rsid w:val="0069652E"/>
    <w:rsid w:val="0069703B"/>
    <w:rsid w:val="006973D4"/>
    <w:rsid w:val="00697617"/>
    <w:rsid w:val="006A01E6"/>
    <w:rsid w:val="006A052D"/>
    <w:rsid w:val="006A1AE6"/>
    <w:rsid w:val="006A21C2"/>
    <w:rsid w:val="006A25F4"/>
    <w:rsid w:val="006A33EC"/>
    <w:rsid w:val="006A75F1"/>
    <w:rsid w:val="006B0D53"/>
    <w:rsid w:val="006B14E8"/>
    <w:rsid w:val="006B17F3"/>
    <w:rsid w:val="006B2B87"/>
    <w:rsid w:val="006B2DB9"/>
    <w:rsid w:val="006B40C5"/>
    <w:rsid w:val="006B4AA2"/>
    <w:rsid w:val="006B5B8C"/>
    <w:rsid w:val="006B5D1A"/>
    <w:rsid w:val="006B6329"/>
    <w:rsid w:val="006B6BD3"/>
    <w:rsid w:val="006B7769"/>
    <w:rsid w:val="006C205A"/>
    <w:rsid w:val="006C2213"/>
    <w:rsid w:val="006C3263"/>
    <w:rsid w:val="006D1D18"/>
    <w:rsid w:val="006D2135"/>
    <w:rsid w:val="006D3E2B"/>
    <w:rsid w:val="006D4460"/>
    <w:rsid w:val="006D5F5C"/>
    <w:rsid w:val="006E18D3"/>
    <w:rsid w:val="006E26B6"/>
    <w:rsid w:val="006E2A24"/>
    <w:rsid w:val="006E3D11"/>
    <w:rsid w:val="006E4886"/>
    <w:rsid w:val="006E541D"/>
    <w:rsid w:val="006E5FE0"/>
    <w:rsid w:val="006E6F2C"/>
    <w:rsid w:val="006E7EA8"/>
    <w:rsid w:val="006F0993"/>
    <w:rsid w:val="006F1D64"/>
    <w:rsid w:val="006F1E6B"/>
    <w:rsid w:val="006F21A2"/>
    <w:rsid w:val="006F3A5E"/>
    <w:rsid w:val="006F3EDE"/>
    <w:rsid w:val="006F4111"/>
    <w:rsid w:val="006F6705"/>
    <w:rsid w:val="006F683B"/>
    <w:rsid w:val="007009EE"/>
    <w:rsid w:val="007012F2"/>
    <w:rsid w:val="00701671"/>
    <w:rsid w:val="0070168D"/>
    <w:rsid w:val="007025FA"/>
    <w:rsid w:val="007030DF"/>
    <w:rsid w:val="00703354"/>
    <w:rsid w:val="00704D25"/>
    <w:rsid w:val="007069B7"/>
    <w:rsid w:val="00706E96"/>
    <w:rsid w:val="0070700C"/>
    <w:rsid w:val="0070704E"/>
    <w:rsid w:val="0071003D"/>
    <w:rsid w:val="00710F99"/>
    <w:rsid w:val="007120A9"/>
    <w:rsid w:val="00712EE9"/>
    <w:rsid w:val="00715789"/>
    <w:rsid w:val="007159AE"/>
    <w:rsid w:val="00716901"/>
    <w:rsid w:val="007203FC"/>
    <w:rsid w:val="00720E95"/>
    <w:rsid w:val="007249ED"/>
    <w:rsid w:val="007251E8"/>
    <w:rsid w:val="007268ED"/>
    <w:rsid w:val="00730DE9"/>
    <w:rsid w:val="00731D64"/>
    <w:rsid w:val="0073257C"/>
    <w:rsid w:val="0073499C"/>
    <w:rsid w:val="007349BC"/>
    <w:rsid w:val="007356AA"/>
    <w:rsid w:val="007357B7"/>
    <w:rsid w:val="00735D2F"/>
    <w:rsid w:val="0073689F"/>
    <w:rsid w:val="00737077"/>
    <w:rsid w:val="007400EE"/>
    <w:rsid w:val="0074084E"/>
    <w:rsid w:val="007411FF"/>
    <w:rsid w:val="00741253"/>
    <w:rsid w:val="00742917"/>
    <w:rsid w:val="007436FC"/>
    <w:rsid w:val="007446E1"/>
    <w:rsid w:val="007456C5"/>
    <w:rsid w:val="00746345"/>
    <w:rsid w:val="00746A36"/>
    <w:rsid w:val="007478D7"/>
    <w:rsid w:val="0075111C"/>
    <w:rsid w:val="0075176F"/>
    <w:rsid w:val="007529F3"/>
    <w:rsid w:val="0075311D"/>
    <w:rsid w:val="00753E88"/>
    <w:rsid w:val="007578C3"/>
    <w:rsid w:val="007601AE"/>
    <w:rsid w:val="0076097B"/>
    <w:rsid w:val="00763814"/>
    <w:rsid w:val="00763ED9"/>
    <w:rsid w:val="0076594E"/>
    <w:rsid w:val="00767AB0"/>
    <w:rsid w:val="00767D49"/>
    <w:rsid w:val="007712AD"/>
    <w:rsid w:val="00771F5E"/>
    <w:rsid w:val="00775002"/>
    <w:rsid w:val="00783F52"/>
    <w:rsid w:val="007848FF"/>
    <w:rsid w:val="00785AD2"/>
    <w:rsid w:val="00786E84"/>
    <w:rsid w:val="00787122"/>
    <w:rsid w:val="0078781A"/>
    <w:rsid w:val="0079058B"/>
    <w:rsid w:val="0079402B"/>
    <w:rsid w:val="007941A9"/>
    <w:rsid w:val="00794949"/>
    <w:rsid w:val="00796FF4"/>
    <w:rsid w:val="007A0B9A"/>
    <w:rsid w:val="007A12CB"/>
    <w:rsid w:val="007A1581"/>
    <w:rsid w:val="007A4536"/>
    <w:rsid w:val="007A464A"/>
    <w:rsid w:val="007A47B8"/>
    <w:rsid w:val="007A6FAB"/>
    <w:rsid w:val="007B0381"/>
    <w:rsid w:val="007B1397"/>
    <w:rsid w:val="007B1C65"/>
    <w:rsid w:val="007B2044"/>
    <w:rsid w:val="007B63B7"/>
    <w:rsid w:val="007C028F"/>
    <w:rsid w:val="007C134E"/>
    <w:rsid w:val="007C240D"/>
    <w:rsid w:val="007C360F"/>
    <w:rsid w:val="007C3AA7"/>
    <w:rsid w:val="007C3CCD"/>
    <w:rsid w:val="007C6621"/>
    <w:rsid w:val="007D0465"/>
    <w:rsid w:val="007D1CE7"/>
    <w:rsid w:val="007D3F55"/>
    <w:rsid w:val="007D44C4"/>
    <w:rsid w:val="007D457C"/>
    <w:rsid w:val="007D5D54"/>
    <w:rsid w:val="007D61A9"/>
    <w:rsid w:val="007D6A50"/>
    <w:rsid w:val="007D6AEA"/>
    <w:rsid w:val="007E0956"/>
    <w:rsid w:val="007E1A18"/>
    <w:rsid w:val="007E31E6"/>
    <w:rsid w:val="007E375B"/>
    <w:rsid w:val="007E3B79"/>
    <w:rsid w:val="007E45E3"/>
    <w:rsid w:val="007E5654"/>
    <w:rsid w:val="007E5FAC"/>
    <w:rsid w:val="007E60C8"/>
    <w:rsid w:val="007E74EA"/>
    <w:rsid w:val="007E76A5"/>
    <w:rsid w:val="007F03A2"/>
    <w:rsid w:val="007F45F2"/>
    <w:rsid w:val="007F4C9D"/>
    <w:rsid w:val="007F6137"/>
    <w:rsid w:val="007F6C54"/>
    <w:rsid w:val="00800003"/>
    <w:rsid w:val="00801C95"/>
    <w:rsid w:val="00801CEE"/>
    <w:rsid w:val="0080258D"/>
    <w:rsid w:val="0080287B"/>
    <w:rsid w:val="00806C9D"/>
    <w:rsid w:val="00806F4E"/>
    <w:rsid w:val="008075DA"/>
    <w:rsid w:val="00807713"/>
    <w:rsid w:val="0081199D"/>
    <w:rsid w:val="00812D4B"/>
    <w:rsid w:val="00813899"/>
    <w:rsid w:val="008139D0"/>
    <w:rsid w:val="00813B81"/>
    <w:rsid w:val="00814C40"/>
    <w:rsid w:val="008151B1"/>
    <w:rsid w:val="008151D9"/>
    <w:rsid w:val="0081644A"/>
    <w:rsid w:val="00816893"/>
    <w:rsid w:val="00816C41"/>
    <w:rsid w:val="008213E0"/>
    <w:rsid w:val="0082268C"/>
    <w:rsid w:val="008237E3"/>
    <w:rsid w:val="00823AB7"/>
    <w:rsid w:val="00824037"/>
    <w:rsid w:val="00824FE8"/>
    <w:rsid w:val="008274FD"/>
    <w:rsid w:val="00827C6A"/>
    <w:rsid w:val="0083147B"/>
    <w:rsid w:val="00832D12"/>
    <w:rsid w:val="00833492"/>
    <w:rsid w:val="00833644"/>
    <w:rsid w:val="00833680"/>
    <w:rsid w:val="00833D0E"/>
    <w:rsid w:val="0083528A"/>
    <w:rsid w:val="00835A10"/>
    <w:rsid w:val="0084156E"/>
    <w:rsid w:val="00841B62"/>
    <w:rsid w:val="00842D8A"/>
    <w:rsid w:val="00842FC1"/>
    <w:rsid w:val="008439D6"/>
    <w:rsid w:val="008440CA"/>
    <w:rsid w:val="008444A8"/>
    <w:rsid w:val="008454AE"/>
    <w:rsid w:val="008511BF"/>
    <w:rsid w:val="00851262"/>
    <w:rsid w:val="00852730"/>
    <w:rsid w:val="008538EF"/>
    <w:rsid w:val="008551CC"/>
    <w:rsid w:val="0086283F"/>
    <w:rsid w:val="00862AE0"/>
    <w:rsid w:val="00862E3A"/>
    <w:rsid w:val="00865AA7"/>
    <w:rsid w:val="00865BAF"/>
    <w:rsid w:val="00867433"/>
    <w:rsid w:val="00870B60"/>
    <w:rsid w:val="008723C3"/>
    <w:rsid w:val="00873FED"/>
    <w:rsid w:val="00874CD5"/>
    <w:rsid w:val="00874F8C"/>
    <w:rsid w:val="0087724E"/>
    <w:rsid w:val="00881457"/>
    <w:rsid w:val="0088324D"/>
    <w:rsid w:val="00883428"/>
    <w:rsid w:val="00887C47"/>
    <w:rsid w:val="0089116B"/>
    <w:rsid w:val="00893C36"/>
    <w:rsid w:val="00894241"/>
    <w:rsid w:val="00894B7F"/>
    <w:rsid w:val="00894DAA"/>
    <w:rsid w:val="0089574F"/>
    <w:rsid w:val="008964A4"/>
    <w:rsid w:val="00896A76"/>
    <w:rsid w:val="00897999"/>
    <w:rsid w:val="008A0A66"/>
    <w:rsid w:val="008A1D97"/>
    <w:rsid w:val="008A349B"/>
    <w:rsid w:val="008A4200"/>
    <w:rsid w:val="008A54F2"/>
    <w:rsid w:val="008A5DDC"/>
    <w:rsid w:val="008B0D44"/>
    <w:rsid w:val="008B4BFF"/>
    <w:rsid w:val="008B7236"/>
    <w:rsid w:val="008B752F"/>
    <w:rsid w:val="008C0579"/>
    <w:rsid w:val="008C247E"/>
    <w:rsid w:val="008C2562"/>
    <w:rsid w:val="008C4030"/>
    <w:rsid w:val="008C4745"/>
    <w:rsid w:val="008C4811"/>
    <w:rsid w:val="008C529A"/>
    <w:rsid w:val="008C5C3F"/>
    <w:rsid w:val="008C6A0F"/>
    <w:rsid w:val="008D0075"/>
    <w:rsid w:val="008D0160"/>
    <w:rsid w:val="008D1571"/>
    <w:rsid w:val="008D2307"/>
    <w:rsid w:val="008D4898"/>
    <w:rsid w:val="008D6494"/>
    <w:rsid w:val="008D7057"/>
    <w:rsid w:val="008D789A"/>
    <w:rsid w:val="008E0428"/>
    <w:rsid w:val="008E052C"/>
    <w:rsid w:val="008E05E7"/>
    <w:rsid w:val="008E0BD8"/>
    <w:rsid w:val="008E1748"/>
    <w:rsid w:val="008E2ACD"/>
    <w:rsid w:val="008E2FC7"/>
    <w:rsid w:val="008E5FBC"/>
    <w:rsid w:val="008E6AD7"/>
    <w:rsid w:val="008E70A4"/>
    <w:rsid w:val="008E7533"/>
    <w:rsid w:val="008F08FF"/>
    <w:rsid w:val="008F092F"/>
    <w:rsid w:val="008F40D8"/>
    <w:rsid w:val="008F655A"/>
    <w:rsid w:val="008F6E5A"/>
    <w:rsid w:val="008F7063"/>
    <w:rsid w:val="008F71E1"/>
    <w:rsid w:val="0090006F"/>
    <w:rsid w:val="00900763"/>
    <w:rsid w:val="00900A9D"/>
    <w:rsid w:val="009010D5"/>
    <w:rsid w:val="00903814"/>
    <w:rsid w:val="009050D5"/>
    <w:rsid w:val="009058DE"/>
    <w:rsid w:val="00906CBB"/>
    <w:rsid w:val="0090732E"/>
    <w:rsid w:val="00910279"/>
    <w:rsid w:val="009109D5"/>
    <w:rsid w:val="00910CFA"/>
    <w:rsid w:val="009117AA"/>
    <w:rsid w:val="00913646"/>
    <w:rsid w:val="00915E53"/>
    <w:rsid w:val="0091687D"/>
    <w:rsid w:val="00916D36"/>
    <w:rsid w:val="00920C96"/>
    <w:rsid w:val="00921934"/>
    <w:rsid w:val="00922A9D"/>
    <w:rsid w:val="0092413B"/>
    <w:rsid w:val="00927238"/>
    <w:rsid w:val="00933B9E"/>
    <w:rsid w:val="0093412B"/>
    <w:rsid w:val="009369DD"/>
    <w:rsid w:val="009400C7"/>
    <w:rsid w:val="00941127"/>
    <w:rsid w:val="00941DA2"/>
    <w:rsid w:val="00942484"/>
    <w:rsid w:val="00943649"/>
    <w:rsid w:val="00944BED"/>
    <w:rsid w:val="00944E56"/>
    <w:rsid w:val="00947140"/>
    <w:rsid w:val="00950C80"/>
    <w:rsid w:val="0095107C"/>
    <w:rsid w:val="009520D2"/>
    <w:rsid w:val="00952EB0"/>
    <w:rsid w:val="0095321B"/>
    <w:rsid w:val="00953F92"/>
    <w:rsid w:val="00954D1F"/>
    <w:rsid w:val="00955751"/>
    <w:rsid w:val="00956646"/>
    <w:rsid w:val="00956E71"/>
    <w:rsid w:val="00957645"/>
    <w:rsid w:val="00957BC2"/>
    <w:rsid w:val="00957C69"/>
    <w:rsid w:val="00957FE3"/>
    <w:rsid w:val="0096003D"/>
    <w:rsid w:val="00961054"/>
    <w:rsid w:val="009634DD"/>
    <w:rsid w:val="00963F9A"/>
    <w:rsid w:val="00964429"/>
    <w:rsid w:val="009671CD"/>
    <w:rsid w:val="00967BD9"/>
    <w:rsid w:val="0097036A"/>
    <w:rsid w:val="009708A5"/>
    <w:rsid w:val="009711D3"/>
    <w:rsid w:val="00971518"/>
    <w:rsid w:val="00972574"/>
    <w:rsid w:val="00972CCD"/>
    <w:rsid w:val="009740FB"/>
    <w:rsid w:val="0097433D"/>
    <w:rsid w:val="00974DAF"/>
    <w:rsid w:val="009767B0"/>
    <w:rsid w:val="00977953"/>
    <w:rsid w:val="00977B3D"/>
    <w:rsid w:val="00977FB5"/>
    <w:rsid w:val="00981DC6"/>
    <w:rsid w:val="0098201A"/>
    <w:rsid w:val="00982905"/>
    <w:rsid w:val="00984359"/>
    <w:rsid w:val="0098592B"/>
    <w:rsid w:val="00986C3C"/>
    <w:rsid w:val="00990BD1"/>
    <w:rsid w:val="00993110"/>
    <w:rsid w:val="00994862"/>
    <w:rsid w:val="009954E5"/>
    <w:rsid w:val="00995595"/>
    <w:rsid w:val="009964F2"/>
    <w:rsid w:val="009A0865"/>
    <w:rsid w:val="009A1ACC"/>
    <w:rsid w:val="009A2D43"/>
    <w:rsid w:val="009A2E3F"/>
    <w:rsid w:val="009A41ED"/>
    <w:rsid w:val="009A45E6"/>
    <w:rsid w:val="009A4B78"/>
    <w:rsid w:val="009A5DB5"/>
    <w:rsid w:val="009B154D"/>
    <w:rsid w:val="009B26AC"/>
    <w:rsid w:val="009B50E4"/>
    <w:rsid w:val="009B5640"/>
    <w:rsid w:val="009B63BE"/>
    <w:rsid w:val="009C29D1"/>
    <w:rsid w:val="009C3563"/>
    <w:rsid w:val="009C512B"/>
    <w:rsid w:val="009C528C"/>
    <w:rsid w:val="009C52F1"/>
    <w:rsid w:val="009C666F"/>
    <w:rsid w:val="009D0A16"/>
    <w:rsid w:val="009D36B3"/>
    <w:rsid w:val="009D52D4"/>
    <w:rsid w:val="009D724D"/>
    <w:rsid w:val="009E11C6"/>
    <w:rsid w:val="009E17F8"/>
    <w:rsid w:val="009E2219"/>
    <w:rsid w:val="009E2815"/>
    <w:rsid w:val="009E2FDE"/>
    <w:rsid w:val="009E409F"/>
    <w:rsid w:val="009E4144"/>
    <w:rsid w:val="009E6195"/>
    <w:rsid w:val="009E7D0E"/>
    <w:rsid w:val="009F0F8C"/>
    <w:rsid w:val="009F1398"/>
    <w:rsid w:val="009F2352"/>
    <w:rsid w:val="009F4DD3"/>
    <w:rsid w:val="009F611A"/>
    <w:rsid w:val="009F634D"/>
    <w:rsid w:val="009F6594"/>
    <w:rsid w:val="009F7949"/>
    <w:rsid w:val="00A002EC"/>
    <w:rsid w:val="00A0127A"/>
    <w:rsid w:val="00A0248B"/>
    <w:rsid w:val="00A0288A"/>
    <w:rsid w:val="00A03562"/>
    <w:rsid w:val="00A03869"/>
    <w:rsid w:val="00A04E62"/>
    <w:rsid w:val="00A0503A"/>
    <w:rsid w:val="00A0513E"/>
    <w:rsid w:val="00A114D4"/>
    <w:rsid w:val="00A12F4A"/>
    <w:rsid w:val="00A132A2"/>
    <w:rsid w:val="00A16E4A"/>
    <w:rsid w:val="00A17348"/>
    <w:rsid w:val="00A206D7"/>
    <w:rsid w:val="00A2103B"/>
    <w:rsid w:val="00A23E35"/>
    <w:rsid w:val="00A24F09"/>
    <w:rsid w:val="00A2607F"/>
    <w:rsid w:val="00A2695E"/>
    <w:rsid w:val="00A27CB8"/>
    <w:rsid w:val="00A30E48"/>
    <w:rsid w:val="00A32560"/>
    <w:rsid w:val="00A4092C"/>
    <w:rsid w:val="00A419CF"/>
    <w:rsid w:val="00A4249E"/>
    <w:rsid w:val="00A44DEE"/>
    <w:rsid w:val="00A45096"/>
    <w:rsid w:val="00A45599"/>
    <w:rsid w:val="00A45B14"/>
    <w:rsid w:val="00A50060"/>
    <w:rsid w:val="00A50CED"/>
    <w:rsid w:val="00A52CAE"/>
    <w:rsid w:val="00A54350"/>
    <w:rsid w:val="00A54E80"/>
    <w:rsid w:val="00A57508"/>
    <w:rsid w:val="00A57793"/>
    <w:rsid w:val="00A60C03"/>
    <w:rsid w:val="00A62E30"/>
    <w:rsid w:val="00A641B8"/>
    <w:rsid w:val="00A66080"/>
    <w:rsid w:val="00A67471"/>
    <w:rsid w:val="00A67DB7"/>
    <w:rsid w:val="00A714E9"/>
    <w:rsid w:val="00A715FE"/>
    <w:rsid w:val="00A71F03"/>
    <w:rsid w:val="00A7202D"/>
    <w:rsid w:val="00A73FDD"/>
    <w:rsid w:val="00A759EE"/>
    <w:rsid w:val="00A75EC1"/>
    <w:rsid w:val="00A76F89"/>
    <w:rsid w:val="00A812A7"/>
    <w:rsid w:val="00A81DF6"/>
    <w:rsid w:val="00A826BF"/>
    <w:rsid w:val="00A85DCC"/>
    <w:rsid w:val="00A85E5A"/>
    <w:rsid w:val="00A87BA8"/>
    <w:rsid w:val="00A87F74"/>
    <w:rsid w:val="00A929F6"/>
    <w:rsid w:val="00A92AD9"/>
    <w:rsid w:val="00A95E7D"/>
    <w:rsid w:val="00A96A66"/>
    <w:rsid w:val="00A96E1A"/>
    <w:rsid w:val="00A96F39"/>
    <w:rsid w:val="00A97345"/>
    <w:rsid w:val="00AA2449"/>
    <w:rsid w:val="00AA29AF"/>
    <w:rsid w:val="00AA3307"/>
    <w:rsid w:val="00AA3C9F"/>
    <w:rsid w:val="00AA4649"/>
    <w:rsid w:val="00AA7FCA"/>
    <w:rsid w:val="00AB0FF2"/>
    <w:rsid w:val="00AB2335"/>
    <w:rsid w:val="00AB329D"/>
    <w:rsid w:val="00AB3CD8"/>
    <w:rsid w:val="00AB6154"/>
    <w:rsid w:val="00AB6FD8"/>
    <w:rsid w:val="00AC0B3D"/>
    <w:rsid w:val="00AC18EE"/>
    <w:rsid w:val="00AC41FD"/>
    <w:rsid w:val="00AC45B9"/>
    <w:rsid w:val="00AC523C"/>
    <w:rsid w:val="00AC539E"/>
    <w:rsid w:val="00AC5F9F"/>
    <w:rsid w:val="00AC7D55"/>
    <w:rsid w:val="00AD1C4A"/>
    <w:rsid w:val="00AD2F11"/>
    <w:rsid w:val="00AD32C2"/>
    <w:rsid w:val="00AD570C"/>
    <w:rsid w:val="00AD5A48"/>
    <w:rsid w:val="00AD7391"/>
    <w:rsid w:val="00AD74BF"/>
    <w:rsid w:val="00AE1DC1"/>
    <w:rsid w:val="00AE3533"/>
    <w:rsid w:val="00AE528F"/>
    <w:rsid w:val="00AE5324"/>
    <w:rsid w:val="00AE570E"/>
    <w:rsid w:val="00AE5D4F"/>
    <w:rsid w:val="00AE6100"/>
    <w:rsid w:val="00AE656E"/>
    <w:rsid w:val="00AE7570"/>
    <w:rsid w:val="00AF08B8"/>
    <w:rsid w:val="00AF0D34"/>
    <w:rsid w:val="00AF15AA"/>
    <w:rsid w:val="00AF2ABD"/>
    <w:rsid w:val="00AF3F4B"/>
    <w:rsid w:val="00AF4211"/>
    <w:rsid w:val="00AF4AA0"/>
    <w:rsid w:val="00AF4B9F"/>
    <w:rsid w:val="00AF6749"/>
    <w:rsid w:val="00AF68BD"/>
    <w:rsid w:val="00AF6D81"/>
    <w:rsid w:val="00B0037B"/>
    <w:rsid w:val="00B00899"/>
    <w:rsid w:val="00B0216D"/>
    <w:rsid w:val="00B034AC"/>
    <w:rsid w:val="00B052C3"/>
    <w:rsid w:val="00B05D97"/>
    <w:rsid w:val="00B05FD5"/>
    <w:rsid w:val="00B07CA0"/>
    <w:rsid w:val="00B11565"/>
    <w:rsid w:val="00B1179D"/>
    <w:rsid w:val="00B11988"/>
    <w:rsid w:val="00B1379A"/>
    <w:rsid w:val="00B13DB1"/>
    <w:rsid w:val="00B17D03"/>
    <w:rsid w:val="00B209E3"/>
    <w:rsid w:val="00B2115D"/>
    <w:rsid w:val="00B21E5B"/>
    <w:rsid w:val="00B238BD"/>
    <w:rsid w:val="00B23B30"/>
    <w:rsid w:val="00B24774"/>
    <w:rsid w:val="00B248DD"/>
    <w:rsid w:val="00B2494E"/>
    <w:rsid w:val="00B25616"/>
    <w:rsid w:val="00B300E7"/>
    <w:rsid w:val="00B306DF"/>
    <w:rsid w:val="00B322F1"/>
    <w:rsid w:val="00B3370B"/>
    <w:rsid w:val="00B337E3"/>
    <w:rsid w:val="00B34272"/>
    <w:rsid w:val="00B34D03"/>
    <w:rsid w:val="00B37E7C"/>
    <w:rsid w:val="00B40822"/>
    <w:rsid w:val="00B41E99"/>
    <w:rsid w:val="00B42894"/>
    <w:rsid w:val="00B43988"/>
    <w:rsid w:val="00B44E0A"/>
    <w:rsid w:val="00B455A6"/>
    <w:rsid w:val="00B457CD"/>
    <w:rsid w:val="00B4674F"/>
    <w:rsid w:val="00B46C41"/>
    <w:rsid w:val="00B51E45"/>
    <w:rsid w:val="00B51EA8"/>
    <w:rsid w:val="00B52858"/>
    <w:rsid w:val="00B5297E"/>
    <w:rsid w:val="00B552ED"/>
    <w:rsid w:val="00B57D63"/>
    <w:rsid w:val="00B64BCA"/>
    <w:rsid w:val="00B72F51"/>
    <w:rsid w:val="00B734D0"/>
    <w:rsid w:val="00B74A95"/>
    <w:rsid w:val="00B757AB"/>
    <w:rsid w:val="00B75B0C"/>
    <w:rsid w:val="00B76276"/>
    <w:rsid w:val="00B77ADD"/>
    <w:rsid w:val="00B77E4F"/>
    <w:rsid w:val="00B80B0E"/>
    <w:rsid w:val="00B8378B"/>
    <w:rsid w:val="00B837B0"/>
    <w:rsid w:val="00B83DCA"/>
    <w:rsid w:val="00B84B88"/>
    <w:rsid w:val="00B90048"/>
    <w:rsid w:val="00B91A2E"/>
    <w:rsid w:val="00B92D15"/>
    <w:rsid w:val="00B92D9A"/>
    <w:rsid w:val="00B95A31"/>
    <w:rsid w:val="00B979A5"/>
    <w:rsid w:val="00B97BEB"/>
    <w:rsid w:val="00B97C94"/>
    <w:rsid w:val="00BA04BA"/>
    <w:rsid w:val="00BA1F5A"/>
    <w:rsid w:val="00BA268A"/>
    <w:rsid w:val="00BA4BA8"/>
    <w:rsid w:val="00BA4BC5"/>
    <w:rsid w:val="00BB0BCD"/>
    <w:rsid w:val="00BB2931"/>
    <w:rsid w:val="00BB5462"/>
    <w:rsid w:val="00BB7785"/>
    <w:rsid w:val="00BC05D4"/>
    <w:rsid w:val="00BC2449"/>
    <w:rsid w:val="00BC25A6"/>
    <w:rsid w:val="00BC2FBF"/>
    <w:rsid w:val="00BC4797"/>
    <w:rsid w:val="00BC6DDD"/>
    <w:rsid w:val="00BD1D25"/>
    <w:rsid w:val="00BD1EDE"/>
    <w:rsid w:val="00BD23CD"/>
    <w:rsid w:val="00BD28C1"/>
    <w:rsid w:val="00BD3126"/>
    <w:rsid w:val="00BD3E9D"/>
    <w:rsid w:val="00BD4880"/>
    <w:rsid w:val="00BD6195"/>
    <w:rsid w:val="00BD66C5"/>
    <w:rsid w:val="00BD6C67"/>
    <w:rsid w:val="00BE1F09"/>
    <w:rsid w:val="00BE2D05"/>
    <w:rsid w:val="00BE48CF"/>
    <w:rsid w:val="00BE4C93"/>
    <w:rsid w:val="00BE50B9"/>
    <w:rsid w:val="00BE63EA"/>
    <w:rsid w:val="00BF0DEE"/>
    <w:rsid w:val="00BF0EC7"/>
    <w:rsid w:val="00BF1A5D"/>
    <w:rsid w:val="00BF23F6"/>
    <w:rsid w:val="00BF2B44"/>
    <w:rsid w:val="00BF3F28"/>
    <w:rsid w:val="00BF5EEB"/>
    <w:rsid w:val="00BF64DD"/>
    <w:rsid w:val="00BF7A93"/>
    <w:rsid w:val="00BF7B0B"/>
    <w:rsid w:val="00C00D5C"/>
    <w:rsid w:val="00C02486"/>
    <w:rsid w:val="00C04F90"/>
    <w:rsid w:val="00C05A4D"/>
    <w:rsid w:val="00C05C2F"/>
    <w:rsid w:val="00C07E7D"/>
    <w:rsid w:val="00C10318"/>
    <w:rsid w:val="00C10B98"/>
    <w:rsid w:val="00C10C67"/>
    <w:rsid w:val="00C119B7"/>
    <w:rsid w:val="00C120AF"/>
    <w:rsid w:val="00C126D9"/>
    <w:rsid w:val="00C127DF"/>
    <w:rsid w:val="00C138B3"/>
    <w:rsid w:val="00C15B04"/>
    <w:rsid w:val="00C170F7"/>
    <w:rsid w:val="00C2180A"/>
    <w:rsid w:val="00C24593"/>
    <w:rsid w:val="00C24D16"/>
    <w:rsid w:val="00C2569A"/>
    <w:rsid w:val="00C258FB"/>
    <w:rsid w:val="00C267C4"/>
    <w:rsid w:val="00C306E7"/>
    <w:rsid w:val="00C30778"/>
    <w:rsid w:val="00C31A9A"/>
    <w:rsid w:val="00C31F71"/>
    <w:rsid w:val="00C3203F"/>
    <w:rsid w:val="00C32803"/>
    <w:rsid w:val="00C32F38"/>
    <w:rsid w:val="00C35779"/>
    <w:rsid w:val="00C4546B"/>
    <w:rsid w:val="00C45B7F"/>
    <w:rsid w:val="00C469F5"/>
    <w:rsid w:val="00C46DB0"/>
    <w:rsid w:val="00C500E6"/>
    <w:rsid w:val="00C5353C"/>
    <w:rsid w:val="00C54FED"/>
    <w:rsid w:val="00C565F8"/>
    <w:rsid w:val="00C578C6"/>
    <w:rsid w:val="00C60459"/>
    <w:rsid w:val="00C60BAB"/>
    <w:rsid w:val="00C610FA"/>
    <w:rsid w:val="00C613B4"/>
    <w:rsid w:val="00C61D83"/>
    <w:rsid w:val="00C62C44"/>
    <w:rsid w:val="00C632AB"/>
    <w:rsid w:val="00C634CA"/>
    <w:rsid w:val="00C644A8"/>
    <w:rsid w:val="00C65B1C"/>
    <w:rsid w:val="00C65C4D"/>
    <w:rsid w:val="00C663AC"/>
    <w:rsid w:val="00C66EE1"/>
    <w:rsid w:val="00C7356D"/>
    <w:rsid w:val="00C73771"/>
    <w:rsid w:val="00C73FD4"/>
    <w:rsid w:val="00C74557"/>
    <w:rsid w:val="00C76C4B"/>
    <w:rsid w:val="00C77766"/>
    <w:rsid w:val="00C77883"/>
    <w:rsid w:val="00C806A3"/>
    <w:rsid w:val="00C81E19"/>
    <w:rsid w:val="00C845A6"/>
    <w:rsid w:val="00C85D23"/>
    <w:rsid w:val="00C863D5"/>
    <w:rsid w:val="00C92348"/>
    <w:rsid w:val="00C9239C"/>
    <w:rsid w:val="00C929EA"/>
    <w:rsid w:val="00C93756"/>
    <w:rsid w:val="00C93CD2"/>
    <w:rsid w:val="00C94B3C"/>
    <w:rsid w:val="00C96890"/>
    <w:rsid w:val="00C96BD7"/>
    <w:rsid w:val="00CA12B8"/>
    <w:rsid w:val="00CA1D7F"/>
    <w:rsid w:val="00CA2F68"/>
    <w:rsid w:val="00CA3A0E"/>
    <w:rsid w:val="00CA4149"/>
    <w:rsid w:val="00CA560C"/>
    <w:rsid w:val="00CA63AC"/>
    <w:rsid w:val="00CA6F4A"/>
    <w:rsid w:val="00CB11D3"/>
    <w:rsid w:val="00CB1CE8"/>
    <w:rsid w:val="00CB2237"/>
    <w:rsid w:val="00CB239A"/>
    <w:rsid w:val="00CB49C4"/>
    <w:rsid w:val="00CB4AE3"/>
    <w:rsid w:val="00CB7E0F"/>
    <w:rsid w:val="00CC0197"/>
    <w:rsid w:val="00CC0ACC"/>
    <w:rsid w:val="00CC112F"/>
    <w:rsid w:val="00CC1168"/>
    <w:rsid w:val="00CC28E2"/>
    <w:rsid w:val="00CC297E"/>
    <w:rsid w:val="00CC2F4D"/>
    <w:rsid w:val="00CC348A"/>
    <w:rsid w:val="00CC3E4C"/>
    <w:rsid w:val="00CC3EA4"/>
    <w:rsid w:val="00CC5092"/>
    <w:rsid w:val="00CC5796"/>
    <w:rsid w:val="00CC5E53"/>
    <w:rsid w:val="00CC63BE"/>
    <w:rsid w:val="00CC6DC8"/>
    <w:rsid w:val="00CD0444"/>
    <w:rsid w:val="00CD059B"/>
    <w:rsid w:val="00CD18B5"/>
    <w:rsid w:val="00CD1DCE"/>
    <w:rsid w:val="00CD35C5"/>
    <w:rsid w:val="00CD461C"/>
    <w:rsid w:val="00CD602D"/>
    <w:rsid w:val="00CD7B2C"/>
    <w:rsid w:val="00CE07F7"/>
    <w:rsid w:val="00CE258D"/>
    <w:rsid w:val="00CE4033"/>
    <w:rsid w:val="00CE6167"/>
    <w:rsid w:val="00CE64F8"/>
    <w:rsid w:val="00CE79A3"/>
    <w:rsid w:val="00CE79EB"/>
    <w:rsid w:val="00CF0B46"/>
    <w:rsid w:val="00CF1204"/>
    <w:rsid w:val="00CF28E5"/>
    <w:rsid w:val="00CF2CFA"/>
    <w:rsid w:val="00CF6780"/>
    <w:rsid w:val="00D01F56"/>
    <w:rsid w:val="00D0341C"/>
    <w:rsid w:val="00D044EA"/>
    <w:rsid w:val="00D047ED"/>
    <w:rsid w:val="00D057BC"/>
    <w:rsid w:val="00D05D49"/>
    <w:rsid w:val="00D066B9"/>
    <w:rsid w:val="00D078EB"/>
    <w:rsid w:val="00D11A8A"/>
    <w:rsid w:val="00D11B49"/>
    <w:rsid w:val="00D205E9"/>
    <w:rsid w:val="00D20F9F"/>
    <w:rsid w:val="00D221CA"/>
    <w:rsid w:val="00D235F4"/>
    <w:rsid w:val="00D240D1"/>
    <w:rsid w:val="00D30AE9"/>
    <w:rsid w:val="00D30C76"/>
    <w:rsid w:val="00D31EB3"/>
    <w:rsid w:val="00D32643"/>
    <w:rsid w:val="00D32B95"/>
    <w:rsid w:val="00D337F1"/>
    <w:rsid w:val="00D35D1C"/>
    <w:rsid w:val="00D365AB"/>
    <w:rsid w:val="00D409E5"/>
    <w:rsid w:val="00D40FA3"/>
    <w:rsid w:val="00D415C6"/>
    <w:rsid w:val="00D42421"/>
    <w:rsid w:val="00D436D0"/>
    <w:rsid w:val="00D47E7C"/>
    <w:rsid w:val="00D526AD"/>
    <w:rsid w:val="00D539FB"/>
    <w:rsid w:val="00D542A7"/>
    <w:rsid w:val="00D54E5A"/>
    <w:rsid w:val="00D55452"/>
    <w:rsid w:val="00D572A3"/>
    <w:rsid w:val="00D601BE"/>
    <w:rsid w:val="00D616FE"/>
    <w:rsid w:val="00D63F7C"/>
    <w:rsid w:val="00D64024"/>
    <w:rsid w:val="00D6620B"/>
    <w:rsid w:val="00D66FCB"/>
    <w:rsid w:val="00D703D6"/>
    <w:rsid w:val="00D71509"/>
    <w:rsid w:val="00D720E2"/>
    <w:rsid w:val="00D72FA1"/>
    <w:rsid w:val="00D75A87"/>
    <w:rsid w:val="00D75E2E"/>
    <w:rsid w:val="00D776AA"/>
    <w:rsid w:val="00D77AF4"/>
    <w:rsid w:val="00D80EC1"/>
    <w:rsid w:val="00D8157E"/>
    <w:rsid w:val="00D81E72"/>
    <w:rsid w:val="00D82F78"/>
    <w:rsid w:val="00D8317D"/>
    <w:rsid w:val="00D83E92"/>
    <w:rsid w:val="00D86654"/>
    <w:rsid w:val="00D9132D"/>
    <w:rsid w:val="00D94B98"/>
    <w:rsid w:val="00D9606F"/>
    <w:rsid w:val="00D96341"/>
    <w:rsid w:val="00D96787"/>
    <w:rsid w:val="00DA488D"/>
    <w:rsid w:val="00DA4C68"/>
    <w:rsid w:val="00DA4FAA"/>
    <w:rsid w:val="00DA7577"/>
    <w:rsid w:val="00DA78C2"/>
    <w:rsid w:val="00DB17CE"/>
    <w:rsid w:val="00DB1C99"/>
    <w:rsid w:val="00DB1FC0"/>
    <w:rsid w:val="00DB2A4E"/>
    <w:rsid w:val="00DB502A"/>
    <w:rsid w:val="00DB7BB6"/>
    <w:rsid w:val="00DB7FDF"/>
    <w:rsid w:val="00DC091F"/>
    <w:rsid w:val="00DC0C0A"/>
    <w:rsid w:val="00DC0EC5"/>
    <w:rsid w:val="00DC35F0"/>
    <w:rsid w:val="00DC5E6F"/>
    <w:rsid w:val="00DC5E85"/>
    <w:rsid w:val="00DD0362"/>
    <w:rsid w:val="00DD06D4"/>
    <w:rsid w:val="00DD2F12"/>
    <w:rsid w:val="00DD2F67"/>
    <w:rsid w:val="00DD30A7"/>
    <w:rsid w:val="00DD3112"/>
    <w:rsid w:val="00DD5776"/>
    <w:rsid w:val="00DD5E77"/>
    <w:rsid w:val="00DD7E75"/>
    <w:rsid w:val="00DE0EFA"/>
    <w:rsid w:val="00DE2396"/>
    <w:rsid w:val="00DE2E2D"/>
    <w:rsid w:val="00DE364A"/>
    <w:rsid w:val="00DE5108"/>
    <w:rsid w:val="00DE6255"/>
    <w:rsid w:val="00DE6ED8"/>
    <w:rsid w:val="00DE7147"/>
    <w:rsid w:val="00DE7538"/>
    <w:rsid w:val="00DE7D27"/>
    <w:rsid w:val="00DF1310"/>
    <w:rsid w:val="00DF14F2"/>
    <w:rsid w:val="00DF1597"/>
    <w:rsid w:val="00DF1F45"/>
    <w:rsid w:val="00DF3AA2"/>
    <w:rsid w:val="00DF489C"/>
    <w:rsid w:val="00DF6756"/>
    <w:rsid w:val="00DF7F8D"/>
    <w:rsid w:val="00E02189"/>
    <w:rsid w:val="00E02272"/>
    <w:rsid w:val="00E02566"/>
    <w:rsid w:val="00E034F2"/>
    <w:rsid w:val="00E03BA0"/>
    <w:rsid w:val="00E042D5"/>
    <w:rsid w:val="00E0430A"/>
    <w:rsid w:val="00E049DC"/>
    <w:rsid w:val="00E07CD6"/>
    <w:rsid w:val="00E11E37"/>
    <w:rsid w:val="00E130CE"/>
    <w:rsid w:val="00E1311E"/>
    <w:rsid w:val="00E14B19"/>
    <w:rsid w:val="00E1536A"/>
    <w:rsid w:val="00E20377"/>
    <w:rsid w:val="00E205DD"/>
    <w:rsid w:val="00E20ABB"/>
    <w:rsid w:val="00E20D8D"/>
    <w:rsid w:val="00E20E04"/>
    <w:rsid w:val="00E21538"/>
    <w:rsid w:val="00E22504"/>
    <w:rsid w:val="00E24A79"/>
    <w:rsid w:val="00E2511C"/>
    <w:rsid w:val="00E3147F"/>
    <w:rsid w:val="00E334E4"/>
    <w:rsid w:val="00E344A1"/>
    <w:rsid w:val="00E34885"/>
    <w:rsid w:val="00E356C1"/>
    <w:rsid w:val="00E37A3A"/>
    <w:rsid w:val="00E40BBA"/>
    <w:rsid w:val="00E40E46"/>
    <w:rsid w:val="00E41D52"/>
    <w:rsid w:val="00E42E9B"/>
    <w:rsid w:val="00E432F8"/>
    <w:rsid w:val="00E4363F"/>
    <w:rsid w:val="00E43684"/>
    <w:rsid w:val="00E45C03"/>
    <w:rsid w:val="00E47532"/>
    <w:rsid w:val="00E47DF5"/>
    <w:rsid w:val="00E50937"/>
    <w:rsid w:val="00E51B41"/>
    <w:rsid w:val="00E52BA6"/>
    <w:rsid w:val="00E54501"/>
    <w:rsid w:val="00E561AF"/>
    <w:rsid w:val="00E56B27"/>
    <w:rsid w:val="00E628FC"/>
    <w:rsid w:val="00E62971"/>
    <w:rsid w:val="00E63C58"/>
    <w:rsid w:val="00E64C16"/>
    <w:rsid w:val="00E6589A"/>
    <w:rsid w:val="00E67D79"/>
    <w:rsid w:val="00E7242F"/>
    <w:rsid w:val="00E727C7"/>
    <w:rsid w:val="00E72A9D"/>
    <w:rsid w:val="00E7731C"/>
    <w:rsid w:val="00E77D66"/>
    <w:rsid w:val="00E80BF6"/>
    <w:rsid w:val="00E81003"/>
    <w:rsid w:val="00E83180"/>
    <w:rsid w:val="00E84C17"/>
    <w:rsid w:val="00E858EB"/>
    <w:rsid w:val="00E90FDC"/>
    <w:rsid w:val="00E93DC8"/>
    <w:rsid w:val="00EA0948"/>
    <w:rsid w:val="00EA1203"/>
    <w:rsid w:val="00EA15CF"/>
    <w:rsid w:val="00EA19FC"/>
    <w:rsid w:val="00EA2897"/>
    <w:rsid w:val="00EA4222"/>
    <w:rsid w:val="00EA4F54"/>
    <w:rsid w:val="00EA5743"/>
    <w:rsid w:val="00EA62D8"/>
    <w:rsid w:val="00EB004E"/>
    <w:rsid w:val="00EB0054"/>
    <w:rsid w:val="00EB049D"/>
    <w:rsid w:val="00EB04C8"/>
    <w:rsid w:val="00EB0FFF"/>
    <w:rsid w:val="00EB1299"/>
    <w:rsid w:val="00EB141F"/>
    <w:rsid w:val="00EB1660"/>
    <w:rsid w:val="00EB1A33"/>
    <w:rsid w:val="00EB21DD"/>
    <w:rsid w:val="00EB3FCC"/>
    <w:rsid w:val="00EB4B42"/>
    <w:rsid w:val="00EB52F1"/>
    <w:rsid w:val="00EB5368"/>
    <w:rsid w:val="00EB7969"/>
    <w:rsid w:val="00EC1ADE"/>
    <w:rsid w:val="00EC1D78"/>
    <w:rsid w:val="00EC334E"/>
    <w:rsid w:val="00EC3478"/>
    <w:rsid w:val="00EC34D3"/>
    <w:rsid w:val="00EC6A89"/>
    <w:rsid w:val="00ED11E4"/>
    <w:rsid w:val="00ED3390"/>
    <w:rsid w:val="00ED348F"/>
    <w:rsid w:val="00ED4EB9"/>
    <w:rsid w:val="00ED5F26"/>
    <w:rsid w:val="00ED6F13"/>
    <w:rsid w:val="00ED7E51"/>
    <w:rsid w:val="00EE05FC"/>
    <w:rsid w:val="00EE0785"/>
    <w:rsid w:val="00EE1257"/>
    <w:rsid w:val="00EE17F2"/>
    <w:rsid w:val="00EE38AE"/>
    <w:rsid w:val="00EE4459"/>
    <w:rsid w:val="00EE50B4"/>
    <w:rsid w:val="00EE5734"/>
    <w:rsid w:val="00EE5A78"/>
    <w:rsid w:val="00EE660A"/>
    <w:rsid w:val="00EF1590"/>
    <w:rsid w:val="00EF21EF"/>
    <w:rsid w:val="00EF2AF0"/>
    <w:rsid w:val="00EF3AF2"/>
    <w:rsid w:val="00EF4ED8"/>
    <w:rsid w:val="00EF54D3"/>
    <w:rsid w:val="00EF5652"/>
    <w:rsid w:val="00EF5CA2"/>
    <w:rsid w:val="00EF6406"/>
    <w:rsid w:val="00EF6626"/>
    <w:rsid w:val="00EF6EEA"/>
    <w:rsid w:val="00EF7297"/>
    <w:rsid w:val="00EF72DD"/>
    <w:rsid w:val="00EF73B9"/>
    <w:rsid w:val="00EF7BF7"/>
    <w:rsid w:val="00F03B89"/>
    <w:rsid w:val="00F04E29"/>
    <w:rsid w:val="00F05426"/>
    <w:rsid w:val="00F05594"/>
    <w:rsid w:val="00F077B5"/>
    <w:rsid w:val="00F108B3"/>
    <w:rsid w:val="00F10D18"/>
    <w:rsid w:val="00F13006"/>
    <w:rsid w:val="00F13AC4"/>
    <w:rsid w:val="00F148DD"/>
    <w:rsid w:val="00F151A0"/>
    <w:rsid w:val="00F16E9D"/>
    <w:rsid w:val="00F17058"/>
    <w:rsid w:val="00F17150"/>
    <w:rsid w:val="00F2192E"/>
    <w:rsid w:val="00F21FD2"/>
    <w:rsid w:val="00F2231D"/>
    <w:rsid w:val="00F22E1A"/>
    <w:rsid w:val="00F24A70"/>
    <w:rsid w:val="00F24DB5"/>
    <w:rsid w:val="00F250BF"/>
    <w:rsid w:val="00F251E8"/>
    <w:rsid w:val="00F26ABF"/>
    <w:rsid w:val="00F27817"/>
    <w:rsid w:val="00F30E39"/>
    <w:rsid w:val="00F30FBE"/>
    <w:rsid w:val="00F31952"/>
    <w:rsid w:val="00F31D3C"/>
    <w:rsid w:val="00F32070"/>
    <w:rsid w:val="00F32217"/>
    <w:rsid w:val="00F33F2E"/>
    <w:rsid w:val="00F347F4"/>
    <w:rsid w:val="00F414F2"/>
    <w:rsid w:val="00F41A20"/>
    <w:rsid w:val="00F41E6A"/>
    <w:rsid w:val="00F42430"/>
    <w:rsid w:val="00F42A03"/>
    <w:rsid w:val="00F42FF3"/>
    <w:rsid w:val="00F43401"/>
    <w:rsid w:val="00F43DDE"/>
    <w:rsid w:val="00F43FE9"/>
    <w:rsid w:val="00F44180"/>
    <w:rsid w:val="00F44F67"/>
    <w:rsid w:val="00F45205"/>
    <w:rsid w:val="00F45911"/>
    <w:rsid w:val="00F51017"/>
    <w:rsid w:val="00F51901"/>
    <w:rsid w:val="00F52082"/>
    <w:rsid w:val="00F52784"/>
    <w:rsid w:val="00F54E86"/>
    <w:rsid w:val="00F54EBD"/>
    <w:rsid w:val="00F5508E"/>
    <w:rsid w:val="00F554FB"/>
    <w:rsid w:val="00F557B0"/>
    <w:rsid w:val="00F55E0C"/>
    <w:rsid w:val="00F5694E"/>
    <w:rsid w:val="00F56E96"/>
    <w:rsid w:val="00F572B2"/>
    <w:rsid w:val="00F605E4"/>
    <w:rsid w:val="00F612A4"/>
    <w:rsid w:val="00F62CDB"/>
    <w:rsid w:val="00F6352E"/>
    <w:rsid w:val="00F63880"/>
    <w:rsid w:val="00F64D8F"/>
    <w:rsid w:val="00F65ABD"/>
    <w:rsid w:val="00F65B88"/>
    <w:rsid w:val="00F65DFE"/>
    <w:rsid w:val="00F663A3"/>
    <w:rsid w:val="00F677C3"/>
    <w:rsid w:val="00F7059D"/>
    <w:rsid w:val="00F71123"/>
    <w:rsid w:val="00F7155B"/>
    <w:rsid w:val="00F717EF"/>
    <w:rsid w:val="00F7338F"/>
    <w:rsid w:val="00F73B7B"/>
    <w:rsid w:val="00F74AF2"/>
    <w:rsid w:val="00F75115"/>
    <w:rsid w:val="00F752CF"/>
    <w:rsid w:val="00F770EC"/>
    <w:rsid w:val="00F81615"/>
    <w:rsid w:val="00F81B58"/>
    <w:rsid w:val="00F82F75"/>
    <w:rsid w:val="00F835BC"/>
    <w:rsid w:val="00F847B7"/>
    <w:rsid w:val="00F8772A"/>
    <w:rsid w:val="00F90A1B"/>
    <w:rsid w:val="00F93020"/>
    <w:rsid w:val="00F948C0"/>
    <w:rsid w:val="00F94FCE"/>
    <w:rsid w:val="00F95520"/>
    <w:rsid w:val="00FA0FA4"/>
    <w:rsid w:val="00FA139D"/>
    <w:rsid w:val="00FA4EFB"/>
    <w:rsid w:val="00FA5818"/>
    <w:rsid w:val="00FA5C1D"/>
    <w:rsid w:val="00FA5D33"/>
    <w:rsid w:val="00FA6AB1"/>
    <w:rsid w:val="00FA6E1F"/>
    <w:rsid w:val="00FA6E6A"/>
    <w:rsid w:val="00FB021D"/>
    <w:rsid w:val="00FB3C4E"/>
    <w:rsid w:val="00FB4750"/>
    <w:rsid w:val="00FB47A2"/>
    <w:rsid w:val="00FB5564"/>
    <w:rsid w:val="00FB7028"/>
    <w:rsid w:val="00FB7093"/>
    <w:rsid w:val="00FB7F98"/>
    <w:rsid w:val="00FC1631"/>
    <w:rsid w:val="00FC242F"/>
    <w:rsid w:val="00FC2484"/>
    <w:rsid w:val="00FC2BD9"/>
    <w:rsid w:val="00FC2D0F"/>
    <w:rsid w:val="00FC4AA8"/>
    <w:rsid w:val="00FC6A46"/>
    <w:rsid w:val="00FC79DA"/>
    <w:rsid w:val="00FD08D9"/>
    <w:rsid w:val="00FD235F"/>
    <w:rsid w:val="00FD4D1D"/>
    <w:rsid w:val="00FD626E"/>
    <w:rsid w:val="00FD64F7"/>
    <w:rsid w:val="00FD7415"/>
    <w:rsid w:val="00FE0199"/>
    <w:rsid w:val="00FE0647"/>
    <w:rsid w:val="00FE0B6C"/>
    <w:rsid w:val="00FE1553"/>
    <w:rsid w:val="00FE3B9C"/>
    <w:rsid w:val="00FE42B0"/>
    <w:rsid w:val="00FE5A40"/>
    <w:rsid w:val="00FE618C"/>
    <w:rsid w:val="00FE79B5"/>
    <w:rsid w:val="00FF0094"/>
    <w:rsid w:val="00FF200D"/>
    <w:rsid w:val="00FF3417"/>
    <w:rsid w:val="00FF412F"/>
    <w:rsid w:val="00FF4200"/>
    <w:rsid w:val="00FF589A"/>
    <w:rsid w:val="00FF7E9E"/>
    <w:rsid w:val="0100390C"/>
    <w:rsid w:val="013A0E1B"/>
    <w:rsid w:val="01453498"/>
    <w:rsid w:val="014C6B51"/>
    <w:rsid w:val="01791910"/>
    <w:rsid w:val="018207C5"/>
    <w:rsid w:val="019D115B"/>
    <w:rsid w:val="01BA56C5"/>
    <w:rsid w:val="01C43648"/>
    <w:rsid w:val="01E557E7"/>
    <w:rsid w:val="021F7210"/>
    <w:rsid w:val="022E1C2A"/>
    <w:rsid w:val="02372857"/>
    <w:rsid w:val="025A2F9E"/>
    <w:rsid w:val="02954528"/>
    <w:rsid w:val="02B7624C"/>
    <w:rsid w:val="02BF2AD7"/>
    <w:rsid w:val="02C40969"/>
    <w:rsid w:val="02F72AEC"/>
    <w:rsid w:val="02FC1AE4"/>
    <w:rsid w:val="031B6DD5"/>
    <w:rsid w:val="03250FEA"/>
    <w:rsid w:val="033435C8"/>
    <w:rsid w:val="03353A41"/>
    <w:rsid w:val="034F41D5"/>
    <w:rsid w:val="03604B36"/>
    <w:rsid w:val="036839EA"/>
    <w:rsid w:val="03882932"/>
    <w:rsid w:val="03A95345"/>
    <w:rsid w:val="03BE3331"/>
    <w:rsid w:val="03D64DF8"/>
    <w:rsid w:val="03E272F9"/>
    <w:rsid w:val="03FA6E50"/>
    <w:rsid w:val="043F0BEF"/>
    <w:rsid w:val="046917C8"/>
    <w:rsid w:val="046948F3"/>
    <w:rsid w:val="047B2D9D"/>
    <w:rsid w:val="04912ACD"/>
    <w:rsid w:val="04A95FD5"/>
    <w:rsid w:val="04B05EB6"/>
    <w:rsid w:val="04B74C29"/>
    <w:rsid w:val="04B96A4C"/>
    <w:rsid w:val="04C66C1A"/>
    <w:rsid w:val="04D72BD5"/>
    <w:rsid w:val="04E90B5B"/>
    <w:rsid w:val="04E946B7"/>
    <w:rsid w:val="04F0495F"/>
    <w:rsid w:val="04FD384B"/>
    <w:rsid w:val="05066DF9"/>
    <w:rsid w:val="051454D0"/>
    <w:rsid w:val="05767713"/>
    <w:rsid w:val="05A52CD4"/>
    <w:rsid w:val="05D7202B"/>
    <w:rsid w:val="05E97064"/>
    <w:rsid w:val="05F477B7"/>
    <w:rsid w:val="06562220"/>
    <w:rsid w:val="06650974"/>
    <w:rsid w:val="06997D4E"/>
    <w:rsid w:val="069F7723"/>
    <w:rsid w:val="06AE242E"/>
    <w:rsid w:val="06D0125C"/>
    <w:rsid w:val="06E4782C"/>
    <w:rsid w:val="06E65352"/>
    <w:rsid w:val="06FA2BAB"/>
    <w:rsid w:val="06FC4B75"/>
    <w:rsid w:val="07061550"/>
    <w:rsid w:val="07115CA7"/>
    <w:rsid w:val="07177C01"/>
    <w:rsid w:val="07262586"/>
    <w:rsid w:val="07287718"/>
    <w:rsid w:val="073666DA"/>
    <w:rsid w:val="07572125"/>
    <w:rsid w:val="076C0976"/>
    <w:rsid w:val="077539C2"/>
    <w:rsid w:val="078057A6"/>
    <w:rsid w:val="07893F2F"/>
    <w:rsid w:val="07943000"/>
    <w:rsid w:val="07A87241"/>
    <w:rsid w:val="07B45450"/>
    <w:rsid w:val="07C75183"/>
    <w:rsid w:val="07E017A1"/>
    <w:rsid w:val="07E86EA8"/>
    <w:rsid w:val="07F43A9E"/>
    <w:rsid w:val="07F817E1"/>
    <w:rsid w:val="08144141"/>
    <w:rsid w:val="08186CD8"/>
    <w:rsid w:val="08253FEF"/>
    <w:rsid w:val="08274BAD"/>
    <w:rsid w:val="08337083"/>
    <w:rsid w:val="08470072"/>
    <w:rsid w:val="085E56AE"/>
    <w:rsid w:val="08687981"/>
    <w:rsid w:val="086F1B39"/>
    <w:rsid w:val="08766CE3"/>
    <w:rsid w:val="08874912"/>
    <w:rsid w:val="088D4241"/>
    <w:rsid w:val="088F37C7"/>
    <w:rsid w:val="089E3A0A"/>
    <w:rsid w:val="08AE3F90"/>
    <w:rsid w:val="08B11C07"/>
    <w:rsid w:val="08B63438"/>
    <w:rsid w:val="08BD68A7"/>
    <w:rsid w:val="08C51C9E"/>
    <w:rsid w:val="08D37F4F"/>
    <w:rsid w:val="08D93BB5"/>
    <w:rsid w:val="090D306A"/>
    <w:rsid w:val="092B34F0"/>
    <w:rsid w:val="09420C06"/>
    <w:rsid w:val="094E673D"/>
    <w:rsid w:val="094F29F6"/>
    <w:rsid w:val="0966277A"/>
    <w:rsid w:val="096C2B3B"/>
    <w:rsid w:val="097468F3"/>
    <w:rsid w:val="097A6225"/>
    <w:rsid w:val="09AD2157"/>
    <w:rsid w:val="09C15C02"/>
    <w:rsid w:val="09D92F4C"/>
    <w:rsid w:val="09FA34EB"/>
    <w:rsid w:val="09FE17A6"/>
    <w:rsid w:val="0A132C02"/>
    <w:rsid w:val="0A193C90"/>
    <w:rsid w:val="0A1C72DC"/>
    <w:rsid w:val="0A287A2F"/>
    <w:rsid w:val="0A557BB7"/>
    <w:rsid w:val="0A5A32F8"/>
    <w:rsid w:val="0A652A31"/>
    <w:rsid w:val="0A692E7A"/>
    <w:rsid w:val="0A8A5D79"/>
    <w:rsid w:val="0A9D041D"/>
    <w:rsid w:val="0AA25A34"/>
    <w:rsid w:val="0AB47859"/>
    <w:rsid w:val="0AD61B81"/>
    <w:rsid w:val="0B0A1F19"/>
    <w:rsid w:val="0B36617C"/>
    <w:rsid w:val="0B57681E"/>
    <w:rsid w:val="0B61144B"/>
    <w:rsid w:val="0B640F3B"/>
    <w:rsid w:val="0BA73406"/>
    <w:rsid w:val="0BBA0B5B"/>
    <w:rsid w:val="0BBA6DAD"/>
    <w:rsid w:val="0BC96FF0"/>
    <w:rsid w:val="0BD172B9"/>
    <w:rsid w:val="0BE45BD8"/>
    <w:rsid w:val="0BE93BEF"/>
    <w:rsid w:val="0BEB340A"/>
    <w:rsid w:val="0C0A1AE2"/>
    <w:rsid w:val="0C0E3F93"/>
    <w:rsid w:val="0C2506CA"/>
    <w:rsid w:val="0C364685"/>
    <w:rsid w:val="0C4A304C"/>
    <w:rsid w:val="0C4F5747"/>
    <w:rsid w:val="0C566AD6"/>
    <w:rsid w:val="0C5F2EAB"/>
    <w:rsid w:val="0C851169"/>
    <w:rsid w:val="0C902889"/>
    <w:rsid w:val="0C9615C8"/>
    <w:rsid w:val="0CAD06C0"/>
    <w:rsid w:val="0CB0103F"/>
    <w:rsid w:val="0CBC5489"/>
    <w:rsid w:val="0CE2480D"/>
    <w:rsid w:val="0CE916F8"/>
    <w:rsid w:val="0D062A3C"/>
    <w:rsid w:val="0D381061"/>
    <w:rsid w:val="0D4A7030"/>
    <w:rsid w:val="0D543BFA"/>
    <w:rsid w:val="0D865199"/>
    <w:rsid w:val="0D870F11"/>
    <w:rsid w:val="0D8853B5"/>
    <w:rsid w:val="0D956B94"/>
    <w:rsid w:val="0D9D62C2"/>
    <w:rsid w:val="0DA467D8"/>
    <w:rsid w:val="0DBD78FC"/>
    <w:rsid w:val="0DE43DD8"/>
    <w:rsid w:val="0DE843A2"/>
    <w:rsid w:val="0E1E7A30"/>
    <w:rsid w:val="0E2C4F72"/>
    <w:rsid w:val="0E364E11"/>
    <w:rsid w:val="0E372937"/>
    <w:rsid w:val="0E5D6CF2"/>
    <w:rsid w:val="0E6179B4"/>
    <w:rsid w:val="0E7476E7"/>
    <w:rsid w:val="0E8611C8"/>
    <w:rsid w:val="0E8C4A31"/>
    <w:rsid w:val="0E960DA4"/>
    <w:rsid w:val="0EB83A78"/>
    <w:rsid w:val="0ECC12D1"/>
    <w:rsid w:val="0ECC7523"/>
    <w:rsid w:val="0EE02FCE"/>
    <w:rsid w:val="0EE06B2A"/>
    <w:rsid w:val="0EF32D02"/>
    <w:rsid w:val="0EFE61C3"/>
    <w:rsid w:val="0F27226E"/>
    <w:rsid w:val="0F434C0A"/>
    <w:rsid w:val="0F4F60D6"/>
    <w:rsid w:val="0F5F1EEF"/>
    <w:rsid w:val="0F655282"/>
    <w:rsid w:val="0F977D7B"/>
    <w:rsid w:val="0F984030"/>
    <w:rsid w:val="0FAB26CD"/>
    <w:rsid w:val="0FB352D7"/>
    <w:rsid w:val="0FCE72CB"/>
    <w:rsid w:val="0FD536FB"/>
    <w:rsid w:val="102562D8"/>
    <w:rsid w:val="1026403A"/>
    <w:rsid w:val="104355C3"/>
    <w:rsid w:val="1059665E"/>
    <w:rsid w:val="107C2883"/>
    <w:rsid w:val="10826892"/>
    <w:rsid w:val="109B6D62"/>
    <w:rsid w:val="10B34A9A"/>
    <w:rsid w:val="10BE733F"/>
    <w:rsid w:val="10F66AD9"/>
    <w:rsid w:val="112C24FB"/>
    <w:rsid w:val="11407D54"/>
    <w:rsid w:val="115B2DE0"/>
    <w:rsid w:val="11603F18"/>
    <w:rsid w:val="1160532F"/>
    <w:rsid w:val="11717FD1"/>
    <w:rsid w:val="117B6FDE"/>
    <w:rsid w:val="118869FA"/>
    <w:rsid w:val="118E6D12"/>
    <w:rsid w:val="11C646FD"/>
    <w:rsid w:val="11D5049D"/>
    <w:rsid w:val="120E7E53"/>
    <w:rsid w:val="1222745A"/>
    <w:rsid w:val="122B27B2"/>
    <w:rsid w:val="12301ADC"/>
    <w:rsid w:val="12333415"/>
    <w:rsid w:val="123A700C"/>
    <w:rsid w:val="12850115"/>
    <w:rsid w:val="12CF4E33"/>
    <w:rsid w:val="12DA1AE3"/>
    <w:rsid w:val="131F3AA2"/>
    <w:rsid w:val="13272F7A"/>
    <w:rsid w:val="13B50586"/>
    <w:rsid w:val="13F20130"/>
    <w:rsid w:val="13F54E26"/>
    <w:rsid w:val="140426A2"/>
    <w:rsid w:val="143D67CD"/>
    <w:rsid w:val="144769FF"/>
    <w:rsid w:val="1457163D"/>
    <w:rsid w:val="14575AE1"/>
    <w:rsid w:val="146B333A"/>
    <w:rsid w:val="14A512BD"/>
    <w:rsid w:val="14AC43F9"/>
    <w:rsid w:val="14B040EF"/>
    <w:rsid w:val="150002C2"/>
    <w:rsid w:val="15264D8E"/>
    <w:rsid w:val="15545B7C"/>
    <w:rsid w:val="15785D0F"/>
    <w:rsid w:val="15A01BE5"/>
    <w:rsid w:val="15A9411A"/>
    <w:rsid w:val="15B52ECF"/>
    <w:rsid w:val="15B91CD3"/>
    <w:rsid w:val="15D93F3D"/>
    <w:rsid w:val="15F5735F"/>
    <w:rsid w:val="16066474"/>
    <w:rsid w:val="16175528"/>
    <w:rsid w:val="164125A5"/>
    <w:rsid w:val="164B4726"/>
    <w:rsid w:val="16571DC8"/>
    <w:rsid w:val="167B0653"/>
    <w:rsid w:val="16A94950"/>
    <w:rsid w:val="16AA0906"/>
    <w:rsid w:val="16B8213B"/>
    <w:rsid w:val="16D70F4D"/>
    <w:rsid w:val="16F37D13"/>
    <w:rsid w:val="16F6136F"/>
    <w:rsid w:val="16F92E7F"/>
    <w:rsid w:val="16FD0098"/>
    <w:rsid w:val="172D0D7B"/>
    <w:rsid w:val="17342109"/>
    <w:rsid w:val="173E758D"/>
    <w:rsid w:val="174E431E"/>
    <w:rsid w:val="174E4322"/>
    <w:rsid w:val="17521617"/>
    <w:rsid w:val="17805D05"/>
    <w:rsid w:val="17BD4979"/>
    <w:rsid w:val="17C012EF"/>
    <w:rsid w:val="17DB38DF"/>
    <w:rsid w:val="17F35B20"/>
    <w:rsid w:val="17F96393"/>
    <w:rsid w:val="18133ACD"/>
    <w:rsid w:val="1828455B"/>
    <w:rsid w:val="18351C95"/>
    <w:rsid w:val="1862744F"/>
    <w:rsid w:val="18F953B8"/>
    <w:rsid w:val="192B08D4"/>
    <w:rsid w:val="193C2941"/>
    <w:rsid w:val="195C76F5"/>
    <w:rsid w:val="19605C43"/>
    <w:rsid w:val="196F567B"/>
    <w:rsid w:val="197762DD"/>
    <w:rsid w:val="19B4308D"/>
    <w:rsid w:val="19CF2F48"/>
    <w:rsid w:val="19EB5772"/>
    <w:rsid w:val="1A240213"/>
    <w:rsid w:val="1A400DC5"/>
    <w:rsid w:val="1A472154"/>
    <w:rsid w:val="1A4F0751"/>
    <w:rsid w:val="1A564145"/>
    <w:rsid w:val="1A580DF8"/>
    <w:rsid w:val="1A756CC1"/>
    <w:rsid w:val="1A782D25"/>
    <w:rsid w:val="1A914743"/>
    <w:rsid w:val="1ABB7E7A"/>
    <w:rsid w:val="1AD334BF"/>
    <w:rsid w:val="1AE300CE"/>
    <w:rsid w:val="1AE950FA"/>
    <w:rsid w:val="1B0B4F2F"/>
    <w:rsid w:val="1B6D1746"/>
    <w:rsid w:val="1B7032B1"/>
    <w:rsid w:val="1B711290"/>
    <w:rsid w:val="1BBE1FA1"/>
    <w:rsid w:val="1BDE0896"/>
    <w:rsid w:val="1BE7599C"/>
    <w:rsid w:val="1BE97440"/>
    <w:rsid w:val="1C071B9A"/>
    <w:rsid w:val="1C1F5136"/>
    <w:rsid w:val="1C224C26"/>
    <w:rsid w:val="1C2C1601"/>
    <w:rsid w:val="1C2F2E9F"/>
    <w:rsid w:val="1C427076"/>
    <w:rsid w:val="1C4C7CC3"/>
    <w:rsid w:val="1C8A69E1"/>
    <w:rsid w:val="1CBA28AA"/>
    <w:rsid w:val="1CC5404F"/>
    <w:rsid w:val="1CD75A11"/>
    <w:rsid w:val="1CF15B94"/>
    <w:rsid w:val="1CF77E61"/>
    <w:rsid w:val="1CFF6D16"/>
    <w:rsid w:val="1D047E88"/>
    <w:rsid w:val="1D156539"/>
    <w:rsid w:val="1D4A7C0F"/>
    <w:rsid w:val="1D61442A"/>
    <w:rsid w:val="1D623D91"/>
    <w:rsid w:val="1D6F55A4"/>
    <w:rsid w:val="1DA358F3"/>
    <w:rsid w:val="1DED20B4"/>
    <w:rsid w:val="1E01086B"/>
    <w:rsid w:val="1E077C8E"/>
    <w:rsid w:val="1E1423D7"/>
    <w:rsid w:val="1E307789"/>
    <w:rsid w:val="1E3231A6"/>
    <w:rsid w:val="1E5352A7"/>
    <w:rsid w:val="1E5906A7"/>
    <w:rsid w:val="1E652BA8"/>
    <w:rsid w:val="1E676920"/>
    <w:rsid w:val="1E6E088F"/>
    <w:rsid w:val="1EB3600A"/>
    <w:rsid w:val="1EE66C84"/>
    <w:rsid w:val="1F0028D1"/>
    <w:rsid w:val="1F02211F"/>
    <w:rsid w:val="1F126F73"/>
    <w:rsid w:val="1F170346"/>
    <w:rsid w:val="1F1A472F"/>
    <w:rsid w:val="1F1C0F96"/>
    <w:rsid w:val="1F2344D4"/>
    <w:rsid w:val="1F443106"/>
    <w:rsid w:val="1F4E5D32"/>
    <w:rsid w:val="1F725038"/>
    <w:rsid w:val="1F9A0F77"/>
    <w:rsid w:val="1FBB33C8"/>
    <w:rsid w:val="1FCD30FB"/>
    <w:rsid w:val="1FCF7AFB"/>
    <w:rsid w:val="1FFB3446"/>
    <w:rsid w:val="1FFC753C"/>
    <w:rsid w:val="201A220D"/>
    <w:rsid w:val="20436F19"/>
    <w:rsid w:val="20474C5B"/>
    <w:rsid w:val="207B1149"/>
    <w:rsid w:val="207E5971"/>
    <w:rsid w:val="208B6917"/>
    <w:rsid w:val="20AC2D10"/>
    <w:rsid w:val="20B00359"/>
    <w:rsid w:val="20D61B3B"/>
    <w:rsid w:val="20EC6113"/>
    <w:rsid w:val="20EE50D7"/>
    <w:rsid w:val="20F87D04"/>
    <w:rsid w:val="21303DC9"/>
    <w:rsid w:val="21310AEB"/>
    <w:rsid w:val="21352D06"/>
    <w:rsid w:val="21475F62"/>
    <w:rsid w:val="21486EDD"/>
    <w:rsid w:val="215A276C"/>
    <w:rsid w:val="21645399"/>
    <w:rsid w:val="216C7565"/>
    <w:rsid w:val="218B501C"/>
    <w:rsid w:val="21B7296D"/>
    <w:rsid w:val="21F4671D"/>
    <w:rsid w:val="22145011"/>
    <w:rsid w:val="221B1EC0"/>
    <w:rsid w:val="222334A6"/>
    <w:rsid w:val="22245FA1"/>
    <w:rsid w:val="22266AF2"/>
    <w:rsid w:val="22511DC1"/>
    <w:rsid w:val="22AA51F5"/>
    <w:rsid w:val="22BD28C6"/>
    <w:rsid w:val="231D0D5E"/>
    <w:rsid w:val="236560AB"/>
    <w:rsid w:val="23713D9D"/>
    <w:rsid w:val="2381161B"/>
    <w:rsid w:val="2381693A"/>
    <w:rsid w:val="239006C7"/>
    <w:rsid w:val="2393640A"/>
    <w:rsid w:val="239857CE"/>
    <w:rsid w:val="23B9512F"/>
    <w:rsid w:val="23DF4CF4"/>
    <w:rsid w:val="23E65186"/>
    <w:rsid w:val="24084702"/>
    <w:rsid w:val="240E4190"/>
    <w:rsid w:val="2435126F"/>
    <w:rsid w:val="244F0582"/>
    <w:rsid w:val="24612064"/>
    <w:rsid w:val="247578BD"/>
    <w:rsid w:val="248C70E1"/>
    <w:rsid w:val="248D111F"/>
    <w:rsid w:val="249B37C8"/>
    <w:rsid w:val="24BE74B6"/>
    <w:rsid w:val="24DF5ADD"/>
    <w:rsid w:val="24EF5FF8"/>
    <w:rsid w:val="25107F16"/>
    <w:rsid w:val="254625F0"/>
    <w:rsid w:val="256B319A"/>
    <w:rsid w:val="256F74FA"/>
    <w:rsid w:val="2585493F"/>
    <w:rsid w:val="25866F31"/>
    <w:rsid w:val="258A4EBC"/>
    <w:rsid w:val="2593416A"/>
    <w:rsid w:val="25DE251C"/>
    <w:rsid w:val="26343C96"/>
    <w:rsid w:val="264E03C6"/>
    <w:rsid w:val="26681488"/>
    <w:rsid w:val="266F0A68"/>
    <w:rsid w:val="26795443"/>
    <w:rsid w:val="267C3185"/>
    <w:rsid w:val="267E1B60"/>
    <w:rsid w:val="267F3064"/>
    <w:rsid w:val="268564DD"/>
    <w:rsid w:val="26AC0E40"/>
    <w:rsid w:val="26B24DF9"/>
    <w:rsid w:val="26C16DEA"/>
    <w:rsid w:val="26EE3C38"/>
    <w:rsid w:val="26F31699"/>
    <w:rsid w:val="274F43F6"/>
    <w:rsid w:val="278843D0"/>
    <w:rsid w:val="278B7844"/>
    <w:rsid w:val="278C3449"/>
    <w:rsid w:val="27914A0E"/>
    <w:rsid w:val="27A97085"/>
    <w:rsid w:val="27AC17B9"/>
    <w:rsid w:val="27B92042"/>
    <w:rsid w:val="27BE67C9"/>
    <w:rsid w:val="27F31225"/>
    <w:rsid w:val="28090A48"/>
    <w:rsid w:val="28180C8B"/>
    <w:rsid w:val="28217234"/>
    <w:rsid w:val="284B1574"/>
    <w:rsid w:val="285C326E"/>
    <w:rsid w:val="285C5F30"/>
    <w:rsid w:val="28CA01D8"/>
    <w:rsid w:val="28D23530"/>
    <w:rsid w:val="28DB0637"/>
    <w:rsid w:val="28F0207E"/>
    <w:rsid w:val="2929093D"/>
    <w:rsid w:val="29433BB0"/>
    <w:rsid w:val="29546686"/>
    <w:rsid w:val="295E6B72"/>
    <w:rsid w:val="29695805"/>
    <w:rsid w:val="2996455E"/>
    <w:rsid w:val="29BA6E37"/>
    <w:rsid w:val="29C83EA4"/>
    <w:rsid w:val="2A1F4553"/>
    <w:rsid w:val="2A467D32"/>
    <w:rsid w:val="2A5D2820"/>
    <w:rsid w:val="2A7D3457"/>
    <w:rsid w:val="2AAF3B29"/>
    <w:rsid w:val="2ABC4E3A"/>
    <w:rsid w:val="2AD96DF8"/>
    <w:rsid w:val="2ADC41F2"/>
    <w:rsid w:val="2AFE23BA"/>
    <w:rsid w:val="2B30453E"/>
    <w:rsid w:val="2B4F0E68"/>
    <w:rsid w:val="2B6820A6"/>
    <w:rsid w:val="2B894ABF"/>
    <w:rsid w:val="2B8A6344"/>
    <w:rsid w:val="2B991FF2"/>
    <w:rsid w:val="2BBA71F5"/>
    <w:rsid w:val="2BD3551E"/>
    <w:rsid w:val="2BF37A45"/>
    <w:rsid w:val="2C0004FA"/>
    <w:rsid w:val="2C271DE5"/>
    <w:rsid w:val="2C567FD4"/>
    <w:rsid w:val="2C7F65F1"/>
    <w:rsid w:val="2C8114F5"/>
    <w:rsid w:val="2CBE62A5"/>
    <w:rsid w:val="2CC82C80"/>
    <w:rsid w:val="2CF6099E"/>
    <w:rsid w:val="2D2154E0"/>
    <w:rsid w:val="2D241E80"/>
    <w:rsid w:val="2DB61363"/>
    <w:rsid w:val="2DD91921"/>
    <w:rsid w:val="2DD935D3"/>
    <w:rsid w:val="2DE66F76"/>
    <w:rsid w:val="2E001AD0"/>
    <w:rsid w:val="2E126BCA"/>
    <w:rsid w:val="2E3010A6"/>
    <w:rsid w:val="2E36329E"/>
    <w:rsid w:val="2E383E35"/>
    <w:rsid w:val="2E3C1B78"/>
    <w:rsid w:val="2E3C1BBC"/>
    <w:rsid w:val="2E564673"/>
    <w:rsid w:val="2E627104"/>
    <w:rsid w:val="2E7310E3"/>
    <w:rsid w:val="2E894691"/>
    <w:rsid w:val="2EAA5CB6"/>
    <w:rsid w:val="2EBA484A"/>
    <w:rsid w:val="2EBF4ACA"/>
    <w:rsid w:val="2EBF6305"/>
    <w:rsid w:val="2ECD5689"/>
    <w:rsid w:val="2EED2E72"/>
    <w:rsid w:val="2EFC41EE"/>
    <w:rsid w:val="2F0F2AF7"/>
    <w:rsid w:val="2F366A04"/>
    <w:rsid w:val="2F6055E3"/>
    <w:rsid w:val="2FC02334"/>
    <w:rsid w:val="2FD7142C"/>
    <w:rsid w:val="300114C0"/>
    <w:rsid w:val="30087265"/>
    <w:rsid w:val="30154375"/>
    <w:rsid w:val="30161F54"/>
    <w:rsid w:val="302477D8"/>
    <w:rsid w:val="30430644"/>
    <w:rsid w:val="304C7B53"/>
    <w:rsid w:val="3065199C"/>
    <w:rsid w:val="307373A7"/>
    <w:rsid w:val="3078546E"/>
    <w:rsid w:val="307A1FEF"/>
    <w:rsid w:val="309D61D2"/>
    <w:rsid w:val="30AD0B0B"/>
    <w:rsid w:val="30C77111"/>
    <w:rsid w:val="30DB6CFA"/>
    <w:rsid w:val="30E62404"/>
    <w:rsid w:val="30E91A28"/>
    <w:rsid w:val="30EE2159"/>
    <w:rsid w:val="310D2C36"/>
    <w:rsid w:val="3111011C"/>
    <w:rsid w:val="3111479A"/>
    <w:rsid w:val="31683F23"/>
    <w:rsid w:val="31700E64"/>
    <w:rsid w:val="31865A40"/>
    <w:rsid w:val="3200767E"/>
    <w:rsid w:val="32396FA7"/>
    <w:rsid w:val="32470AEB"/>
    <w:rsid w:val="325B4596"/>
    <w:rsid w:val="325F5E35"/>
    <w:rsid w:val="32851613"/>
    <w:rsid w:val="329B78D9"/>
    <w:rsid w:val="32A970B0"/>
    <w:rsid w:val="32FE389F"/>
    <w:rsid w:val="3301294A"/>
    <w:rsid w:val="33114C55"/>
    <w:rsid w:val="33353039"/>
    <w:rsid w:val="33545CD9"/>
    <w:rsid w:val="335F1E64"/>
    <w:rsid w:val="33615BDC"/>
    <w:rsid w:val="33624B1A"/>
    <w:rsid w:val="33686F6B"/>
    <w:rsid w:val="336A3155"/>
    <w:rsid w:val="33754FA3"/>
    <w:rsid w:val="339636B4"/>
    <w:rsid w:val="33E16D1D"/>
    <w:rsid w:val="341964B7"/>
    <w:rsid w:val="343706EB"/>
    <w:rsid w:val="34637732"/>
    <w:rsid w:val="346C2A8B"/>
    <w:rsid w:val="347F40F6"/>
    <w:rsid w:val="348C6C89"/>
    <w:rsid w:val="3495510D"/>
    <w:rsid w:val="34AE4E51"/>
    <w:rsid w:val="34B53812"/>
    <w:rsid w:val="34C74165"/>
    <w:rsid w:val="34C74D18"/>
    <w:rsid w:val="34C957E7"/>
    <w:rsid w:val="34CA209B"/>
    <w:rsid w:val="3507608E"/>
    <w:rsid w:val="350B22A4"/>
    <w:rsid w:val="35384D0A"/>
    <w:rsid w:val="354B6B44"/>
    <w:rsid w:val="35703BE5"/>
    <w:rsid w:val="35771225"/>
    <w:rsid w:val="3598434D"/>
    <w:rsid w:val="35B9585C"/>
    <w:rsid w:val="35CF6FF8"/>
    <w:rsid w:val="35ED589A"/>
    <w:rsid w:val="361D460D"/>
    <w:rsid w:val="36211653"/>
    <w:rsid w:val="36242CF8"/>
    <w:rsid w:val="3629779E"/>
    <w:rsid w:val="3664062C"/>
    <w:rsid w:val="366559E4"/>
    <w:rsid w:val="368C3850"/>
    <w:rsid w:val="369B1405"/>
    <w:rsid w:val="36A76752"/>
    <w:rsid w:val="36C579F2"/>
    <w:rsid w:val="36F34D9D"/>
    <w:rsid w:val="3703111F"/>
    <w:rsid w:val="37394EDD"/>
    <w:rsid w:val="37624C68"/>
    <w:rsid w:val="376E2676"/>
    <w:rsid w:val="377834F5"/>
    <w:rsid w:val="37820C94"/>
    <w:rsid w:val="37B409D1"/>
    <w:rsid w:val="37CA01F4"/>
    <w:rsid w:val="37CE0538"/>
    <w:rsid w:val="37DA67DD"/>
    <w:rsid w:val="37EF7C5B"/>
    <w:rsid w:val="38111509"/>
    <w:rsid w:val="3834371E"/>
    <w:rsid w:val="3848736B"/>
    <w:rsid w:val="386F2B4A"/>
    <w:rsid w:val="38A5581F"/>
    <w:rsid w:val="38D317F4"/>
    <w:rsid w:val="38D806EF"/>
    <w:rsid w:val="38E3051F"/>
    <w:rsid w:val="38FA7508"/>
    <w:rsid w:val="38FF77EE"/>
    <w:rsid w:val="392032FC"/>
    <w:rsid w:val="39567866"/>
    <w:rsid w:val="396708A0"/>
    <w:rsid w:val="39757E32"/>
    <w:rsid w:val="398322DC"/>
    <w:rsid w:val="39B20F40"/>
    <w:rsid w:val="39D03040"/>
    <w:rsid w:val="39D30EAD"/>
    <w:rsid w:val="39F06BFD"/>
    <w:rsid w:val="39F318CA"/>
    <w:rsid w:val="3A080B60"/>
    <w:rsid w:val="3A103EB8"/>
    <w:rsid w:val="3A2B1428"/>
    <w:rsid w:val="3A322081"/>
    <w:rsid w:val="3A323E2F"/>
    <w:rsid w:val="3A543DA5"/>
    <w:rsid w:val="3A900F1E"/>
    <w:rsid w:val="3AC16F61"/>
    <w:rsid w:val="3AC76C6D"/>
    <w:rsid w:val="3AD34A1B"/>
    <w:rsid w:val="3B261CFB"/>
    <w:rsid w:val="3B3C4395"/>
    <w:rsid w:val="3B3F11D7"/>
    <w:rsid w:val="3B5B1163"/>
    <w:rsid w:val="3B6F58DE"/>
    <w:rsid w:val="3B800BCA"/>
    <w:rsid w:val="3B882877"/>
    <w:rsid w:val="3BA66882"/>
    <w:rsid w:val="3BB54DB0"/>
    <w:rsid w:val="3BB56AC5"/>
    <w:rsid w:val="3BCE7B87"/>
    <w:rsid w:val="3BD333EF"/>
    <w:rsid w:val="3C105A6B"/>
    <w:rsid w:val="3C125DCE"/>
    <w:rsid w:val="3C1852A6"/>
    <w:rsid w:val="3C3E4D0D"/>
    <w:rsid w:val="3C422F3E"/>
    <w:rsid w:val="3C6504EB"/>
    <w:rsid w:val="3C713683"/>
    <w:rsid w:val="3C746980"/>
    <w:rsid w:val="3C797AF3"/>
    <w:rsid w:val="3C8A61A4"/>
    <w:rsid w:val="3C8B6ACE"/>
    <w:rsid w:val="3C9568F7"/>
    <w:rsid w:val="3CD25997"/>
    <w:rsid w:val="3CE07B72"/>
    <w:rsid w:val="3CE27D8E"/>
    <w:rsid w:val="3CEA09F1"/>
    <w:rsid w:val="3D0870C9"/>
    <w:rsid w:val="3D3A1978"/>
    <w:rsid w:val="3D3B56F0"/>
    <w:rsid w:val="3D591958"/>
    <w:rsid w:val="3D5F318D"/>
    <w:rsid w:val="3D6320AE"/>
    <w:rsid w:val="3D632551"/>
    <w:rsid w:val="3D6B67D2"/>
    <w:rsid w:val="3D70539A"/>
    <w:rsid w:val="3D73032B"/>
    <w:rsid w:val="3D7F04B3"/>
    <w:rsid w:val="3D7F382F"/>
    <w:rsid w:val="3D887631"/>
    <w:rsid w:val="3DA62088"/>
    <w:rsid w:val="3DD516A1"/>
    <w:rsid w:val="3DE418E4"/>
    <w:rsid w:val="3DFC4E7F"/>
    <w:rsid w:val="3E0856D8"/>
    <w:rsid w:val="3E186EBA"/>
    <w:rsid w:val="3E1D6BA4"/>
    <w:rsid w:val="3E3D1DE7"/>
    <w:rsid w:val="3E442382"/>
    <w:rsid w:val="3E546A69"/>
    <w:rsid w:val="3E6B790F"/>
    <w:rsid w:val="3E8E1705"/>
    <w:rsid w:val="3E96695C"/>
    <w:rsid w:val="3EE31B9B"/>
    <w:rsid w:val="3EE6168C"/>
    <w:rsid w:val="3EEF22EE"/>
    <w:rsid w:val="3F0C10F2"/>
    <w:rsid w:val="3F161F71"/>
    <w:rsid w:val="3F1F34F0"/>
    <w:rsid w:val="3F3C12AC"/>
    <w:rsid w:val="3F593C0C"/>
    <w:rsid w:val="3F634A8A"/>
    <w:rsid w:val="3F6D76B7"/>
    <w:rsid w:val="3F8E439A"/>
    <w:rsid w:val="3F982986"/>
    <w:rsid w:val="3F984F0D"/>
    <w:rsid w:val="3FC813FA"/>
    <w:rsid w:val="3FCA4B09"/>
    <w:rsid w:val="3FEE07F8"/>
    <w:rsid w:val="400224F5"/>
    <w:rsid w:val="400F3235"/>
    <w:rsid w:val="4028069E"/>
    <w:rsid w:val="404E1296"/>
    <w:rsid w:val="405C7E57"/>
    <w:rsid w:val="406867FC"/>
    <w:rsid w:val="40931A53"/>
    <w:rsid w:val="40B53071"/>
    <w:rsid w:val="40E045E4"/>
    <w:rsid w:val="411462D3"/>
    <w:rsid w:val="41744230"/>
    <w:rsid w:val="41831414"/>
    <w:rsid w:val="41875415"/>
    <w:rsid w:val="418A5041"/>
    <w:rsid w:val="419D4283"/>
    <w:rsid w:val="41A265EF"/>
    <w:rsid w:val="41D016DB"/>
    <w:rsid w:val="41E40104"/>
    <w:rsid w:val="41E41EB2"/>
    <w:rsid w:val="41E55C2A"/>
    <w:rsid w:val="423B3E49"/>
    <w:rsid w:val="42497F67"/>
    <w:rsid w:val="42562684"/>
    <w:rsid w:val="4258464E"/>
    <w:rsid w:val="42621029"/>
    <w:rsid w:val="427431DA"/>
    <w:rsid w:val="427521D5"/>
    <w:rsid w:val="427841F9"/>
    <w:rsid w:val="428B3394"/>
    <w:rsid w:val="429513FF"/>
    <w:rsid w:val="42A54AC6"/>
    <w:rsid w:val="42AF1AB8"/>
    <w:rsid w:val="42BD09E0"/>
    <w:rsid w:val="42DE0FF8"/>
    <w:rsid w:val="42F223AD"/>
    <w:rsid w:val="43010842"/>
    <w:rsid w:val="43056584"/>
    <w:rsid w:val="430D6FF5"/>
    <w:rsid w:val="431C1B20"/>
    <w:rsid w:val="43482915"/>
    <w:rsid w:val="434846C3"/>
    <w:rsid w:val="43525542"/>
    <w:rsid w:val="4357300A"/>
    <w:rsid w:val="435B67FF"/>
    <w:rsid w:val="43963F1E"/>
    <w:rsid w:val="43B92ECB"/>
    <w:rsid w:val="43E762E1"/>
    <w:rsid w:val="440B5E1C"/>
    <w:rsid w:val="441822E7"/>
    <w:rsid w:val="44426629"/>
    <w:rsid w:val="44482AA3"/>
    <w:rsid w:val="444C03C6"/>
    <w:rsid w:val="44652ACA"/>
    <w:rsid w:val="44936155"/>
    <w:rsid w:val="44A21BB1"/>
    <w:rsid w:val="44A44849"/>
    <w:rsid w:val="44A771C7"/>
    <w:rsid w:val="44BC0EC5"/>
    <w:rsid w:val="44BE673D"/>
    <w:rsid w:val="44E95A32"/>
    <w:rsid w:val="44EB7AD4"/>
    <w:rsid w:val="450C60CA"/>
    <w:rsid w:val="451F76A5"/>
    <w:rsid w:val="452B615F"/>
    <w:rsid w:val="454B2248"/>
    <w:rsid w:val="45917D94"/>
    <w:rsid w:val="459D3BC2"/>
    <w:rsid w:val="45BF7BB4"/>
    <w:rsid w:val="45D93CF8"/>
    <w:rsid w:val="46184820"/>
    <w:rsid w:val="461E6DF1"/>
    <w:rsid w:val="46291A0F"/>
    <w:rsid w:val="46494FE1"/>
    <w:rsid w:val="464D0C32"/>
    <w:rsid w:val="466A4950"/>
    <w:rsid w:val="467557CF"/>
    <w:rsid w:val="467B0194"/>
    <w:rsid w:val="468E4AE3"/>
    <w:rsid w:val="46C16C66"/>
    <w:rsid w:val="46C61AAB"/>
    <w:rsid w:val="472114B3"/>
    <w:rsid w:val="474004D4"/>
    <w:rsid w:val="476843AC"/>
    <w:rsid w:val="477F37B9"/>
    <w:rsid w:val="4791488A"/>
    <w:rsid w:val="47971775"/>
    <w:rsid w:val="47AA2318"/>
    <w:rsid w:val="47BB2E28"/>
    <w:rsid w:val="47C167F2"/>
    <w:rsid w:val="47D55AC0"/>
    <w:rsid w:val="47EE3067"/>
    <w:rsid w:val="47F44E19"/>
    <w:rsid w:val="480004B0"/>
    <w:rsid w:val="48323EE8"/>
    <w:rsid w:val="48453261"/>
    <w:rsid w:val="48515DC8"/>
    <w:rsid w:val="486378A9"/>
    <w:rsid w:val="4864025E"/>
    <w:rsid w:val="487C3B2D"/>
    <w:rsid w:val="489B1B33"/>
    <w:rsid w:val="48AE03C2"/>
    <w:rsid w:val="48AE5485"/>
    <w:rsid w:val="48B60321"/>
    <w:rsid w:val="48CC36A0"/>
    <w:rsid w:val="48EC1A58"/>
    <w:rsid w:val="49380D36"/>
    <w:rsid w:val="49423962"/>
    <w:rsid w:val="496B110B"/>
    <w:rsid w:val="49706721"/>
    <w:rsid w:val="497E2BEC"/>
    <w:rsid w:val="49AD1724"/>
    <w:rsid w:val="49C02B87"/>
    <w:rsid w:val="49D433EE"/>
    <w:rsid w:val="49DB6503"/>
    <w:rsid w:val="4A3B0ADD"/>
    <w:rsid w:val="4A4C2CEB"/>
    <w:rsid w:val="4A5E73C4"/>
    <w:rsid w:val="4A6022F2"/>
    <w:rsid w:val="4A655C81"/>
    <w:rsid w:val="4A770517"/>
    <w:rsid w:val="4A8330FE"/>
    <w:rsid w:val="4A8C758B"/>
    <w:rsid w:val="4AA04DE4"/>
    <w:rsid w:val="4AAE5753"/>
    <w:rsid w:val="4AB12B4E"/>
    <w:rsid w:val="4AB14E2D"/>
    <w:rsid w:val="4AB32D6A"/>
    <w:rsid w:val="4AB368C6"/>
    <w:rsid w:val="4AD50ED4"/>
    <w:rsid w:val="4AE05DDE"/>
    <w:rsid w:val="4AE747C1"/>
    <w:rsid w:val="4AF13892"/>
    <w:rsid w:val="4AF22945"/>
    <w:rsid w:val="4B0340A4"/>
    <w:rsid w:val="4B0709C0"/>
    <w:rsid w:val="4B197B96"/>
    <w:rsid w:val="4BAF3531"/>
    <w:rsid w:val="4BB40399"/>
    <w:rsid w:val="4BC468B1"/>
    <w:rsid w:val="4BD44D46"/>
    <w:rsid w:val="4BD73BBC"/>
    <w:rsid w:val="4BDA4326"/>
    <w:rsid w:val="4BDE34A9"/>
    <w:rsid w:val="4BFC604B"/>
    <w:rsid w:val="4C2542C6"/>
    <w:rsid w:val="4C435E96"/>
    <w:rsid w:val="4C842195"/>
    <w:rsid w:val="4C8844D8"/>
    <w:rsid w:val="4C8A69D2"/>
    <w:rsid w:val="4CB07870"/>
    <w:rsid w:val="4CC21042"/>
    <w:rsid w:val="4CD46FC7"/>
    <w:rsid w:val="4D217F10"/>
    <w:rsid w:val="4D2E4B65"/>
    <w:rsid w:val="4D657A67"/>
    <w:rsid w:val="4DB36BDD"/>
    <w:rsid w:val="4DBE5CAD"/>
    <w:rsid w:val="4DC03FA4"/>
    <w:rsid w:val="4DD83BCC"/>
    <w:rsid w:val="4DDF79D2"/>
    <w:rsid w:val="4DE1374A"/>
    <w:rsid w:val="4DEB6377"/>
    <w:rsid w:val="4DF1636E"/>
    <w:rsid w:val="4DF55447"/>
    <w:rsid w:val="4E016821"/>
    <w:rsid w:val="4E0765A5"/>
    <w:rsid w:val="4E1115CD"/>
    <w:rsid w:val="4E1F24C4"/>
    <w:rsid w:val="4E2E5373"/>
    <w:rsid w:val="4E54216E"/>
    <w:rsid w:val="4E745CB6"/>
    <w:rsid w:val="4E760D0B"/>
    <w:rsid w:val="4EDC3AD5"/>
    <w:rsid w:val="4EE27577"/>
    <w:rsid w:val="4EE665CB"/>
    <w:rsid w:val="4F0963B9"/>
    <w:rsid w:val="4F1F0E02"/>
    <w:rsid w:val="4F2D2E36"/>
    <w:rsid w:val="4F4665CF"/>
    <w:rsid w:val="4F49480A"/>
    <w:rsid w:val="4F561D44"/>
    <w:rsid w:val="4F6D0752"/>
    <w:rsid w:val="4F786D37"/>
    <w:rsid w:val="4F85275A"/>
    <w:rsid w:val="4FAD422B"/>
    <w:rsid w:val="4FD0705F"/>
    <w:rsid w:val="4FDE142C"/>
    <w:rsid w:val="4FE94B38"/>
    <w:rsid w:val="5011774A"/>
    <w:rsid w:val="50146059"/>
    <w:rsid w:val="50395ABF"/>
    <w:rsid w:val="5039786D"/>
    <w:rsid w:val="50485D02"/>
    <w:rsid w:val="504D156B"/>
    <w:rsid w:val="50526B81"/>
    <w:rsid w:val="505C6EFD"/>
    <w:rsid w:val="50630D8E"/>
    <w:rsid w:val="506F736F"/>
    <w:rsid w:val="5080549C"/>
    <w:rsid w:val="509E5922"/>
    <w:rsid w:val="50A54F03"/>
    <w:rsid w:val="50DE6667"/>
    <w:rsid w:val="50FF2BEF"/>
    <w:rsid w:val="51044B29"/>
    <w:rsid w:val="51181B78"/>
    <w:rsid w:val="51264935"/>
    <w:rsid w:val="512A18AC"/>
    <w:rsid w:val="515114EF"/>
    <w:rsid w:val="515A3F3F"/>
    <w:rsid w:val="515E7330"/>
    <w:rsid w:val="516528E4"/>
    <w:rsid w:val="517514EA"/>
    <w:rsid w:val="51944BC6"/>
    <w:rsid w:val="51AB05F0"/>
    <w:rsid w:val="51AC0513"/>
    <w:rsid w:val="51B24883"/>
    <w:rsid w:val="51B6604B"/>
    <w:rsid w:val="521F2A93"/>
    <w:rsid w:val="522E717A"/>
    <w:rsid w:val="523C1897"/>
    <w:rsid w:val="528C45CC"/>
    <w:rsid w:val="52A631B4"/>
    <w:rsid w:val="52B25C24"/>
    <w:rsid w:val="52B94C95"/>
    <w:rsid w:val="52C87D18"/>
    <w:rsid w:val="52D756E9"/>
    <w:rsid w:val="52F52119"/>
    <w:rsid w:val="5325057D"/>
    <w:rsid w:val="53427D34"/>
    <w:rsid w:val="539B439B"/>
    <w:rsid w:val="539F20DD"/>
    <w:rsid w:val="53A05E55"/>
    <w:rsid w:val="53A30849"/>
    <w:rsid w:val="53B43B75"/>
    <w:rsid w:val="53D31D87"/>
    <w:rsid w:val="53DE5743"/>
    <w:rsid w:val="53E329CC"/>
    <w:rsid w:val="53FA7313"/>
    <w:rsid w:val="54040192"/>
    <w:rsid w:val="545033D7"/>
    <w:rsid w:val="545C3887"/>
    <w:rsid w:val="545D78A2"/>
    <w:rsid w:val="549239F0"/>
    <w:rsid w:val="54AD6A7C"/>
    <w:rsid w:val="54CF07A0"/>
    <w:rsid w:val="54FC282C"/>
    <w:rsid w:val="55006BAB"/>
    <w:rsid w:val="551C775D"/>
    <w:rsid w:val="553D7E00"/>
    <w:rsid w:val="55525CA4"/>
    <w:rsid w:val="55545149"/>
    <w:rsid w:val="5560418C"/>
    <w:rsid w:val="559957C1"/>
    <w:rsid w:val="559D0BD6"/>
    <w:rsid w:val="55CE055B"/>
    <w:rsid w:val="55D32512"/>
    <w:rsid w:val="56091A90"/>
    <w:rsid w:val="561B17C3"/>
    <w:rsid w:val="561F5757"/>
    <w:rsid w:val="562D159C"/>
    <w:rsid w:val="564A6822"/>
    <w:rsid w:val="56546D4A"/>
    <w:rsid w:val="56B22591"/>
    <w:rsid w:val="56D022B5"/>
    <w:rsid w:val="56F52014"/>
    <w:rsid w:val="571C70F4"/>
    <w:rsid w:val="57405985"/>
    <w:rsid w:val="574511ED"/>
    <w:rsid w:val="57511940"/>
    <w:rsid w:val="57742E61"/>
    <w:rsid w:val="57792C45"/>
    <w:rsid w:val="578F06BB"/>
    <w:rsid w:val="57A44166"/>
    <w:rsid w:val="57D85BBE"/>
    <w:rsid w:val="57D91936"/>
    <w:rsid w:val="57DC6353"/>
    <w:rsid w:val="57F80965"/>
    <w:rsid w:val="582C5F09"/>
    <w:rsid w:val="58507E4A"/>
    <w:rsid w:val="587353B9"/>
    <w:rsid w:val="587578B0"/>
    <w:rsid w:val="588763EC"/>
    <w:rsid w:val="589C0C1E"/>
    <w:rsid w:val="58AC2BA6"/>
    <w:rsid w:val="58B303D9"/>
    <w:rsid w:val="59101387"/>
    <w:rsid w:val="59106529"/>
    <w:rsid w:val="59367672"/>
    <w:rsid w:val="59453BD6"/>
    <w:rsid w:val="5960097C"/>
    <w:rsid w:val="59745DBA"/>
    <w:rsid w:val="597871B4"/>
    <w:rsid w:val="5987789B"/>
    <w:rsid w:val="599876AE"/>
    <w:rsid w:val="599C08D7"/>
    <w:rsid w:val="59B2243E"/>
    <w:rsid w:val="59FB5B93"/>
    <w:rsid w:val="5A1B6236"/>
    <w:rsid w:val="5A204D11"/>
    <w:rsid w:val="5A271555"/>
    <w:rsid w:val="5A6C38CF"/>
    <w:rsid w:val="5A8319A8"/>
    <w:rsid w:val="5A8453A2"/>
    <w:rsid w:val="5A9A35FE"/>
    <w:rsid w:val="5AA4622B"/>
    <w:rsid w:val="5AB04BD0"/>
    <w:rsid w:val="5ACD1013"/>
    <w:rsid w:val="5ACD7680"/>
    <w:rsid w:val="5AD563E4"/>
    <w:rsid w:val="5B040A3C"/>
    <w:rsid w:val="5B351579"/>
    <w:rsid w:val="5B383448"/>
    <w:rsid w:val="5B597015"/>
    <w:rsid w:val="5B5F2152"/>
    <w:rsid w:val="5B6B166F"/>
    <w:rsid w:val="5B9E711E"/>
    <w:rsid w:val="5BA30291"/>
    <w:rsid w:val="5BB85C75"/>
    <w:rsid w:val="5BBA55DA"/>
    <w:rsid w:val="5BBB7CD0"/>
    <w:rsid w:val="5BBF7D40"/>
    <w:rsid w:val="5BF46D3E"/>
    <w:rsid w:val="5C062BE6"/>
    <w:rsid w:val="5C1271C4"/>
    <w:rsid w:val="5C272C70"/>
    <w:rsid w:val="5C657C3C"/>
    <w:rsid w:val="5C95407D"/>
    <w:rsid w:val="5CBF10FA"/>
    <w:rsid w:val="5CCD37EF"/>
    <w:rsid w:val="5D0E5BDE"/>
    <w:rsid w:val="5D1551BE"/>
    <w:rsid w:val="5D494E68"/>
    <w:rsid w:val="5D504448"/>
    <w:rsid w:val="5D7111F5"/>
    <w:rsid w:val="5D7E0FB5"/>
    <w:rsid w:val="5DAD36A2"/>
    <w:rsid w:val="5DD010E5"/>
    <w:rsid w:val="5DD9443E"/>
    <w:rsid w:val="5DDE7CA6"/>
    <w:rsid w:val="5E033269"/>
    <w:rsid w:val="5E1216FE"/>
    <w:rsid w:val="5E2145D5"/>
    <w:rsid w:val="5E2532E6"/>
    <w:rsid w:val="5E624433"/>
    <w:rsid w:val="5E647C88"/>
    <w:rsid w:val="5E662E3D"/>
    <w:rsid w:val="5E736B32"/>
    <w:rsid w:val="5EA762EA"/>
    <w:rsid w:val="5EA8689A"/>
    <w:rsid w:val="5EB033F0"/>
    <w:rsid w:val="5ED668DC"/>
    <w:rsid w:val="5EFA0B0F"/>
    <w:rsid w:val="5F3670FF"/>
    <w:rsid w:val="5F3C14E7"/>
    <w:rsid w:val="5F3C2ED6"/>
    <w:rsid w:val="5F43646F"/>
    <w:rsid w:val="5F531FCE"/>
    <w:rsid w:val="5F796DF2"/>
    <w:rsid w:val="5F830B05"/>
    <w:rsid w:val="5F8C7892"/>
    <w:rsid w:val="5F926F9A"/>
    <w:rsid w:val="5FA0070D"/>
    <w:rsid w:val="5FA7456C"/>
    <w:rsid w:val="5FA75A77"/>
    <w:rsid w:val="5FAD7C21"/>
    <w:rsid w:val="5FCB425A"/>
    <w:rsid w:val="5FDC0215"/>
    <w:rsid w:val="5FE64BF0"/>
    <w:rsid w:val="60057024"/>
    <w:rsid w:val="60235E44"/>
    <w:rsid w:val="603142B4"/>
    <w:rsid w:val="606A75CF"/>
    <w:rsid w:val="60A71ADB"/>
    <w:rsid w:val="60C969EB"/>
    <w:rsid w:val="60D27197"/>
    <w:rsid w:val="60F26B13"/>
    <w:rsid w:val="60FE7C06"/>
    <w:rsid w:val="61137C66"/>
    <w:rsid w:val="61281925"/>
    <w:rsid w:val="612C6DB7"/>
    <w:rsid w:val="615763BF"/>
    <w:rsid w:val="618A0B45"/>
    <w:rsid w:val="61A60ADB"/>
    <w:rsid w:val="61CB0541"/>
    <w:rsid w:val="61DB4C28"/>
    <w:rsid w:val="61E56882"/>
    <w:rsid w:val="61F1160C"/>
    <w:rsid w:val="622540F5"/>
    <w:rsid w:val="622A5268"/>
    <w:rsid w:val="62443927"/>
    <w:rsid w:val="6263240A"/>
    <w:rsid w:val="626764BC"/>
    <w:rsid w:val="62726C0F"/>
    <w:rsid w:val="6296758D"/>
    <w:rsid w:val="62A852DD"/>
    <w:rsid w:val="62AA720C"/>
    <w:rsid w:val="62AF1C11"/>
    <w:rsid w:val="62BF00A6"/>
    <w:rsid w:val="62C76F5B"/>
    <w:rsid w:val="62CD2097"/>
    <w:rsid w:val="62D43425"/>
    <w:rsid w:val="62DA64E4"/>
    <w:rsid w:val="62F34051"/>
    <w:rsid w:val="62F83A45"/>
    <w:rsid w:val="62FC1D6B"/>
    <w:rsid w:val="6300246C"/>
    <w:rsid w:val="63141A74"/>
    <w:rsid w:val="63646678"/>
    <w:rsid w:val="636724EC"/>
    <w:rsid w:val="636C365E"/>
    <w:rsid w:val="638C3D00"/>
    <w:rsid w:val="63952BB5"/>
    <w:rsid w:val="63C67212"/>
    <w:rsid w:val="63D538F9"/>
    <w:rsid w:val="63E21F44"/>
    <w:rsid w:val="64121A53"/>
    <w:rsid w:val="641E766A"/>
    <w:rsid w:val="644833A9"/>
    <w:rsid w:val="644F7B8E"/>
    <w:rsid w:val="64836EB1"/>
    <w:rsid w:val="64850E7B"/>
    <w:rsid w:val="64C37BF6"/>
    <w:rsid w:val="64E75692"/>
    <w:rsid w:val="64ED7F25"/>
    <w:rsid w:val="64F4744C"/>
    <w:rsid w:val="65075D34"/>
    <w:rsid w:val="652C579B"/>
    <w:rsid w:val="6535516E"/>
    <w:rsid w:val="653C50AB"/>
    <w:rsid w:val="65534AD5"/>
    <w:rsid w:val="65644F35"/>
    <w:rsid w:val="65744A4C"/>
    <w:rsid w:val="658253BB"/>
    <w:rsid w:val="658B078D"/>
    <w:rsid w:val="65A74E21"/>
    <w:rsid w:val="65D379C4"/>
    <w:rsid w:val="65DC0F6F"/>
    <w:rsid w:val="65E46529"/>
    <w:rsid w:val="65F52031"/>
    <w:rsid w:val="660364FC"/>
    <w:rsid w:val="66112985"/>
    <w:rsid w:val="66195D1F"/>
    <w:rsid w:val="66352F1F"/>
    <w:rsid w:val="664663E8"/>
    <w:rsid w:val="6654401A"/>
    <w:rsid w:val="666920D7"/>
    <w:rsid w:val="66744BDE"/>
    <w:rsid w:val="66846F11"/>
    <w:rsid w:val="66871EA3"/>
    <w:rsid w:val="66AA6977"/>
    <w:rsid w:val="66D165D2"/>
    <w:rsid w:val="671539F5"/>
    <w:rsid w:val="67193AFD"/>
    <w:rsid w:val="67395F4D"/>
    <w:rsid w:val="67A26387"/>
    <w:rsid w:val="67AB690A"/>
    <w:rsid w:val="67C20E30"/>
    <w:rsid w:val="67C46EE5"/>
    <w:rsid w:val="67D85766"/>
    <w:rsid w:val="67DB403A"/>
    <w:rsid w:val="68055F4C"/>
    <w:rsid w:val="68057AA9"/>
    <w:rsid w:val="6818150B"/>
    <w:rsid w:val="68442EF0"/>
    <w:rsid w:val="684B5F38"/>
    <w:rsid w:val="688A022F"/>
    <w:rsid w:val="689C49E5"/>
    <w:rsid w:val="68C2261D"/>
    <w:rsid w:val="68EA5751"/>
    <w:rsid w:val="690B02EE"/>
    <w:rsid w:val="69272501"/>
    <w:rsid w:val="69431305"/>
    <w:rsid w:val="69855479"/>
    <w:rsid w:val="699B4C9D"/>
    <w:rsid w:val="69B12FFE"/>
    <w:rsid w:val="69C26753"/>
    <w:rsid w:val="69E14DA6"/>
    <w:rsid w:val="69F525FF"/>
    <w:rsid w:val="69F864CC"/>
    <w:rsid w:val="6A1360A0"/>
    <w:rsid w:val="6A1A0092"/>
    <w:rsid w:val="6A260884"/>
    <w:rsid w:val="6A507835"/>
    <w:rsid w:val="6A6631B8"/>
    <w:rsid w:val="6A70612A"/>
    <w:rsid w:val="6A773014"/>
    <w:rsid w:val="6A7C062B"/>
    <w:rsid w:val="6A877238"/>
    <w:rsid w:val="6A95793E"/>
    <w:rsid w:val="6AA778F8"/>
    <w:rsid w:val="6AB51D8E"/>
    <w:rsid w:val="6ABA1153"/>
    <w:rsid w:val="6ACD4FC1"/>
    <w:rsid w:val="6AD04302"/>
    <w:rsid w:val="6B146AB5"/>
    <w:rsid w:val="6B163FCD"/>
    <w:rsid w:val="6B8237AB"/>
    <w:rsid w:val="6B8C2AEF"/>
    <w:rsid w:val="6BAA0E8B"/>
    <w:rsid w:val="6BAB3E9E"/>
    <w:rsid w:val="6BBB1626"/>
    <w:rsid w:val="6BC26511"/>
    <w:rsid w:val="6BE02E3B"/>
    <w:rsid w:val="6BFD01D8"/>
    <w:rsid w:val="6C2169EF"/>
    <w:rsid w:val="6C245DE1"/>
    <w:rsid w:val="6C2947E2"/>
    <w:rsid w:val="6C303DC2"/>
    <w:rsid w:val="6C3D1C31"/>
    <w:rsid w:val="6C455FEF"/>
    <w:rsid w:val="6C4A1122"/>
    <w:rsid w:val="6C5F4D83"/>
    <w:rsid w:val="6C6E48EB"/>
    <w:rsid w:val="6C8C7A1A"/>
    <w:rsid w:val="6CFA1CDB"/>
    <w:rsid w:val="6D3451EC"/>
    <w:rsid w:val="6D3F05F3"/>
    <w:rsid w:val="6D560EAF"/>
    <w:rsid w:val="6D5C4743"/>
    <w:rsid w:val="6D604F27"/>
    <w:rsid w:val="6D7872BE"/>
    <w:rsid w:val="6DAC1227"/>
    <w:rsid w:val="6DCE3893"/>
    <w:rsid w:val="6DE8556D"/>
    <w:rsid w:val="6DF57072"/>
    <w:rsid w:val="6E11406C"/>
    <w:rsid w:val="6E151448"/>
    <w:rsid w:val="6E3851B0"/>
    <w:rsid w:val="6E3A0F28"/>
    <w:rsid w:val="6E667195"/>
    <w:rsid w:val="6E730CC4"/>
    <w:rsid w:val="6E781A51"/>
    <w:rsid w:val="6E7D1650"/>
    <w:rsid w:val="6E815015"/>
    <w:rsid w:val="6EAE0FCF"/>
    <w:rsid w:val="6EB80735"/>
    <w:rsid w:val="6EC4144C"/>
    <w:rsid w:val="6EC95E08"/>
    <w:rsid w:val="6EF410D7"/>
    <w:rsid w:val="6F072A92"/>
    <w:rsid w:val="6F1B0286"/>
    <w:rsid w:val="6F4D3531"/>
    <w:rsid w:val="6F571EE4"/>
    <w:rsid w:val="6F6C5073"/>
    <w:rsid w:val="6F743FC6"/>
    <w:rsid w:val="6F7C10CD"/>
    <w:rsid w:val="6FB70357"/>
    <w:rsid w:val="702B51F4"/>
    <w:rsid w:val="702C6118"/>
    <w:rsid w:val="706A53C9"/>
    <w:rsid w:val="707C1572"/>
    <w:rsid w:val="707F70C6"/>
    <w:rsid w:val="70866D14"/>
    <w:rsid w:val="70C1148D"/>
    <w:rsid w:val="7105445C"/>
    <w:rsid w:val="71080E6A"/>
    <w:rsid w:val="711C24DA"/>
    <w:rsid w:val="713F0604"/>
    <w:rsid w:val="71520337"/>
    <w:rsid w:val="717E112C"/>
    <w:rsid w:val="71940C37"/>
    <w:rsid w:val="71A14E1B"/>
    <w:rsid w:val="71A212BE"/>
    <w:rsid w:val="71B903B6"/>
    <w:rsid w:val="71BA7C8A"/>
    <w:rsid w:val="71E644D0"/>
    <w:rsid w:val="72054E52"/>
    <w:rsid w:val="7224305C"/>
    <w:rsid w:val="72372309"/>
    <w:rsid w:val="723B0DCB"/>
    <w:rsid w:val="72404633"/>
    <w:rsid w:val="72554F0C"/>
    <w:rsid w:val="72A526E9"/>
    <w:rsid w:val="72AD0E60"/>
    <w:rsid w:val="72AF1B77"/>
    <w:rsid w:val="72B821FC"/>
    <w:rsid w:val="72C76B03"/>
    <w:rsid w:val="72D651FD"/>
    <w:rsid w:val="72DD1906"/>
    <w:rsid w:val="72E256EB"/>
    <w:rsid w:val="72E923EA"/>
    <w:rsid w:val="72F91763"/>
    <w:rsid w:val="73027B3B"/>
    <w:rsid w:val="73124222"/>
    <w:rsid w:val="73165394"/>
    <w:rsid w:val="733A5527"/>
    <w:rsid w:val="735040D2"/>
    <w:rsid w:val="73506AF8"/>
    <w:rsid w:val="73814580"/>
    <w:rsid w:val="73AD7AA7"/>
    <w:rsid w:val="73B13A3B"/>
    <w:rsid w:val="73D541D6"/>
    <w:rsid w:val="73DC65DE"/>
    <w:rsid w:val="73FD152F"/>
    <w:rsid w:val="73FE47A6"/>
    <w:rsid w:val="74132B02"/>
    <w:rsid w:val="743B5D19"/>
    <w:rsid w:val="746B4DE1"/>
    <w:rsid w:val="748B1959"/>
    <w:rsid w:val="74980757"/>
    <w:rsid w:val="74A94712"/>
    <w:rsid w:val="74CB28DA"/>
    <w:rsid w:val="74E474F8"/>
    <w:rsid w:val="74E55980"/>
    <w:rsid w:val="74F55BA9"/>
    <w:rsid w:val="750A2CD7"/>
    <w:rsid w:val="75151DA7"/>
    <w:rsid w:val="7519750B"/>
    <w:rsid w:val="751C3136"/>
    <w:rsid w:val="751F2C26"/>
    <w:rsid w:val="75297059"/>
    <w:rsid w:val="7533222E"/>
    <w:rsid w:val="754506F8"/>
    <w:rsid w:val="7577036C"/>
    <w:rsid w:val="75842A89"/>
    <w:rsid w:val="75880FCC"/>
    <w:rsid w:val="75952EE8"/>
    <w:rsid w:val="75A650F5"/>
    <w:rsid w:val="75DB4288"/>
    <w:rsid w:val="762865F3"/>
    <w:rsid w:val="76297DEC"/>
    <w:rsid w:val="763B75EC"/>
    <w:rsid w:val="76427692"/>
    <w:rsid w:val="7646538C"/>
    <w:rsid w:val="764E21C9"/>
    <w:rsid w:val="76531987"/>
    <w:rsid w:val="76763C9B"/>
    <w:rsid w:val="76880357"/>
    <w:rsid w:val="76AA190D"/>
    <w:rsid w:val="76B0665F"/>
    <w:rsid w:val="76B92C06"/>
    <w:rsid w:val="76B94B5B"/>
    <w:rsid w:val="76BD0317"/>
    <w:rsid w:val="76C27D0D"/>
    <w:rsid w:val="76D57A40"/>
    <w:rsid w:val="76E47C83"/>
    <w:rsid w:val="771B10EA"/>
    <w:rsid w:val="77381D7D"/>
    <w:rsid w:val="77512E3F"/>
    <w:rsid w:val="775E11DE"/>
    <w:rsid w:val="778803B6"/>
    <w:rsid w:val="77924BEB"/>
    <w:rsid w:val="77B57CE6"/>
    <w:rsid w:val="77CB2BF1"/>
    <w:rsid w:val="77DA2E34"/>
    <w:rsid w:val="77E048EF"/>
    <w:rsid w:val="77E45A61"/>
    <w:rsid w:val="77FC0F3E"/>
    <w:rsid w:val="78085BF3"/>
    <w:rsid w:val="78111AD0"/>
    <w:rsid w:val="783B7D77"/>
    <w:rsid w:val="784F2557"/>
    <w:rsid w:val="78654DE1"/>
    <w:rsid w:val="78665094"/>
    <w:rsid w:val="78874D6A"/>
    <w:rsid w:val="78B35B5F"/>
    <w:rsid w:val="78C57641"/>
    <w:rsid w:val="78CC756A"/>
    <w:rsid w:val="78E24DCB"/>
    <w:rsid w:val="78F849C2"/>
    <w:rsid w:val="78FC310E"/>
    <w:rsid w:val="79045E32"/>
    <w:rsid w:val="79294073"/>
    <w:rsid w:val="792A0134"/>
    <w:rsid w:val="79701CA2"/>
    <w:rsid w:val="79725A1A"/>
    <w:rsid w:val="79773031"/>
    <w:rsid w:val="797C0A9B"/>
    <w:rsid w:val="797D2099"/>
    <w:rsid w:val="79AD6A52"/>
    <w:rsid w:val="79AE1324"/>
    <w:rsid w:val="79C478F8"/>
    <w:rsid w:val="79C73545"/>
    <w:rsid w:val="79CD432C"/>
    <w:rsid w:val="79E42B8D"/>
    <w:rsid w:val="79E57CFB"/>
    <w:rsid w:val="7A0B3779"/>
    <w:rsid w:val="7A3E76AA"/>
    <w:rsid w:val="7A5E5F9F"/>
    <w:rsid w:val="7A7B13B1"/>
    <w:rsid w:val="7A7F32C6"/>
    <w:rsid w:val="7A831561"/>
    <w:rsid w:val="7A8F6158"/>
    <w:rsid w:val="7AAC4F5C"/>
    <w:rsid w:val="7ABB0CFB"/>
    <w:rsid w:val="7AEF309B"/>
    <w:rsid w:val="7AEF6BF7"/>
    <w:rsid w:val="7AF4420D"/>
    <w:rsid w:val="7B073F40"/>
    <w:rsid w:val="7B1053D6"/>
    <w:rsid w:val="7B2B1E08"/>
    <w:rsid w:val="7B56326B"/>
    <w:rsid w:val="7B592AEB"/>
    <w:rsid w:val="7B5C2E58"/>
    <w:rsid w:val="7B5D0004"/>
    <w:rsid w:val="7B7563D6"/>
    <w:rsid w:val="7B7D06A6"/>
    <w:rsid w:val="7B931C78"/>
    <w:rsid w:val="7B9854E0"/>
    <w:rsid w:val="7BB10350"/>
    <w:rsid w:val="7BB33D4C"/>
    <w:rsid w:val="7BBA2624"/>
    <w:rsid w:val="7BD06A28"/>
    <w:rsid w:val="7BF00D90"/>
    <w:rsid w:val="7C142DB9"/>
    <w:rsid w:val="7C1639FF"/>
    <w:rsid w:val="7C2C400E"/>
    <w:rsid w:val="7C3A6A8B"/>
    <w:rsid w:val="7C661068"/>
    <w:rsid w:val="7C720C48"/>
    <w:rsid w:val="7CCF49B2"/>
    <w:rsid w:val="7CF404F4"/>
    <w:rsid w:val="7CF43450"/>
    <w:rsid w:val="7D014D52"/>
    <w:rsid w:val="7D07647A"/>
    <w:rsid w:val="7D1144BC"/>
    <w:rsid w:val="7D20217D"/>
    <w:rsid w:val="7D2F59D0"/>
    <w:rsid w:val="7D311748"/>
    <w:rsid w:val="7D422505"/>
    <w:rsid w:val="7D7D498E"/>
    <w:rsid w:val="7D93181C"/>
    <w:rsid w:val="7D9E69C0"/>
    <w:rsid w:val="7DE1316F"/>
    <w:rsid w:val="7DE20C95"/>
    <w:rsid w:val="7DF03702"/>
    <w:rsid w:val="7E0B3D48"/>
    <w:rsid w:val="7E1075B0"/>
    <w:rsid w:val="7E2C4AFF"/>
    <w:rsid w:val="7E3A462D"/>
    <w:rsid w:val="7ECD75C7"/>
    <w:rsid w:val="7EDC5DF3"/>
    <w:rsid w:val="7EF02F3D"/>
    <w:rsid w:val="7F1B6380"/>
    <w:rsid w:val="7F21759B"/>
    <w:rsid w:val="7F26481D"/>
    <w:rsid w:val="7F460DAF"/>
    <w:rsid w:val="7F631C00"/>
    <w:rsid w:val="7F761695"/>
    <w:rsid w:val="7F7B569D"/>
    <w:rsid w:val="7FE162E8"/>
    <w:rsid w:val="7FF151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9"/>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63"/>
    <w:qFormat/>
    <w:uiPriority w:val="9"/>
    <w:pPr>
      <w:keepNext/>
      <w:keepLines/>
      <w:spacing w:before="260" w:beforeLines="0" w:after="260" w:afterLines="0" w:line="416" w:lineRule="auto"/>
      <w:outlineLvl w:val="1"/>
    </w:pPr>
    <w:rPr>
      <w:rFonts w:ascii="Cambria" w:hAnsi="Cambria"/>
      <w:b/>
      <w:bCs/>
      <w:sz w:val="32"/>
      <w:szCs w:val="32"/>
    </w:rPr>
  </w:style>
  <w:style w:type="paragraph" w:styleId="5">
    <w:name w:val="heading 3"/>
    <w:basedOn w:val="1"/>
    <w:next w:val="1"/>
    <w:link w:val="89"/>
    <w:qFormat/>
    <w:uiPriority w:val="0"/>
    <w:pPr>
      <w:keepNext/>
      <w:keepLines/>
      <w:widowControl/>
      <w:snapToGrid w:val="0"/>
      <w:spacing w:line="360" w:lineRule="auto"/>
      <w:jc w:val="left"/>
      <w:outlineLvl w:val="2"/>
    </w:pPr>
    <w:rPr>
      <w:rFonts w:ascii="宋体" w:hAnsi="宋体"/>
      <w:b/>
      <w:bCs/>
      <w:kern w:val="0"/>
      <w:sz w:val="28"/>
      <w:lang w:eastAsia="en-US" w:bidi="en-US"/>
    </w:rPr>
  </w:style>
  <w:style w:type="paragraph" w:styleId="6">
    <w:name w:val="heading 4"/>
    <w:basedOn w:val="1"/>
    <w:next w:val="1"/>
    <w:link w:val="65"/>
    <w:qFormat/>
    <w:uiPriority w:val="0"/>
    <w:pPr>
      <w:keepNext/>
      <w:keepLines/>
      <w:widowControl/>
      <w:spacing w:beforeLines="0" w:line="276" w:lineRule="auto"/>
      <w:jc w:val="left"/>
      <w:outlineLvl w:val="3"/>
    </w:pPr>
    <w:rPr>
      <w:rFonts w:ascii="Cambria" w:hAnsi="Cambria" w:eastAsia="宋体"/>
      <w:b/>
      <w:bCs/>
      <w:iCs/>
      <w:color w:val="4F81BD"/>
      <w:kern w:val="0"/>
      <w:sz w:val="22"/>
      <w:lang w:eastAsia="en-US" w:bidi="en-US"/>
    </w:rPr>
  </w:style>
  <w:style w:type="paragraph" w:styleId="7">
    <w:name w:val="heading 5"/>
    <w:basedOn w:val="1"/>
    <w:next w:val="1"/>
    <w:link w:val="66"/>
    <w:qFormat/>
    <w:uiPriority w:val="0"/>
    <w:pPr>
      <w:keepNext/>
      <w:keepLines/>
      <w:widowControl/>
      <w:spacing w:before="200" w:beforeLines="0" w:line="276" w:lineRule="auto"/>
      <w:jc w:val="left"/>
      <w:outlineLvl w:val="4"/>
    </w:pPr>
    <w:rPr>
      <w:rFonts w:ascii="Cambria" w:hAnsi="Cambria"/>
      <w:color w:val="243F60"/>
      <w:kern w:val="0"/>
      <w:sz w:val="22"/>
      <w:lang w:eastAsia="en-US" w:bidi="en-US"/>
    </w:rPr>
  </w:style>
  <w:style w:type="paragraph" w:styleId="8">
    <w:name w:val="heading 6"/>
    <w:basedOn w:val="1"/>
    <w:next w:val="1"/>
    <w:link w:val="67"/>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szCs w:val="20"/>
    </w:rPr>
  </w:style>
  <w:style w:type="paragraph" w:styleId="9">
    <w:name w:val="heading 7"/>
    <w:basedOn w:val="1"/>
    <w:next w:val="1"/>
    <w:link w:val="68"/>
    <w:qFormat/>
    <w:uiPriority w:val="0"/>
    <w:pPr>
      <w:keepNext/>
      <w:keepLines/>
      <w:adjustRightInd w:val="0"/>
      <w:spacing w:before="240" w:beforeLines="0" w:after="64" w:afterLines="0" w:line="320" w:lineRule="atLeast"/>
      <w:textAlignment w:val="baseline"/>
      <w:outlineLvl w:val="6"/>
    </w:pPr>
    <w:rPr>
      <w:b/>
      <w:kern w:val="0"/>
      <w:sz w:val="24"/>
      <w:szCs w:val="20"/>
    </w:rPr>
  </w:style>
  <w:style w:type="paragraph" w:styleId="10">
    <w:name w:val="heading 8"/>
    <w:basedOn w:val="1"/>
    <w:next w:val="1"/>
    <w:link w:val="69"/>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1">
    <w:name w:val="heading 9"/>
    <w:basedOn w:val="1"/>
    <w:next w:val="1"/>
    <w:link w:val="70"/>
    <w:qFormat/>
    <w:uiPriority w:val="0"/>
    <w:pPr>
      <w:keepNext/>
      <w:keepLines/>
      <w:adjustRightInd w:val="0"/>
      <w:spacing w:before="240" w:beforeLines="0" w:after="64" w:afterLines="0" w:line="320" w:lineRule="atLeast"/>
      <w:textAlignment w:val="baseline"/>
      <w:outlineLvl w:val="8"/>
    </w:pPr>
    <w:rPr>
      <w:rFonts w:ascii="Arial" w:hAnsi="Arial" w:eastAsia="黑体"/>
      <w:kern w:val="0"/>
      <w:szCs w:val="20"/>
    </w:rPr>
  </w:style>
  <w:style w:type="character" w:default="1" w:styleId="49">
    <w:name w:val="Default Paragraph Font"/>
    <w:semiHidden/>
    <w:qFormat/>
    <w:uiPriority w:val="0"/>
  </w:style>
  <w:style w:type="table" w:default="1" w:styleId="47">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adjustRightInd w:val="0"/>
      <w:spacing w:before="152" w:beforeLines="0" w:after="160" w:afterLines="0" w:line="360" w:lineRule="atLeast"/>
      <w:jc w:val="left"/>
      <w:textAlignment w:val="baseline"/>
    </w:pPr>
    <w:rPr>
      <w:rFonts w:ascii="Arial" w:hAnsi="Arial" w:eastAsia="黑体"/>
      <w:kern w:val="0"/>
      <w:sz w:val="24"/>
    </w:rPr>
  </w:style>
  <w:style w:type="paragraph" w:styleId="15">
    <w:name w:val="Document Map"/>
    <w:basedOn w:val="1"/>
    <w:link w:val="71"/>
    <w:semiHidden/>
    <w:qFormat/>
    <w:uiPriority w:val="0"/>
    <w:pPr>
      <w:shd w:val="clear" w:color="auto" w:fill="000080"/>
    </w:pPr>
  </w:style>
  <w:style w:type="paragraph" w:styleId="16">
    <w:name w:val="toa heading"/>
    <w:next w:val="1"/>
    <w:qFormat/>
    <w:uiPriority w:val="99"/>
    <w:pPr>
      <w:widowControl w:val="0"/>
      <w:autoSpaceDE w:val="0"/>
      <w:autoSpaceDN w:val="0"/>
      <w:adjustRightInd w:val="0"/>
      <w:spacing w:before="120"/>
    </w:pPr>
    <w:rPr>
      <w:rFonts w:ascii="Arial" w:hAnsi="Arial" w:eastAsia="宋体" w:cs="Times New Roman"/>
      <w:sz w:val="24"/>
      <w:lang w:val="en-US" w:eastAsia="zh-CN" w:bidi="ar-SA"/>
    </w:rPr>
  </w:style>
  <w:style w:type="paragraph" w:styleId="17">
    <w:name w:val="annotation text"/>
    <w:basedOn w:val="1"/>
    <w:link w:val="72"/>
    <w:semiHidden/>
    <w:qFormat/>
    <w:uiPriority w:val="0"/>
    <w:pPr>
      <w:jc w:val="left"/>
    </w:pPr>
  </w:style>
  <w:style w:type="paragraph" w:styleId="18">
    <w:name w:val="Body Text 3"/>
    <w:basedOn w:val="1"/>
    <w:link w:val="73"/>
    <w:qFormat/>
    <w:uiPriority w:val="0"/>
    <w:pPr>
      <w:spacing w:after="120" w:afterLines="0"/>
    </w:pPr>
    <w:rPr>
      <w:sz w:val="16"/>
      <w:szCs w:val="16"/>
    </w:rPr>
  </w:style>
  <w:style w:type="paragraph" w:styleId="19">
    <w:name w:val="Body Text"/>
    <w:basedOn w:val="1"/>
    <w:next w:val="1"/>
    <w:link w:val="74"/>
    <w:qFormat/>
    <w:uiPriority w:val="0"/>
    <w:rPr>
      <w:rFonts w:eastAsia="黑体"/>
      <w:sz w:val="36"/>
    </w:rPr>
  </w:style>
  <w:style w:type="paragraph" w:styleId="20">
    <w:name w:val="Body Text Indent"/>
    <w:basedOn w:val="1"/>
    <w:link w:val="75"/>
    <w:qFormat/>
    <w:uiPriority w:val="0"/>
    <w:pPr>
      <w:spacing w:after="120" w:afterLines="0"/>
      <w:ind w:left="420" w:leftChars="200"/>
    </w:pPr>
  </w:style>
  <w:style w:type="paragraph" w:styleId="21">
    <w:name w:val="Block Text"/>
    <w:basedOn w:val="1"/>
    <w:qFormat/>
    <w:uiPriority w:val="0"/>
    <w:pPr>
      <w:spacing w:after="120" w:afterLines="0"/>
      <w:ind w:left="1440" w:leftChars="700" w:right="1440" w:rightChars="700"/>
    </w:pPr>
  </w:style>
  <w:style w:type="paragraph" w:styleId="22">
    <w:name w:val="List Bullet 2"/>
    <w:basedOn w:val="1"/>
    <w:qFormat/>
    <w:uiPriority w:val="0"/>
    <w:pPr>
      <w:numPr>
        <w:ilvl w:val="0"/>
        <w:numId w:val="1"/>
      </w:numPr>
    </w:pPr>
  </w:style>
  <w:style w:type="paragraph" w:styleId="23">
    <w:name w:val="toc 5"/>
    <w:basedOn w:val="1"/>
    <w:next w:val="1"/>
    <w:qFormat/>
    <w:uiPriority w:val="39"/>
    <w:pPr>
      <w:ind w:left="840"/>
      <w:jc w:val="left"/>
    </w:pPr>
    <w:rPr>
      <w:rFonts w:ascii="Calibri" w:hAnsi="Calibri"/>
      <w:sz w:val="18"/>
      <w:szCs w:val="18"/>
    </w:rPr>
  </w:style>
  <w:style w:type="paragraph" w:styleId="24">
    <w:name w:val="toc 3"/>
    <w:basedOn w:val="1"/>
    <w:next w:val="1"/>
    <w:qFormat/>
    <w:uiPriority w:val="39"/>
    <w:pPr>
      <w:ind w:left="420"/>
      <w:jc w:val="left"/>
    </w:pPr>
    <w:rPr>
      <w:rFonts w:ascii="Calibri" w:hAnsi="Calibri"/>
      <w:i/>
      <w:iCs/>
      <w:sz w:val="20"/>
      <w:szCs w:val="20"/>
    </w:rPr>
  </w:style>
  <w:style w:type="paragraph" w:styleId="25">
    <w:name w:val="Plain Text"/>
    <w:basedOn w:val="1"/>
    <w:link w:val="76"/>
    <w:qFormat/>
    <w:uiPriority w:val="0"/>
    <w:rPr>
      <w:rFonts w:ascii="宋体" w:hAnsi="Courier New"/>
      <w:szCs w:val="21"/>
    </w:rPr>
  </w:style>
  <w:style w:type="paragraph" w:styleId="26">
    <w:name w:val="toc 8"/>
    <w:basedOn w:val="1"/>
    <w:next w:val="1"/>
    <w:unhideWhenUsed/>
    <w:qFormat/>
    <w:uiPriority w:val="39"/>
    <w:pPr>
      <w:ind w:left="1470"/>
      <w:jc w:val="left"/>
    </w:pPr>
    <w:rPr>
      <w:rFonts w:ascii="Calibri" w:hAnsi="Calibri"/>
      <w:sz w:val="18"/>
      <w:szCs w:val="18"/>
    </w:rPr>
  </w:style>
  <w:style w:type="paragraph" w:styleId="27">
    <w:name w:val="Date"/>
    <w:basedOn w:val="1"/>
    <w:next w:val="1"/>
    <w:link w:val="77"/>
    <w:qFormat/>
    <w:uiPriority w:val="0"/>
    <w:pPr>
      <w:adjustRightInd w:val="0"/>
      <w:spacing w:line="360" w:lineRule="atLeast"/>
    </w:pPr>
    <w:rPr>
      <w:rFonts w:ascii="宋体"/>
      <w:kern w:val="0"/>
      <w:sz w:val="24"/>
      <w:szCs w:val="20"/>
    </w:rPr>
  </w:style>
  <w:style w:type="paragraph" w:styleId="28">
    <w:name w:val="Body Text Indent 2"/>
    <w:basedOn w:val="1"/>
    <w:link w:val="78"/>
    <w:qFormat/>
    <w:uiPriority w:val="0"/>
    <w:pPr>
      <w:spacing w:after="120" w:afterLines="0" w:line="480" w:lineRule="auto"/>
      <w:ind w:left="420" w:leftChars="200"/>
    </w:pPr>
  </w:style>
  <w:style w:type="paragraph" w:styleId="29">
    <w:name w:val="endnote text"/>
    <w:basedOn w:val="1"/>
    <w:link w:val="79"/>
    <w:qFormat/>
    <w:uiPriority w:val="0"/>
    <w:pPr>
      <w:snapToGrid w:val="0"/>
      <w:jc w:val="left"/>
    </w:pPr>
  </w:style>
  <w:style w:type="paragraph" w:styleId="30">
    <w:name w:val="Balloon Text"/>
    <w:basedOn w:val="1"/>
    <w:link w:val="80"/>
    <w:semiHidden/>
    <w:qFormat/>
    <w:uiPriority w:val="0"/>
    <w:rPr>
      <w:sz w:val="18"/>
      <w:szCs w:val="18"/>
    </w:rPr>
  </w:style>
  <w:style w:type="paragraph" w:styleId="31">
    <w:name w:val="footer"/>
    <w:basedOn w:val="1"/>
    <w:link w:val="81"/>
    <w:unhideWhenUsed/>
    <w:qFormat/>
    <w:uiPriority w:val="99"/>
    <w:pPr>
      <w:tabs>
        <w:tab w:val="center" w:pos="4153"/>
        <w:tab w:val="right" w:pos="8306"/>
      </w:tabs>
      <w:snapToGrid w:val="0"/>
      <w:jc w:val="left"/>
    </w:pPr>
    <w:rPr>
      <w:kern w:val="0"/>
      <w:sz w:val="18"/>
      <w:szCs w:val="18"/>
    </w:rPr>
  </w:style>
  <w:style w:type="paragraph" w:styleId="32">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uiPriority w:val="0"/>
    <w:pPr>
      <w:adjustRightInd w:val="0"/>
      <w:spacing w:line="360" w:lineRule="atLeast"/>
      <w:ind w:left="420" w:hanging="420"/>
      <w:jc w:val="left"/>
    </w:pPr>
    <w:rPr>
      <w:rFonts w:hint="eastAsia" w:ascii="宋体"/>
      <w:kern w:val="0"/>
      <w:sz w:val="24"/>
      <w:szCs w:val="20"/>
    </w:rPr>
  </w:style>
  <w:style w:type="paragraph" w:styleId="36">
    <w:name w:val="footnote text"/>
    <w:basedOn w:val="1"/>
    <w:link w:val="83"/>
    <w:qFormat/>
    <w:uiPriority w:val="99"/>
    <w:pPr>
      <w:snapToGrid w:val="0"/>
      <w:jc w:val="left"/>
    </w:pPr>
    <w:rPr>
      <w:sz w:val="18"/>
      <w:szCs w:val="18"/>
    </w:rPr>
  </w:style>
  <w:style w:type="paragraph" w:styleId="37">
    <w:name w:val="toc 6"/>
    <w:basedOn w:val="1"/>
    <w:next w:val="1"/>
    <w:unhideWhenUsed/>
    <w:qFormat/>
    <w:uiPriority w:val="39"/>
    <w:pPr>
      <w:ind w:left="1050"/>
      <w:jc w:val="left"/>
    </w:pPr>
    <w:rPr>
      <w:rFonts w:ascii="Calibri" w:hAnsi="Calibri"/>
      <w:sz w:val="18"/>
      <w:szCs w:val="18"/>
    </w:rPr>
  </w:style>
  <w:style w:type="paragraph" w:styleId="38">
    <w:name w:val="Body Text Indent 3"/>
    <w:basedOn w:val="1"/>
    <w:link w:val="84"/>
    <w:qFormat/>
    <w:uiPriority w:val="0"/>
    <w:pPr>
      <w:spacing w:after="120" w:afterLines="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unhideWhenUsed/>
    <w:qFormat/>
    <w:uiPriority w:val="39"/>
    <w:pPr>
      <w:ind w:left="1680"/>
      <w:jc w:val="left"/>
    </w:pPr>
    <w:rPr>
      <w:rFonts w:ascii="Calibri" w:hAnsi="Calibri"/>
      <w:sz w:val="18"/>
      <w:szCs w:val="18"/>
    </w:rPr>
  </w:style>
  <w:style w:type="paragraph" w:styleId="41">
    <w:name w:val="Body Text 2"/>
    <w:basedOn w:val="1"/>
    <w:link w:val="85"/>
    <w:qFormat/>
    <w:uiPriority w:val="0"/>
    <w:pPr>
      <w:jc w:val="center"/>
    </w:pPr>
    <w:rPr>
      <w:rFonts w:eastAsia="黑体"/>
      <w:bCs/>
      <w:sz w:val="72"/>
    </w:rPr>
  </w:style>
  <w:style w:type="paragraph" w:styleId="4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3">
    <w:name w:val="index 1"/>
    <w:basedOn w:val="1"/>
    <w:next w:val="1"/>
    <w:semiHidden/>
    <w:uiPriority w:val="0"/>
    <w:pPr>
      <w:spacing w:line="220" w:lineRule="exact"/>
      <w:jc w:val="center"/>
    </w:pPr>
    <w:rPr>
      <w:rFonts w:ascii="仿宋_GB2312" w:eastAsia="仿宋_GB2312"/>
      <w:szCs w:val="21"/>
    </w:rPr>
  </w:style>
  <w:style w:type="paragraph" w:styleId="44">
    <w:name w:val="Title"/>
    <w:basedOn w:val="1"/>
    <w:link w:val="86"/>
    <w:qFormat/>
    <w:uiPriority w:val="0"/>
    <w:pPr>
      <w:adjustRightInd w:val="0"/>
      <w:spacing w:before="240" w:beforeLines="0" w:after="60" w:afterLines="0" w:line="360" w:lineRule="atLeast"/>
      <w:jc w:val="center"/>
      <w:outlineLvl w:val="0"/>
    </w:pPr>
    <w:rPr>
      <w:rFonts w:ascii="Arial" w:hAnsi="Arial"/>
      <w:b/>
      <w:kern w:val="0"/>
      <w:sz w:val="32"/>
      <w:szCs w:val="20"/>
    </w:rPr>
  </w:style>
  <w:style w:type="paragraph" w:styleId="45">
    <w:name w:val="annotation subject"/>
    <w:basedOn w:val="17"/>
    <w:next w:val="17"/>
    <w:link w:val="87"/>
    <w:semiHidden/>
    <w:qFormat/>
    <w:uiPriority w:val="0"/>
    <w:rPr>
      <w:b/>
      <w:bCs/>
    </w:rPr>
  </w:style>
  <w:style w:type="paragraph" w:styleId="46">
    <w:name w:val="Body Text First Indent"/>
    <w:basedOn w:val="19"/>
    <w:link w:val="88"/>
    <w:qFormat/>
    <w:uiPriority w:val="0"/>
    <w:pPr>
      <w:tabs>
        <w:tab w:val="left" w:pos="1418"/>
      </w:tabs>
      <w:autoSpaceDE w:val="0"/>
      <w:autoSpaceDN w:val="0"/>
      <w:adjustRightInd w:val="0"/>
      <w:spacing w:before="120" w:beforeLines="0" w:after="120" w:afterLines="0"/>
      <w:ind w:left="1418" w:hanging="567"/>
      <w:jc w:val="left"/>
    </w:pPr>
    <w:rPr>
      <w:rFonts w:eastAsia="PMingLiU"/>
      <w:lang w:eastAsia="zh-TW"/>
    </w:rPr>
  </w:style>
  <w:style w:type="table" w:styleId="48">
    <w:name w:val="Table Grid"/>
    <w:basedOn w:val="4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endnote reference"/>
    <w:qFormat/>
    <w:uiPriority w:val="0"/>
    <w:rPr>
      <w:vertAlign w:val="superscript"/>
    </w:rPr>
  </w:style>
  <w:style w:type="character" w:styleId="52">
    <w:name w:val="page number"/>
    <w:qFormat/>
    <w:uiPriority w:val="0"/>
  </w:style>
  <w:style w:type="character" w:styleId="53">
    <w:name w:val="FollowedHyperlink"/>
    <w:qFormat/>
    <w:uiPriority w:val="0"/>
    <w:rPr>
      <w:color w:val="333333"/>
      <w:u w:val="none"/>
    </w:rPr>
  </w:style>
  <w:style w:type="character" w:styleId="54">
    <w:name w:val="HTML Definition"/>
    <w:qFormat/>
    <w:uiPriority w:val="0"/>
    <w:rPr>
      <w:i/>
      <w:iCs/>
    </w:rPr>
  </w:style>
  <w:style w:type="character" w:styleId="55">
    <w:name w:val="HTML Acronym"/>
    <w:qFormat/>
    <w:uiPriority w:val="0"/>
    <w:rPr>
      <w:color w:val="222E3A"/>
      <w:sz w:val="25"/>
      <w:szCs w:val="25"/>
    </w:rPr>
  </w:style>
  <w:style w:type="character" w:styleId="56">
    <w:name w:val="Hyperlink"/>
    <w:qFormat/>
    <w:uiPriority w:val="99"/>
    <w:rPr>
      <w:color w:val="333333"/>
      <w:u w:val="none"/>
    </w:rPr>
  </w:style>
  <w:style w:type="character" w:styleId="57">
    <w:name w:val="HTML Code"/>
    <w:qFormat/>
    <w:uiPriority w:val="0"/>
    <w:rPr>
      <w:rFonts w:hint="default" w:ascii="monospace" w:hAnsi="monospace" w:eastAsia="monospace" w:cs="monospace"/>
      <w:sz w:val="21"/>
      <w:szCs w:val="21"/>
    </w:rPr>
  </w:style>
  <w:style w:type="character" w:styleId="58">
    <w:name w:val="annotation reference"/>
    <w:qFormat/>
    <w:uiPriority w:val="0"/>
    <w:rPr>
      <w:sz w:val="21"/>
      <w:szCs w:val="21"/>
    </w:rPr>
  </w:style>
  <w:style w:type="character" w:styleId="59">
    <w:name w:val="footnote reference"/>
    <w:qFormat/>
    <w:uiPriority w:val="99"/>
    <w:rPr>
      <w:vertAlign w:val="superscript"/>
    </w:rPr>
  </w:style>
  <w:style w:type="character" w:styleId="60">
    <w:name w:val="HTML Keyboard"/>
    <w:qFormat/>
    <w:uiPriority w:val="0"/>
    <w:rPr>
      <w:rFonts w:ascii="monospace" w:hAnsi="monospace" w:eastAsia="monospace" w:cs="monospace"/>
      <w:sz w:val="21"/>
      <w:szCs w:val="21"/>
    </w:rPr>
  </w:style>
  <w:style w:type="character" w:styleId="61">
    <w:name w:val="HTML Sample"/>
    <w:qFormat/>
    <w:uiPriority w:val="0"/>
    <w:rPr>
      <w:rFonts w:hint="default" w:ascii="monospace" w:hAnsi="monospace" w:eastAsia="monospace" w:cs="monospace"/>
      <w:sz w:val="21"/>
      <w:szCs w:val="21"/>
    </w:rPr>
  </w:style>
  <w:style w:type="character" w:customStyle="1" w:styleId="62">
    <w:name w:val="标题 1 字符"/>
    <w:link w:val="3"/>
    <w:qFormat/>
    <w:uiPriority w:val="9"/>
    <w:rPr>
      <w:rFonts w:eastAsia="宋体"/>
      <w:b/>
      <w:bCs/>
      <w:kern w:val="44"/>
      <w:sz w:val="44"/>
      <w:szCs w:val="44"/>
      <w:lang w:val="en-US" w:eastAsia="zh-CN" w:bidi="ar-SA"/>
    </w:rPr>
  </w:style>
  <w:style w:type="character" w:customStyle="1" w:styleId="63">
    <w:name w:val="标题 2 字符"/>
    <w:link w:val="4"/>
    <w:qFormat/>
    <w:uiPriority w:val="9"/>
    <w:rPr>
      <w:rFonts w:ascii="Cambria" w:hAnsi="Cambria" w:eastAsia="宋体"/>
      <w:b/>
      <w:bCs/>
      <w:kern w:val="2"/>
      <w:sz w:val="32"/>
      <w:szCs w:val="32"/>
      <w:lang w:val="en-US" w:eastAsia="zh-CN" w:bidi="ar-SA"/>
    </w:rPr>
  </w:style>
  <w:style w:type="character" w:customStyle="1" w:styleId="64">
    <w:name w:val="标题 3 字符"/>
    <w:link w:val="5"/>
    <w:qFormat/>
    <w:uiPriority w:val="0"/>
    <w:rPr>
      <w:b/>
      <w:bCs/>
      <w:kern w:val="2"/>
      <w:sz w:val="32"/>
      <w:szCs w:val="32"/>
    </w:rPr>
  </w:style>
  <w:style w:type="character" w:customStyle="1" w:styleId="65">
    <w:name w:val="标题 4 字符"/>
    <w:link w:val="6"/>
    <w:qFormat/>
    <w:uiPriority w:val="0"/>
    <w:rPr>
      <w:rFonts w:ascii="Cambria" w:hAnsi="Cambria" w:eastAsia="宋体"/>
      <w:b/>
      <w:bCs/>
      <w:iCs/>
      <w:color w:val="4F81BD"/>
      <w:sz w:val="22"/>
      <w:szCs w:val="24"/>
      <w:lang w:val="en-US" w:eastAsia="en-US" w:bidi="en-US"/>
    </w:rPr>
  </w:style>
  <w:style w:type="character" w:customStyle="1" w:styleId="66">
    <w:name w:val="标题 5 字符"/>
    <w:link w:val="7"/>
    <w:qFormat/>
    <w:uiPriority w:val="0"/>
    <w:rPr>
      <w:rFonts w:ascii="Cambria" w:hAnsi="Cambria" w:eastAsia="宋体"/>
      <w:color w:val="243F60"/>
      <w:sz w:val="22"/>
      <w:szCs w:val="24"/>
      <w:lang w:val="en-US" w:eastAsia="en-US" w:bidi="en-US"/>
    </w:rPr>
  </w:style>
  <w:style w:type="character" w:customStyle="1" w:styleId="67">
    <w:name w:val="标题 6 字符"/>
    <w:link w:val="8"/>
    <w:qFormat/>
    <w:uiPriority w:val="0"/>
    <w:rPr>
      <w:rFonts w:ascii="Arial" w:hAnsi="Arial" w:eastAsia="黑体"/>
      <w:b/>
      <w:sz w:val="24"/>
      <w:lang w:val="en-US" w:eastAsia="zh-CN" w:bidi="ar-SA"/>
    </w:rPr>
  </w:style>
  <w:style w:type="character" w:customStyle="1" w:styleId="68">
    <w:name w:val="标题 7 字符"/>
    <w:link w:val="9"/>
    <w:qFormat/>
    <w:uiPriority w:val="0"/>
    <w:rPr>
      <w:rFonts w:eastAsia="宋体"/>
      <w:b/>
      <w:sz w:val="24"/>
      <w:lang w:val="en-US" w:eastAsia="zh-CN" w:bidi="ar-SA"/>
    </w:rPr>
  </w:style>
  <w:style w:type="character" w:customStyle="1" w:styleId="69">
    <w:name w:val="标题 8 字符"/>
    <w:link w:val="10"/>
    <w:qFormat/>
    <w:uiPriority w:val="0"/>
    <w:rPr>
      <w:rFonts w:ascii="Arial" w:hAnsi="Arial" w:eastAsia="黑体"/>
      <w:sz w:val="24"/>
      <w:lang w:val="en-US" w:eastAsia="zh-CN" w:bidi="ar-SA"/>
    </w:rPr>
  </w:style>
  <w:style w:type="character" w:customStyle="1" w:styleId="70">
    <w:name w:val="标题 9 字符"/>
    <w:link w:val="11"/>
    <w:qFormat/>
    <w:uiPriority w:val="0"/>
    <w:rPr>
      <w:rFonts w:ascii="Arial" w:hAnsi="Arial" w:eastAsia="黑体"/>
      <w:sz w:val="21"/>
      <w:lang w:val="en-US" w:eastAsia="zh-CN" w:bidi="ar-SA"/>
    </w:rPr>
  </w:style>
  <w:style w:type="character" w:customStyle="1" w:styleId="71">
    <w:name w:val="文档结构图 字符"/>
    <w:link w:val="15"/>
    <w:semiHidden/>
    <w:qFormat/>
    <w:uiPriority w:val="0"/>
    <w:rPr>
      <w:rFonts w:eastAsia="宋体"/>
      <w:kern w:val="2"/>
      <w:sz w:val="21"/>
      <w:szCs w:val="24"/>
      <w:lang w:val="en-US" w:eastAsia="zh-CN" w:bidi="ar-SA"/>
    </w:rPr>
  </w:style>
  <w:style w:type="character" w:customStyle="1" w:styleId="72">
    <w:name w:val="批注文字 字符"/>
    <w:link w:val="17"/>
    <w:semiHidden/>
    <w:qFormat/>
    <w:uiPriority w:val="0"/>
    <w:rPr>
      <w:rFonts w:eastAsia="宋体"/>
      <w:kern w:val="2"/>
      <w:sz w:val="21"/>
      <w:szCs w:val="24"/>
      <w:lang w:val="en-US" w:eastAsia="zh-CN" w:bidi="ar-SA"/>
    </w:rPr>
  </w:style>
  <w:style w:type="character" w:customStyle="1" w:styleId="73">
    <w:name w:val="正文文本 3 字符"/>
    <w:link w:val="18"/>
    <w:qFormat/>
    <w:uiPriority w:val="0"/>
    <w:rPr>
      <w:rFonts w:eastAsia="宋体"/>
      <w:kern w:val="2"/>
      <w:sz w:val="16"/>
      <w:szCs w:val="16"/>
      <w:lang w:val="en-US" w:eastAsia="zh-CN" w:bidi="ar-SA"/>
    </w:rPr>
  </w:style>
  <w:style w:type="character" w:customStyle="1" w:styleId="74">
    <w:name w:val="正文文本 字符"/>
    <w:link w:val="19"/>
    <w:qFormat/>
    <w:uiPriority w:val="0"/>
    <w:rPr>
      <w:rFonts w:eastAsia="黑体"/>
      <w:kern w:val="2"/>
      <w:sz w:val="36"/>
      <w:szCs w:val="24"/>
      <w:lang w:val="en-US" w:eastAsia="zh-CN" w:bidi="ar-SA"/>
    </w:rPr>
  </w:style>
  <w:style w:type="character" w:customStyle="1" w:styleId="75">
    <w:name w:val="正文文本缩进 字符"/>
    <w:link w:val="20"/>
    <w:qFormat/>
    <w:uiPriority w:val="0"/>
    <w:rPr>
      <w:rFonts w:eastAsia="宋体"/>
      <w:kern w:val="2"/>
      <w:sz w:val="21"/>
      <w:szCs w:val="24"/>
      <w:lang w:val="en-US" w:eastAsia="zh-CN" w:bidi="ar-SA"/>
    </w:rPr>
  </w:style>
  <w:style w:type="character" w:customStyle="1" w:styleId="76">
    <w:name w:val="纯文本 字符"/>
    <w:link w:val="25"/>
    <w:qFormat/>
    <w:uiPriority w:val="0"/>
    <w:rPr>
      <w:rFonts w:ascii="宋体" w:hAnsi="Courier New" w:eastAsia="宋体"/>
      <w:kern w:val="2"/>
      <w:sz w:val="21"/>
      <w:szCs w:val="21"/>
      <w:lang w:val="en-US" w:eastAsia="zh-CN" w:bidi="ar-SA"/>
    </w:rPr>
  </w:style>
  <w:style w:type="character" w:customStyle="1" w:styleId="77">
    <w:name w:val="日期 字符"/>
    <w:link w:val="27"/>
    <w:qFormat/>
    <w:uiPriority w:val="0"/>
    <w:rPr>
      <w:rFonts w:ascii="宋体" w:eastAsia="宋体"/>
      <w:sz w:val="24"/>
      <w:lang w:val="en-US" w:eastAsia="zh-CN" w:bidi="ar-SA"/>
    </w:rPr>
  </w:style>
  <w:style w:type="character" w:customStyle="1" w:styleId="78">
    <w:name w:val="正文文本缩进 2 字符"/>
    <w:link w:val="28"/>
    <w:qFormat/>
    <w:uiPriority w:val="0"/>
    <w:rPr>
      <w:rFonts w:eastAsia="宋体"/>
      <w:kern w:val="2"/>
      <w:sz w:val="21"/>
      <w:szCs w:val="24"/>
      <w:lang w:val="en-US" w:eastAsia="zh-CN" w:bidi="ar-SA"/>
    </w:rPr>
  </w:style>
  <w:style w:type="character" w:customStyle="1" w:styleId="79">
    <w:name w:val="尾注文本 字符"/>
    <w:link w:val="29"/>
    <w:qFormat/>
    <w:uiPriority w:val="0"/>
    <w:rPr>
      <w:kern w:val="2"/>
      <w:sz w:val="21"/>
      <w:szCs w:val="24"/>
    </w:rPr>
  </w:style>
  <w:style w:type="character" w:customStyle="1" w:styleId="80">
    <w:name w:val="批注框文本 字符"/>
    <w:link w:val="30"/>
    <w:semiHidden/>
    <w:qFormat/>
    <w:uiPriority w:val="0"/>
    <w:rPr>
      <w:rFonts w:eastAsia="宋体"/>
      <w:kern w:val="2"/>
      <w:sz w:val="18"/>
      <w:szCs w:val="18"/>
      <w:lang w:val="en-US" w:eastAsia="zh-CN" w:bidi="ar-SA"/>
    </w:rPr>
  </w:style>
  <w:style w:type="character" w:customStyle="1" w:styleId="81">
    <w:name w:val="页脚 字符"/>
    <w:link w:val="31"/>
    <w:qFormat/>
    <w:uiPriority w:val="99"/>
    <w:rPr>
      <w:rFonts w:eastAsia="宋体"/>
      <w:sz w:val="18"/>
      <w:szCs w:val="18"/>
      <w:lang w:val="en-US" w:eastAsia="zh-CN" w:bidi="ar-SA"/>
    </w:rPr>
  </w:style>
  <w:style w:type="character" w:customStyle="1" w:styleId="82">
    <w:name w:val="页眉 字符"/>
    <w:link w:val="32"/>
    <w:qFormat/>
    <w:uiPriority w:val="0"/>
    <w:rPr>
      <w:rFonts w:eastAsia="宋体"/>
      <w:sz w:val="18"/>
      <w:szCs w:val="18"/>
      <w:lang w:val="en-US" w:eastAsia="zh-CN" w:bidi="ar-SA"/>
    </w:rPr>
  </w:style>
  <w:style w:type="character" w:customStyle="1" w:styleId="83">
    <w:name w:val="脚注文本 字符"/>
    <w:link w:val="36"/>
    <w:qFormat/>
    <w:uiPriority w:val="99"/>
    <w:rPr>
      <w:kern w:val="2"/>
      <w:sz w:val="18"/>
      <w:szCs w:val="18"/>
    </w:rPr>
  </w:style>
  <w:style w:type="character" w:customStyle="1" w:styleId="84">
    <w:name w:val="正文文本缩进 3 字符"/>
    <w:link w:val="38"/>
    <w:qFormat/>
    <w:uiPriority w:val="0"/>
    <w:rPr>
      <w:rFonts w:eastAsia="宋体"/>
      <w:kern w:val="2"/>
      <w:sz w:val="16"/>
      <w:szCs w:val="16"/>
      <w:lang w:val="en-US" w:eastAsia="zh-CN" w:bidi="ar-SA"/>
    </w:rPr>
  </w:style>
  <w:style w:type="character" w:customStyle="1" w:styleId="85">
    <w:name w:val="正文文本 2 字符"/>
    <w:link w:val="41"/>
    <w:qFormat/>
    <w:uiPriority w:val="0"/>
    <w:rPr>
      <w:rFonts w:eastAsia="黑体"/>
      <w:bCs/>
      <w:kern w:val="2"/>
      <w:sz w:val="72"/>
      <w:szCs w:val="24"/>
      <w:lang w:val="en-US" w:eastAsia="zh-CN" w:bidi="ar-SA"/>
    </w:rPr>
  </w:style>
  <w:style w:type="character" w:customStyle="1" w:styleId="86">
    <w:name w:val="标题 字符"/>
    <w:link w:val="44"/>
    <w:qFormat/>
    <w:uiPriority w:val="0"/>
    <w:rPr>
      <w:rFonts w:ascii="Arial" w:hAnsi="Arial" w:eastAsia="宋体"/>
      <w:b/>
      <w:sz w:val="32"/>
      <w:lang w:val="en-US" w:eastAsia="zh-CN" w:bidi="ar-SA"/>
    </w:rPr>
  </w:style>
  <w:style w:type="character" w:customStyle="1" w:styleId="87">
    <w:name w:val="批注主题 字符"/>
    <w:link w:val="45"/>
    <w:semiHidden/>
    <w:qFormat/>
    <w:uiPriority w:val="0"/>
    <w:rPr>
      <w:rFonts w:eastAsia="宋体"/>
      <w:b/>
      <w:bCs/>
      <w:kern w:val="2"/>
      <w:sz w:val="21"/>
      <w:szCs w:val="24"/>
      <w:lang w:val="en-US" w:eastAsia="zh-CN" w:bidi="ar-SA"/>
    </w:rPr>
  </w:style>
  <w:style w:type="character" w:customStyle="1" w:styleId="88">
    <w:name w:val="正文首行缩进 字符"/>
    <w:link w:val="46"/>
    <w:qFormat/>
    <w:uiPriority w:val="0"/>
    <w:rPr>
      <w:rFonts w:eastAsia="PMingLiU"/>
      <w:kern w:val="2"/>
      <w:sz w:val="36"/>
      <w:szCs w:val="24"/>
      <w:lang w:val="en-US" w:eastAsia="zh-TW" w:bidi="ar-SA"/>
    </w:rPr>
  </w:style>
  <w:style w:type="character" w:customStyle="1" w:styleId="89">
    <w:name w:val="标题 3 字符1"/>
    <w:link w:val="5"/>
    <w:qFormat/>
    <w:uiPriority w:val="0"/>
    <w:rPr>
      <w:rFonts w:ascii="宋体" w:hAnsi="宋体"/>
      <w:b/>
      <w:bCs/>
      <w:sz w:val="28"/>
      <w:szCs w:val="24"/>
      <w:lang w:eastAsia="en-US" w:bidi="en-US"/>
    </w:rPr>
  </w:style>
  <w:style w:type="paragraph" w:customStyle="1" w:styleId="90">
    <w:name w:val="列出段落1"/>
    <w:basedOn w:val="1"/>
    <w:qFormat/>
    <w:uiPriority w:val="0"/>
    <w:pPr>
      <w:ind w:firstLine="420" w:firstLineChars="200"/>
    </w:pPr>
  </w:style>
  <w:style w:type="character" w:customStyle="1" w:styleId="91">
    <w:name w:val="脚注文本 字符1"/>
    <w:qFormat/>
    <w:uiPriority w:val="0"/>
    <w:rPr>
      <w:kern w:val="2"/>
      <w:sz w:val="18"/>
      <w:szCs w:val="18"/>
    </w:rPr>
  </w:style>
  <w:style w:type="character" w:customStyle="1" w:styleId="92">
    <w:name w:val="font161"/>
    <w:qFormat/>
    <w:uiPriority w:val="0"/>
    <w:rPr>
      <w:b/>
      <w:bCs/>
      <w:sz w:val="32"/>
      <w:szCs w:val="32"/>
    </w:rPr>
  </w:style>
  <w:style w:type="character" w:customStyle="1" w:styleId="93">
    <w:name w:val="Char Char11"/>
    <w:qFormat/>
    <w:uiPriority w:val="0"/>
    <w:rPr>
      <w:rFonts w:ascii="宋体" w:eastAsia="宋体" w:cs="Times New Roman"/>
      <w:sz w:val="24"/>
      <w:lang w:val="en-US" w:eastAsia="zh-CN" w:bidi="ar-SA"/>
    </w:rPr>
  </w:style>
  <w:style w:type="character" w:customStyle="1" w:styleId="94">
    <w:name w:val="Heading 1 Char"/>
    <w:qFormat/>
    <w:locked/>
    <w:uiPriority w:val="0"/>
    <w:rPr>
      <w:rFonts w:ascii="Times New Roman" w:hAnsi="Times New Roman" w:eastAsia="宋体" w:cs="Times New Roman"/>
      <w:b/>
      <w:bCs/>
      <w:kern w:val="44"/>
      <w:sz w:val="44"/>
      <w:szCs w:val="44"/>
    </w:rPr>
  </w:style>
  <w:style w:type="character" w:customStyle="1" w:styleId="95">
    <w:name w:val="Footer Char"/>
    <w:qFormat/>
    <w:locked/>
    <w:uiPriority w:val="0"/>
    <w:rPr>
      <w:rFonts w:ascii="宋体" w:cs="Times New Roman"/>
      <w:sz w:val="24"/>
      <w:szCs w:val="24"/>
    </w:rPr>
  </w:style>
  <w:style w:type="character" w:customStyle="1" w:styleId="96">
    <w:name w:val="Char Char1"/>
    <w:qFormat/>
    <w:uiPriority w:val="0"/>
    <w:rPr>
      <w:rFonts w:eastAsia="宋体"/>
      <w:kern w:val="2"/>
      <w:sz w:val="24"/>
      <w:lang w:val="en-US" w:eastAsia="zh-CN" w:bidi="ar-SA"/>
    </w:rPr>
  </w:style>
  <w:style w:type="character" w:customStyle="1" w:styleId="97">
    <w:name w:val="f14b1"/>
    <w:qFormat/>
    <w:uiPriority w:val="0"/>
    <w:rPr>
      <w:rFonts w:cs="Times New Roman"/>
      <w:b/>
      <w:bCs/>
      <w:sz w:val="21"/>
      <w:szCs w:val="21"/>
    </w:rPr>
  </w:style>
  <w:style w:type="character" w:customStyle="1" w:styleId="98">
    <w:name w:val="Plain Text Char"/>
    <w:qFormat/>
    <w:locked/>
    <w:uiPriority w:val="0"/>
    <w:rPr>
      <w:rFonts w:ascii="宋体" w:hAnsi="宋体" w:eastAsia="宋体" w:cs="宋体"/>
      <w:kern w:val="0"/>
      <w:sz w:val="24"/>
      <w:szCs w:val="24"/>
    </w:rPr>
  </w:style>
  <w:style w:type="character" w:customStyle="1" w:styleId="99">
    <w:name w:val="apple-converted-space"/>
    <w:qFormat/>
    <w:uiPriority w:val="0"/>
  </w:style>
  <w:style w:type="character" w:customStyle="1" w:styleId="100">
    <w:name w:val="Heading 2 Char"/>
    <w:qFormat/>
    <w:locked/>
    <w:uiPriority w:val="0"/>
    <w:rPr>
      <w:rFonts w:ascii="宋体" w:hAnsi="宋体" w:eastAsia="宋体" w:cs="Times New Roman"/>
      <w:kern w:val="0"/>
      <w:sz w:val="20"/>
      <w:szCs w:val="20"/>
    </w:rPr>
  </w:style>
  <w:style w:type="character" w:customStyle="1" w:styleId="101">
    <w:name w:val="Char Char"/>
    <w:qFormat/>
    <w:uiPriority w:val="0"/>
    <w:rPr>
      <w:rFonts w:ascii="Arial" w:hAnsi="Arial" w:eastAsia="黑体"/>
      <w:b/>
      <w:bCs/>
      <w:kern w:val="2"/>
      <w:sz w:val="32"/>
      <w:szCs w:val="32"/>
      <w:lang w:val="en-US" w:eastAsia="zh-CN" w:bidi="ar-SA"/>
    </w:rPr>
  </w:style>
  <w:style w:type="character" w:customStyle="1" w:styleId="102">
    <w:name w:val="Date Char"/>
    <w:qFormat/>
    <w:locked/>
    <w:uiPriority w:val="0"/>
    <w:rPr>
      <w:rFonts w:eastAsia="宋体"/>
      <w:sz w:val="24"/>
    </w:rPr>
  </w:style>
  <w:style w:type="character" w:customStyle="1" w:styleId="103">
    <w:name w:val="样式 粉红"/>
    <w:qFormat/>
    <w:uiPriority w:val="0"/>
    <w:rPr>
      <w:color w:val="auto"/>
      <w:u w:val="none"/>
    </w:rPr>
  </w:style>
  <w:style w:type="character" w:customStyle="1" w:styleId="104">
    <w:name w:val="标题 2 Char Char"/>
    <w:qFormat/>
    <w:uiPriority w:val="0"/>
    <w:rPr>
      <w:rFonts w:ascii="Arial" w:hAnsi="Arial" w:eastAsia="黑体" w:cs="Times New Roman"/>
      <w:b/>
      <w:bCs/>
      <w:kern w:val="2"/>
      <w:sz w:val="32"/>
      <w:szCs w:val="32"/>
      <w:lang w:val="en-US" w:eastAsia="zh-CN" w:bidi="ar-SA"/>
    </w:rPr>
  </w:style>
  <w:style w:type="character" w:customStyle="1" w:styleId="105">
    <w:name w:val="缩进正文 Char"/>
    <w:link w:val="106"/>
    <w:qFormat/>
    <w:locked/>
    <w:uiPriority w:val="0"/>
    <w:rPr>
      <w:rFonts w:ascii="宋体" w:hAnsi="宋体"/>
      <w:spacing w:val="30"/>
      <w:sz w:val="24"/>
      <w:szCs w:val="24"/>
      <w:lang w:val="en-GB" w:eastAsia="zh-CN" w:bidi="ar-SA"/>
    </w:rPr>
  </w:style>
  <w:style w:type="paragraph" w:customStyle="1" w:styleId="106">
    <w:name w:val="缩进正文"/>
    <w:link w:val="105"/>
    <w:qFormat/>
    <w:uiPriority w:val="0"/>
    <w:pPr>
      <w:adjustRightInd w:val="0"/>
      <w:snapToGrid w:val="0"/>
      <w:spacing w:before="218" w:beforeLines="70" w:after="218"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107">
    <w:name w:val="样式3 Char Char"/>
    <w:link w:val="108"/>
    <w:qFormat/>
    <w:locked/>
    <w:uiPriority w:val="0"/>
    <w:rPr>
      <w:rFonts w:ascii="宋体" w:hAnsi="宋体" w:eastAsia="黑体"/>
      <w:sz w:val="36"/>
      <w:szCs w:val="36"/>
      <w:lang w:bidi="ar-SA"/>
    </w:rPr>
  </w:style>
  <w:style w:type="paragraph" w:customStyle="1" w:styleId="108">
    <w:name w:val="样式3"/>
    <w:basedOn w:val="1"/>
    <w:link w:val="107"/>
    <w:qFormat/>
    <w:uiPriority w:val="0"/>
    <w:pPr>
      <w:spacing w:line="940" w:lineRule="exact"/>
      <w:jc w:val="center"/>
    </w:pPr>
    <w:rPr>
      <w:rFonts w:ascii="宋体" w:hAnsi="宋体" w:eastAsia="黑体"/>
      <w:kern w:val="0"/>
      <w:sz w:val="36"/>
      <w:szCs w:val="36"/>
    </w:rPr>
  </w:style>
  <w:style w:type="character" w:customStyle="1" w:styleId="109">
    <w:name w:val="普通文字1 Char"/>
    <w:qFormat/>
    <w:uiPriority w:val="0"/>
    <w:rPr>
      <w:rFonts w:ascii="宋体" w:hAnsi="Courier New" w:eastAsia="宋体"/>
      <w:kern w:val="2"/>
      <w:sz w:val="21"/>
      <w:lang w:val="en-US" w:eastAsia="zh-CN" w:bidi="ar-SA"/>
    </w:rPr>
  </w:style>
  <w:style w:type="character" w:customStyle="1" w:styleId="110">
    <w:name w:val="Char Char6"/>
    <w:qFormat/>
    <w:uiPriority w:val="0"/>
    <w:rPr>
      <w:rFonts w:eastAsia="宋体"/>
      <w:b/>
      <w:bCs/>
      <w:kern w:val="2"/>
      <w:sz w:val="32"/>
      <w:szCs w:val="32"/>
      <w:lang w:val="en-US" w:eastAsia="zh-CN" w:bidi="ar-SA"/>
    </w:rPr>
  </w:style>
  <w:style w:type="character" w:customStyle="1" w:styleId="111">
    <w:name w:val="Heading 3 Char"/>
    <w:qFormat/>
    <w:locked/>
    <w:uiPriority w:val="0"/>
    <w:rPr>
      <w:rFonts w:ascii="Cambria" w:hAnsi="Cambria" w:eastAsia="宋体" w:cs="Times New Roman"/>
      <w:b/>
      <w:bCs/>
      <w:color w:val="4F81BD"/>
      <w:kern w:val="0"/>
      <w:sz w:val="22"/>
      <w:lang w:eastAsia="en-US"/>
    </w:rPr>
  </w:style>
  <w:style w:type="character" w:customStyle="1" w:styleId="112">
    <w:name w:val="Header Char"/>
    <w:qFormat/>
    <w:locked/>
    <w:uiPriority w:val="0"/>
    <w:rPr>
      <w:rFonts w:ascii="宋体" w:cs="Times New Roman"/>
      <w:sz w:val="24"/>
      <w:szCs w:val="24"/>
    </w:rPr>
  </w:style>
  <w:style w:type="paragraph" w:customStyle="1" w:styleId="113">
    <w:name w:val="2"/>
    <w:basedOn w:val="1"/>
    <w:next w:val="20"/>
    <w:qFormat/>
    <w:uiPriority w:val="0"/>
    <w:pPr>
      <w:ind w:left="432"/>
    </w:pPr>
    <w:rPr>
      <w:szCs w:val="20"/>
    </w:rPr>
  </w:style>
  <w:style w:type="paragraph" w:customStyle="1" w:styleId="114">
    <w:name w:val="样式 标题 2 + (西文) 方正书宋简体 (中文) 方正黑体简体 非加粗 黑色 段前: 0 磅 段后: 0 磅 行..."/>
    <w:basedOn w:val="4"/>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15">
    <w:name w:val="Char Char Char Char"/>
    <w:basedOn w:val="1"/>
    <w:qFormat/>
    <w:uiPriority w:val="0"/>
    <w:rPr>
      <w:rFonts w:ascii="Tahoma" w:hAnsi="Tahoma"/>
      <w:sz w:val="24"/>
      <w:szCs w:val="20"/>
    </w:rPr>
  </w:style>
  <w:style w:type="paragraph" w:customStyle="1" w:styleId="116">
    <w:name w:val="1"/>
    <w:basedOn w:val="1"/>
    <w:qFormat/>
    <w:uiPriority w:val="0"/>
  </w:style>
  <w:style w:type="paragraph" w:customStyle="1" w:styleId="117">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18">
    <w:name w:val="3"/>
    <w:basedOn w:val="1"/>
    <w:next w:val="18"/>
    <w:qFormat/>
    <w:uiPriority w:val="0"/>
    <w:rPr>
      <w:rFonts w:ascii="宋体"/>
      <w:sz w:val="24"/>
      <w:szCs w:val="20"/>
    </w:rPr>
  </w:style>
  <w:style w:type="paragraph" w:customStyle="1" w:styleId="119">
    <w:name w:val="Char Char Char1"/>
    <w:basedOn w:val="1"/>
    <w:qFormat/>
    <w:uiPriority w:val="0"/>
    <w:rPr>
      <w:szCs w:val="20"/>
    </w:rPr>
  </w:style>
  <w:style w:type="paragraph" w:customStyle="1" w:styleId="120">
    <w:name w:val="。"/>
    <w:basedOn w:val="1"/>
    <w:qFormat/>
    <w:uiPriority w:val="0"/>
    <w:pPr>
      <w:adjustRightInd w:val="0"/>
      <w:spacing w:line="360" w:lineRule="atLeast"/>
      <w:ind w:right="679"/>
      <w:jc w:val="left"/>
      <w:textAlignment w:val="baseline"/>
    </w:pPr>
    <w:rPr>
      <w:rFonts w:ascii="宋体"/>
      <w:sz w:val="24"/>
    </w:rPr>
  </w:style>
  <w:style w:type="paragraph" w:customStyle="1" w:styleId="121">
    <w:name w:val="Char1"/>
    <w:basedOn w:val="1"/>
    <w:qFormat/>
    <w:uiPriority w:val="0"/>
    <w:rPr>
      <w:rFonts w:ascii="Tahoma" w:hAnsi="Tahoma"/>
      <w:sz w:val="24"/>
      <w:szCs w:val="20"/>
    </w:rPr>
  </w:style>
  <w:style w:type="paragraph" w:customStyle="1" w:styleId="122">
    <w:name w:val="p17"/>
    <w:basedOn w:val="1"/>
    <w:qFormat/>
    <w:uiPriority w:val="0"/>
    <w:pPr>
      <w:widowControl/>
    </w:pPr>
    <w:rPr>
      <w:kern w:val="0"/>
      <w:szCs w:val="21"/>
    </w:rPr>
  </w:style>
  <w:style w:type="paragraph" w:customStyle="1" w:styleId="123">
    <w:name w:val="5"/>
    <w:basedOn w:val="1"/>
    <w:qFormat/>
    <w:uiPriority w:val="0"/>
    <w:rPr>
      <w:rFonts w:ascii="Tahoma" w:hAnsi="Tahoma"/>
      <w:sz w:val="24"/>
      <w:szCs w:val="20"/>
    </w:rPr>
  </w:style>
  <w:style w:type="paragraph" w:customStyle="1" w:styleId="124">
    <w:name w:val="样式1"/>
    <w:basedOn w:val="1"/>
    <w:next w:val="13"/>
    <w:qFormat/>
    <w:uiPriority w:val="0"/>
    <w:rPr>
      <w:rFonts w:ascii="宋体" w:hAnsi="Arial Unicode MS"/>
      <w:color w:val="000000"/>
      <w:kern w:val="0"/>
      <w:sz w:val="24"/>
      <w:szCs w:val="36"/>
    </w:rPr>
  </w:style>
  <w:style w:type="paragraph" w:customStyle="1" w:styleId="125">
    <w:name w:val="列出段落2"/>
    <w:basedOn w:val="1"/>
    <w:qFormat/>
    <w:uiPriority w:val="0"/>
    <w:pPr>
      <w:ind w:firstLine="420" w:firstLineChars="200"/>
    </w:pPr>
  </w:style>
  <w:style w:type="paragraph" w:customStyle="1" w:styleId="126">
    <w:name w:val="Char Char Char"/>
    <w:basedOn w:val="1"/>
    <w:qFormat/>
    <w:uiPriority w:val="0"/>
    <w:rPr>
      <w:szCs w:val="20"/>
    </w:rPr>
  </w:style>
  <w:style w:type="paragraph" w:customStyle="1" w:styleId="127">
    <w:name w:val="表格"/>
    <w:basedOn w:val="1"/>
    <w:qFormat/>
    <w:uiPriority w:val="0"/>
    <w:pPr>
      <w:jc w:val="center"/>
      <w:textAlignment w:val="center"/>
    </w:pPr>
    <w:rPr>
      <w:rFonts w:ascii="华文细黑" w:hAnsi="华文细黑"/>
      <w:kern w:val="0"/>
      <w:szCs w:val="20"/>
    </w:rPr>
  </w:style>
  <w:style w:type="paragraph" w:customStyle="1" w:styleId="128">
    <w:name w:val="Char Char Char Char Char Char2 Char1"/>
    <w:basedOn w:val="1"/>
    <w:qFormat/>
    <w:uiPriority w:val="0"/>
    <w:pPr>
      <w:spacing w:line="360" w:lineRule="auto"/>
      <w:ind w:firstLine="200" w:firstLineChars="200"/>
    </w:pPr>
    <w:rPr>
      <w:rFonts w:ascii="宋体" w:hAnsi="宋体" w:cs="宋体"/>
      <w:sz w:val="24"/>
    </w:rPr>
  </w:style>
  <w:style w:type="paragraph" w:styleId="129">
    <w:name w:val="List Paragraph"/>
    <w:basedOn w:val="1"/>
    <w:qFormat/>
    <w:uiPriority w:val="34"/>
    <w:pPr>
      <w:ind w:firstLine="420" w:firstLineChars="200"/>
    </w:pPr>
  </w:style>
  <w:style w:type="paragraph" w:customStyle="1" w:styleId="130">
    <w:name w:val="样式 标题 2 + (西文) 方正书宋简体 (中文) 方正黑体简体 非加粗 黑色 行距: 固定值 15 磅1"/>
    <w:basedOn w:val="4"/>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31">
    <w:name w:val="xl24"/>
    <w:basedOn w:val="1"/>
    <w:qFormat/>
    <w:uiPriority w:val="0"/>
    <w:pPr>
      <w:widowControl/>
      <w:spacing w:before="100" w:beforeLines="0" w:after="100" w:afterLines="0"/>
      <w:jc w:val="center"/>
      <w:textAlignment w:val="center"/>
    </w:pPr>
    <w:rPr>
      <w:rFonts w:ascii="宋体" w:hAnsi="宋体"/>
      <w:kern w:val="0"/>
      <w:sz w:val="24"/>
      <w:szCs w:val="20"/>
    </w:rPr>
  </w:style>
  <w:style w:type="paragraph" w:customStyle="1" w:styleId="132">
    <w:name w:val="Char Char Char Char Char Char Char Char Char Char Char Char Char"/>
    <w:basedOn w:val="1"/>
    <w:qFormat/>
    <w:uiPriority w:val="0"/>
    <w:rPr>
      <w:rFonts w:ascii="仿宋_GB2312" w:eastAsia="仿宋_GB2312"/>
      <w:b/>
      <w:sz w:val="32"/>
      <w:szCs w:val="32"/>
    </w:rPr>
  </w:style>
  <w:style w:type="paragraph" w:customStyle="1" w:styleId="133">
    <w:name w:val="表格文字"/>
    <w:basedOn w:val="1"/>
    <w:qFormat/>
    <w:uiPriority w:val="0"/>
    <w:pPr>
      <w:adjustRightInd w:val="0"/>
      <w:spacing w:line="420" w:lineRule="atLeast"/>
      <w:jc w:val="left"/>
      <w:textAlignment w:val="baseline"/>
    </w:pPr>
    <w:rPr>
      <w:kern w:val="0"/>
      <w:szCs w:val="20"/>
    </w:rPr>
  </w:style>
  <w:style w:type="paragraph" w:customStyle="1" w:styleId="134">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35">
    <w:name w:val="样式 标题 3 + (中文) 黑体 小四 非加粗 段前: 7.8 磅 段后: 0 磅 行距: 固定值 20 磅"/>
    <w:basedOn w:val="5"/>
    <w:qFormat/>
    <w:uiPriority w:val="0"/>
    <w:pPr>
      <w:widowControl w:val="0"/>
      <w:spacing w:before="0" w:beforeLines="0" w:line="400" w:lineRule="exact"/>
      <w:jc w:val="both"/>
    </w:pPr>
    <w:rPr>
      <w:rFonts w:ascii="Times New Roman" w:hAnsi="Times New Roman" w:eastAsia="黑体"/>
      <w:b w:val="0"/>
      <w:bCs w:val="0"/>
      <w:color w:val="auto"/>
      <w:kern w:val="2"/>
      <w:sz w:val="24"/>
      <w:szCs w:val="20"/>
      <w:lang w:bidi="ar-SA"/>
    </w:rPr>
  </w:style>
  <w:style w:type="paragraph" w:customStyle="1" w:styleId="136">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137">
    <w:name w:val="_Style 136"/>
    <w:basedOn w:val="3"/>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38">
    <w:name w:val="列出段落3"/>
    <w:basedOn w:val="1"/>
    <w:qFormat/>
    <w:uiPriority w:val="0"/>
    <w:pPr>
      <w:ind w:firstLine="420" w:firstLineChars="200"/>
    </w:pPr>
  </w:style>
  <w:style w:type="paragraph" w:customStyle="1" w:styleId="13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0">
    <w:name w:val="XW正文"/>
    <w:basedOn w:val="20"/>
    <w:qFormat/>
    <w:uiPriority w:val="0"/>
    <w:pPr>
      <w:adjustRightInd w:val="0"/>
      <w:snapToGrid w:val="0"/>
      <w:spacing w:after="0" w:afterLines="0" w:line="300" w:lineRule="auto"/>
      <w:ind w:left="0" w:leftChars="0" w:firstLine="520" w:firstLineChars="200"/>
      <w:jc w:val="left"/>
    </w:pPr>
    <w:rPr>
      <w:kern w:val="0"/>
    </w:rPr>
  </w:style>
  <w:style w:type="paragraph" w:customStyle="1" w:styleId="141">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42">
    <w:name w:val="金安桥正文"/>
    <w:basedOn w:val="20"/>
    <w:qFormat/>
    <w:uiPriority w:val="0"/>
    <w:pPr>
      <w:adjustRightInd w:val="0"/>
      <w:spacing w:after="0" w:afterLines="0" w:line="300" w:lineRule="auto"/>
      <w:ind w:left="0" w:leftChars="0" w:firstLine="200" w:firstLineChars="200"/>
      <w:jc w:val="left"/>
    </w:pPr>
    <w:rPr>
      <w:kern w:val="0"/>
      <w:sz w:val="24"/>
      <w:szCs w:val="20"/>
    </w:rPr>
  </w:style>
  <w:style w:type="paragraph" w:customStyle="1" w:styleId="143">
    <w:name w:val="cntrt"/>
    <w:basedOn w:val="1"/>
    <w:qFormat/>
    <w:uiPriority w:val="0"/>
    <w:pPr>
      <w:widowControl/>
      <w:jc w:val="left"/>
    </w:pPr>
    <w:rPr>
      <w:rFonts w:ascii="Arial" w:hAnsi="Arial" w:cs="Arial"/>
      <w:kern w:val="0"/>
      <w:sz w:val="20"/>
      <w:szCs w:val="20"/>
      <w:lang w:val="en-AU"/>
    </w:rPr>
  </w:style>
  <w:style w:type="paragraph" w:customStyle="1" w:styleId="144">
    <w:name w:val="Char"/>
    <w:basedOn w:val="1"/>
    <w:qFormat/>
    <w:uiPriority w:val="0"/>
  </w:style>
  <w:style w:type="paragraph" w:customStyle="1" w:styleId="145">
    <w:name w:val="Char1 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146">
    <w:name w:val="默认段落字体 Para Char"/>
    <w:basedOn w:val="1"/>
    <w:qFormat/>
    <w:uiPriority w:val="0"/>
    <w:rPr>
      <w:szCs w:val="20"/>
    </w:rPr>
  </w:style>
  <w:style w:type="paragraph" w:customStyle="1" w:styleId="147">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48">
    <w:name w:val="4"/>
    <w:basedOn w:val="1"/>
    <w:qFormat/>
    <w:uiPriority w:val="0"/>
    <w:rPr>
      <w:rFonts w:ascii="Tahoma" w:hAnsi="Tahoma"/>
      <w:sz w:val="24"/>
      <w:szCs w:val="20"/>
    </w:rPr>
  </w:style>
  <w:style w:type="paragraph" w:customStyle="1" w:styleId="149">
    <w:name w:val="Char2"/>
    <w:basedOn w:val="1"/>
    <w:qFormat/>
    <w:uiPriority w:val="0"/>
    <w:rPr>
      <w:rFonts w:ascii="Tahoma" w:hAnsi="Tahoma"/>
      <w:sz w:val="24"/>
      <w:szCs w:val="20"/>
    </w:rPr>
  </w:style>
  <w:style w:type="paragraph" w:customStyle="1" w:styleId="150">
    <w:name w:val="List Paragraph1"/>
    <w:basedOn w:val="1"/>
    <w:qFormat/>
    <w:uiPriority w:val="0"/>
    <w:pPr>
      <w:ind w:firstLine="420" w:firstLineChars="200"/>
    </w:pPr>
  </w:style>
  <w:style w:type="paragraph" w:customStyle="1" w:styleId="151">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2">
    <w:name w:val="p0"/>
    <w:basedOn w:val="1"/>
    <w:qFormat/>
    <w:uiPriority w:val="0"/>
    <w:pPr>
      <w:widowControl/>
    </w:pPr>
    <w:rPr>
      <w:kern w:val="0"/>
      <w:szCs w:val="21"/>
    </w:rPr>
  </w:style>
  <w:style w:type="paragraph" w:customStyle="1" w:styleId="153">
    <w:name w:val="p15"/>
    <w:basedOn w:val="1"/>
    <w:qFormat/>
    <w:uiPriority w:val="0"/>
    <w:pPr>
      <w:widowControl/>
      <w:spacing w:before="100" w:line="400" w:lineRule="atLeast"/>
    </w:pPr>
    <w:rPr>
      <w:kern w:val="0"/>
      <w:sz w:val="28"/>
      <w:szCs w:val="28"/>
    </w:rPr>
  </w:style>
  <w:style w:type="paragraph" w:customStyle="1" w:styleId="154">
    <w:name w:val="p18"/>
    <w:basedOn w:val="1"/>
    <w:qFormat/>
    <w:uiPriority w:val="0"/>
    <w:pPr>
      <w:widowControl/>
    </w:pPr>
    <w:rPr>
      <w:rFonts w:ascii="宋体" w:hAnsi="宋体" w:cs="宋体"/>
      <w:kern w:val="0"/>
      <w:szCs w:val="21"/>
    </w:rPr>
  </w:style>
  <w:style w:type="paragraph" w:customStyle="1" w:styleId="155">
    <w:name w:val="Default Paragraph Char Char Char Char"/>
    <w:basedOn w:val="1"/>
    <w:next w:val="1"/>
    <w:qFormat/>
    <w:uiPriority w:val="0"/>
    <w:pPr>
      <w:widowControl/>
      <w:spacing w:line="360" w:lineRule="auto"/>
      <w:jc w:val="left"/>
    </w:pPr>
    <w:rPr>
      <w:kern w:val="0"/>
      <w:szCs w:val="20"/>
      <w:lang w:eastAsia="en-US"/>
    </w:rPr>
  </w:style>
  <w:style w:type="character" w:customStyle="1" w:styleId="156">
    <w:name w:val="正文文本缩进 2 Char1"/>
    <w:semiHidden/>
    <w:qFormat/>
    <w:uiPriority w:val="99"/>
    <w:rPr>
      <w:kern w:val="2"/>
      <w:sz w:val="21"/>
      <w:szCs w:val="22"/>
    </w:rPr>
  </w:style>
  <w:style w:type="character" w:customStyle="1" w:styleId="157">
    <w:name w:val="页脚 Char1"/>
    <w:semiHidden/>
    <w:qFormat/>
    <w:uiPriority w:val="99"/>
    <w:rPr>
      <w:kern w:val="2"/>
      <w:sz w:val="18"/>
      <w:szCs w:val="18"/>
    </w:rPr>
  </w:style>
  <w:style w:type="character" w:customStyle="1" w:styleId="158">
    <w:name w:val="正文文本缩进 Char1"/>
    <w:semiHidden/>
    <w:qFormat/>
    <w:uiPriority w:val="99"/>
    <w:rPr>
      <w:kern w:val="2"/>
      <w:sz w:val="21"/>
      <w:szCs w:val="22"/>
    </w:rPr>
  </w:style>
  <w:style w:type="character" w:customStyle="1" w:styleId="159">
    <w:name w:val="正文文本 3 Char1"/>
    <w:semiHidden/>
    <w:qFormat/>
    <w:uiPriority w:val="99"/>
    <w:rPr>
      <w:kern w:val="2"/>
      <w:sz w:val="16"/>
      <w:szCs w:val="16"/>
    </w:rPr>
  </w:style>
  <w:style w:type="character" w:customStyle="1" w:styleId="160">
    <w:name w:val="批注文字 Char1"/>
    <w:semiHidden/>
    <w:qFormat/>
    <w:uiPriority w:val="0"/>
    <w:rPr>
      <w:rFonts w:ascii="Times New Roman" w:hAnsi="Times New Roman"/>
      <w:kern w:val="2"/>
      <w:sz w:val="21"/>
      <w:szCs w:val="24"/>
    </w:rPr>
  </w:style>
  <w:style w:type="character" w:customStyle="1" w:styleId="161">
    <w:name w:val="批注主题 Char1"/>
    <w:semiHidden/>
    <w:qFormat/>
    <w:uiPriority w:val="99"/>
    <w:rPr>
      <w:rFonts w:ascii="Times New Roman" w:hAnsi="Times New Roman"/>
      <w:b/>
      <w:bCs/>
      <w:kern w:val="2"/>
      <w:sz w:val="21"/>
      <w:szCs w:val="24"/>
    </w:rPr>
  </w:style>
  <w:style w:type="character" w:customStyle="1" w:styleId="162">
    <w:name w:val="正文文本缩进 3 Char1"/>
    <w:semiHidden/>
    <w:qFormat/>
    <w:uiPriority w:val="99"/>
    <w:rPr>
      <w:kern w:val="2"/>
      <w:sz w:val="16"/>
      <w:szCs w:val="16"/>
    </w:rPr>
  </w:style>
  <w:style w:type="character" w:customStyle="1" w:styleId="163">
    <w:name w:val="批注框文本 Char1"/>
    <w:semiHidden/>
    <w:qFormat/>
    <w:uiPriority w:val="99"/>
    <w:rPr>
      <w:kern w:val="2"/>
      <w:sz w:val="18"/>
      <w:szCs w:val="18"/>
    </w:rPr>
  </w:style>
  <w:style w:type="character" w:customStyle="1" w:styleId="164">
    <w:name w:val="正文文本 Char1"/>
    <w:semiHidden/>
    <w:qFormat/>
    <w:uiPriority w:val="99"/>
    <w:rPr>
      <w:kern w:val="2"/>
      <w:sz w:val="21"/>
      <w:szCs w:val="22"/>
    </w:rPr>
  </w:style>
  <w:style w:type="character" w:customStyle="1" w:styleId="165">
    <w:name w:val="文档结构图 Char1"/>
    <w:semiHidden/>
    <w:qFormat/>
    <w:uiPriority w:val="99"/>
    <w:rPr>
      <w:rFonts w:ascii="宋体"/>
      <w:kern w:val="2"/>
      <w:sz w:val="18"/>
      <w:szCs w:val="18"/>
    </w:rPr>
  </w:style>
  <w:style w:type="character" w:customStyle="1" w:styleId="166">
    <w:name w:val="页眉 Char1"/>
    <w:semiHidden/>
    <w:qFormat/>
    <w:uiPriority w:val="99"/>
    <w:rPr>
      <w:kern w:val="2"/>
      <w:sz w:val="18"/>
      <w:szCs w:val="18"/>
    </w:rPr>
  </w:style>
  <w:style w:type="character" w:customStyle="1" w:styleId="167">
    <w:name w:val="日期 Char1"/>
    <w:semiHidden/>
    <w:qFormat/>
    <w:uiPriority w:val="99"/>
    <w:rPr>
      <w:kern w:val="2"/>
      <w:sz w:val="21"/>
      <w:szCs w:val="22"/>
    </w:rPr>
  </w:style>
  <w:style w:type="character" w:customStyle="1" w:styleId="168">
    <w:name w:val="标题 Char1"/>
    <w:qFormat/>
    <w:uiPriority w:val="10"/>
    <w:rPr>
      <w:rFonts w:ascii="Cambria" w:hAnsi="Cambria" w:cs="Times New Roman"/>
      <w:b/>
      <w:bCs/>
      <w:kern w:val="2"/>
      <w:sz w:val="32"/>
      <w:szCs w:val="32"/>
    </w:rPr>
  </w:style>
  <w:style w:type="character" w:customStyle="1" w:styleId="169">
    <w:name w:val="纯文本 Char1"/>
    <w:semiHidden/>
    <w:qFormat/>
    <w:uiPriority w:val="99"/>
    <w:rPr>
      <w:rFonts w:ascii="宋体" w:hAnsi="Courier New" w:cs="Courier New"/>
      <w:kern w:val="2"/>
      <w:sz w:val="21"/>
      <w:szCs w:val="21"/>
    </w:rPr>
  </w:style>
  <w:style w:type="character" w:customStyle="1" w:styleId="170">
    <w:name w:val="正文首行缩进 Char1"/>
    <w:semiHidden/>
    <w:qFormat/>
    <w:uiPriority w:val="99"/>
  </w:style>
  <w:style w:type="character" w:customStyle="1" w:styleId="171">
    <w:name w:val="正文文本 2 Char1"/>
    <w:semiHidden/>
    <w:qFormat/>
    <w:uiPriority w:val="99"/>
    <w:rPr>
      <w:kern w:val="2"/>
      <w:sz w:val="21"/>
      <w:szCs w:val="22"/>
    </w:rPr>
  </w:style>
  <w:style w:type="paragraph" w:customStyle="1" w:styleId="172">
    <w:name w:val="paragraphindent"/>
    <w:basedOn w:val="1"/>
    <w:qFormat/>
    <w:uiPriority w:val="0"/>
    <w:pPr>
      <w:widowControl/>
      <w:spacing w:before="75" w:after="75"/>
      <w:jc w:val="left"/>
    </w:pPr>
    <w:rPr>
      <w:rFonts w:ascii="宋体" w:hAnsi="宋体" w:cs="宋体"/>
      <w:kern w:val="0"/>
      <w:sz w:val="24"/>
    </w:rPr>
  </w:style>
  <w:style w:type="character" w:customStyle="1" w:styleId="173">
    <w:name w:val="正文2 Char"/>
    <w:link w:val="174"/>
    <w:qFormat/>
    <w:uiPriority w:val="0"/>
    <w:rPr>
      <w:rFonts w:ascii="宋体" w:eastAsia="楷体"/>
      <w:b/>
      <w:color w:val="0000FF"/>
      <w:kern w:val="2"/>
      <w:sz w:val="21"/>
      <w:szCs w:val="22"/>
      <w:lang w:val="en-US" w:eastAsia="zh-CN" w:bidi="ar-SA"/>
    </w:rPr>
  </w:style>
  <w:style w:type="paragraph" w:customStyle="1" w:styleId="174">
    <w:name w:val="正文2"/>
    <w:link w:val="173"/>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175">
    <w:name w:val="_Style 174"/>
    <w:unhideWhenUsed/>
    <w:qFormat/>
    <w:uiPriority w:val="99"/>
    <w:rPr>
      <w:rFonts w:ascii="Times New Roman" w:hAnsi="Times New Roman" w:eastAsia="宋体" w:cs="Times New Roman"/>
      <w:kern w:val="2"/>
      <w:sz w:val="21"/>
      <w:szCs w:val="24"/>
      <w:lang w:val="en-US" w:eastAsia="zh-CN" w:bidi="ar-SA"/>
    </w:rPr>
  </w:style>
  <w:style w:type="paragraph" w:customStyle="1" w:styleId="176">
    <w:name w:val="msolistparagraph"/>
    <w:basedOn w:val="1"/>
    <w:qFormat/>
    <w:uiPriority w:val="0"/>
    <w:pPr>
      <w:keepNext w:val="0"/>
      <w:keepLines w:val="0"/>
      <w:widowControl w:val="0"/>
      <w:suppressLineNumbers w:val="0"/>
      <w:autoSpaceDE w:val="0"/>
      <w:autoSpaceDN w:val="0"/>
      <w:spacing w:before="0" w:beforeAutospacing="0" w:after="0" w:afterAutospacing="0"/>
      <w:ind w:left="205" w:right="169" w:firstLine="655"/>
      <w:jc w:val="left"/>
    </w:pPr>
    <w:rPr>
      <w:rFonts w:hint="eastAsia" w:ascii="仿宋" w:hAnsi="仿宋" w:eastAsia="仿宋" w:cs="仿宋"/>
      <w:kern w:val="0"/>
      <w:sz w:val="22"/>
      <w:szCs w:val="22"/>
      <w:u w:val="single" w:color="000000"/>
      <w:lang w:val="en-US" w:eastAsia="zh-CN" w:bidi="ar"/>
    </w:rPr>
  </w:style>
  <w:style w:type="character" w:customStyle="1" w:styleId="177">
    <w:name w:val="button"/>
    <w:qFormat/>
    <w:uiPriority w:val="0"/>
  </w:style>
  <w:style w:type="paragraph" w:customStyle="1" w:styleId="178">
    <w:name w:val="D&amp;L"/>
    <w:basedOn w:val="32"/>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179">
    <w:name w:val="font31"/>
    <w:qFormat/>
    <w:uiPriority w:val="0"/>
    <w:rPr>
      <w:rFonts w:hint="eastAsia" w:ascii="宋体" w:hAnsi="宋体" w:eastAsia="宋体" w:cs="宋体"/>
      <w:color w:val="000000"/>
      <w:sz w:val="22"/>
      <w:szCs w:val="22"/>
      <w:u w:val="none"/>
    </w:rPr>
  </w:style>
  <w:style w:type="character" w:customStyle="1" w:styleId="180">
    <w:name w:val="font41"/>
    <w:qFormat/>
    <w:uiPriority w:val="0"/>
    <w:rPr>
      <w:rFonts w:hint="eastAsia" w:ascii="宋体" w:hAnsi="宋体" w:eastAsia="宋体" w:cs="宋体"/>
      <w:b/>
      <w:bCs/>
      <w:color w:val="000000"/>
      <w:sz w:val="22"/>
      <w:szCs w:val="22"/>
      <w:u w:val="none"/>
    </w:rPr>
  </w:style>
  <w:style w:type="paragraph" w:customStyle="1" w:styleId="18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批注文字_0"/>
    <w:basedOn w:val="181"/>
    <w:qFormat/>
    <w:uiPriority w:val="0"/>
    <w:pPr>
      <w:jc w:val="left"/>
    </w:pPr>
  </w:style>
  <w:style w:type="paragraph" w:customStyle="1" w:styleId="183">
    <w:name w:val="样式 首行缩进:  2 字符"/>
    <w:basedOn w:val="1"/>
    <w:qFormat/>
    <w:uiPriority w:val="0"/>
    <w:pPr>
      <w:ind w:firstLine="600" w:firstLineChars="200"/>
    </w:pPr>
    <w:rPr>
      <w:rFonts w:cs="宋体"/>
      <w:sz w:val="28"/>
    </w:rPr>
  </w:style>
  <w:style w:type="character" w:customStyle="1" w:styleId="184">
    <w:name w:val="font101"/>
    <w:basedOn w:val="49"/>
    <w:qFormat/>
    <w:uiPriority w:val="0"/>
    <w:rPr>
      <w:rFonts w:hint="eastAsia" w:ascii="宋体" w:hAnsi="宋体" w:eastAsia="宋体" w:cs="宋体"/>
      <w:color w:val="000000"/>
      <w:sz w:val="21"/>
      <w:szCs w:val="21"/>
      <w:u w:val="none"/>
    </w:rPr>
  </w:style>
  <w:style w:type="character" w:customStyle="1" w:styleId="185">
    <w:name w:val="font121"/>
    <w:basedOn w:val="49"/>
    <w:qFormat/>
    <w:uiPriority w:val="0"/>
    <w:rPr>
      <w:rFonts w:ascii="Arial" w:hAnsi="Arial" w:cs="Arial"/>
      <w:color w:val="000000"/>
      <w:sz w:val="21"/>
      <w:szCs w:val="21"/>
      <w:u w:val="none"/>
    </w:rPr>
  </w:style>
  <w:style w:type="character" w:customStyle="1" w:styleId="186">
    <w:name w:val="font131"/>
    <w:basedOn w:val="49"/>
    <w:qFormat/>
    <w:uiPriority w:val="0"/>
    <w:rPr>
      <w:rFonts w:hint="default" w:ascii="Arial" w:hAnsi="Arial" w:cs="Arial"/>
      <w:color w:val="000000"/>
      <w:sz w:val="21"/>
      <w:szCs w:val="21"/>
      <w:u w:val="none"/>
    </w:rPr>
  </w:style>
  <w:style w:type="character" w:customStyle="1" w:styleId="187">
    <w:name w:val="font141"/>
    <w:basedOn w:val="49"/>
    <w:qFormat/>
    <w:uiPriority w:val="0"/>
    <w:rPr>
      <w:rFonts w:hint="eastAsia" w:ascii="宋体" w:hAnsi="宋体" w:eastAsia="宋体" w:cs="宋体"/>
      <w:color w:val="000000"/>
      <w:sz w:val="21"/>
      <w:szCs w:val="21"/>
      <w:u w:val="none"/>
    </w:rPr>
  </w:style>
  <w:style w:type="paragraph" w:customStyle="1" w:styleId="18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92</Pages>
  <Words>13482</Words>
  <Characters>14852</Characters>
  <Lines>405</Lines>
  <Paragraphs>114</Paragraphs>
  <TotalTime>8</TotalTime>
  <ScaleCrop>false</ScaleCrop>
  <LinksUpToDate>false</LinksUpToDate>
  <CharactersWithSpaces>15054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2023-02-28T09:16:00Z</dcterms:created>
  <dc:creator>孟凡金</dc:creator>
  <cp:lastModifiedBy>代理</cp:lastModifiedBy>
  <cp:lastPrinted>2025-02-07T07:26:00Z</cp:lastPrinted>
  <dcterms:modified xsi:type="dcterms:W3CDTF">2025-12-19T10:38:39Z</dcterms:modified>
  <dc:title>项目名称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E16D79D2872545839D6E0439291DD16B_13</vt:lpwstr>
  </property>
  <property fmtid="{D5CDD505-2E9C-101B-9397-08002B2CF9AE}" pid="4" name="KSOTemplateDocerSaveRecord">
    <vt:lpwstr>eyJoZGlkIjoiOGRlZTYyZTIzNmNlYWFjOWUzMjVhYWU1Y2JiMGFhOGQiLCJ1c2VySWQiOiIyODQyMDI3NDcifQ==</vt:lpwstr>
  </property>
</Properties>
</file>