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011D">
      <w:pPr>
        <w:snapToGrid w:val="0"/>
        <w:spacing w:before="0" w:beforeAutospacing="0" w:after="0" w:line="360" w:lineRule="auto"/>
        <w:rPr>
          <w:rFonts w:ascii="宋体" w:hAnsi="宋体"/>
          <w:b/>
          <w:sz w:val="24"/>
          <w:szCs w:val="24"/>
          <w:highlight w:val="none"/>
        </w:rPr>
      </w:pPr>
      <w:r>
        <w:rPr>
          <w:rFonts w:hint="eastAsia" w:ascii="宋体" w:hAnsi="宋体"/>
          <w:b/>
          <w:sz w:val="24"/>
          <w:szCs w:val="24"/>
          <w:highlight w:val="none"/>
        </w:rPr>
        <w:t>前注：</w:t>
      </w:r>
    </w:p>
    <w:p w14:paraId="1D5A5733">
      <w:pPr>
        <w:snapToGrid w:val="0"/>
        <w:spacing w:before="0" w:beforeAutospacing="0" w:after="0" w:line="360" w:lineRule="auto"/>
        <w:ind w:firstLine="480" w:firstLineChars="200"/>
        <w:rPr>
          <w:rFonts w:hint="eastAsia" w:ascii="宋体" w:hAnsi="宋体" w:cs="宋体"/>
          <w:sz w:val="24"/>
          <w:szCs w:val="24"/>
          <w:highlight w:val="none"/>
        </w:rPr>
      </w:pPr>
      <w:bookmarkStart w:id="0" w:name="_Hlk16461016"/>
      <w:r>
        <w:rPr>
          <w:rFonts w:hint="eastAsia" w:ascii="宋体" w:hAnsi="宋体" w:cs="宋体"/>
          <w:sz w:val="24"/>
          <w:szCs w:val="24"/>
          <w:highlight w:val="none"/>
        </w:rPr>
        <w:t>1.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5BCDC3B9">
      <w:pPr>
        <w:snapToGrid w:val="0"/>
        <w:spacing w:before="0" w:beforeAutospacing="0" w:after="0" w:line="360" w:lineRule="auto"/>
        <w:ind w:firstLine="435"/>
        <w:rPr>
          <w:rFonts w:hint="eastAsia" w:ascii="宋体" w:hAnsi="宋体" w:cs="宋体"/>
          <w:sz w:val="24"/>
          <w:szCs w:val="24"/>
          <w:highlight w:val="none"/>
        </w:rPr>
      </w:pPr>
      <w:r>
        <w:rPr>
          <w:rFonts w:hint="eastAsia" w:ascii="宋体" w:hAnsi="宋体" w:cs="宋体"/>
          <w:sz w:val="24"/>
          <w:szCs w:val="24"/>
          <w:highlight w:val="none"/>
        </w:rPr>
        <w:t>2.下列采购需求中：</w:t>
      </w:r>
    </w:p>
    <w:p w14:paraId="53456615">
      <w:pPr>
        <w:snapToGrid w:val="0"/>
        <w:spacing w:before="0" w:beforeAutospacing="0" w:after="0" w:line="360" w:lineRule="auto"/>
        <w:ind w:firstLine="435"/>
        <w:rPr>
          <w:rFonts w:hint="eastAsia" w:ascii="宋体" w:hAnsi="宋体" w:cs="宋体"/>
          <w:sz w:val="24"/>
          <w:szCs w:val="24"/>
          <w:highlight w:val="none"/>
        </w:rPr>
      </w:pPr>
      <w:r>
        <w:rPr>
          <w:rFonts w:hint="eastAsia" w:ascii="宋体" w:hAnsi="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7A5D973">
      <w:pPr>
        <w:snapToGrid w:val="0"/>
        <w:spacing w:before="0" w:beforeAutospacing="0"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DA9D940">
      <w:pPr>
        <w:snapToGrid w:val="0"/>
        <w:spacing w:before="0" w:beforeAutospacing="0" w:after="0"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3.下列采购需求中：标注▲的产品（核心产品），投标人在投标文件《主要中标标的承诺函》中填写名称、品牌、规格、型号、数量、单价等信息。</w:t>
      </w:r>
    </w:p>
    <w:p w14:paraId="4AD54875">
      <w:pPr>
        <w:pStyle w:val="2"/>
        <w:snapToGrid w:val="0"/>
        <w:spacing w:before="0" w:beforeAutospacing="0" w:after="0"/>
        <w:ind w:firstLine="0" w:firstLineChars="0"/>
        <w:rPr>
          <w:rFonts w:ascii="宋体" w:hAnsi="宋体" w:eastAsia="宋体"/>
          <w:sz w:val="24"/>
          <w:szCs w:val="24"/>
          <w:highlight w:val="none"/>
        </w:rPr>
      </w:pPr>
      <w:bookmarkStart w:id="1" w:name="_Toc1452677390"/>
      <w:bookmarkStart w:id="2" w:name="_Toc1437377518_WPSOffice_Level2"/>
      <w:bookmarkStart w:id="3" w:name="_Toc382548620"/>
      <w:bookmarkStart w:id="4" w:name="_Toc2025078090"/>
      <w:bookmarkStart w:id="5" w:name="_Toc337877615"/>
      <w:bookmarkStart w:id="6" w:name="_Toc1899401549"/>
      <w:bookmarkStart w:id="7" w:name="_Toc1064185329"/>
      <w:bookmarkStart w:id="8" w:name="_Toc292361325"/>
      <w:r>
        <w:rPr>
          <w:rFonts w:hint="eastAsia" w:ascii="宋体" w:hAnsi="宋体" w:eastAsia="宋体"/>
          <w:sz w:val="24"/>
          <w:szCs w:val="24"/>
          <w:highlight w:val="none"/>
        </w:rPr>
        <w:t>一、采购需求前附表</w:t>
      </w:r>
      <w:bookmarkEnd w:id="1"/>
      <w:bookmarkEnd w:id="2"/>
      <w:bookmarkEnd w:id="3"/>
      <w:bookmarkEnd w:id="4"/>
      <w:bookmarkEnd w:id="5"/>
      <w:bookmarkEnd w:id="6"/>
      <w:bookmarkEnd w:id="7"/>
      <w:bookmarkEnd w:id="8"/>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3FC2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5DD7561B">
            <w:pPr>
              <w:pStyle w:val="9"/>
              <w:pBdr>
                <w:bottom w:val="none" w:color="auto" w:sz="0" w:space="0"/>
              </w:pBdr>
              <w:tabs>
                <w:tab w:val="clear" w:pos="4153"/>
                <w:tab w:val="clear" w:pos="8306"/>
              </w:tabs>
              <w:adjustRightInd/>
              <w:snapToGrid w:val="0"/>
              <w:spacing w:before="0" w:beforeAutospacing="0" w:after="0" w:line="300" w:lineRule="auto"/>
              <w:textAlignment w:val="auto"/>
              <w:rPr>
                <w:rFonts w:hint="eastAsia" w:ascii="宋体" w:hAnsi="宋体" w:eastAsia="宋体" w:cs="宋体"/>
                <w:b/>
                <w:kern w:val="2"/>
                <w:highlight w:val="none"/>
              </w:rPr>
            </w:pPr>
            <w:r>
              <w:rPr>
                <w:rFonts w:hint="eastAsia" w:ascii="宋体" w:hAnsi="宋体" w:eastAsia="宋体" w:cs="宋体"/>
                <w:b/>
                <w:kern w:val="2"/>
                <w:highlight w:val="none"/>
              </w:rPr>
              <w:t>序号</w:t>
            </w:r>
          </w:p>
        </w:tc>
        <w:tc>
          <w:tcPr>
            <w:tcW w:w="2054" w:type="dxa"/>
            <w:noWrap w:val="0"/>
            <w:vAlign w:val="center"/>
          </w:tcPr>
          <w:p w14:paraId="6A086BF9">
            <w:pPr>
              <w:pStyle w:val="10"/>
              <w:widowControl w:val="0"/>
              <w:snapToGrid w:val="0"/>
              <w:spacing w:before="0" w:beforeAutospacing="0" w:after="0" w:afterAutospacing="0" w:line="300" w:lineRule="auto"/>
              <w:rPr>
                <w:rFonts w:hint="eastAsia" w:ascii="宋体" w:hAnsi="宋体" w:cs="宋体"/>
                <w:bCs w:val="0"/>
                <w:sz w:val="24"/>
                <w:highlight w:val="none"/>
              </w:rPr>
            </w:pPr>
            <w:r>
              <w:rPr>
                <w:rFonts w:hint="eastAsia" w:ascii="宋体" w:hAnsi="宋体" w:cs="宋体"/>
                <w:bCs w:val="0"/>
                <w:sz w:val="24"/>
                <w:highlight w:val="none"/>
              </w:rPr>
              <w:t>条款名称</w:t>
            </w:r>
          </w:p>
        </w:tc>
        <w:tc>
          <w:tcPr>
            <w:tcW w:w="5544" w:type="dxa"/>
            <w:noWrap w:val="0"/>
            <w:vAlign w:val="center"/>
          </w:tcPr>
          <w:p w14:paraId="6758C62E">
            <w:pPr>
              <w:pStyle w:val="10"/>
              <w:widowControl w:val="0"/>
              <w:snapToGrid w:val="0"/>
              <w:spacing w:before="0" w:beforeAutospacing="0" w:after="0" w:afterAutospacing="0" w:line="300" w:lineRule="auto"/>
              <w:rPr>
                <w:rFonts w:hint="eastAsia" w:ascii="宋体" w:hAnsi="宋体" w:cs="宋体"/>
                <w:bCs w:val="0"/>
                <w:sz w:val="24"/>
                <w:highlight w:val="none"/>
              </w:rPr>
            </w:pPr>
            <w:r>
              <w:rPr>
                <w:rFonts w:hint="eastAsia" w:ascii="宋体" w:hAnsi="宋体" w:cs="宋体"/>
                <w:bCs w:val="0"/>
                <w:sz w:val="24"/>
                <w:highlight w:val="none"/>
              </w:rPr>
              <w:t>内容、说明与要求</w:t>
            </w:r>
          </w:p>
        </w:tc>
      </w:tr>
      <w:tr w14:paraId="7AD7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4EC51AE5">
            <w:pPr>
              <w:pStyle w:val="9"/>
              <w:pBdr>
                <w:bottom w:val="none" w:color="auto" w:sz="0" w:space="0"/>
              </w:pBdr>
              <w:tabs>
                <w:tab w:val="clear" w:pos="4153"/>
                <w:tab w:val="clear" w:pos="8306"/>
              </w:tabs>
              <w:adjustRightInd/>
              <w:snapToGrid w:val="0"/>
              <w:spacing w:before="0" w:beforeAutospacing="0" w:after="0" w:line="30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1</w:t>
            </w:r>
          </w:p>
        </w:tc>
        <w:tc>
          <w:tcPr>
            <w:tcW w:w="2054" w:type="dxa"/>
            <w:noWrap w:val="0"/>
            <w:vAlign w:val="center"/>
          </w:tcPr>
          <w:p w14:paraId="383C2F16">
            <w:pPr>
              <w:pStyle w:val="10"/>
              <w:widowControl w:val="0"/>
              <w:snapToGrid w:val="0"/>
              <w:spacing w:before="0" w:beforeAutospacing="0" w:after="0" w:afterAutospacing="0" w:line="300" w:lineRule="auto"/>
              <w:rPr>
                <w:rFonts w:hint="eastAsia" w:ascii="宋体" w:hAnsi="宋体" w:cs="宋体"/>
                <w:b w:val="0"/>
                <w:sz w:val="24"/>
                <w:highlight w:val="none"/>
              </w:rPr>
            </w:pPr>
            <w:r>
              <w:rPr>
                <w:rFonts w:hint="eastAsia" w:ascii="宋体" w:hAnsi="宋体" w:cs="宋体"/>
                <w:b w:val="0"/>
                <w:sz w:val="24"/>
                <w:highlight w:val="none"/>
              </w:rPr>
              <w:t>付款方式</w:t>
            </w:r>
          </w:p>
        </w:tc>
        <w:tc>
          <w:tcPr>
            <w:tcW w:w="5544" w:type="dxa"/>
            <w:noWrap w:val="0"/>
            <w:vAlign w:val="center"/>
          </w:tcPr>
          <w:p w14:paraId="613713EF">
            <w:pPr>
              <w:pStyle w:val="10"/>
              <w:widowControl w:val="0"/>
              <w:snapToGrid w:val="0"/>
              <w:spacing w:before="0" w:beforeAutospacing="0" w:after="0" w:afterAutospacing="0" w:line="300" w:lineRule="auto"/>
              <w:jc w:val="left"/>
              <w:rPr>
                <w:rFonts w:hint="eastAsia" w:ascii="宋体" w:hAnsi="宋体" w:cs="宋体"/>
                <w:b w:val="0"/>
                <w:sz w:val="24"/>
                <w:highlight w:val="none"/>
              </w:rPr>
            </w:pPr>
            <w:r>
              <w:rPr>
                <w:rFonts w:hint="eastAsia" w:ascii="宋体" w:hAnsi="宋体" w:cs="宋体"/>
                <w:b w:val="0"/>
                <w:sz w:val="24"/>
                <w:highlight w:val="none"/>
              </w:rPr>
              <w:t>合同签订生效并具备实施条件后支付合同款的40%为预付款（中标人须提供等额预付款担保），验收合格后，付清剩余合同尾款。</w:t>
            </w:r>
          </w:p>
          <w:p w14:paraId="4624DB15">
            <w:pPr>
              <w:pStyle w:val="10"/>
              <w:widowControl w:val="0"/>
              <w:snapToGrid w:val="0"/>
              <w:spacing w:before="0" w:beforeAutospacing="0" w:after="0" w:afterAutospacing="0" w:line="300" w:lineRule="auto"/>
              <w:jc w:val="left"/>
              <w:rPr>
                <w:rFonts w:hint="eastAsia" w:ascii="宋体" w:hAnsi="宋体" w:cs="宋体"/>
                <w:b w:val="0"/>
                <w:sz w:val="24"/>
                <w:highlight w:val="none"/>
              </w:rPr>
            </w:pPr>
            <w:r>
              <w:rPr>
                <w:rFonts w:hint="eastAsia" w:ascii="宋体" w:hAnsi="宋体" w:cs="宋体"/>
                <w:b w:val="0"/>
                <w:sz w:val="24"/>
                <w:highlight w:val="none"/>
              </w:rPr>
              <w:t>注：</w:t>
            </w:r>
          </w:p>
          <w:p w14:paraId="35195EB8">
            <w:pPr>
              <w:pStyle w:val="10"/>
              <w:widowControl w:val="0"/>
              <w:snapToGrid w:val="0"/>
              <w:spacing w:before="0" w:beforeAutospacing="0" w:after="0" w:afterAutospacing="0" w:line="300" w:lineRule="auto"/>
              <w:jc w:val="left"/>
              <w:rPr>
                <w:rFonts w:hint="eastAsia" w:ascii="宋体" w:hAnsi="宋体" w:cs="宋体"/>
                <w:b w:val="0"/>
                <w:sz w:val="24"/>
                <w:highlight w:val="none"/>
              </w:rPr>
            </w:pPr>
            <w:r>
              <w:rPr>
                <w:rFonts w:hint="eastAsia" w:ascii="宋体" w:hAnsi="宋体" w:cs="宋体"/>
                <w:b w:val="0"/>
                <w:sz w:val="24"/>
                <w:highlight w:val="none"/>
              </w:rPr>
              <w:t>（1）本项目要求中标人提供预付款保函或其他担保措施。</w:t>
            </w:r>
          </w:p>
          <w:p w14:paraId="088E3A01">
            <w:pPr>
              <w:pStyle w:val="10"/>
              <w:widowControl w:val="0"/>
              <w:snapToGrid w:val="0"/>
              <w:spacing w:before="0" w:beforeAutospacing="0" w:after="0" w:afterAutospacing="0" w:line="300" w:lineRule="auto"/>
              <w:jc w:val="left"/>
              <w:rPr>
                <w:rFonts w:hint="eastAsia" w:ascii="宋体" w:hAnsi="宋体" w:cs="宋体"/>
                <w:b w:val="0"/>
                <w:sz w:val="24"/>
                <w:highlight w:val="none"/>
              </w:rPr>
            </w:pPr>
            <w:r>
              <w:rPr>
                <w:rFonts w:hint="eastAsia" w:ascii="宋体" w:hAnsi="宋体" w:cs="宋体"/>
                <w:b w:val="0"/>
                <w:sz w:val="24"/>
                <w:highlight w:val="none"/>
              </w:rPr>
              <w:t>（2）付款前中标人须按要求开具有效的发票。</w:t>
            </w:r>
          </w:p>
          <w:p w14:paraId="151325D0">
            <w:pPr>
              <w:pStyle w:val="10"/>
              <w:widowControl w:val="0"/>
              <w:snapToGrid w:val="0"/>
              <w:spacing w:before="0" w:beforeAutospacing="0" w:after="0" w:afterAutospacing="0" w:line="300" w:lineRule="auto"/>
              <w:jc w:val="left"/>
              <w:rPr>
                <w:rFonts w:hint="eastAsia" w:ascii="宋体" w:hAnsi="宋体" w:cs="宋体"/>
                <w:b w:val="0"/>
                <w:sz w:val="24"/>
                <w:highlight w:val="none"/>
              </w:rPr>
            </w:pPr>
            <w:r>
              <w:rPr>
                <w:rFonts w:hint="eastAsia" w:ascii="宋体" w:hAnsi="宋体" w:cs="宋体"/>
                <w:b w:val="0"/>
                <w:sz w:val="24"/>
                <w:highlight w:val="none"/>
              </w:rPr>
              <w:t>（3）预付款保函形式：银行保函、担保机构担保。</w:t>
            </w:r>
          </w:p>
          <w:p w14:paraId="484E75B6">
            <w:pPr>
              <w:pStyle w:val="10"/>
              <w:widowControl w:val="0"/>
              <w:snapToGrid w:val="0"/>
              <w:spacing w:before="0" w:beforeAutospacing="0" w:after="0" w:afterAutospacing="0" w:line="300" w:lineRule="auto"/>
              <w:jc w:val="left"/>
              <w:rPr>
                <w:rFonts w:hint="eastAsia" w:ascii="宋体" w:hAnsi="宋体" w:cs="宋体"/>
                <w:b w:val="0"/>
                <w:sz w:val="24"/>
                <w:highlight w:val="none"/>
              </w:rPr>
            </w:pPr>
            <w:r>
              <w:rPr>
                <w:rFonts w:hint="eastAsia" w:ascii="宋体" w:hAnsi="宋体" w:cs="宋体"/>
                <w:b w:val="0"/>
                <w:sz w:val="24"/>
                <w:highlight w:val="none"/>
              </w:rPr>
              <w:t>（4）预付款保函递交要求：①如采用银行保函，银行保函应为银行出具的见索即付无条件保函。且应将原件交至采购人保管。②如采用担保机构担保，应为经金融监督管理局备案的融资担保机构出具的见索即付无条件担保，且应将原件交至采购人保管。</w:t>
            </w:r>
          </w:p>
          <w:p w14:paraId="3311D392">
            <w:pPr>
              <w:pStyle w:val="10"/>
              <w:widowControl w:val="0"/>
              <w:snapToGrid w:val="0"/>
              <w:spacing w:before="0" w:beforeAutospacing="0" w:after="0" w:afterAutospacing="0" w:line="300" w:lineRule="auto"/>
              <w:jc w:val="left"/>
              <w:rPr>
                <w:rFonts w:hint="eastAsia" w:ascii="宋体" w:hAnsi="宋体" w:cs="宋体"/>
                <w:b w:val="0"/>
                <w:sz w:val="24"/>
                <w:highlight w:val="none"/>
              </w:rPr>
            </w:pPr>
            <w:r>
              <w:rPr>
                <w:rFonts w:hint="eastAsia" w:ascii="宋体" w:hAnsi="宋体" w:cs="宋体"/>
                <w:b w:val="0"/>
                <w:sz w:val="24"/>
                <w:highlight w:val="none"/>
              </w:rPr>
              <w:t>（5）在签订合同时，中标人书面明确表示无需预付款或者主动要求降低预付款比例的，采购人可不适用前述预付款规定。</w:t>
            </w:r>
          </w:p>
        </w:tc>
      </w:tr>
      <w:tr w14:paraId="73E9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noWrap w:val="0"/>
            <w:vAlign w:val="center"/>
          </w:tcPr>
          <w:p w14:paraId="275C2D74">
            <w:pPr>
              <w:pStyle w:val="9"/>
              <w:pBdr>
                <w:bottom w:val="none" w:color="auto" w:sz="0" w:space="0"/>
              </w:pBdr>
              <w:tabs>
                <w:tab w:val="clear" w:pos="4153"/>
                <w:tab w:val="clear" w:pos="8306"/>
              </w:tabs>
              <w:adjustRightInd/>
              <w:snapToGrid w:val="0"/>
              <w:spacing w:before="0" w:beforeAutospacing="0" w:after="0" w:line="30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2</w:t>
            </w:r>
          </w:p>
        </w:tc>
        <w:tc>
          <w:tcPr>
            <w:tcW w:w="2054" w:type="dxa"/>
            <w:noWrap w:val="0"/>
            <w:vAlign w:val="center"/>
          </w:tcPr>
          <w:p w14:paraId="1E20ED7F">
            <w:pPr>
              <w:pStyle w:val="10"/>
              <w:widowControl w:val="0"/>
              <w:snapToGrid w:val="0"/>
              <w:spacing w:before="0" w:beforeAutospacing="0" w:after="0" w:afterAutospacing="0" w:line="300" w:lineRule="auto"/>
              <w:rPr>
                <w:rFonts w:hint="eastAsia" w:ascii="宋体" w:hAnsi="宋体" w:cs="宋体"/>
                <w:b w:val="0"/>
                <w:sz w:val="24"/>
                <w:highlight w:val="none"/>
              </w:rPr>
            </w:pPr>
            <w:r>
              <w:rPr>
                <w:rFonts w:hint="eastAsia" w:ascii="宋体" w:hAnsi="宋体" w:cs="宋体"/>
                <w:b w:val="0"/>
                <w:sz w:val="24"/>
                <w:highlight w:val="none"/>
              </w:rPr>
              <w:t>供货及安装地点</w:t>
            </w:r>
          </w:p>
        </w:tc>
        <w:tc>
          <w:tcPr>
            <w:tcW w:w="5544" w:type="dxa"/>
            <w:noWrap w:val="0"/>
            <w:vAlign w:val="center"/>
          </w:tcPr>
          <w:p w14:paraId="7195C675">
            <w:pPr>
              <w:pStyle w:val="10"/>
              <w:widowControl w:val="0"/>
              <w:snapToGrid w:val="0"/>
              <w:spacing w:before="0" w:beforeAutospacing="0" w:after="0" w:afterAutospacing="0" w:line="300" w:lineRule="auto"/>
              <w:jc w:val="left"/>
              <w:rPr>
                <w:rFonts w:hint="eastAsia" w:ascii="宋体" w:hAnsi="宋体" w:cs="宋体"/>
                <w:b w:val="0"/>
                <w:sz w:val="24"/>
                <w:highlight w:val="none"/>
              </w:rPr>
            </w:pPr>
            <w:r>
              <w:rPr>
                <w:rFonts w:hint="eastAsia" w:ascii="宋体" w:hAnsi="宋体" w:cs="宋体"/>
                <w:b w:val="0"/>
                <w:sz w:val="24"/>
                <w:highlight w:val="none"/>
              </w:rPr>
              <w:t>安徽理工大学，具体按采购人指定。</w:t>
            </w:r>
          </w:p>
        </w:tc>
      </w:tr>
      <w:tr w14:paraId="2146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noWrap w:val="0"/>
            <w:vAlign w:val="center"/>
          </w:tcPr>
          <w:p w14:paraId="4B48FB38">
            <w:pPr>
              <w:pStyle w:val="9"/>
              <w:pBdr>
                <w:bottom w:val="none" w:color="auto" w:sz="0" w:space="0"/>
              </w:pBdr>
              <w:tabs>
                <w:tab w:val="clear" w:pos="4153"/>
                <w:tab w:val="clear" w:pos="8306"/>
              </w:tabs>
              <w:adjustRightInd/>
              <w:snapToGrid w:val="0"/>
              <w:spacing w:before="0" w:beforeAutospacing="0" w:after="0" w:line="30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3</w:t>
            </w:r>
          </w:p>
        </w:tc>
        <w:tc>
          <w:tcPr>
            <w:tcW w:w="2054" w:type="dxa"/>
            <w:noWrap w:val="0"/>
            <w:vAlign w:val="center"/>
          </w:tcPr>
          <w:p w14:paraId="43312EB2">
            <w:pPr>
              <w:pStyle w:val="10"/>
              <w:widowControl w:val="0"/>
              <w:snapToGrid w:val="0"/>
              <w:spacing w:before="0" w:beforeAutospacing="0" w:after="0" w:afterAutospacing="0" w:line="300" w:lineRule="auto"/>
              <w:rPr>
                <w:rFonts w:hint="eastAsia" w:ascii="宋体" w:hAnsi="宋体" w:cs="宋体"/>
                <w:b w:val="0"/>
                <w:sz w:val="24"/>
                <w:highlight w:val="none"/>
              </w:rPr>
            </w:pPr>
            <w:r>
              <w:rPr>
                <w:rFonts w:hint="eastAsia" w:ascii="宋体" w:hAnsi="宋体" w:cs="宋体"/>
                <w:b w:val="0"/>
                <w:sz w:val="24"/>
                <w:highlight w:val="none"/>
              </w:rPr>
              <w:t>供货及安装期限</w:t>
            </w:r>
          </w:p>
        </w:tc>
        <w:tc>
          <w:tcPr>
            <w:tcW w:w="5544" w:type="dxa"/>
            <w:noWrap w:val="0"/>
            <w:vAlign w:val="center"/>
          </w:tcPr>
          <w:p w14:paraId="67E69731">
            <w:pPr>
              <w:pStyle w:val="10"/>
              <w:widowControl w:val="0"/>
              <w:snapToGrid w:val="0"/>
              <w:spacing w:before="0" w:beforeAutospacing="0" w:after="0" w:afterAutospacing="0" w:line="300" w:lineRule="auto"/>
              <w:jc w:val="left"/>
              <w:rPr>
                <w:rFonts w:hint="eastAsia" w:ascii="宋体" w:hAnsi="宋体" w:cs="宋体"/>
                <w:b w:val="0"/>
                <w:sz w:val="24"/>
                <w:highlight w:val="none"/>
              </w:rPr>
            </w:pPr>
            <w:r>
              <w:rPr>
                <w:rFonts w:hint="eastAsia" w:ascii="宋体" w:hAnsi="宋体" w:cs="宋体"/>
                <w:b w:val="0"/>
                <w:sz w:val="24"/>
                <w:highlight w:val="none"/>
              </w:rPr>
              <w:t>合同生效后，140个日历日内完成供货、安装、调试、培训等所有工作内容。</w:t>
            </w:r>
          </w:p>
        </w:tc>
      </w:tr>
      <w:tr w14:paraId="4C9A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425A0DC4">
            <w:pPr>
              <w:pStyle w:val="9"/>
              <w:pBdr>
                <w:bottom w:val="none" w:color="auto" w:sz="0" w:space="0"/>
              </w:pBdr>
              <w:tabs>
                <w:tab w:val="clear" w:pos="4153"/>
                <w:tab w:val="clear" w:pos="8306"/>
              </w:tabs>
              <w:adjustRightInd/>
              <w:snapToGrid w:val="0"/>
              <w:spacing w:before="0" w:beforeAutospacing="0" w:after="0" w:line="300" w:lineRule="auto"/>
              <w:textAlignment w:val="auto"/>
              <w:rPr>
                <w:rFonts w:hint="eastAsia" w:ascii="宋体" w:hAnsi="宋体" w:eastAsia="宋体" w:cs="宋体"/>
                <w:bCs/>
                <w:kern w:val="2"/>
                <w:highlight w:val="none"/>
              </w:rPr>
            </w:pPr>
            <w:r>
              <w:rPr>
                <w:rFonts w:hint="eastAsia" w:ascii="宋体" w:hAnsi="宋体" w:eastAsia="宋体" w:cs="宋体"/>
                <w:bCs/>
                <w:kern w:val="2"/>
                <w:highlight w:val="none"/>
              </w:rPr>
              <w:t>4</w:t>
            </w:r>
          </w:p>
        </w:tc>
        <w:tc>
          <w:tcPr>
            <w:tcW w:w="2054" w:type="dxa"/>
            <w:noWrap w:val="0"/>
            <w:vAlign w:val="center"/>
          </w:tcPr>
          <w:p w14:paraId="18C864EA">
            <w:pPr>
              <w:pStyle w:val="10"/>
              <w:widowControl w:val="0"/>
              <w:snapToGrid w:val="0"/>
              <w:spacing w:before="0" w:beforeAutospacing="0" w:after="0" w:afterAutospacing="0" w:line="300" w:lineRule="auto"/>
              <w:rPr>
                <w:rFonts w:hint="eastAsia" w:ascii="宋体" w:hAnsi="宋体" w:cs="宋体"/>
                <w:b w:val="0"/>
                <w:sz w:val="24"/>
                <w:highlight w:val="none"/>
              </w:rPr>
            </w:pPr>
            <w:r>
              <w:rPr>
                <w:rFonts w:hint="eastAsia" w:ascii="宋体" w:hAnsi="宋体" w:cs="宋体"/>
                <w:b w:val="0"/>
                <w:sz w:val="24"/>
                <w:highlight w:val="none"/>
              </w:rPr>
              <w:t>免费质保期</w:t>
            </w:r>
          </w:p>
        </w:tc>
        <w:tc>
          <w:tcPr>
            <w:tcW w:w="5544" w:type="dxa"/>
            <w:noWrap w:val="0"/>
            <w:vAlign w:val="center"/>
          </w:tcPr>
          <w:p w14:paraId="325E0134">
            <w:pPr>
              <w:pStyle w:val="10"/>
              <w:widowControl w:val="0"/>
              <w:snapToGrid w:val="0"/>
              <w:spacing w:before="0" w:beforeAutospacing="0" w:after="0" w:afterAutospacing="0" w:line="300" w:lineRule="auto"/>
              <w:jc w:val="left"/>
              <w:rPr>
                <w:rFonts w:hint="eastAsia" w:ascii="宋体" w:hAnsi="宋体" w:cs="宋体"/>
                <w:b w:val="0"/>
                <w:sz w:val="24"/>
                <w:highlight w:val="none"/>
              </w:rPr>
            </w:pPr>
            <w:r>
              <w:rPr>
                <w:rFonts w:hint="eastAsia" w:ascii="宋体" w:hAnsi="宋体" w:cs="宋体"/>
                <w:b w:val="0"/>
                <w:sz w:val="24"/>
                <w:highlight w:val="none"/>
              </w:rPr>
              <w:t>（1）硬件设备：提供原厂质保服务，质保期不低于5年。</w:t>
            </w:r>
          </w:p>
          <w:p w14:paraId="216992CD">
            <w:pPr>
              <w:pStyle w:val="10"/>
              <w:widowControl w:val="0"/>
              <w:snapToGrid w:val="0"/>
              <w:spacing w:before="0" w:beforeAutospacing="0" w:after="0" w:afterAutospacing="0" w:line="300" w:lineRule="auto"/>
              <w:jc w:val="left"/>
              <w:rPr>
                <w:rFonts w:hint="eastAsia" w:ascii="宋体" w:hAnsi="宋体" w:cs="宋体"/>
                <w:b w:val="0"/>
                <w:sz w:val="24"/>
                <w:highlight w:val="none"/>
              </w:rPr>
            </w:pPr>
            <w:r>
              <w:rPr>
                <w:rFonts w:hint="eastAsia" w:ascii="宋体" w:hAnsi="宋体" w:cs="宋体"/>
                <w:b w:val="0"/>
                <w:sz w:val="24"/>
                <w:highlight w:val="none"/>
              </w:rPr>
              <w:t>（2）软件系统：中标人须对本项目软件系统提供不少于3年的免费质保服务，服务内容包括但不限于：1）故障排查与修复；2）日常技术支持；3）因操作系统或硬件驱动版本更新（不含重大架构变更）所引发的适配调整。</w:t>
            </w:r>
          </w:p>
          <w:p w14:paraId="5E4D2587">
            <w:pPr>
              <w:pStyle w:val="10"/>
              <w:widowControl w:val="0"/>
              <w:snapToGrid w:val="0"/>
              <w:spacing w:before="0" w:beforeAutospacing="0" w:after="0" w:afterAutospacing="0" w:line="300" w:lineRule="auto"/>
              <w:jc w:val="left"/>
              <w:rPr>
                <w:rFonts w:ascii="宋体" w:hAnsi="宋体" w:cs="宋体"/>
                <w:b w:val="0"/>
                <w:sz w:val="24"/>
                <w:highlight w:val="none"/>
              </w:rPr>
            </w:pPr>
            <w:r>
              <w:rPr>
                <w:rFonts w:hint="eastAsia" w:ascii="宋体" w:hAnsi="宋体" w:cs="宋体"/>
                <w:b w:val="0"/>
                <w:sz w:val="24"/>
                <w:highlight w:val="none"/>
              </w:rPr>
              <w:t>注：免费质保期从验收合格之日起开始计算。</w:t>
            </w:r>
          </w:p>
        </w:tc>
      </w:tr>
    </w:tbl>
    <w:p w14:paraId="22157B77">
      <w:pPr>
        <w:pStyle w:val="2"/>
        <w:adjustRightInd w:val="0"/>
        <w:snapToGrid w:val="0"/>
        <w:spacing w:before="0" w:beforeAutospacing="0" w:after="0"/>
        <w:ind w:firstLine="0" w:firstLineChars="0"/>
        <w:rPr>
          <w:rFonts w:hint="eastAsia" w:ascii="宋体" w:hAnsi="宋体" w:eastAsia="宋体"/>
          <w:sz w:val="24"/>
          <w:szCs w:val="24"/>
          <w:highlight w:val="none"/>
        </w:rPr>
      </w:pPr>
      <w:bookmarkStart w:id="9" w:name="_Toc1715351726"/>
      <w:bookmarkStart w:id="10" w:name="_Toc302804901"/>
      <w:bookmarkStart w:id="11" w:name="_Toc58935147"/>
      <w:bookmarkStart w:id="12" w:name="_Toc1191965283_WPSOffice_Level2"/>
      <w:bookmarkStart w:id="13" w:name="_Toc717369146"/>
      <w:bookmarkStart w:id="14" w:name="_Toc1693477008"/>
      <w:bookmarkStart w:id="15" w:name="_Toc369119811"/>
      <w:bookmarkStart w:id="16" w:name="_Toc626387511"/>
      <w:r>
        <w:rPr>
          <w:rFonts w:hint="eastAsia" w:ascii="宋体" w:hAnsi="宋体" w:eastAsia="宋体"/>
          <w:sz w:val="24"/>
          <w:szCs w:val="24"/>
          <w:highlight w:val="none"/>
        </w:rPr>
        <w:t>二、货物需求</w:t>
      </w:r>
      <w:bookmarkEnd w:id="9"/>
      <w:bookmarkEnd w:id="10"/>
      <w:bookmarkEnd w:id="11"/>
      <w:bookmarkEnd w:id="12"/>
      <w:bookmarkEnd w:id="13"/>
      <w:bookmarkEnd w:id="14"/>
      <w:bookmarkEnd w:id="15"/>
      <w:bookmarkEnd w:id="16"/>
    </w:p>
    <w:p w14:paraId="43CF4D0D">
      <w:pPr>
        <w:pStyle w:val="6"/>
        <w:adjustRightInd w:val="0"/>
        <w:snapToGrid w:val="0"/>
        <w:spacing w:before="0" w:beforeAutospacing="0" w:after="0" w:line="360" w:lineRule="auto"/>
        <w:ind w:left="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（一）货物需求说明</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00C3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4" w:type="dxa"/>
            <w:noWrap w:val="0"/>
            <w:vAlign w:val="center"/>
          </w:tcPr>
          <w:p w14:paraId="219756F3">
            <w:pPr>
              <w:wordWrap w:val="0"/>
              <w:snapToGrid w:val="0"/>
              <w:spacing w:before="0" w:beforeAutospacing="0" w:after="0" w:line="300" w:lineRule="auto"/>
              <w:jc w:val="center"/>
              <w:rPr>
                <w:rFonts w:hint="eastAsia" w:ascii="宋体" w:hAnsi="宋体" w:cs="宋体"/>
                <w:b/>
                <w:color w:val="000000"/>
                <w:szCs w:val="21"/>
                <w:highlight w:val="none"/>
              </w:rPr>
            </w:pPr>
            <w:r>
              <w:rPr>
                <w:rFonts w:hint="eastAsia" w:ascii="宋体" w:hAnsi="宋体" w:cs="宋体"/>
                <w:b/>
                <w:color w:val="000000"/>
                <w:szCs w:val="21"/>
                <w:highlight w:val="none"/>
              </w:rPr>
              <w:t>标识类型</w:t>
            </w:r>
          </w:p>
        </w:tc>
        <w:tc>
          <w:tcPr>
            <w:tcW w:w="1365" w:type="dxa"/>
            <w:noWrap w:val="0"/>
            <w:vAlign w:val="center"/>
          </w:tcPr>
          <w:p w14:paraId="128ECA49">
            <w:pPr>
              <w:wordWrap w:val="0"/>
              <w:snapToGrid w:val="0"/>
              <w:spacing w:before="0" w:beforeAutospacing="0" w:after="0" w:line="300" w:lineRule="auto"/>
              <w:jc w:val="center"/>
              <w:rPr>
                <w:rFonts w:hint="eastAsia" w:ascii="宋体" w:hAnsi="宋体" w:cs="宋体"/>
                <w:b/>
                <w:color w:val="000000"/>
                <w:szCs w:val="21"/>
                <w:highlight w:val="none"/>
              </w:rPr>
            </w:pPr>
            <w:r>
              <w:rPr>
                <w:rFonts w:hint="eastAsia" w:ascii="宋体" w:hAnsi="宋体" w:cs="宋体"/>
                <w:b/>
                <w:color w:val="000000"/>
                <w:szCs w:val="21"/>
                <w:highlight w:val="none"/>
              </w:rPr>
              <w:t>标识符号</w:t>
            </w:r>
          </w:p>
        </w:tc>
        <w:tc>
          <w:tcPr>
            <w:tcW w:w="5363" w:type="dxa"/>
            <w:noWrap w:val="0"/>
            <w:vAlign w:val="center"/>
          </w:tcPr>
          <w:p w14:paraId="176F95DF">
            <w:pPr>
              <w:wordWrap w:val="0"/>
              <w:snapToGrid w:val="0"/>
              <w:spacing w:before="0" w:beforeAutospacing="0" w:after="0" w:line="300" w:lineRule="auto"/>
              <w:jc w:val="center"/>
              <w:rPr>
                <w:rFonts w:hint="eastAsia" w:ascii="宋体" w:hAnsi="宋体" w:cs="宋体"/>
                <w:b/>
                <w:color w:val="000000"/>
                <w:szCs w:val="21"/>
                <w:highlight w:val="none"/>
              </w:rPr>
            </w:pPr>
            <w:r>
              <w:rPr>
                <w:rFonts w:hint="eastAsia" w:ascii="宋体" w:hAnsi="宋体" w:cs="宋体"/>
                <w:b/>
                <w:color w:val="000000"/>
                <w:szCs w:val="21"/>
                <w:highlight w:val="none"/>
              </w:rPr>
              <w:t>标识符号含义</w:t>
            </w:r>
          </w:p>
        </w:tc>
      </w:tr>
      <w:tr w14:paraId="258B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5154AFD0">
            <w:pPr>
              <w:wordWrap w:val="0"/>
              <w:snapToGrid w:val="0"/>
              <w:spacing w:before="0" w:beforeAutospacing="0" w:after="0" w:line="300" w:lineRule="auto"/>
              <w:jc w:val="center"/>
              <w:rPr>
                <w:rFonts w:ascii="宋体" w:hAnsi="宋体" w:cs="宋体"/>
                <w:color w:val="000000"/>
                <w:szCs w:val="21"/>
                <w:highlight w:val="none"/>
              </w:rPr>
            </w:pPr>
            <w:r>
              <w:rPr>
                <w:rFonts w:hint="eastAsia" w:ascii="宋体" w:hAnsi="宋体" w:cs="宋体"/>
                <w:color w:val="000000"/>
                <w:szCs w:val="21"/>
                <w:highlight w:val="none"/>
              </w:rPr>
              <w:t>重要指标项</w:t>
            </w:r>
          </w:p>
        </w:tc>
        <w:tc>
          <w:tcPr>
            <w:tcW w:w="1365" w:type="dxa"/>
            <w:noWrap w:val="0"/>
            <w:vAlign w:val="center"/>
          </w:tcPr>
          <w:p w14:paraId="1C709BA9">
            <w:pPr>
              <w:wordWrap w:val="0"/>
              <w:adjustRightInd w:val="0"/>
              <w:snapToGrid w:val="0"/>
              <w:spacing w:before="0" w:beforeAutospacing="0" w:after="0" w:line="300" w:lineRule="auto"/>
              <w:jc w:val="center"/>
              <w:rPr>
                <w:rFonts w:hint="eastAsia" w:ascii="宋体" w:hAnsi="宋体" w:cs="宋体"/>
                <w:bCs/>
                <w:color w:val="000000"/>
                <w:szCs w:val="21"/>
                <w:highlight w:val="none"/>
              </w:rPr>
            </w:pPr>
            <w:r>
              <w:rPr>
                <w:rFonts w:hint="eastAsia" w:ascii="宋体" w:hAnsi="宋体" w:cs="宋体"/>
                <w:bCs/>
                <w:color w:val="000000"/>
                <w:szCs w:val="21"/>
                <w:highlight w:val="none"/>
              </w:rPr>
              <w:t>★</w:t>
            </w:r>
          </w:p>
        </w:tc>
        <w:tc>
          <w:tcPr>
            <w:tcW w:w="5363" w:type="dxa"/>
            <w:noWrap w:val="0"/>
            <w:vAlign w:val="center"/>
          </w:tcPr>
          <w:p w14:paraId="00414713">
            <w:pPr>
              <w:wordWrap w:val="0"/>
              <w:adjustRightInd w:val="0"/>
              <w:snapToGrid w:val="0"/>
              <w:spacing w:before="0" w:beforeAutospacing="0" w:after="0" w:line="300" w:lineRule="auto"/>
              <w:jc w:val="left"/>
              <w:rPr>
                <w:rFonts w:hint="eastAsia" w:ascii="宋体" w:hAnsi="宋体" w:cs="宋体"/>
                <w:bCs/>
                <w:color w:val="000000"/>
                <w:szCs w:val="21"/>
                <w:highlight w:val="none"/>
              </w:rPr>
            </w:pPr>
            <w:r>
              <w:rPr>
                <w:rFonts w:hint="eastAsia" w:ascii="宋体" w:hAnsi="宋体" w:cs="宋体"/>
                <w:bCs/>
                <w:color w:val="000000"/>
                <w:szCs w:val="21"/>
                <w:highlight w:val="none"/>
              </w:rPr>
              <w:t>评分项，</w:t>
            </w:r>
            <w:r>
              <w:rPr>
                <w:rFonts w:hint="eastAsia" w:ascii="宋体" w:hAnsi="宋体" w:cs="宋体"/>
                <w:color w:val="000000"/>
                <w:szCs w:val="21"/>
                <w:highlight w:val="none"/>
                <w:lang w:bidi="ar"/>
              </w:rPr>
              <w:t>详见评标办法和标准。</w:t>
            </w:r>
          </w:p>
        </w:tc>
      </w:tr>
      <w:tr w14:paraId="6796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5552CB85">
            <w:pPr>
              <w:wordWrap w:val="0"/>
              <w:snapToGrid w:val="0"/>
              <w:spacing w:before="0" w:beforeAutospacing="0" w:after="0" w:line="300" w:lineRule="auto"/>
              <w:jc w:val="center"/>
              <w:rPr>
                <w:rFonts w:hint="eastAsia" w:ascii="宋体" w:hAnsi="宋体" w:cs="宋体"/>
                <w:color w:val="000000"/>
                <w:szCs w:val="21"/>
                <w:highlight w:val="none"/>
              </w:rPr>
            </w:pPr>
            <w:r>
              <w:rPr>
                <w:rFonts w:hint="eastAsia" w:ascii="宋体" w:hAnsi="宋体" w:cs="宋体"/>
                <w:color w:val="000000"/>
                <w:szCs w:val="21"/>
                <w:highlight w:val="none"/>
              </w:rPr>
              <w:t>一般指标项</w:t>
            </w:r>
          </w:p>
        </w:tc>
        <w:tc>
          <w:tcPr>
            <w:tcW w:w="1365" w:type="dxa"/>
            <w:noWrap w:val="0"/>
            <w:vAlign w:val="center"/>
          </w:tcPr>
          <w:p w14:paraId="6A18B79C">
            <w:pPr>
              <w:wordWrap w:val="0"/>
              <w:adjustRightInd w:val="0"/>
              <w:snapToGrid w:val="0"/>
              <w:spacing w:before="0" w:beforeAutospacing="0" w:after="0" w:line="300" w:lineRule="auto"/>
              <w:jc w:val="center"/>
              <w:rPr>
                <w:rFonts w:hint="eastAsia" w:ascii="宋体" w:hAnsi="宋体" w:cs="宋体"/>
                <w:bCs/>
                <w:color w:val="000000"/>
                <w:szCs w:val="21"/>
                <w:highlight w:val="none"/>
              </w:rPr>
            </w:pPr>
            <w:r>
              <w:rPr>
                <w:rFonts w:hint="eastAsia" w:ascii="宋体" w:hAnsi="宋体" w:cs="宋体"/>
                <w:color w:val="000000"/>
                <w:szCs w:val="21"/>
                <w:highlight w:val="none"/>
              </w:rPr>
              <w:t>■</w:t>
            </w:r>
          </w:p>
        </w:tc>
        <w:tc>
          <w:tcPr>
            <w:tcW w:w="5363" w:type="dxa"/>
            <w:noWrap w:val="0"/>
            <w:vAlign w:val="center"/>
          </w:tcPr>
          <w:p w14:paraId="6D727FC5">
            <w:pPr>
              <w:wordWrap w:val="0"/>
              <w:adjustRightInd w:val="0"/>
              <w:snapToGrid w:val="0"/>
              <w:spacing w:before="0" w:beforeAutospacing="0" w:after="0" w:line="300" w:lineRule="auto"/>
              <w:jc w:val="left"/>
              <w:rPr>
                <w:rFonts w:ascii="宋体" w:hAnsi="宋体" w:cs="宋体"/>
                <w:bCs/>
                <w:color w:val="000000"/>
                <w:szCs w:val="21"/>
                <w:highlight w:val="none"/>
              </w:rPr>
            </w:pPr>
            <w:r>
              <w:rPr>
                <w:rFonts w:hint="eastAsia" w:ascii="宋体" w:hAnsi="宋体" w:cs="宋体"/>
                <w:bCs/>
                <w:color w:val="000000"/>
                <w:szCs w:val="21"/>
                <w:highlight w:val="none"/>
              </w:rPr>
              <w:t>演示项，</w:t>
            </w:r>
            <w:r>
              <w:rPr>
                <w:rFonts w:hint="eastAsia" w:ascii="宋体" w:hAnsi="宋体" w:cs="宋体"/>
                <w:color w:val="000000"/>
                <w:szCs w:val="21"/>
                <w:highlight w:val="none"/>
                <w:lang w:bidi="ar"/>
              </w:rPr>
              <w:t>详见评标办法和标准。</w:t>
            </w:r>
          </w:p>
        </w:tc>
      </w:tr>
      <w:tr w14:paraId="34B4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4" w:type="dxa"/>
            <w:noWrap w:val="0"/>
            <w:vAlign w:val="center"/>
          </w:tcPr>
          <w:p w14:paraId="50E27A4B">
            <w:pPr>
              <w:wordWrap w:val="0"/>
              <w:snapToGrid w:val="0"/>
              <w:spacing w:before="0" w:beforeAutospacing="0" w:after="0" w:line="300" w:lineRule="auto"/>
              <w:jc w:val="center"/>
              <w:rPr>
                <w:rFonts w:hint="eastAsia" w:ascii="宋体" w:hAnsi="宋体" w:cs="宋体"/>
                <w:color w:val="000000"/>
                <w:szCs w:val="21"/>
                <w:highlight w:val="none"/>
              </w:rPr>
            </w:pPr>
            <w:r>
              <w:rPr>
                <w:rFonts w:hint="eastAsia" w:ascii="宋体" w:hAnsi="宋体" w:cs="宋体"/>
                <w:color w:val="000000"/>
                <w:szCs w:val="21"/>
                <w:highlight w:val="none"/>
              </w:rPr>
              <w:t>无标识项</w:t>
            </w:r>
          </w:p>
        </w:tc>
        <w:tc>
          <w:tcPr>
            <w:tcW w:w="1365" w:type="dxa"/>
            <w:noWrap w:val="0"/>
            <w:vAlign w:val="center"/>
          </w:tcPr>
          <w:p w14:paraId="13248A1B">
            <w:pPr>
              <w:wordWrap w:val="0"/>
              <w:adjustRightInd w:val="0"/>
              <w:snapToGrid w:val="0"/>
              <w:spacing w:before="0" w:beforeAutospacing="0" w:after="0" w:line="300" w:lineRule="auto"/>
              <w:jc w:val="center"/>
              <w:rPr>
                <w:rFonts w:hint="eastAsia" w:ascii="宋体" w:hAnsi="宋体" w:cs="宋体"/>
                <w:bCs/>
                <w:color w:val="000000"/>
                <w:szCs w:val="21"/>
                <w:highlight w:val="none"/>
              </w:rPr>
            </w:pPr>
          </w:p>
        </w:tc>
        <w:tc>
          <w:tcPr>
            <w:tcW w:w="5363" w:type="dxa"/>
            <w:noWrap w:val="0"/>
            <w:vAlign w:val="center"/>
          </w:tcPr>
          <w:p w14:paraId="0744D7BA">
            <w:pPr>
              <w:wordWrap w:val="0"/>
              <w:adjustRightInd w:val="0"/>
              <w:snapToGrid w:val="0"/>
              <w:spacing w:before="0" w:beforeAutospacing="0" w:after="0" w:line="300" w:lineRule="auto"/>
              <w:jc w:val="left"/>
              <w:rPr>
                <w:rFonts w:hint="eastAsia" w:ascii="宋体" w:hAnsi="宋体" w:cs="宋体"/>
                <w:bCs/>
                <w:color w:val="000000"/>
                <w:szCs w:val="21"/>
                <w:highlight w:val="none"/>
              </w:rPr>
            </w:pPr>
            <w:r>
              <w:rPr>
                <w:rFonts w:hint="eastAsia" w:ascii="宋体" w:hAnsi="宋体" w:cs="宋体"/>
                <w:bCs/>
                <w:color w:val="000000"/>
                <w:szCs w:val="21"/>
                <w:highlight w:val="none"/>
              </w:rPr>
              <w:t>符合性审查项，该指标项最大允许负偏离（或未响应）</w:t>
            </w:r>
            <w:r>
              <w:rPr>
                <w:rFonts w:ascii="宋体" w:hAnsi="宋体" w:cs="宋体"/>
                <w:bCs/>
                <w:color w:val="000000"/>
                <w:szCs w:val="21"/>
                <w:highlight w:val="none"/>
                <w:u w:val="single"/>
              </w:rPr>
              <w:t>2</w:t>
            </w:r>
            <w:r>
              <w:rPr>
                <w:rFonts w:hint="eastAsia" w:ascii="宋体" w:hAnsi="宋体" w:cs="宋体"/>
                <w:bCs/>
                <w:color w:val="000000"/>
                <w:szCs w:val="21"/>
                <w:highlight w:val="none"/>
              </w:rPr>
              <w:t>项，超过最大允许负偏离（或未响应）项数的，</w:t>
            </w:r>
            <w:r>
              <w:rPr>
                <w:rFonts w:hint="eastAsia" w:ascii="宋体" w:hAnsi="宋体" w:cs="宋体"/>
                <w:b/>
                <w:color w:val="000000"/>
                <w:szCs w:val="21"/>
                <w:highlight w:val="none"/>
              </w:rPr>
              <w:t>投标无效</w:t>
            </w:r>
            <w:r>
              <w:rPr>
                <w:rFonts w:hint="eastAsia" w:ascii="宋体" w:hAnsi="宋体" w:cs="宋体"/>
                <w:bCs/>
                <w:color w:val="000000"/>
                <w:szCs w:val="21"/>
                <w:highlight w:val="none"/>
              </w:rPr>
              <w:t>。</w:t>
            </w:r>
          </w:p>
          <w:p w14:paraId="6B03B408">
            <w:pPr>
              <w:wordWrap w:val="0"/>
              <w:adjustRightInd w:val="0"/>
              <w:snapToGrid w:val="0"/>
              <w:spacing w:before="0" w:beforeAutospacing="0" w:after="0" w:line="300" w:lineRule="auto"/>
              <w:jc w:val="left"/>
              <w:rPr>
                <w:rFonts w:ascii="宋体" w:hAnsi="宋体" w:cs="宋体"/>
                <w:bCs/>
                <w:color w:val="000000"/>
                <w:szCs w:val="21"/>
                <w:highlight w:val="none"/>
              </w:rPr>
            </w:pPr>
            <w:r>
              <w:rPr>
                <w:rFonts w:hint="eastAsia" w:ascii="宋体" w:hAnsi="宋体" w:cs="宋体"/>
                <w:bCs/>
                <w:color w:val="000000"/>
                <w:szCs w:val="21"/>
                <w:highlight w:val="none"/>
              </w:rPr>
              <w:t>注：投标人须在投标文件中提供承诺，如项目验收时发现所提供的产品不满足招标文件要求，投标人承担由此产生的一切后果及责任（</w:t>
            </w:r>
            <w:r>
              <w:rPr>
                <w:rFonts w:hint="eastAsia" w:ascii="宋体" w:hAnsi="宋体" w:cs="宋体"/>
                <w:b/>
                <w:color w:val="000000"/>
                <w:szCs w:val="21"/>
                <w:highlight w:val="none"/>
              </w:rPr>
              <w:t>承诺函格式详见投标文件格式</w:t>
            </w:r>
            <w:r>
              <w:rPr>
                <w:rFonts w:hint="eastAsia" w:ascii="宋体" w:hAnsi="宋体" w:cs="宋体"/>
                <w:bCs/>
                <w:color w:val="000000"/>
                <w:szCs w:val="21"/>
                <w:highlight w:val="none"/>
              </w:rPr>
              <w:t>）。</w:t>
            </w:r>
            <w:r>
              <w:rPr>
                <w:rFonts w:hint="eastAsia" w:ascii="宋体" w:hAnsi="宋体" w:cs="宋体"/>
                <w:b/>
                <w:color w:val="000000"/>
                <w:szCs w:val="21"/>
                <w:highlight w:val="none"/>
              </w:rPr>
              <w:t xml:space="preserve">投标文件中未提供相应承诺或承诺的内容不满足要求的，投标无效。 </w:t>
            </w:r>
          </w:p>
        </w:tc>
      </w:tr>
      <w:tr w14:paraId="6147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5E778163">
            <w:pPr>
              <w:wordWrap w:val="0"/>
              <w:snapToGrid w:val="0"/>
              <w:spacing w:before="0" w:beforeAutospacing="0" w:after="0" w:line="300" w:lineRule="auto"/>
              <w:jc w:val="left"/>
              <w:rPr>
                <w:rFonts w:hint="eastAsia" w:ascii="宋体" w:hAnsi="宋体" w:cs="宋体"/>
                <w:color w:val="000000"/>
                <w:szCs w:val="21"/>
                <w:highlight w:val="none"/>
              </w:rPr>
            </w:pPr>
            <w:r>
              <w:rPr>
                <w:rFonts w:hint="eastAsia" w:ascii="宋体" w:hAnsi="宋体" w:cs="宋体"/>
                <w:color w:val="000000"/>
                <w:szCs w:val="21"/>
                <w:highlight w:val="none"/>
              </w:rPr>
              <w:t>注：</w:t>
            </w:r>
          </w:p>
          <w:p w14:paraId="1E3A1FD4">
            <w:pPr>
              <w:wordWrap w:val="0"/>
              <w:snapToGrid w:val="0"/>
              <w:spacing w:before="0" w:beforeAutospacing="0" w:after="0" w:line="300" w:lineRule="auto"/>
              <w:jc w:val="left"/>
              <w:rPr>
                <w:rFonts w:hint="eastAsia" w:ascii="宋体" w:hAnsi="宋体" w:cs="宋体"/>
                <w:color w:val="000000"/>
                <w:szCs w:val="21"/>
                <w:highlight w:val="none"/>
              </w:rPr>
            </w:pPr>
            <w:r>
              <w:rPr>
                <w:rFonts w:hint="eastAsia" w:ascii="宋体" w:hAnsi="宋体" w:cs="宋体"/>
                <w:color w:val="000000"/>
                <w:szCs w:val="21"/>
                <w:highlight w:val="none"/>
              </w:rPr>
              <w:t>（1）标识条款中如包含多条子项技术参数或要求，则需满足或优于该标识条款内所有子项技术参数或要求方能得分。</w:t>
            </w:r>
          </w:p>
          <w:p w14:paraId="553144AA">
            <w:pPr>
              <w:wordWrap w:val="0"/>
              <w:snapToGrid w:val="0"/>
              <w:spacing w:before="0" w:beforeAutospacing="0" w:after="0" w:line="300" w:lineRule="auto"/>
              <w:jc w:val="left"/>
              <w:rPr>
                <w:rFonts w:ascii="宋体" w:hAnsi="宋体" w:cs="宋体"/>
                <w:color w:val="000000"/>
                <w:kern w:val="0"/>
                <w:szCs w:val="21"/>
                <w:highlight w:val="none"/>
              </w:rPr>
            </w:pPr>
            <w:r>
              <w:rPr>
                <w:rFonts w:hint="eastAsia" w:ascii="宋体" w:hAnsi="宋体" w:cs="宋体"/>
                <w:color w:val="000000"/>
                <w:szCs w:val="21"/>
                <w:highlight w:val="none"/>
              </w:rPr>
              <w:t>（2）</w:t>
            </w:r>
            <w:r>
              <w:rPr>
                <w:rFonts w:hint="eastAsia" w:ascii="宋体" w:hAnsi="宋体" w:cs="宋体"/>
                <w:color w:val="000000"/>
                <w:kern w:val="0"/>
                <w:szCs w:val="21"/>
                <w:highlight w:val="none"/>
              </w:rPr>
              <w:t>下述技术参数所涉及的具体物理尺寸：货物需求清单中明确允许偏离范围的，按货物需求清单</w:t>
            </w:r>
            <w:r>
              <w:rPr>
                <w:rFonts w:hint="eastAsia" w:ascii="宋体" w:hAnsi="宋体" w:cs="宋体"/>
                <w:color w:val="000000"/>
                <w:szCs w:val="21"/>
                <w:highlight w:val="none"/>
              </w:rPr>
              <w:t>要求</w:t>
            </w:r>
            <w:r>
              <w:rPr>
                <w:rFonts w:hint="eastAsia" w:ascii="宋体" w:hAnsi="宋体" w:cs="宋体"/>
                <w:color w:val="000000"/>
                <w:kern w:val="0"/>
                <w:szCs w:val="21"/>
                <w:highlight w:val="none"/>
              </w:rPr>
              <w:t>执行；货物需求清单中未明确允许偏离范围的，允许±5%偏离。</w:t>
            </w:r>
          </w:p>
          <w:p w14:paraId="49ABAB6C">
            <w:pPr>
              <w:wordWrap w:val="0"/>
              <w:adjustRightInd w:val="0"/>
              <w:snapToGrid w:val="0"/>
              <w:spacing w:before="0" w:beforeAutospacing="0" w:after="0" w:line="300" w:lineRule="auto"/>
              <w:jc w:val="left"/>
              <w:rPr>
                <w:rFonts w:hint="eastAsia" w:ascii="宋体" w:hAnsi="宋体" w:cs="宋体"/>
                <w:bCs/>
                <w:color w:val="000000"/>
                <w:szCs w:val="21"/>
                <w:highlight w:val="none"/>
              </w:rPr>
            </w:pPr>
            <w:r>
              <w:rPr>
                <w:rFonts w:hint="eastAsia" w:ascii="宋体" w:hAnsi="宋体" w:cs="宋体"/>
                <w:bCs/>
                <w:color w:val="000000"/>
                <w:szCs w:val="21"/>
                <w:highlight w:val="none"/>
              </w:rPr>
              <w:t>（3）针对下表中标注★的指标项，按下列要求在投标文件中提供证明材料予以佐证：</w:t>
            </w:r>
          </w:p>
          <w:p w14:paraId="5DAD9C95">
            <w:pPr>
              <w:wordWrap w:val="0"/>
              <w:adjustRightInd w:val="0"/>
              <w:snapToGrid w:val="0"/>
              <w:spacing w:before="0" w:beforeAutospacing="0" w:after="0" w:line="300" w:lineRule="auto"/>
              <w:jc w:val="left"/>
              <w:rPr>
                <w:rFonts w:hint="eastAsia" w:ascii="宋体" w:hAnsi="宋体" w:cs="宋体"/>
                <w:bCs/>
                <w:color w:val="000000"/>
                <w:szCs w:val="21"/>
                <w:highlight w:val="none"/>
              </w:rPr>
            </w:pPr>
            <w:r>
              <w:rPr>
                <w:rFonts w:hint="eastAsia" w:ascii="宋体" w:hAnsi="宋体" w:cs="宋体"/>
                <w:bCs/>
                <w:color w:val="000000"/>
                <w:szCs w:val="21"/>
                <w:highlight w:val="none"/>
              </w:rPr>
              <w:t>①货物需求清单中</w:t>
            </w:r>
            <w:r>
              <w:rPr>
                <w:rFonts w:hint="eastAsia" w:ascii="宋体" w:hAnsi="宋体" w:cs="宋体"/>
                <w:b/>
                <w:color w:val="000000"/>
                <w:szCs w:val="21"/>
                <w:highlight w:val="none"/>
              </w:rPr>
              <w:t>明确要求</w:t>
            </w:r>
            <w:r>
              <w:rPr>
                <w:rFonts w:hint="eastAsia" w:ascii="宋体" w:hAnsi="宋体" w:cs="宋体"/>
                <w:bCs/>
                <w:color w:val="000000"/>
                <w:szCs w:val="21"/>
                <w:highlight w:val="none"/>
              </w:rPr>
              <w:t>提供相关材料的，按货物需求清单中的要求提供对应证明材料；</w:t>
            </w:r>
          </w:p>
          <w:p w14:paraId="623C0992">
            <w:pPr>
              <w:wordWrap w:val="0"/>
              <w:snapToGrid w:val="0"/>
              <w:spacing w:before="0" w:beforeAutospacing="0" w:after="0" w:line="300" w:lineRule="auto"/>
              <w:jc w:val="left"/>
              <w:rPr>
                <w:rFonts w:hint="eastAsia" w:ascii="宋体" w:hAnsi="宋体" w:cs="宋体"/>
                <w:color w:val="000000"/>
                <w:szCs w:val="21"/>
                <w:highlight w:val="none"/>
              </w:rPr>
            </w:pPr>
            <w:r>
              <w:rPr>
                <w:rFonts w:hint="eastAsia" w:ascii="宋体" w:hAnsi="宋体" w:cs="宋体"/>
                <w:bCs/>
                <w:color w:val="000000"/>
                <w:szCs w:val="21"/>
                <w:highlight w:val="none"/>
              </w:rPr>
              <w:t>②货物需求清单中</w:t>
            </w:r>
            <w:r>
              <w:rPr>
                <w:rFonts w:hint="eastAsia" w:ascii="宋体" w:hAnsi="宋体" w:cs="宋体"/>
                <w:b/>
                <w:color w:val="000000"/>
                <w:szCs w:val="21"/>
                <w:highlight w:val="none"/>
              </w:rPr>
              <w:t>未明确</w:t>
            </w:r>
            <w:r>
              <w:rPr>
                <w:rFonts w:hint="eastAsia" w:ascii="宋体" w:hAnsi="宋体" w:cs="宋体"/>
                <w:bCs/>
                <w:color w:val="000000"/>
                <w:szCs w:val="21"/>
                <w:highlight w:val="none"/>
              </w:rPr>
              <w:t>要求提供证明料的，投标人须自行提供证明材料，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w:t>
            </w:r>
            <w:r>
              <w:rPr>
                <w:rFonts w:hint="eastAsia" w:ascii="宋体" w:hAnsi="宋体" w:cs="宋体"/>
                <w:color w:val="000000"/>
                <w:szCs w:val="21"/>
                <w:highlight w:val="none"/>
              </w:rPr>
              <w:t>关键参数进行标注）。中标后采购人有权针对上述材料真实性进行核实，若发现与投标文件响应内容不一致的，将上报财政主管部门，由此产生的一切后果，由投标人自行承担。</w:t>
            </w:r>
          </w:p>
          <w:p w14:paraId="4C13B8CB">
            <w:pPr>
              <w:wordWrap w:val="0"/>
              <w:snapToGrid w:val="0"/>
              <w:spacing w:before="0" w:beforeAutospacing="0" w:after="0" w:line="300" w:lineRule="auto"/>
              <w:jc w:val="left"/>
              <w:rPr>
                <w:rFonts w:hint="eastAsia" w:ascii="宋体" w:hAnsi="宋体" w:cs="宋体"/>
                <w:bCs/>
                <w:color w:val="000000"/>
                <w:szCs w:val="21"/>
                <w:highlight w:val="none"/>
              </w:rPr>
            </w:pPr>
            <w:r>
              <w:rPr>
                <w:rFonts w:hint="eastAsia" w:ascii="宋体" w:hAnsi="宋体" w:cs="宋体"/>
                <w:color w:val="000000"/>
                <w:szCs w:val="21"/>
                <w:highlight w:val="none"/>
              </w:rPr>
              <w:t>（4）“所属行业”栏标注为“/”的项为所投产品配套的工程或服务，无需在《中小企业声明函》中列明。</w:t>
            </w:r>
          </w:p>
        </w:tc>
      </w:tr>
    </w:tbl>
    <w:p w14:paraId="59600109">
      <w:pPr>
        <w:pStyle w:val="6"/>
        <w:adjustRightInd w:val="0"/>
        <w:snapToGrid w:val="0"/>
        <w:spacing w:before="0" w:beforeAutospacing="0" w:after="0" w:line="360" w:lineRule="auto"/>
        <w:ind w:left="0" w:firstLine="482"/>
        <w:rPr>
          <w:rFonts w:ascii="宋体" w:hAnsi="宋体" w:eastAsia="宋体" w:cs="宋体"/>
          <w:b/>
          <w:bCs/>
          <w:sz w:val="24"/>
          <w:szCs w:val="24"/>
          <w:highlight w:val="none"/>
        </w:rPr>
      </w:pPr>
      <w:r>
        <w:rPr>
          <w:rFonts w:hint="eastAsia" w:ascii="宋体" w:hAnsi="宋体" w:eastAsia="宋体" w:cs="宋体"/>
          <w:b/>
          <w:bCs/>
          <w:sz w:val="24"/>
          <w:szCs w:val="24"/>
          <w:highlight w:val="none"/>
        </w:rPr>
        <w:t>（二）货物需求清单</w:t>
      </w:r>
    </w:p>
    <w:tbl>
      <w:tblPr>
        <w:tblStyle w:val="7"/>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709"/>
        <w:gridCol w:w="4607"/>
        <w:gridCol w:w="532"/>
        <w:gridCol w:w="571"/>
        <w:gridCol w:w="712"/>
        <w:gridCol w:w="900"/>
      </w:tblGrid>
      <w:tr w14:paraId="7DACC0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18EB42F0">
            <w:pPr>
              <w:snapToGrid w:val="0"/>
              <w:spacing w:before="0" w:beforeAutospacing="0" w:after="0" w:line="300" w:lineRule="auto"/>
              <w:jc w:val="center"/>
              <w:rPr>
                <w:rFonts w:hint="eastAsia" w:ascii="宋体" w:hAnsi="宋体" w:cs="宋体"/>
                <w:b/>
                <w:szCs w:val="21"/>
                <w:highlight w:val="none"/>
              </w:rPr>
            </w:pPr>
            <w:bookmarkStart w:id="17" w:name="_Toc1061105159_WPSOffice_Level2"/>
            <w:bookmarkStart w:id="18" w:name="_Toc1814319857"/>
            <w:bookmarkStart w:id="19" w:name="_Toc1520309192"/>
            <w:bookmarkStart w:id="20" w:name="_Toc49042126"/>
            <w:bookmarkStart w:id="21" w:name="_Toc1101062245"/>
            <w:bookmarkStart w:id="22" w:name="_Toc13384869"/>
            <w:bookmarkStart w:id="23" w:name="_Toc902728931"/>
            <w:bookmarkStart w:id="24" w:name="_Toc1900587714"/>
            <w:r>
              <w:rPr>
                <w:rFonts w:hint="eastAsia" w:ascii="Times New Roman" w:hAnsi="Times New Roman" w:cs="宋体"/>
                <w:b/>
                <w:bCs/>
                <w:highlight w:val="none"/>
                <w:lang w:bidi="ar"/>
              </w:rPr>
              <w:t>序号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26664555">
            <w:pPr>
              <w:widowControl/>
              <w:snapToGrid w:val="0"/>
              <w:spacing w:before="0" w:beforeAutospacing="0" w:after="0" w:line="300" w:lineRule="auto"/>
              <w:jc w:val="center"/>
              <w:rPr>
                <w:rFonts w:hint="eastAsia" w:ascii="宋体" w:hAnsi="宋体" w:cs="宋体"/>
                <w:b/>
                <w:szCs w:val="21"/>
                <w:highlight w:val="none"/>
              </w:rPr>
            </w:pPr>
            <w:r>
              <w:rPr>
                <w:rFonts w:hint="eastAsia" w:ascii="Times New Roman" w:hAnsi="Times New Roman" w:cs="宋体"/>
                <w:b/>
                <w:bCs/>
                <w:highlight w:val="none"/>
                <w:lang w:bidi="ar"/>
              </w:rPr>
              <w:t>货物名称</w:t>
            </w:r>
          </w:p>
        </w:tc>
        <w:tc>
          <w:tcPr>
            <w:tcW w:w="4658" w:type="dxa"/>
            <w:tcBorders>
              <w:top w:val="single" w:color="auto" w:sz="4" w:space="0"/>
              <w:left w:val="single" w:color="auto" w:sz="4" w:space="0"/>
              <w:bottom w:val="single" w:color="auto" w:sz="4" w:space="0"/>
              <w:right w:val="single" w:color="auto" w:sz="4" w:space="0"/>
            </w:tcBorders>
            <w:noWrap w:val="0"/>
            <w:vAlign w:val="center"/>
          </w:tcPr>
          <w:p w14:paraId="3B4951A4">
            <w:pPr>
              <w:widowControl/>
              <w:snapToGrid w:val="0"/>
              <w:spacing w:before="0" w:beforeAutospacing="0" w:after="0" w:line="300" w:lineRule="auto"/>
              <w:jc w:val="center"/>
              <w:rPr>
                <w:rFonts w:hint="eastAsia" w:ascii="宋体" w:hAnsi="宋体" w:cs="宋体"/>
                <w:b/>
                <w:szCs w:val="21"/>
                <w:highlight w:val="none"/>
              </w:rPr>
            </w:pPr>
            <w:r>
              <w:rPr>
                <w:rFonts w:hint="eastAsia" w:ascii="Times New Roman" w:hAnsi="Times New Roman" w:cs="宋体"/>
                <w:b/>
                <w:bCs/>
                <w:highlight w:val="none"/>
                <w:lang w:bidi="ar"/>
              </w:rPr>
              <w:t>技术参数及要求</w:t>
            </w:r>
          </w:p>
        </w:tc>
        <w:tc>
          <w:tcPr>
            <w:tcW w:w="538" w:type="dxa"/>
            <w:tcBorders>
              <w:top w:val="single" w:color="auto" w:sz="4" w:space="0"/>
              <w:left w:val="single" w:color="auto" w:sz="4" w:space="0"/>
              <w:bottom w:val="single" w:color="auto" w:sz="4" w:space="0"/>
              <w:right w:val="single" w:color="auto" w:sz="4" w:space="0"/>
            </w:tcBorders>
            <w:noWrap w:val="0"/>
            <w:vAlign w:val="center"/>
          </w:tcPr>
          <w:p w14:paraId="09283819">
            <w:pPr>
              <w:widowControl/>
              <w:snapToGrid w:val="0"/>
              <w:spacing w:before="0" w:beforeAutospacing="0" w:after="0" w:line="300" w:lineRule="auto"/>
              <w:jc w:val="center"/>
              <w:rPr>
                <w:rFonts w:hint="eastAsia" w:ascii="宋体" w:hAnsi="宋体" w:cs="宋体"/>
                <w:b/>
                <w:szCs w:val="21"/>
                <w:highlight w:val="none"/>
              </w:rPr>
            </w:pPr>
            <w:r>
              <w:rPr>
                <w:rFonts w:hint="eastAsia" w:ascii="Times New Roman" w:hAnsi="Times New Roman" w:cs="宋体"/>
                <w:b/>
                <w:bCs/>
                <w:highlight w:val="none"/>
                <w:lang w:bidi="ar"/>
              </w:rPr>
              <w:t>单位</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16B96319">
            <w:pPr>
              <w:widowControl/>
              <w:snapToGrid w:val="0"/>
              <w:spacing w:before="0" w:beforeAutospacing="0" w:after="0" w:line="300" w:lineRule="auto"/>
              <w:jc w:val="center"/>
              <w:rPr>
                <w:rFonts w:hint="eastAsia" w:ascii="宋体" w:hAnsi="宋体" w:cs="宋体"/>
                <w:b/>
                <w:szCs w:val="21"/>
                <w:highlight w:val="none"/>
              </w:rPr>
            </w:pPr>
            <w:r>
              <w:rPr>
                <w:rFonts w:hint="eastAsia" w:ascii="Times New Roman" w:hAnsi="Times New Roman" w:cs="宋体"/>
                <w:b/>
                <w:bCs/>
                <w:highlight w:val="none"/>
                <w:lang w:bidi="ar"/>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74CE51F">
            <w:pPr>
              <w:widowControl/>
              <w:snapToGrid w:val="0"/>
              <w:spacing w:before="0" w:beforeAutospacing="0" w:after="0" w:line="300" w:lineRule="auto"/>
              <w:jc w:val="center"/>
              <w:rPr>
                <w:rFonts w:hint="eastAsia" w:ascii="宋体" w:hAnsi="宋体" w:cs="宋体"/>
                <w:b/>
                <w:szCs w:val="21"/>
                <w:highlight w:val="none"/>
                <w:lang w:bidi="ar"/>
              </w:rPr>
            </w:pPr>
            <w:r>
              <w:rPr>
                <w:rFonts w:ascii="宋体" w:hAnsi="宋体" w:cs="宋体"/>
                <w:b/>
                <w:bCs/>
                <w:highlight w:val="none"/>
              </w:rPr>
              <w:t>所属行业</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0D2BE9C6">
            <w:pPr>
              <w:adjustRightInd w:val="0"/>
              <w:snapToGrid w:val="0"/>
              <w:spacing w:before="0" w:beforeAutospacing="0" w:after="0" w:line="300" w:lineRule="auto"/>
              <w:jc w:val="center"/>
              <w:rPr>
                <w:rFonts w:hint="eastAsia" w:ascii="宋体" w:hAnsi="宋体" w:cs="宋体"/>
                <w:b/>
                <w:szCs w:val="21"/>
                <w:highlight w:val="none"/>
                <w:lang w:bidi="ar"/>
              </w:rPr>
            </w:pPr>
            <w:r>
              <w:rPr>
                <w:rFonts w:hint="eastAsia" w:ascii="宋体" w:hAnsi="宋体" w:eastAsia="Times New Roman"/>
                <w:b/>
                <w:bCs/>
                <w:highlight w:val="none"/>
              </w:rPr>
              <w:t>备注（进口或强制节能）</w:t>
            </w:r>
          </w:p>
        </w:tc>
      </w:tr>
      <w:tr w14:paraId="39CE83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93" w:type="dxa"/>
            <w:vMerge w:val="restart"/>
            <w:tcBorders>
              <w:top w:val="single" w:color="auto" w:sz="4" w:space="0"/>
              <w:left w:val="single" w:color="auto" w:sz="4" w:space="0"/>
              <w:right w:val="single" w:color="auto" w:sz="4" w:space="0"/>
            </w:tcBorders>
            <w:noWrap w:val="0"/>
            <w:vAlign w:val="center"/>
          </w:tcPr>
          <w:p w14:paraId="43B91361">
            <w:pPr>
              <w:snapToGrid w:val="0"/>
              <w:spacing w:before="0" w:beforeAutospacing="0" w:after="0" w:line="300" w:lineRule="auto"/>
              <w:jc w:val="center"/>
              <w:rPr>
                <w:rFonts w:hint="eastAsia" w:ascii="宋体" w:hAnsi="宋体" w:cs="宋体"/>
                <w:b/>
                <w:bCs/>
                <w:szCs w:val="21"/>
                <w:highlight w:val="none"/>
                <w:lang w:bidi="ar"/>
              </w:rPr>
            </w:pPr>
            <w:r>
              <w:rPr>
                <w:rFonts w:hint="eastAsia" w:ascii="宋体" w:hAnsi="宋体" w:cs="宋体"/>
                <w:b/>
                <w:bCs/>
                <w:szCs w:val="21"/>
                <w:highlight w:val="none"/>
                <w:lang w:bidi="ar"/>
              </w:rPr>
              <w:t>1</w:t>
            </w:r>
          </w:p>
        </w:tc>
        <w:tc>
          <w:tcPr>
            <w:tcW w:w="717" w:type="dxa"/>
            <w:vMerge w:val="restart"/>
            <w:tcBorders>
              <w:top w:val="single" w:color="auto" w:sz="4" w:space="0"/>
              <w:left w:val="single" w:color="auto" w:sz="4" w:space="0"/>
              <w:right w:val="single" w:color="auto" w:sz="4" w:space="0"/>
            </w:tcBorders>
            <w:noWrap w:val="0"/>
            <w:vAlign w:val="center"/>
          </w:tcPr>
          <w:p w14:paraId="0285912D">
            <w:pPr>
              <w:snapToGrid w:val="0"/>
              <w:spacing w:before="0" w:beforeAutospacing="0" w:after="0" w:line="300" w:lineRule="auto"/>
              <w:jc w:val="center"/>
              <w:rPr>
                <w:rFonts w:hint="eastAsia" w:ascii="宋体" w:hAnsi="宋体" w:cs="宋体"/>
                <w:b/>
                <w:color w:val="000000"/>
                <w:szCs w:val="21"/>
                <w:highlight w:val="none"/>
              </w:rPr>
            </w:pPr>
            <w:r>
              <w:rPr>
                <w:rFonts w:hint="eastAsia" w:ascii="宋体" w:hAnsi="宋体" w:cs="宋体"/>
                <w:b/>
                <w:color w:val="000000"/>
                <w:szCs w:val="21"/>
                <w:highlight w:val="none"/>
              </w:rPr>
              <w:t>可</w:t>
            </w:r>
          </w:p>
          <w:p w14:paraId="0A7C5B04">
            <w:pPr>
              <w:snapToGrid w:val="0"/>
              <w:spacing w:before="0" w:beforeAutospacing="0" w:after="0" w:line="300" w:lineRule="auto"/>
              <w:jc w:val="center"/>
              <w:rPr>
                <w:rFonts w:hint="eastAsia" w:ascii="宋体" w:hAnsi="宋体" w:cs="宋体"/>
                <w:b/>
                <w:color w:val="000000"/>
                <w:szCs w:val="21"/>
                <w:highlight w:val="none"/>
              </w:rPr>
            </w:pPr>
            <w:r>
              <w:rPr>
                <w:rFonts w:hint="eastAsia" w:ascii="宋体" w:hAnsi="宋体" w:cs="宋体"/>
                <w:b/>
                <w:color w:val="000000"/>
                <w:szCs w:val="21"/>
                <w:highlight w:val="none"/>
              </w:rPr>
              <w:t>编</w:t>
            </w:r>
          </w:p>
          <w:p w14:paraId="295E1BC8">
            <w:pPr>
              <w:snapToGrid w:val="0"/>
              <w:spacing w:before="0" w:beforeAutospacing="0" w:after="0" w:line="300" w:lineRule="auto"/>
              <w:jc w:val="center"/>
              <w:rPr>
                <w:rFonts w:hint="eastAsia" w:ascii="宋体" w:hAnsi="宋体" w:cs="宋体"/>
                <w:b/>
                <w:color w:val="000000"/>
                <w:szCs w:val="21"/>
                <w:highlight w:val="none"/>
              </w:rPr>
            </w:pPr>
            <w:r>
              <w:rPr>
                <w:rFonts w:hint="eastAsia" w:ascii="宋体" w:hAnsi="宋体" w:cs="宋体"/>
                <w:b/>
                <w:color w:val="000000"/>
                <w:szCs w:val="21"/>
                <w:highlight w:val="none"/>
              </w:rPr>
              <w:t>程</w:t>
            </w:r>
          </w:p>
          <w:p w14:paraId="70902BE6">
            <w:pPr>
              <w:snapToGrid w:val="0"/>
              <w:spacing w:before="0" w:beforeAutospacing="0" w:after="0" w:line="300" w:lineRule="auto"/>
              <w:jc w:val="center"/>
              <w:rPr>
                <w:rFonts w:hint="eastAsia" w:ascii="宋体" w:hAnsi="宋体" w:cs="宋体"/>
                <w:b/>
                <w:color w:val="000000"/>
                <w:szCs w:val="21"/>
                <w:highlight w:val="none"/>
              </w:rPr>
            </w:pPr>
            <w:r>
              <w:rPr>
                <w:rFonts w:hint="eastAsia" w:ascii="宋体" w:hAnsi="宋体" w:cs="宋体"/>
                <w:b/>
                <w:color w:val="000000"/>
                <w:szCs w:val="21"/>
                <w:highlight w:val="none"/>
              </w:rPr>
              <w:t>混</w:t>
            </w:r>
          </w:p>
          <w:p w14:paraId="7CC14452">
            <w:pPr>
              <w:snapToGrid w:val="0"/>
              <w:spacing w:before="0" w:beforeAutospacing="0" w:after="0" w:line="300" w:lineRule="auto"/>
              <w:jc w:val="center"/>
              <w:rPr>
                <w:rFonts w:hint="eastAsia" w:ascii="宋体" w:hAnsi="宋体" w:cs="宋体"/>
                <w:b/>
                <w:color w:val="000000"/>
                <w:szCs w:val="21"/>
                <w:highlight w:val="none"/>
              </w:rPr>
            </w:pPr>
            <w:r>
              <w:rPr>
                <w:rFonts w:hint="eastAsia" w:ascii="宋体" w:hAnsi="宋体" w:cs="宋体"/>
                <w:b/>
                <w:color w:val="000000"/>
                <w:szCs w:val="21"/>
                <w:highlight w:val="none"/>
              </w:rPr>
              <w:t>合</w:t>
            </w:r>
          </w:p>
          <w:p w14:paraId="58EAB3C3">
            <w:pPr>
              <w:snapToGrid w:val="0"/>
              <w:spacing w:before="0" w:beforeAutospacing="0" w:after="0" w:line="300" w:lineRule="auto"/>
              <w:jc w:val="center"/>
              <w:rPr>
                <w:rFonts w:hint="eastAsia" w:ascii="宋体" w:hAnsi="宋体" w:cs="宋体"/>
                <w:b/>
                <w:color w:val="000000"/>
                <w:szCs w:val="21"/>
                <w:highlight w:val="none"/>
              </w:rPr>
            </w:pPr>
            <w:r>
              <w:rPr>
                <w:rFonts w:hint="eastAsia" w:ascii="宋体" w:hAnsi="宋体" w:cs="宋体"/>
                <w:b/>
                <w:color w:val="000000"/>
                <w:szCs w:val="21"/>
                <w:highlight w:val="none"/>
              </w:rPr>
              <w:t>现</w:t>
            </w:r>
          </w:p>
          <w:p w14:paraId="73CF205B">
            <w:pPr>
              <w:snapToGrid w:val="0"/>
              <w:spacing w:before="0" w:beforeAutospacing="0" w:after="0" w:line="300" w:lineRule="auto"/>
              <w:jc w:val="center"/>
              <w:rPr>
                <w:rFonts w:hint="eastAsia" w:ascii="宋体" w:hAnsi="宋体" w:cs="宋体"/>
                <w:b/>
                <w:color w:val="000000"/>
                <w:szCs w:val="21"/>
                <w:highlight w:val="none"/>
              </w:rPr>
            </w:pPr>
            <w:r>
              <w:rPr>
                <w:rFonts w:hint="eastAsia" w:ascii="宋体" w:hAnsi="宋体" w:cs="宋体"/>
                <w:b/>
                <w:color w:val="000000"/>
                <w:szCs w:val="21"/>
                <w:highlight w:val="none"/>
              </w:rPr>
              <w:t>实（MR）</w:t>
            </w:r>
          </w:p>
          <w:p w14:paraId="22D0D387">
            <w:pPr>
              <w:snapToGrid w:val="0"/>
              <w:spacing w:before="0" w:beforeAutospacing="0" w:after="0" w:line="300" w:lineRule="auto"/>
              <w:jc w:val="center"/>
              <w:rPr>
                <w:rFonts w:hint="eastAsia" w:ascii="宋体" w:hAnsi="宋体" w:cs="宋体"/>
                <w:b/>
                <w:color w:val="000000"/>
                <w:szCs w:val="21"/>
                <w:highlight w:val="none"/>
              </w:rPr>
            </w:pPr>
            <w:r>
              <w:rPr>
                <w:rFonts w:hint="eastAsia" w:ascii="宋体" w:hAnsi="宋体" w:cs="宋体"/>
                <w:b/>
                <w:color w:val="000000"/>
                <w:szCs w:val="21"/>
                <w:highlight w:val="none"/>
              </w:rPr>
              <w:t>系</w:t>
            </w:r>
          </w:p>
          <w:p w14:paraId="7CCDCBBD">
            <w:pPr>
              <w:snapToGrid w:val="0"/>
              <w:spacing w:before="0" w:beforeAutospacing="0" w:after="0" w:line="300" w:lineRule="auto"/>
              <w:jc w:val="center"/>
              <w:rPr>
                <w:rFonts w:hint="eastAsia" w:ascii="宋体" w:hAnsi="宋体" w:cs="宋体"/>
                <w:b/>
                <w:color w:val="000000"/>
                <w:szCs w:val="21"/>
                <w:highlight w:val="none"/>
              </w:rPr>
            </w:pPr>
            <w:r>
              <w:rPr>
                <w:rFonts w:hint="eastAsia" w:ascii="宋体" w:hAnsi="宋体" w:cs="宋体"/>
                <w:b/>
                <w:color w:val="000000"/>
                <w:szCs w:val="21"/>
                <w:highlight w:val="none"/>
              </w:rPr>
              <w:t>统</w:t>
            </w:r>
          </w:p>
          <w:p w14:paraId="636842CE">
            <w:pPr>
              <w:snapToGrid w:val="0"/>
              <w:spacing w:before="0" w:beforeAutospacing="0" w:after="0" w:line="300" w:lineRule="auto"/>
              <w:jc w:val="center"/>
              <w:rPr>
                <w:rFonts w:hint="eastAsia" w:ascii="宋体" w:hAnsi="宋体" w:cs="宋体"/>
                <w:b/>
                <w:color w:val="000000"/>
                <w:szCs w:val="21"/>
                <w:highlight w:val="none"/>
              </w:rPr>
            </w:pPr>
            <w:r>
              <w:rPr>
                <w:rFonts w:hint="eastAsia" w:ascii="宋体" w:hAnsi="宋体" w:cs="宋体"/>
                <w:b/>
                <w:color w:val="000000"/>
                <w:szCs w:val="21"/>
                <w:highlight w:val="none"/>
              </w:rPr>
              <w:t>——硬</w:t>
            </w:r>
          </w:p>
          <w:p w14:paraId="38844893">
            <w:pPr>
              <w:snapToGrid w:val="0"/>
              <w:spacing w:before="0" w:beforeAutospacing="0" w:after="0" w:line="300" w:lineRule="auto"/>
              <w:jc w:val="center"/>
              <w:rPr>
                <w:rFonts w:hint="eastAsia" w:ascii="宋体" w:hAnsi="宋体" w:cs="宋体"/>
                <w:b/>
                <w:color w:val="000000"/>
                <w:szCs w:val="21"/>
                <w:highlight w:val="none"/>
              </w:rPr>
            </w:pPr>
            <w:r>
              <w:rPr>
                <w:rFonts w:hint="eastAsia" w:ascii="宋体" w:hAnsi="宋体" w:cs="宋体"/>
                <w:b/>
                <w:color w:val="000000"/>
                <w:szCs w:val="21"/>
                <w:highlight w:val="none"/>
              </w:rPr>
              <w:t>件</w:t>
            </w:r>
          </w:p>
          <w:p w14:paraId="3C31B6FA">
            <w:pPr>
              <w:snapToGrid w:val="0"/>
              <w:spacing w:before="0" w:beforeAutospacing="0" w:after="0" w:line="300" w:lineRule="auto"/>
              <w:jc w:val="center"/>
              <w:rPr>
                <w:rFonts w:hint="eastAsia" w:ascii="宋体" w:hAnsi="宋体" w:cs="宋体"/>
                <w:b/>
                <w:color w:val="000000"/>
                <w:szCs w:val="21"/>
                <w:highlight w:val="none"/>
              </w:rPr>
            </w:pPr>
            <w:r>
              <w:rPr>
                <w:rFonts w:hint="eastAsia" w:ascii="宋体" w:hAnsi="宋体" w:cs="宋体"/>
                <w:b/>
                <w:color w:val="000000"/>
                <w:szCs w:val="21"/>
                <w:highlight w:val="none"/>
              </w:rPr>
              <w:t>平</w:t>
            </w:r>
          </w:p>
          <w:p w14:paraId="03303EAD">
            <w:pPr>
              <w:snapToGrid w:val="0"/>
              <w:spacing w:before="0" w:beforeAutospacing="0" w:after="0" w:line="300" w:lineRule="auto"/>
              <w:jc w:val="center"/>
              <w:rPr>
                <w:rFonts w:hint="eastAsia" w:ascii="宋体" w:hAnsi="宋体" w:cs="宋体"/>
                <w:b/>
                <w:color w:val="000000"/>
                <w:szCs w:val="21"/>
                <w:highlight w:val="none"/>
              </w:rPr>
            </w:pPr>
            <w:r>
              <w:rPr>
                <w:rFonts w:hint="eastAsia" w:ascii="宋体" w:hAnsi="宋体" w:cs="宋体"/>
                <w:b/>
                <w:color w:val="000000"/>
                <w:szCs w:val="21"/>
                <w:highlight w:val="none"/>
              </w:rPr>
              <w:t>台</w:t>
            </w:r>
          </w:p>
        </w:tc>
        <w:tc>
          <w:tcPr>
            <w:tcW w:w="4658" w:type="dxa"/>
            <w:tcBorders>
              <w:top w:val="single" w:color="auto" w:sz="4" w:space="0"/>
              <w:left w:val="single" w:color="auto" w:sz="4" w:space="0"/>
              <w:bottom w:val="single" w:color="auto" w:sz="4" w:space="0"/>
              <w:right w:val="single" w:color="auto" w:sz="4" w:space="0"/>
            </w:tcBorders>
            <w:noWrap w:val="0"/>
            <w:vAlign w:val="center"/>
          </w:tcPr>
          <w:p w14:paraId="7A03654C">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▲设备一：伺服器（高性能工作站）</w:t>
            </w:r>
          </w:p>
          <w:p w14:paraId="1286EB4B">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用于部署伺服器端软件和观摩端软件，并承载数据处理、核心计算、同步服务、观摩展示与辅助控制，基本参数和功能要求如下：</w:t>
            </w:r>
          </w:p>
          <w:p w14:paraId="4D26652A">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（一）设备参数：</w:t>
            </w:r>
          </w:p>
          <w:p w14:paraId="7FA910DA">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★1、处理器：高性能工作站处理器≥1颗，至少满足以下主要参数：</w:t>
            </w:r>
          </w:p>
          <w:p w14:paraId="7A1349A9">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（1）物理核数≥32，线程数≥64；</w:t>
            </w:r>
          </w:p>
          <w:p w14:paraId="2AE7F057">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（2）基础频率≥4.0 GHz；</w:t>
            </w:r>
          </w:p>
          <w:p w14:paraId="32B5FDBA">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（3）最大睿频≥5.4 GHz；</w:t>
            </w:r>
          </w:p>
          <w:p w14:paraId="1702D76E">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（4）L3缓存≥128 MB；</w:t>
            </w:r>
          </w:p>
          <w:p w14:paraId="6A325590">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（5）内存支持≥8通道DDR5-6400 (ECC)，最大容量支持≥2 TB ECC；</w:t>
            </w:r>
          </w:p>
          <w:p w14:paraId="76B2C3FE">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（6）支持AVX-512和FMA3等指令集。</w:t>
            </w:r>
          </w:p>
          <w:p w14:paraId="4EDEE450">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★2、设备内存：可用容量≥512GB，DDR5 6400MHz ECC；</w:t>
            </w:r>
          </w:p>
          <w:p w14:paraId="6B115D73">
            <w:pPr>
              <w:snapToGrid w:val="0"/>
              <w:spacing w:before="0" w:beforeAutospacing="0" w:after="0" w:line="300" w:lineRule="auto"/>
              <w:rPr>
                <w:rFonts w:hint="eastAsia" w:ascii="宋体" w:hAnsi="宋体" w:cs="宋体"/>
                <w:b/>
                <w:szCs w:val="21"/>
                <w:highlight w:val="none"/>
              </w:rPr>
            </w:pPr>
            <w:r>
              <w:rPr>
                <w:rFonts w:hint="eastAsia" w:ascii="宋体" w:hAnsi="宋体" w:cs="宋体"/>
                <w:szCs w:val="21"/>
                <w:highlight w:val="none"/>
              </w:rPr>
              <w:t>3、设备存储：企业级SSD (M.2)≥2TB+企业级HDD (7200RPM)≥16TB；</w:t>
            </w:r>
          </w:p>
          <w:p w14:paraId="41CF0988">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★4、显卡：高性能工作站显卡≥2张，单卡满足以下主要参数：</w:t>
            </w:r>
          </w:p>
          <w:p w14:paraId="69A5F32B">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 xml:space="preserve">（1）显存：可用容量≥96 GB GDDR7 ECC，位宽≥512-bit，带宽≥1792 GB/s； </w:t>
            </w:r>
          </w:p>
          <w:p w14:paraId="768F5F3B">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（2）计算性能：单精度算力（FP32）≥110 TFLOPS，光追性能≥333 TFLOPS；</w:t>
            </w:r>
          </w:p>
          <w:p w14:paraId="1BDD2C02">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（3）单卡功耗：TDP ≤300W；</w:t>
            </w:r>
          </w:p>
          <w:p w14:paraId="36E460BE">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★5、网卡</w:t>
            </w:r>
            <w:r>
              <w:rPr>
                <w:rFonts w:hint="eastAsia" w:ascii="宋体" w:hAnsi="宋体" w:cs="宋体"/>
                <w:b/>
                <w:szCs w:val="21"/>
                <w:highlight w:val="none"/>
              </w:rPr>
              <w:t>：</w:t>
            </w:r>
            <w:r>
              <w:rPr>
                <w:rFonts w:hint="eastAsia" w:ascii="宋体" w:hAnsi="宋体" w:cs="宋体"/>
                <w:szCs w:val="21"/>
                <w:highlight w:val="none"/>
              </w:rPr>
              <w:t>有线网卡+无线网卡，有线网卡速率≥10GbE，双电口，无线网卡支持Wi-Fi 6E和蓝牙5.2；</w:t>
            </w:r>
          </w:p>
          <w:p w14:paraId="44344096">
            <w:pPr>
              <w:snapToGrid w:val="0"/>
              <w:spacing w:before="0" w:beforeAutospacing="0" w:after="0" w:line="300" w:lineRule="auto"/>
              <w:ind w:firstLine="210" w:firstLineChars="100"/>
              <w:rPr>
                <w:rFonts w:hint="eastAsia" w:ascii="宋体" w:hAnsi="宋体" w:cs="宋体"/>
                <w:szCs w:val="21"/>
                <w:highlight w:val="none"/>
              </w:rPr>
            </w:pPr>
            <w:r>
              <w:rPr>
                <w:rFonts w:hint="eastAsia" w:ascii="宋体" w:hAnsi="宋体" w:cs="宋体"/>
                <w:szCs w:val="21"/>
                <w:highlight w:val="none"/>
              </w:rPr>
              <w:t>6、整机电源：≥1700 W；</w:t>
            </w:r>
          </w:p>
          <w:p w14:paraId="2AD0EF96">
            <w:pPr>
              <w:snapToGri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（二）基本功能：</w:t>
            </w:r>
            <w:r>
              <w:rPr>
                <w:rFonts w:hint="eastAsia" w:ascii="宋体" w:hAnsi="宋体" w:cs="宋体"/>
                <w:szCs w:val="21"/>
                <w:highlight w:val="none"/>
              </w:rPr>
              <w:t>满足伺服器端软件和观摩端软件稳定运行要求；</w:t>
            </w:r>
          </w:p>
          <w:p w14:paraId="644650CF">
            <w:pPr>
              <w:snapToGri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（三）数据吞吐性能：</w:t>
            </w:r>
            <w:r>
              <w:rPr>
                <w:rFonts w:hint="eastAsia" w:ascii="宋体" w:hAnsi="宋体" w:cs="宋体"/>
                <w:szCs w:val="21"/>
                <w:highlight w:val="none"/>
              </w:rPr>
              <w:t>满足深部资源勘探中三维超大规模（≥10 亿级网格点）地质体模型、地震数据及各类扩展数据的实时高速加载与预处理、实时全三维可视化、流畅协同服务及稳定观摩展示等性能要求。</w:t>
            </w:r>
          </w:p>
        </w:tc>
        <w:tc>
          <w:tcPr>
            <w:tcW w:w="538" w:type="dxa"/>
            <w:tcBorders>
              <w:top w:val="single" w:color="auto" w:sz="4" w:space="0"/>
              <w:left w:val="single" w:color="auto" w:sz="4" w:space="0"/>
              <w:bottom w:val="single" w:color="auto" w:sz="4" w:space="0"/>
              <w:right w:val="single" w:color="auto" w:sz="4" w:space="0"/>
            </w:tcBorders>
            <w:noWrap w:val="0"/>
            <w:vAlign w:val="center"/>
          </w:tcPr>
          <w:p w14:paraId="781E93CB">
            <w:pPr>
              <w:snapToGrid w:val="0"/>
              <w:spacing w:before="0" w:beforeAutospacing="0" w:after="0" w:line="30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套</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03E6C535">
            <w:pPr>
              <w:snapToGrid w:val="0"/>
              <w:spacing w:before="0" w:beforeAutospacing="0" w:after="0" w:line="300" w:lineRule="auto"/>
              <w:jc w:val="center"/>
              <w:rPr>
                <w:rFonts w:hint="eastAsia" w:ascii="宋体" w:hAnsi="宋体" w:cs="宋体"/>
                <w:color w:val="000000"/>
                <w:szCs w:val="21"/>
                <w:highlight w:val="none"/>
              </w:rPr>
            </w:pPr>
            <w:r>
              <w:rPr>
                <w:rFonts w:hint="eastAsia" w:ascii="宋体" w:hAnsi="宋体" w:cs="宋体"/>
                <w:szCs w:val="21"/>
                <w:highlight w:val="none"/>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5629EFB">
            <w:pPr>
              <w:autoSpaceDE w:val="0"/>
              <w:autoSpaceDN w:val="0"/>
              <w:adjustRightInd w:val="0"/>
              <w:spacing w:before="0" w:beforeAutospacing="0" w:after="0" w:line="300" w:lineRule="auto"/>
              <w:jc w:val="center"/>
              <w:rPr>
                <w:rFonts w:ascii="宋体" w:hAnsi="宋体" w:cs="宋体"/>
                <w:szCs w:val="21"/>
                <w:highlight w:val="none"/>
                <w:lang w:bidi="ar"/>
              </w:rPr>
            </w:pPr>
            <w:r>
              <w:rPr>
                <w:rFonts w:hint="eastAsia" w:ascii="宋体" w:hAnsi="宋体" w:cs="宋体"/>
                <w:szCs w:val="21"/>
                <w:highlight w:val="none"/>
                <w:lang w:bidi="ar"/>
              </w:rPr>
              <w:t>工业</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D732BA5">
            <w:pPr>
              <w:autoSpaceDE w:val="0"/>
              <w:autoSpaceDN w:val="0"/>
              <w:adjustRightInd w:val="0"/>
              <w:spacing w:before="0" w:beforeAutospacing="0" w:after="0" w:line="300" w:lineRule="auto"/>
              <w:jc w:val="center"/>
              <w:rPr>
                <w:rFonts w:hint="eastAsia" w:ascii="宋体" w:hAnsi="宋体" w:cs="宋体"/>
                <w:szCs w:val="21"/>
                <w:highlight w:val="none"/>
                <w:lang w:bidi="ar"/>
              </w:rPr>
            </w:pPr>
            <w:r>
              <w:rPr>
                <w:rFonts w:hint="eastAsia" w:ascii="宋体" w:hAnsi="宋体" w:cs="宋体"/>
                <w:szCs w:val="21"/>
                <w:highlight w:val="none"/>
                <w:lang w:bidi="ar"/>
              </w:rPr>
              <w:t>否</w:t>
            </w:r>
          </w:p>
        </w:tc>
      </w:tr>
      <w:tr w14:paraId="7D12F6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93" w:type="dxa"/>
            <w:vMerge w:val="continue"/>
            <w:tcBorders>
              <w:left w:val="single" w:color="auto" w:sz="4" w:space="0"/>
              <w:right w:val="single" w:color="auto" w:sz="4" w:space="0"/>
            </w:tcBorders>
            <w:noWrap w:val="0"/>
            <w:vAlign w:val="center"/>
          </w:tcPr>
          <w:p w14:paraId="5FF30717">
            <w:pPr>
              <w:snapToGrid w:val="0"/>
              <w:spacing w:before="0" w:beforeAutospacing="0" w:after="0" w:line="300" w:lineRule="auto"/>
              <w:jc w:val="center"/>
              <w:rPr>
                <w:rFonts w:hint="eastAsia" w:ascii="宋体" w:hAnsi="宋体" w:cs="宋体"/>
                <w:b/>
                <w:bCs/>
                <w:szCs w:val="21"/>
                <w:highlight w:val="none"/>
                <w:lang w:bidi="ar"/>
              </w:rPr>
            </w:pPr>
          </w:p>
        </w:tc>
        <w:tc>
          <w:tcPr>
            <w:tcW w:w="717" w:type="dxa"/>
            <w:vMerge w:val="continue"/>
            <w:tcBorders>
              <w:left w:val="single" w:color="auto" w:sz="4" w:space="0"/>
              <w:right w:val="single" w:color="auto" w:sz="4" w:space="0"/>
            </w:tcBorders>
            <w:noWrap w:val="0"/>
            <w:vAlign w:val="center"/>
          </w:tcPr>
          <w:p w14:paraId="5185F4AC">
            <w:pPr>
              <w:snapToGrid w:val="0"/>
              <w:spacing w:before="0" w:beforeAutospacing="0" w:after="0" w:line="300" w:lineRule="auto"/>
              <w:rPr>
                <w:rFonts w:hint="eastAsia" w:ascii="宋体" w:hAnsi="宋体" w:cs="宋体"/>
                <w:b/>
                <w:bCs/>
                <w:szCs w:val="21"/>
                <w:highlight w:val="none"/>
                <w:lang w:bidi="ar"/>
              </w:rPr>
            </w:pPr>
          </w:p>
        </w:tc>
        <w:tc>
          <w:tcPr>
            <w:tcW w:w="4658" w:type="dxa"/>
            <w:tcBorders>
              <w:top w:val="single" w:color="auto" w:sz="4" w:space="0"/>
              <w:left w:val="single" w:color="auto" w:sz="4" w:space="0"/>
              <w:bottom w:val="single" w:color="auto" w:sz="4" w:space="0"/>
              <w:right w:val="single" w:color="auto" w:sz="4" w:space="0"/>
            </w:tcBorders>
            <w:noWrap w:val="0"/>
            <w:vAlign w:val="center"/>
          </w:tcPr>
          <w:p w14:paraId="7885C986">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设备二、视频输出眼镜（MR协同分析头显）</w:t>
            </w:r>
          </w:p>
          <w:p w14:paraId="2CA33A8D">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 xml:space="preserve">与“深部资源勘探大数据MR协同分析平台”完全兼容，基本参数和功能要求如下： </w:t>
            </w:r>
          </w:p>
          <w:p w14:paraId="610EB7B9">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（一）XR设备专用处理器；</w:t>
            </w:r>
          </w:p>
          <w:p w14:paraId="6044A3DC">
            <w:pPr>
              <w:snapToGrid w:val="0"/>
              <w:spacing w:before="0" w:beforeAutospacing="0" w:after="0" w:line="300" w:lineRule="auto"/>
              <w:rPr>
                <w:rFonts w:hint="eastAsia" w:ascii="宋体" w:hAnsi="宋体" w:cs="宋体"/>
                <w:bCs/>
                <w:szCs w:val="21"/>
                <w:highlight w:val="none"/>
              </w:rPr>
            </w:pPr>
            <w:r>
              <w:rPr>
                <w:rFonts w:hint="eastAsia" w:ascii="宋体" w:hAnsi="宋体" w:cs="宋体"/>
                <w:bCs/>
                <w:szCs w:val="21"/>
                <w:highlight w:val="none"/>
              </w:rPr>
              <w:t>★1、采用≤4nm制程工艺；采用三级架构（超大核+大核+小核），最高主频≥3.1GHz；</w:t>
            </w:r>
          </w:p>
          <w:p w14:paraId="68C6776D">
            <w:pPr>
              <w:snapToGrid w:val="0"/>
              <w:spacing w:before="0" w:beforeAutospacing="0" w:after="0" w:line="300" w:lineRule="auto"/>
              <w:rPr>
                <w:rFonts w:hint="eastAsia" w:ascii="宋体" w:hAnsi="宋体" w:cs="宋体"/>
                <w:bCs/>
                <w:szCs w:val="21"/>
                <w:highlight w:val="none"/>
              </w:rPr>
            </w:pPr>
            <w:r>
              <w:rPr>
                <w:rFonts w:hint="eastAsia" w:ascii="宋体" w:hAnsi="宋体" w:cs="宋体"/>
                <w:bCs/>
                <w:szCs w:val="21"/>
                <w:highlight w:val="none"/>
              </w:rPr>
              <w:t>2、GPU支持硬件光线追踪；</w:t>
            </w:r>
          </w:p>
          <w:p w14:paraId="122292E9">
            <w:pPr>
              <w:snapToGrid w:val="0"/>
              <w:spacing w:before="0" w:beforeAutospacing="0" w:after="0" w:line="300" w:lineRule="auto"/>
              <w:rPr>
                <w:rFonts w:hint="eastAsia" w:ascii="宋体" w:hAnsi="宋体" w:cs="宋体"/>
                <w:bCs/>
                <w:szCs w:val="21"/>
                <w:highlight w:val="none"/>
              </w:rPr>
            </w:pPr>
            <w:r>
              <w:rPr>
                <w:rFonts w:hint="eastAsia" w:ascii="宋体" w:hAnsi="宋体" w:cs="宋体"/>
                <w:bCs/>
                <w:szCs w:val="21"/>
                <w:highlight w:val="none"/>
              </w:rPr>
              <w:t>3、NPU算力（INT8）≥15 TOPS；</w:t>
            </w:r>
          </w:p>
          <w:p w14:paraId="03F2DAB4">
            <w:pPr>
              <w:snapToGrid w:val="0"/>
              <w:spacing w:before="0" w:beforeAutospacing="0" w:after="0" w:line="300" w:lineRule="auto"/>
              <w:rPr>
                <w:rFonts w:hint="eastAsia" w:ascii="宋体" w:hAnsi="宋体" w:cs="宋体"/>
                <w:bCs/>
                <w:szCs w:val="21"/>
                <w:highlight w:val="none"/>
              </w:rPr>
            </w:pPr>
            <w:r>
              <w:rPr>
                <w:rFonts w:hint="eastAsia" w:ascii="宋体" w:hAnsi="宋体" w:cs="宋体"/>
                <w:bCs/>
                <w:szCs w:val="21"/>
                <w:highlight w:val="none"/>
              </w:rPr>
              <w:t>4、内存接口支持LPDDR5X，带宽≥4800Mbps；</w:t>
            </w:r>
          </w:p>
          <w:p w14:paraId="51799926">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5、存储接口支持≥UFS 3.1；</w:t>
            </w:r>
          </w:p>
          <w:p w14:paraId="04A86D98">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6、图像处理器支持≥10路并发摄像头输入；</w:t>
            </w:r>
          </w:p>
          <w:p w14:paraId="2B6903A5">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7、显示驱动能力的要求为单眼分辨率≥3000×3000，刷新率≥90Hz；</w:t>
            </w:r>
          </w:p>
          <w:p w14:paraId="5E19EAFF">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8、视频透视处理延迟满足≤12ms；</w:t>
            </w:r>
          </w:p>
          <w:p w14:paraId="11521E6A">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9、无线支持集成Wi-Fi 6E/Wi-Fi 7、蓝牙5.3及以上等协议。</w:t>
            </w:r>
          </w:p>
          <w:p w14:paraId="518F6CBF">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（二）设备存储：</w:t>
            </w:r>
            <w:r>
              <w:rPr>
                <w:rFonts w:hint="eastAsia" w:ascii="宋体" w:hAnsi="宋体" w:cs="宋体"/>
                <w:szCs w:val="21"/>
                <w:highlight w:val="none"/>
              </w:rPr>
              <w:t>内存≥12GB，LPDDR5；硬盘≥256GB，UFS 3.1；</w:t>
            </w:r>
          </w:p>
          <w:p w14:paraId="5A52CE1D">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（三）显示及光学</w:t>
            </w:r>
          </w:p>
          <w:p w14:paraId="78940BBE">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1、采用双显示屏设计，单屏尺寸≥2.5英寸；</w:t>
            </w:r>
          </w:p>
          <w:p w14:paraId="03EB0A47">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2、单眼物理分辨率≥2160*2160，像素密度（PPI）≥1200；</w:t>
            </w:r>
          </w:p>
          <w:p w14:paraId="6ED5A6C1">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3、单眼渲染分辨率≥1920*1920，单屏幕刷新率≥90Hz；</w:t>
            </w:r>
          </w:p>
          <w:p w14:paraId="21FEF419">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4、视场角≥105°水平 104°±1°，垂直 103°±1°；</w:t>
            </w:r>
          </w:p>
          <w:p w14:paraId="2CA6222E">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5、平均每度像素数（PPD）≥20.6，且中心区域 PPD ≥22.5；</w:t>
            </w:r>
          </w:p>
          <w:p w14:paraId="536FDDBD">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6、支持瞳距电动无级调节，调节范围至少覆盖58mm至72mm。</w:t>
            </w:r>
          </w:p>
          <w:p w14:paraId="782C75CB">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（四）无线通信</w:t>
            </w:r>
          </w:p>
          <w:p w14:paraId="25379FC6">
            <w:pPr>
              <w:snapToGrid w:val="0"/>
              <w:spacing w:before="0" w:beforeAutospacing="0" w:after="0" w:line="300" w:lineRule="auto"/>
              <w:rPr>
                <w:rFonts w:hint="eastAsia" w:ascii="宋体" w:hAnsi="宋体" w:cs="宋体"/>
                <w:b/>
                <w:szCs w:val="21"/>
                <w:highlight w:val="none"/>
              </w:rPr>
            </w:pPr>
            <w:r>
              <w:rPr>
                <w:rFonts w:hint="eastAsia" w:ascii="宋体" w:hAnsi="宋体" w:cs="宋体"/>
                <w:szCs w:val="21"/>
                <w:highlight w:val="none"/>
              </w:rPr>
              <w:t>★1、支持Wi-Fi 7（IEEE 802.11be），同时向下兼容Wi-Fi 6/6E/5/4；</w:t>
            </w:r>
          </w:p>
          <w:p w14:paraId="4BA59994">
            <w:pPr>
              <w:snapToGrid w:val="0"/>
              <w:spacing w:before="0" w:beforeAutospacing="0" w:after="0" w:line="300" w:lineRule="auto"/>
              <w:rPr>
                <w:rFonts w:hint="eastAsia" w:ascii="宋体" w:hAnsi="宋体" w:cs="宋体"/>
                <w:b/>
                <w:szCs w:val="21"/>
                <w:highlight w:val="none"/>
              </w:rPr>
            </w:pPr>
            <w:r>
              <w:rPr>
                <w:rFonts w:hint="eastAsia" w:ascii="宋体" w:hAnsi="宋体" w:cs="宋体"/>
                <w:szCs w:val="21"/>
                <w:highlight w:val="none"/>
              </w:rPr>
              <w:t>2、支持三频并发（2.4GHz + 5GHz + 6 GHz），支持160MHz信道带宽，无线传输速率≥3.0 Gbps，MR头显低延迟无线串流需求；</w:t>
            </w:r>
          </w:p>
          <w:p w14:paraId="5F59FD46">
            <w:pPr>
              <w:snapToGrid w:val="0"/>
              <w:spacing w:before="0" w:beforeAutospacing="0" w:after="0" w:line="300" w:lineRule="auto"/>
              <w:rPr>
                <w:rFonts w:hint="eastAsia" w:ascii="宋体" w:hAnsi="宋体" w:cs="宋体"/>
                <w:b/>
                <w:szCs w:val="21"/>
                <w:highlight w:val="none"/>
              </w:rPr>
            </w:pPr>
            <w:r>
              <w:rPr>
                <w:rFonts w:hint="eastAsia" w:ascii="宋体" w:hAnsi="宋体" w:cs="宋体"/>
                <w:szCs w:val="21"/>
                <w:highlight w:val="none"/>
              </w:rPr>
              <w:t>3、支持WPA3企业级加密；</w:t>
            </w:r>
          </w:p>
          <w:p w14:paraId="78292639">
            <w:pPr>
              <w:snapToGrid w:val="0"/>
              <w:spacing w:before="0" w:beforeAutospacing="0" w:after="0" w:line="300" w:lineRule="auto"/>
              <w:rPr>
                <w:rFonts w:hint="eastAsia" w:ascii="宋体" w:hAnsi="宋体" w:cs="宋体"/>
                <w:b/>
                <w:szCs w:val="21"/>
                <w:highlight w:val="none"/>
              </w:rPr>
            </w:pPr>
            <w:r>
              <w:rPr>
                <w:rFonts w:hint="eastAsia" w:ascii="宋体" w:hAnsi="宋体" w:cs="宋体"/>
                <w:szCs w:val="21"/>
                <w:highlight w:val="none"/>
              </w:rPr>
              <w:t>4、支持802.11k/v/r 快速漫游，多设备密集部署场景下切换无卡顿、不掉线；</w:t>
            </w:r>
          </w:p>
          <w:p w14:paraId="061DA53C">
            <w:pPr>
              <w:snapToGrid w:val="0"/>
              <w:spacing w:before="0" w:beforeAutospacing="0" w:after="0" w:line="300" w:lineRule="auto"/>
              <w:rPr>
                <w:rFonts w:hint="eastAsia" w:ascii="宋体" w:hAnsi="宋体" w:cs="宋体"/>
                <w:b/>
                <w:szCs w:val="21"/>
                <w:highlight w:val="none"/>
              </w:rPr>
            </w:pPr>
            <w:r>
              <w:rPr>
                <w:rFonts w:hint="eastAsia" w:ascii="宋体" w:hAnsi="宋体" w:cs="宋体"/>
                <w:szCs w:val="21"/>
                <w:highlight w:val="none"/>
              </w:rPr>
              <w:t>5、标配控制器采用2.4 GHz专用低延迟无线协议；同时兼容蓝牙5.3连接外设，支持 BLE 低功耗模式；</w:t>
            </w:r>
          </w:p>
          <w:p w14:paraId="646CCFDB">
            <w:pPr>
              <w:snapToGrid w:val="0"/>
              <w:spacing w:before="0" w:beforeAutospacing="0" w:after="0" w:line="300" w:lineRule="auto"/>
              <w:rPr>
                <w:rFonts w:hint="eastAsia" w:ascii="宋体" w:hAnsi="宋体" w:cs="宋体"/>
                <w:b/>
                <w:szCs w:val="21"/>
                <w:highlight w:val="none"/>
              </w:rPr>
            </w:pPr>
            <w:r>
              <w:rPr>
                <w:rFonts w:hint="eastAsia" w:ascii="宋体" w:hAnsi="宋体" w:cs="宋体"/>
                <w:szCs w:val="21"/>
                <w:highlight w:val="none"/>
              </w:rPr>
              <w:t>6、支持二维码批量配网、MDM 集中配置网络策略；支持无线ADB调试、无线投屏与PC 、VR无线串流，满足批量部署与运维；</w:t>
            </w:r>
          </w:p>
          <w:p w14:paraId="378600D0">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7、无线串流端到端延迟≤8ms，</w:t>
            </w:r>
          </w:p>
          <w:p w14:paraId="4408D101">
            <w:pPr>
              <w:snapToGrid w:val="0"/>
              <w:spacing w:before="0" w:beforeAutospacing="0" w:after="0" w:line="300" w:lineRule="auto"/>
              <w:rPr>
                <w:rFonts w:hint="eastAsia" w:ascii="宋体" w:hAnsi="宋体" w:cs="宋体"/>
                <w:b/>
                <w:szCs w:val="21"/>
                <w:highlight w:val="none"/>
              </w:rPr>
            </w:pPr>
            <w:r>
              <w:rPr>
                <w:rFonts w:hint="eastAsia" w:ascii="宋体" w:hAnsi="宋体" w:cs="宋体"/>
                <w:szCs w:val="21"/>
                <w:highlight w:val="none"/>
              </w:rPr>
              <w:t>8、支持多链路并发（MLO），满足多人同时在线使用，并且具备复杂环境稳定性；</w:t>
            </w:r>
          </w:p>
          <w:p w14:paraId="78D5A46A">
            <w:pPr>
              <w:snapToGri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（五）混合现实传感器</w:t>
            </w:r>
          </w:p>
          <w:p w14:paraId="0536C053">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1、配置彩色透视摄像头≥2颗，并且单目有效像素≥3200万，支持双目立体彩色透视；</w:t>
            </w:r>
          </w:p>
          <w:p w14:paraId="0130A14B">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2、深度感知传感器配置iToF深度摄像头，支持环境深度测量与空间建模；</w:t>
            </w:r>
          </w:p>
          <w:p w14:paraId="6FBE6746">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3、空间定位传感器配置≥4颗鱼眼环境追踪摄像头，实现6 DoF Inside‑Out 定位，无需外部基站；</w:t>
            </w:r>
          </w:p>
          <w:p w14:paraId="38149A73">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（六）音频系统</w:t>
            </w:r>
          </w:p>
          <w:p w14:paraId="044D4ECA">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 xml:space="preserve">双立体声扬声器，四麦克风方案，支持空间音频录制，具备清晰音频采集与播放能力，支持多人语音交互，满足协同沟通需求； </w:t>
            </w:r>
          </w:p>
          <w:p w14:paraId="56A51D33">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（七）其他配件</w:t>
            </w:r>
          </w:p>
          <w:p w14:paraId="76754DB6">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每台MR头显配置手柄控制器两只以及对应的手柄挂绳、眼镜支架和贴脸泡棉等。</w:t>
            </w:r>
          </w:p>
          <w:p w14:paraId="360B6F95">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（八）使用模式与追踪范围</w:t>
            </w:r>
          </w:p>
          <w:p w14:paraId="7D5D1967">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设备支持站姿、坐姿双模式使用，具备高精度空间定位追踪能力，定位延迟低、追踪稳定可靠，可满足≥100平方米空旷场地内多人同时协同作业与分析需求。</w:t>
            </w:r>
          </w:p>
        </w:tc>
        <w:tc>
          <w:tcPr>
            <w:tcW w:w="538" w:type="dxa"/>
            <w:tcBorders>
              <w:top w:val="single" w:color="auto" w:sz="4" w:space="0"/>
              <w:left w:val="single" w:color="auto" w:sz="4" w:space="0"/>
              <w:bottom w:val="single" w:color="auto" w:sz="4" w:space="0"/>
              <w:right w:val="single" w:color="auto" w:sz="4" w:space="0"/>
            </w:tcBorders>
            <w:noWrap w:val="0"/>
            <w:vAlign w:val="center"/>
          </w:tcPr>
          <w:p w14:paraId="7AF515C4">
            <w:pPr>
              <w:snapToGrid w:val="0"/>
              <w:spacing w:before="0" w:beforeAutospacing="0" w:after="0" w:line="30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套</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20977DCD">
            <w:pPr>
              <w:snapToGrid w:val="0"/>
              <w:spacing w:before="0" w:beforeAutospacing="0" w:after="0" w:line="300" w:lineRule="auto"/>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A95B7D1">
            <w:pPr>
              <w:autoSpaceDE w:val="0"/>
              <w:autoSpaceDN w:val="0"/>
              <w:adjustRightInd w:val="0"/>
              <w:spacing w:before="0" w:beforeAutospacing="0" w:after="0" w:line="300" w:lineRule="auto"/>
              <w:jc w:val="center"/>
              <w:rPr>
                <w:rFonts w:hint="eastAsia" w:ascii="宋体" w:hAnsi="宋体" w:cs="宋体"/>
                <w:szCs w:val="21"/>
                <w:highlight w:val="none"/>
                <w:lang w:bidi="ar"/>
              </w:rPr>
            </w:pPr>
            <w:r>
              <w:rPr>
                <w:rFonts w:hint="eastAsia" w:ascii="宋体" w:hAnsi="宋体" w:cs="宋体"/>
                <w:szCs w:val="21"/>
                <w:highlight w:val="none"/>
                <w:lang w:bidi="ar"/>
              </w:rPr>
              <w:t>工业</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F33C093">
            <w:pPr>
              <w:autoSpaceDE w:val="0"/>
              <w:autoSpaceDN w:val="0"/>
              <w:adjustRightInd w:val="0"/>
              <w:spacing w:before="0" w:beforeAutospacing="0" w:after="0" w:line="300" w:lineRule="auto"/>
              <w:jc w:val="center"/>
              <w:rPr>
                <w:rFonts w:hint="eastAsia" w:ascii="宋体" w:hAnsi="宋体" w:cs="宋体"/>
                <w:szCs w:val="21"/>
                <w:highlight w:val="none"/>
                <w:lang w:bidi="ar"/>
              </w:rPr>
            </w:pPr>
            <w:r>
              <w:rPr>
                <w:rFonts w:hint="eastAsia" w:ascii="宋体" w:hAnsi="宋体" w:cs="宋体"/>
                <w:szCs w:val="21"/>
                <w:highlight w:val="none"/>
                <w:lang w:bidi="ar"/>
              </w:rPr>
              <w:t>否</w:t>
            </w:r>
          </w:p>
        </w:tc>
      </w:tr>
      <w:tr w14:paraId="1D0C54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93" w:type="dxa"/>
            <w:vMerge w:val="continue"/>
            <w:tcBorders>
              <w:left w:val="single" w:color="auto" w:sz="4" w:space="0"/>
              <w:right w:val="single" w:color="auto" w:sz="4" w:space="0"/>
            </w:tcBorders>
            <w:noWrap w:val="0"/>
            <w:vAlign w:val="center"/>
          </w:tcPr>
          <w:p w14:paraId="13001097">
            <w:pPr>
              <w:snapToGrid w:val="0"/>
              <w:spacing w:before="0" w:beforeAutospacing="0" w:after="0" w:line="300" w:lineRule="auto"/>
              <w:jc w:val="center"/>
              <w:rPr>
                <w:rFonts w:hint="eastAsia" w:ascii="宋体" w:hAnsi="宋体" w:cs="宋体"/>
                <w:b/>
                <w:bCs/>
                <w:szCs w:val="21"/>
                <w:highlight w:val="none"/>
                <w:lang w:bidi="ar"/>
              </w:rPr>
            </w:pPr>
          </w:p>
        </w:tc>
        <w:tc>
          <w:tcPr>
            <w:tcW w:w="717" w:type="dxa"/>
            <w:vMerge w:val="continue"/>
            <w:tcBorders>
              <w:left w:val="single" w:color="auto" w:sz="4" w:space="0"/>
              <w:right w:val="single" w:color="auto" w:sz="4" w:space="0"/>
            </w:tcBorders>
            <w:noWrap w:val="0"/>
            <w:vAlign w:val="center"/>
          </w:tcPr>
          <w:p w14:paraId="59E1D5FA">
            <w:pPr>
              <w:snapToGrid w:val="0"/>
              <w:spacing w:before="0" w:beforeAutospacing="0" w:after="0" w:line="300" w:lineRule="auto"/>
              <w:rPr>
                <w:rFonts w:hint="eastAsia" w:ascii="宋体" w:hAnsi="宋体" w:cs="宋体"/>
                <w:b/>
                <w:bCs/>
                <w:szCs w:val="21"/>
                <w:highlight w:val="none"/>
                <w:lang w:bidi="ar"/>
              </w:rPr>
            </w:pPr>
          </w:p>
        </w:tc>
        <w:tc>
          <w:tcPr>
            <w:tcW w:w="4658" w:type="dxa"/>
            <w:tcBorders>
              <w:top w:val="single" w:color="auto" w:sz="4" w:space="0"/>
              <w:left w:val="single" w:color="auto" w:sz="4" w:space="0"/>
              <w:bottom w:val="single" w:color="auto" w:sz="4" w:space="0"/>
              <w:right w:val="single" w:color="auto" w:sz="4" w:space="0"/>
            </w:tcBorders>
            <w:noWrap w:val="0"/>
            <w:vAlign w:val="center"/>
          </w:tcPr>
          <w:p w14:paraId="48C4B024">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设备三、AC无线控制器</w:t>
            </w:r>
          </w:p>
          <w:p w14:paraId="55B71EDB">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设备至少满足以下主要参数和功能：</w:t>
            </w:r>
          </w:p>
          <w:p w14:paraId="08E013EF">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★1、支持管理无线AP数≥250颗；</w:t>
            </w:r>
          </w:p>
          <w:p w14:paraId="24BE985B">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2、支持最大在线用户数≥4000；</w:t>
            </w:r>
          </w:p>
          <w:p w14:paraId="5D3E2ED3">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 xml:space="preserve">★3、配置千兆以太网口数≥3，USB接口数≥2； </w:t>
            </w:r>
          </w:p>
          <w:p w14:paraId="1BB49878">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4、配置≥100GB的SSD存储；</w:t>
            </w:r>
          </w:p>
          <w:p w14:paraId="72FB2184">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5、支持有线无线东西向流量安全防护，实现对安全端口组和组间访问行为进行可视化呈现和管控，保障单位内安全组间安全访问控制；</w:t>
            </w:r>
          </w:p>
          <w:p w14:paraId="5248DC8B">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6、支持802.1x、Portal、MAC地址认证、CA证书认证等多种基础认证方式；</w:t>
            </w:r>
          </w:p>
          <w:p w14:paraId="03092D26">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7、支持呈现账号认证成功率、认证质量趋势（请求次数、失败次数、失败终端个数）、累计认证次数、累计失败次数、累计失败终端个数、认证服务器质量（响应时延、响应成功率）、失败原因 TOP5（次数、影响终端个数）；</w:t>
            </w:r>
          </w:p>
          <w:p w14:paraId="167FA4D3">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8、支持终端类型智能识别，可识别主流终端例如：办公设备、打印机或扫描仪、摄像头、电视盒子、移动终端、路由器等；</w:t>
            </w:r>
          </w:p>
          <w:p w14:paraId="63988890">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9、可识别≥7500种网络应用，海量预分类的URL地址；</w:t>
            </w:r>
          </w:p>
          <w:p w14:paraId="3B88F607">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10、支持图形化IP地址池管理，实现IP地址画像管理，并可查看相关信息，如发生冲突的IP地址、获取IP地址失败的终端、地址池利用率、IP分配次数分布等。</w:t>
            </w:r>
          </w:p>
        </w:tc>
        <w:tc>
          <w:tcPr>
            <w:tcW w:w="538" w:type="dxa"/>
            <w:tcBorders>
              <w:top w:val="single" w:color="auto" w:sz="4" w:space="0"/>
              <w:left w:val="single" w:color="auto" w:sz="4" w:space="0"/>
              <w:bottom w:val="single" w:color="auto" w:sz="4" w:space="0"/>
              <w:right w:val="single" w:color="auto" w:sz="4" w:space="0"/>
            </w:tcBorders>
            <w:noWrap w:val="0"/>
            <w:vAlign w:val="center"/>
          </w:tcPr>
          <w:p w14:paraId="0F48893E">
            <w:pPr>
              <w:snapToGrid w:val="0"/>
              <w:spacing w:before="0" w:beforeAutospacing="0" w:after="0" w:line="30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台</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404A9AD8">
            <w:pPr>
              <w:snapToGrid w:val="0"/>
              <w:spacing w:before="0" w:beforeAutospacing="0" w:after="0" w:line="300" w:lineRule="auto"/>
              <w:jc w:val="center"/>
              <w:rPr>
                <w:rFonts w:hint="eastAsia" w:ascii="宋体" w:hAnsi="宋体" w:cs="宋体"/>
                <w:color w:val="000000"/>
                <w:szCs w:val="21"/>
                <w:highlight w:val="none"/>
              </w:rPr>
            </w:pPr>
            <w:r>
              <w:rPr>
                <w:rFonts w:hint="eastAsia" w:ascii="宋体" w:hAnsi="宋体" w:cs="宋体"/>
                <w:szCs w:val="21"/>
                <w:highlight w:val="none"/>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54B4FBD">
            <w:pPr>
              <w:pStyle w:val="2"/>
              <w:keepNext w:val="0"/>
              <w:keepLines w:val="0"/>
              <w:autoSpaceDE w:val="0"/>
              <w:autoSpaceDN w:val="0"/>
              <w:adjustRightInd w:val="0"/>
              <w:snapToGrid w:val="0"/>
              <w:spacing w:before="0" w:beforeAutospacing="0" w:after="0" w:line="300" w:lineRule="auto"/>
              <w:ind w:firstLine="0" w:firstLineChars="0"/>
              <w:jc w:val="center"/>
              <w:outlineLvl w:val="1"/>
              <w:rPr>
                <w:rFonts w:ascii="宋体" w:hAnsi="宋体" w:eastAsia="宋体" w:cs="宋体"/>
                <w:sz w:val="21"/>
                <w:szCs w:val="21"/>
                <w:highlight w:val="none"/>
                <w:lang w:bidi="ar"/>
              </w:rPr>
            </w:pPr>
            <w:r>
              <w:rPr>
                <w:rFonts w:hint="eastAsia" w:ascii="宋体" w:hAnsi="宋体" w:eastAsia="宋体" w:cs="宋体"/>
                <w:sz w:val="21"/>
                <w:szCs w:val="21"/>
                <w:highlight w:val="none"/>
                <w:lang w:bidi="ar"/>
              </w:rPr>
              <w:t>工业</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D921DA6">
            <w:pPr>
              <w:pStyle w:val="2"/>
              <w:keepNext w:val="0"/>
              <w:keepLines w:val="0"/>
              <w:autoSpaceDE w:val="0"/>
              <w:autoSpaceDN w:val="0"/>
              <w:adjustRightInd w:val="0"/>
              <w:snapToGrid w:val="0"/>
              <w:spacing w:before="0" w:beforeAutospacing="0" w:after="0" w:line="300" w:lineRule="auto"/>
              <w:ind w:firstLine="0" w:firstLineChars="0"/>
              <w:jc w:val="center"/>
              <w:outlineLvl w:val="1"/>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否</w:t>
            </w:r>
          </w:p>
        </w:tc>
      </w:tr>
      <w:tr w14:paraId="23149E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93" w:type="dxa"/>
            <w:vMerge w:val="continue"/>
            <w:tcBorders>
              <w:left w:val="single" w:color="auto" w:sz="4" w:space="0"/>
              <w:right w:val="single" w:color="auto" w:sz="4" w:space="0"/>
            </w:tcBorders>
            <w:noWrap w:val="0"/>
            <w:vAlign w:val="center"/>
          </w:tcPr>
          <w:p w14:paraId="3BE024D4">
            <w:pPr>
              <w:snapToGrid w:val="0"/>
              <w:spacing w:before="0" w:beforeAutospacing="0" w:after="0" w:line="300" w:lineRule="auto"/>
              <w:jc w:val="center"/>
              <w:rPr>
                <w:rFonts w:hint="eastAsia" w:ascii="宋体" w:hAnsi="宋体" w:cs="宋体"/>
                <w:b/>
                <w:bCs/>
                <w:szCs w:val="21"/>
                <w:highlight w:val="none"/>
                <w:lang w:bidi="ar"/>
              </w:rPr>
            </w:pPr>
          </w:p>
        </w:tc>
        <w:tc>
          <w:tcPr>
            <w:tcW w:w="717" w:type="dxa"/>
            <w:vMerge w:val="continue"/>
            <w:tcBorders>
              <w:left w:val="single" w:color="auto" w:sz="4" w:space="0"/>
              <w:right w:val="single" w:color="auto" w:sz="4" w:space="0"/>
            </w:tcBorders>
            <w:noWrap w:val="0"/>
            <w:vAlign w:val="center"/>
          </w:tcPr>
          <w:p w14:paraId="3548B36E">
            <w:pPr>
              <w:snapToGrid w:val="0"/>
              <w:spacing w:before="0" w:beforeAutospacing="0" w:after="0" w:line="300" w:lineRule="auto"/>
              <w:rPr>
                <w:rFonts w:hint="eastAsia" w:ascii="宋体" w:hAnsi="宋体" w:cs="宋体"/>
                <w:b/>
                <w:bCs/>
                <w:szCs w:val="21"/>
                <w:highlight w:val="none"/>
                <w:lang w:bidi="ar"/>
              </w:rPr>
            </w:pPr>
          </w:p>
        </w:tc>
        <w:tc>
          <w:tcPr>
            <w:tcW w:w="4658" w:type="dxa"/>
            <w:tcBorders>
              <w:top w:val="single" w:color="auto" w:sz="4" w:space="0"/>
              <w:left w:val="single" w:color="auto" w:sz="4" w:space="0"/>
              <w:bottom w:val="single" w:color="auto" w:sz="4" w:space="0"/>
              <w:right w:val="single" w:color="auto" w:sz="4" w:space="0"/>
            </w:tcBorders>
            <w:noWrap w:val="0"/>
            <w:vAlign w:val="center"/>
          </w:tcPr>
          <w:p w14:paraId="5D8C3545">
            <w:pPr>
              <w:snapToGri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设备四、高速交换机，</w:t>
            </w:r>
            <w:r>
              <w:rPr>
                <w:rFonts w:hint="eastAsia" w:ascii="宋体" w:hAnsi="宋体" w:cs="宋体"/>
                <w:szCs w:val="21"/>
                <w:highlight w:val="none"/>
              </w:rPr>
              <w:t>配置企业级POE交换机，至少满足以下功能和参数：</w:t>
            </w:r>
          </w:p>
          <w:p w14:paraId="3DA46513">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★1、设备的交换容量≥670Gbps，包转发率≥170Mpps；</w:t>
            </w:r>
          </w:p>
          <w:p w14:paraId="14714F12">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★2、配置千兆POE电口≥24个，并且配置万兆SFP+光口≥4个；</w:t>
            </w:r>
          </w:p>
          <w:p w14:paraId="3D5C8074">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3、支持静态路由、RIPv1/2、OSPF、策略路由；</w:t>
            </w:r>
          </w:p>
          <w:p w14:paraId="28054D3C">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 xml:space="preserve">4、设备支持M-LAG技术，跨设备链路聚合，要求配对的设备有独立的控制平面； </w:t>
            </w:r>
          </w:p>
          <w:p w14:paraId="3B3585E4">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5、支持SNMPv1/v2c/v3、支持Console、Telnet、SSH；</w:t>
            </w:r>
          </w:p>
          <w:p w14:paraId="3EDDB583">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6、交换机支持智能交换机和普通交换机两种工作模式，可以根据不同的组网需要灵活的进行切换。</w:t>
            </w:r>
          </w:p>
        </w:tc>
        <w:tc>
          <w:tcPr>
            <w:tcW w:w="538" w:type="dxa"/>
            <w:tcBorders>
              <w:top w:val="single" w:color="auto" w:sz="4" w:space="0"/>
              <w:left w:val="single" w:color="auto" w:sz="4" w:space="0"/>
              <w:bottom w:val="single" w:color="auto" w:sz="4" w:space="0"/>
              <w:right w:val="single" w:color="auto" w:sz="4" w:space="0"/>
            </w:tcBorders>
            <w:noWrap w:val="0"/>
            <w:vAlign w:val="center"/>
          </w:tcPr>
          <w:p w14:paraId="453AC121">
            <w:pPr>
              <w:snapToGrid w:val="0"/>
              <w:spacing w:before="0" w:beforeAutospacing="0" w:after="0" w:line="30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套</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01D9C838">
            <w:pPr>
              <w:snapToGri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D850638">
            <w:pPr>
              <w:autoSpaceDE w:val="0"/>
              <w:autoSpaceDN w:val="0"/>
              <w:adjustRightInd w:val="0"/>
              <w:spacing w:before="0" w:beforeAutospacing="0" w:after="0" w:line="300" w:lineRule="auto"/>
              <w:jc w:val="center"/>
              <w:rPr>
                <w:rFonts w:hint="eastAsia" w:ascii="宋体" w:hAnsi="宋体" w:cs="宋体"/>
                <w:szCs w:val="21"/>
                <w:highlight w:val="none"/>
                <w:lang w:bidi="ar"/>
              </w:rPr>
            </w:pPr>
            <w:r>
              <w:rPr>
                <w:rFonts w:hint="eastAsia" w:ascii="宋体" w:hAnsi="宋体" w:cs="宋体"/>
                <w:szCs w:val="21"/>
                <w:highlight w:val="none"/>
                <w:lang w:bidi="ar"/>
              </w:rPr>
              <w:t>工业</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EF89702">
            <w:pPr>
              <w:autoSpaceDE w:val="0"/>
              <w:autoSpaceDN w:val="0"/>
              <w:adjustRightInd w:val="0"/>
              <w:spacing w:before="0" w:beforeAutospacing="0" w:after="0" w:line="300" w:lineRule="auto"/>
              <w:jc w:val="center"/>
              <w:rPr>
                <w:rFonts w:hint="eastAsia" w:ascii="宋体" w:hAnsi="宋体" w:cs="宋体"/>
                <w:szCs w:val="21"/>
                <w:highlight w:val="none"/>
                <w:lang w:bidi="ar"/>
              </w:rPr>
            </w:pPr>
            <w:r>
              <w:rPr>
                <w:rFonts w:hint="eastAsia" w:ascii="宋体" w:hAnsi="宋体" w:cs="宋体"/>
                <w:szCs w:val="21"/>
                <w:highlight w:val="none"/>
                <w:lang w:bidi="ar"/>
              </w:rPr>
              <w:t>否</w:t>
            </w:r>
          </w:p>
        </w:tc>
      </w:tr>
      <w:tr w14:paraId="101973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493" w:type="dxa"/>
            <w:vMerge w:val="continue"/>
            <w:tcBorders>
              <w:left w:val="single" w:color="auto" w:sz="4" w:space="0"/>
              <w:right w:val="single" w:color="auto" w:sz="4" w:space="0"/>
            </w:tcBorders>
            <w:noWrap w:val="0"/>
            <w:vAlign w:val="center"/>
          </w:tcPr>
          <w:p w14:paraId="751A3C15">
            <w:pPr>
              <w:snapToGrid w:val="0"/>
              <w:spacing w:before="0" w:beforeAutospacing="0" w:after="0" w:line="300" w:lineRule="auto"/>
              <w:jc w:val="center"/>
              <w:rPr>
                <w:rFonts w:hint="eastAsia" w:ascii="宋体" w:hAnsi="宋体" w:cs="宋体"/>
                <w:b/>
                <w:bCs/>
                <w:szCs w:val="21"/>
                <w:highlight w:val="none"/>
                <w:lang w:bidi="ar"/>
              </w:rPr>
            </w:pPr>
          </w:p>
        </w:tc>
        <w:tc>
          <w:tcPr>
            <w:tcW w:w="717" w:type="dxa"/>
            <w:vMerge w:val="continue"/>
            <w:tcBorders>
              <w:left w:val="single" w:color="auto" w:sz="4" w:space="0"/>
              <w:right w:val="single" w:color="auto" w:sz="4" w:space="0"/>
            </w:tcBorders>
            <w:noWrap w:val="0"/>
            <w:vAlign w:val="center"/>
          </w:tcPr>
          <w:p w14:paraId="3EE6FC01">
            <w:pPr>
              <w:snapToGrid w:val="0"/>
              <w:spacing w:before="0" w:beforeAutospacing="0" w:after="0" w:line="300" w:lineRule="auto"/>
              <w:rPr>
                <w:rFonts w:hint="eastAsia" w:ascii="宋体" w:hAnsi="宋体" w:cs="宋体"/>
                <w:b/>
                <w:bCs/>
                <w:szCs w:val="21"/>
                <w:highlight w:val="none"/>
                <w:lang w:bidi="ar"/>
              </w:rPr>
            </w:pPr>
          </w:p>
        </w:tc>
        <w:tc>
          <w:tcPr>
            <w:tcW w:w="4658" w:type="dxa"/>
            <w:tcBorders>
              <w:top w:val="single" w:color="auto" w:sz="4" w:space="0"/>
              <w:left w:val="single" w:color="auto" w:sz="4" w:space="0"/>
              <w:bottom w:val="single" w:color="auto" w:sz="4" w:space="0"/>
              <w:right w:val="single" w:color="auto" w:sz="4" w:space="0"/>
            </w:tcBorders>
            <w:noWrap w:val="0"/>
            <w:vAlign w:val="center"/>
          </w:tcPr>
          <w:p w14:paraId="3ADF3377">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设备五、无线AP发射器（吸顶）</w:t>
            </w:r>
          </w:p>
          <w:p w14:paraId="3AA103B3">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设备至少满足以下功能和参数：</w:t>
            </w:r>
          </w:p>
          <w:p w14:paraId="3A22FA36">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★1、支持无线信号（≥WiFi- 6）环境搭建；</w:t>
            </w:r>
          </w:p>
          <w:p w14:paraId="19E5ECEC">
            <w:pPr>
              <w:wordWrap w:val="0"/>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2、支持802.11ax协议，同时兼容802.11a/b/g/n/ac协议，支持2.4G和5G同时工作；</w:t>
            </w:r>
          </w:p>
          <w:p w14:paraId="2423302A">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3、整机采用三射频设计，无线空间流数≥6条，理论无线传输速率≥3.5Gbps；</w:t>
            </w:r>
          </w:p>
          <w:p w14:paraId="20E44535">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4、整机可支持不少于200台无线终端同时接入；</w:t>
            </w:r>
          </w:p>
          <w:p w14:paraId="4AE4A419">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★5、配置≥1个千兆以太网口，≥1个USB接口；</w:t>
            </w:r>
          </w:p>
          <w:p w14:paraId="79F94272">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6、支持Fat和Fit 两种工作模式，可根据网络规划需要灵活切换；</w:t>
            </w:r>
          </w:p>
          <w:p w14:paraId="7E33BDE1">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7、AP结合管理平台可实现无线网络信道自动优化功能；</w:t>
            </w:r>
          </w:p>
          <w:p w14:paraId="7AA0CB44">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8、主动对无线网络服务检测，包括网络接入、DHCP、网关、DNS、网络地址等阶段的时延和质量检测。</w:t>
            </w:r>
          </w:p>
        </w:tc>
        <w:tc>
          <w:tcPr>
            <w:tcW w:w="538" w:type="dxa"/>
            <w:tcBorders>
              <w:top w:val="single" w:color="auto" w:sz="4" w:space="0"/>
              <w:left w:val="single" w:color="auto" w:sz="4" w:space="0"/>
              <w:bottom w:val="single" w:color="auto" w:sz="4" w:space="0"/>
              <w:right w:val="single" w:color="auto" w:sz="4" w:space="0"/>
            </w:tcBorders>
            <w:noWrap w:val="0"/>
            <w:vAlign w:val="center"/>
          </w:tcPr>
          <w:p w14:paraId="6996E372">
            <w:pPr>
              <w:snapToGrid w:val="0"/>
              <w:spacing w:before="0" w:beforeAutospacing="0" w:after="0" w:line="300" w:lineRule="auto"/>
              <w:jc w:val="center"/>
              <w:rPr>
                <w:rFonts w:hint="eastAsia" w:ascii="宋体" w:hAnsi="宋体" w:cs="宋体"/>
                <w:color w:val="000000"/>
                <w:szCs w:val="21"/>
                <w:highlight w:val="none"/>
              </w:rPr>
            </w:pPr>
            <w:r>
              <w:rPr>
                <w:rFonts w:hint="eastAsia" w:ascii="宋体" w:hAnsi="宋体" w:cs="宋体"/>
                <w:color w:val="000000"/>
                <w:szCs w:val="21"/>
                <w:highlight w:val="none"/>
              </w:rPr>
              <w:t>个</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779DAEF3">
            <w:pPr>
              <w:snapToGri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6D9A7D5">
            <w:pPr>
              <w:autoSpaceDE w:val="0"/>
              <w:autoSpaceDN w:val="0"/>
              <w:adjustRightInd w:val="0"/>
              <w:spacing w:before="0" w:beforeAutospacing="0" w:after="0" w:line="300" w:lineRule="auto"/>
              <w:jc w:val="center"/>
              <w:rPr>
                <w:rFonts w:hint="eastAsia" w:ascii="宋体" w:hAnsi="宋体" w:cs="宋体"/>
                <w:szCs w:val="21"/>
                <w:highlight w:val="none"/>
                <w:lang w:bidi="ar"/>
              </w:rPr>
            </w:pPr>
            <w:r>
              <w:rPr>
                <w:rFonts w:hint="eastAsia" w:ascii="宋体" w:hAnsi="宋体" w:cs="宋体"/>
                <w:szCs w:val="21"/>
                <w:highlight w:val="none"/>
                <w:lang w:bidi="ar"/>
              </w:rPr>
              <w:t>工业</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7FB225CC">
            <w:pPr>
              <w:autoSpaceDE w:val="0"/>
              <w:autoSpaceDN w:val="0"/>
              <w:adjustRightInd w:val="0"/>
              <w:spacing w:before="0" w:beforeAutospacing="0" w:after="0" w:line="300" w:lineRule="auto"/>
              <w:jc w:val="center"/>
              <w:rPr>
                <w:rFonts w:hint="eastAsia" w:ascii="宋体" w:hAnsi="宋体" w:cs="宋体"/>
                <w:szCs w:val="21"/>
                <w:highlight w:val="none"/>
                <w:lang w:bidi="ar"/>
              </w:rPr>
            </w:pPr>
            <w:r>
              <w:rPr>
                <w:rFonts w:hint="eastAsia" w:ascii="宋体" w:hAnsi="宋体" w:cs="宋体"/>
                <w:szCs w:val="21"/>
                <w:highlight w:val="none"/>
                <w:lang w:bidi="ar"/>
              </w:rPr>
              <w:t>否</w:t>
            </w:r>
          </w:p>
        </w:tc>
      </w:tr>
      <w:tr w14:paraId="776D73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93" w:type="dxa"/>
            <w:vMerge w:val="continue"/>
            <w:tcBorders>
              <w:left w:val="single" w:color="auto" w:sz="4" w:space="0"/>
              <w:right w:val="single" w:color="auto" w:sz="4" w:space="0"/>
            </w:tcBorders>
            <w:noWrap w:val="0"/>
            <w:vAlign w:val="center"/>
          </w:tcPr>
          <w:p w14:paraId="327DB47C">
            <w:pPr>
              <w:snapToGrid w:val="0"/>
              <w:spacing w:before="0" w:beforeAutospacing="0" w:after="0" w:line="300" w:lineRule="auto"/>
              <w:jc w:val="center"/>
              <w:rPr>
                <w:rFonts w:hint="eastAsia" w:ascii="宋体" w:hAnsi="宋体" w:cs="宋体"/>
                <w:b/>
                <w:bCs/>
                <w:szCs w:val="21"/>
                <w:highlight w:val="none"/>
                <w:lang w:bidi="ar"/>
              </w:rPr>
            </w:pPr>
          </w:p>
        </w:tc>
        <w:tc>
          <w:tcPr>
            <w:tcW w:w="717" w:type="dxa"/>
            <w:vMerge w:val="continue"/>
            <w:tcBorders>
              <w:left w:val="single" w:color="auto" w:sz="4" w:space="0"/>
              <w:right w:val="single" w:color="auto" w:sz="4" w:space="0"/>
            </w:tcBorders>
            <w:noWrap w:val="0"/>
            <w:vAlign w:val="center"/>
          </w:tcPr>
          <w:p w14:paraId="1BBC891A">
            <w:pPr>
              <w:snapToGrid w:val="0"/>
              <w:spacing w:before="0" w:beforeAutospacing="0" w:after="0" w:line="300" w:lineRule="auto"/>
              <w:rPr>
                <w:rFonts w:hint="eastAsia" w:ascii="宋体" w:hAnsi="宋体" w:cs="宋体"/>
                <w:b/>
                <w:bCs/>
                <w:szCs w:val="21"/>
                <w:highlight w:val="none"/>
                <w:lang w:bidi="ar"/>
              </w:rPr>
            </w:pPr>
          </w:p>
        </w:tc>
        <w:tc>
          <w:tcPr>
            <w:tcW w:w="4658" w:type="dxa"/>
            <w:tcBorders>
              <w:top w:val="single" w:color="auto" w:sz="4" w:space="0"/>
              <w:left w:val="single" w:color="auto" w:sz="4" w:space="0"/>
              <w:bottom w:val="single" w:color="auto" w:sz="4" w:space="0"/>
              <w:right w:val="single" w:color="auto" w:sz="4" w:space="0"/>
            </w:tcBorders>
            <w:noWrap w:val="0"/>
            <w:vAlign w:val="center"/>
          </w:tcPr>
          <w:p w14:paraId="635BDC55">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设备六、无线AP发射器（面板）</w:t>
            </w:r>
          </w:p>
          <w:p w14:paraId="3B5EABFA">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设备至少满足以下功能和参数：</w:t>
            </w:r>
          </w:p>
          <w:p w14:paraId="47B31036">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★1、应支持802.11ax协议，同时应兼容802.11a/b/g/n/ac协议，并且需要支持2.4G和5G同时工作；</w:t>
            </w:r>
          </w:p>
          <w:p w14:paraId="310879BE">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2、整机采用三射频设计，无线空间流数≥6条，理论无线传输速率≥3.5Gbps；</w:t>
            </w:r>
          </w:p>
          <w:p w14:paraId="3F56E961">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3、整机可支持≥200台无线终端同时接入进行流畅视频播放；</w:t>
            </w:r>
          </w:p>
          <w:p w14:paraId="3F88BE75">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4、内置独立扫描硬件射频，可在不影响业务接入前提下支持实时检测并反制环境非法Wi-Fi；</w:t>
            </w:r>
          </w:p>
          <w:p w14:paraId="488667D7">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★5、配置≥1个千兆以太网口，≥4个下行千兆网口供有线终端连接；</w:t>
            </w:r>
          </w:p>
          <w:p w14:paraId="07ED5708">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6、支持Fat和Fit 两种工作模式，可根据网络规划需要灵活切换；</w:t>
            </w:r>
          </w:p>
          <w:p w14:paraId="51D8832F">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7、AP结合管理平台可实现无线网络信道自动优化功能；</w:t>
            </w:r>
          </w:p>
          <w:p w14:paraId="30A90965">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8、主动对无线网络服务检测，包括网络接入、DHCP、网关、DNS、网络地址等阶段的时延和质量检测；支持AP零配置上线，支持二三层发现、DHCP Option43、DNS、域名等多种自动发现机制；</w:t>
            </w:r>
          </w:p>
          <w:p w14:paraId="6DAE8C2B">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9、支持无线带宽平均分配，让不同协商速率终端占用相等无线信道时间，防止低速终端拉低网络整体速度。</w:t>
            </w:r>
          </w:p>
        </w:tc>
        <w:tc>
          <w:tcPr>
            <w:tcW w:w="538" w:type="dxa"/>
            <w:tcBorders>
              <w:top w:val="single" w:color="auto" w:sz="4" w:space="0"/>
              <w:left w:val="single" w:color="auto" w:sz="4" w:space="0"/>
              <w:bottom w:val="single" w:color="auto" w:sz="4" w:space="0"/>
              <w:right w:val="single" w:color="auto" w:sz="4" w:space="0"/>
            </w:tcBorders>
            <w:noWrap w:val="0"/>
            <w:vAlign w:val="center"/>
          </w:tcPr>
          <w:p w14:paraId="2ED929C6">
            <w:pPr>
              <w:snapToGrid w:val="0"/>
              <w:spacing w:before="0" w:beforeAutospacing="0" w:after="0" w:line="300" w:lineRule="auto"/>
              <w:jc w:val="center"/>
              <w:rPr>
                <w:rFonts w:hint="eastAsia" w:ascii="宋体" w:hAnsi="宋体" w:cs="宋体"/>
                <w:color w:val="000000"/>
                <w:szCs w:val="21"/>
                <w:highlight w:val="none"/>
              </w:rPr>
            </w:pPr>
            <w:r>
              <w:rPr>
                <w:rFonts w:hint="eastAsia" w:ascii="宋体" w:hAnsi="宋体" w:cs="宋体"/>
                <w:color w:val="000000"/>
                <w:szCs w:val="21"/>
                <w:highlight w:val="none"/>
              </w:rPr>
              <w:t>个</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6C79043A">
            <w:pPr>
              <w:snapToGri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D477C78">
            <w:pPr>
              <w:autoSpaceDE w:val="0"/>
              <w:autoSpaceDN w:val="0"/>
              <w:adjustRightInd w:val="0"/>
              <w:spacing w:before="0" w:beforeAutospacing="0" w:after="0" w:line="300" w:lineRule="auto"/>
              <w:jc w:val="center"/>
              <w:rPr>
                <w:rFonts w:hint="eastAsia" w:ascii="宋体" w:hAnsi="宋体" w:cs="宋体"/>
                <w:szCs w:val="21"/>
                <w:highlight w:val="none"/>
                <w:lang w:bidi="ar"/>
              </w:rPr>
            </w:pPr>
            <w:r>
              <w:rPr>
                <w:rFonts w:hint="eastAsia" w:ascii="宋体" w:hAnsi="宋体" w:cs="宋体"/>
                <w:szCs w:val="21"/>
                <w:highlight w:val="none"/>
                <w:lang w:bidi="ar"/>
              </w:rPr>
              <w:t>工业</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11DCD28">
            <w:pPr>
              <w:autoSpaceDE w:val="0"/>
              <w:autoSpaceDN w:val="0"/>
              <w:adjustRightInd w:val="0"/>
              <w:spacing w:before="0" w:beforeAutospacing="0" w:after="0" w:line="300" w:lineRule="auto"/>
              <w:jc w:val="center"/>
              <w:rPr>
                <w:rFonts w:hint="eastAsia" w:ascii="宋体" w:hAnsi="宋体" w:cs="宋体"/>
                <w:szCs w:val="21"/>
                <w:highlight w:val="none"/>
                <w:lang w:bidi="ar"/>
              </w:rPr>
            </w:pPr>
            <w:r>
              <w:rPr>
                <w:rFonts w:hint="eastAsia" w:ascii="宋体" w:hAnsi="宋体" w:cs="宋体"/>
                <w:szCs w:val="21"/>
                <w:highlight w:val="none"/>
                <w:lang w:bidi="ar"/>
              </w:rPr>
              <w:t>否</w:t>
            </w:r>
          </w:p>
        </w:tc>
      </w:tr>
      <w:tr w14:paraId="6EB2D2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93" w:type="dxa"/>
            <w:vMerge w:val="continue"/>
            <w:tcBorders>
              <w:left w:val="single" w:color="auto" w:sz="4" w:space="0"/>
              <w:right w:val="single" w:color="auto" w:sz="4" w:space="0"/>
            </w:tcBorders>
            <w:noWrap w:val="0"/>
            <w:vAlign w:val="center"/>
          </w:tcPr>
          <w:p w14:paraId="227E801C">
            <w:pPr>
              <w:snapToGrid w:val="0"/>
              <w:spacing w:before="0" w:beforeAutospacing="0" w:after="0" w:line="300" w:lineRule="auto"/>
              <w:jc w:val="center"/>
              <w:rPr>
                <w:rFonts w:hint="eastAsia" w:ascii="宋体" w:hAnsi="宋体" w:cs="宋体"/>
                <w:b/>
                <w:bCs/>
                <w:szCs w:val="21"/>
                <w:highlight w:val="none"/>
                <w:lang w:bidi="ar"/>
              </w:rPr>
            </w:pPr>
          </w:p>
        </w:tc>
        <w:tc>
          <w:tcPr>
            <w:tcW w:w="717" w:type="dxa"/>
            <w:vMerge w:val="continue"/>
            <w:tcBorders>
              <w:left w:val="single" w:color="auto" w:sz="4" w:space="0"/>
              <w:right w:val="single" w:color="auto" w:sz="4" w:space="0"/>
            </w:tcBorders>
            <w:noWrap w:val="0"/>
            <w:vAlign w:val="center"/>
          </w:tcPr>
          <w:p w14:paraId="5A765F62">
            <w:pPr>
              <w:snapToGrid w:val="0"/>
              <w:spacing w:before="0" w:beforeAutospacing="0" w:after="0" w:line="300" w:lineRule="auto"/>
              <w:rPr>
                <w:rFonts w:hint="eastAsia" w:ascii="宋体" w:hAnsi="宋体" w:cs="宋体"/>
                <w:b/>
                <w:bCs/>
                <w:szCs w:val="21"/>
                <w:highlight w:val="none"/>
                <w:lang w:bidi="ar"/>
              </w:rPr>
            </w:pPr>
          </w:p>
        </w:tc>
        <w:tc>
          <w:tcPr>
            <w:tcW w:w="4658" w:type="dxa"/>
            <w:tcBorders>
              <w:top w:val="single" w:color="auto" w:sz="4" w:space="0"/>
              <w:left w:val="single" w:color="auto" w:sz="4" w:space="0"/>
              <w:bottom w:val="single" w:color="auto" w:sz="4" w:space="0"/>
              <w:right w:val="single" w:color="auto" w:sz="4" w:space="0"/>
            </w:tcBorders>
            <w:noWrap w:val="0"/>
            <w:vAlign w:val="center"/>
          </w:tcPr>
          <w:p w14:paraId="07D2B03F">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设备七、小型UPS电源</w:t>
            </w:r>
          </w:p>
          <w:p w14:paraId="5B5ABA32">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本项目配置小型UPS电源，保障伺服器、交换机、无线设备及软件平台等软硬件设施在断电情况下正常稳定运行，设备应至少满足以下主要参数及功能要求：</w:t>
            </w:r>
          </w:p>
          <w:p w14:paraId="661228D6">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★1、电气规格：额定容量≥6kVA/5400W</w:t>
            </w:r>
          </w:p>
          <w:p w14:paraId="378FE94B">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2、输出参数</w:t>
            </w:r>
          </w:p>
          <w:p w14:paraId="5776A77E">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（1）输出电压：220VAC</w:t>
            </w:r>
          </w:p>
          <w:p w14:paraId="783B0DB2">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（2）输出电压精度：±1%</w:t>
            </w:r>
          </w:p>
          <w:p w14:paraId="6426E85F">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3、过载能力</w:t>
            </w:r>
          </w:p>
          <w:p w14:paraId="76407096">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（1）市电模式：</w:t>
            </w:r>
          </w:p>
          <w:p w14:paraId="64C17B54">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105%～125%负载：持续运行≥10分钟</w:t>
            </w:r>
          </w:p>
          <w:p w14:paraId="549DFB19">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125%～150%负载：持续运行≥30秒</w:t>
            </w:r>
          </w:p>
          <w:p w14:paraId="684B748F">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＞150% 负载：0.5秒保护；</w:t>
            </w:r>
          </w:p>
          <w:p w14:paraId="287E7B0F">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（2）电池模式：具备分级过载保护机制。</w:t>
            </w:r>
          </w:p>
          <w:p w14:paraId="14FE5267">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4、电池配置</w:t>
            </w:r>
          </w:p>
          <w:p w14:paraId="265D8EEC">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（1）标配电池节数：15节；</w:t>
            </w:r>
          </w:p>
          <w:p w14:paraId="26E10890">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（2）电池规格：12V/7Ah阀控式铅酸蓄电池；</w:t>
            </w:r>
          </w:p>
          <w:p w14:paraId="3B4C5E1B">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（3）断电续航时间≥20分钟</w:t>
            </w:r>
          </w:p>
          <w:p w14:paraId="2E9BABCE">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（4）回充能力：7小时内充至电池容量≥ 90%。</w:t>
            </w:r>
          </w:p>
          <w:p w14:paraId="22805AEB">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5、噪声与静音：噪声≤50dB（1 米距离）；支持静音模式，可关闭蜂鸣器；</w:t>
            </w:r>
          </w:p>
          <w:p w14:paraId="2988404C">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6、防护与认证：防护等级≥IP20；</w:t>
            </w:r>
          </w:p>
          <w:p w14:paraId="4841716A">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7、运行环境：温度：至少覆盖0℃～40℃；湿度：至少覆盖20%～90%（无凝露）。</w:t>
            </w:r>
          </w:p>
        </w:tc>
        <w:tc>
          <w:tcPr>
            <w:tcW w:w="538" w:type="dxa"/>
            <w:tcBorders>
              <w:top w:val="single" w:color="auto" w:sz="4" w:space="0"/>
              <w:left w:val="single" w:color="auto" w:sz="4" w:space="0"/>
              <w:bottom w:val="single" w:color="auto" w:sz="4" w:space="0"/>
              <w:right w:val="single" w:color="auto" w:sz="4" w:space="0"/>
            </w:tcBorders>
            <w:noWrap w:val="0"/>
            <w:vAlign w:val="center"/>
          </w:tcPr>
          <w:p w14:paraId="3526F8DF">
            <w:pPr>
              <w:snapToGrid w:val="0"/>
              <w:spacing w:before="0" w:beforeAutospacing="0" w:after="0" w:line="30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套</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775BC0A8">
            <w:pPr>
              <w:snapToGrid w:val="0"/>
              <w:spacing w:before="0" w:beforeAutospacing="0" w:after="0" w:line="300" w:lineRule="auto"/>
              <w:jc w:val="center"/>
              <w:rPr>
                <w:rFonts w:hint="eastAsia" w:ascii="宋体" w:hAnsi="宋体" w:cs="宋体"/>
                <w:color w:val="000000"/>
                <w:szCs w:val="21"/>
                <w:highlight w:val="none"/>
              </w:rPr>
            </w:pPr>
            <w:r>
              <w:rPr>
                <w:rFonts w:hint="eastAsia" w:ascii="宋体" w:hAnsi="宋体" w:cs="宋体"/>
                <w:szCs w:val="21"/>
                <w:highlight w:val="none"/>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84266A1">
            <w:pPr>
              <w:autoSpaceDE w:val="0"/>
              <w:autoSpaceDN w:val="0"/>
              <w:adjustRightInd w:val="0"/>
              <w:spacing w:before="0" w:beforeAutospacing="0" w:after="0" w:line="300" w:lineRule="auto"/>
              <w:jc w:val="center"/>
              <w:rPr>
                <w:rFonts w:hint="eastAsia" w:ascii="宋体" w:hAnsi="宋体" w:cs="宋体"/>
                <w:szCs w:val="21"/>
                <w:highlight w:val="none"/>
                <w:lang w:bidi="ar"/>
              </w:rPr>
            </w:pPr>
            <w:r>
              <w:rPr>
                <w:rFonts w:hint="eastAsia" w:ascii="宋体" w:hAnsi="宋体" w:cs="宋体"/>
                <w:szCs w:val="21"/>
                <w:highlight w:val="none"/>
                <w:lang w:bidi="ar"/>
              </w:rPr>
              <w:t>工业</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82879D0">
            <w:pPr>
              <w:autoSpaceDE w:val="0"/>
              <w:autoSpaceDN w:val="0"/>
              <w:adjustRightInd w:val="0"/>
              <w:spacing w:before="0" w:beforeAutospacing="0" w:after="0" w:line="300" w:lineRule="auto"/>
              <w:jc w:val="center"/>
              <w:rPr>
                <w:rFonts w:hint="eastAsia" w:ascii="宋体" w:hAnsi="宋体" w:cs="宋体"/>
                <w:szCs w:val="21"/>
                <w:highlight w:val="none"/>
                <w:lang w:bidi="ar"/>
              </w:rPr>
            </w:pPr>
            <w:r>
              <w:rPr>
                <w:rFonts w:hint="eastAsia" w:ascii="宋体" w:hAnsi="宋体" w:cs="宋体"/>
                <w:szCs w:val="21"/>
                <w:highlight w:val="none"/>
                <w:lang w:bidi="ar"/>
              </w:rPr>
              <w:t>否</w:t>
            </w:r>
          </w:p>
        </w:tc>
      </w:tr>
      <w:tr w14:paraId="3B64A8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493" w:type="dxa"/>
            <w:vMerge w:val="continue"/>
            <w:tcBorders>
              <w:left w:val="single" w:color="auto" w:sz="4" w:space="0"/>
              <w:right w:val="single" w:color="auto" w:sz="4" w:space="0"/>
            </w:tcBorders>
            <w:noWrap w:val="0"/>
            <w:vAlign w:val="center"/>
          </w:tcPr>
          <w:p w14:paraId="6BAADBAA">
            <w:pPr>
              <w:snapToGrid w:val="0"/>
              <w:spacing w:before="0" w:beforeAutospacing="0" w:after="0" w:line="300" w:lineRule="auto"/>
              <w:jc w:val="center"/>
              <w:rPr>
                <w:rFonts w:hint="eastAsia" w:ascii="宋体" w:hAnsi="宋体" w:cs="宋体"/>
                <w:b/>
                <w:bCs/>
                <w:szCs w:val="21"/>
                <w:highlight w:val="none"/>
                <w:lang w:bidi="ar"/>
              </w:rPr>
            </w:pPr>
          </w:p>
        </w:tc>
        <w:tc>
          <w:tcPr>
            <w:tcW w:w="717" w:type="dxa"/>
            <w:vMerge w:val="continue"/>
            <w:tcBorders>
              <w:left w:val="single" w:color="auto" w:sz="4" w:space="0"/>
              <w:right w:val="single" w:color="auto" w:sz="4" w:space="0"/>
            </w:tcBorders>
            <w:noWrap w:val="0"/>
            <w:vAlign w:val="center"/>
          </w:tcPr>
          <w:p w14:paraId="04BCFC1A">
            <w:pPr>
              <w:snapToGrid w:val="0"/>
              <w:spacing w:before="0" w:beforeAutospacing="0" w:after="0" w:line="300" w:lineRule="auto"/>
              <w:rPr>
                <w:rFonts w:hint="eastAsia" w:ascii="宋体" w:hAnsi="宋体" w:cs="宋体"/>
                <w:b/>
                <w:bCs/>
                <w:szCs w:val="21"/>
                <w:highlight w:val="none"/>
                <w:lang w:bidi="ar"/>
              </w:rPr>
            </w:pPr>
          </w:p>
        </w:tc>
        <w:tc>
          <w:tcPr>
            <w:tcW w:w="4658" w:type="dxa"/>
            <w:tcBorders>
              <w:top w:val="single" w:color="auto" w:sz="4" w:space="0"/>
              <w:left w:val="single" w:color="auto" w:sz="4" w:space="0"/>
              <w:bottom w:val="single" w:color="auto" w:sz="4" w:space="0"/>
              <w:right w:val="single" w:color="auto" w:sz="4" w:space="0"/>
            </w:tcBorders>
            <w:noWrap w:val="0"/>
            <w:vAlign w:val="center"/>
          </w:tcPr>
          <w:p w14:paraId="12DF95BF">
            <w:pPr>
              <w:snapToGri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设备八、MR头显视角协同观摩设备，</w:t>
            </w:r>
            <w:r>
              <w:rPr>
                <w:rFonts w:hint="eastAsia" w:ascii="宋体" w:hAnsi="宋体" w:cs="宋体"/>
                <w:szCs w:val="21"/>
                <w:highlight w:val="none"/>
              </w:rPr>
              <w:t>设备满足以下功能和参数：</w:t>
            </w:r>
          </w:p>
          <w:p w14:paraId="1C2D809E">
            <w:pPr>
              <w:snapToGri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1、兼容性：</w:t>
            </w:r>
            <w:r>
              <w:rPr>
                <w:rFonts w:hint="eastAsia" w:ascii="宋体" w:hAnsi="宋体" w:cs="宋体"/>
                <w:szCs w:val="21"/>
                <w:highlight w:val="none"/>
              </w:rPr>
              <w:t>与MR协同分析头显设备、高速无线网络设备以及“深部资源勘探大数据MR协同分析平台”完全兼容；</w:t>
            </w:r>
          </w:p>
          <w:p w14:paraId="32258599">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2、显示参数：</w:t>
            </w:r>
          </w:p>
          <w:p w14:paraId="719D72D7">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★（1）显示器：LED液晶显示屏, ≥98 英寸，显示比例：16:9；</w:t>
            </w:r>
          </w:p>
          <w:p w14:paraId="36769BCB">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★（2）物理分辨率：3840×2160（4K超高清）；</w:t>
            </w:r>
          </w:p>
          <w:p w14:paraId="75682A23">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（3）对比度：≥1200：1；</w:t>
            </w:r>
          </w:p>
          <w:p w14:paraId="1BFA28AF">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（4）亮度：≥450cd/m</w:t>
            </w:r>
            <w:r>
              <w:rPr>
                <w:rFonts w:hint="eastAsia" w:ascii="宋体" w:hAnsi="宋体" w:cs="宋体"/>
                <w:szCs w:val="21"/>
                <w:highlight w:val="none"/>
                <w:vertAlign w:val="superscript"/>
              </w:rPr>
              <w:t>2</w:t>
            </w:r>
            <w:r>
              <w:rPr>
                <w:rFonts w:hint="eastAsia" w:ascii="宋体" w:hAnsi="宋体" w:cs="宋体"/>
                <w:szCs w:val="21"/>
                <w:highlight w:val="none"/>
              </w:rPr>
              <w:t>；</w:t>
            </w:r>
          </w:p>
          <w:p w14:paraId="4C574A5E">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（5）可视角度：178°(H)/178°(V)；</w:t>
            </w:r>
          </w:p>
          <w:p w14:paraId="535DC2F7">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（6）使用寿命：≥30000小时。</w:t>
            </w:r>
          </w:p>
          <w:p w14:paraId="0D9CBF04">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3、结构设计</w:t>
            </w:r>
          </w:p>
          <w:p w14:paraId="015CC739">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（1）整体结构：一体化设计，除电源线外无外部功能模块连接线；</w:t>
            </w:r>
          </w:p>
          <w:p w14:paraId="761AC171">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（2）隐藏式内置无线天线，无外置显露天线；</w:t>
            </w:r>
          </w:p>
          <w:p w14:paraId="61688C22">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4、图像与解码处理</w:t>
            </w:r>
          </w:p>
          <w:p w14:paraId="3E069423">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（1）支持视频运动降噪、运动自适应滤波；</w:t>
            </w:r>
          </w:p>
          <w:p w14:paraId="50BAA84B">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（2）具备高清图像处理引擎：支持运动补偿、色彩增强、点对点精显技术。</w:t>
            </w:r>
          </w:p>
          <w:p w14:paraId="770982CD">
            <w:pPr>
              <w:snapToGri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5、硬件配置</w:t>
            </w:r>
          </w:p>
          <w:p w14:paraId="7B3511E0">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（1）CPU：≥4核，主频≥1.8GHz</w:t>
            </w:r>
          </w:p>
          <w:p w14:paraId="16C997F6">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（2）运行内存：RAM≥4GB</w:t>
            </w:r>
          </w:p>
          <w:p w14:paraId="4E34463C">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（3）存储内存：ROM≥64GB</w:t>
            </w:r>
          </w:p>
          <w:p w14:paraId="1F3344FE">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6、网络与投屏</w:t>
            </w:r>
          </w:p>
          <w:p w14:paraId="7F8D54F4">
            <w:pPr>
              <w:snapToGrid w:val="0"/>
              <w:spacing w:before="0" w:beforeAutospacing="0" w:after="0" w:line="300" w:lineRule="auto"/>
              <w:rPr>
                <w:rFonts w:hint="eastAsia" w:ascii="宋体" w:hAnsi="宋体" w:cs="宋体"/>
                <w:color w:val="auto"/>
                <w:szCs w:val="21"/>
                <w:highlight w:val="none"/>
              </w:rPr>
            </w:pPr>
            <w:r>
              <w:rPr>
                <w:rFonts w:hint="eastAsia" w:ascii="宋体" w:hAnsi="宋体" w:cs="宋体"/>
                <w:szCs w:val="21"/>
                <w:highlight w:val="none"/>
              </w:rPr>
              <w:t>内置双频双路 WIFI 模组，共模</w:t>
            </w:r>
            <w:r>
              <w:rPr>
                <w:rFonts w:hint="eastAsia" w:ascii="宋体" w:hAnsi="宋体" w:cs="宋体"/>
                <w:color w:val="auto"/>
                <w:szCs w:val="21"/>
                <w:highlight w:val="none"/>
              </w:rPr>
              <w:t>双频，一路 WIFI 用于联网，一路用于热点投屏，双频段均支持 2.4G/5.8G，支持蓝牙功能，可外接蓝牙设备；</w:t>
            </w:r>
          </w:p>
          <w:p w14:paraId="762157CB">
            <w:pPr>
              <w:snapToGrid w:val="0"/>
              <w:spacing w:before="0" w:beforeAutospacing="0" w:after="0" w:line="300" w:lineRule="auto"/>
              <w:rPr>
                <w:rFonts w:hint="eastAsia" w:ascii="宋体" w:hAnsi="宋体" w:cs="宋体"/>
                <w:b/>
                <w:color w:val="auto"/>
                <w:szCs w:val="21"/>
                <w:highlight w:val="none"/>
              </w:rPr>
            </w:pPr>
            <w:r>
              <w:rPr>
                <w:rFonts w:hint="eastAsia" w:ascii="宋体" w:hAnsi="宋体" w:cs="宋体"/>
                <w:b/>
                <w:color w:val="auto"/>
                <w:szCs w:val="21"/>
                <w:highlight w:val="none"/>
              </w:rPr>
              <w:t>7、系统与网络功能</w:t>
            </w:r>
          </w:p>
          <w:p w14:paraId="4C86A074">
            <w:pPr>
              <w:snapToGrid w:val="0"/>
              <w:spacing w:before="0" w:beforeAutospacing="0" w:after="0" w:line="300" w:lineRule="auto"/>
              <w:rPr>
                <w:rFonts w:hint="eastAsia" w:ascii="宋体" w:hAnsi="宋体" w:cs="宋体"/>
                <w:color w:val="auto"/>
                <w:szCs w:val="21"/>
                <w:highlight w:val="none"/>
              </w:rPr>
            </w:pPr>
            <w:r>
              <w:rPr>
                <w:rFonts w:hint="eastAsia" w:ascii="宋体" w:hAnsi="宋体" w:cs="宋体"/>
                <w:color w:val="auto"/>
                <w:szCs w:val="21"/>
                <w:highlight w:val="none"/>
              </w:rPr>
              <w:t>（1）支持2个或2个以上市场常规PC端、移动端操作系统；</w:t>
            </w:r>
          </w:p>
          <w:p w14:paraId="2741F94E">
            <w:pPr>
              <w:snapToGrid w:val="0"/>
              <w:spacing w:before="0" w:beforeAutospacing="0" w:after="0" w:line="300" w:lineRule="auto"/>
              <w:rPr>
                <w:rFonts w:hint="eastAsia" w:ascii="宋体" w:hAnsi="宋体" w:cs="宋体"/>
                <w:color w:val="auto"/>
                <w:szCs w:val="21"/>
                <w:highlight w:val="none"/>
              </w:rPr>
            </w:pPr>
            <w:r>
              <w:rPr>
                <w:rFonts w:hint="eastAsia" w:ascii="宋体" w:hAnsi="宋体" w:cs="宋体"/>
                <w:color w:val="auto"/>
                <w:szCs w:val="21"/>
                <w:highlight w:val="none"/>
              </w:rPr>
              <w:t>（2）支持网络共享，单网线即可实现双系统同时上网；</w:t>
            </w:r>
          </w:p>
          <w:p w14:paraId="170D443D">
            <w:pPr>
              <w:snapToGrid w:val="0"/>
              <w:spacing w:before="0" w:beforeAutospacing="0" w:after="0" w:line="300" w:lineRule="auto"/>
              <w:rPr>
                <w:rFonts w:hint="eastAsia" w:ascii="宋体" w:hAnsi="宋体" w:cs="宋体"/>
                <w:color w:val="auto"/>
                <w:szCs w:val="21"/>
                <w:highlight w:val="none"/>
              </w:rPr>
            </w:pPr>
            <w:r>
              <w:rPr>
                <w:rFonts w:hint="eastAsia" w:ascii="宋体" w:hAnsi="宋体" w:cs="宋体"/>
                <w:color w:val="auto"/>
                <w:szCs w:val="21"/>
                <w:highlight w:val="none"/>
              </w:rPr>
              <w:t>（3）支持在线OTA软件升级。</w:t>
            </w:r>
          </w:p>
          <w:p w14:paraId="778FBD2F">
            <w:pPr>
              <w:snapToGrid w:val="0"/>
              <w:spacing w:before="0" w:beforeAutospacing="0" w:after="0" w:line="300" w:lineRule="auto"/>
              <w:rPr>
                <w:rFonts w:hint="eastAsia" w:ascii="宋体" w:hAnsi="宋体" w:cs="宋体"/>
                <w:b/>
                <w:color w:val="auto"/>
                <w:szCs w:val="21"/>
                <w:highlight w:val="none"/>
              </w:rPr>
            </w:pPr>
            <w:r>
              <w:rPr>
                <w:rFonts w:hint="eastAsia" w:ascii="宋体" w:hAnsi="宋体" w:cs="宋体"/>
                <w:b/>
                <w:color w:val="auto"/>
                <w:szCs w:val="21"/>
                <w:highlight w:val="none"/>
              </w:rPr>
              <w:t>8、接口配置</w:t>
            </w:r>
          </w:p>
          <w:p w14:paraId="7A972946">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（1）输入接口，应配置HDMI、DP、LAN、USB3.0等接口，且HDMI接口支持 CEC&amp;ARC 功能；</w:t>
            </w:r>
          </w:p>
          <w:p w14:paraId="46BB678A">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（2）输出接口，应配置S/PDIF、AUDIO、RS232、以及OPS卡座等。</w:t>
            </w:r>
          </w:p>
          <w:p w14:paraId="1687A477">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9、PC 模块</w:t>
            </w:r>
          </w:p>
          <w:p w14:paraId="1A564F50">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采用抽拉内置式模块化OPS电脑，PC 模块支持无单独接线插拔。</w:t>
            </w:r>
          </w:p>
          <w:p w14:paraId="25B49E64">
            <w:pPr>
              <w:snapToGrid w:val="0"/>
              <w:spacing w:before="0" w:beforeAutospacing="0" w:after="0" w:line="300" w:lineRule="auto"/>
              <w:rPr>
                <w:rFonts w:hint="eastAsia" w:ascii="宋体" w:hAnsi="宋体" w:cs="宋体"/>
                <w:b/>
                <w:szCs w:val="21"/>
                <w:highlight w:val="none"/>
              </w:rPr>
            </w:pPr>
            <w:r>
              <w:rPr>
                <w:rFonts w:hint="eastAsia" w:ascii="宋体" w:hAnsi="宋体" w:cs="宋体"/>
                <w:szCs w:val="21"/>
                <w:highlight w:val="none"/>
              </w:rPr>
              <w:t>1</w:t>
            </w:r>
            <w:r>
              <w:rPr>
                <w:rFonts w:hint="eastAsia" w:ascii="宋体" w:hAnsi="宋体" w:cs="宋体"/>
                <w:b/>
                <w:szCs w:val="21"/>
                <w:highlight w:val="none"/>
              </w:rPr>
              <w:t>0、移动支架</w:t>
            </w:r>
          </w:p>
          <w:p w14:paraId="67FE0C73">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（1）适用尺寸：支持≥98英寸显示器；</w:t>
            </w:r>
          </w:p>
          <w:p w14:paraId="53111619">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（2）承重：≥200kg；</w:t>
            </w:r>
          </w:p>
          <w:p w14:paraId="69D5E4F2">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（3）安装孔距：支持800×600mm。</w:t>
            </w:r>
          </w:p>
          <w:p w14:paraId="73A9B8A4">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11、无线传输模块</w:t>
            </w:r>
          </w:p>
          <w:p w14:paraId="4E7093E7">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（1）应用场景：将伺服器无线投屏展示；</w:t>
            </w:r>
          </w:p>
          <w:p w14:paraId="03FA2B23">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（2）接口支持：Type-C、USB双接口；</w:t>
            </w:r>
          </w:p>
          <w:p w14:paraId="7B644274">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（3）分辨率：≥4K显示分辨率；</w:t>
            </w:r>
          </w:p>
          <w:p w14:paraId="3610EC24">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（4）最大连接设备数：≥9台。</w:t>
            </w:r>
          </w:p>
        </w:tc>
        <w:tc>
          <w:tcPr>
            <w:tcW w:w="538" w:type="dxa"/>
            <w:tcBorders>
              <w:top w:val="single" w:color="auto" w:sz="4" w:space="0"/>
              <w:left w:val="single" w:color="auto" w:sz="4" w:space="0"/>
              <w:bottom w:val="single" w:color="auto" w:sz="4" w:space="0"/>
              <w:right w:val="single" w:color="auto" w:sz="4" w:space="0"/>
            </w:tcBorders>
            <w:noWrap w:val="0"/>
            <w:vAlign w:val="center"/>
          </w:tcPr>
          <w:p w14:paraId="54ACA624">
            <w:pPr>
              <w:snapToGrid w:val="0"/>
              <w:spacing w:before="0" w:beforeAutospacing="0" w:after="0" w:line="30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套</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06E44F7A">
            <w:pPr>
              <w:snapToGri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D46839F">
            <w:pPr>
              <w:autoSpaceDE w:val="0"/>
              <w:autoSpaceDN w:val="0"/>
              <w:adjustRightInd w:val="0"/>
              <w:spacing w:before="0" w:beforeAutospacing="0" w:after="0" w:line="300" w:lineRule="auto"/>
              <w:jc w:val="center"/>
              <w:rPr>
                <w:rFonts w:hint="eastAsia" w:ascii="宋体" w:hAnsi="宋体" w:cs="宋体"/>
                <w:szCs w:val="21"/>
                <w:highlight w:val="none"/>
                <w:lang w:bidi="ar"/>
              </w:rPr>
            </w:pPr>
            <w:r>
              <w:rPr>
                <w:rFonts w:hint="eastAsia" w:ascii="宋体" w:hAnsi="宋体" w:cs="宋体"/>
                <w:szCs w:val="21"/>
                <w:highlight w:val="none"/>
                <w:lang w:bidi="ar"/>
              </w:rPr>
              <w:t>工业</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241D5261">
            <w:pPr>
              <w:autoSpaceDE w:val="0"/>
              <w:autoSpaceDN w:val="0"/>
              <w:adjustRightInd w:val="0"/>
              <w:spacing w:before="0" w:beforeAutospacing="0" w:after="0" w:line="300" w:lineRule="auto"/>
              <w:jc w:val="center"/>
              <w:rPr>
                <w:rFonts w:hint="eastAsia" w:ascii="宋体" w:hAnsi="宋体" w:cs="宋体"/>
                <w:szCs w:val="21"/>
                <w:highlight w:val="none"/>
                <w:lang w:bidi="ar"/>
              </w:rPr>
            </w:pPr>
            <w:r>
              <w:rPr>
                <w:rFonts w:hint="eastAsia" w:ascii="宋体" w:hAnsi="宋体" w:cs="宋体"/>
                <w:szCs w:val="21"/>
                <w:highlight w:val="none"/>
                <w:lang w:bidi="ar"/>
              </w:rPr>
              <w:t>否</w:t>
            </w:r>
          </w:p>
        </w:tc>
      </w:tr>
      <w:tr w14:paraId="531AE2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3" w:type="dxa"/>
            <w:vMerge w:val="continue"/>
            <w:tcBorders>
              <w:left w:val="single" w:color="auto" w:sz="4" w:space="0"/>
              <w:right w:val="single" w:color="auto" w:sz="4" w:space="0"/>
            </w:tcBorders>
            <w:noWrap w:val="0"/>
            <w:vAlign w:val="center"/>
          </w:tcPr>
          <w:p w14:paraId="46936D6B">
            <w:pPr>
              <w:snapToGrid w:val="0"/>
              <w:spacing w:before="0" w:beforeAutospacing="0" w:after="0" w:line="300" w:lineRule="auto"/>
              <w:jc w:val="center"/>
              <w:rPr>
                <w:rFonts w:hint="eastAsia" w:ascii="宋体" w:hAnsi="宋体" w:cs="宋体"/>
                <w:b/>
                <w:bCs/>
                <w:szCs w:val="21"/>
                <w:highlight w:val="none"/>
                <w:lang w:bidi="ar"/>
              </w:rPr>
            </w:pPr>
          </w:p>
        </w:tc>
        <w:tc>
          <w:tcPr>
            <w:tcW w:w="717" w:type="dxa"/>
            <w:vMerge w:val="continue"/>
            <w:tcBorders>
              <w:left w:val="single" w:color="auto" w:sz="4" w:space="0"/>
              <w:right w:val="single" w:color="auto" w:sz="4" w:space="0"/>
            </w:tcBorders>
            <w:noWrap w:val="0"/>
            <w:vAlign w:val="center"/>
          </w:tcPr>
          <w:p w14:paraId="154ACCF1">
            <w:pPr>
              <w:snapToGrid w:val="0"/>
              <w:spacing w:before="0" w:beforeAutospacing="0" w:after="0" w:line="300" w:lineRule="auto"/>
              <w:rPr>
                <w:rFonts w:hint="eastAsia" w:ascii="宋体" w:hAnsi="宋体" w:cs="宋体"/>
                <w:b/>
                <w:bCs/>
                <w:szCs w:val="21"/>
                <w:highlight w:val="none"/>
                <w:lang w:bidi="ar"/>
              </w:rPr>
            </w:pPr>
          </w:p>
        </w:tc>
        <w:tc>
          <w:tcPr>
            <w:tcW w:w="4658" w:type="dxa"/>
            <w:tcBorders>
              <w:top w:val="single" w:color="auto" w:sz="4" w:space="0"/>
              <w:left w:val="single" w:color="auto" w:sz="4" w:space="0"/>
              <w:bottom w:val="single" w:color="auto" w:sz="4" w:space="0"/>
              <w:right w:val="single" w:color="auto" w:sz="4" w:space="0"/>
            </w:tcBorders>
            <w:noWrap w:val="0"/>
            <w:vAlign w:val="center"/>
          </w:tcPr>
          <w:p w14:paraId="393F901B">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设备九、设备收纳柜</w:t>
            </w:r>
          </w:p>
          <w:p w14:paraId="7B0EBEEF">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1、配置标准42U机柜，尺寸：≥600 mm（宽） ×800 mm（深）×2000 mm（高）；</w:t>
            </w:r>
          </w:p>
          <w:p w14:paraId="3BCE8DB6">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2、搭配5套通用托盘；</w:t>
            </w:r>
          </w:p>
          <w:p w14:paraId="28801ECD">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3、搭配含16孔位PDU电源，10A，带防雷指示灯，每路带独立开关。</w:t>
            </w:r>
          </w:p>
        </w:tc>
        <w:tc>
          <w:tcPr>
            <w:tcW w:w="538" w:type="dxa"/>
            <w:tcBorders>
              <w:top w:val="single" w:color="auto" w:sz="4" w:space="0"/>
              <w:left w:val="single" w:color="auto" w:sz="4" w:space="0"/>
              <w:right w:val="single" w:color="auto" w:sz="4" w:space="0"/>
            </w:tcBorders>
            <w:noWrap w:val="0"/>
            <w:vAlign w:val="center"/>
          </w:tcPr>
          <w:p w14:paraId="57948E3A">
            <w:pPr>
              <w:snapToGrid w:val="0"/>
              <w:spacing w:before="0" w:beforeAutospacing="0" w:after="0" w:line="300" w:lineRule="auto"/>
              <w:jc w:val="center"/>
              <w:rPr>
                <w:rFonts w:hint="eastAsia" w:ascii="宋体" w:hAnsi="宋体" w:cs="宋体"/>
                <w:b/>
                <w:bCs/>
                <w:szCs w:val="21"/>
                <w:highlight w:val="none"/>
                <w:lang w:bidi="ar"/>
              </w:rPr>
            </w:pPr>
            <w:r>
              <w:rPr>
                <w:rFonts w:hint="eastAsia" w:ascii="宋体" w:hAnsi="宋体" w:cs="宋体"/>
                <w:color w:val="000000"/>
                <w:szCs w:val="21"/>
                <w:highlight w:val="none"/>
              </w:rPr>
              <w:t>套</w:t>
            </w:r>
          </w:p>
        </w:tc>
        <w:tc>
          <w:tcPr>
            <w:tcW w:w="577" w:type="dxa"/>
            <w:tcBorders>
              <w:top w:val="single" w:color="auto" w:sz="4" w:space="0"/>
              <w:left w:val="single" w:color="auto" w:sz="4" w:space="0"/>
              <w:right w:val="single" w:color="auto" w:sz="4" w:space="0"/>
            </w:tcBorders>
            <w:noWrap w:val="0"/>
            <w:vAlign w:val="center"/>
          </w:tcPr>
          <w:p w14:paraId="5F183E95">
            <w:pPr>
              <w:snapToGrid w:val="0"/>
              <w:spacing w:before="0" w:beforeAutospacing="0" w:after="0" w:line="300" w:lineRule="auto"/>
              <w:jc w:val="center"/>
              <w:rPr>
                <w:rFonts w:hint="eastAsia" w:ascii="宋体" w:hAnsi="宋体" w:cs="宋体"/>
                <w:b/>
                <w:bCs/>
                <w:szCs w:val="21"/>
                <w:highlight w:val="none"/>
                <w:lang w:bidi="ar"/>
              </w:rPr>
            </w:pPr>
            <w:r>
              <w:rPr>
                <w:rFonts w:hint="eastAsia" w:ascii="宋体" w:hAnsi="宋体" w:cs="宋体"/>
                <w:color w:val="000000"/>
                <w:szCs w:val="21"/>
                <w:highlight w:val="none"/>
              </w:rPr>
              <w:t>1</w:t>
            </w:r>
          </w:p>
        </w:tc>
        <w:tc>
          <w:tcPr>
            <w:tcW w:w="720" w:type="dxa"/>
            <w:tcBorders>
              <w:top w:val="single" w:color="auto" w:sz="4" w:space="0"/>
              <w:left w:val="single" w:color="auto" w:sz="4" w:space="0"/>
              <w:right w:val="single" w:color="auto" w:sz="4" w:space="0"/>
            </w:tcBorders>
            <w:noWrap w:val="0"/>
            <w:vAlign w:val="center"/>
          </w:tcPr>
          <w:p w14:paraId="000E7DAE">
            <w:pPr>
              <w:autoSpaceDE w:val="0"/>
              <w:autoSpaceDN w:val="0"/>
              <w:adjustRightInd w:val="0"/>
              <w:spacing w:before="0" w:beforeAutospacing="0" w:after="0" w:line="300" w:lineRule="auto"/>
              <w:jc w:val="center"/>
              <w:rPr>
                <w:rFonts w:hint="eastAsia" w:ascii="宋体" w:hAnsi="宋体" w:cs="宋体"/>
                <w:szCs w:val="21"/>
                <w:highlight w:val="none"/>
                <w:lang w:bidi="ar"/>
              </w:rPr>
            </w:pPr>
            <w:r>
              <w:rPr>
                <w:rFonts w:hint="eastAsia" w:ascii="宋体" w:hAnsi="宋体" w:cs="宋体"/>
                <w:szCs w:val="21"/>
                <w:highlight w:val="none"/>
                <w:lang w:bidi="ar"/>
              </w:rPr>
              <w:t>工业</w:t>
            </w:r>
          </w:p>
        </w:tc>
        <w:tc>
          <w:tcPr>
            <w:tcW w:w="910" w:type="dxa"/>
            <w:tcBorders>
              <w:top w:val="single" w:color="auto" w:sz="4" w:space="0"/>
              <w:left w:val="single" w:color="auto" w:sz="4" w:space="0"/>
              <w:right w:val="single" w:color="auto" w:sz="4" w:space="0"/>
            </w:tcBorders>
            <w:noWrap w:val="0"/>
            <w:vAlign w:val="center"/>
          </w:tcPr>
          <w:p w14:paraId="41B85B57">
            <w:pPr>
              <w:autoSpaceDE w:val="0"/>
              <w:autoSpaceDN w:val="0"/>
              <w:adjustRightInd w:val="0"/>
              <w:spacing w:before="0" w:beforeAutospacing="0" w:after="0" w:line="300" w:lineRule="auto"/>
              <w:jc w:val="center"/>
              <w:rPr>
                <w:rFonts w:hint="eastAsia" w:ascii="宋体" w:hAnsi="宋体" w:cs="宋体"/>
                <w:szCs w:val="21"/>
                <w:highlight w:val="none"/>
                <w:lang w:bidi="ar"/>
              </w:rPr>
            </w:pPr>
            <w:r>
              <w:rPr>
                <w:rFonts w:hint="eastAsia" w:ascii="宋体" w:hAnsi="宋体" w:cs="宋体"/>
                <w:szCs w:val="21"/>
                <w:highlight w:val="none"/>
                <w:lang w:bidi="ar"/>
              </w:rPr>
              <w:t>否</w:t>
            </w:r>
          </w:p>
        </w:tc>
      </w:tr>
      <w:tr w14:paraId="4EB039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3" w:type="dxa"/>
            <w:vMerge w:val="continue"/>
            <w:tcBorders>
              <w:left w:val="single" w:color="auto" w:sz="4" w:space="0"/>
              <w:bottom w:val="single" w:color="auto" w:sz="4" w:space="0"/>
              <w:right w:val="single" w:color="auto" w:sz="4" w:space="0"/>
            </w:tcBorders>
            <w:noWrap w:val="0"/>
            <w:vAlign w:val="center"/>
          </w:tcPr>
          <w:p w14:paraId="702DA76C">
            <w:pPr>
              <w:snapToGrid w:val="0"/>
              <w:spacing w:before="0" w:beforeAutospacing="0" w:after="0" w:line="300" w:lineRule="auto"/>
              <w:jc w:val="center"/>
              <w:rPr>
                <w:rFonts w:hint="eastAsia" w:ascii="宋体" w:hAnsi="宋体" w:cs="宋体"/>
                <w:b/>
                <w:bCs/>
                <w:szCs w:val="21"/>
                <w:highlight w:val="none"/>
                <w:lang w:bidi="ar"/>
              </w:rPr>
            </w:pPr>
          </w:p>
        </w:tc>
        <w:tc>
          <w:tcPr>
            <w:tcW w:w="717" w:type="dxa"/>
            <w:vMerge w:val="continue"/>
            <w:tcBorders>
              <w:left w:val="single" w:color="auto" w:sz="4" w:space="0"/>
              <w:bottom w:val="single" w:color="auto" w:sz="4" w:space="0"/>
              <w:right w:val="single" w:color="auto" w:sz="4" w:space="0"/>
            </w:tcBorders>
            <w:noWrap w:val="0"/>
            <w:vAlign w:val="center"/>
          </w:tcPr>
          <w:p w14:paraId="75B33F76">
            <w:pPr>
              <w:snapToGrid w:val="0"/>
              <w:spacing w:before="0" w:beforeAutospacing="0" w:after="0" w:line="300" w:lineRule="auto"/>
              <w:rPr>
                <w:rFonts w:hint="eastAsia" w:ascii="宋体" w:hAnsi="宋体" w:cs="宋体"/>
                <w:b/>
                <w:bCs/>
                <w:szCs w:val="21"/>
                <w:highlight w:val="none"/>
                <w:lang w:bidi="ar"/>
              </w:rPr>
            </w:pPr>
          </w:p>
        </w:tc>
        <w:tc>
          <w:tcPr>
            <w:tcW w:w="4658" w:type="dxa"/>
            <w:tcBorders>
              <w:top w:val="single" w:color="auto" w:sz="4" w:space="0"/>
              <w:left w:val="single" w:color="auto" w:sz="4" w:space="0"/>
              <w:bottom w:val="single" w:color="auto" w:sz="4" w:space="0"/>
              <w:right w:val="single" w:color="auto" w:sz="4" w:space="0"/>
            </w:tcBorders>
            <w:noWrap w:val="0"/>
            <w:vAlign w:val="center"/>
          </w:tcPr>
          <w:p w14:paraId="56453524">
            <w:pPr>
              <w:snapToGri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设备十、防火墙</w:t>
            </w:r>
          </w:p>
          <w:p w14:paraId="6C6C139D">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★1、产品不少于6个10/100/1000M以太网电口，2个10/100/1000M SFP口，支持2个USB口和1个RJ45串口，1U机箱，网络层吞吐量≥3G，应用层吞吐量≥1G，防病毒吞吐量≥500M，IPS吞吐量≥400M，全威胁吞吐量（不含WAF）≥300M，并发连接数≥100万，HTTP新建连接数≥3万。</w:t>
            </w:r>
          </w:p>
          <w:p w14:paraId="664074FC">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2、产品支持路由类型、协议类型、网络对象、国家地区等条件进行自动选路的策略路由，支持不少于3种的调度算法，至少包括带宽比例、加权流量、线路优先等。</w:t>
            </w:r>
          </w:p>
          <w:p w14:paraId="6B844256">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 xml:space="preserve">★3、产品内置不低于16000种漏洞规则，同时支持在控制台界面通过漏洞ID、漏洞名称、危险等级、漏洞CVE标识、漏洞描述等条件查询漏洞特征信息，支持用户自定义IPS规则 </w:t>
            </w:r>
            <w:r>
              <w:rPr>
                <w:rFonts w:hint="eastAsia" w:ascii="宋体" w:hAnsi="宋体" w:cs="宋体"/>
                <w:b/>
                <w:szCs w:val="21"/>
                <w:highlight w:val="none"/>
              </w:rPr>
              <w:t>（投标文件中提供第三方机构出具的带有CMA标识的检测报告扫描件）</w:t>
            </w:r>
            <w:r>
              <w:rPr>
                <w:rFonts w:hint="eastAsia" w:ascii="宋体" w:hAnsi="宋体" w:cs="宋体"/>
                <w:szCs w:val="21"/>
                <w:highlight w:val="none"/>
              </w:rPr>
              <w:t>。</w:t>
            </w:r>
          </w:p>
          <w:p w14:paraId="48E1708A">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4、产品支持IPSec VPN智能选路功能，根据线路质量和应用实现自动链路切换选路模式支持智能负载选路、按指定顺序选路、优先使用质量最优的线路、按剩余带宽比例负载。</w:t>
            </w:r>
          </w:p>
          <w:p w14:paraId="266268BA">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5、支持日志本地存储，支持管理日志、系统日志、连接日志等日志类型存储，可对不同类型日志设置存储空间；</w:t>
            </w:r>
          </w:p>
          <w:p w14:paraId="36EAD957">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6、支持在WEB界面进行网络诊断，支持PING、TRACEROUTE、TCP、HTTP、DNS诊断方式；</w:t>
            </w:r>
          </w:p>
          <w:p w14:paraId="229E3AB8">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7、提供策略变更信息管理功能，支持查看变更策略、变更动作、变更时间、修改人、登陆IP，支持对变更前后的策略进行直观对比，并能一键还原配置；</w:t>
            </w:r>
          </w:p>
          <w:p w14:paraId="18276974">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8、产品支持对压缩病毒文件进行检测和拦截，压缩层数支持15层及以上；</w:t>
            </w:r>
          </w:p>
          <w:p w14:paraId="4F5D0BCE">
            <w:pPr>
              <w:snapToGri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9、产品支持Cookie攻击防护功能，并通过日志记录Cookie被篡改；</w:t>
            </w:r>
          </w:p>
          <w:p w14:paraId="5E89CACD">
            <w:pPr>
              <w:snapToGrid w:val="0"/>
              <w:spacing w:before="0" w:beforeAutospacing="0" w:after="0" w:line="300" w:lineRule="auto"/>
              <w:rPr>
                <w:rFonts w:hint="eastAsia" w:ascii="宋体" w:hAnsi="宋体" w:cs="宋体"/>
                <w:b/>
                <w:szCs w:val="21"/>
                <w:highlight w:val="none"/>
              </w:rPr>
            </w:pPr>
            <w:r>
              <w:rPr>
                <w:rFonts w:hint="eastAsia" w:ascii="宋体" w:hAnsi="宋体" w:cs="宋体"/>
                <w:szCs w:val="21"/>
                <w:highlight w:val="none"/>
              </w:rPr>
              <w:t>10、支持对被控制端为内网资产的telnet、ssh、rdp等常用的远程控制协议进行跟踪，支持对内网资产提供socks5代理的情况进行跟踪；支持通过学习资产的访问流量、访问次数数据，生成资产行为画像，实际行为出现偏差时判定异常并产生告警。</w:t>
            </w:r>
          </w:p>
        </w:tc>
        <w:tc>
          <w:tcPr>
            <w:tcW w:w="538" w:type="dxa"/>
            <w:tcBorders>
              <w:left w:val="single" w:color="auto" w:sz="4" w:space="0"/>
              <w:bottom w:val="single" w:color="auto" w:sz="4" w:space="0"/>
              <w:right w:val="single" w:color="auto" w:sz="4" w:space="0"/>
            </w:tcBorders>
            <w:noWrap w:val="0"/>
            <w:vAlign w:val="center"/>
          </w:tcPr>
          <w:p w14:paraId="58B49AAC">
            <w:pPr>
              <w:snapToGrid w:val="0"/>
              <w:spacing w:before="0" w:beforeAutospacing="0" w:after="0" w:line="30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套</w:t>
            </w:r>
          </w:p>
        </w:tc>
        <w:tc>
          <w:tcPr>
            <w:tcW w:w="577" w:type="dxa"/>
            <w:tcBorders>
              <w:left w:val="single" w:color="auto" w:sz="4" w:space="0"/>
              <w:bottom w:val="single" w:color="auto" w:sz="4" w:space="0"/>
              <w:right w:val="single" w:color="auto" w:sz="4" w:space="0"/>
            </w:tcBorders>
            <w:noWrap w:val="0"/>
            <w:vAlign w:val="center"/>
          </w:tcPr>
          <w:p w14:paraId="1B7800BA">
            <w:pPr>
              <w:snapToGrid w:val="0"/>
              <w:spacing w:before="0" w:beforeAutospacing="0" w:after="0" w:line="30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720" w:type="dxa"/>
            <w:tcBorders>
              <w:left w:val="single" w:color="auto" w:sz="4" w:space="0"/>
              <w:bottom w:val="single" w:color="auto" w:sz="4" w:space="0"/>
              <w:right w:val="single" w:color="auto" w:sz="4" w:space="0"/>
            </w:tcBorders>
            <w:noWrap w:val="0"/>
            <w:vAlign w:val="center"/>
          </w:tcPr>
          <w:p w14:paraId="453EF6B0">
            <w:pPr>
              <w:autoSpaceDE w:val="0"/>
              <w:autoSpaceDN w:val="0"/>
              <w:adjustRightInd w:val="0"/>
              <w:spacing w:before="0" w:beforeAutospacing="0" w:after="0" w:line="300" w:lineRule="auto"/>
              <w:jc w:val="center"/>
              <w:rPr>
                <w:rFonts w:hint="eastAsia" w:ascii="宋体" w:hAnsi="宋体" w:cs="宋体"/>
                <w:szCs w:val="21"/>
                <w:highlight w:val="none"/>
                <w:lang w:bidi="ar"/>
              </w:rPr>
            </w:pPr>
            <w:r>
              <w:rPr>
                <w:rFonts w:hint="eastAsia" w:ascii="宋体" w:hAnsi="宋体" w:cs="宋体"/>
                <w:szCs w:val="21"/>
                <w:highlight w:val="none"/>
                <w:lang w:bidi="ar"/>
              </w:rPr>
              <w:t>工业</w:t>
            </w:r>
          </w:p>
        </w:tc>
        <w:tc>
          <w:tcPr>
            <w:tcW w:w="910" w:type="dxa"/>
            <w:tcBorders>
              <w:left w:val="single" w:color="auto" w:sz="4" w:space="0"/>
              <w:bottom w:val="single" w:color="auto" w:sz="4" w:space="0"/>
              <w:right w:val="single" w:color="auto" w:sz="4" w:space="0"/>
            </w:tcBorders>
            <w:noWrap w:val="0"/>
            <w:vAlign w:val="center"/>
          </w:tcPr>
          <w:p w14:paraId="431D6806">
            <w:pPr>
              <w:autoSpaceDE w:val="0"/>
              <w:autoSpaceDN w:val="0"/>
              <w:adjustRightInd w:val="0"/>
              <w:spacing w:before="0" w:beforeAutospacing="0" w:after="0" w:line="300" w:lineRule="auto"/>
              <w:jc w:val="center"/>
              <w:rPr>
                <w:rFonts w:hint="eastAsia" w:ascii="宋体" w:hAnsi="宋体" w:cs="宋体"/>
                <w:szCs w:val="21"/>
                <w:highlight w:val="none"/>
                <w:lang w:bidi="ar"/>
              </w:rPr>
            </w:pPr>
            <w:r>
              <w:rPr>
                <w:rFonts w:hint="eastAsia" w:ascii="宋体" w:hAnsi="宋体" w:cs="宋体"/>
                <w:szCs w:val="21"/>
                <w:highlight w:val="none"/>
                <w:lang w:bidi="ar"/>
              </w:rPr>
              <w:t>否</w:t>
            </w:r>
          </w:p>
        </w:tc>
      </w:tr>
      <w:tr w14:paraId="263F98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93" w:type="dxa"/>
            <w:vMerge w:val="restart"/>
            <w:tcBorders>
              <w:top w:val="single" w:color="auto" w:sz="4" w:space="0"/>
              <w:left w:val="single" w:color="auto" w:sz="4" w:space="0"/>
              <w:right w:val="single" w:color="auto" w:sz="4" w:space="0"/>
            </w:tcBorders>
            <w:noWrap w:val="0"/>
            <w:vAlign w:val="center"/>
          </w:tcPr>
          <w:p w14:paraId="558C635C">
            <w:pPr>
              <w:spacing w:before="0" w:beforeAutospacing="0" w:after="0" w:line="300" w:lineRule="auto"/>
              <w:jc w:val="center"/>
              <w:rPr>
                <w:rFonts w:hint="eastAsia" w:ascii="宋体" w:hAnsi="宋体" w:cs="宋体"/>
                <w:szCs w:val="21"/>
                <w:highlight w:val="none"/>
              </w:rPr>
            </w:pPr>
            <w:bookmarkStart w:id="25" w:name="_Hlk226041398"/>
            <w:r>
              <w:rPr>
                <w:rFonts w:hint="eastAsia" w:ascii="宋体" w:hAnsi="宋体" w:cs="宋体"/>
                <w:szCs w:val="21"/>
                <w:highlight w:val="none"/>
                <w:lang w:bidi="ar"/>
              </w:rPr>
              <w:t>2</w:t>
            </w:r>
          </w:p>
        </w:tc>
        <w:tc>
          <w:tcPr>
            <w:tcW w:w="717" w:type="dxa"/>
            <w:vMerge w:val="restart"/>
            <w:tcBorders>
              <w:top w:val="single" w:color="auto" w:sz="4" w:space="0"/>
              <w:left w:val="single" w:color="auto" w:sz="4" w:space="0"/>
              <w:right w:val="single" w:color="auto" w:sz="4" w:space="0"/>
            </w:tcBorders>
            <w:noWrap w:val="0"/>
            <w:vAlign w:val="top"/>
          </w:tcPr>
          <w:p w14:paraId="0FFD7C28">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可</w:t>
            </w:r>
          </w:p>
          <w:p w14:paraId="22C4B674">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编</w:t>
            </w:r>
          </w:p>
          <w:p w14:paraId="0C18ABF5">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程</w:t>
            </w:r>
          </w:p>
          <w:p w14:paraId="4D962A85">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混</w:t>
            </w:r>
          </w:p>
          <w:p w14:paraId="6ABB59BA">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合</w:t>
            </w:r>
          </w:p>
          <w:p w14:paraId="696A955A">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现</w:t>
            </w:r>
          </w:p>
          <w:p w14:paraId="45D9C409">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实（MR）</w:t>
            </w:r>
          </w:p>
          <w:p w14:paraId="312BB29C">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系</w:t>
            </w:r>
          </w:p>
          <w:p w14:paraId="0C68A15C">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统</w:t>
            </w:r>
          </w:p>
          <w:p w14:paraId="10E90F13">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w:t>
            </w:r>
          </w:p>
          <w:p w14:paraId="59D41DB4">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深</w:t>
            </w:r>
          </w:p>
          <w:p w14:paraId="6F7FE4D2">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部</w:t>
            </w:r>
          </w:p>
          <w:p w14:paraId="37A33A09">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资</w:t>
            </w:r>
          </w:p>
          <w:p w14:paraId="05BD15EB">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源</w:t>
            </w:r>
          </w:p>
          <w:p w14:paraId="27987E32">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勘</w:t>
            </w:r>
          </w:p>
          <w:p w14:paraId="13F6F138">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探</w:t>
            </w:r>
          </w:p>
          <w:p w14:paraId="0AB379A1">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大</w:t>
            </w:r>
          </w:p>
          <w:p w14:paraId="02A2E762">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数</w:t>
            </w:r>
          </w:p>
          <w:p w14:paraId="20DFBFC4">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据 MR协</w:t>
            </w:r>
          </w:p>
          <w:p w14:paraId="4A8F7A08">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同</w:t>
            </w:r>
          </w:p>
          <w:p w14:paraId="1C310E12">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分</w:t>
            </w:r>
          </w:p>
          <w:p w14:paraId="2F7401CA">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析</w:t>
            </w:r>
          </w:p>
          <w:p w14:paraId="1A554E7F">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平</w:t>
            </w:r>
          </w:p>
          <w:p w14:paraId="08BD4EBC">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台</w:t>
            </w:r>
          </w:p>
        </w:tc>
        <w:tc>
          <w:tcPr>
            <w:tcW w:w="4658" w:type="dxa"/>
            <w:tcBorders>
              <w:top w:val="single" w:color="auto" w:sz="4" w:space="0"/>
              <w:left w:val="single" w:color="auto" w:sz="4" w:space="0"/>
              <w:bottom w:val="single" w:color="auto" w:sz="4" w:space="0"/>
              <w:right w:val="single" w:color="auto" w:sz="4" w:space="0"/>
            </w:tcBorders>
            <w:noWrap w:val="0"/>
            <w:vAlign w:val="center"/>
          </w:tcPr>
          <w:p w14:paraId="5722B6A8">
            <w:pPr>
              <w:autoSpaceDE w:val="0"/>
              <w:autoSpaceDN w:val="0"/>
              <w:adjustRightInd w:val="0"/>
              <w:spacing w:before="0" w:beforeAutospacing="0" w:after="0" w:line="300" w:lineRule="auto"/>
              <w:jc w:val="left"/>
              <w:rPr>
                <w:rFonts w:hint="eastAsia" w:ascii="宋体" w:hAnsi="宋体" w:cs="宋体"/>
                <w:b/>
                <w:szCs w:val="21"/>
                <w:highlight w:val="none"/>
              </w:rPr>
            </w:pPr>
            <w:r>
              <w:rPr>
                <w:rFonts w:hint="eastAsia" w:ascii="宋体" w:hAnsi="宋体" w:cs="宋体"/>
                <w:b/>
                <w:szCs w:val="21"/>
                <w:highlight w:val="none"/>
              </w:rPr>
              <w:t>软件一、客户端软件</w:t>
            </w:r>
          </w:p>
          <w:p w14:paraId="5B4DA0C7">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部署于MR协同分析头显，面向深部资源勘探场景，将深部资源地质勘探数据从二维屏幕拓展至三维沉浸式空间，实现立体可视化、多源数据融合、实时交互及多人协同操作，提升地震数据解释的效率与精度；</w:t>
            </w:r>
          </w:p>
          <w:p w14:paraId="5555F245">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1、</w:t>
            </w:r>
            <w:r>
              <w:rPr>
                <w:rFonts w:hint="eastAsia" w:ascii="宋体" w:hAnsi="宋体" w:cs="宋体"/>
                <w:szCs w:val="21"/>
                <w:highlight w:val="none"/>
              </w:rPr>
              <w:t>客户端支持用于大规模三维地震数据、测井数据及相关数据的MR显示与交互分析，主要承担数据渲染层工作，保障数据可视化与交互高效实现。客户端软件渲染层负责最终的MR可视化呈现与交互操作，核心功能包括对静态切片、动态切块、规则切片及非规则切片进行分类、分级筛选与目标显示，并整合各类交互分析功能，实现数据可视化与交互操作的无缝衔接</w:t>
            </w:r>
            <w:r>
              <w:rPr>
                <w:rFonts w:hint="eastAsia" w:ascii="宋体" w:hAnsi="宋体" w:cs="宋体"/>
                <w:b/>
                <w:bCs/>
                <w:szCs w:val="21"/>
                <w:highlight w:val="none"/>
              </w:rPr>
              <w:t>（投标文件中提供书面承诺，格式自拟）</w:t>
            </w:r>
            <w:r>
              <w:rPr>
                <w:rFonts w:hint="eastAsia" w:ascii="宋体" w:hAnsi="宋体" w:cs="宋体"/>
                <w:szCs w:val="21"/>
                <w:highlight w:val="none"/>
              </w:rPr>
              <w:t>；</w:t>
            </w:r>
          </w:p>
          <w:p w14:paraId="45B92485">
            <w:pPr>
              <w:autoSpaceDE w:val="0"/>
              <w:autoSpaceDN w:val="0"/>
              <w:adjustRightInd w:val="0"/>
              <w:spacing w:before="0" w:beforeAutospacing="0" w:after="0" w:line="300" w:lineRule="auto"/>
              <w:rPr>
                <w:rFonts w:hint="eastAsia" w:ascii="宋体" w:hAnsi="宋体" w:cs="宋体"/>
                <w:bCs/>
                <w:szCs w:val="21"/>
                <w:highlight w:val="none"/>
              </w:rPr>
            </w:pPr>
            <w:r>
              <w:rPr>
                <w:rFonts w:hint="eastAsia" w:ascii="宋体" w:hAnsi="宋体" w:cs="宋体"/>
                <w:bCs/>
                <w:szCs w:val="21"/>
                <w:highlight w:val="none"/>
              </w:rPr>
              <w:t>2、客户端软件支持在MR设备上稳定运行，无卡顿、闪退等异常情况；</w:t>
            </w:r>
          </w:p>
          <w:p w14:paraId="3BB6F91B">
            <w:pPr>
              <w:autoSpaceDE w:val="0"/>
              <w:autoSpaceDN w:val="0"/>
              <w:adjustRightInd w:val="0"/>
              <w:spacing w:before="0" w:beforeAutospacing="0" w:after="0" w:line="300" w:lineRule="auto"/>
              <w:rPr>
                <w:rFonts w:hint="eastAsia" w:ascii="宋体" w:hAnsi="宋体" w:cs="宋体"/>
                <w:bCs/>
                <w:szCs w:val="21"/>
                <w:highlight w:val="none"/>
              </w:rPr>
            </w:pPr>
            <w:r>
              <w:rPr>
                <w:rFonts w:hint="eastAsia" w:ascii="宋体" w:hAnsi="宋体" w:cs="宋体"/>
                <w:bCs/>
                <w:szCs w:val="21"/>
                <w:highlight w:val="none"/>
              </w:rPr>
              <w:t>3、客户端软件支持不少于5人同场协同交互分析，可适配≥100平方米室内空旷场地部署使用，满足多人协同作业需求；</w:t>
            </w:r>
          </w:p>
          <w:p w14:paraId="6D5A70DB">
            <w:pPr>
              <w:autoSpaceDE w:val="0"/>
              <w:autoSpaceDN w:val="0"/>
              <w:adjustRightInd w:val="0"/>
              <w:spacing w:before="0" w:beforeAutospacing="0" w:after="0" w:line="300" w:lineRule="auto"/>
              <w:rPr>
                <w:rFonts w:hint="eastAsia" w:ascii="宋体" w:hAnsi="宋体" w:cs="宋体"/>
                <w:bCs/>
                <w:szCs w:val="21"/>
                <w:highlight w:val="none"/>
              </w:rPr>
            </w:pPr>
            <w:r>
              <w:rPr>
                <w:rFonts w:hint="eastAsia" w:ascii="宋体" w:hAnsi="宋体" w:cs="宋体"/>
                <w:bCs/>
                <w:szCs w:val="21"/>
                <w:highlight w:val="none"/>
              </w:rPr>
              <w:t>4、客户端软件应支持与伺服器端软件实时通信，可准确接收伺服器端下发的处理结果、调度指令及协同状态数据，确保数据同步一致；</w:t>
            </w:r>
          </w:p>
          <w:p w14:paraId="7FC9EAB4">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5、客户端软件应具备完善的用户交互分析功能，至少支持以下功能：</w:t>
            </w:r>
          </w:p>
          <w:p w14:paraId="68D59D4B">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1）全空间立体呈现</w:t>
            </w:r>
            <w:r>
              <w:rPr>
                <w:rFonts w:hint="eastAsia" w:ascii="宋体" w:hAnsi="宋体" w:cs="宋体"/>
                <w:b/>
                <w:bCs/>
                <w:szCs w:val="21"/>
                <w:highlight w:val="none"/>
              </w:rPr>
              <w:t>（投标文件中提供书面承诺，格式自拟）</w:t>
            </w:r>
            <w:r>
              <w:rPr>
                <w:rFonts w:hint="eastAsia" w:ascii="宋体" w:hAnsi="宋体" w:cs="宋体"/>
                <w:b/>
                <w:szCs w:val="21"/>
                <w:highlight w:val="none"/>
              </w:rPr>
              <w:t>：</w:t>
            </w:r>
            <w:r>
              <w:rPr>
                <w:rFonts w:hint="eastAsia" w:ascii="宋体" w:hAnsi="宋体" w:cs="宋体"/>
                <w:szCs w:val="21"/>
                <w:highlight w:val="none"/>
              </w:rPr>
              <w:t>将叠后地震数据、层位、断层、属性体（振幅、波阻抗、相干体等）等多源数据渲染为三维全息模型，让解释人员“走入”地下构造，直观感知地层起伏、断层展布、储层形态；</w:t>
            </w:r>
          </w:p>
          <w:p w14:paraId="4CA3AF0A">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2）多尺度精细观察</w:t>
            </w:r>
            <w:r>
              <w:rPr>
                <w:rFonts w:hint="eastAsia" w:ascii="宋体" w:hAnsi="宋体" w:cs="宋体"/>
                <w:b/>
                <w:bCs/>
                <w:szCs w:val="21"/>
                <w:highlight w:val="none"/>
              </w:rPr>
              <w:t>（投标文件中提供书面承诺，格式自拟）</w:t>
            </w:r>
            <w:r>
              <w:rPr>
                <w:rFonts w:hint="eastAsia" w:ascii="宋体" w:hAnsi="宋体" w:cs="宋体"/>
                <w:b/>
                <w:szCs w:val="21"/>
                <w:highlight w:val="none"/>
              </w:rPr>
              <w:t>：</w:t>
            </w:r>
            <w:r>
              <w:rPr>
                <w:rFonts w:hint="eastAsia" w:ascii="宋体" w:hAnsi="宋体" w:cs="宋体"/>
                <w:szCs w:val="21"/>
                <w:highlight w:val="none"/>
              </w:rPr>
              <w:t>从盆地级构造到单井储层细节，借助MR头显和辅助设备（如手柄），实现比例缩放、漫游、剖切，突破地震数据解释和分析手段的限制；</w:t>
            </w:r>
          </w:p>
          <w:p w14:paraId="1A730EC5">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3）跨域数据叠加</w:t>
            </w:r>
            <w:r>
              <w:rPr>
                <w:rFonts w:hint="eastAsia" w:ascii="宋体" w:hAnsi="宋体" w:cs="宋体"/>
                <w:b/>
                <w:bCs/>
                <w:szCs w:val="21"/>
                <w:highlight w:val="none"/>
              </w:rPr>
              <w:t>（投标文件中提供书面承诺，格式自拟）</w:t>
            </w:r>
            <w:r>
              <w:rPr>
                <w:rFonts w:hint="eastAsia" w:ascii="宋体" w:hAnsi="宋体" w:cs="宋体"/>
                <w:b/>
                <w:szCs w:val="21"/>
                <w:highlight w:val="none"/>
              </w:rPr>
              <w:t>：</w:t>
            </w:r>
            <w:r>
              <w:rPr>
                <w:rFonts w:hint="eastAsia" w:ascii="宋体" w:hAnsi="宋体" w:cs="宋体"/>
                <w:szCs w:val="21"/>
                <w:highlight w:val="none"/>
              </w:rPr>
              <w:t>在同一空间融合地震数据、测井曲线、岩心数据、地质图、钻井轨迹和生产动态数据等，实现“一张图”综合解释深部资源勘探相关数据；</w:t>
            </w:r>
          </w:p>
          <w:p w14:paraId="41589B37">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4）属性联动分析：</w:t>
            </w:r>
            <w:r>
              <w:rPr>
                <w:rFonts w:hint="eastAsia" w:ascii="宋体" w:hAnsi="宋体" w:cs="宋体"/>
                <w:szCs w:val="21"/>
                <w:highlight w:val="none"/>
              </w:rPr>
              <w:t>借助MR头显设备，同步查看不同地震属性（如均方根振幅、频率切片）在三维空间的分布差异，快速识别异常体与储层边界；</w:t>
            </w:r>
          </w:p>
          <w:p w14:paraId="73AFBDC2">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5）井震联合标定：</w:t>
            </w:r>
            <w:r>
              <w:rPr>
                <w:rFonts w:hint="eastAsia" w:ascii="宋体" w:hAnsi="宋体" w:cs="宋体"/>
                <w:szCs w:val="21"/>
                <w:highlight w:val="none"/>
              </w:rPr>
              <w:t>支持地震数据、地质体模型和测井数据的联合加载，将测井曲线精准投射到地震数据上，在三维视角下刻画虚拟井轨迹，直观验证层位追踪与储层预测结果</w:t>
            </w:r>
            <w:r>
              <w:rPr>
                <w:rFonts w:hint="eastAsia" w:ascii="宋体" w:hAnsi="宋体" w:cs="宋体"/>
                <w:bCs/>
                <w:szCs w:val="21"/>
                <w:highlight w:val="none"/>
              </w:rPr>
              <w:t>；</w:t>
            </w:r>
          </w:p>
          <w:p w14:paraId="7E380F99">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6）交互手柄控制：</w:t>
            </w:r>
            <w:r>
              <w:rPr>
                <w:rFonts w:hint="eastAsia" w:ascii="宋体" w:hAnsi="宋体" w:cs="宋体"/>
                <w:szCs w:val="21"/>
                <w:highlight w:val="none"/>
              </w:rPr>
              <w:t>通过手柄选择、视角移动、比例缩放等方式，在浸入式全三维视角下，实现层位拾取、断层解释、属性计算等</w:t>
            </w:r>
            <w:r>
              <w:rPr>
                <w:rFonts w:hint="eastAsia" w:ascii="宋体" w:hAnsi="宋体" w:cs="宋体"/>
                <w:bCs/>
                <w:szCs w:val="21"/>
                <w:highlight w:val="none"/>
              </w:rPr>
              <w:t>；</w:t>
            </w:r>
            <w:r>
              <w:rPr>
                <w:rFonts w:hint="eastAsia" w:ascii="宋体" w:hAnsi="宋体" w:cs="宋体"/>
                <w:szCs w:val="21"/>
                <w:highlight w:val="none"/>
              </w:rPr>
              <w:t xml:space="preserve">  </w:t>
            </w:r>
          </w:p>
          <w:p w14:paraId="65F6AA63">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7）实时交互修改</w:t>
            </w:r>
            <w:r>
              <w:rPr>
                <w:rFonts w:hint="eastAsia" w:ascii="宋体" w:hAnsi="宋体" w:cs="宋体"/>
                <w:b/>
                <w:bCs/>
                <w:szCs w:val="21"/>
                <w:highlight w:val="none"/>
              </w:rPr>
              <w:t>（投标文件中提供书面承诺，格式自拟）</w:t>
            </w:r>
            <w:r>
              <w:rPr>
                <w:rFonts w:hint="eastAsia" w:ascii="宋体" w:hAnsi="宋体" w:cs="宋体"/>
                <w:b/>
                <w:szCs w:val="21"/>
                <w:highlight w:val="none"/>
              </w:rPr>
              <w:t>：</w:t>
            </w:r>
            <w:r>
              <w:rPr>
                <w:rFonts w:hint="eastAsia" w:ascii="宋体" w:hAnsi="宋体" w:cs="宋体"/>
                <w:szCs w:val="21"/>
                <w:highlight w:val="none"/>
              </w:rPr>
              <w:t>在三维空间直接拖拽修改层位、断层线，系统实时更新模型与属性计算结果，所见即所得；</w:t>
            </w:r>
          </w:p>
          <w:p w14:paraId="1F8EB574">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8）虚拟测量与标注：</w:t>
            </w:r>
            <w:r>
              <w:rPr>
                <w:rFonts w:hint="eastAsia" w:ascii="宋体" w:hAnsi="宋体" w:cs="宋体"/>
                <w:szCs w:val="21"/>
                <w:highlight w:val="none"/>
              </w:rPr>
              <w:t>在模型上提供标尺测距功能，直接测量断层落差、地层厚度、储层展布范围，并提供特定标记以实现添加空间标注与解释结论</w:t>
            </w:r>
            <w:r>
              <w:rPr>
                <w:rFonts w:hint="eastAsia" w:ascii="宋体" w:hAnsi="宋体" w:cs="宋体"/>
                <w:bCs/>
                <w:szCs w:val="21"/>
                <w:highlight w:val="none"/>
              </w:rPr>
              <w:t>；</w:t>
            </w:r>
          </w:p>
          <w:p w14:paraId="648B0E50">
            <w:pPr>
              <w:autoSpaceDE w:val="0"/>
              <w:autoSpaceDN w:val="0"/>
              <w:adjustRightInd w:val="0"/>
              <w:spacing w:before="0" w:beforeAutospacing="0" w:after="0" w:line="300" w:lineRule="auto"/>
              <w:rPr>
                <w:rFonts w:hint="eastAsia" w:ascii="宋体" w:hAnsi="宋体" w:cs="宋体"/>
                <w:color w:val="FF0000"/>
                <w:szCs w:val="21"/>
                <w:highlight w:val="none"/>
              </w:rPr>
            </w:pPr>
            <w:r>
              <w:rPr>
                <w:rFonts w:hint="eastAsia" w:ascii="宋体" w:hAnsi="宋体" w:cs="宋体"/>
                <w:szCs w:val="21"/>
                <w:highlight w:val="none"/>
              </w:rPr>
              <w:t>（</w:t>
            </w:r>
            <w:r>
              <w:rPr>
                <w:rFonts w:hint="eastAsia" w:ascii="宋体" w:hAnsi="宋体" w:cs="宋体"/>
                <w:b/>
                <w:szCs w:val="21"/>
                <w:highlight w:val="none"/>
              </w:rPr>
              <w:t>9）同场协作：</w:t>
            </w:r>
            <w:r>
              <w:rPr>
                <w:rFonts w:hint="eastAsia" w:ascii="宋体" w:hAnsi="宋体" w:cs="宋体"/>
                <w:szCs w:val="21"/>
                <w:highlight w:val="none"/>
              </w:rPr>
              <w:t>应支持多人同场协同状态实时展示，至少包括各用户的空间位置、观察视角及会话状态的同步显示，多位专家通过MR头显进入同一虚拟解释空间，共同查看、编辑（标注与标定等）、讨论同一模型，实时同步视角与操作</w:t>
            </w:r>
            <w:r>
              <w:rPr>
                <w:rFonts w:hint="eastAsia" w:ascii="宋体" w:hAnsi="宋体" w:cs="宋体"/>
                <w:bCs/>
                <w:szCs w:val="21"/>
                <w:highlight w:val="none"/>
              </w:rPr>
              <w:t>；</w:t>
            </w:r>
          </w:p>
          <w:p w14:paraId="799E5DD7">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（10）沉浸式汇报：</w:t>
            </w:r>
            <w:r>
              <w:rPr>
                <w:rFonts w:hint="eastAsia" w:ascii="宋体" w:hAnsi="宋体" w:cs="宋体"/>
                <w:szCs w:val="21"/>
                <w:highlight w:val="none"/>
              </w:rPr>
              <w:t>向第三方进行三维沉浸式地震数据研究成果汇报，直观展示构造特征与勘探潜力；</w:t>
            </w:r>
          </w:p>
          <w:p w14:paraId="00343DF4">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11）虚拟钻井模拟：</w:t>
            </w:r>
            <w:r>
              <w:rPr>
                <w:rFonts w:hint="eastAsia" w:ascii="宋体" w:hAnsi="宋体" w:cs="宋体"/>
                <w:szCs w:val="21"/>
                <w:highlight w:val="none"/>
              </w:rPr>
              <w:t>在MR环境中模拟不同井轨迹，预测钻遇地层与储层，优化井位设计；</w:t>
            </w:r>
          </w:p>
          <w:p w14:paraId="6F5103FE">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■（12）分层功能：</w:t>
            </w:r>
            <w:r>
              <w:rPr>
                <w:rFonts w:hint="eastAsia" w:ascii="宋体" w:hAnsi="宋体" w:cs="宋体"/>
                <w:szCs w:val="21"/>
                <w:highlight w:val="none"/>
              </w:rPr>
              <w:t>支持单独查看指定目标地质体、剥离指定层位或地质体，可实现单层位、多层位、单一地质体和多个地质体的剥离</w:t>
            </w:r>
            <w:r>
              <w:rPr>
                <w:rFonts w:hint="eastAsia" w:ascii="宋体" w:hAnsi="宋体" w:cs="宋体"/>
                <w:b/>
                <w:szCs w:val="21"/>
                <w:highlight w:val="none"/>
              </w:rPr>
              <w:t>（投标时提供演示）</w:t>
            </w:r>
            <w:r>
              <w:rPr>
                <w:rFonts w:hint="eastAsia" w:ascii="宋体" w:hAnsi="宋体" w:cs="宋体"/>
                <w:szCs w:val="21"/>
                <w:highlight w:val="none"/>
              </w:rPr>
              <w:t>；</w:t>
            </w:r>
          </w:p>
          <w:p w14:paraId="75D1E7DA">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■（13）切片功能：</w:t>
            </w:r>
            <w:r>
              <w:rPr>
                <w:rFonts w:hint="eastAsia" w:ascii="宋体" w:hAnsi="宋体" w:cs="宋体"/>
                <w:szCs w:val="21"/>
                <w:highlight w:val="none"/>
              </w:rPr>
              <w:t>集成平面切片工具，支持查看X、Y、Z三个方向的模型切片，支持非规则方向（任意曲线方向）的切片，切片位置可灵活调整，保障模型剖面查看精度达到亚米级</w:t>
            </w:r>
            <w:r>
              <w:rPr>
                <w:rFonts w:hint="eastAsia" w:ascii="宋体" w:hAnsi="宋体" w:cs="宋体"/>
                <w:b/>
                <w:szCs w:val="21"/>
                <w:highlight w:val="none"/>
              </w:rPr>
              <w:t>（投标时提供演示）</w:t>
            </w:r>
            <w:r>
              <w:rPr>
                <w:rFonts w:hint="eastAsia" w:ascii="宋体" w:hAnsi="宋体" w:cs="宋体"/>
                <w:szCs w:val="21"/>
                <w:highlight w:val="none"/>
              </w:rPr>
              <w:t>；</w:t>
            </w:r>
          </w:p>
          <w:p w14:paraId="1CC45486">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■（14）组合切片功能：</w:t>
            </w:r>
            <w:r>
              <w:rPr>
                <w:rFonts w:hint="eastAsia" w:ascii="宋体" w:hAnsi="宋体" w:cs="宋体"/>
                <w:szCs w:val="21"/>
                <w:highlight w:val="none"/>
              </w:rPr>
              <w:t>支持组合平面切片工具，可实现X、Y、Z三个方向的切片以及任意方向的切片自由组合，能够对地质体模型进行联合裁切，实现多维度观察分析</w:t>
            </w:r>
            <w:r>
              <w:rPr>
                <w:rFonts w:hint="eastAsia" w:ascii="宋体" w:hAnsi="宋体" w:cs="宋体"/>
                <w:b/>
                <w:szCs w:val="21"/>
                <w:highlight w:val="none"/>
              </w:rPr>
              <w:t>（投标时提供演示）</w:t>
            </w:r>
            <w:r>
              <w:rPr>
                <w:rFonts w:hint="eastAsia" w:ascii="宋体" w:hAnsi="宋体" w:cs="宋体"/>
                <w:szCs w:val="21"/>
                <w:highlight w:val="none"/>
              </w:rPr>
              <w:t>；</w:t>
            </w:r>
          </w:p>
          <w:p w14:paraId="731F789A">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■15、标注功能：</w:t>
            </w:r>
            <w:r>
              <w:rPr>
                <w:rFonts w:hint="eastAsia" w:ascii="宋体" w:hAnsi="宋体" w:cs="宋体"/>
                <w:szCs w:val="21"/>
                <w:highlight w:val="none"/>
              </w:rPr>
              <w:t>支持按指定颜色在三维空间内进行画线标注，标注内容可即时保存、查看</w:t>
            </w:r>
            <w:r>
              <w:rPr>
                <w:rFonts w:hint="eastAsia" w:ascii="宋体" w:hAnsi="宋体" w:cs="宋体"/>
                <w:b/>
                <w:szCs w:val="21"/>
                <w:highlight w:val="none"/>
              </w:rPr>
              <w:t>（投标时提供演示）</w:t>
            </w:r>
            <w:r>
              <w:rPr>
                <w:rFonts w:hint="eastAsia" w:ascii="宋体" w:hAnsi="宋体" w:cs="宋体"/>
                <w:bCs/>
                <w:szCs w:val="21"/>
                <w:highlight w:val="none"/>
              </w:rPr>
              <w:t>；</w:t>
            </w:r>
          </w:p>
          <w:p w14:paraId="0B5A6521">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16、高吞吐率：</w:t>
            </w:r>
            <w:r>
              <w:rPr>
                <w:rFonts w:hint="eastAsia" w:ascii="宋体" w:hAnsi="宋体" w:cs="宋体"/>
                <w:szCs w:val="21"/>
                <w:highlight w:val="none"/>
              </w:rPr>
              <w:t>支持≥10亿级网格点三维地质体模型或三维地震数据的MR头显协同分析，MR显示流程不卡顿</w:t>
            </w:r>
            <w:r>
              <w:rPr>
                <w:rFonts w:hint="eastAsia" w:ascii="宋体" w:hAnsi="宋体" w:cs="宋体"/>
                <w:b/>
                <w:szCs w:val="21"/>
                <w:highlight w:val="none"/>
              </w:rPr>
              <w:t>（投标时提供演示）</w:t>
            </w:r>
            <w:r>
              <w:rPr>
                <w:rFonts w:hint="eastAsia" w:ascii="宋体" w:hAnsi="宋体" w:cs="宋体"/>
                <w:bCs/>
                <w:szCs w:val="21"/>
                <w:highlight w:val="none"/>
              </w:rPr>
              <w:t>；</w:t>
            </w:r>
          </w:p>
          <w:p w14:paraId="68DFED24">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17、优化设计：</w:t>
            </w:r>
            <w:r>
              <w:rPr>
                <w:rFonts w:hint="eastAsia" w:ascii="宋体" w:hAnsi="宋体" w:cs="宋体"/>
                <w:szCs w:val="21"/>
                <w:highlight w:val="none"/>
              </w:rPr>
              <w:t>应针对MR端图形算力受限场景进行专项性能优化，实现动态 LOD（细节层次）、遮挡剔除及数据按需加载功能，并保证画面刷新率≥30FPS。</w:t>
            </w:r>
          </w:p>
        </w:tc>
        <w:tc>
          <w:tcPr>
            <w:tcW w:w="538" w:type="dxa"/>
            <w:tcBorders>
              <w:top w:val="single" w:color="auto" w:sz="4" w:space="0"/>
              <w:left w:val="single" w:color="auto" w:sz="4" w:space="0"/>
              <w:right w:val="single" w:color="auto" w:sz="4" w:space="0"/>
            </w:tcBorders>
            <w:noWrap w:val="0"/>
            <w:vAlign w:val="center"/>
          </w:tcPr>
          <w:p w14:paraId="1D1ADBAD">
            <w:pPr>
              <w:autoSpaceDE w:val="0"/>
              <w:autoSpaceDN w:val="0"/>
              <w:adjustRightInd w:val="0"/>
              <w:spacing w:before="0" w:beforeAutospacing="0" w:after="0" w:line="300" w:lineRule="auto"/>
              <w:jc w:val="left"/>
              <w:rPr>
                <w:rFonts w:hint="eastAsia" w:ascii="宋体" w:hAnsi="宋体" w:cs="宋体"/>
                <w:szCs w:val="21"/>
                <w:highlight w:val="none"/>
              </w:rPr>
            </w:pPr>
            <w:r>
              <w:rPr>
                <w:rFonts w:hint="eastAsia" w:ascii="宋体" w:hAnsi="宋体" w:cs="宋体"/>
                <w:szCs w:val="21"/>
                <w:highlight w:val="none"/>
              </w:rPr>
              <w:t>套</w:t>
            </w:r>
          </w:p>
        </w:tc>
        <w:tc>
          <w:tcPr>
            <w:tcW w:w="577" w:type="dxa"/>
            <w:tcBorders>
              <w:top w:val="single" w:color="auto" w:sz="4" w:space="0"/>
              <w:left w:val="single" w:color="auto" w:sz="4" w:space="0"/>
              <w:right w:val="single" w:color="auto" w:sz="4" w:space="0"/>
            </w:tcBorders>
            <w:noWrap w:val="0"/>
            <w:vAlign w:val="center"/>
          </w:tcPr>
          <w:p w14:paraId="7DFB6B1A">
            <w:pPr>
              <w:autoSpaceDE w:val="0"/>
              <w:autoSpaceDN w:val="0"/>
              <w:adjustRightIn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rPr>
              <w:t>5</w:t>
            </w:r>
          </w:p>
        </w:tc>
        <w:tc>
          <w:tcPr>
            <w:tcW w:w="720" w:type="dxa"/>
            <w:tcBorders>
              <w:top w:val="single" w:color="auto" w:sz="4" w:space="0"/>
              <w:left w:val="single" w:color="auto" w:sz="4" w:space="0"/>
              <w:right w:val="single" w:color="auto" w:sz="4" w:space="0"/>
            </w:tcBorders>
            <w:noWrap w:val="0"/>
            <w:vAlign w:val="center"/>
          </w:tcPr>
          <w:p w14:paraId="1A1F5AE4">
            <w:pPr>
              <w:autoSpaceDE w:val="0"/>
              <w:autoSpaceDN w:val="0"/>
              <w:adjustRightIn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rPr>
              <w:t>软件和信息技术服务业</w:t>
            </w:r>
          </w:p>
        </w:tc>
        <w:tc>
          <w:tcPr>
            <w:tcW w:w="910" w:type="dxa"/>
            <w:tcBorders>
              <w:top w:val="single" w:color="auto" w:sz="4" w:space="0"/>
              <w:left w:val="single" w:color="auto" w:sz="4" w:space="0"/>
              <w:right w:val="single" w:color="auto" w:sz="4" w:space="0"/>
            </w:tcBorders>
            <w:noWrap w:val="0"/>
            <w:vAlign w:val="center"/>
          </w:tcPr>
          <w:p w14:paraId="49501882">
            <w:pPr>
              <w:autoSpaceDE w:val="0"/>
              <w:autoSpaceDN w:val="0"/>
              <w:adjustRightIn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lang w:bidi="ar"/>
              </w:rPr>
              <w:t>否</w:t>
            </w:r>
          </w:p>
        </w:tc>
      </w:tr>
      <w:tr w14:paraId="0818EC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93" w:type="dxa"/>
            <w:vMerge w:val="continue"/>
            <w:tcBorders>
              <w:left w:val="single" w:color="auto" w:sz="4" w:space="0"/>
              <w:right w:val="single" w:color="auto" w:sz="4" w:space="0"/>
            </w:tcBorders>
            <w:noWrap w:val="0"/>
            <w:vAlign w:val="center"/>
          </w:tcPr>
          <w:p w14:paraId="1EB9DA49">
            <w:pPr>
              <w:spacing w:before="0" w:beforeAutospacing="0" w:after="0" w:line="300" w:lineRule="auto"/>
              <w:jc w:val="center"/>
              <w:rPr>
                <w:rFonts w:hint="eastAsia" w:ascii="宋体" w:hAnsi="宋体" w:cs="宋体"/>
                <w:szCs w:val="21"/>
                <w:highlight w:val="none"/>
                <w:lang w:bidi="ar"/>
              </w:rPr>
            </w:pPr>
          </w:p>
        </w:tc>
        <w:tc>
          <w:tcPr>
            <w:tcW w:w="717" w:type="dxa"/>
            <w:vMerge w:val="continue"/>
            <w:tcBorders>
              <w:left w:val="single" w:color="auto" w:sz="4" w:space="0"/>
              <w:right w:val="single" w:color="auto" w:sz="4" w:space="0"/>
            </w:tcBorders>
            <w:noWrap w:val="0"/>
            <w:vAlign w:val="top"/>
          </w:tcPr>
          <w:p w14:paraId="1F091A1D">
            <w:pPr>
              <w:spacing w:before="0" w:beforeAutospacing="0" w:after="0" w:line="300" w:lineRule="auto"/>
              <w:rPr>
                <w:rFonts w:hint="eastAsia" w:ascii="宋体" w:hAnsi="宋体" w:cs="宋体"/>
                <w:b/>
                <w:szCs w:val="21"/>
                <w:highlight w:val="none"/>
              </w:rPr>
            </w:pPr>
          </w:p>
        </w:tc>
        <w:tc>
          <w:tcPr>
            <w:tcW w:w="4658" w:type="dxa"/>
            <w:tcBorders>
              <w:top w:val="single" w:color="auto" w:sz="4" w:space="0"/>
              <w:left w:val="single" w:color="auto" w:sz="4" w:space="0"/>
              <w:bottom w:val="single" w:color="auto" w:sz="4" w:space="0"/>
              <w:right w:val="single" w:color="auto" w:sz="4" w:space="0"/>
            </w:tcBorders>
            <w:noWrap w:val="0"/>
            <w:vAlign w:val="center"/>
          </w:tcPr>
          <w:p w14:paraId="16DC89BD">
            <w:pPr>
              <w:autoSpaceDE w:val="0"/>
              <w:autoSpaceDN w:val="0"/>
              <w:adjustRightInd w:val="0"/>
              <w:spacing w:before="0" w:beforeAutospacing="0" w:after="0" w:line="300" w:lineRule="auto"/>
              <w:jc w:val="left"/>
              <w:rPr>
                <w:rFonts w:hint="eastAsia" w:ascii="宋体" w:hAnsi="宋体" w:cs="宋体"/>
                <w:b/>
                <w:szCs w:val="21"/>
                <w:highlight w:val="none"/>
              </w:rPr>
            </w:pPr>
            <w:r>
              <w:rPr>
                <w:rFonts w:hint="eastAsia" w:ascii="宋体" w:hAnsi="宋体" w:cs="宋体"/>
                <w:b/>
                <w:szCs w:val="21"/>
                <w:highlight w:val="none"/>
              </w:rPr>
              <w:t>软件二、伺服器端软件</w:t>
            </w:r>
          </w:p>
          <w:p w14:paraId="53BEC2C4">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部署于伺服器端，用于支撑深部资源勘探 MR 协同分析平台的数据处理、核心计算、状态同步及服务调度功能。</w:t>
            </w:r>
          </w:p>
          <w:p w14:paraId="3C4FEC27">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1、软件分层架构及功能要求如下</w:t>
            </w:r>
            <w:r>
              <w:rPr>
                <w:rFonts w:hint="eastAsia" w:ascii="宋体" w:hAnsi="宋体" w:cs="宋体"/>
                <w:b/>
                <w:bCs/>
                <w:szCs w:val="21"/>
                <w:highlight w:val="none"/>
              </w:rPr>
              <w:t>（投标文件中提供以下内容的书面承诺，格式自拟）</w:t>
            </w:r>
            <w:r>
              <w:rPr>
                <w:rFonts w:hint="eastAsia" w:ascii="宋体" w:hAnsi="宋体" w:cs="宋体"/>
                <w:b/>
                <w:szCs w:val="21"/>
                <w:highlight w:val="none"/>
              </w:rPr>
              <w:t>：</w:t>
            </w:r>
          </w:p>
          <w:p w14:paraId="170979EA">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（1）数据处理层：</w:t>
            </w:r>
            <w:r>
              <w:rPr>
                <w:rFonts w:hint="eastAsia" w:ascii="宋体" w:hAnsi="宋体" w:cs="宋体"/>
                <w:szCs w:val="21"/>
                <w:highlight w:val="none"/>
              </w:rPr>
              <w:t>支持对地下介质模型、地震数据、测井数据、层位数据、断层数据、属性体数据（振幅、波阻抗和相干体等）、岩心数据、地质图、钻井轨迹和生产动态数据等各类地质资源勘探数据的实时动态读取和预处理，可自动将各类原始数据转化为行业标准格式，确保数据统一性与兼容性，为后续模型生成提供可靠数据支撑；</w:t>
            </w:r>
          </w:p>
          <w:p w14:paraId="7B9D37EB">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（2）模型生成与服务层：</w:t>
            </w:r>
            <w:r>
              <w:rPr>
                <w:rFonts w:hint="eastAsia" w:ascii="宋体" w:hAnsi="宋体" w:cs="宋体"/>
                <w:szCs w:val="21"/>
                <w:highlight w:val="none"/>
              </w:rPr>
              <w:t>可接收数据处理层输出的标准化数据，经体素化算法处理后转换为可直接对接MR可视化设备的三维数据格式，确保模型生成精准高效；并渲染为三维全息模型，支持解释人员沉浸式观测地下构造，直观呈现地层起伏、断层展布及储层形态；</w:t>
            </w:r>
          </w:p>
          <w:p w14:paraId="55187B2E">
            <w:pPr>
              <w:autoSpaceDE w:val="0"/>
              <w:autoSpaceDN w:val="0"/>
              <w:adjustRightInd w:val="0"/>
              <w:spacing w:before="0" w:beforeAutospacing="0" w:after="0" w:line="300" w:lineRule="auto"/>
              <w:rPr>
                <w:rFonts w:hint="eastAsia" w:ascii="宋体" w:hAnsi="宋体" w:cs="宋体"/>
                <w:b/>
                <w:szCs w:val="21"/>
                <w:highlight w:val="none"/>
              </w:rPr>
            </w:pPr>
            <w:r>
              <w:rPr>
                <w:rFonts w:hint="eastAsia" w:ascii="宋体" w:hAnsi="宋体" w:cs="宋体"/>
                <w:b/>
                <w:szCs w:val="21"/>
                <w:highlight w:val="none"/>
              </w:rPr>
              <w:t>2、软件至少满足以下功能和参数：</w:t>
            </w:r>
          </w:p>
          <w:p w14:paraId="674D99C7">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★（1）应支持对用户提供的各类原始地质资源勘探数据进行完整转换，转换过程无丢帧、无数据损耗；转换后的数据可在客户端流畅加载与展示，运行稳定无卡顿</w:t>
            </w:r>
            <w:r>
              <w:rPr>
                <w:rFonts w:hint="eastAsia" w:ascii="宋体" w:hAnsi="宋体" w:cs="宋体"/>
                <w:b/>
                <w:bCs/>
                <w:szCs w:val="21"/>
                <w:highlight w:val="none"/>
              </w:rPr>
              <w:t>（投标文件中提供书面承诺，格式自拟）</w:t>
            </w:r>
            <w:r>
              <w:rPr>
                <w:rFonts w:hint="eastAsia" w:ascii="宋体" w:hAnsi="宋体" w:cs="宋体"/>
                <w:bCs/>
                <w:szCs w:val="21"/>
                <w:highlight w:val="none"/>
              </w:rPr>
              <w:t>；</w:t>
            </w:r>
          </w:p>
          <w:p w14:paraId="5DE8E141">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（2）应支持对地质资源数据进行预处理，至少包括格式检查、配置文件合法性检查、数据合法性检查、异常与超限拦截，应支持指定的行业标准三维地质模型数据文件的处理与加载准备；</w:t>
            </w:r>
          </w:p>
          <w:p w14:paraId="5DA59283">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3）应支持用户在使用过程中更换合规数据文件并重新加载；支持将原始数据转换为平台可识别的标准输入格式，并提供生成对应配置文件的能力。对于测井、层位、断层、属性体（振幅、波阻抗和相干体等）、岩心、地质图、钻井轨迹和生产动态数据等扩展数据，不得采用固定写死的格式适配方式，应支持通过配置文件描述的方式灵活接入</w:t>
            </w:r>
            <w:r>
              <w:rPr>
                <w:rFonts w:hint="eastAsia" w:ascii="宋体" w:hAnsi="宋体" w:cs="宋体"/>
                <w:bCs/>
                <w:szCs w:val="21"/>
                <w:highlight w:val="none"/>
              </w:rPr>
              <w:t>；</w:t>
            </w:r>
          </w:p>
          <w:p w14:paraId="29EE415F">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（4）支持根据配置文件对预处理后的地质模型数据文件、测井数据文件及其他相关数据进行动态加载和按需加载，以适应大规模数据文件场景</w:t>
            </w:r>
            <w:r>
              <w:rPr>
                <w:rFonts w:hint="eastAsia" w:ascii="宋体" w:hAnsi="宋体" w:cs="宋体"/>
                <w:bCs/>
                <w:szCs w:val="21"/>
                <w:highlight w:val="none"/>
              </w:rPr>
              <w:t>；</w:t>
            </w:r>
          </w:p>
          <w:p w14:paraId="0959FD75">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（5）支持≥10亿级网格点三维地质体模型、三维地震数据等大规模数据的加载、格式转换、数据处理与渲染等，确保数据加载、处理与渲染响应迅速、效率优异</w:t>
            </w:r>
            <w:r>
              <w:rPr>
                <w:rFonts w:hint="eastAsia" w:ascii="宋体" w:hAnsi="宋体" w:cs="宋体"/>
                <w:bCs/>
                <w:szCs w:val="21"/>
                <w:highlight w:val="none"/>
              </w:rPr>
              <w:t>；</w:t>
            </w:r>
          </w:p>
          <w:p w14:paraId="46724817">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（6）支持多源数据在同一空间坐标体系下的对齐，支持数据格式归一化及轻量化处理；</w:t>
            </w:r>
          </w:p>
          <w:p w14:paraId="594B7BA4">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（7）支持基于体素的动态三维几何资产生成，至少包括：</w:t>
            </w:r>
          </w:p>
          <w:p w14:paraId="4CD0E0A4">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a）体素单元在三维层面的合并与整理；</w:t>
            </w:r>
          </w:p>
          <w:p w14:paraId="40FED888">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b）体素单元信息与属性归类索引；</w:t>
            </w:r>
          </w:p>
          <w:p w14:paraId="75602FAC">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c）体素单元空间属性、色彩属性、透明度属性等表达能力；</w:t>
            </w:r>
          </w:p>
          <w:p w14:paraId="11168C50">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8、支持动态LOD、合并与简化、遮挡剔除、空间索引与瓦片调度或等效数据块调度机制</w:t>
            </w:r>
            <w:r>
              <w:rPr>
                <w:rFonts w:hint="eastAsia" w:ascii="宋体" w:hAnsi="宋体" w:cs="宋体"/>
                <w:bCs/>
                <w:szCs w:val="21"/>
                <w:highlight w:val="none"/>
              </w:rPr>
              <w:t>；</w:t>
            </w:r>
          </w:p>
          <w:p w14:paraId="33A4388B">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9、支持多用户间的状态同步与数据转发，支持用户≥5位。</w:t>
            </w:r>
          </w:p>
        </w:tc>
        <w:tc>
          <w:tcPr>
            <w:tcW w:w="538" w:type="dxa"/>
            <w:tcBorders>
              <w:left w:val="single" w:color="auto" w:sz="4" w:space="0"/>
              <w:right w:val="single" w:color="auto" w:sz="4" w:space="0"/>
            </w:tcBorders>
            <w:noWrap w:val="0"/>
            <w:vAlign w:val="center"/>
          </w:tcPr>
          <w:p w14:paraId="5F81E7CD">
            <w:pPr>
              <w:autoSpaceDE w:val="0"/>
              <w:autoSpaceDN w:val="0"/>
              <w:adjustRightIn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rPr>
              <w:t>套</w:t>
            </w:r>
          </w:p>
        </w:tc>
        <w:tc>
          <w:tcPr>
            <w:tcW w:w="577" w:type="dxa"/>
            <w:tcBorders>
              <w:left w:val="single" w:color="auto" w:sz="4" w:space="0"/>
              <w:right w:val="single" w:color="auto" w:sz="4" w:space="0"/>
            </w:tcBorders>
            <w:noWrap w:val="0"/>
            <w:vAlign w:val="center"/>
          </w:tcPr>
          <w:p w14:paraId="661D9018">
            <w:pPr>
              <w:autoSpaceDE w:val="0"/>
              <w:autoSpaceDN w:val="0"/>
              <w:adjustRightIn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rPr>
              <w:t>1</w:t>
            </w:r>
          </w:p>
        </w:tc>
        <w:tc>
          <w:tcPr>
            <w:tcW w:w="720" w:type="dxa"/>
            <w:tcBorders>
              <w:left w:val="single" w:color="auto" w:sz="4" w:space="0"/>
              <w:right w:val="single" w:color="auto" w:sz="4" w:space="0"/>
            </w:tcBorders>
            <w:noWrap w:val="0"/>
            <w:vAlign w:val="center"/>
          </w:tcPr>
          <w:p w14:paraId="10DBAFE3">
            <w:pPr>
              <w:autoSpaceDE w:val="0"/>
              <w:autoSpaceDN w:val="0"/>
              <w:adjustRightIn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rPr>
              <w:t>软件和信息技术服务业</w:t>
            </w:r>
          </w:p>
        </w:tc>
        <w:tc>
          <w:tcPr>
            <w:tcW w:w="910" w:type="dxa"/>
            <w:tcBorders>
              <w:left w:val="single" w:color="auto" w:sz="4" w:space="0"/>
              <w:right w:val="single" w:color="auto" w:sz="4" w:space="0"/>
            </w:tcBorders>
            <w:noWrap w:val="0"/>
            <w:vAlign w:val="center"/>
          </w:tcPr>
          <w:p w14:paraId="2894E18A">
            <w:pPr>
              <w:autoSpaceDE w:val="0"/>
              <w:autoSpaceDN w:val="0"/>
              <w:adjustRightIn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lang w:bidi="ar"/>
              </w:rPr>
              <w:t>否</w:t>
            </w:r>
          </w:p>
        </w:tc>
      </w:tr>
      <w:bookmarkEnd w:id="25"/>
      <w:tr w14:paraId="2171B8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493" w:type="dxa"/>
            <w:vMerge w:val="continue"/>
            <w:tcBorders>
              <w:left w:val="single" w:color="auto" w:sz="4" w:space="0"/>
              <w:bottom w:val="single" w:color="auto" w:sz="4" w:space="0"/>
              <w:right w:val="single" w:color="auto" w:sz="4" w:space="0"/>
            </w:tcBorders>
            <w:noWrap w:val="0"/>
            <w:vAlign w:val="center"/>
          </w:tcPr>
          <w:p w14:paraId="465C37BD">
            <w:pPr>
              <w:spacing w:before="0" w:beforeAutospacing="0" w:after="0" w:line="300" w:lineRule="auto"/>
              <w:jc w:val="center"/>
              <w:rPr>
                <w:rFonts w:hint="eastAsia" w:ascii="宋体" w:hAnsi="宋体" w:cs="宋体"/>
                <w:szCs w:val="21"/>
                <w:highlight w:val="none"/>
                <w:lang w:bidi="ar"/>
              </w:rPr>
            </w:pPr>
          </w:p>
        </w:tc>
        <w:tc>
          <w:tcPr>
            <w:tcW w:w="717" w:type="dxa"/>
            <w:vMerge w:val="continue"/>
            <w:tcBorders>
              <w:left w:val="single" w:color="auto" w:sz="4" w:space="0"/>
              <w:bottom w:val="single" w:color="auto" w:sz="4" w:space="0"/>
              <w:right w:val="single" w:color="auto" w:sz="4" w:space="0"/>
            </w:tcBorders>
            <w:noWrap w:val="0"/>
            <w:vAlign w:val="top"/>
          </w:tcPr>
          <w:p w14:paraId="3DA32624">
            <w:pPr>
              <w:spacing w:before="0" w:beforeAutospacing="0" w:after="0" w:line="300" w:lineRule="auto"/>
              <w:rPr>
                <w:rFonts w:hint="eastAsia" w:ascii="宋体" w:hAnsi="宋体" w:cs="宋体"/>
                <w:b/>
                <w:szCs w:val="21"/>
                <w:highlight w:val="none"/>
              </w:rPr>
            </w:pPr>
          </w:p>
        </w:tc>
        <w:tc>
          <w:tcPr>
            <w:tcW w:w="4658" w:type="dxa"/>
            <w:tcBorders>
              <w:top w:val="single" w:color="auto" w:sz="4" w:space="0"/>
              <w:left w:val="single" w:color="auto" w:sz="4" w:space="0"/>
              <w:bottom w:val="single" w:color="auto" w:sz="4" w:space="0"/>
              <w:right w:val="single" w:color="auto" w:sz="4" w:space="0"/>
            </w:tcBorders>
            <w:noWrap w:val="0"/>
            <w:vAlign w:val="center"/>
          </w:tcPr>
          <w:p w14:paraId="39674C4E">
            <w:pPr>
              <w:autoSpaceDE w:val="0"/>
              <w:autoSpaceDN w:val="0"/>
              <w:adjustRightInd w:val="0"/>
              <w:spacing w:before="0" w:beforeAutospacing="0" w:after="0" w:line="300" w:lineRule="auto"/>
              <w:jc w:val="left"/>
              <w:rPr>
                <w:rFonts w:hint="eastAsia" w:ascii="宋体" w:hAnsi="宋体" w:cs="宋体"/>
                <w:b/>
                <w:szCs w:val="21"/>
                <w:highlight w:val="none"/>
              </w:rPr>
            </w:pPr>
            <w:r>
              <w:rPr>
                <w:rFonts w:hint="eastAsia" w:ascii="宋体" w:hAnsi="宋体" w:cs="宋体"/>
                <w:b/>
                <w:szCs w:val="21"/>
                <w:highlight w:val="none"/>
              </w:rPr>
              <w:t>辅助软件一、观摩端软件</w:t>
            </w:r>
          </w:p>
          <w:p w14:paraId="65E407BF">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部署于伺服器端，用于辅助控制、观摩展示、结果查看与必要的调试支撑，并且至少满足以下参数：</w:t>
            </w:r>
          </w:p>
          <w:p w14:paraId="7287311D">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1、</w:t>
            </w:r>
            <w:r>
              <w:rPr>
                <w:rFonts w:hint="eastAsia" w:ascii="宋体" w:hAnsi="宋体" w:cs="宋体"/>
                <w:szCs w:val="21"/>
                <w:highlight w:val="none"/>
              </w:rPr>
              <w:t>支持对平台运行结果进行实时同步显示；</w:t>
            </w:r>
          </w:p>
          <w:p w14:paraId="2D3A51DE">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2、</w:t>
            </w:r>
            <w:r>
              <w:rPr>
                <w:rFonts w:hint="eastAsia" w:ascii="宋体" w:hAnsi="宋体" w:cs="宋体"/>
                <w:szCs w:val="21"/>
                <w:highlight w:val="none"/>
              </w:rPr>
              <w:t>支持对切片结果、组合切片结果及多用户协同过程进行展示；</w:t>
            </w:r>
          </w:p>
          <w:p w14:paraId="64936EF7">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3、</w:t>
            </w:r>
            <w:r>
              <w:rPr>
                <w:rFonts w:hint="eastAsia" w:ascii="宋体" w:hAnsi="宋体" w:cs="宋体"/>
                <w:szCs w:val="21"/>
                <w:highlight w:val="none"/>
              </w:rPr>
              <w:t>支持大屏/投影同步观摩，支持协同设备导出分析结果导出（PNG、视频等）；</w:t>
            </w:r>
            <w:r>
              <w:rPr>
                <w:rFonts w:hint="eastAsia" w:ascii="宋体" w:hAnsi="宋体" w:cs="宋体"/>
                <w:b/>
                <w:bCs/>
                <w:szCs w:val="21"/>
                <w:highlight w:val="none"/>
              </w:rPr>
              <w:t>（投标文件中提供书面承诺，格式自拟）</w:t>
            </w:r>
          </w:p>
          <w:p w14:paraId="66F6C8F4">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4、</w:t>
            </w:r>
            <w:r>
              <w:rPr>
                <w:rFonts w:hint="eastAsia" w:ascii="宋体" w:hAnsi="宋体" w:cs="宋体"/>
                <w:szCs w:val="21"/>
                <w:highlight w:val="none"/>
              </w:rPr>
              <w:t>支持与伺服器端软件协同工作，接收状态数据、分析结果和展示结果；</w:t>
            </w:r>
          </w:p>
          <w:p w14:paraId="5744E8CE">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5、</w:t>
            </w:r>
            <w:r>
              <w:rPr>
                <w:rFonts w:hint="eastAsia" w:ascii="宋体" w:hAnsi="宋体" w:cs="宋体"/>
                <w:szCs w:val="21"/>
                <w:highlight w:val="none"/>
              </w:rPr>
              <w:t>支持分级权限控制与使用（管理员、解释员、观摩员）。</w:t>
            </w:r>
          </w:p>
        </w:tc>
        <w:tc>
          <w:tcPr>
            <w:tcW w:w="538" w:type="dxa"/>
            <w:tcBorders>
              <w:left w:val="single" w:color="auto" w:sz="4" w:space="0"/>
              <w:bottom w:val="single" w:color="auto" w:sz="4" w:space="0"/>
              <w:right w:val="single" w:color="auto" w:sz="4" w:space="0"/>
            </w:tcBorders>
            <w:noWrap w:val="0"/>
            <w:vAlign w:val="center"/>
          </w:tcPr>
          <w:p w14:paraId="548337DA">
            <w:pPr>
              <w:autoSpaceDE w:val="0"/>
              <w:autoSpaceDN w:val="0"/>
              <w:adjustRightIn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rPr>
              <w:t>套</w:t>
            </w:r>
          </w:p>
        </w:tc>
        <w:tc>
          <w:tcPr>
            <w:tcW w:w="577" w:type="dxa"/>
            <w:tcBorders>
              <w:left w:val="single" w:color="auto" w:sz="4" w:space="0"/>
              <w:bottom w:val="single" w:color="auto" w:sz="4" w:space="0"/>
              <w:right w:val="single" w:color="auto" w:sz="4" w:space="0"/>
            </w:tcBorders>
            <w:noWrap w:val="0"/>
            <w:vAlign w:val="center"/>
          </w:tcPr>
          <w:p w14:paraId="357FB68C">
            <w:pPr>
              <w:autoSpaceDE w:val="0"/>
              <w:autoSpaceDN w:val="0"/>
              <w:adjustRightIn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rPr>
              <w:t>1</w:t>
            </w:r>
          </w:p>
        </w:tc>
        <w:tc>
          <w:tcPr>
            <w:tcW w:w="720" w:type="dxa"/>
            <w:tcBorders>
              <w:left w:val="single" w:color="auto" w:sz="4" w:space="0"/>
              <w:bottom w:val="single" w:color="auto" w:sz="4" w:space="0"/>
              <w:right w:val="single" w:color="auto" w:sz="4" w:space="0"/>
            </w:tcBorders>
            <w:noWrap w:val="0"/>
            <w:vAlign w:val="center"/>
          </w:tcPr>
          <w:p w14:paraId="313C765A">
            <w:pPr>
              <w:autoSpaceDE w:val="0"/>
              <w:autoSpaceDN w:val="0"/>
              <w:adjustRightIn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rPr>
              <w:t>软件和信息技术服务业</w:t>
            </w:r>
          </w:p>
        </w:tc>
        <w:tc>
          <w:tcPr>
            <w:tcW w:w="910" w:type="dxa"/>
            <w:tcBorders>
              <w:left w:val="single" w:color="auto" w:sz="4" w:space="0"/>
              <w:bottom w:val="single" w:color="auto" w:sz="4" w:space="0"/>
              <w:right w:val="single" w:color="auto" w:sz="4" w:space="0"/>
            </w:tcBorders>
            <w:noWrap w:val="0"/>
            <w:vAlign w:val="center"/>
          </w:tcPr>
          <w:p w14:paraId="78BD2A63">
            <w:pPr>
              <w:autoSpaceDE w:val="0"/>
              <w:autoSpaceDN w:val="0"/>
              <w:adjustRightIn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lang w:bidi="ar"/>
              </w:rPr>
              <w:t>否</w:t>
            </w:r>
          </w:p>
        </w:tc>
      </w:tr>
      <w:tr w14:paraId="143BE8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1FE14B09">
            <w:pPr>
              <w:spacing w:before="0" w:beforeAutospacing="0" w:after="0" w:line="300" w:lineRule="auto"/>
              <w:jc w:val="center"/>
              <w:rPr>
                <w:rFonts w:hint="eastAsia" w:ascii="宋体" w:hAnsi="宋体" w:cs="宋体"/>
                <w:szCs w:val="21"/>
                <w:highlight w:val="none"/>
                <w:lang w:bidi="ar"/>
              </w:rPr>
            </w:pPr>
            <w:r>
              <w:rPr>
                <w:rFonts w:hint="eastAsia" w:ascii="宋体" w:hAnsi="宋体" w:cs="宋体"/>
                <w:szCs w:val="21"/>
                <w:highlight w:val="none"/>
                <w:lang w:bidi="ar"/>
              </w:rPr>
              <w:t>3</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C0DD9F">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系</w:t>
            </w:r>
          </w:p>
          <w:p w14:paraId="7221CBA1">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统</w:t>
            </w:r>
          </w:p>
          <w:p w14:paraId="5FD9BC0B">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集</w:t>
            </w:r>
          </w:p>
          <w:p w14:paraId="4375F111">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成</w:t>
            </w:r>
          </w:p>
          <w:p w14:paraId="4A625BA4">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与</w:t>
            </w:r>
          </w:p>
          <w:p w14:paraId="0628C0CD">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部</w:t>
            </w:r>
          </w:p>
          <w:p w14:paraId="2E835140">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署</w:t>
            </w:r>
          </w:p>
          <w:p w14:paraId="130EA1D3">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服</w:t>
            </w:r>
          </w:p>
          <w:p w14:paraId="2DB48E0D">
            <w:pPr>
              <w:spacing w:before="0" w:beforeAutospacing="0" w:after="0" w:line="300" w:lineRule="auto"/>
              <w:jc w:val="center"/>
              <w:rPr>
                <w:rFonts w:hint="eastAsia" w:ascii="宋体" w:hAnsi="宋体" w:cs="宋体"/>
                <w:b/>
                <w:szCs w:val="21"/>
                <w:highlight w:val="none"/>
              </w:rPr>
            </w:pPr>
            <w:r>
              <w:rPr>
                <w:rFonts w:hint="eastAsia" w:ascii="宋体" w:hAnsi="宋体" w:cs="宋体"/>
                <w:b/>
                <w:szCs w:val="21"/>
                <w:highlight w:val="none"/>
              </w:rPr>
              <w:t>务</w:t>
            </w:r>
          </w:p>
        </w:tc>
        <w:tc>
          <w:tcPr>
            <w:tcW w:w="4658" w:type="dxa"/>
            <w:tcBorders>
              <w:top w:val="single" w:color="auto" w:sz="4" w:space="0"/>
              <w:left w:val="single" w:color="auto" w:sz="4" w:space="0"/>
              <w:bottom w:val="single" w:color="auto" w:sz="4" w:space="0"/>
              <w:right w:val="single" w:color="auto" w:sz="4" w:space="0"/>
            </w:tcBorders>
            <w:noWrap w:val="0"/>
            <w:vAlign w:val="center"/>
          </w:tcPr>
          <w:p w14:paraId="050DB287">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1、硬件设备安装：</w:t>
            </w:r>
            <w:r>
              <w:rPr>
                <w:rFonts w:hint="eastAsia" w:ascii="宋体" w:hAnsi="宋体" w:cs="宋体"/>
                <w:szCs w:val="21"/>
                <w:highlight w:val="none"/>
              </w:rPr>
              <w:t>投标人负责整体硬件环境搭建，含伺服器和MR头显等设备的安装与联合调试；完成无线网络环境部署，实现区域内稳定无线覆盖，满足MR设备实时交互与效果呈现需求；包含安装所需各类辅材及线缆。</w:t>
            </w:r>
          </w:p>
          <w:p w14:paraId="0A3B87F3">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2</w:t>
            </w:r>
            <w:bookmarkStart w:id="26" w:name="_Hlk227786588"/>
            <w:r>
              <w:rPr>
                <w:rFonts w:hint="eastAsia" w:ascii="宋体" w:hAnsi="宋体" w:cs="宋体"/>
                <w:b/>
                <w:szCs w:val="21"/>
                <w:highlight w:val="none"/>
              </w:rPr>
              <w:t>、软件开发、部署与测试</w:t>
            </w:r>
            <w:bookmarkEnd w:id="26"/>
            <w:r>
              <w:rPr>
                <w:rFonts w:hint="eastAsia" w:ascii="宋体" w:hAnsi="宋体" w:cs="宋体"/>
                <w:b/>
                <w:szCs w:val="21"/>
                <w:highlight w:val="none"/>
              </w:rPr>
              <w:t>（投标文件中提供书面承诺</w:t>
            </w:r>
            <w:r>
              <w:rPr>
                <w:rFonts w:hint="eastAsia" w:ascii="宋体" w:hAnsi="宋体" w:cs="宋体"/>
                <w:b/>
                <w:bCs/>
                <w:szCs w:val="21"/>
                <w:highlight w:val="none"/>
              </w:rPr>
              <w:t>，格式自拟</w:t>
            </w:r>
            <w:r>
              <w:rPr>
                <w:rFonts w:hint="eastAsia" w:ascii="宋体" w:hAnsi="宋体" w:cs="宋体"/>
                <w:b/>
                <w:szCs w:val="21"/>
                <w:highlight w:val="none"/>
              </w:rPr>
              <w:t>）：</w:t>
            </w:r>
            <w:r>
              <w:rPr>
                <w:rFonts w:hint="eastAsia" w:ascii="宋体" w:hAnsi="宋体" w:cs="宋体"/>
                <w:szCs w:val="21"/>
                <w:highlight w:val="none"/>
              </w:rPr>
              <w:t>中标人负责客户端软件、伺服器端软件以及观摩端软件的开发、部署、测试、试运行、培训与验收，完成MR头显端与伺服器端联调联试，保障系统稳定运行。</w:t>
            </w:r>
          </w:p>
          <w:p w14:paraId="0E66C8D2">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3</w:t>
            </w:r>
            <w:bookmarkStart w:id="27" w:name="_Hlk227786614"/>
            <w:r>
              <w:rPr>
                <w:rFonts w:hint="eastAsia" w:ascii="宋体" w:hAnsi="宋体" w:cs="宋体"/>
                <w:b/>
                <w:szCs w:val="21"/>
                <w:highlight w:val="none"/>
              </w:rPr>
              <w:t>、最终现场验收测试</w:t>
            </w:r>
            <w:bookmarkEnd w:id="27"/>
            <w:r>
              <w:rPr>
                <w:rFonts w:hint="eastAsia" w:ascii="宋体" w:hAnsi="宋体" w:cs="宋体"/>
                <w:b/>
                <w:bCs/>
                <w:szCs w:val="21"/>
                <w:highlight w:val="none"/>
              </w:rPr>
              <w:t>（投标文件中提供以下内容的书面承诺，格式自拟）</w:t>
            </w:r>
            <w:r>
              <w:rPr>
                <w:rFonts w:hint="eastAsia" w:ascii="宋体" w:hAnsi="宋体" w:cs="宋体"/>
                <w:b/>
                <w:szCs w:val="21"/>
                <w:highlight w:val="none"/>
              </w:rPr>
              <w:t>：</w:t>
            </w:r>
            <w:r>
              <w:rPr>
                <w:rFonts w:hint="eastAsia" w:ascii="宋体" w:hAnsi="宋体" w:cs="宋体"/>
                <w:szCs w:val="21"/>
                <w:highlight w:val="none"/>
              </w:rPr>
              <w:t xml:space="preserve">中标人在采购人指定部署环境下，基于采购人提供的真实生产数据，完成以下内容的现场测试，全部通过方为最终验收合格： </w:t>
            </w:r>
          </w:p>
          <w:p w14:paraId="78D1AE43">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（1）多源数据高速预处理；</w:t>
            </w:r>
          </w:p>
          <w:p w14:paraId="4CC84560">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（2）多源数据高速动态加载；</w:t>
            </w:r>
          </w:p>
          <w:p w14:paraId="14B52408">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（3）多源数据统一坐标对齐；</w:t>
            </w:r>
          </w:p>
          <w:p w14:paraId="4ECBC66F">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（4）三维数据生成及可视化展示；</w:t>
            </w:r>
          </w:p>
          <w:p w14:paraId="31429D8E">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（5）地下全空间立体呈现；</w:t>
            </w:r>
          </w:p>
          <w:p w14:paraId="67B72F6D">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（6）地下构造多尺度精细观察；</w:t>
            </w:r>
          </w:p>
          <w:p w14:paraId="362EAC5C">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（7）多源数据跨域叠加；</w:t>
            </w:r>
          </w:p>
          <w:p w14:paraId="151733D4">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（8）多数据属性联动分析；</w:t>
            </w:r>
          </w:p>
          <w:p w14:paraId="263561F7">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（9）井震联合标定；</w:t>
            </w:r>
          </w:p>
          <w:p w14:paraId="2317737C">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（10）高效的交互控制操作；</w:t>
            </w:r>
          </w:p>
          <w:p w14:paraId="0385BF69">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（11）多源数据实时交互修改；</w:t>
            </w:r>
          </w:p>
          <w:p w14:paraId="55C6CAF9">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（12）虚拟测量与标注操作；</w:t>
            </w:r>
          </w:p>
          <w:p w14:paraId="6ED82F31">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（13）沉浸式汇报；</w:t>
            </w:r>
          </w:p>
          <w:p w14:paraId="60AD9F6F">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（14）虚拟钻井模拟操作；</w:t>
            </w:r>
          </w:p>
          <w:p w14:paraId="2B16FFEA">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（15）三维复杂地质体分层操作；</w:t>
            </w:r>
          </w:p>
          <w:p w14:paraId="4868D62F">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（16）切片与组合切片操作；</w:t>
            </w:r>
          </w:p>
          <w:p w14:paraId="4070166D">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（17）10亿及以上网格点三维地质数据的高速加载、处理与流程MR显示；</w:t>
            </w:r>
          </w:p>
          <w:p w14:paraId="008B80F2">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（18）算力受限场景的优化设计方案；</w:t>
            </w:r>
          </w:p>
          <w:p w14:paraId="5564BD8F">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（19）≥5人协同分析流程演示；</w:t>
            </w:r>
          </w:p>
          <w:p w14:paraId="18ECD043">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（20）MR头显客户端软件、伺服器端软件、观摩端软件的协同运行演示。</w:t>
            </w:r>
          </w:p>
          <w:p w14:paraId="699FE4FA">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szCs w:val="21"/>
                <w:highlight w:val="none"/>
              </w:rPr>
              <w:t>4</w:t>
            </w:r>
            <w:bookmarkStart w:id="28" w:name="_Hlk227786641"/>
            <w:r>
              <w:rPr>
                <w:rFonts w:hint="eastAsia" w:ascii="宋体" w:hAnsi="宋体" w:cs="宋体"/>
                <w:b/>
                <w:szCs w:val="21"/>
                <w:highlight w:val="none"/>
              </w:rPr>
              <w:t>、交付内容</w:t>
            </w:r>
            <w:r>
              <w:rPr>
                <w:rFonts w:hint="eastAsia" w:ascii="宋体" w:hAnsi="宋体" w:cs="宋体"/>
                <w:b/>
                <w:bCs/>
                <w:szCs w:val="21"/>
                <w:highlight w:val="none"/>
              </w:rPr>
              <w:t>（投标文件中提供以下内容的书面承诺，格式自拟）</w:t>
            </w:r>
            <w:r>
              <w:rPr>
                <w:rFonts w:hint="eastAsia" w:ascii="宋体" w:hAnsi="宋体" w:cs="宋体"/>
                <w:b/>
                <w:szCs w:val="21"/>
                <w:highlight w:val="none"/>
              </w:rPr>
              <w:t>至少包括</w:t>
            </w:r>
            <w:bookmarkEnd w:id="28"/>
            <w:r>
              <w:rPr>
                <w:rFonts w:hint="eastAsia" w:ascii="宋体" w:hAnsi="宋体" w:cs="宋体"/>
                <w:b/>
                <w:szCs w:val="21"/>
                <w:highlight w:val="none"/>
              </w:rPr>
              <w:t>：</w:t>
            </w:r>
          </w:p>
          <w:p w14:paraId="5D70577A">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（1）MR头显端软件、伺服器端软件和观摩端软件的全套、可直接正常编译的源代码，代码注释率＞30%，包含完整构建脚本；</w:t>
            </w:r>
          </w:p>
          <w:p w14:paraId="2CDC9FEE">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（2）与采购人定制开发功能直接相关的、由投标人在本项目实施期间编写的全部源代码及配套注释；</w:t>
            </w:r>
          </w:p>
          <w:p w14:paraId="2A40CF99">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（3）所使用的第三方引擎、库、框架的清单、版本号及正版授权证明；</w:t>
            </w:r>
          </w:p>
          <w:p w14:paraId="220FDA4D">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（4）编程接口说明文档：二次开发所需的完整说明文档、示例代码及编程接口说明文档；</w:t>
            </w:r>
          </w:p>
          <w:p w14:paraId="22DFF4A9">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（5）投标人协助采购人在第三方环境下独立完成源码编译，成功部署并运行系统，并提交安装包及相关交付介质；</w:t>
            </w:r>
          </w:p>
          <w:p w14:paraId="3A461603">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（6）安装手册；含三类软件的所有模块的详细安装说明；</w:t>
            </w:r>
          </w:p>
          <w:p w14:paraId="1F998AD3">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（7）使用手册：含三类软件的所有功能的详细使用说明；</w:t>
            </w:r>
          </w:p>
          <w:p w14:paraId="176B7F15">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（8）技术手册：含三类软件的所有功能的详细技术说明；</w:t>
            </w:r>
          </w:p>
          <w:p w14:paraId="0D9A00C9">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szCs w:val="21"/>
                <w:highlight w:val="none"/>
              </w:rPr>
              <w:t>（9）培训材料：含所有软件的培训材料，包含纸质文档、多媒体 PPT、操作演示录像及二次开发指导视频。</w:t>
            </w:r>
          </w:p>
          <w:p w14:paraId="1FE993B0">
            <w:pPr>
              <w:autoSpaceDE w:val="0"/>
              <w:autoSpaceDN w:val="0"/>
              <w:adjustRightInd w:val="0"/>
              <w:spacing w:before="0" w:beforeAutospacing="0" w:after="0" w:line="300" w:lineRule="auto"/>
              <w:rPr>
                <w:rFonts w:hint="eastAsia" w:ascii="宋体" w:hAnsi="宋体" w:cs="宋体"/>
                <w:szCs w:val="21"/>
                <w:highlight w:val="none"/>
              </w:rPr>
            </w:pPr>
            <w:r>
              <w:rPr>
                <w:rFonts w:hint="eastAsia" w:ascii="宋体" w:hAnsi="宋体" w:cs="宋体"/>
                <w:b/>
                <w:szCs w:val="21"/>
                <w:highlight w:val="none"/>
              </w:rPr>
              <w:t>5、安全要求：</w:t>
            </w:r>
            <w:r>
              <w:rPr>
                <w:rFonts w:hint="eastAsia" w:ascii="宋体" w:hAnsi="宋体" w:cs="宋体"/>
                <w:szCs w:val="21"/>
                <w:highlight w:val="none"/>
              </w:rPr>
              <w:t>验收时，中标人需提供第三方专业机构出具的渗透测试和漏洞扫描报告，并修复所有中高危漏洞。</w:t>
            </w:r>
          </w:p>
        </w:tc>
        <w:tc>
          <w:tcPr>
            <w:tcW w:w="538" w:type="dxa"/>
            <w:tcBorders>
              <w:top w:val="single" w:color="auto" w:sz="4" w:space="0"/>
              <w:left w:val="single" w:color="auto" w:sz="4" w:space="0"/>
              <w:bottom w:val="single" w:color="auto" w:sz="4" w:space="0"/>
              <w:right w:val="single" w:color="auto" w:sz="4" w:space="0"/>
            </w:tcBorders>
            <w:noWrap w:val="0"/>
            <w:vAlign w:val="center"/>
          </w:tcPr>
          <w:p w14:paraId="0FA5E3EC">
            <w:pPr>
              <w:autoSpaceDE w:val="0"/>
              <w:autoSpaceDN w:val="0"/>
              <w:adjustRightIn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rPr>
              <w:t>项</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4DEEF5A2">
            <w:pPr>
              <w:autoSpaceDE w:val="0"/>
              <w:autoSpaceDN w:val="0"/>
              <w:adjustRightIn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6AEC834">
            <w:pPr>
              <w:autoSpaceDE w:val="0"/>
              <w:autoSpaceDN w:val="0"/>
              <w:adjustRightIn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rPr>
              <w:t>/</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75D3B41A">
            <w:pPr>
              <w:autoSpaceDE w:val="0"/>
              <w:autoSpaceDN w:val="0"/>
              <w:adjustRightInd w:val="0"/>
              <w:spacing w:before="0" w:beforeAutospacing="0" w:after="0" w:line="300" w:lineRule="auto"/>
              <w:jc w:val="center"/>
              <w:rPr>
                <w:rFonts w:hint="eastAsia" w:ascii="宋体" w:hAnsi="宋体" w:cs="宋体"/>
                <w:szCs w:val="21"/>
                <w:highlight w:val="none"/>
              </w:rPr>
            </w:pPr>
            <w:r>
              <w:rPr>
                <w:rFonts w:hint="eastAsia" w:ascii="宋体" w:hAnsi="宋体" w:cs="宋体"/>
                <w:szCs w:val="21"/>
                <w:highlight w:val="none"/>
                <w:lang w:bidi="ar"/>
              </w:rPr>
              <w:t>否</w:t>
            </w:r>
          </w:p>
        </w:tc>
      </w:tr>
    </w:tbl>
    <w:p w14:paraId="375A29A4">
      <w:pPr>
        <w:pStyle w:val="2"/>
        <w:spacing w:before="0" w:beforeAutospacing="0" w:after="0"/>
        <w:ind w:firstLine="0" w:firstLineChars="0"/>
        <w:rPr>
          <w:rFonts w:hint="eastAsia" w:ascii="宋体" w:hAnsi="宋体" w:eastAsia="宋体"/>
          <w:b/>
          <w:bCs w:val="0"/>
          <w:sz w:val="24"/>
          <w:szCs w:val="24"/>
          <w:highlight w:val="none"/>
        </w:rPr>
      </w:pPr>
      <w:r>
        <w:rPr>
          <w:rFonts w:hint="eastAsia" w:ascii="宋体" w:hAnsi="宋体" w:eastAsia="宋体"/>
          <w:b/>
          <w:bCs w:val="0"/>
          <w:sz w:val="24"/>
          <w:szCs w:val="24"/>
          <w:highlight w:val="none"/>
        </w:rPr>
        <w:t>三、安装调试、质保及售后服务要求</w:t>
      </w:r>
    </w:p>
    <w:p w14:paraId="49ED2E74">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b/>
          <w:bCs/>
          <w:highlight w:val="none"/>
        </w:rPr>
      </w:pPr>
      <w:r>
        <w:rPr>
          <w:rFonts w:hint="eastAsia" w:ascii="宋体" w:hAnsi="宋体" w:cs="宋体"/>
          <w:b/>
          <w:bCs/>
          <w:highlight w:val="none"/>
        </w:rPr>
        <w:t>3.1 质保期：</w:t>
      </w:r>
    </w:p>
    <w:p w14:paraId="579799FB">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本项目质保期自最终验收合格之日起计算，要求如下：</w:t>
      </w:r>
    </w:p>
    <w:p w14:paraId="5727949F">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（1）硬件设备：提供原厂质保服务，质保期不低于5年。</w:t>
      </w:r>
    </w:p>
    <w:p w14:paraId="4DAAD65C">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2）软件系统：中标人须对本项目软件系统提供不少于3年的免费质保服务，服务内容包括但不限于：1）故障排查与修复；2）日常技术支持；3）因操作系统或硬件驱动版本更新（不含重大架构变更）所引发的适配调整。</w:t>
      </w:r>
    </w:p>
    <w:p w14:paraId="1AA485C0">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b/>
          <w:bCs/>
          <w:highlight w:val="none"/>
        </w:rPr>
      </w:pPr>
      <w:r>
        <w:rPr>
          <w:rFonts w:hint="eastAsia" w:ascii="宋体" w:hAnsi="宋体" w:cs="宋体"/>
          <w:b/>
          <w:bCs/>
          <w:highlight w:val="none"/>
        </w:rPr>
        <w:t>3.2 售后服务要求</w:t>
      </w:r>
    </w:p>
    <w:p w14:paraId="620EFEF5">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（1）投标人须提供7×24小时远程技术支持服务，系统发生故障后应在2小时内响应并提供解决方案；</w:t>
      </w:r>
    </w:p>
    <w:p w14:paraId="4455FDC5">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（2）如通过远程方式无法解决问题，应在1个工作日内提供现场服务或等效技术支持措施（包括但不限于现场服务或远程指导等）；</w:t>
      </w:r>
    </w:p>
    <w:p w14:paraId="135031A6">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（3）如故障在3个工作日内仍无法解决，投标人须提供备用设备或替代解决方案，确保系统正常运行不受影响；</w:t>
      </w:r>
    </w:p>
    <w:p w14:paraId="60E15713">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（4）在质保期内，所有维修服务均由中标人提供上门服务（含人工、差旅及配件费用），该部分费用包含在本项目投标报价中，采购人不再另行支付；</w:t>
      </w:r>
    </w:p>
    <w:p w14:paraId="52DE9B31">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（5）自交付之日起12个月内，如因产品质量问题导致系统无法正常使用，经确认后应提供整机更换或等效解决方案；</w:t>
      </w:r>
    </w:p>
    <w:p w14:paraId="78BA5FB8">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（6）投标人投标文件中须提供质保期满后的配件并列明配件价格，后期如有需要，按投标文件中投标人提供的配件价格费用标准进行结算。</w:t>
      </w:r>
    </w:p>
    <w:p w14:paraId="36C96704">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b/>
          <w:bCs/>
          <w:highlight w:val="none"/>
        </w:rPr>
      </w:pPr>
      <w:r>
        <w:rPr>
          <w:rFonts w:hint="eastAsia" w:ascii="宋体" w:hAnsi="宋体" w:cs="宋体"/>
          <w:b/>
          <w:bCs/>
          <w:highlight w:val="none"/>
        </w:rPr>
        <w:t>3.3 培训要求（投标文件中提供以下内容的书面承诺，</w:t>
      </w:r>
      <w:r>
        <w:rPr>
          <w:rFonts w:hint="eastAsia" w:ascii="宋体" w:hAnsi="宋体" w:cs="宋体"/>
          <w:b/>
          <w:bCs/>
          <w:highlight w:val="none"/>
          <w:lang w:val="en-US" w:eastAsia="zh-CN"/>
        </w:rPr>
        <w:t>否则</w:t>
      </w:r>
      <w:bookmarkStart w:id="29" w:name="_GoBack"/>
      <w:bookmarkEnd w:id="29"/>
      <w:r>
        <w:rPr>
          <w:rFonts w:hint="eastAsia" w:ascii="宋体" w:hAnsi="宋体" w:cs="宋体"/>
          <w:b/>
          <w:bCs/>
          <w:highlight w:val="none"/>
        </w:rPr>
        <w:t>投标无效）</w:t>
      </w:r>
    </w:p>
    <w:p w14:paraId="04F9D2AF">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b/>
          <w:bCs/>
          <w:highlight w:val="none"/>
        </w:rPr>
      </w:pPr>
      <w:r>
        <w:rPr>
          <w:rFonts w:hint="eastAsia" w:ascii="宋体" w:hAnsi="宋体" w:cs="宋体"/>
          <w:b/>
          <w:bCs/>
          <w:highlight w:val="none"/>
        </w:rPr>
        <w:t>3.3.1 硬件设备培训</w:t>
      </w:r>
    </w:p>
    <w:p w14:paraId="1BA4CC4F">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投标人应提供现场技术培训，培训内容包括设备的功能介绍、安装、调试、操作使用等。培训后须确保参训人员能够独立完成设备的基本操作。投标人需按照投标文件中提供培训方案标准实施。</w:t>
      </w:r>
    </w:p>
    <w:p w14:paraId="74AE4B33">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b/>
          <w:bCs/>
          <w:highlight w:val="none"/>
        </w:rPr>
      </w:pPr>
      <w:r>
        <w:rPr>
          <w:rFonts w:hint="eastAsia" w:ascii="宋体" w:hAnsi="宋体" w:cs="宋体"/>
          <w:b/>
          <w:bCs/>
          <w:highlight w:val="none"/>
        </w:rPr>
        <w:t>3.3.2 软件培训</w:t>
      </w:r>
    </w:p>
    <w:p w14:paraId="2F61301B">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投标人针对本次采购的客户端软件（MR协同分析头显）、伺服器端软件、观摩端软件，应提供全面、专业的原厂技术培训服务，确保采购人参训人员熟练掌握三套软件的安装部署、日常操作、专业应用、系统运维及故障排查技能，使软件能够快速投入深部资源勘探实际使用。具体培训要求如下：</w:t>
      </w:r>
    </w:p>
    <w:p w14:paraId="5CB9D4AC">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highlight w:val="none"/>
        </w:rPr>
      </w:pPr>
      <w:r>
        <w:rPr>
          <w:rFonts w:hint="eastAsia" w:ascii="宋体" w:hAnsi="宋体" w:cs="宋体"/>
          <w:b/>
          <w:bCs/>
          <w:highlight w:val="none"/>
        </w:rPr>
        <w:t>（1）培训实施主体及资质要求</w:t>
      </w:r>
      <w:r>
        <w:rPr>
          <w:rFonts w:hint="eastAsia" w:ascii="宋体" w:hAnsi="宋体" w:cs="宋体"/>
          <w:highlight w:val="none"/>
        </w:rPr>
        <w:t>：投标人须委派原厂专业工程师开展培训，工程师需具备相应软件（MR客户端软件、伺服器端软件、观摩端软件）的技术认证资质，并拥有丰富的深部资源勘探行业软件培训及实操经验，能够准确解答培训过程中的各类技术及应用问题。</w:t>
      </w:r>
    </w:p>
    <w:p w14:paraId="52BC0BAC">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highlight w:val="none"/>
        </w:rPr>
      </w:pPr>
      <w:r>
        <w:rPr>
          <w:rFonts w:hint="eastAsia" w:ascii="宋体" w:hAnsi="宋体" w:cs="宋体"/>
          <w:b/>
          <w:bCs/>
          <w:highlight w:val="none"/>
        </w:rPr>
        <w:t>（2）培训覆盖对象及次数要求</w:t>
      </w:r>
      <w:r>
        <w:rPr>
          <w:rFonts w:hint="eastAsia" w:ascii="宋体" w:hAnsi="宋体" w:cs="宋体"/>
          <w:highlight w:val="none"/>
        </w:rPr>
        <w:t>：培训对象应全面覆盖采购方相关人员，包括但不限于系统管理员、数据处理人员、数据解释人员、现场作业人员、项目管理人员以及观摩展示和调试相关人员，确保不同岗位人员均能掌握所需的操作及应用技能。培训时长应确保参训人员充分掌握培训内容，具体时间和地点由采购人确定。同时，在质保期内提供不限次数的远程答疑服务，及时响应采购人的技术咨询。</w:t>
      </w:r>
    </w:p>
    <w:p w14:paraId="516B6562">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highlight w:val="none"/>
        </w:rPr>
      </w:pPr>
      <w:r>
        <w:rPr>
          <w:rFonts w:hint="eastAsia" w:ascii="宋体" w:hAnsi="宋体" w:cs="宋体"/>
          <w:b/>
          <w:bCs/>
          <w:highlight w:val="none"/>
        </w:rPr>
        <w:t>（3）培训内容要求</w:t>
      </w:r>
      <w:r>
        <w:rPr>
          <w:rFonts w:hint="eastAsia" w:ascii="宋体" w:hAnsi="宋体" w:cs="宋体"/>
          <w:highlight w:val="none"/>
        </w:rPr>
        <w:t>：培训内容需紧密结合三套软件的功能特点、部署场景及深部资源勘探实际应用需求，具体包括但不限于：</w:t>
      </w:r>
    </w:p>
    <w:p w14:paraId="5251E421">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1）通用基础培训：讲解MR协同分析平台整体架构、三套软件的功能定位、数据流转逻辑、软硬件接口关系；伺服器端和观摩端软件的环境配置、部署流程、启动与停止、日志查看；MR头显客户端软件的安装、激活、版本升级；三套软件的界面认知、菜单功能、基础操作、快捷键/手柄操作、账号权限与角色管理，以及常见问题排查。</w:t>
      </w:r>
    </w:p>
    <w:p w14:paraId="4687F037">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2）客户端软件专项培训：针对地震解释人员和现场作业人员，开展多源数据加载培训（地震数据、测井数据、层位、断层、属性体等）；全息模型呈现、空间漫游、缩放、剖切、手势控制操作培训；5人及以上同场协同操作、视角同步、会话管理、多人联合解释讨论流程培训；10亿级网格点数据加载策略、动态LOD、遮挡剔除、数据按需加载等性能优化操作培训。</w:t>
      </w:r>
    </w:p>
    <w:p w14:paraId="6B33C884">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3）伺服器端软件专项培训：针对系统管理员和数据管理人员，开展以下内容培训：原始勘探数据导入、格式检查、合法性校验、异常拦截、行业标准格式转换、配置文件生成与编辑；测井、层位、断层、属性体等扩展数据的灵活接入（通过配置文件实现，非固定格式）；体素化算法、三维模型生成、体素单元合并与属性索引、空间色彩及透明度设置、动态LOD与模型简化；≥10亿级网格点模型加载、格式转换、渲染调度、瓦片调度、数据轻量化与空间索引机制；用户管理、≥5人协同状态同步、数据转发、指令下发、作业任务调度、数据一致性保障；伺服器性能监控、数据备份、异常处理、服务重启、日志分析及卡顿/闪退问题定位等系统运维培训。</w:t>
      </w:r>
    </w:p>
    <w:p w14:paraId="0CA431EB">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4）观摩端软件专项培训：针对管理人员、观摩人员和调试人员，开展观摩端与伺服器端对接、运行结果实时显示、多用户协同过程同步展示等培训；切片结果、组合切片结果展示、调试信息查看、运行状态监控等培训；观摩端参数设置、画面切换、投屏输出、调试日志查看及辅助诊断等培训。</w:t>
      </w:r>
    </w:p>
    <w:p w14:paraId="177C2B99">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5）进阶与定制化培训：深部资源勘探典型场景实操案例、地震数据解释工作流、井位优化、储层预测等行业应用案例培训；自定义数据格式接入、扩展字段配置、模型显示样式配置、协同规则配置等配置文件定制培训；平台API调用、模型对接、与第三方勘探系统数据格式匹配等二次开发接口培训。</w:t>
      </w:r>
    </w:p>
    <w:p w14:paraId="62FE5A6B">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highlight w:val="none"/>
        </w:rPr>
      </w:pPr>
      <w:r>
        <w:rPr>
          <w:rFonts w:hint="eastAsia" w:ascii="宋体" w:hAnsi="宋体" w:cs="宋体"/>
          <w:b/>
          <w:bCs/>
          <w:highlight w:val="none"/>
        </w:rPr>
        <w:t>（4）培训资料要求</w:t>
      </w:r>
      <w:r>
        <w:rPr>
          <w:rFonts w:hint="eastAsia" w:ascii="宋体" w:hAnsi="宋体" w:cs="宋体"/>
          <w:highlight w:val="none"/>
        </w:rPr>
        <w:t>：投标人须提供完整、规范的培训资料，包括纸质及电子版培训教材、操作手册、视频教程、快速上手指南、故障排查手册等，确保参训人员可随时查阅。</w:t>
      </w:r>
    </w:p>
    <w:p w14:paraId="07F671D5">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highlight w:val="none"/>
        </w:rPr>
      </w:pPr>
      <w:r>
        <w:rPr>
          <w:rFonts w:hint="eastAsia" w:ascii="宋体" w:hAnsi="宋体" w:cs="宋体"/>
          <w:b/>
          <w:bCs/>
          <w:highlight w:val="none"/>
        </w:rPr>
        <w:t>（5）培训考核要求</w:t>
      </w:r>
      <w:r>
        <w:rPr>
          <w:rFonts w:hint="eastAsia" w:ascii="宋体" w:hAnsi="宋体" w:cs="宋体"/>
          <w:highlight w:val="none"/>
        </w:rPr>
        <w:t>：培训结束后，投标人须组织实操考核，确保参训人员能够独立完成对应岗位的日常操作及基础维护工作。考核合格后方视为培训完成；对考核不合格人员，投标人应免费提供补训服务，直至考核合格。</w:t>
      </w:r>
    </w:p>
    <w:p w14:paraId="6F17A8AE">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w:t>
      </w:r>
      <w:r>
        <w:rPr>
          <w:rFonts w:hint="eastAsia" w:ascii="宋体" w:hAnsi="宋体" w:cs="宋体"/>
          <w:b/>
          <w:bCs/>
          <w:highlight w:val="none"/>
        </w:rPr>
        <w:t>6）后续培训保障</w:t>
      </w:r>
      <w:r>
        <w:rPr>
          <w:rFonts w:hint="eastAsia" w:ascii="宋体" w:hAnsi="宋体" w:cs="宋体"/>
          <w:highlight w:val="none"/>
        </w:rPr>
        <w:t>：质保期内，若软件版本更新，投标人须提供相应的版本升级培训，该部分费用包含在本项目投标报价中，采购人不再另行支付。</w:t>
      </w:r>
    </w:p>
    <w:p w14:paraId="4C572A83">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highlight w:val="none"/>
        </w:rPr>
      </w:pPr>
      <w:r>
        <w:rPr>
          <w:rFonts w:hint="eastAsia" w:ascii="宋体" w:hAnsi="宋体" w:cs="宋体"/>
          <w:b/>
          <w:bCs/>
          <w:highlight w:val="none"/>
        </w:rPr>
        <w:t>3.4 包装运输要求</w:t>
      </w:r>
      <w:r>
        <w:rPr>
          <w:rFonts w:hint="eastAsia" w:ascii="宋体" w:hAnsi="宋体" w:cs="宋体"/>
          <w:highlight w:val="none"/>
        </w:rPr>
        <w:t>：</w:t>
      </w:r>
    </w:p>
    <w:p w14:paraId="2264F771">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投标人应对所有货物进行妥善包装，以满足运输和保管需要。包装应采取防潮、防晒、防锈、防腐蚀、防震动等必要保护措施，确保货物能够承受多次搬运、装卸、长途运输以及在采购人指定地点的长期保管。</w:t>
      </w:r>
    </w:p>
    <w:p w14:paraId="1ED0DB98">
      <w:pPr>
        <w:pStyle w:val="2"/>
        <w:pageBreakBefore w:val="0"/>
        <w:widowControl w:val="0"/>
        <w:kinsoku/>
        <w:wordWrap/>
        <w:overflowPunct/>
        <w:topLinePunct w:val="0"/>
        <w:autoSpaceDE/>
        <w:autoSpaceDN/>
        <w:bidi w:val="0"/>
        <w:adjustRightInd/>
        <w:snapToGrid/>
        <w:spacing w:before="0" w:beforeAutospacing="0" w:after="0" w:line="360" w:lineRule="auto"/>
        <w:ind w:firstLine="0" w:firstLineChars="0"/>
        <w:textAlignment w:val="auto"/>
        <w:rPr>
          <w:rFonts w:hint="eastAsia" w:ascii="宋体" w:hAnsi="宋体" w:eastAsia="宋体"/>
          <w:b/>
          <w:bCs w:val="0"/>
          <w:sz w:val="24"/>
          <w:szCs w:val="24"/>
          <w:highlight w:val="none"/>
        </w:rPr>
      </w:pPr>
      <w:r>
        <w:rPr>
          <w:rFonts w:hint="eastAsia" w:ascii="宋体" w:hAnsi="宋体" w:eastAsia="宋体"/>
          <w:b/>
          <w:bCs w:val="0"/>
          <w:sz w:val="24"/>
          <w:szCs w:val="24"/>
          <w:highlight w:val="none"/>
        </w:rPr>
        <w:t>四、报价要求</w:t>
      </w:r>
    </w:p>
    <w:p w14:paraId="631C2388">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本项目为总价合同，投标人的投标总价应包含完成本项目所需的全部费用，包括但不限于：设备费、人员费、安装费、数据预处理服务费、统计分析服务费、软件开发服务费、集成费、调试费、运输费、管理费、培训费及税费等所有费用。如有漏项或缺项，投标人承担全部责任。</w:t>
      </w:r>
    </w:p>
    <w:p w14:paraId="528D51CE">
      <w:pPr>
        <w:pStyle w:val="2"/>
        <w:pageBreakBefore w:val="0"/>
        <w:widowControl w:val="0"/>
        <w:kinsoku/>
        <w:wordWrap/>
        <w:overflowPunct/>
        <w:topLinePunct w:val="0"/>
        <w:autoSpaceDE/>
        <w:autoSpaceDN/>
        <w:bidi w:val="0"/>
        <w:adjustRightInd/>
        <w:snapToGrid/>
        <w:spacing w:before="0" w:beforeAutospacing="0" w:after="0" w:line="360" w:lineRule="auto"/>
        <w:ind w:firstLine="0" w:firstLineChars="0"/>
        <w:textAlignment w:val="auto"/>
        <w:rPr>
          <w:rFonts w:hint="eastAsia" w:ascii="宋体" w:hAnsi="宋体" w:eastAsia="宋体"/>
          <w:b/>
          <w:bCs w:val="0"/>
          <w:sz w:val="24"/>
          <w:szCs w:val="24"/>
          <w:highlight w:val="none"/>
        </w:rPr>
      </w:pPr>
      <w:r>
        <w:rPr>
          <w:rFonts w:hint="eastAsia" w:ascii="宋体" w:hAnsi="宋体" w:eastAsia="宋体"/>
          <w:b/>
          <w:bCs w:val="0"/>
          <w:sz w:val="24"/>
          <w:szCs w:val="24"/>
          <w:highlight w:val="none"/>
        </w:rPr>
        <w:t>五、其他要求</w:t>
      </w:r>
    </w:p>
    <w:p w14:paraId="1B9EBB81">
      <w:pPr>
        <w:pStyle w:val="2"/>
        <w:pageBreakBefore w:val="0"/>
        <w:widowControl w:val="0"/>
        <w:kinsoku/>
        <w:wordWrap/>
        <w:overflowPunct/>
        <w:topLinePunct w:val="0"/>
        <w:autoSpaceDE/>
        <w:autoSpaceDN/>
        <w:bidi w:val="0"/>
        <w:adjustRightInd/>
        <w:snapToGrid/>
        <w:spacing w:before="0" w:beforeAutospacing="0" w:after="0" w:line="360" w:lineRule="auto"/>
        <w:ind w:firstLine="0" w:firstLineChars="0"/>
        <w:textAlignment w:val="auto"/>
        <w:rPr>
          <w:rFonts w:hint="eastAsia" w:ascii="宋体" w:hAnsi="宋体" w:eastAsia="宋体"/>
          <w:b/>
          <w:bCs w:val="0"/>
          <w:sz w:val="24"/>
          <w:szCs w:val="24"/>
          <w:highlight w:val="none"/>
        </w:rPr>
      </w:pPr>
      <w:r>
        <w:rPr>
          <w:rFonts w:hint="eastAsia" w:ascii="宋体" w:hAnsi="宋体" w:eastAsia="宋体"/>
          <w:b/>
          <w:bCs w:val="0"/>
          <w:sz w:val="24"/>
          <w:szCs w:val="24"/>
          <w:highlight w:val="none"/>
        </w:rPr>
        <w:t>5.1 软件版权与知识产权要求</w:t>
      </w:r>
    </w:p>
    <w:p w14:paraId="50142284">
      <w:pPr>
        <w:pStyle w:val="2"/>
        <w:pageBreakBefore w:val="0"/>
        <w:widowControl w:val="0"/>
        <w:kinsoku/>
        <w:wordWrap/>
        <w:overflowPunct/>
        <w:topLinePunct w:val="0"/>
        <w:autoSpaceDE/>
        <w:autoSpaceDN/>
        <w:bidi w:val="0"/>
        <w:adjustRightInd/>
        <w:snapToGrid/>
        <w:spacing w:before="0" w:beforeAutospacing="0" w:after="0" w:line="360" w:lineRule="auto"/>
        <w:ind w:firstLine="0" w:firstLineChars="0"/>
        <w:textAlignment w:val="auto"/>
        <w:rPr>
          <w:rFonts w:hint="eastAsia" w:ascii="宋体" w:hAnsi="宋体" w:eastAsia="宋体"/>
          <w:b/>
          <w:bCs w:val="0"/>
          <w:sz w:val="24"/>
          <w:szCs w:val="24"/>
          <w:highlight w:val="none"/>
        </w:rPr>
      </w:pPr>
      <w:r>
        <w:rPr>
          <w:rFonts w:hint="eastAsia" w:ascii="宋体" w:hAnsi="宋体" w:eastAsia="宋体"/>
          <w:b/>
          <w:bCs w:val="0"/>
          <w:sz w:val="24"/>
          <w:szCs w:val="24"/>
          <w:highlight w:val="none"/>
        </w:rPr>
        <w:t>5.1.1 知识产权归属</w:t>
      </w:r>
    </w:p>
    <w:p w14:paraId="64682D3E">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1）本项目所有定制开发的成果（含源代码、目标代码、设计文档、数据库结构、算法、界面设计、接口文档、测试用例、部署脚本、版本记录及一切衍生成果）的全部计算机软件著作权，自成果交付之日起，在全球范围内独家、永久、不可撤销地归采购人所有，包括但不限于《计算机软件保护条例》第八条所列的全部权利（发表权、署名权、修改权、复制权、发行权、信息网络传播权、翻译权、改编权及二次开发权等）；</w:t>
      </w:r>
    </w:p>
    <w:p w14:paraId="147D5CBD">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（2）中标人不得在任何载体（本地设备、云端服务器、第三方平台等）保留本项目开发成果的任何副本、备份、片段，不得自行使用、授权第三方使用、泄露、二次开发或用于其他任何项目；</w:t>
      </w:r>
    </w:p>
    <w:p w14:paraId="6C14678B">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3）若中标人在开发过程中使用了其自有知识产权的通用组件、基础框架或库，其所有权仍归中标人。但中标人须永久、免费、无限制地授予采购人及其关联方使用、复制、修改、部署、商业运行及再许可的权利；</w:t>
      </w:r>
    </w:p>
    <w:p w14:paraId="30C37C40">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（4）中标人须在本项目软件开发成果正式交付验收之前，配合采购人完成软件著作权转让登记手续（登记机关为中国版权保护中心）；</w:t>
      </w:r>
    </w:p>
    <w:p w14:paraId="1128CA10">
      <w:pPr>
        <w:pageBreakBefore w:val="0"/>
        <w:widowControl w:val="0"/>
        <w:kinsoku/>
        <w:wordWrap/>
        <w:overflowPunct/>
        <w:topLinePunct w:val="0"/>
        <w:autoSpaceDE/>
        <w:autoSpaceDN/>
        <w:bidi w:val="0"/>
        <w:adjustRightInd/>
        <w:snapToGrid/>
        <w:spacing w:before="0" w:beforeAutospacing="0" w:after="0" w:line="360" w:lineRule="auto"/>
        <w:ind w:firstLine="420" w:firstLineChars="200"/>
        <w:textAlignment w:val="auto"/>
        <w:rPr>
          <w:rFonts w:hint="eastAsia" w:ascii="宋体" w:hAnsi="宋体" w:cs="宋体"/>
          <w:highlight w:val="none"/>
        </w:rPr>
      </w:pPr>
      <w:r>
        <w:rPr>
          <w:rFonts w:hint="eastAsia" w:ascii="宋体" w:hAnsi="宋体" w:cs="宋体"/>
          <w:highlight w:val="none"/>
        </w:rPr>
        <w:t>（5）若中标人违反本条任何约定，视为严重违约，采购人有权按5.1.4条违约条款追究其全部责任，且不免除中标人继续履行版权转让、交付相关成果的义务。</w:t>
      </w:r>
    </w:p>
    <w:p w14:paraId="2C11BF94">
      <w:pPr>
        <w:pStyle w:val="2"/>
        <w:pageBreakBefore w:val="0"/>
        <w:widowControl w:val="0"/>
        <w:kinsoku/>
        <w:wordWrap/>
        <w:overflowPunct/>
        <w:topLinePunct w:val="0"/>
        <w:autoSpaceDE/>
        <w:autoSpaceDN/>
        <w:bidi w:val="0"/>
        <w:adjustRightInd/>
        <w:snapToGrid/>
        <w:spacing w:before="0" w:beforeAutospacing="0" w:after="0" w:line="360" w:lineRule="auto"/>
        <w:ind w:firstLine="0" w:firstLineChars="0"/>
        <w:textAlignment w:val="auto"/>
        <w:rPr>
          <w:rFonts w:hint="eastAsia" w:ascii="宋体" w:hAnsi="宋体" w:eastAsia="宋体"/>
          <w:b/>
          <w:bCs w:val="0"/>
          <w:sz w:val="24"/>
          <w:szCs w:val="24"/>
          <w:highlight w:val="none"/>
        </w:rPr>
      </w:pPr>
      <w:r>
        <w:rPr>
          <w:rFonts w:hint="eastAsia" w:ascii="宋体" w:hAnsi="宋体" w:eastAsia="宋体"/>
          <w:b/>
          <w:bCs w:val="0"/>
          <w:sz w:val="24"/>
          <w:szCs w:val="24"/>
          <w:highlight w:val="none"/>
        </w:rPr>
        <w:t>5.1.2 软件交付物要求</w:t>
      </w:r>
    </w:p>
    <w:p w14:paraId="5EC8F9B5">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highlight w:val="none"/>
        </w:rPr>
      </w:pPr>
      <w:r>
        <w:rPr>
          <w:rFonts w:hint="eastAsia" w:ascii="宋体" w:hAnsi="宋体" w:cs="宋体"/>
          <w:b/>
          <w:bCs/>
          <w:highlight w:val="none"/>
        </w:rPr>
        <w:t>（1）源码交付：</w:t>
      </w:r>
      <w:r>
        <w:rPr>
          <w:rFonts w:hint="eastAsia" w:ascii="宋体" w:hAnsi="宋体" w:cs="宋体"/>
          <w:highlight w:val="none"/>
        </w:rPr>
        <w:t>中标人须向采购人交付完整、可直接正常编译的源代码，源代码不得加密、混淆、植入后门或存在依赖缺失，并附带完整代码注释，确保采购人可独立完成编译、部署及二次开发。交付成果（含源代码、文档等）无任何权利瑕疵，不得包含任何第三方未授权内容，全部知识产权自交付之日起归采购人所有。采购人对交付成果享有完全处置权，包括但不限于修改、二次开发、再许可等，中标人对此不持任何异议。</w:t>
      </w:r>
    </w:p>
    <w:p w14:paraId="0751074C">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highlight w:val="none"/>
        </w:rPr>
      </w:pPr>
      <w:r>
        <w:rPr>
          <w:rFonts w:hint="eastAsia" w:ascii="宋体" w:hAnsi="宋体" w:cs="宋体"/>
          <w:b/>
          <w:bCs/>
          <w:highlight w:val="none"/>
        </w:rPr>
        <w:t>（2）文档交付：</w:t>
      </w:r>
      <w:r>
        <w:rPr>
          <w:rFonts w:hint="eastAsia" w:ascii="宋体" w:hAnsi="宋体" w:cs="宋体"/>
          <w:highlight w:val="none"/>
        </w:rPr>
        <w:t>中标人须交付全套技术文档，包括但不限于：需求规格说明书、概要设计说明书、详细设计说明书、数据库设计说明书、API接口文档、部署手册、运维手册、测试报告（含测试用例、测试结果）。</w:t>
      </w:r>
    </w:p>
    <w:p w14:paraId="65C3D59C">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highlight w:val="none"/>
        </w:rPr>
      </w:pPr>
      <w:r>
        <w:rPr>
          <w:rFonts w:hint="eastAsia" w:ascii="宋体" w:hAnsi="宋体" w:cs="宋体"/>
          <w:b/>
          <w:bCs/>
          <w:highlight w:val="none"/>
        </w:rPr>
        <w:t>（3）工程交付：</w:t>
      </w:r>
      <w:r>
        <w:rPr>
          <w:rFonts w:hint="eastAsia" w:ascii="宋体" w:hAnsi="宋体" w:cs="宋体"/>
          <w:highlight w:val="none"/>
        </w:rPr>
        <w:t>中标人须交付本项目相关的编译脚本、环境配置文件、依赖清单以及完整安装包等，确保源代码可修改、可迭代。</w:t>
      </w:r>
    </w:p>
    <w:p w14:paraId="32D98ED7">
      <w:pPr>
        <w:pStyle w:val="2"/>
        <w:pageBreakBefore w:val="0"/>
        <w:widowControl w:val="0"/>
        <w:kinsoku/>
        <w:wordWrap/>
        <w:overflowPunct/>
        <w:topLinePunct w:val="0"/>
        <w:autoSpaceDE/>
        <w:autoSpaceDN/>
        <w:bidi w:val="0"/>
        <w:adjustRightInd/>
        <w:snapToGrid/>
        <w:spacing w:before="0" w:beforeAutospacing="0" w:after="0" w:line="360" w:lineRule="auto"/>
        <w:ind w:firstLine="0" w:firstLineChars="0"/>
        <w:textAlignment w:val="auto"/>
        <w:rPr>
          <w:rFonts w:hint="eastAsia" w:ascii="宋体" w:hAnsi="宋体" w:eastAsia="宋体"/>
          <w:b/>
          <w:bCs w:val="0"/>
          <w:sz w:val="24"/>
          <w:szCs w:val="24"/>
          <w:highlight w:val="none"/>
        </w:rPr>
      </w:pPr>
      <w:r>
        <w:rPr>
          <w:rFonts w:hint="eastAsia" w:ascii="宋体" w:hAnsi="宋体" w:eastAsia="宋体"/>
          <w:b/>
          <w:bCs w:val="0"/>
          <w:sz w:val="24"/>
          <w:szCs w:val="24"/>
          <w:highlight w:val="none"/>
        </w:rPr>
        <w:t>5.1.3 验收与权利保证</w:t>
      </w:r>
    </w:p>
    <w:p w14:paraId="3BFE9A11">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highlight w:val="none"/>
        </w:rPr>
      </w:pPr>
      <w:r>
        <w:rPr>
          <w:rFonts w:hint="eastAsia" w:ascii="宋体" w:hAnsi="宋体" w:cs="宋体"/>
          <w:b/>
          <w:bCs/>
          <w:highlight w:val="none"/>
        </w:rPr>
        <w:t>（1）编译验证：</w:t>
      </w:r>
      <w:r>
        <w:rPr>
          <w:rFonts w:hint="eastAsia" w:ascii="宋体" w:hAnsi="宋体" w:cs="宋体"/>
          <w:highlight w:val="none"/>
        </w:rPr>
        <w:t>本项目源代码及相关成果的验收标准之一为：在采购人指定环境下，采购人可独立完成源代码的编译、部署及运行，无依赖缺失；功能完全符合招标文件及合同约定，无安全漏洞、无隐藏限制，技术文档完整、规范，可满足采购人运维及二次开发需求。</w:t>
      </w:r>
    </w:p>
    <w:p w14:paraId="165AA1F5">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highlight w:val="none"/>
        </w:rPr>
      </w:pPr>
      <w:r>
        <w:rPr>
          <w:rFonts w:hint="eastAsia" w:ascii="宋体" w:hAnsi="宋体" w:cs="宋体"/>
          <w:b/>
          <w:bCs/>
          <w:highlight w:val="none"/>
        </w:rPr>
        <w:t>（2）侵权担保：</w:t>
      </w:r>
      <w:r>
        <w:rPr>
          <w:rFonts w:hint="eastAsia" w:ascii="宋体" w:hAnsi="宋体" w:cs="宋体"/>
          <w:highlight w:val="none"/>
        </w:rPr>
        <w:t>中标人保证，本项目所有开发成果及使用的组件、框架等，均不侵犯任何第三方的知识产权（包括著作权、专利权、商标权等），若因侵权导致第三方索赔或采购人遭受损失，中标人须承担全部法律责任及经济赔偿，包括但不限于赔偿金、诉讼费、律师费、整改费、商誉损失等全部直接及间接损失。若因中标人原因导致知识产权侵权纠纷，纠纷与采购人无关，由中标人全权承担相关责任。</w:t>
      </w:r>
    </w:p>
    <w:p w14:paraId="51EDA545">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highlight w:val="none"/>
        </w:rPr>
      </w:pPr>
      <w:r>
        <w:rPr>
          <w:rFonts w:hint="eastAsia" w:ascii="宋体" w:hAnsi="宋体" w:cs="宋体"/>
          <w:b/>
          <w:bCs/>
          <w:highlight w:val="none"/>
        </w:rPr>
        <w:t>（3）审计配合：</w:t>
      </w:r>
      <w:r>
        <w:rPr>
          <w:rFonts w:hint="eastAsia" w:ascii="宋体" w:hAnsi="宋体" w:cs="宋体"/>
          <w:highlight w:val="none"/>
        </w:rPr>
        <w:t>采购人有权对交付源码进行安全审计与开源合规性扫描，发现问题中标人须无条件整改。</w:t>
      </w:r>
    </w:p>
    <w:p w14:paraId="1DA6DCA7">
      <w:pPr>
        <w:pStyle w:val="2"/>
        <w:pageBreakBefore w:val="0"/>
        <w:widowControl w:val="0"/>
        <w:kinsoku/>
        <w:wordWrap/>
        <w:overflowPunct/>
        <w:topLinePunct w:val="0"/>
        <w:autoSpaceDE/>
        <w:autoSpaceDN/>
        <w:bidi w:val="0"/>
        <w:adjustRightInd/>
        <w:snapToGrid/>
        <w:spacing w:before="0" w:beforeAutospacing="0" w:after="0" w:line="360" w:lineRule="auto"/>
        <w:ind w:firstLine="0" w:firstLineChars="0"/>
        <w:textAlignment w:val="auto"/>
        <w:rPr>
          <w:rFonts w:hint="eastAsia" w:ascii="宋体" w:hAnsi="宋体" w:eastAsia="宋体"/>
          <w:b/>
          <w:bCs w:val="0"/>
          <w:sz w:val="24"/>
          <w:szCs w:val="24"/>
          <w:highlight w:val="none"/>
        </w:rPr>
      </w:pPr>
      <w:r>
        <w:rPr>
          <w:rFonts w:hint="eastAsia" w:ascii="宋体" w:hAnsi="宋体" w:eastAsia="宋体"/>
          <w:b/>
          <w:bCs w:val="0"/>
          <w:sz w:val="24"/>
          <w:szCs w:val="24"/>
          <w:highlight w:val="none"/>
        </w:rPr>
        <w:t>5.1.4 违约与处罚</w:t>
      </w:r>
    </w:p>
    <w:p w14:paraId="3A1AFA80">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highlight w:val="none"/>
        </w:rPr>
      </w:pPr>
      <w:r>
        <w:rPr>
          <w:rFonts w:hint="eastAsia" w:ascii="宋体" w:hAnsi="宋体" w:cs="宋体"/>
          <w:b/>
          <w:bCs/>
          <w:highlight w:val="none"/>
        </w:rPr>
        <w:t>（1）严重违约：</w:t>
      </w:r>
      <w:r>
        <w:rPr>
          <w:rFonts w:hint="eastAsia" w:ascii="宋体" w:hAnsi="宋体" w:cs="宋体"/>
          <w:highlight w:val="none"/>
        </w:rPr>
        <w:t>中标人出现下列情形之一的，视为严重违约：未按约定向采购人转让软件著作权、未交付完整源代码及相关交付物、擅自保留开发成果副本、自行使用或泄露开发成果、二次开发本项目成果、使用侵权组件或违反开源协议约定。出现上述情形，采购人有权单方解除合同，并要求中标人支付合同总金额20%的违约金，若违约金不足以弥补采购人损失的，中标人须另行补足；</w:t>
      </w:r>
    </w:p>
    <w:p w14:paraId="33D788BC">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highlight w:val="none"/>
        </w:rPr>
      </w:pPr>
      <w:r>
        <w:rPr>
          <w:rFonts w:hint="eastAsia" w:ascii="宋体" w:hAnsi="宋体" w:cs="宋体"/>
          <w:b/>
          <w:bCs/>
          <w:highlight w:val="none"/>
        </w:rPr>
        <w:t>（2）逾期违约：</w:t>
      </w:r>
      <w:r>
        <w:rPr>
          <w:rFonts w:hint="eastAsia" w:ascii="宋体" w:hAnsi="宋体" w:cs="宋体"/>
          <w:highlight w:val="none"/>
        </w:rPr>
        <w:t>中标人逾期交付源代码、相关技术文档或逾期配合完成软件著作权转让登记的，按日向采购人支付合同总金额0.1%的违约金；逾期超过30日的，采购人有权单方解除合同，并要求中标人承担相应的赔偿责任；</w:t>
      </w:r>
    </w:p>
    <w:p w14:paraId="123F25FB">
      <w:pPr>
        <w:pageBreakBefore w:val="0"/>
        <w:widowControl w:val="0"/>
        <w:kinsoku/>
        <w:wordWrap/>
        <w:overflowPunct/>
        <w:topLinePunct w:val="0"/>
        <w:autoSpaceDE/>
        <w:autoSpaceDN/>
        <w:bidi w:val="0"/>
        <w:adjustRightInd/>
        <w:snapToGrid/>
        <w:spacing w:before="0" w:beforeAutospacing="0" w:after="0" w:line="360" w:lineRule="auto"/>
        <w:ind w:firstLine="422" w:firstLineChars="200"/>
        <w:textAlignment w:val="auto"/>
        <w:rPr>
          <w:rFonts w:hint="eastAsia" w:ascii="宋体" w:hAnsi="宋体" w:cs="宋体"/>
          <w:highlight w:val="none"/>
        </w:rPr>
      </w:pPr>
      <w:r>
        <w:rPr>
          <w:rFonts w:hint="eastAsia" w:ascii="宋体" w:hAnsi="宋体" w:cs="宋体"/>
          <w:b/>
          <w:bCs/>
          <w:highlight w:val="none"/>
        </w:rPr>
        <w:t>（3）保密义务：</w:t>
      </w:r>
      <w:r>
        <w:rPr>
          <w:rFonts w:hint="eastAsia" w:ascii="宋体" w:hAnsi="宋体" w:cs="宋体"/>
          <w:highlight w:val="none"/>
        </w:rPr>
        <w:t>中标人参与本项目的全部开发人员（包括但不限于项目经理、架构师、主要开发人员等），须对本项目开发成果及相关信息承担永久保密义务，未经采购人书面允许，不得向任何第三方披露，若违反该约定，中标人须承担相应的赔偿责任。</w:t>
      </w:r>
    </w:p>
    <w:bookmarkEnd w:id="0"/>
    <w:bookmarkEnd w:id="17"/>
    <w:bookmarkEnd w:id="18"/>
    <w:bookmarkEnd w:id="19"/>
    <w:bookmarkEnd w:id="20"/>
    <w:bookmarkEnd w:id="21"/>
    <w:bookmarkEnd w:id="22"/>
    <w:bookmarkEnd w:id="23"/>
    <w:bookmarkEnd w:id="24"/>
    <w:p w14:paraId="7A661D26">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10600030101010101"/>
    <w:charset w:val="86"/>
    <w:family w:val="script"/>
    <w:pitch w:val="default"/>
    <w:sig w:usb0="00000000" w:usb1="0000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4446D"/>
    <w:rsid w:val="44D4446D"/>
    <w:rsid w:val="45210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60" w:line="276" w:lineRule="auto"/>
      <w:jc w:val="both"/>
    </w:pPr>
    <w:rPr>
      <w:rFonts w:ascii="Calibri" w:hAnsi="Calibri" w:eastAsia="宋体" w:cs="Times New Roman"/>
      <w:kern w:val="2"/>
      <w:sz w:val="21"/>
      <w:szCs w:val="21"/>
      <w:lang w:val="en-US" w:eastAsia="zh-CN" w:bidi="ar-SA"/>
    </w:rPr>
  </w:style>
  <w:style w:type="paragraph" w:styleId="2">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bCs/>
      <w:kern w:val="0"/>
      <w:sz w:val="28"/>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next w:val="4"/>
    <w:unhideWhenUsed/>
    <w:qFormat/>
    <w:uiPriority w:val="99"/>
    <w:pPr>
      <w:ind w:firstLine="645"/>
    </w:pPr>
    <w:rPr>
      <w:rFonts w:ascii="楷体_GB2312" w:hAnsi="@仿宋_GB2312" w:eastAsia="楷体_GB2312"/>
      <w:sz w:val="32"/>
      <w:szCs w:val="20"/>
    </w:rPr>
  </w:style>
  <w:style w:type="paragraph" w:styleId="4">
    <w:name w:val="envelope return"/>
    <w:basedOn w:val="1"/>
    <w:qFormat/>
    <w:uiPriority w:val="99"/>
    <w:pPr>
      <w:snapToGrid w:val="0"/>
    </w:pPr>
    <w:rPr>
      <w:rFonts w:ascii="Arial" w:hAnsi="Arial" w:cs="Arial"/>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ascii="@仿宋_GB2312" w:hAnsi="@仿宋_GB2312" w:eastAsia="@仿宋_GB2312"/>
      <w:sz w:val="18"/>
      <w:szCs w:val="18"/>
    </w:rPr>
  </w:style>
  <w:style w:type="paragraph" w:styleId="6">
    <w:name w:val="Body Text First Indent 2"/>
    <w:basedOn w:val="3"/>
    <w:unhideWhenUsed/>
    <w:qFormat/>
    <w:uiPriority w:val="99"/>
    <w:pPr>
      <w:ind w:left="420" w:firstLine="420" w:firstLineChars="200"/>
    </w:pPr>
    <w:rPr>
      <w:rFonts w:ascii="Times New Roman" w:cs="Times New Roman"/>
    </w:rPr>
  </w:style>
  <w:style w:type="paragraph" w:customStyle="1" w:styleId="9">
    <w:name w:val="D&amp;L"/>
    <w:basedOn w:val="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14465</Words>
  <Characters>15497</Characters>
  <Lines>0</Lines>
  <Paragraphs>0</Paragraphs>
  <TotalTime>6</TotalTime>
  <ScaleCrop>false</ScaleCrop>
  <LinksUpToDate>false</LinksUpToDate>
  <CharactersWithSpaces>15595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2026-05-14T11:16:00Z</dcterms:created>
  <dc:creator>省招</dc:creator>
  <cp:lastModifiedBy>省招</cp:lastModifiedBy>
  <dcterms:modified xsi:type="dcterms:W3CDTF">2026-05-14T12:18:24Z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1A5BAFF47911471CB6FBEC893B269EF1_11</vt:lpwstr>
  </property>
  <property fmtid="{D5CDD505-2E9C-101B-9397-08002B2CF9AE}" pid="4" name="KSOTemplateDocerSaveRecord">
    <vt:lpwstr>eyJoZGlkIjoiMjFlNDcxMzhjZTVlNDBjMzBjMjM4MDQwMDM2MDcyZTEiLCJ1c2VySWQiOiI4ODgyMDUxMzUifQ==</vt:lpwstr>
  </property>
</Properties>
</file>