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bookmarkStart w:id="48" w:name="_GoBack"/>
      <w:bookmarkEnd w:id="48"/>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0A603A90">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30B0ED33">
      <w:pPr>
        <w:spacing w:line="360" w:lineRule="auto"/>
        <w:ind w:firstLine="437"/>
        <w:outlineLvl w:val="1"/>
        <w:rPr>
          <w:rFonts w:ascii="宋体" w:hAnsi="宋体" w:eastAsia="宋体"/>
          <w:b/>
          <w:color w:val="auto"/>
          <w:sz w:val="24"/>
          <w:szCs w:val="18"/>
          <w:highlight w:val="none"/>
        </w:rPr>
      </w:pPr>
      <w:bookmarkStart w:id="0" w:name="_Toc27090"/>
      <w:bookmarkStart w:id="1" w:name="_Toc2554"/>
      <w:bookmarkStart w:id="2" w:name="_Toc32151"/>
      <w:r>
        <w:rPr>
          <w:rFonts w:hint="eastAsia" w:ascii="宋体" w:hAnsi="宋体" w:eastAsia="宋体"/>
          <w:b/>
          <w:color w:val="auto"/>
          <w:sz w:val="24"/>
          <w:szCs w:val="18"/>
          <w:highlight w:val="none"/>
        </w:rPr>
        <w:t>一、采购需求前附表</w:t>
      </w:r>
      <w:bookmarkEnd w:id="0"/>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312741B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合同生效后，采购人付至合同价的70%（中标人须提供等额预付款担保），项目经验收合格且相关资料齐备己移交后，一次性付清合同价款。</w:t>
            </w:r>
          </w:p>
          <w:p w14:paraId="32E52E4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注：</w:t>
            </w:r>
          </w:p>
          <w:p w14:paraId="74C0D39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（1）中标人未按规定提供预付款担保的，视为放弃预付款；</w:t>
            </w:r>
          </w:p>
          <w:p w14:paraId="62B8C4E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（2）预付款担保要求：如采用银行保函、担保机构出具的保函（担保机构担保）均须满足无条件见索即付条件。             </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安徽省农业科学院水产研究所，具体按采购人指定地点。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第3包：合同生效之日起，60个日历日内完成供货、安装、调试、培训等所有工作内容。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自验收合格之日起，1年。             </w:t>
            </w:r>
          </w:p>
        </w:tc>
      </w:tr>
    </w:tbl>
    <w:p w14:paraId="608ADC2B">
      <w:pPr>
        <w:spacing w:line="360" w:lineRule="auto"/>
        <w:ind w:firstLine="437"/>
        <w:outlineLvl w:val="1"/>
        <w:rPr>
          <w:rFonts w:hint="eastAsia" w:ascii="宋体" w:hAnsi="宋体" w:eastAsia="宋体"/>
          <w:b/>
          <w:bCs/>
          <w:color w:val="auto"/>
          <w:sz w:val="24"/>
          <w:szCs w:val="18"/>
          <w:highlight w:val="none"/>
        </w:rPr>
      </w:pPr>
      <w:bookmarkStart w:id="3" w:name="_Toc5944"/>
      <w:bookmarkStart w:id="4" w:name="_Toc7671"/>
    </w:p>
    <w:p w14:paraId="3E806DB2">
      <w:pPr>
        <w:spacing w:line="360" w:lineRule="auto"/>
        <w:ind w:firstLine="437"/>
        <w:outlineLvl w:val="1"/>
        <w:rPr>
          <w:rFonts w:hint="eastAsia" w:ascii="宋体" w:hAnsi="宋体" w:eastAsia="宋体"/>
          <w:b/>
          <w:bCs/>
          <w:color w:val="auto"/>
          <w:sz w:val="24"/>
          <w:szCs w:val="18"/>
          <w:highlight w:val="none"/>
        </w:rPr>
      </w:pPr>
      <w:bookmarkStart w:id="5" w:name="_Toc25409"/>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bookmarkEnd w:id="5"/>
    </w:p>
    <w:p w14:paraId="6C3D332C">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30919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核心指标</w:t>
            </w:r>
            <w:r>
              <w:rPr>
                <w:rFonts w:hint="eastAsia" w:ascii="宋体" w:hAnsi="宋体" w:eastAsia="宋体" w:cs="宋体"/>
                <w:color w:val="auto"/>
                <w:sz w:val="24"/>
                <w:szCs w:val="24"/>
                <w:highlight w:val="none"/>
              </w:rPr>
              <w:t>项</w:t>
            </w:r>
          </w:p>
        </w:tc>
        <w:tc>
          <w:tcPr>
            <w:tcW w:w="1365" w:type="dxa"/>
            <w:noWrap w:val="0"/>
            <w:vAlign w:val="center"/>
          </w:tcPr>
          <w:p w14:paraId="64C4671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w:t>
            </w:r>
          </w:p>
        </w:tc>
        <w:tc>
          <w:tcPr>
            <w:tcW w:w="5363" w:type="dxa"/>
            <w:noWrap w:val="0"/>
            <w:vAlign w:val="center"/>
          </w:tcPr>
          <w:p w14:paraId="33E2403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lef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符合性审查项，该指标项负偏离或未响应的，</w:t>
            </w:r>
            <w:r>
              <w:rPr>
                <w:rFonts w:hint="eastAsia" w:ascii="宋体" w:hAnsi="宋体" w:eastAsia="宋体" w:cs="宋体"/>
                <w:b/>
                <w:bCs w:val="0"/>
                <w:color w:val="auto"/>
                <w:sz w:val="24"/>
                <w:szCs w:val="24"/>
                <w:highlight w:val="none"/>
                <w:lang w:val="en-US" w:eastAsia="zh-CN"/>
              </w:rPr>
              <w:t>投标无效</w:t>
            </w:r>
            <w:r>
              <w:rPr>
                <w:rFonts w:hint="eastAsia" w:ascii="宋体" w:hAnsi="宋体" w:eastAsia="宋体" w:cs="宋体"/>
                <w:bCs/>
                <w:color w:val="auto"/>
                <w:sz w:val="24"/>
                <w:szCs w:val="24"/>
                <w:highlight w:val="none"/>
                <w:lang w:val="en-US" w:eastAsia="zh-CN"/>
              </w:rPr>
              <w:t>。</w:t>
            </w:r>
          </w:p>
        </w:tc>
      </w:tr>
      <w:tr w14:paraId="7E0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4063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重要指标项</w:t>
            </w:r>
          </w:p>
        </w:tc>
        <w:tc>
          <w:tcPr>
            <w:tcW w:w="1365" w:type="dxa"/>
            <w:shd w:val="clear" w:color="auto" w:fill="auto"/>
            <w:noWrap w:val="0"/>
            <w:vAlign w:val="center"/>
          </w:tcPr>
          <w:p w14:paraId="761D9B8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5363" w:type="dxa"/>
            <w:shd w:val="clear" w:color="auto" w:fill="auto"/>
            <w:noWrap w:val="0"/>
            <w:vAlign w:val="center"/>
          </w:tcPr>
          <w:p w14:paraId="4EF10B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37BD2C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rPr>
            </w:pPr>
          </w:p>
        </w:tc>
        <w:tc>
          <w:tcPr>
            <w:tcW w:w="5363" w:type="dxa"/>
            <w:noWrap w:val="0"/>
            <w:vAlign w:val="center"/>
          </w:tcPr>
          <w:p w14:paraId="31CD4D0C">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5</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7DC5753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B3374F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如某项标识中包含多条技术参数或要求，则该项标识所含内容均需满足或优于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文件要求，否则不予认可。</w:t>
            </w:r>
          </w:p>
          <w:p w14:paraId="3250606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2）所属行业中标注“/”的品目，无须在《中小企业声明函》中列明。</w:t>
            </w:r>
          </w:p>
        </w:tc>
      </w:tr>
    </w:tbl>
    <w:p w14:paraId="4DA11626">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p>
    <w:p w14:paraId="7E9B8411">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b/>
          <w:bCs/>
          <w:color w:val="auto"/>
          <w:sz w:val="24"/>
          <w:szCs w:val="18"/>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4"/>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783"/>
        <w:gridCol w:w="5112"/>
        <w:gridCol w:w="1073"/>
        <w:gridCol w:w="813"/>
      </w:tblGrid>
      <w:tr w14:paraId="20E4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068EB512">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bookmarkStart w:id="6" w:name="_Toc4843"/>
            <w:bookmarkStart w:id="7" w:name="_Toc7421"/>
            <w:r>
              <w:rPr>
                <w:rFonts w:hint="eastAsia" w:ascii="宋体" w:hAnsi="宋体" w:eastAsia="宋体" w:cs="宋体"/>
                <w:b/>
                <w:bCs/>
                <w:color w:val="auto"/>
                <w:sz w:val="24"/>
                <w:szCs w:val="24"/>
                <w:highlight w:val="none"/>
              </w:rPr>
              <w:t>序号</w:t>
            </w:r>
          </w:p>
        </w:tc>
        <w:tc>
          <w:tcPr>
            <w:tcW w:w="457" w:type="pct"/>
            <w:vAlign w:val="center"/>
          </w:tcPr>
          <w:p w14:paraId="4DEBF6FE">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tc>
        <w:tc>
          <w:tcPr>
            <w:tcW w:w="2988" w:type="pct"/>
            <w:vAlign w:val="center"/>
          </w:tcPr>
          <w:p w14:paraId="1F8E4EEE">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技术参数及要求</w:t>
            </w:r>
          </w:p>
        </w:tc>
        <w:tc>
          <w:tcPr>
            <w:tcW w:w="627" w:type="pct"/>
            <w:vAlign w:val="center"/>
          </w:tcPr>
          <w:p w14:paraId="052C077B">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23F74808">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475" w:type="pct"/>
            <w:vAlign w:val="center"/>
          </w:tcPr>
          <w:p w14:paraId="00DFA6E5">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所属</w:t>
            </w:r>
          </w:p>
          <w:p w14:paraId="086A5BEE">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行业</w:t>
            </w:r>
          </w:p>
        </w:tc>
      </w:tr>
      <w:tr w14:paraId="7C04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1" w:type="pct"/>
            <w:vAlign w:val="center"/>
          </w:tcPr>
          <w:p w14:paraId="66615967">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57" w:type="pct"/>
            <w:vAlign w:val="center"/>
          </w:tcPr>
          <w:p w14:paraId="50C13681">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 w:val="0"/>
                <w:bCs w:val="0"/>
                <w:color w:val="auto"/>
                <w:kern w:val="0"/>
                <w:sz w:val="24"/>
                <w:szCs w:val="24"/>
                <w:highlight w:val="none"/>
                <w:vertAlign w:val="baseline"/>
                <w:lang w:val="en-US" w:eastAsia="zh-CN" w:bidi="ar"/>
              </w:rPr>
              <w:t>藻类智能监测系统</w:t>
            </w:r>
          </w:p>
        </w:tc>
        <w:tc>
          <w:tcPr>
            <w:tcW w:w="2988" w:type="pct"/>
            <w:vAlign w:val="center"/>
          </w:tcPr>
          <w:p w14:paraId="766730AA">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1.基于人工智能的藻类自动智能识别技术，可实现多通</w:t>
            </w:r>
            <w:r>
              <w:rPr>
                <w:rFonts w:hint="eastAsia" w:ascii="宋体" w:hAnsi="宋体" w:eastAsia="宋体" w:cs="宋体"/>
                <w:color w:val="auto"/>
                <w:kern w:val="0"/>
                <w:sz w:val="24"/>
                <w:szCs w:val="24"/>
                <w:highlight w:val="none"/>
                <w:lang w:val="en-US" w:eastAsia="zh-CN" w:bidi="ar"/>
              </w:rPr>
              <w:t>道</w:t>
            </w:r>
            <w:r>
              <w:rPr>
                <w:rFonts w:hint="eastAsia" w:ascii="宋体" w:hAnsi="宋体" w:eastAsia="宋体" w:cs="宋体"/>
                <w:color w:val="auto"/>
                <w:kern w:val="0"/>
                <w:sz w:val="24"/>
                <w:szCs w:val="24"/>
                <w:highlight w:val="none"/>
                <w:lang w:bidi="ar"/>
              </w:rPr>
              <w:t>藻类样本的自动聚焦、拍摄、识别及计数，</w:t>
            </w:r>
            <w:r>
              <w:rPr>
                <w:rFonts w:hint="eastAsia" w:ascii="宋体" w:hAnsi="宋体" w:eastAsia="宋体" w:cs="宋体"/>
                <w:color w:val="auto"/>
                <w:kern w:val="0"/>
                <w:sz w:val="24"/>
                <w:szCs w:val="24"/>
                <w:highlight w:val="none"/>
                <w:lang w:val="en-US" w:eastAsia="zh-CN" w:bidi="ar"/>
              </w:rPr>
              <w:t>并</w:t>
            </w:r>
            <w:r>
              <w:rPr>
                <w:rFonts w:hint="eastAsia" w:ascii="宋体" w:hAnsi="宋体" w:eastAsia="宋体" w:cs="宋体"/>
                <w:color w:val="auto"/>
                <w:kern w:val="0"/>
                <w:sz w:val="24"/>
                <w:szCs w:val="24"/>
                <w:highlight w:val="none"/>
                <w:lang w:bidi="ar"/>
              </w:rPr>
              <w:t>实现藻类的属种、比例、藻密度、生物量等多指标自动分析输出；</w:t>
            </w:r>
          </w:p>
          <w:p w14:paraId="7AF82EA5">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2.提供分析软件，原装正版</w:t>
            </w:r>
            <w:r>
              <w:rPr>
                <w:rFonts w:hint="eastAsia" w:ascii="宋体" w:hAnsi="宋体" w:eastAsia="宋体" w:cs="宋体"/>
                <w:color w:val="auto"/>
                <w:kern w:val="0"/>
                <w:sz w:val="24"/>
                <w:szCs w:val="24"/>
                <w:highlight w:val="none"/>
                <w:lang w:eastAsia="zh-CN" w:bidi="ar"/>
              </w:rPr>
              <w:t>；</w:t>
            </w:r>
          </w:p>
          <w:p w14:paraId="7756FF6D">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w:t>
            </w:r>
            <w:r>
              <w:rPr>
                <w:rFonts w:hint="eastAsia" w:ascii="宋体" w:hAnsi="宋体" w:eastAsia="宋体" w:cs="宋体"/>
                <w:color w:val="auto"/>
                <w:kern w:val="0"/>
                <w:sz w:val="24"/>
                <w:szCs w:val="24"/>
                <w:highlight w:val="none"/>
                <w:lang w:bidi="ar"/>
              </w:rPr>
              <w:t>视图：多景深图像叠加；多景深图像并排比较；多景深合成图像并列显示；</w:t>
            </w:r>
          </w:p>
          <w:p w14:paraId="413D88F2">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b/>
                <w:bCs/>
                <w:color w:val="auto"/>
                <w:kern w:val="0"/>
                <w:sz w:val="24"/>
                <w:szCs w:val="24"/>
                <w:highlight w:val="none"/>
                <w:lang w:eastAsia="zh-CN" w:bidi="ar"/>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lang w:bidi="ar"/>
              </w:rPr>
              <w:t>4.图</w:t>
            </w:r>
            <w:r>
              <w:rPr>
                <w:rFonts w:hint="eastAsia" w:ascii="宋体" w:hAnsi="宋体" w:eastAsia="宋体" w:cs="宋体"/>
                <w:color w:val="auto"/>
                <w:kern w:val="0"/>
                <w:sz w:val="24"/>
                <w:szCs w:val="24"/>
                <w:highlight w:val="none"/>
                <w:lang w:bidi="ar"/>
              </w:rPr>
              <w:t>片数据库：涵盖藻类不低于8个门、120个属，数据库可更新优化</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投标文件中提供可识别的藻属清单，须能体现不低于8个门、120个属</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w:t>
            </w:r>
          </w:p>
          <w:p w14:paraId="05C39BCF">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5.物种识别能力：藻种识别准确率≥85%，细胞计数准确率≥85%；</w:t>
            </w:r>
          </w:p>
          <w:p w14:paraId="5904673A">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6.支持一键查看指定视野显微图像，实时显示每个视野浮游藻类；</w:t>
            </w:r>
          </w:p>
          <w:p w14:paraId="22589262">
            <w:pPr>
              <w:keepNext w:val="0"/>
              <w:keepLines w:val="0"/>
              <w:pageBreakBefore w:val="0"/>
              <w:widowControl/>
              <w:numPr>
                <w:ilvl w:val="0"/>
                <w:numId w:val="1"/>
              </w:numPr>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相机参数要求：</w:t>
            </w:r>
          </w:p>
          <w:p w14:paraId="3B0266C5">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宋体" w:hAnsi="宋体" w:eastAsia="宋体" w:cs="宋体"/>
                <w:color w:val="auto"/>
                <w:kern w:val="0"/>
                <w:sz w:val="24"/>
                <w:szCs w:val="24"/>
                <w:highlight w:val="none"/>
                <w:lang w:eastAsia="zh-CN" w:bidi="ar"/>
              </w:rPr>
            </w:pPr>
            <w:r>
              <w:rPr>
                <w:rFonts w:hint="default"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bidi="ar"/>
              </w:rPr>
              <w:t>类型：单芯片彩色相机（像素位移）</w:t>
            </w:r>
            <w:r>
              <w:rPr>
                <w:rFonts w:hint="eastAsia" w:ascii="宋体" w:hAnsi="宋体" w:eastAsia="宋体" w:cs="宋体"/>
                <w:color w:val="auto"/>
                <w:kern w:val="0"/>
                <w:sz w:val="24"/>
                <w:szCs w:val="24"/>
                <w:highlight w:val="none"/>
                <w:lang w:eastAsia="zh-CN" w:bidi="ar"/>
              </w:rPr>
              <w:t>；</w:t>
            </w:r>
          </w:p>
          <w:p w14:paraId="6BEB5467">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宋体" w:hAnsi="宋体" w:eastAsia="宋体" w:cs="宋体"/>
                <w:color w:val="auto"/>
                <w:kern w:val="0"/>
                <w:sz w:val="24"/>
                <w:szCs w:val="24"/>
                <w:highlight w:val="none"/>
                <w:lang w:eastAsia="zh-CN" w:bidi="ar"/>
              </w:rPr>
            </w:pPr>
            <w:r>
              <w:rPr>
                <w:rFonts w:hint="default" w:ascii="宋体" w:hAnsi="宋体" w:eastAsia="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bidi="ar"/>
              </w:rPr>
              <w:t>成像传感器：≥900万像素彩色CMOS图像传感器</w:t>
            </w:r>
            <w:r>
              <w:rPr>
                <w:rFonts w:hint="eastAsia" w:ascii="宋体" w:hAnsi="宋体" w:eastAsia="宋体" w:cs="宋体"/>
                <w:color w:val="auto"/>
                <w:kern w:val="0"/>
                <w:sz w:val="24"/>
                <w:szCs w:val="24"/>
                <w:highlight w:val="none"/>
                <w:lang w:eastAsia="zh-CN" w:bidi="ar"/>
              </w:rPr>
              <w:t>；</w:t>
            </w:r>
          </w:p>
          <w:p w14:paraId="353A1BB3">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宋体" w:hAnsi="宋体" w:eastAsia="宋体" w:cs="宋体"/>
                <w:color w:val="auto"/>
                <w:kern w:val="0"/>
                <w:sz w:val="24"/>
                <w:szCs w:val="24"/>
                <w:highlight w:val="none"/>
                <w:lang w:eastAsia="zh-CN" w:bidi="ar"/>
              </w:rPr>
            </w:pPr>
            <w:r>
              <w:rPr>
                <w:rFonts w:hint="default" w:ascii="宋体" w:hAnsi="宋体" w:eastAsia="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bidi="ar"/>
              </w:rPr>
              <w:t>最大有效图像分辨率：≥900万像素（4096×2160）；CMOS模式有效图像分辨率：≥900万像素（4096×2160）</w:t>
            </w:r>
            <w:r>
              <w:rPr>
                <w:rFonts w:hint="eastAsia" w:ascii="宋体" w:hAnsi="宋体" w:eastAsia="宋体" w:cs="宋体"/>
                <w:color w:val="auto"/>
                <w:kern w:val="0"/>
                <w:sz w:val="24"/>
                <w:szCs w:val="24"/>
                <w:highlight w:val="none"/>
                <w:lang w:eastAsia="zh-CN" w:bidi="ar"/>
              </w:rPr>
              <w:t>；</w:t>
            </w:r>
          </w:p>
          <w:p w14:paraId="4862D854">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宋体" w:hAnsi="宋体" w:eastAsia="宋体" w:cs="宋体"/>
                <w:color w:val="auto"/>
                <w:kern w:val="0"/>
                <w:sz w:val="24"/>
                <w:szCs w:val="24"/>
                <w:highlight w:val="none"/>
                <w:lang w:eastAsia="zh-CN" w:bidi="ar"/>
              </w:rPr>
            </w:pPr>
            <w:r>
              <w:rPr>
                <w:rFonts w:hint="default" w:ascii="宋体" w:hAnsi="宋体" w:eastAsia="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实时帧率：1400×1400(1×1)</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≥30fps；4096×3000(1×1)</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≥8fps</w:t>
            </w:r>
            <w:r>
              <w:rPr>
                <w:rFonts w:hint="eastAsia" w:ascii="宋体" w:hAnsi="宋体" w:eastAsia="宋体" w:cs="宋体"/>
                <w:color w:val="auto"/>
                <w:kern w:val="0"/>
                <w:sz w:val="24"/>
                <w:szCs w:val="24"/>
                <w:highlight w:val="none"/>
                <w:lang w:eastAsia="zh-CN" w:bidi="ar"/>
              </w:rPr>
              <w:t>；</w:t>
            </w:r>
          </w:p>
          <w:p w14:paraId="0DE1141C">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★8.检测通量：</w:t>
            </w:r>
            <w:r>
              <w:rPr>
                <w:rFonts w:hint="eastAsia" w:ascii="宋体" w:hAnsi="宋体" w:eastAsia="宋体" w:cs="宋体"/>
                <w:color w:val="auto"/>
                <w:kern w:val="0"/>
                <w:sz w:val="24"/>
                <w:szCs w:val="24"/>
                <w:highlight w:val="none"/>
                <w:lang w:bidi="ar"/>
              </w:rPr>
              <w:t>浮游藻类可一次检测不少于</w:t>
            </w:r>
            <w:r>
              <w:rPr>
                <w:rFonts w:hint="eastAsia" w:ascii="宋体" w:hAnsi="宋体" w:eastAsia="宋体"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bidi="ar"/>
              </w:rPr>
              <w:t>个样品；浮游动物可一次检测不少于2个样品</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val="en-US" w:eastAsia="zh-CN" w:bidi="ar"/>
              </w:rPr>
              <w:t>提供</w:t>
            </w:r>
            <w:r>
              <w:rPr>
                <w:rFonts w:hint="eastAsia" w:ascii="宋体" w:hAnsi="宋体" w:eastAsia="宋体" w:cs="宋体"/>
                <w:b/>
                <w:bCs/>
                <w:color w:val="auto"/>
                <w:kern w:val="0"/>
                <w:sz w:val="24"/>
                <w:szCs w:val="24"/>
                <w:highlight w:val="none"/>
                <w:lang w:bidi="ar"/>
              </w:rPr>
              <w:t>仪器检测过程中的照片作为证明）</w:t>
            </w:r>
            <w:r>
              <w:rPr>
                <w:rFonts w:hint="eastAsia" w:ascii="宋体" w:hAnsi="宋体" w:eastAsia="宋体" w:cs="宋体"/>
                <w:color w:val="auto"/>
                <w:kern w:val="0"/>
                <w:sz w:val="24"/>
                <w:szCs w:val="24"/>
                <w:highlight w:val="none"/>
                <w:lang w:bidi="ar"/>
              </w:rPr>
              <w:t>；</w:t>
            </w:r>
          </w:p>
          <w:p w14:paraId="0D8D0D58">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★9.载样方式：</w:t>
            </w:r>
            <w:r>
              <w:rPr>
                <w:rFonts w:hint="eastAsia" w:ascii="宋体" w:hAnsi="宋体" w:eastAsia="宋体" w:cs="宋体"/>
                <w:color w:val="auto"/>
                <w:kern w:val="0"/>
                <w:sz w:val="24"/>
                <w:szCs w:val="24"/>
                <w:highlight w:val="none"/>
                <w:lang w:val="en-US" w:eastAsia="zh-CN" w:bidi="ar"/>
              </w:rPr>
              <w:t>计数框式载样方式</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提供产品实物照片作为证明）</w:t>
            </w:r>
            <w:r>
              <w:rPr>
                <w:rFonts w:hint="eastAsia" w:ascii="宋体" w:hAnsi="宋体" w:eastAsia="宋体" w:cs="宋体"/>
                <w:color w:val="auto"/>
                <w:kern w:val="0"/>
                <w:sz w:val="24"/>
                <w:szCs w:val="24"/>
                <w:highlight w:val="none"/>
                <w:lang w:eastAsia="zh-CN" w:bidi="ar"/>
              </w:rPr>
              <w:t>；</w:t>
            </w:r>
          </w:p>
          <w:p w14:paraId="14035333">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10.计数框：采用磁吸方式，</w:t>
            </w:r>
            <w:r>
              <w:rPr>
                <w:rFonts w:hint="eastAsia" w:ascii="宋体" w:hAnsi="宋体" w:eastAsia="宋体" w:cs="宋体"/>
                <w:color w:val="auto"/>
                <w:kern w:val="0"/>
                <w:sz w:val="24"/>
                <w:szCs w:val="24"/>
                <w:highlight w:val="none"/>
                <w:lang w:val="en-US" w:eastAsia="zh-CN" w:bidi="ar"/>
              </w:rPr>
              <w:t>托盘</w:t>
            </w:r>
            <w:r>
              <w:rPr>
                <w:rFonts w:hint="eastAsia" w:ascii="宋体" w:hAnsi="宋体" w:eastAsia="宋体" w:cs="宋体"/>
                <w:color w:val="auto"/>
                <w:kern w:val="0"/>
                <w:sz w:val="24"/>
                <w:szCs w:val="24"/>
                <w:highlight w:val="none"/>
                <w:lang w:bidi="ar"/>
              </w:rPr>
              <w:t>与底板保持紧密连接；</w:t>
            </w:r>
          </w:p>
          <w:p w14:paraId="340D1640">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11.显微镜：用于扫描拍摄和智能检测的生物显微镜，含显微镜机架、</w:t>
            </w:r>
            <w:r>
              <w:rPr>
                <w:rFonts w:hint="eastAsia" w:ascii="宋体" w:hAnsi="宋体" w:eastAsia="宋体" w:cs="宋体"/>
                <w:color w:val="auto"/>
                <w:kern w:val="0"/>
                <w:sz w:val="24"/>
                <w:szCs w:val="24"/>
                <w:highlight w:val="none"/>
                <w:lang w:val="en-US" w:eastAsia="zh-CN" w:bidi="ar"/>
              </w:rPr>
              <w:t>多</w:t>
            </w:r>
            <w:r>
              <w:rPr>
                <w:rFonts w:hint="eastAsia" w:ascii="宋体" w:hAnsi="宋体" w:eastAsia="宋体" w:cs="宋体"/>
                <w:color w:val="auto"/>
                <w:kern w:val="0"/>
                <w:sz w:val="24"/>
                <w:szCs w:val="24"/>
                <w:highlight w:val="none"/>
                <w:lang w:bidi="ar"/>
              </w:rPr>
              <w:t>孔物镜转盘</w:t>
            </w:r>
            <w:r>
              <w:rPr>
                <w:rFonts w:hint="eastAsia" w:ascii="宋体" w:hAnsi="宋体" w:eastAsia="宋体" w:cs="宋体"/>
                <w:color w:val="auto"/>
                <w:kern w:val="0"/>
                <w:sz w:val="24"/>
                <w:szCs w:val="24"/>
                <w:highlight w:val="none"/>
                <w:lang w:bidi="ar"/>
              </w:rPr>
              <w:t>、镜臂、平场消色差物镜；</w:t>
            </w:r>
          </w:p>
          <w:p w14:paraId="0F0A7515">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12.光学系统：无限远光学系统；</w:t>
            </w:r>
          </w:p>
          <w:p w14:paraId="04D6E97B">
            <w:pPr>
              <w:keepNext w:val="0"/>
              <w:keepLines w:val="0"/>
              <w:pageBreakBefore w:val="0"/>
              <w:widowControl/>
              <w:numPr>
                <w:ilvl w:val="0"/>
                <w:numId w:val="0"/>
              </w:numPr>
              <w:kinsoku/>
              <w:wordWrap/>
              <w:overflowPunct/>
              <w:topLinePunct w:val="0"/>
              <w:autoSpaceDE/>
              <w:autoSpaceDN/>
              <w:bidi w:val="0"/>
              <w:adjustRightInd/>
              <w:snapToGrid/>
              <w:spacing w:before="0" w:after="0" w:line="300" w:lineRule="auto"/>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bidi="ar"/>
              </w:rPr>
              <w:t>13.</w:t>
            </w:r>
            <w:r>
              <w:rPr>
                <w:rFonts w:hint="eastAsia" w:ascii="宋体" w:hAnsi="宋体" w:eastAsia="宋体" w:cs="宋体"/>
                <w:color w:val="auto"/>
                <w:kern w:val="0"/>
                <w:sz w:val="24"/>
                <w:szCs w:val="24"/>
                <w:highlight w:val="none"/>
                <w:lang w:val="en-US" w:eastAsia="zh-CN" w:bidi="ar"/>
              </w:rPr>
              <w:t>连续扫描拍摄方式：搭载生物显微镜的载物台在X/Y/Z轴方向运动，可实现连续扫描拍摄和视野切换拍摄，获取样品中不同视野和不同液层位置上浮游生物对焦清晰的显微图像</w:t>
            </w:r>
            <w:r>
              <w:rPr>
                <w:rFonts w:hint="eastAsia" w:ascii="宋体" w:hAnsi="宋体" w:eastAsia="宋体" w:cs="宋体"/>
                <w:b/>
                <w:bCs/>
                <w:color w:val="auto"/>
                <w:kern w:val="0"/>
                <w:sz w:val="24"/>
                <w:szCs w:val="24"/>
                <w:highlight w:val="none"/>
                <w:lang w:val="en-US" w:eastAsia="zh-CN" w:bidi="ar"/>
              </w:rPr>
              <w:t>（投标文件中须提供由设备拍摄的一个视野内不同焦平面清晰图像、合成后带识别结果的图像）</w:t>
            </w:r>
            <w:r>
              <w:rPr>
                <w:rFonts w:hint="eastAsia" w:ascii="宋体" w:hAnsi="宋体" w:eastAsia="宋体" w:cs="宋体"/>
                <w:color w:val="auto"/>
                <w:kern w:val="0"/>
                <w:sz w:val="24"/>
                <w:szCs w:val="24"/>
                <w:highlight w:val="none"/>
                <w:lang w:val="en-US" w:eastAsia="zh-CN" w:bidi="ar"/>
              </w:rPr>
              <w:t>；</w:t>
            </w:r>
          </w:p>
          <w:p w14:paraId="312FECB9">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14.对焦方式：图片拍摄与自动识别计数同步进行，检测过程中，软件界面能显示生物显微镜实时图像，及当前视野处理后的图像，显示浮游生物名称；</w:t>
            </w:r>
          </w:p>
          <w:p w14:paraId="3D51321C">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15.实时图像：图片拍摄与自动识别计数同步进行，检测过程中，软件界面能显示生物显微镜实时图像，图上显示浮游生物名称；</w:t>
            </w:r>
          </w:p>
          <w:p w14:paraId="53AC1FA4">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★16.样品分析结果展示功能：在样品检测过程中，软件能够</w:t>
            </w:r>
            <w:r>
              <w:rPr>
                <w:rFonts w:hint="eastAsia" w:ascii="宋体" w:hAnsi="宋体" w:eastAsia="宋体" w:cs="宋体"/>
                <w:color w:val="auto"/>
                <w:kern w:val="0"/>
                <w:sz w:val="24"/>
                <w:szCs w:val="24"/>
                <w:highlight w:val="none"/>
                <w:lang w:val="en-US" w:eastAsia="zh-CN" w:bidi="ar"/>
              </w:rPr>
              <w:t>即时</w:t>
            </w:r>
            <w:r>
              <w:rPr>
                <w:rFonts w:hint="eastAsia" w:ascii="宋体" w:hAnsi="宋体" w:eastAsia="宋体" w:cs="宋体"/>
                <w:color w:val="auto"/>
                <w:kern w:val="0"/>
                <w:sz w:val="24"/>
                <w:szCs w:val="24"/>
                <w:highlight w:val="none"/>
                <w:lang w:bidi="ar"/>
              </w:rPr>
              <w:t>显示当前视野下样品的浮游生物分析数据，即当前视野拍摄完成后可以立即展示该视野的分析结果，并同步更新样品分析数据，然后再进行下一个视野的拍摄和分析。更新的样品分析数据包括：</w:t>
            </w:r>
            <w:r>
              <w:rPr>
                <w:rFonts w:hint="eastAsia" w:ascii="宋体" w:hAnsi="宋体" w:eastAsia="宋体" w:cs="宋体"/>
                <w:color w:val="auto"/>
                <w:kern w:val="0"/>
                <w:sz w:val="24"/>
                <w:szCs w:val="24"/>
                <w:highlight w:val="none"/>
                <w:lang w:bidi="ar"/>
              </w:rPr>
              <w:t>名称、数量、密度、生物量、密度占比、生物量占比和是否优势种属等数据</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提供样品检测时连续不少于两个视野的软件界面截图作为证明）</w:t>
            </w:r>
            <w:r>
              <w:rPr>
                <w:rFonts w:hint="eastAsia" w:ascii="宋体" w:hAnsi="宋体" w:eastAsia="宋体" w:cs="宋体"/>
                <w:color w:val="auto"/>
                <w:kern w:val="0"/>
                <w:sz w:val="24"/>
                <w:szCs w:val="24"/>
                <w:highlight w:val="none"/>
                <w:lang w:bidi="ar"/>
              </w:rPr>
              <w:t>；</w:t>
            </w:r>
          </w:p>
          <w:p w14:paraId="6CF84953">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color w:val="auto"/>
                <w:kern w:val="0"/>
                <w:sz w:val="24"/>
                <w:szCs w:val="24"/>
                <w:highlight w:val="none"/>
                <w:lang w:bidi="ar"/>
              </w:rPr>
              <w:t>★17.样品检测状态展示功能：在进行样品分析时，软件能够</w:t>
            </w:r>
            <w:r>
              <w:rPr>
                <w:rFonts w:hint="eastAsia" w:ascii="宋体" w:hAnsi="宋体" w:eastAsia="宋体" w:cs="宋体"/>
                <w:color w:val="auto"/>
                <w:kern w:val="0"/>
                <w:sz w:val="24"/>
                <w:szCs w:val="24"/>
                <w:highlight w:val="none"/>
                <w:lang w:val="en-US" w:eastAsia="zh-CN" w:bidi="ar"/>
              </w:rPr>
              <w:t>即时</w:t>
            </w:r>
            <w:r>
              <w:rPr>
                <w:rFonts w:hint="eastAsia" w:ascii="宋体" w:hAnsi="宋体" w:eastAsia="宋体" w:cs="宋体"/>
                <w:color w:val="auto"/>
                <w:kern w:val="0"/>
                <w:sz w:val="24"/>
                <w:szCs w:val="24"/>
                <w:highlight w:val="none"/>
                <w:lang w:bidi="ar"/>
              </w:rPr>
              <w:t>显示样品检测的状态，包括：</w:t>
            </w:r>
            <w:r>
              <w:rPr>
                <w:rFonts w:hint="eastAsia" w:ascii="宋体" w:hAnsi="宋体" w:eastAsia="宋体" w:cs="宋体"/>
                <w:color w:val="auto"/>
                <w:kern w:val="0"/>
                <w:sz w:val="24"/>
                <w:szCs w:val="24"/>
                <w:highlight w:val="none"/>
                <w:lang w:bidi="ar"/>
              </w:rPr>
              <w:t>当前样品检测视野数、当前样品耗时、样品总耗时、密度标准差变化曲线等</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提供软件界面截图作为证明）</w:t>
            </w:r>
            <w:r>
              <w:rPr>
                <w:rFonts w:hint="eastAsia" w:ascii="宋体" w:hAnsi="宋体" w:eastAsia="宋体" w:cs="宋体"/>
                <w:color w:val="auto"/>
                <w:kern w:val="0"/>
                <w:sz w:val="24"/>
                <w:szCs w:val="24"/>
                <w:highlight w:val="none"/>
                <w:lang w:bidi="ar"/>
              </w:rPr>
              <w:t>；</w:t>
            </w:r>
          </w:p>
          <w:p w14:paraId="6091EBF1">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18.数据定位功能：对已检测的样本，可通过浮游生物种属名称定位到其对应的原始图片；</w:t>
            </w:r>
          </w:p>
          <w:p w14:paraId="4DF1538A">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19.重复性测试：相对偏差≤15%；</w:t>
            </w:r>
          </w:p>
          <w:p w14:paraId="29D29680">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20.检测数据：自动获取精确到属的浮游藻类检测数据，包括门、名称，当前数量，数量占比，密度，生物量，以及样本的总密度，生物量等数据；</w:t>
            </w:r>
          </w:p>
          <w:p w14:paraId="42BC19D1">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21.评价指数：自动计算香农-威纳指数、均匀性指数、丰富度指数；</w:t>
            </w:r>
          </w:p>
          <w:p w14:paraId="3673A252">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22.标准图谱：</w:t>
            </w:r>
            <w:r>
              <w:rPr>
                <w:rFonts w:hint="eastAsia" w:ascii="宋体" w:hAnsi="宋体" w:eastAsia="宋体" w:cs="宋体"/>
                <w:color w:val="auto"/>
                <w:kern w:val="0"/>
                <w:sz w:val="24"/>
                <w:szCs w:val="24"/>
                <w:highlight w:val="none"/>
                <w:lang w:bidi="ar"/>
              </w:rPr>
              <w:t>系统配有浮游藻类标准图谱；</w:t>
            </w:r>
          </w:p>
          <w:p w14:paraId="5A443903">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23.人工校验：结合识别图像信息，可增加、删减、修改识别物种信息，并实时更新样品分析结果，实现人工数据核对；</w:t>
            </w:r>
          </w:p>
          <w:p w14:paraId="0504DC88">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24.自动化程度：系统是一键操作的全自动识别分析系统，自动完成浮游藻类识别与分类计数分析全过程；（自动移动视野对焦扫描拍照、自动分类识别计数、自动生成统计报表）</w:t>
            </w:r>
          </w:p>
          <w:p w14:paraId="4C5C4D8A">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★25.一体化：设备为一体化，集成</w:t>
            </w:r>
            <w:r>
              <w:rPr>
                <w:rFonts w:hint="eastAsia" w:ascii="宋体" w:hAnsi="宋体" w:eastAsia="宋体" w:cs="宋体"/>
                <w:color w:val="auto"/>
                <w:kern w:val="0"/>
                <w:sz w:val="24"/>
                <w:szCs w:val="24"/>
                <w:highlight w:val="none"/>
                <w:lang w:val="en-US" w:eastAsia="zh-CN" w:bidi="ar"/>
              </w:rPr>
              <w:t>配备</w:t>
            </w:r>
            <w:r>
              <w:rPr>
                <w:rFonts w:hint="eastAsia" w:ascii="宋体" w:hAnsi="宋体" w:eastAsia="宋体" w:cs="宋体"/>
                <w:color w:val="auto"/>
                <w:kern w:val="0"/>
                <w:sz w:val="24"/>
                <w:szCs w:val="24"/>
                <w:highlight w:val="none"/>
                <w:lang w:bidi="ar"/>
              </w:rPr>
              <w:t>控制系统、数字显微影像扫描系统等</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提供仪器照片作为证明）</w:t>
            </w:r>
            <w:r>
              <w:rPr>
                <w:rFonts w:hint="eastAsia" w:ascii="宋体" w:hAnsi="宋体" w:eastAsia="宋体" w:cs="宋体"/>
                <w:color w:val="auto"/>
                <w:kern w:val="0"/>
                <w:sz w:val="24"/>
                <w:szCs w:val="24"/>
                <w:highlight w:val="none"/>
                <w:lang w:bidi="ar"/>
              </w:rPr>
              <w:t>；</w:t>
            </w:r>
          </w:p>
          <w:p w14:paraId="55D51377">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26.设备</w:t>
            </w:r>
            <w:r>
              <w:rPr>
                <w:rFonts w:hint="eastAsia" w:ascii="宋体" w:hAnsi="宋体" w:eastAsia="宋体" w:cs="宋体"/>
                <w:color w:val="auto"/>
                <w:kern w:val="0"/>
                <w:sz w:val="24"/>
                <w:szCs w:val="24"/>
                <w:highlight w:val="none"/>
                <w:lang w:bidi="ar"/>
              </w:rPr>
              <w:t>配备安全控制器：可实</w:t>
            </w:r>
            <w:r>
              <w:rPr>
                <w:rFonts w:hint="eastAsia" w:ascii="宋体" w:hAnsi="宋体" w:eastAsia="宋体" w:cs="宋体"/>
                <w:color w:val="auto"/>
                <w:kern w:val="0"/>
                <w:sz w:val="24"/>
                <w:szCs w:val="24"/>
                <w:highlight w:val="none"/>
                <w:lang w:bidi="ar"/>
              </w:rPr>
              <w:t>现设备对用电的过流、过压、过载、过温的实时保护</w:t>
            </w:r>
            <w:r>
              <w:rPr>
                <w:rFonts w:hint="eastAsia" w:ascii="宋体" w:hAnsi="宋体" w:eastAsia="宋体" w:cs="宋体"/>
                <w:color w:val="auto"/>
                <w:kern w:val="0"/>
                <w:sz w:val="24"/>
                <w:szCs w:val="24"/>
                <w:highlight w:val="none"/>
                <w:lang w:eastAsia="zh-CN" w:bidi="ar"/>
              </w:rPr>
              <w:t>；</w:t>
            </w:r>
          </w:p>
          <w:p w14:paraId="226A1F1F">
            <w:pPr>
              <w:keepNext w:val="0"/>
              <w:keepLines w:val="0"/>
              <w:pageBreakBefore w:val="0"/>
              <w:widowControl/>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bCs/>
                <w:color w:val="auto"/>
                <w:sz w:val="24"/>
                <w:szCs w:val="24"/>
                <w:highlight w:val="none"/>
                <w:lang w:val="en-US" w:eastAsia="zh-CN"/>
              </w:rPr>
              <w:t>■</w:t>
            </w:r>
            <w:r>
              <w:rPr>
                <w:rFonts w:hint="eastAsia" w:ascii="宋体" w:hAnsi="宋体" w:eastAsia="宋体" w:cs="宋体"/>
                <w:color w:val="auto"/>
                <w:kern w:val="0"/>
                <w:sz w:val="24"/>
                <w:szCs w:val="24"/>
                <w:highlight w:val="none"/>
                <w:lang w:bidi="ar"/>
              </w:rPr>
              <w:t>27.配置要</w:t>
            </w:r>
            <w:r>
              <w:rPr>
                <w:rFonts w:hint="eastAsia" w:ascii="宋体" w:hAnsi="宋体" w:eastAsia="宋体" w:cs="宋体"/>
                <w:color w:val="auto"/>
                <w:kern w:val="0"/>
                <w:sz w:val="24"/>
                <w:szCs w:val="24"/>
                <w:highlight w:val="none"/>
                <w:lang w:bidi="ar"/>
              </w:rPr>
              <w:t>求：</w:t>
            </w:r>
          </w:p>
          <w:p w14:paraId="59ABCFEB">
            <w:pPr>
              <w:keepNext w:val="0"/>
              <w:keepLines w:val="0"/>
              <w:pageBreakBefore w:val="0"/>
              <w:widowControl/>
              <w:numPr>
                <w:ilvl w:val="0"/>
                <w:numId w:val="0"/>
              </w:numPr>
              <w:kinsoku/>
              <w:wordWrap/>
              <w:overflowPunct/>
              <w:topLinePunct w:val="0"/>
              <w:autoSpaceDE/>
              <w:autoSpaceDN/>
              <w:bidi w:val="0"/>
              <w:adjustRightInd/>
              <w:snapToGrid/>
              <w:spacing w:line="300" w:lineRule="auto"/>
              <w:ind w:left="425" w:leftChars="0" w:hanging="425" w:firstLineChars="0"/>
              <w:textAlignment w:val="auto"/>
              <w:rPr>
                <w:rFonts w:hint="eastAsia" w:ascii="宋体" w:hAnsi="宋体" w:eastAsia="宋体" w:cs="宋体"/>
                <w:color w:val="auto"/>
                <w:kern w:val="0"/>
                <w:sz w:val="24"/>
                <w:szCs w:val="24"/>
                <w:highlight w:val="none"/>
                <w:lang w:eastAsia="zh-CN" w:bidi="ar"/>
              </w:rPr>
            </w:pPr>
            <w:r>
              <w:rPr>
                <w:rFonts w:hint="default"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bidi="ar"/>
              </w:rPr>
              <w:t>控制系统1套</w:t>
            </w:r>
            <w:r>
              <w:rPr>
                <w:rFonts w:hint="eastAsia" w:ascii="宋体" w:hAnsi="宋体" w:eastAsia="宋体" w:cs="宋体"/>
                <w:color w:val="auto"/>
                <w:kern w:val="0"/>
                <w:sz w:val="24"/>
                <w:szCs w:val="24"/>
                <w:highlight w:val="none"/>
                <w:lang w:eastAsia="zh-CN" w:bidi="ar"/>
              </w:rPr>
              <w:t>；</w:t>
            </w:r>
          </w:p>
          <w:p w14:paraId="153229F0">
            <w:pPr>
              <w:keepNext w:val="0"/>
              <w:keepLines w:val="0"/>
              <w:pageBreakBefore w:val="0"/>
              <w:widowControl/>
              <w:numPr>
                <w:ilvl w:val="0"/>
                <w:numId w:val="0"/>
              </w:numPr>
              <w:kinsoku/>
              <w:wordWrap/>
              <w:overflowPunct/>
              <w:topLinePunct w:val="0"/>
              <w:autoSpaceDE/>
              <w:autoSpaceDN/>
              <w:bidi w:val="0"/>
              <w:adjustRightInd/>
              <w:snapToGrid/>
              <w:spacing w:line="300" w:lineRule="auto"/>
              <w:ind w:left="425" w:leftChars="0" w:hanging="425" w:firstLineChars="0"/>
              <w:textAlignment w:val="auto"/>
              <w:rPr>
                <w:rFonts w:hint="eastAsia" w:ascii="宋体" w:hAnsi="宋体" w:eastAsia="宋体" w:cs="宋体"/>
                <w:color w:val="auto"/>
                <w:kern w:val="0"/>
                <w:sz w:val="24"/>
                <w:szCs w:val="24"/>
                <w:highlight w:val="none"/>
                <w:lang w:eastAsia="zh-CN" w:bidi="ar"/>
              </w:rPr>
            </w:pPr>
            <w:r>
              <w:rPr>
                <w:rFonts w:hint="default" w:ascii="宋体" w:hAnsi="宋体" w:eastAsia="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bidi="ar"/>
              </w:rPr>
              <w:t>数字显微影像自动扫描系统1套</w:t>
            </w:r>
            <w:r>
              <w:rPr>
                <w:rFonts w:hint="eastAsia" w:ascii="宋体" w:hAnsi="宋体" w:eastAsia="宋体" w:cs="宋体"/>
                <w:color w:val="auto"/>
                <w:kern w:val="0"/>
                <w:sz w:val="24"/>
                <w:szCs w:val="24"/>
                <w:highlight w:val="none"/>
                <w:lang w:eastAsia="zh-CN" w:bidi="ar"/>
              </w:rPr>
              <w:t>；</w:t>
            </w:r>
          </w:p>
          <w:p w14:paraId="5F54A464">
            <w:pPr>
              <w:keepNext w:val="0"/>
              <w:keepLines w:val="0"/>
              <w:pageBreakBefore w:val="0"/>
              <w:widowControl/>
              <w:numPr>
                <w:ilvl w:val="0"/>
                <w:numId w:val="0"/>
              </w:numPr>
              <w:kinsoku/>
              <w:wordWrap/>
              <w:overflowPunct/>
              <w:topLinePunct w:val="0"/>
              <w:autoSpaceDE/>
              <w:autoSpaceDN/>
              <w:bidi w:val="0"/>
              <w:adjustRightInd/>
              <w:snapToGrid/>
              <w:spacing w:line="300" w:lineRule="auto"/>
              <w:ind w:left="425" w:leftChars="0" w:hanging="425" w:firstLineChars="0"/>
              <w:textAlignment w:val="auto"/>
              <w:rPr>
                <w:rFonts w:hint="eastAsia" w:ascii="宋体" w:hAnsi="宋体" w:eastAsia="宋体" w:cs="宋体"/>
                <w:color w:val="auto"/>
                <w:kern w:val="0"/>
                <w:sz w:val="24"/>
                <w:szCs w:val="24"/>
                <w:highlight w:val="none"/>
                <w:lang w:eastAsia="zh-CN" w:bidi="ar"/>
              </w:rPr>
            </w:pPr>
            <w:r>
              <w:rPr>
                <w:rFonts w:hint="default" w:ascii="宋体" w:hAnsi="宋体" w:eastAsia="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bidi="ar"/>
              </w:rPr>
              <w:t>浮游生物智能识别软件1套</w:t>
            </w:r>
            <w:r>
              <w:rPr>
                <w:rFonts w:hint="eastAsia" w:ascii="宋体" w:hAnsi="宋体" w:eastAsia="宋体" w:cs="宋体"/>
                <w:color w:val="auto"/>
                <w:kern w:val="0"/>
                <w:sz w:val="24"/>
                <w:szCs w:val="24"/>
                <w:highlight w:val="none"/>
                <w:lang w:eastAsia="zh-CN" w:bidi="ar"/>
              </w:rPr>
              <w:t>；</w:t>
            </w:r>
          </w:p>
          <w:p w14:paraId="35B7427A">
            <w:pPr>
              <w:keepNext w:val="0"/>
              <w:keepLines w:val="0"/>
              <w:pageBreakBefore w:val="0"/>
              <w:widowControl/>
              <w:numPr>
                <w:ilvl w:val="0"/>
                <w:numId w:val="0"/>
              </w:numPr>
              <w:kinsoku/>
              <w:wordWrap/>
              <w:overflowPunct/>
              <w:topLinePunct w:val="0"/>
              <w:autoSpaceDE/>
              <w:autoSpaceDN/>
              <w:bidi w:val="0"/>
              <w:adjustRightInd/>
              <w:snapToGrid/>
              <w:spacing w:line="300" w:lineRule="auto"/>
              <w:ind w:left="425" w:leftChars="0" w:hanging="425" w:firstLineChars="0"/>
              <w:textAlignment w:val="auto"/>
              <w:rPr>
                <w:rFonts w:hint="eastAsia" w:ascii="宋体" w:hAnsi="宋体" w:eastAsia="宋体" w:cs="宋体"/>
                <w:color w:val="auto"/>
                <w:kern w:val="0"/>
                <w:sz w:val="24"/>
                <w:szCs w:val="24"/>
                <w:highlight w:val="none"/>
                <w:lang w:eastAsia="zh-CN" w:bidi="ar"/>
              </w:rPr>
            </w:pPr>
            <w:r>
              <w:rPr>
                <w:rFonts w:hint="default" w:ascii="宋体" w:hAnsi="宋体" w:eastAsia="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6通道浮游藻类计</w:t>
            </w:r>
            <w:r>
              <w:rPr>
                <w:rFonts w:hint="eastAsia" w:ascii="宋体" w:hAnsi="宋体" w:eastAsia="宋体" w:cs="宋体"/>
                <w:color w:val="auto"/>
                <w:kern w:val="0"/>
                <w:sz w:val="24"/>
                <w:szCs w:val="24"/>
                <w:highlight w:val="none"/>
                <w:lang w:bidi="ar"/>
              </w:rPr>
              <w:t>数框1套</w:t>
            </w:r>
            <w:r>
              <w:rPr>
                <w:rFonts w:hint="eastAsia" w:ascii="宋体" w:hAnsi="宋体" w:eastAsia="宋体" w:cs="宋体"/>
                <w:color w:val="auto"/>
                <w:kern w:val="0"/>
                <w:sz w:val="24"/>
                <w:szCs w:val="24"/>
                <w:highlight w:val="none"/>
                <w:lang w:eastAsia="zh-CN" w:bidi="ar"/>
              </w:rPr>
              <w:t>；</w:t>
            </w:r>
          </w:p>
          <w:p w14:paraId="60C31B77">
            <w:pPr>
              <w:keepNext w:val="0"/>
              <w:keepLines w:val="0"/>
              <w:pageBreakBefore w:val="0"/>
              <w:numPr>
                <w:ilvl w:val="0"/>
                <w:numId w:val="0"/>
              </w:numPr>
              <w:kinsoku/>
              <w:wordWrap/>
              <w:overflowPunct/>
              <w:topLinePunct w:val="0"/>
              <w:autoSpaceDE/>
              <w:autoSpaceDN/>
              <w:bidi w:val="0"/>
              <w:adjustRightInd/>
              <w:snapToGrid/>
              <w:spacing w:line="300" w:lineRule="auto"/>
              <w:ind w:left="425" w:leftChars="0" w:hanging="425" w:firstLineChars="0"/>
              <w:jc w:val="both"/>
              <w:textAlignment w:val="auto"/>
              <w:rPr>
                <w:rFonts w:hint="eastAsia" w:ascii="宋体" w:hAnsi="宋体" w:eastAsia="宋体" w:cs="宋体"/>
                <w:bCs/>
                <w:color w:val="auto"/>
                <w:sz w:val="24"/>
                <w:szCs w:val="24"/>
                <w:highlight w:val="none"/>
                <w:lang w:eastAsia="zh-CN"/>
              </w:rPr>
            </w:pPr>
            <w:r>
              <w:rPr>
                <w:rFonts w:hint="default" w:ascii="宋体" w:hAnsi="宋体" w:eastAsia="宋体" w:cs="宋体"/>
                <w:bCs/>
                <w:color w:val="auto"/>
                <w:kern w:val="2"/>
                <w:sz w:val="24"/>
                <w:szCs w:val="24"/>
                <w:highlight w:val="none"/>
                <w:lang w:val="en-US" w:eastAsia="zh-CN" w:bidi="ar-SA"/>
              </w:rPr>
              <w:t>(5)</w:t>
            </w:r>
            <w:r>
              <w:rPr>
                <w:rFonts w:hint="eastAsia" w:ascii="宋体" w:hAnsi="宋体" w:eastAsia="宋体" w:cs="宋体"/>
                <w:color w:val="auto"/>
                <w:kern w:val="0"/>
                <w:sz w:val="24"/>
                <w:szCs w:val="24"/>
                <w:highlight w:val="none"/>
                <w:lang w:bidi="ar"/>
              </w:rPr>
              <w:t>超高分辨率彩色数字显微专用相机1套</w:t>
            </w:r>
            <w:r>
              <w:rPr>
                <w:rFonts w:hint="eastAsia" w:ascii="宋体" w:hAnsi="宋体" w:eastAsia="宋体" w:cs="宋体"/>
                <w:color w:val="auto"/>
                <w:kern w:val="0"/>
                <w:sz w:val="24"/>
                <w:szCs w:val="24"/>
                <w:highlight w:val="none"/>
                <w:lang w:eastAsia="zh-CN" w:bidi="ar"/>
              </w:rPr>
              <w:t>。</w:t>
            </w:r>
          </w:p>
        </w:tc>
        <w:tc>
          <w:tcPr>
            <w:tcW w:w="627" w:type="pct"/>
            <w:vAlign w:val="center"/>
          </w:tcPr>
          <w:p w14:paraId="27E8BC3D">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1套</w:t>
            </w:r>
          </w:p>
        </w:tc>
        <w:tc>
          <w:tcPr>
            <w:tcW w:w="475" w:type="pct"/>
            <w:vAlign w:val="center"/>
          </w:tcPr>
          <w:p w14:paraId="18CC8622">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r>
    </w:tbl>
    <w:p w14:paraId="7211EA8A">
      <w:pPr>
        <w:spacing w:line="360" w:lineRule="auto"/>
        <w:ind w:firstLine="437"/>
        <w:outlineLvl w:val="1"/>
        <w:rPr>
          <w:rFonts w:ascii="宋体" w:hAnsi="宋体" w:eastAsia="宋体"/>
          <w:b/>
          <w:bCs/>
          <w:color w:val="auto"/>
          <w:sz w:val="24"/>
          <w:szCs w:val="18"/>
          <w:highlight w:val="none"/>
        </w:rPr>
      </w:pPr>
      <w:bookmarkStart w:id="8" w:name="_Toc23315"/>
      <w:r>
        <w:rPr>
          <w:rFonts w:hint="eastAsia" w:ascii="宋体" w:hAnsi="宋体" w:eastAsia="宋体"/>
          <w:b/>
          <w:bCs/>
          <w:color w:val="auto"/>
          <w:sz w:val="24"/>
          <w:szCs w:val="18"/>
          <w:highlight w:val="none"/>
        </w:rPr>
        <w:t>三、报价要求</w:t>
      </w:r>
      <w:bookmarkEnd w:id="6"/>
      <w:bookmarkEnd w:id="7"/>
      <w:bookmarkEnd w:id="8"/>
    </w:p>
    <w:p w14:paraId="6015AA15">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75A82534">
      <w:pPr>
        <w:spacing w:line="360" w:lineRule="auto"/>
        <w:ind w:firstLine="437"/>
        <w:outlineLvl w:val="1"/>
        <w:rPr>
          <w:rFonts w:hint="eastAsia" w:ascii="宋体" w:hAnsi="宋体" w:eastAsia="宋体"/>
          <w:b/>
          <w:bCs/>
          <w:color w:val="auto"/>
          <w:sz w:val="24"/>
          <w:szCs w:val="18"/>
          <w:highlight w:val="none"/>
        </w:rPr>
      </w:pPr>
      <w:bookmarkStart w:id="9" w:name="_Toc20910"/>
      <w:r>
        <w:rPr>
          <w:rFonts w:hint="eastAsia" w:ascii="宋体" w:hAnsi="宋体" w:eastAsia="宋体"/>
          <w:b/>
          <w:bCs/>
          <w:color w:val="auto"/>
          <w:sz w:val="24"/>
          <w:szCs w:val="18"/>
          <w:highlight w:val="none"/>
        </w:rPr>
        <w:t>四、备品备件及专用工具</w:t>
      </w:r>
      <w:bookmarkEnd w:id="9"/>
    </w:p>
    <w:p w14:paraId="0A607135">
      <w:pPr>
        <w:spacing w:line="360" w:lineRule="auto"/>
        <w:ind w:firstLine="437"/>
        <w:outlineLvl w:val="1"/>
        <w:rPr>
          <w:rFonts w:ascii="宋体" w:hAnsi="宋体" w:eastAsia="宋体"/>
          <w:bCs/>
          <w:color w:val="auto"/>
          <w:sz w:val="24"/>
          <w:szCs w:val="18"/>
          <w:highlight w:val="none"/>
        </w:rPr>
      </w:pPr>
      <w:bookmarkStart w:id="10" w:name="_Toc29786"/>
      <w:bookmarkStart w:id="11" w:name="_Toc445554752"/>
      <w:bookmarkStart w:id="12" w:name="_Toc455587277"/>
      <w:bookmarkStart w:id="13" w:name="_Toc455587093"/>
      <w:r>
        <w:rPr>
          <w:rFonts w:ascii="宋体" w:hAnsi="宋体" w:eastAsia="宋体"/>
          <w:bCs/>
          <w:color w:val="auto"/>
          <w:sz w:val="24"/>
          <w:szCs w:val="18"/>
          <w:highlight w:val="none"/>
        </w:rPr>
        <w:t>1、备品备件：中标人提供能够满足质量保证期内的设备维修要求的备品备件，备品备件应是新品。</w:t>
      </w:r>
      <w:bookmarkEnd w:id="10"/>
    </w:p>
    <w:p w14:paraId="4DD3331B">
      <w:pPr>
        <w:spacing w:line="360" w:lineRule="auto"/>
        <w:ind w:firstLine="437"/>
        <w:outlineLvl w:val="1"/>
        <w:rPr>
          <w:rFonts w:ascii="宋体" w:hAnsi="宋体" w:eastAsia="宋体"/>
          <w:bCs/>
          <w:color w:val="auto"/>
          <w:sz w:val="24"/>
          <w:szCs w:val="18"/>
          <w:highlight w:val="none"/>
        </w:rPr>
      </w:pPr>
      <w:bookmarkStart w:id="14" w:name="_Toc22219"/>
      <w:r>
        <w:rPr>
          <w:rFonts w:ascii="宋体" w:hAnsi="宋体" w:eastAsia="宋体"/>
          <w:bCs/>
          <w:color w:val="auto"/>
          <w:sz w:val="24"/>
          <w:szCs w:val="18"/>
          <w:highlight w:val="none"/>
        </w:rPr>
        <w:t>2、专用工具：中标人提供设备安装、调试、维修、保养所必要的专用工具、仪器、仪表等工具。</w:t>
      </w:r>
      <w:bookmarkEnd w:id="14"/>
    </w:p>
    <w:bookmarkEnd w:id="11"/>
    <w:bookmarkEnd w:id="12"/>
    <w:bookmarkEnd w:id="13"/>
    <w:p w14:paraId="29D6A966">
      <w:pPr>
        <w:spacing w:line="360" w:lineRule="auto"/>
        <w:ind w:firstLine="437"/>
        <w:outlineLvl w:val="1"/>
        <w:rPr>
          <w:rFonts w:hint="eastAsia" w:ascii="宋体" w:hAnsi="宋体" w:eastAsia="宋体"/>
          <w:b/>
          <w:bCs/>
          <w:color w:val="auto"/>
          <w:sz w:val="24"/>
          <w:szCs w:val="18"/>
          <w:highlight w:val="none"/>
        </w:rPr>
      </w:pPr>
      <w:bookmarkStart w:id="15" w:name="_Toc30284"/>
      <w:bookmarkStart w:id="16" w:name="_Toc532199625"/>
      <w:bookmarkStart w:id="17" w:name="_Toc455587278"/>
      <w:bookmarkStart w:id="18" w:name="_Toc455587094"/>
      <w:bookmarkStart w:id="19" w:name="_Toc445554753"/>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15"/>
      <w:bookmarkEnd w:id="16"/>
    </w:p>
    <w:p w14:paraId="49EDBB38">
      <w:pPr>
        <w:spacing w:line="360" w:lineRule="auto"/>
        <w:ind w:firstLine="437"/>
        <w:outlineLvl w:val="1"/>
        <w:rPr>
          <w:rFonts w:ascii="宋体" w:hAnsi="宋体" w:eastAsia="宋体"/>
          <w:bCs/>
          <w:color w:val="auto"/>
          <w:sz w:val="24"/>
          <w:szCs w:val="18"/>
          <w:highlight w:val="none"/>
        </w:rPr>
      </w:pPr>
      <w:bookmarkStart w:id="20" w:name="_Toc4282"/>
      <w:r>
        <w:rPr>
          <w:rFonts w:ascii="宋体" w:hAnsi="宋体" w:eastAsia="宋体"/>
          <w:bCs/>
          <w:color w:val="auto"/>
          <w:sz w:val="24"/>
          <w:szCs w:val="18"/>
          <w:highlight w:val="none"/>
        </w:rPr>
        <w:t>1、中标人在设备安装地点负责安装、调试。</w:t>
      </w:r>
      <w:bookmarkEnd w:id="20"/>
    </w:p>
    <w:p w14:paraId="7C8BDAD9">
      <w:pPr>
        <w:spacing w:line="360" w:lineRule="auto"/>
        <w:ind w:firstLine="437"/>
        <w:outlineLvl w:val="1"/>
        <w:rPr>
          <w:rFonts w:ascii="宋体" w:hAnsi="宋体" w:eastAsia="宋体"/>
          <w:bCs/>
          <w:color w:val="auto"/>
          <w:sz w:val="24"/>
          <w:szCs w:val="18"/>
          <w:highlight w:val="none"/>
        </w:rPr>
      </w:pPr>
      <w:bookmarkStart w:id="21" w:name="_Toc11850"/>
      <w:r>
        <w:rPr>
          <w:rFonts w:ascii="宋体" w:hAnsi="宋体" w:eastAsia="宋体"/>
          <w:bCs/>
          <w:color w:val="auto"/>
          <w:sz w:val="24"/>
          <w:szCs w:val="18"/>
          <w:highlight w:val="none"/>
        </w:rPr>
        <w:t>2、具体设备验收标准和程序按采购人要求执行，下列验收程序可参照执行：</w:t>
      </w:r>
      <w:bookmarkEnd w:id="21"/>
    </w:p>
    <w:p w14:paraId="11840BE4">
      <w:pPr>
        <w:spacing w:line="360" w:lineRule="auto"/>
        <w:ind w:firstLine="437"/>
        <w:outlineLvl w:val="1"/>
        <w:rPr>
          <w:rFonts w:ascii="宋体" w:hAnsi="宋体" w:eastAsia="宋体"/>
          <w:bCs/>
          <w:color w:val="auto"/>
          <w:sz w:val="24"/>
          <w:szCs w:val="18"/>
          <w:highlight w:val="none"/>
        </w:rPr>
      </w:pPr>
      <w:bookmarkStart w:id="22" w:name="_Toc18431"/>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2"/>
    </w:p>
    <w:p w14:paraId="44EDDDC2">
      <w:pPr>
        <w:spacing w:line="360" w:lineRule="auto"/>
        <w:ind w:firstLine="437"/>
        <w:outlineLvl w:val="1"/>
        <w:rPr>
          <w:rFonts w:ascii="宋体" w:hAnsi="宋体" w:eastAsia="宋体"/>
          <w:bCs/>
          <w:color w:val="auto"/>
          <w:sz w:val="24"/>
          <w:szCs w:val="18"/>
          <w:highlight w:val="none"/>
        </w:rPr>
      </w:pPr>
      <w:bookmarkStart w:id="23" w:name="_Toc14564"/>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3"/>
    </w:p>
    <w:p w14:paraId="585538B4">
      <w:pPr>
        <w:spacing w:line="360" w:lineRule="auto"/>
        <w:ind w:firstLine="437"/>
        <w:outlineLvl w:val="1"/>
        <w:rPr>
          <w:rFonts w:ascii="宋体" w:hAnsi="宋体" w:eastAsia="宋体"/>
          <w:bCs/>
          <w:color w:val="auto"/>
          <w:sz w:val="24"/>
          <w:szCs w:val="18"/>
          <w:highlight w:val="none"/>
        </w:rPr>
      </w:pPr>
      <w:bookmarkStart w:id="24" w:name="_Toc11415"/>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bookmarkEnd w:id="24"/>
    </w:p>
    <w:p w14:paraId="3AFACE87">
      <w:pPr>
        <w:spacing w:line="360" w:lineRule="auto"/>
        <w:ind w:firstLine="437"/>
        <w:outlineLvl w:val="1"/>
        <w:rPr>
          <w:rFonts w:ascii="宋体" w:hAnsi="宋体" w:eastAsia="宋体"/>
          <w:bCs/>
          <w:color w:val="auto"/>
          <w:sz w:val="24"/>
          <w:szCs w:val="18"/>
          <w:highlight w:val="none"/>
        </w:rPr>
      </w:pPr>
      <w:bookmarkStart w:id="25" w:name="_Toc15630"/>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5"/>
    </w:p>
    <w:p w14:paraId="0BED61DB">
      <w:pPr>
        <w:spacing w:line="360" w:lineRule="auto"/>
        <w:ind w:firstLine="437"/>
        <w:outlineLvl w:val="1"/>
        <w:rPr>
          <w:rFonts w:ascii="宋体" w:hAnsi="宋体" w:eastAsia="宋体"/>
          <w:bCs/>
          <w:color w:val="auto"/>
          <w:sz w:val="24"/>
          <w:szCs w:val="18"/>
          <w:highlight w:val="none"/>
        </w:rPr>
      </w:pPr>
      <w:bookmarkStart w:id="26" w:name="_Toc19686"/>
      <w:r>
        <w:rPr>
          <w:rFonts w:ascii="宋体" w:hAnsi="宋体" w:eastAsia="宋体"/>
          <w:bCs/>
          <w:color w:val="auto"/>
          <w:sz w:val="24"/>
          <w:szCs w:val="18"/>
          <w:highlight w:val="none"/>
        </w:rPr>
        <w:t>2.5 中标人应向采购人提供安装调试过程中的各种文档资料,以便采购人今后能掌握操作和维护方法。</w:t>
      </w:r>
      <w:bookmarkEnd w:id="26"/>
    </w:p>
    <w:p w14:paraId="5B2E9AB4">
      <w:pPr>
        <w:spacing w:line="360" w:lineRule="auto"/>
        <w:ind w:firstLine="437"/>
        <w:outlineLvl w:val="1"/>
        <w:rPr>
          <w:rFonts w:ascii="宋体" w:hAnsi="宋体" w:eastAsia="宋体"/>
          <w:bCs/>
          <w:color w:val="auto"/>
          <w:sz w:val="24"/>
          <w:szCs w:val="18"/>
          <w:highlight w:val="none"/>
        </w:rPr>
      </w:pPr>
      <w:bookmarkStart w:id="27" w:name="_Toc3537"/>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bookmarkEnd w:id="27"/>
    </w:p>
    <w:p w14:paraId="2714D47C">
      <w:pPr>
        <w:spacing w:line="360" w:lineRule="auto"/>
        <w:ind w:firstLine="437"/>
        <w:outlineLvl w:val="1"/>
        <w:rPr>
          <w:rFonts w:hint="eastAsia" w:ascii="宋体" w:hAnsi="宋体" w:eastAsia="宋体"/>
          <w:b/>
          <w:bCs/>
          <w:color w:val="auto"/>
          <w:sz w:val="24"/>
          <w:szCs w:val="18"/>
          <w:highlight w:val="none"/>
        </w:rPr>
      </w:pPr>
      <w:bookmarkStart w:id="28" w:name="_Toc7467"/>
      <w:bookmarkStart w:id="29" w:name="_Toc532199626"/>
      <w:r>
        <w:rPr>
          <w:rFonts w:hint="eastAsia" w:ascii="宋体" w:hAnsi="宋体" w:eastAsia="宋体"/>
          <w:b/>
          <w:bCs/>
          <w:color w:val="auto"/>
          <w:sz w:val="24"/>
          <w:szCs w:val="18"/>
          <w:highlight w:val="none"/>
        </w:rPr>
        <w:t>六、包装运输</w:t>
      </w:r>
      <w:bookmarkEnd w:id="17"/>
      <w:bookmarkEnd w:id="18"/>
      <w:bookmarkEnd w:id="19"/>
      <w:bookmarkEnd w:id="28"/>
      <w:bookmarkEnd w:id="29"/>
    </w:p>
    <w:p w14:paraId="4786D7C9">
      <w:pPr>
        <w:spacing w:line="360" w:lineRule="auto"/>
        <w:ind w:firstLine="437"/>
        <w:outlineLvl w:val="1"/>
        <w:rPr>
          <w:rFonts w:ascii="宋体" w:hAnsi="宋体" w:eastAsia="宋体"/>
          <w:bCs/>
          <w:color w:val="auto"/>
          <w:sz w:val="24"/>
          <w:szCs w:val="18"/>
          <w:highlight w:val="none"/>
        </w:rPr>
      </w:pPr>
      <w:bookmarkStart w:id="30" w:name="_Toc20095"/>
      <w:bookmarkStart w:id="31" w:name="_Toc445554754"/>
      <w:bookmarkStart w:id="32" w:name="_Toc455587095"/>
      <w:bookmarkStart w:id="33" w:name="_Toc455587279"/>
      <w:r>
        <w:rPr>
          <w:rFonts w:ascii="宋体" w:hAnsi="宋体" w:eastAsia="宋体"/>
          <w:bCs/>
          <w:color w:val="auto"/>
          <w:sz w:val="24"/>
          <w:szCs w:val="18"/>
          <w:highlight w:val="none"/>
        </w:rPr>
        <w:t>1、中标人负责设备包装、办理运输和保险，将设备安全运抵交货地点。</w:t>
      </w:r>
      <w:bookmarkEnd w:id="30"/>
    </w:p>
    <w:p w14:paraId="69524BB1">
      <w:pPr>
        <w:spacing w:line="360" w:lineRule="auto"/>
        <w:ind w:firstLine="437"/>
        <w:outlineLvl w:val="1"/>
        <w:rPr>
          <w:rFonts w:ascii="宋体" w:hAnsi="宋体" w:eastAsia="宋体"/>
          <w:bCs/>
          <w:color w:val="auto"/>
          <w:sz w:val="24"/>
          <w:szCs w:val="18"/>
          <w:highlight w:val="none"/>
        </w:rPr>
      </w:pPr>
      <w:bookmarkStart w:id="34" w:name="_Toc23369"/>
      <w:r>
        <w:rPr>
          <w:rFonts w:ascii="宋体" w:hAnsi="宋体" w:eastAsia="宋体"/>
          <w:bCs/>
          <w:color w:val="auto"/>
          <w:sz w:val="24"/>
          <w:szCs w:val="18"/>
          <w:highlight w:val="none"/>
        </w:rPr>
        <w:t>2、设备制造完成并通过试验后应及时包装，否则应得到切实的保护，确保其不受污损。</w:t>
      </w:r>
      <w:bookmarkEnd w:id="34"/>
    </w:p>
    <w:p w14:paraId="2419B0B9">
      <w:pPr>
        <w:spacing w:line="360" w:lineRule="auto"/>
        <w:ind w:firstLine="437"/>
        <w:outlineLvl w:val="1"/>
        <w:rPr>
          <w:rFonts w:ascii="宋体" w:hAnsi="宋体" w:eastAsia="宋体"/>
          <w:bCs/>
          <w:color w:val="auto"/>
          <w:sz w:val="24"/>
          <w:szCs w:val="18"/>
          <w:highlight w:val="none"/>
        </w:rPr>
      </w:pPr>
      <w:bookmarkStart w:id="35" w:name="_Toc21960"/>
      <w:r>
        <w:rPr>
          <w:rFonts w:ascii="宋体" w:hAnsi="宋体" w:eastAsia="宋体"/>
          <w:bCs/>
          <w:color w:val="auto"/>
          <w:sz w:val="24"/>
          <w:szCs w:val="18"/>
          <w:highlight w:val="none"/>
        </w:rPr>
        <w:t>3、在包装箱外应标明采购人的订货号、发货号。</w:t>
      </w:r>
      <w:bookmarkEnd w:id="35"/>
    </w:p>
    <w:p w14:paraId="20860EAF">
      <w:pPr>
        <w:spacing w:line="360" w:lineRule="auto"/>
        <w:ind w:firstLine="437"/>
        <w:outlineLvl w:val="1"/>
        <w:rPr>
          <w:rFonts w:ascii="宋体" w:hAnsi="宋体" w:eastAsia="宋体"/>
          <w:bCs/>
          <w:color w:val="auto"/>
          <w:sz w:val="24"/>
          <w:szCs w:val="18"/>
          <w:highlight w:val="none"/>
        </w:rPr>
      </w:pPr>
      <w:bookmarkStart w:id="36" w:name="_Toc14891"/>
      <w:r>
        <w:rPr>
          <w:rFonts w:ascii="宋体" w:hAnsi="宋体" w:eastAsia="宋体"/>
          <w:bCs/>
          <w:color w:val="auto"/>
          <w:sz w:val="24"/>
          <w:szCs w:val="18"/>
          <w:highlight w:val="none"/>
        </w:rPr>
        <w:t>4、各种包装应能确保各零部件在运输过程中不致遭到损坏、丢失、变形、受潮和腐蚀。</w:t>
      </w:r>
      <w:bookmarkEnd w:id="36"/>
    </w:p>
    <w:p w14:paraId="7AD9D441">
      <w:pPr>
        <w:spacing w:line="360" w:lineRule="auto"/>
        <w:ind w:firstLine="437"/>
        <w:outlineLvl w:val="1"/>
        <w:rPr>
          <w:rFonts w:ascii="宋体" w:hAnsi="宋体" w:eastAsia="宋体"/>
          <w:bCs/>
          <w:color w:val="auto"/>
          <w:sz w:val="24"/>
          <w:szCs w:val="18"/>
          <w:highlight w:val="none"/>
        </w:rPr>
      </w:pPr>
      <w:bookmarkStart w:id="37" w:name="_Toc11795"/>
      <w:r>
        <w:rPr>
          <w:rFonts w:ascii="宋体" w:hAnsi="宋体" w:eastAsia="宋体"/>
          <w:bCs/>
          <w:color w:val="auto"/>
          <w:sz w:val="24"/>
          <w:szCs w:val="18"/>
          <w:highlight w:val="none"/>
        </w:rPr>
        <w:t>5、包装箱上应有明显的包装储运图示标志。</w:t>
      </w:r>
      <w:bookmarkEnd w:id="37"/>
    </w:p>
    <w:p w14:paraId="3C3B6058">
      <w:pPr>
        <w:spacing w:line="360" w:lineRule="auto"/>
        <w:ind w:firstLine="437"/>
        <w:outlineLvl w:val="1"/>
        <w:rPr>
          <w:rFonts w:ascii="宋体" w:hAnsi="宋体" w:eastAsia="宋体"/>
          <w:bCs/>
          <w:color w:val="auto"/>
          <w:sz w:val="24"/>
          <w:szCs w:val="18"/>
          <w:highlight w:val="none"/>
        </w:rPr>
      </w:pPr>
      <w:bookmarkStart w:id="38" w:name="_Toc22806"/>
      <w:r>
        <w:rPr>
          <w:rFonts w:ascii="宋体" w:hAnsi="宋体" w:eastAsia="宋体"/>
          <w:bCs/>
          <w:color w:val="auto"/>
          <w:sz w:val="24"/>
          <w:szCs w:val="18"/>
          <w:highlight w:val="none"/>
        </w:rPr>
        <w:t>6、整体产品或分别运输的部件都要适应运输和装载的要求。</w:t>
      </w:r>
      <w:bookmarkEnd w:id="38"/>
    </w:p>
    <w:p w14:paraId="2B200FB3">
      <w:pPr>
        <w:spacing w:line="360" w:lineRule="auto"/>
        <w:ind w:firstLine="437"/>
        <w:outlineLvl w:val="1"/>
        <w:rPr>
          <w:rFonts w:ascii="宋体" w:hAnsi="宋体" w:eastAsia="宋体"/>
          <w:bCs/>
          <w:color w:val="auto"/>
          <w:sz w:val="24"/>
          <w:szCs w:val="18"/>
          <w:highlight w:val="none"/>
        </w:rPr>
      </w:pPr>
      <w:bookmarkStart w:id="39" w:name="_Toc17933"/>
      <w:r>
        <w:rPr>
          <w:rFonts w:ascii="宋体" w:hAnsi="宋体" w:eastAsia="宋体"/>
          <w:bCs/>
          <w:color w:val="auto"/>
          <w:sz w:val="24"/>
          <w:szCs w:val="18"/>
          <w:highlight w:val="none"/>
        </w:rPr>
        <w:t>7、随产品提供的技术资料应完整无缺。</w:t>
      </w:r>
      <w:bookmarkEnd w:id="39"/>
    </w:p>
    <w:p w14:paraId="3C0B4846">
      <w:pPr>
        <w:spacing w:line="360" w:lineRule="auto"/>
        <w:ind w:firstLine="437"/>
        <w:outlineLvl w:val="1"/>
        <w:rPr>
          <w:rFonts w:hint="eastAsia" w:ascii="宋体" w:hAnsi="宋体" w:eastAsia="宋体"/>
          <w:b/>
          <w:bCs/>
          <w:color w:val="auto"/>
          <w:sz w:val="24"/>
          <w:szCs w:val="18"/>
          <w:highlight w:val="none"/>
        </w:rPr>
      </w:pPr>
      <w:bookmarkStart w:id="40" w:name="_Toc532199627"/>
      <w:bookmarkStart w:id="41" w:name="_Toc28313"/>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31"/>
      <w:bookmarkEnd w:id="32"/>
      <w:bookmarkEnd w:id="33"/>
      <w:bookmarkEnd w:id="40"/>
      <w:bookmarkEnd w:id="41"/>
    </w:p>
    <w:p w14:paraId="7C40B88B">
      <w:pPr>
        <w:spacing w:line="360" w:lineRule="auto"/>
        <w:ind w:firstLine="437"/>
        <w:outlineLvl w:val="1"/>
        <w:rPr>
          <w:rFonts w:ascii="宋体" w:hAnsi="宋体" w:eastAsia="宋体"/>
          <w:bCs/>
          <w:color w:val="auto"/>
          <w:sz w:val="24"/>
          <w:szCs w:val="18"/>
          <w:highlight w:val="none"/>
        </w:rPr>
      </w:pPr>
      <w:bookmarkStart w:id="42" w:name="_Toc14928"/>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bookmarkEnd w:id="42"/>
    </w:p>
    <w:p w14:paraId="7183CAF6">
      <w:pPr>
        <w:spacing w:line="360" w:lineRule="auto"/>
        <w:ind w:firstLine="437"/>
        <w:outlineLvl w:val="1"/>
        <w:rPr>
          <w:rFonts w:ascii="宋体" w:hAnsi="宋体" w:eastAsia="宋体"/>
          <w:bCs/>
          <w:color w:val="auto"/>
          <w:sz w:val="24"/>
          <w:szCs w:val="18"/>
          <w:highlight w:val="none"/>
        </w:rPr>
      </w:pPr>
      <w:bookmarkStart w:id="43" w:name="_Toc3076"/>
      <w:r>
        <w:rPr>
          <w:rFonts w:ascii="宋体" w:hAnsi="宋体" w:eastAsia="宋体"/>
          <w:bCs/>
          <w:color w:val="auto"/>
          <w:sz w:val="24"/>
          <w:szCs w:val="18"/>
          <w:highlight w:val="none"/>
        </w:rPr>
        <w:t>2、培训的时间、人数、地点等具体内容由买卖双方商定，内容至少包括：设备原理、使用、维护、运行操作、常见故障处理等。</w:t>
      </w:r>
      <w:bookmarkEnd w:id="43"/>
    </w:p>
    <w:p w14:paraId="016D8747">
      <w:pPr>
        <w:spacing w:line="360" w:lineRule="auto"/>
        <w:ind w:firstLine="437"/>
        <w:outlineLvl w:val="1"/>
        <w:rPr>
          <w:rFonts w:hint="eastAsia" w:ascii="宋体" w:hAnsi="宋体" w:eastAsia="宋体"/>
          <w:b/>
          <w:bCs/>
          <w:color w:val="auto"/>
          <w:sz w:val="24"/>
          <w:szCs w:val="18"/>
          <w:highlight w:val="none"/>
        </w:rPr>
      </w:pPr>
      <w:bookmarkStart w:id="44" w:name="_Toc10633"/>
      <w:bookmarkStart w:id="45"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bookmarkEnd w:id="44"/>
    </w:p>
    <w:p w14:paraId="5827F99F">
      <w:pPr>
        <w:spacing w:line="360" w:lineRule="auto"/>
        <w:ind w:firstLine="437"/>
        <w:outlineLvl w:val="1"/>
        <w:rPr>
          <w:rFonts w:ascii="宋体" w:hAnsi="宋体" w:eastAsia="宋体"/>
          <w:bCs/>
          <w:color w:val="auto"/>
          <w:sz w:val="24"/>
          <w:szCs w:val="18"/>
          <w:highlight w:val="none"/>
        </w:rPr>
      </w:pPr>
      <w:bookmarkStart w:id="46" w:name="_Toc17803"/>
      <w:r>
        <w:rPr>
          <w:rFonts w:ascii="宋体" w:hAnsi="宋体" w:eastAsia="宋体"/>
          <w:bCs/>
          <w:color w:val="auto"/>
          <w:sz w:val="24"/>
          <w:szCs w:val="18"/>
          <w:highlight w:val="none"/>
        </w:rPr>
        <w:t>1、自双方签订《验收报告》起进入质保期。</w:t>
      </w:r>
      <w:bookmarkEnd w:id="46"/>
    </w:p>
    <w:p w14:paraId="04DF5FFF">
      <w:pPr>
        <w:spacing w:line="360" w:lineRule="auto"/>
        <w:ind w:firstLine="437"/>
        <w:outlineLvl w:val="1"/>
        <w:rPr>
          <w:rFonts w:ascii="宋体" w:hAnsi="宋体" w:eastAsia="宋体"/>
          <w:bCs/>
          <w:color w:val="auto"/>
          <w:sz w:val="24"/>
          <w:szCs w:val="18"/>
          <w:highlight w:val="none"/>
        </w:rPr>
      </w:pPr>
      <w:bookmarkStart w:id="47" w:name="_Toc20103"/>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45"/>
      <w:bookmarkEnd w:id="47"/>
    </w:p>
    <w:p w14:paraId="78608C74">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E5DFB"/>
    <w:multiLevelType w:val="singleLevel"/>
    <w:tmpl w:val="1B3E5DFB"/>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963872"/>
    <w:rsid w:val="1D963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2026-08-13T10:21:00Z</dcterms:created>
  <dc:creator>省招</dc:creator>
  <cp:lastModifiedBy>省招</cp:lastModifiedBy>
  <dcterms:modified xsi:type="dcterms:W3CDTF">2026-08-13T10:22:14Z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23E3E6DB903342A8A9516FB75697BFA6_11</vt:lpwstr>
  </property>
  <property fmtid="{D5CDD505-2E9C-101B-9397-08002B2CF9AE}" pid="4" name="KSOTemplateDocerSaveRecord">
    <vt:lpwstr>eyJoZGlkIjoiNTY2MTE2NmE0MWNlYjQ4MmJmZTAzOTM5ZDExNmQ2YmYiLCJ1c2VySWQiOiIxMDExNDk4MDc1In0=</vt:lpwstr>
  </property>
</Properties>
</file>