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736D">
      <w:pPr>
        <w:keepNext w:val="0"/>
        <w:keepLines w:val="0"/>
        <w:widowControl w:val="0"/>
        <w:numPr>
          <w:numId w:val="0"/>
        </w:numPr>
        <w:suppressLineNumbers w:val="0"/>
        <w:spacing w:before="0" w:beforeAutospacing="0" w:after="0" w:afterAutospacing="0" w:line="360" w:lineRule="auto"/>
        <w:ind w:leftChars="0" w:right="0" w:rightChars="0"/>
        <w:jc w:val="center"/>
        <w:outlineLvl w:val="0"/>
        <w:rPr>
          <w:rFonts w:hint="eastAsia" w:ascii="宋体" w:hAnsi="宋体" w:eastAsia="宋体" w:cs="宋体"/>
          <w:b/>
          <w:bCs w:val="0"/>
          <w:sz w:val="36"/>
          <w:szCs w:val="22"/>
          <w:lang w:val="en-US"/>
        </w:rPr>
      </w:pPr>
      <w:bookmarkStart w:id="0" w:name="_Toc22605"/>
      <w:r>
        <w:rPr>
          <w:rFonts w:hint="eastAsia" w:ascii="宋体" w:hAnsi="宋体" w:eastAsia="宋体" w:cs="宋体"/>
          <w:b/>
          <w:bCs w:val="0"/>
          <w:kern w:val="2"/>
          <w:sz w:val="36"/>
          <w:szCs w:val="22"/>
          <w:lang w:val="en-US" w:eastAsia="zh-CN" w:bidi="ar"/>
        </w:rPr>
        <w:t>采购</w:t>
      </w:r>
      <w:bookmarkStart w:id="8" w:name="_GoBack"/>
      <w:bookmarkEnd w:id="8"/>
      <w:r>
        <w:rPr>
          <w:rFonts w:hint="eastAsia" w:ascii="宋体" w:hAnsi="宋体" w:eastAsia="宋体" w:cs="宋体"/>
          <w:b/>
          <w:bCs w:val="0"/>
          <w:kern w:val="2"/>
          <w:sz w:val="36"/>
          <w:szCs w:val="22"/>
          <w:lang w:val="en-US" w:eastAsia="zh-CN" w:bidi="ar"/>
        </w:rPr>
        <w:t>需求</w:t>
      </w:r>
      <w:bookmarkEnd w:id="0"/>
    </w:p>
    <w:p w14:paraId="654D17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szCs w:val="21"/>
          <w:lang w:val="en-US"/>
        </w:rPr>
      </w:pPr>
      <w:bookmarkStart w:id="1" w:name="_Hlk192705607"/>
      <w:r>
        <w:rPr>
          <w:rFonts w:hint="eastAsia" w:ascii="宋体" w:hAnsi="宋体" w:eastAsia="宋体" w:cs="宋体"/>
          <w:b/>
          <w:bCs w:val="0"/>
          <w:kern w:val="2"/>
          <w:sz w:val="21"/>
          <w:szCs w:val="21"/>
          <w:lang w:val="en-US" w:eastAsia="zh-CN" w:bidi="ar"/>
        </w:rPr>
        <w:t>前注：</w:t>
      </w:r>
    </w:p>
    <w:p w14:paraId="5C8EC2A5">
      <w:pPr>
        <w:keepNext w:val="0"/>
        <w:keepLines w:val="0"/>
        <w:widowControl w:val="0"/>
        <w:suppressLineNumbers w:val="0"/>
        <w:adjustRightInd w:val="0"/>
        <w:snapToGrid w:val="0"/>
        <w:spacing w:before="0" w:beforeAutospacing="0" w:after="0" w:afterAutospacing="0" w:line="360" w:lineRule="auto"/>
        <w:ind w:left="0" w:right="0" w:firstLine="43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1.本采购需求中提出的服务方案仅为参考，如无明确限制，投标人可以进行优化，提供满足采购人实际需要的更优（或者性能实质上不低于的）服务方案，且此方案须经评标委员会评审认可。</w:t>
      </w:r>
    </w:p>
    <w:p w14:paraId="45619AC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2.政府采购政策（包括但不限于下列具体政策要求）：</w:t>
      </w:r>
    </w:p>
    <w:p w14:paraId="4170C85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A3D6F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9AD0EE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3.如采购人允许采用分包方式履行合同的，应当明确可以分包履行的相关内容。</w:t>
      </w:r>
    </w:p>
    <w:p w14:paraId="1C3FC5F1">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b/>
          <w:bCs w:val="0"/>
          <w:szCs w:val="21"/>
          <w:lang w:val="en-US"/>
        </w:rPr>
      </w:pPr>
      <w:bookmarkStart w:id="2" w:name="_Toc4148"/>
      <w:bookmarkStart w:id="3" w:name="_Toc21798"/>
      <w:bookmarkStart w:id="4" w:name="_Hlk23621890"/>
      <w:r>
        <w:rPr>
          <w:rFonts w:hint="eastAsia" w:ascii="宋体" w:hAnsi="宋体" w:eastAsia="宋体" w:cs="宋体"/>
          <w:b/>
          <w:bCs w:val="0"/>
          <w:kern w:val="2"/>
          <w:sz w:val="21"/>
          <w:szCs w:val="21"/>
          <w:lang w:val="en-US" w:eastAsia="zh-CN" w:bidi="ar"/>
        </w:rPr>
        <w:t>一、采购需求前附表</w:t>
      </w:r>
      <w:bookmarkEnd w:id="2"/>
      <w:bookmarkEnd w:id="3"/>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47"/>
        <w:gridCol w:w="2111"/>
        <w:gridCol w:w="5698"/>
      </w:tblGrid>
      <w:tr w14:paraId="6315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3CD83D55">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序号</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31EA312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条款名称</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1A68D6A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内容、说明与要求</w:t>
            </w:r>
          </w:p>
        </w:tc>
      </w:tr>
      <w:tr w14:paraId="5E1F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68B602AB">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1</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1763CA4C">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付款方式</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4FCC2B76">
            <w:pPr>
              <w:keepNext w:val="0"/>
              <w:keepLines w:val="0"/>
              <w:widowControl w:val="0"/>
              <w:suppressLineNumbers w:val="0"/>
              <w:adjustRightInd w:val="0"/>
              <w:snapToGrid w:val="0"/>
              <w:spacing w:before="0" w:beforeAutospacing="0" w:after="0" w:afterAutospacing="0" w:line="300" w:lineRule="auto"/>
              <w:ind w:left="0" w:right="0"/>
              <w:jc w:val="both"/>
              <w:rPr>
                <w:bdr w:val="none" w:color="auto" w:sz="0" w:space="0"/>
                <w:lang w:val="en-US"/>
              </w:rPr>
            </w:pPr>
            <w:r>
              <w:rPr>
                <w:rFonts w:hint="eastAsia" w:ascii="宋体" w:hAnsi="宋体" w:eastAsia="宋体" w:cs="宋体"/>
                <w:bCs/>
                <w:kern w:val="0"/>
                <w:sz w:val="21"/>
                <w:szCs w:val="21"/>
                <w:bdr w:val="none" w:color="auto" w:sz="0" w:space="0"/>
                <w:lang w:val="en-US" w:eastAsia="zh-CN" w:bidi="ar"/>
              </w:rPr>
              <w:t>合同生效后，支付合同价款的70%，合同期满后经采购人验收合格后支付合同剩余价款。</w:t>
            </w:r>
          </w:p>
        </w:tc>
      </w:tr>
      <w:tr w14:paraId="101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63ADE507">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2</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51903E9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服务地点</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2E263231">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安徽省内，具体按采购人指定地点。</w:t>
            </w:r>
          </w:p>
        </w:tc>
      </w:tr>
      <w:tr w14:paraId="4EF5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7ED48936">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3</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4E09890A">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服务期限</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1AD855F9">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合同生效之日起至2025年12月30日。</w:t>
            </w:r>
          </w:p>
        </w:tc>
      </w:tr>
      <w:tr w14:paraId="59A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tcBorders>
              <w:top w:val="single" w:color="auto" w:sz="4" w:space="0"/>
              <w:left w:val="single" w:color="auto" w:sz="4" w:space="0"/>
              <w:bottom w:val="single" w:color="auto" w:sz="4" w:space="0"/>
              <w:right w:val="single" w:color="auto" w:sz="4" w:space="0"/>
            </w:tcBorders>
            <w:shd w:val="clear"/>
            <w:vAlign w:val="center"/>
          </w:tcPr>
          <w:p w14:paraId="4826BFE8">
            <w:pPr>
              <w:keepNext w:val="0"/>
              <w:keepLines w:val="0"/>
              <w:widowControl w:val="0"/>
              <w:suppressLineNumbers w:val="0"/>
              <w:tabs>
                <w:tab w:val="center" w:pos="4153"/>
                <w:tab w:val="right" w:pos="8306"/>
              </w:tabs>
              <w:adjustRightInd w:val="0"/>
              <w:snapToGrid w:val="0"/>
              <w:spacing w:before="0" w:beforeAutospacing="0" w:after="0" w:afterAutospacing="0" w:line="300" w:lineRule="auto"/>
              <w:ind w:left="0" w:right="0"/>
              <w:jc w:val="center"/>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4</w:t>
            </w:r>
          </w:p>
        </w:tc>
        <w:tc>
          <w:tcPr>
            <w:tcW w:w="1192" w:type="pct"/>
            <w:tcBorders>
              <w:top w:val="single" w:color="auto" w:sz="4" w:space="0"/>
              <w:left w:val="single" w:color="auto" w:sz="4" w:space="0"/>
              <w:bottom w:val="single" w:color="auto" w:sz="4" w:space="0"/>
              <w:right w:val="single" w:color="auto" w:sz="4" w:space="0"/>
            </w:tcBorders>
            <w:shd w:val="clear"/>
            <w:vAlign w:val="center"/>
          </w:tcPr>
          <w:p w14:paraId="51E8AE1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kern w:val="0"/>
                <w:szCs w:val="21"/>
                <w:bdr w:val="none" w:color="auto" w:sz="0" w:space="0"/>
                <w:lang w:val="en-US"/>
              </w:rPr>
            </w:pPr>
            <w:r>
              <w:rPr>
                <w:rFonts w:hint="eastAsia" w:ascii="宋体" w:hAnsi="宋体" w:eastAsia="宋体" w:cs="宋体"/>
                <w:bCs/>
                <w:kern w:val="0"/>
                <w:sz w:val="21"/>
                <w:szCs w:val="21"/>
                <w:bdr w:val="none" w:color="auto" w:sz="0" w:space="0"/>
                <w:lang w:val="en-US" w:eastAsia="zh-CN" w:bidi="ar"/>
              </w:rPr>
              <w:t>本项目采购标的名称及所属行业</w:t>
            </w:r>
          </w:p>
        </w:tc>
        <w:tc>
          <w:tcPr>
            <w:tcW w:w="3217" w:type="pct"/>
            <w:tcBorders>
              <w:top w:val="single" w:color="auto" w:sz="4" w:space="0"/>
              <w:left w:val="single" w:color="auto" w:sz="4" w:space="0"/>
              <w:bottom w:val="single" w:color="auto" w:sz="4" w:space="0"/>
              <w:right w:val="single" w:color="auto" w:sz="4" w:space="0"/>
            </w:tcBorders>
            <w:shd w:val="clear"/>
            <w:vAlign w:val="center"/>
          </w:tcPr>
          <w:p w14:paraId="6608C2E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标的名称：安徽省文化馆看直播项目</w:t>
            </w:r>
          </w:p>
          <w:p w14:paraId="32AFE1D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所属行业：其他未列明行业</w:t>
            </w:r>
          </w:p>
        </w:tc>
      </w:tr>
    </w:tbl>
    <w:p w14:paraId="75BC3509">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outlineLvl w:val="1"/>
        <w:rPr>
          <w:rFonts w:hint="eastAsia" w:ascii="宋体" w:hAnsi="宋体" w:eastAsia="宋体" w:cs="宋体"/>
          <w:b/>
          <w:bCs w:val="0"/>
          <w:szCs w:val="21"/>
          <w:lang w:val="en-US"/>
        </w:rPr>
      </w:pPr>
      <w:bookmarkStart w:id="5" w:name="_Toc16543"/>
      <w:bookmarkStart w:id="6" w:name="_Toc8753"/>
      <w:bookmarkStart w:id="7" w:name="_Hlk16461016"/>
    </w:p>
    <w:p w14:paraId="4BCE4268">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outlineLvl w:val="1"/>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二、项目概况</w:t>
      </w:r>
      <w:bookmarkEnd w:id="5"/>
      <w:bookmarkEnd w:id="6"/>
    </w:p>
    <w:p w14:paraId="2A969D6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outlineLvl w:val="1"/>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文化和旅游部公共服务司、财务司《关于做好2025年全国智慧图书馆体系建设项目和公共文化云建设项目实施工作的通知》要求，在安徽省文化和旅游厅指导下，安徽省文化馆开展2025年度“看直播”项目工作。活动以音乐、舞蹈、戏剧、曲艺、文学、美术、书法、摄影等门类为主，推出竞赛性（如安徽省群星奖评选）、展演性（如安徽省广场舞展演）、惠民性（如安徽“村晚”）群众文化活动以及专题讲座、艺术普及分享、展览带看等艺术普及相关直录播。每个季度至少推荐5场全省大型群众文化品牌活动参加全国公共文化发展中心组织的国家公共文化云网络直录播遴选工作，按要求报送直录播计划，做好现场拍摄执行、内容审验、素材编辑、后期加工、运营推广、专业直录播人才培养等工作。结合直录播工作，现场开展服务推广活动，引导群众扫码关注，了解、参与安徽省文化馆线上服务，发放文创小礼品等。直录播建设成果在国家公共文化云、安徽公共文化云专区呈现。20场活动采集数字资源不少于4TB，年度服务不少于1000万人次。</w:t>
      </w:r>
    </w:p>
    <w:p w14:paraId="321105C2">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outlineLvl w:val="1"/>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三、服务内容</w:t>
      </w:r>
    </w:p>
    <w:p w14:paraId="2BE5AD7F">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Times New Roman"/>
          <w:b/>
          <w:bCs w:val="0"/>
          <w:szCs w:val="21"/>
          <w:lang w:val="en-US"/>
        </w:rPr>
      </w:pPr>
      <w:r>
        <w:rPr>
          <w:rFonts w:hint="eastAsia" w:ascii="宋体" w:hAnsi="宋体" w:eastAsia="宋体" w:cs="Times New Roman"/>
          <w:b/>
          <w:bCs w:val="0"/>
          <w:kern w:val="2"/>
          <w:sz w:val="21"/>
          <w:szCs w:val="21"/>
          <w:lang w:val="en-US" w:eastAsia="zh-CN" w:bidi="ar"/>
        </w:rPr>
        <w:t>（一）主要内容</w:t>
      </w:r>
    </w:p>
    <w:p w14:paraId="52C380F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依托全省各级文化馆站，开展20场大型群众文化品牌活动直录播工作。活动以音乐、舞蹈、戏剧、曲艺、文学、美术、书法、摄影等门类为主，内容包括竞赛性（如安徽省群星奖评选）、展演性（如安徽省广场舞展演）、惠民性（如安徽“村晚”）群众文化活动以及专题讲座、艺术普及分享、展览带看等。每个季度至少推荐5场全省大型群众文化品牌活动参加全国公共文化发展中心组织的国家公共文化云网络直录播遴选工作，按要求报送直录播计划，做好现场拍摄执行、内容审验、素材编辑、后期加工、运营推广、专业直录播人才培养等工作。结合直录播工作，现场开展服务推广活动，引导群众扫码关注，了解、参与安徽省文化馆线上服务，发放文创小礼品等。直录播建设成果在国家公共文化云、安徽公共文化云、安徽文化云专区呈现。20场活动采集数字资源不少于4TB，年度服务不少于1000万人次。</w:t>
      </w:r>
    </w:p>
    <w:p w14:paraId="797DF69E">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Times New Roman"/>
          <w:b/>
          <w:bCs w:val="0"/>
          <w:szCs w:val="21"/>
          <w:lang w:val="en-US"/>
        </w:rPr>
      </w:pPr>
      <w:r>
        <w:rPr>
          <w:rFonts w:hint="eastAsia" w:ascii="宋体" w:hAnsi="宋体" w:eastAsia="宋体" w:cs="Times New Roman"/>
          <w:b/>
          <w:bCs w:val="0"/>
          <w:kern w:val="2"/>
          <w:sz w:val="21"/>
          <w:szCs w:val="21"/>
          <w:lang w:val="en-US" w:eastAsia="zh-CN" w:bidi="ar"/>
        </w:rPr>
        <w:t>（二）具体实施要求</w:t>
      </w:r>
    </w:p>
    <w:p w14:paraId="56962172">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Times New Roman"/>
          <w:b/>
          <w:bCs w:val="0"/>
          <w:szCs w:val="21"/>
          <w:lang w:val="en-US"/>
        </w:rPr>
      </w:pPr>
      <w:r>
        <w:rPr>
          <w:rFonts w:hint="eastAsia" w:ascii="宋体" w:hAnsi="宋体" w:eastAsia="宋体" w:cs="Times New Roman"/>
          <w:b/>
          <w:bCs w:val="0"/>
          <w:kern w:val="2"/>
          <w:sz w:val="21"/>
          <w:szCs w:val="21"/>
          <w:lang w:val="en-US" w:eastAsia="zh-CN" w:bidi="ar"/>
        </w:rPr>
        <w:t>1.直播前</w:t>
      </w:r>
    </w:p>
    <w:p w14:paraId="285C931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（1）直播策划：直播开始前，根据主题进行相关策划。策划方案包含活动时间、活动范围、活动方式、参与人群、活动流程、实施方案、推广方案、互动方案等。</w:t>
      </w:r>
    </w:p>
    <w:p w14:paraId="6FE9E66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（2）直播申报：根据策划方案，按照全国公共文化发展中心对国家公共文化云平台开展直播的要求，指导活动主办方填写直播申报表、活动授权书、意识形态安全承诺书等。</w:t>
      </w:r>
    </w:p>
    <w:p w14:paraId="45B1565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3）宣传推广：一是宣传海报，能够直观鲜明地展示本次直播活动的活动主题和设计思想，海报中放置国家公共文化云及安徽公共文化云二维码，提前报主办方审核。二是线上推文1篇，在安徽省文化馆微信订阅号、微信服务号、新浪微博、抖音、快手、头条号等新媒体账号上推广。三是宣传短视频，1-3分钟，短片内容紧扣活动主题，展现活动特色，画面流畅，宣传效果较好。四是线下物料，包括桁架、易拉宝、宣传海报、宣传册、互动小礼品等。</w:t>
      </w:r>
    </w:p>
    <w:p w14:paraId="3A063A4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4）活动发布：直录播活动开始前将与国家公共文化云、安徽公共文化云进行有效对接，实现活动在“国家公共文化云”、“安徽公共文化云”平台进行直播，且拍摄的数字资源上传至该平台展播。一是直播流对接，为了保障直播过程的精准控制，直播内容在网络上的播出将延迟1分钟，并提供直播内容即时阻断的能力，提供延时1分钟直播流地址，提前1天进行技术测试，直播后将提供回看视频。二是平台发布，发布平台为国家公共文化云“看直播”、安徽公共文化云“看直播”版块。</w:t>
      </w:r>
    </w:p>
    <w:p w14:paraId="6F66FD0D">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Times New Roman"/>
          <w:b/>
          <w:bCs w:val="0"/>
          <w:szCs w:val="21"/>
          <w:lang w:val="en-US"/>
        </w:rPr>
      </w:pPr>
      <w:r>
        <w:rPr>
          <w:rFonts w:hint="eastAsia" w:ascii="宋体" w:hAnsi="宋体" w:eastAsia="宋体" w:cs="Times New Roman"/>
          <w:b/>
          <w:bCs w:val="0"/>
          <w:kern w:val="2"/>
          <w:sz w:val="21"/>
          <w:szCs w:val="21"/>
          <w:lang w:val="en-US" w:eastAsia="zh-CN" w:bidi="ar"/>
        </w:rPr>
        <w:t>2.直播中</w:t>
      </w:r>
    </w:p>
    <w:p w14:paraId="08F42CB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1）现场推广：布置活动海报门型展架、活动背景板等各类宣传资料和宣传渠道，放置国家公共文化云及安徽公共文化云二维码，一场一码，引导群众扫码观看直录播、关注微信公众号、下载app，调动观众积极性，参与线上及线下的直播互动。</w:t>
      </w:r>
    </w:p>
    <w:p w14:paraId="0F7447E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2）活动采访：布置活动采访专区并现场采访。采访对象包括活动组织者、工作人员、表演嘉宾、参与活动群众等，采访内容主要涉及对本次活动的现场感受、内容评价以及可优化的建设性意见，采访时配置1台摄像机对采访视频进行录制，并在采访专区里采用专业的录制方式，对环境和灯光进行调整，保证更好的呈现效果，采访时会采用指向性收声音话筒收录对采访声音进行收录，确保声音质量。</w:t>
      </w:r>
    </w:p>
    <w:p w14:paraId="604C6F4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（3）直播互动：根据活动主题，在活动直播中设置微现场签到、留言上墙、互动抽奖等环节，为线上观众提供文创礼品、文艺演出票等福利，通过多手段烘托气氛，调动观众积极性，提升活动类直播的互动性。</w:t>
      </w:r>
    </w:p>
    <w:p w14:paraId="79242AE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（4）现场拍摄</w:t>
      </w:r>
    </w:p>
    <w:p w14:paraId="0E8FF36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一是直播机位。为每场网络直播活动提供4台高清摄像机位和高清导播台，确保对活动现场的全程、全景、多角度的拍摄，机位拍摄包括全景、中景、演员特写、观众特写、观众镜头等，保证对活动全程声音进行收录和控制。同时将配备现场导播1名、讯道摄像3名、活动执行人员1名。</w:t>
      </w:r>
    </w:p>
    <w:p w14:paraId="29C85DD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二是技术保障。网络保障，为直播活动现场提供不低于100M的网络带宽，利用全网CDN分发技术对直播进行加速，同时支持10万人次访问；拍摄团队需提前1天到达活动现场，测试现场环境、互联网传输、CDN分发等，确保直播视频质量清晰，传输信道畅通稳定；在直播开始前数小时进行网络分发能力测试、网络带宽测试等，确保直播网络正常。直播质量，利用直播技术防止直播过程中出现的黑场、静帧、彩条、无伴音、无载波、图像马赛克劣化、台标异常等。在线客服，配置充足的线上客户人员，在网络直播过程中为观众提供相关的咨询服务，如直播入口咨询、直播主题简介、直播注意事项等。监播，提供监播平台为网络直播提供实时监播，确保直播意识形态安全。</w:t>
      </w:r>
    </w:p>
    <w:p w14:paraId="73291F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5）应急处理机制：一是直播应急机制，在遇到突发状况时，导播设备具备随时中断网络直播的功能，同时利用对延时流的控制，防止异常画面被直播。二是设备应急预案，配置一定数量的应急设备，确保在设备出现问题时能第一时间对设备进行维修和更换。三是人员应急预案，落实人员分工，明确职责要求；现场导播、活动执行人员均为经验丰富的专业人员，能够在突发状况时第一时间采取有效措施。</w:t>
      </w:r>
    </w:p>
    <w:p w14:paraId="4AAC19D8">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Times New Roman"/>
          <w:b/>
          <w:bCs w:val="0"/>
          <w:szCs w:val="21"/>
          <w:lang w:val="en-US"/>
        </w:rPr>
      </w:pPr>
      <w:r>
        <w:rPr>
          <w:rFonts w:hint="eastAsia" w:ascii="宋体" w:hAnsi="宋体" w:eastAsia="宋体" w:cs="Times New Roman"/>
          <w:b/>
          <w:bCs w:val="0"/>
          <w:kern w:val="2"/>
          <w:sz w:val="21"/>
          <w:szCs w:val="21"/>
          <w:lang w:val="en-US" w:eastAsia="zh-CN" w:bidi="ar"/>
        </w:rPr>
        <w:t>3.直播后</w:t>
      </w:r>
    </w:p>
    <w:p w14:paraId="4BB32DC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（1）后期制作：</w:t>
      </w:r>
    </w:p>
    <w:p w14:paraId="759A21D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一是后期整体设计。后期整体设计包括视频剪辑、视频包装、视频编转码、视频遮幅等处理。</w:t>
      </w:r>
    </w:p>
    <w:p w14:paraId="16A6E24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二是整体直播包装。活动结束后2小时内平台即可呈现未精编的直播回看，方便用户进行回顾，保持直播的热度。根据直播回看的呈现效果对直播成片进行相关的整体包装，包括对回看视频中未增加片头，片尾，台标的视频进行相关处理。同时根据活动实际需求，针对特定主题的直播将按照主题这一条主线进行剪辑，包括演出精选镜头、演员采访、台前幕后花絮、观众采访等组合，精编节目在活动结束5天内制作完成。</w:t>
      </w:r>
    </w:p>
    <w:p w14:paraId="154B9C0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三是视频拆条。根据拍摄的活动资源视频按节目类别、形式等进行拆条精编制作，加配字幕，在活动结束7天内制作完成；精编拆条是对演出节目成片的再次编辑，为了更好地呈现演出效果，精心选择演出精彩节目、动人瞬间进行剪辑，给人以强烈的视觉冲击。</w:t>
      </w:r>
    </w:p>
    <w:p w14:paraId="2B27F91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四是采访节目包装。通过对活动现场采访的内容进行整理编辑，选取符合活动主题和表演主题的重要内容，找准切入点，制作成视频，加配字幕，并添加采访提问的后期配音。</w:t>
      </w:r>
    </w:p>
    <w:p w14:paraId="4C02866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五是花絮制作。幕后花絮包括演员感受、场景搭建、删减片段、特效制作等内容。对工作人员台前幕后筹备过程的多机位视频和图片进行混剪，在制作时配上解说词、同期声、字幕等，展现演出活动的趣味性和真实感。</w:t>
      </w:r>
    </w:p>
    <w:p w14:paraId="4E16675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2）宣传推广：直播结束后制作总结推文，结合宣传短视频、花絮、采访回顾短视频等资源，充分利用国家公共文化云、安徽公共文化云及安徽省文化馆的微信、微博、抖音、快手、头条号等新媒体账号进行推广。</w:t>
      </w:r>
    </w:p>
    <w:p w14:paraId="65F3364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3）数据统计分析：直播活动结束后，通过后台统计管理系统对活动情况进行收集和统计处理，在72小时内出具该场次的数据分析总结报告，内容包括直播收看数据、推文阅读转发数据、互动活动数据、客户服务情况数据、活动现场图片等，并对直、录播实施情况，拉新效果，主、承办单位工作配合情况进行评价和汇总分析。项目执行完毕后，形成专题报告。</w:t>
      </w:r>
    </w:p>
    <w:p w14:paraId="57CB70B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4）成果提交：直、录播结束后，所有活动资源成品、活动花絮存入移动硬盘进行备份存档（配套提供海报、推文、照片、观看数据、精编视频、拆条视频、宣传短视频、采访、花絮等）。提交成果后，要在公共文化云项目跟踪管理系统上及时同步相关工作进度。</w:t>
      </w:r>
    </w:p>
    <w:p w14:paraId="4D2D9B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rPr>
      </w:pPr>
      <w:r>
        <w:rPr>
          <w:rFonts w:hint="eastAsia" w:ascii="宋体" w:hAnsi="宋体" w:eastAsia="宋体" w:cs="Times New Roman"/>
          <w:kern w:val="2"/>
          <w:sz w:val="21"/>
          <w:szCs w:val="21"/>
          <w:lang w:val="en-US" w:eastAsia="zh-CN" w:bidi="ar"/>
        </w:rPr>
        <w:t>（5）版权解决方案：该项目资源版权归文化和旅游部全国公共文化发展中心、安徽省文化馆、活动主办单位共有。</w:t>
      </w:r>
    </w:p>
    <w:p w14:paraId="79024196">
      <w:pPr>
        <w:keepNext w:val="0"/>
        <w:keepLines w:val="0"/>
        <w:widowControl w:val="0"/>
        <w:suppressLineNumbers w:val="0"/>
        <w:autoSpaceDE w:val="0"/>
        <w:autoSpaceDN/>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四、报价要求</w:t>
      </w:r>
    </w:p>
    <w:bookmarkEnd w:id="1"/>
    <w:bookmarkEnd w:id="4"/>
    <w:bookmarkEnd w:id="7"/>
    <w:p w14:paraId="3E6EE383">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bidi="en-US"/>
        </w:rPr>
      </w:pPr>
      <w:r>
        <w:rPr>
          <w:rFonts w:hint="eastAsia" w:ascii="宋体" w:hAnsi="宋体" w:eastAsia="宋体" w:cs="Times New Roman"/>
          <w:kern w:val="2"/>
          <w:sz w:val="21"/>
          <w:szCs w:val="21"/>
          <w:lang w:val="en-US" w:eastAsia="zh-CN" w:bidi="en-US"/>
        </w:rPr>
        <w:t>1.投标人的响应报价包括提供服务的一切成本和费用、管理费、利润和税金，以及采购合同中明示或暗示的所有责任、义务和风险。</w:t>
      </w:r>
    </w:p>
    <w:p w14:paraId="4FDBA849">
      <w:pPr>
        <w:keepNext w:val="0"/>
        <w:keepLines w:val="0"/>
        <w:widowControl/>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Times New Roman"/>
          <w:szCs w:val="21"/>
          <w:lang w:val="en-US" w:bidi="en-US"/>
        </w:rPr>
      </w:pPr>
      <w:r>
        <w:rPr>
          <w:rFonts w:hint="eastAsia" w:ascii="宋体" w:hAnsi="宋体" w:eastAsia="宋体" w:cs="Times New Roman"/>
          <w:kern w:val="2"/>
          <w:sz w:val="21"/>
          <w:szCs w:val="21"/>
          <w:lang w:val="en-US" w:eastAsia="zh-CN" w:bidi="en-US"/>
        </w:rPr>
        <w:t>2.采购人后期不再追加费用，投标人自行考虑报价风险。</w:t>
      </w:r>
    </w:p>
    <w:p w14:paraId="5BCCD5F8"/>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7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2025-04-16T09:00:17Z</dcterms:created>
  <dc:creator>zcb01</dc:creator>
  <cp:lastModifiedBy>周小童</cp:lastModifiedBy>
  <dcterms:modified xsi:type="dcterms:W3CDTF">2025-04-16T09:01:42Z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eyJoZGlkIjoiY2RjNjFhNTk3OTdjNDg2Y2MwMGIzZWExZjZiMWYxM2QiLCJ1c2VySWQiOiIyNDQxNzM2OTYifQ==</vt:lpwstr>
  </property>
  <property fmtid="{D5CDD505-2E9C-101B-9397-08002B2CF9AE}" pid="4" name="ICV">
    <vt:lpwstr>CBB888C21B08485C990C7B439DFD5ED7_12</vt:lpwstr>
  </property>
</Properties>
</file>