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hAnsi="宋体" w:eastAsia="宋体"/>
          <w:b/>
          <w:color w:val="auto"/>
          <w:sz w:val="28"/>
          <w:highlight w:val="none"/>
        </w:rPr>
      </w:pPr>
      <w:bookmarkStart w:id="0" w:name="_Toc711"/>
      <w:r>
        <w:rPr>
          <w:rFonts w:hint="eastAsia" w:ascii="宋体" w:hAnsi="宋体" w:eastAsia="宋体"/>
          <w:b/>
          <w:color w:val="auto"/>
          <w:sz w:val="28"/>
          <w:highlight w:val="none"/>
        </w:rPr>
        <w:t>第三章  采购需求</w:t>
      </w:r>
      <w:bookmarkEnd w:id="0"/>
    </w:p>
    <w:p>
      <w:pPr>
        <w:adjustRightInd w:val="0"/>
        <w:snapToGrid w:val="0"/>
        <w:spacing w:line="360" w:lineRule="auto"/>
        <w:ind w:firstLine="422"/>
        <w:rPr>
          <w:rFonts w:ascii="宋体" w:hAnsi="宋体" w:eastAsia="宋体"/>
          <w:b/>
          <w:color w:val="auto"/>
          <w:szCs w:val="21"/>
          <w:highlight w:val="none"/>
        </w:rPr>
      </w:pPr>
      <w:bookmarkStart w:id="1" w:name="_Toc18194"/>
      <w:r>
        <w:rPr>
          <w:rFonts w:hint="eastAsia" w:ascii="宋体" w:hAnsi="宋体" w:eastAsia="宋体"/>
          <w:b/>
          <w:color w:val="auto"/>
          <w:szCs w:val="21"/>
          <w:highlight w:val="none"/>
        </w:rPr>
        <w:t>前注：</w:t>
      </w:r>
    </w:p>
    <w:p>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pPr>
        <w:adjustRightInd w:val="0"/>
        <w:snapToGrid w:val="0"/>
        <w:spacing w:line="360" w:lineRule="auto"/>
        <w:ind w:firstLine="482"/>
        <w:outlineLvl w:val="1"/>
        <w:rPr>
          <w:rFonts w:hint="eastAsia" w:ascii="宋体" w:hAnsi="宋体" w:eastAsia="宋体"/>
          <w:b/>
          <w:color w:val="auto"/>
          <w:szCs w:val="21"/>
          <w:highlight w:val="none"/>
          <w:lang w:eastAsia="zh-CN"/>
        </w:rPr>
      </w:pPr>
      <w:bookmarkStart w:id="2" w:name="_Toc2554"/>
      <w:bookmarkStart w:id="3" w:name="_Toc32151"/>
      <w:bookmarkStart w:id="4" w:name="_Toc16116"/>
      <w:bookmarkStart w:id="5" w:name="_Toc178465410"/>
      <w:r>
        <w:rPr>
          <w:rFonts w:hint="eastAsia" w:ascii="宋体" w:hAnsi="宋体" w:eastAsia="宋体"/>
          <w:b/>
          <w:color w:val="auto"/>
          <w:szCs w:val="21"/>
          <w:highlight w:val="none"/>
        </w:rPr>
        <w:t>一、采购需求前附表</w:t>
      </w:r>
      <w:bookmarkEnd w:id="2"/>
      <w:bookmarkEnd w:id="3"/>
      <w:bookmarkEnd w:id="4"/>
      <w:bookmarkEnd w:id="5"/>
      <w:r>
        <w:rPr>
          <w:rFonts w:hint="eastAsia" w:ascii="宋体" w:hAnsi="宋体" w:eastAsia="宋体"/>
          <w:b/>
          <w:color w:val="auto"/>
          <w:szCs w:val="21"/>
          <w:highlight w:val="none"/>
          <w:lang w:eastAsia="zh-CN"/>
        </w:rPr>
        <w:t>（</w:t>
      </w:r>
      <w:r>
        <w:rPr>
          <w:rFonts w:hint="eastAsia" w:ascii="宋体" w:hAnsi="宋体" w:eastAsia="宋体"/>
          <w:b/>
          <w:color w:val="auto"/>
          <w:szCs w:val="21"/>
          <w:highlight w:val="none"/>
          <w:lang w:val="en-US" w:eastAsia="zh-CN"/>
        </w:rPr>
        <w:t>适用于包2</w:t>
      </w:r>
      <w:r>
        <w:rPr>
          <w:rFonts w:hint="eastAsia" w:ascii="宋体" w:hAnsi="宋体" w:eastAsia="宋体"/>
          <w:b/>
          <w:color w:val="auto"/>
          <w:szCs w:val="21"/>
          <w:highlight w:val="none"/>
          <w:lang w:eastAsia="zh-CN"/>
        </w:rPr>
        <w:t>）</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7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pPr>
              <w:pStyle w:val="6"/>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1375" w:type="dxa"/>
            <w:noWrap w:val="0"/>
            <w:vAlign w:val="center"/>
          </w:tcPr>
          <w:p>
            <w:pPr>
              <w:pStyle w:val="7"/>
              <w:jc w:val="center"/>
              <w:rPr>
                <w:b/>
                <w:color w:val="auto"/>
                <w:highlight w:val="none"/>
              </w:rPr>
            </w:pPr>
            <w:r>
              <w:rPr>
                <w:rFonts w:hint="eastAsia"/>
                <w:b/>
                <w:color w:val="auto"/>
                <w:highlight w:val="none"/>
              </w:rPr>
              <w:t>条款名称</w:t>
            </w:r>
          </w:p>
        </w:tc>
        <w:tc>
          <w:tcPr>
            <w:tcW w:w="6385" w:type="dxa"/>
            <w:noWrap w:val="0"/>
            <w:vAlign w:val="center"/>
          </w:tcPr>
          <w:p>
            <w:pPr>
              <w:pStyle w:val="7"/>
              <w:jc w:val="center"/>
              <w:rPr>
                <w:b/>
                <w:color w:val="auto"/>
                <w:highlight w:val="none"/>
              </w:rPr>
            </w:pPr>
            <w:r>
              <w:rPr>
                <w:rFonts w:hint="eastAsia"/>
                <w:b/>
                <w:color w:val="auto"/>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pPr>
              <w:pStyle w:val="6"/>
              <w:adjustRightInd w:val="0"/>
              <w:snapToGrid w:val="0"/>
              <w:spacing w:line="300" w:lineRule="auto"/>
              <w:rPr>
                <w:rFonts w:hint="eastAsia"/>
                <w:bCs w:val="0"/>
                <w:color w:val="auto"/>
                <w:kern w:val="0"/>
                <w:sz w:val="21"/>
                <w:szCs w:val="21"/>
                <w:highlight w:val="none"/>
              </w:rPr>
            </w:pPr>
            <w:r>
              <w:rPr>
                <w:rFonts w:hint="eastAsia"/>
                <w:bCs w:val="0"/>
                <w:color w:val="auto"/>
                <w:kern w:val="0"/>
                <w:sz w:val="21"/>
                <w:szCs w:val="21"/>
                <w:highlight w:val="none"/>
              </w:rPr>
              <w:t>1</w:t>
            </w:r>
          </w:p>
        </w:tc>
        <w:tc>
          <w:tcPr>
            <w:tcW w:w="1375" w:type="dxa"/>
            <w:noWrap w:val="0"/>
            <w:vAlign w:val="center"/>
          </w:tcPr>
          <w:p>
            <w:pPr>
              <w:pStyle w:val="7"/>
              <w:spacing w:line="360" w:lineRule="auto"/>
              <w:jc w:val="center"/>
              <w:rPr>
                <w:rFonts w:hint="eastAsia"/>
                <w:bCs w:val="0"/>
                <w:color w:val="auto"/>
                <w:highlight w:val="none"/>
              </w:rPr>
            </w:pPr>
            <w:r>
              <w:rPr>
                <w:rFonts w:hint="eastAsia"/>
                <w:bCs w:val="0"/>
                <w:color w:val="auto"/>
                <w:highlight w:val="none"/>
              </w:rPr>
              <w:t>付款方式</w:t>
            </w:r>
          </w:p>
        </w:tc>
        <w:tc>
          <w:tcPr>
            <w:tcW w:w="6385" w:type="dxa"/>
            <w:noWrap w:val="0"/>
            <w:vAlign w:val="center"/>
          </w:tcPr>
          <w:p>
            <w:pPr>
              <w:pStyle w:val="7"/>
              <w:spacing w:line="360" w:lineRule="auto"/>
              <w:jc w:val="left"/>
              <w:rPr>
                <w:rFonts w:hint="eastAsia"/>
                <w:bCs w:val="0"/>
                <w:color w:val="auto"/>
                <w:highlight w:val="none"/>
              </w:rPr>
            </w:pPr>
            <w:r>
              <w:rPr>
                <w:rFonts w:hint="eastAsia"/>
                <w:bCs w:val="0"/>
                <w:color w:val="auto"/>
                <w:highlight w:val="none"/>
              </w:rPr>
              <w:t>合同生效后，采购人付至合同价的40%（中标人须提供等额预付款担保），项目经验收合格且相关资料齐备己移交给采购人，一次性付清合同</w:t>
            </w:r>
            <w:r>
              <w:rPr>
                <w:rFonts w:hint="eastAsia"/>
                <w:bCs w:val="0"/>
                <w:color w:val="auto"/>
                <w:highlight w:val="none"/>
                <w:lang w:val="en-US" w:eastAsia="zh-CN"/>
              </w:rPr>
              <w:t>余</w:t>
            </w:r>
            <w:r>
              <w:rPr>
                <w:rFonts w:hint="eastAsia"/>
                <w:bCs w:val="0"/>
                <w:color w:val="auto"/>
                <w:highlight w:val="none"/>
              </w:rPr>
              <w:t>款。</w:t>
            </w:r>
          </w:p>
          <w:p>
            <w:pPr>
              <w:pStyle w:val="7"/>
              <w:spacing w:line="360" w:lineRule="auto"/>
              <w:jc w:val="left"/>
              <w:rPr>
                <w:rFonts w:hint="eastAsia"/>
                <w:b/>
                <w:color w:val="auto"/>
                <w:highlight w:val="none"/>
              </w:rPr>
            </w:pPr>
            <w:r>
              <w:rPr>
                <w:rFonts w:hint="eastAsia"/>
                <w:b/>
                <w:color w:val="auto"/>
                <w:highlight w:val="none"/>
              </w:rPr>
              <w:t>注：</w:t>
            </w:r>
          </w:p>
          <w:p>
            <w:pPr>
              <w:pStyle w:val="7"/>
              <w:spacing w:line="360" w:lineRule="auto"/>
              <w:jc w:val="left"/>
              <w:rPr>
                <w:rFonts w:hint="eastAsia"/>
                <w:b/>
                <w:color w:val="auto"/>
                <w:highlight w:val="none"/>
              </w:rPr>
            </w:pPr>
            <w:r>
              <w:rPr>
                <w:rFonts w:hint="eastAsia"/>
                <w:b/>
                <w:color w:val="auto"/>
                <w:highlight w:val="none"/>
              </w:rPr>
              <w:t>（1）中标人未按规定提供预付款担保的，视为放弃预付款；</w:t>
            </w:r>
          </w:p>
          <w:p>
            <w:pPr>
              <w:pStyle w:val="7"/>
              <w:spacing w:line="360" w:lineRule="auto"/>
              <w:jc w:val="left"/>
              <w:rPr>
                <w:rFonts w:hint="eastAsia"/>
                <w:bCs w:val="0"/>
                <w:color w:val="auto"/>
                <w:highlight w:val="none"/>
              </w:rPr>
            </w:pPr>
            <w:r>
              <w:rPr>
                <w:rFonts w:hint="eastAsia"/>
                <w:b/>
                <w:color w:val="auto"/>
                <w:highlight w:val="none"/>
              </w:rPr>
              <w:t>（2）预付款担保要求：如采用银行保函、担保机构出具的保函（担保机构担保）均须满足无条件见索即付条件。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pPr>
              <w:pStyle w:val="6"/>
              <w:adjustRightInd w:val="0"/>
              <w:snapToGrid w:val="0"/>
              <w:spacing w:line="300" w:lineRule="auto"/>
              <w:rPr>
                <w:rFonts w:hint="eastAsia"/>
                <w:bCs w:val="0"/>
                <w:color w:val="auto"/>
                <w:kern w:val="0"/>
                <w:sz w:val="21"/>
                <w:szCs w:val="21"/>
                <w:highlight w:val="none"/>
              </w:rPr>
            </w:pPr>
            <w:r>
              <w:rPr>
                <w:rFonts w:hint="eastAsia"/>
                <w:bCs w:val="0"/>
                <w:color w:val="auto"/>
                <w:kern w:val="0"/>
                <w:sz w:val="21"/>
                <w:szCs w:val="21"/>
                <w:highlight w:val="none"/>
              </w:rPr>
              <w:t>2</w:t>
            </w:r>
          </w:p>
        </w:tc>
        <w:tc>
          <w:tcPr>
            <w:tcW w:w="1375" w:type="dxa"/>
            <w:noWrap w:val="0"/>
            <w:vAlign w:val="center"/>
          </w:tcPr>
          <w:p>
            <w:pPr>
              <w:pStyle w:val="7"/>
              <w:spacing w:line="360" w:lineRule="auto"/>
              <w:jc w:val="center"/>
              <w:rPr>
                <w:rFonts w:hint="eastAsia"/>
                <w:bCs w:val="0"/>
                <w:color w:val="auto"/>
                <w:highlight w:val="none"/>
              </w:rPr>
            </w:pPr>
            <w:r>
              <w:rPr>
                <w:rFonts w:hint="eastAsia"/>
                <w:bCs w:val="0"/>
                <w:color w:val="auto"/>
                <w:highlight w:val="none"/>
              </w:rPr>
              <w:t>供货及安装地点</w:t>
            </w:r>
          </w:p>
        </w:tc>
        <w:tc>
          <w:tcPr>
            <w:tcW w:w="6385" w:type="dxa"/>
            <w:noWrap w:val="0"/>
            <w:vAlign w:val="center"/>
          </w:tcPr>
          <w:p>
            <w:pPr>
              <w:pStyle w:val="7"/>
              <w:spacing w:line="360" w:lineRule="auto"/>
              <w:jc w:val="left"/>
              <w:rPr>
                <w:rFonts w:hint="eastAsia"/>
                <w:bCs w:val="0"/>
                <w:color w:val="auto"/>
                <w:highlight w:val="none"/>
              </w:rPr>
            </w:pPr>
            <w:r>
              <w:rPr>
                <w:rFonts w:hint="eastAsia" w:eastAsia="宋体"/>
                <w:bCs w:val="0"/>
                <w:color w:val="auto"/>
                <w:highlight w:val="none"/>
                <w:lang w:eastAsia="zh-CN"/>
              </w:rPr>
              <w:t>安徽省农业科学院蔬菜研究所凌家湖基地</w:t>
            </w:r>
            <w:r>
              <w:rPr>
                <w:rFonts w:hint="eastAsia"/>
                <w:bCs w:val="0"/>
                <w:color w:val="auto"/>
                <w:highlight w:val="none"/>
              </w:rPr>
              <w:t>，具体按采购人指定地点。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pPr>
              <w:pStyle w:val="6"/>
              <w:adjustRightInd w:val="0"/>
              <w:snapToGrid w:val="0"/>
              <w:spacing w:line="300" w:lineRule="auto"/>
              <w:rPr>
                <w:rFonts w:hint="eastAsia"/>
                <w:bCs w:val="0"/>
                <w:color w:val="auto"/>
                <w:kern w:val="0"/>
                <w:sz w:val="21"/>
                <w:szCs w:val="21"/>
                <w:highlight w:val="none"/>
              </w:rPr>
            </w:pPr>
            <w:r>
              <w:rPr>
                <w:rFonts w:hint="eastAsia"/>
                <w:bCs w:val="0"/>
                <w:color w:val="auto"/>
                <w:kern w:val="0"/>
                <w:sz w:val="21"/>
                <w:szCs w:val="21"/>
                <w:highlight w:val="none"/>
              </w:rPr>
              <w:t>3</w:t>
            </w:r>
          </w:p>
        </w:tc>
        <w:tc>
          <w:tcPr>
            <w:tcW w:w="1375" w:type="dxa"/>
            <w:noWrap w:val="0"/>
            <w:vAlign w:val="center"/>
          </w:tcPr>
          <w:p>
            <w:pPr>
              <w:pStyle w:val="7"/>
              <w:spacing w:line="360" w:lineRule="auto"/>
              <w:jc w:val="center"/>
              <w:rPr>
                <w:rFonts w:hint="eastAsia"/>
                <w:bCs w:val="0"/>
                <w:color w:val="auto"/>
                <w:highlight w:val="none"/>
              </w:rPr>
            </w:pPr>
            <w:r>
              <w:rPr>
                <w:rFonts w:hint="eastAsia"/>
                <w:bCs w:val="0"/>
                <w:color w:val="auto"/>
                <w:highlight w:val="none"/>
              </w:rPr>
              <w:t>供货及安装期限</w:t>
            </w:r>
          </w:p>
        </w:tc>
        <w:tc>
          <w:tcPr>
            <w:tcW w:w="6385" w:type="dxa"/>
            <w:noWrap w:val="0"/>
            <w:vAlign w:val="center"/>
          </w:tcPr>
          <w:p>
            <w:pPr>
              <w:pStyle w:val="7"/>
              <w:spacing w:line="360" w:lineRule="auto"/>
              <w:jc w:val="left"/>
              <w:rPr>
                <w:rFonts w:hint="eastAsia"/>
                <w:bCs w:val="0"/>
                <w:color w:val="auto"/>
                <w:highlight w:val="none"/>
              </w:rPr>
            </w:pPr>
            <w:r>
              <w:rPr>
                <w:rFonts w:hint="eastAsia"/>
                <w:bCs w:val="0"/>
                <w:color w:val="auto"/>
                <w:highlight w:val="none"/>
                <w:lang w:eastAsia="zh-CN"/>
              </w:rPr>
              <w:t>合同生效之日起，60个日历日内完成供货</w:t>
            </w:r>
            <w:r>
              <w:rPr>
                <w:rFonts w:hint="eastAsia"/>
                <w:bCs w:val="0"/>
                <w:color w:val="auto"/>
                <w:highlight w:val="none"/>
              </w:rPr>
              <w:t>、安装、调试、培训等所有工作内容。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2" w:type="dxa"/>
            <w:noWrap w:val="0"/>
            <w:vAlign w:val="center"/>
          </w:tcPr>
          <w:p>
            <w:pPr>
              <w:pStyle w:val="6"/>
              <w:adjustRightInd w:val="0"/>
              <w:snapToGrid w:val="0"/>
              <w:spacing w:line="300" w:lineRule="auto"/>
              <w:rPr>
                <w:rFonts w:hint="eastAsia"/>
                <w:bCs w:val="0"/>
                <w:color w:val="auto"/>
                <w:kern w:val="0"/>
                <w:sz w:val="21"/>
                <w:szCs w:val="21"/>
                <w:highlight w:val="none"/>
              </w:rPr>
            </w:pPr>
            <w:r>
              <w:rPr>
                <w:rFonts w:hint="eastAsia"/>
                <w:bCs w:val="0"/>
                <w:color w:val="auto"/>
                <w:kern w:val="0"/>
                <w:sz w:val="21"/>
                <w:szCs w:val="21"/>
                <w:highlight w:val="none"/>
              </w:rPr>
              <w:t>4</w:t>
            </w:r>
          </w:p>
        </w:tc>
        <w:tc>
          <w:tcPr>
            <w:tcW w:w="1375" w:type="dxa"/>
            <w:noWrap w:val="0"/>
            <w:vAlign w:val="center"/>
          </w:tcPr>
          <w:p>
            <w:pPr>
              <w:pStyle w:val="7"/>
              <w:spacing w:line="360" w:lineRule="auto"/>
              <w:jc w:val="center"/>
              <w:rPr>
                <w:rFonts w:hint="eastAsia"/>
                <w:bCs w:val="0"/>
                <w:color w:val="auto"/>
                <w:highlight w:val="none"/>
              </w:rPr>
            </w:pPr>
            <w:r>
              <w:rPr>
                <w:rFonts w:hint="eastAsia"/>
                <w:bCs w:val="0"/>
                <w:color w:val="auto"/>
                <w:highlight w:val="none"/>
              </w:rPr>
              <w:t>质保期</w:t>
            </w:r>
          </w:p>
        </w:tc>
        <w:tc>
          <w:tcPr>
            <w:tcW w:w="6385" w:type="dxa"/>
            <w:noWrap w:val="0"/>
            <w:vAlign w:val="center"/>
          </w:tcPr>
          <w:p>
            <w:pPr>
              <w:pStyle w:val="7"/>
              <w:spacing w:line="360" w:lineRule="auto"/>
              <w:jc w:val="left"/>
              <w:rPr>
                <w:rFonts w:hint="eastAsia"/>
                <w:bCs w:val="0"/>
                <w:color w:val="auto"/>
                <w:highlight w:val="none"/>
              </w:rPr>
            </w:pPr>
            <w:r>
              <w:rPr>
                <w:rFonts w:hint="eastAsia"/>
                <w:bCs w:val="0"/>
                <w:color w:val="auto"/>
                <w:highlight w:val="none"/>
              </w:rPr>
              <w:t>采购清单中未明确的，</w:t>
            </w:r>
            <w:r>
              <w:rPr>
                <w:rFonts w:hint="eastAsia"/>
                <w:b/>
                <w:bCs/>
                <w:color w:val="auto"/>
                <w:highlight w:val="none"/>
              </w:rPr>
              <w:t>质保期为自验收合格之日起1年；</w:t>
            </w:r>
            <w:r>
              <w:rPr>
                <w:rFonts w:hint="eastAsia"/>
                <w:bCs w:val="0"/>
                <w:color w:val="auto"/>
                <w:highlight w:val="none"/>
              </w:rPr>
              <w:t>采购清单中明确的，质保期按采购清单执行。</w:t>
            </w:r>
          </w:p>
        </w:tc>
      </w:tr>
    </w:tbl>
    <w:p>
      <w:pPr>
        <w:adjustRightInd w:val="0"/>
        <w:snapToGrid w:val="0"/>
        <w:spacing w:line="360" w:lineRule="auto"/>
        <w:ind w:firstLine="482"/>
        <w:outlineLvl w:val="1"/>
        <w:rPr>
          <w:rFonts w:hint="eastAsia" w:ascii="宋体" w:hAnsi="宋体" w:eastAsia="宋体"/>
          <w:b/>
          <w:color w:val="auto"/>
          <w:szCs w:val="21"/>
          <w:highlight w:val="none"/>
          <w:lang w:eastAsia="zh-CN"/>
        </w:rPr>
      </w:pPr>
      <w:bookmarkStart w:id="6" w:name="_Toc1715351726"/>
      <w:bookmarkStart w:id="7" w:name="_Toc626387511"/>
      <w:bookmarkStart w:id="8" w:name="_Toc1191965283_WPSOffice_Level2"/>
      <w:bookmarkStart w:id="9" w:name="_Toc369119811"/>
      <w:bookmarkStart w:id="10" w:name="_Toc13925"/>
      <w:bookmarkStart w:id="11" w:name="_Toc58935147"/>
      <w:bookmarkStart w:id="12" w:name="_Toc302804901"/>
      <w:bookmarkStart w:id="13" w:name="_Toc717369146"/>
      <w:bookmarkStart w:id="14" w:name="_Toc1693477008"/>
      <w:r>
        <w:rPr>
          <w:rFonts w:hint="eastAsia" w:ascii="宋体" w:hAnsi="宋体" w:eastAsia="宋体"/>
          <w:b/>
          <w:color w:val="auto"/>
          <w:szCs w:val="21"/>
          <w:highlight w:val="none"/>
        </w:rPr>
        <w:t>二、</w:t>
      </w:r>
      <w:bookmarkEnd w:id="6"/>
      <w:bookmarkEnd w:id="7"/>
      <w:bookmarkEnd w:id="8"/>
      <w:bookmarkEnd w:id="9"/>
      <w:bookmarkEnd w:id="10"/>
      <w:bookmarkEnd w:id="11"/>
      <w:bookmarkEnd w:id="12"/>
      <w:bookmarkEnd w:id="13"/>
      <w:bookmarkEnd w:id="14"/>
      <w:bookmarkStart w:id="15" w:name="_Toc7421"/>
      <w:bookmarkStart w:id="16" w:name="_Toc4843"/>
      <w:r>
        <w:rPr>
          <w:rFonts w:hint="eastAsia" w:ascii="宋体" w:hAnsi="宋体" w:eastAsia="宋体"/>
          <w:b/>
          <w:color w:val="auto"/>
          <w:szCs w:val="21"/>
          <w:highlight w:val="none"/>
        </w:rPr>
        <w:t>货物需求</w:t>
      </w:r>
      <w:r>
        <w:rPr>
          <w:rFonts w:hint="eastAsia" w:ascii="宋体" w:hAnsi="宋体" w:eastAsia="宋体"/>
          <w:b/>
          <w:color w:val="auto"/>
          <w:szCs w:val="21"/>
          <w:highlight w:val="none"/>
          <w:lang w:eastAsia="zh-CN"/>
        </w:rPr>
        <w:t>（</w:t>
      </w:r>
      <w:r>
        <w:rPr>
          <w:rFonts w:hint="eastAsia" w:ascii="宋体" w:hAnsi="宋体" w:eastAsia="宋体"/>
          <w:b/>
          <w:color w:val="auto"/>
          <w:szCs w:val="21"/>
          <w:highlight w:val="none"/>
          <w:lang w:val="en-US" w:eastAsia="zh-CN"/>
        </w:rPr>
        <w:t>适用于包2</w:t>
      </w:r>
      <w:r>
        <w:rPr>
          <w:rFonts w:hint="eastAsia" w:ascii="宋体" w:hAnsi="宋体" w:eastAsia="宋体"/>
          <w:b/>
          <w:color w:val="auto"/>
          <w:szCs w:val="21"/>
          <w:highlight w:val="none"/>
          <w:lang w:eastAsia="zh-CN"/>
        </w:rPr>
        <w:t>）</w:t>
      </w: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标识类型</w:t>
            </w:r>
          </w:p>
        </w:tc>
        <w:tc>
          <w:tcPr>
            <w:tcW w:w="1365"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w:t>
            </w:r>
          </w:p>
        </w:tc>
        <w:tc>
          <w:tcPr>
            <w:tcW w:w="5363" w:type="dxa"/>
            <w:noWrap w:val="0"/>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标识符号含义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重要指标项</w:t>
            </w:r>
          </w:p>
        </w:tc>
        <w:tc>
          <w:tcPr>
            <w:tcW w:w="1365" w:type="dxa"/>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无标识项</w:t>
            </w:r>
          </w:p>
        </w:tc>
        <w:tc>
          <w:tcPr>
            <w:tcW w:w="1365" w:type="dxa"/>
            <w:noWrap w:val="0"/>
            <w:vAlign w:val="center"/>
          </w:tcPr>
          <w:p>
            <w:pPr>
              <w:spacing w:line="360" w:lineRule="auto"/>
              <w:jc w:val="center"/>
              <w:rPr>
                <w:rFonts w:hint="eastAsia" w:ascii="宋体" w:hAnsi="宋体" w:eastAsia="宋体" w:cs="宋体"/>
                <w:color w:val="auto"/>
                <w:szCs w:val="21"/>
                <w:highlight w:val="none"/>
              </w:rPr>
            </w:pPr>
          </w:p>
        </w:tc>
        <w:tc>
          <w:tcPr>
            <w:tcW w:w="5363"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五项以上（不含）负偏离或未响应的，投标无效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标识条款中如包含多条子项技术参数或要求，则需满足或优于该标识条款内所有子项技术参数或要求方能得分。</w:t>
            </w:r>
          </w:p>
        </w:tc>
      </w:tr>
    </w:tbl>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p>
    <w:p>
      <w:pPr>
        <w:widowControl/>
        <w:adjustRightInd w:val="0"/>
        <w:snapToGrid w:val="0"/>
        <w:spacing w:line="360" w:lineRule="auto"/>
        <w:ind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2、采购清单</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（1）下述技术参数所涉及的具体物理尺寸</w:t>
      </w:r>
      <w:r>
        <w:rPr>
          <w:rFonts w:hint="eastAsia" w:ascii="宋体" w:hAnsi="宋体" w:eastAsia="宋体" w:cs="宋体"/>
          <w:color w:val="auto"/>
          <w:szCs w:val="21"/>
          <w:highlight w:val="none"/>
        </w:rPr>
        <w:t>的已明确偏离范围的按要求执行，未明确偏离范围的允许±5%偏离。</w:t>
      </w:r>
    </w:p>
    <w:p>
      <w:pPr>
        <w:widowControl/>
        <w:topLinePunct/>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（2）技术规格书：</w:t>
      </w:r>
    </w:p>
    <w:tbl>
      <w:tblPr>
        <w:tblStyle w:val="4"/>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690"/>
        <w:gridCol w:w="5409"/>
        <w:gridCol w:w="555"/>
        <w:gridCol w:w="510"/>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序号</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货物名称</w:t>
            </w:r>
          </w:p>
        </w:tc>
        <w:tc>
          <w:tcPr>
            <w:tcW w:w="5409"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最低技术参数</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单位</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数量</w:t>
            </w:r>
          </w:p>
        </w:tc>
        <w:tc>
          <w:tcPr>
            <w:tcW w:w="684"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1"/>
                <w:szCs w:val="21"/>
                <w:lang w:bidi="ar"/>
              </w:rPr>
            </w:pPr>
            <w:r>
              <w:rPr>
                <w:rFonts w:hint="eastAsia" w:asciiTheme="minorEastAsia" w:hAnsiTheme="minorEastAsia" w:eastAsiaTheme="minorEastAsia" w:cstheme="minorEastAsia"/>
                <w:b/>
                <w:sz w:val="21"/>
                <w:szCs w:val="21"/>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719" w:type="dxa"/>
            <w:gridSpan w:val="5"/>
            <w:tcBorders>
              <w:tl2br w:val="nil"/>
              <w:tr2bl w:val="nil"/>
            </w:tcBorders>
            <w:shd w:val="clear" w:color="auto" w:fill="auto"/>
            <w:vAlign w:val="center"/>
          </w:tcPr>
          <w:p>
            <w:pPr>
              <w:widowControl/>
              <w:jc w:val="both"/>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一、前端部分</w:t>
            </w:r>
          </w:p>
        </w:tc>
        <w:tc>
          <w:tcPr>
            <w:tcW w:w="684" w:type="dxa"/>
            <w:tcBorders>
              <w:tl2br w:val="nil"/>
              <w:tr2bl w:val="nil"/>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室外枪式摄像机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1、具有不低于400万像素,</w:t>
            </w:r>
            <w:bookmarkStart w:id="17" w:name="OLE_LINK3"/>
            <w:bookmarkStart w:id="18" w:name="OLE_LINK4"/>
            <w:r>
              <w:rPr>
                <w:rFonts w:hint="eastAsia" w:asciiTheme="minorEastAsia" w:hAnsiTheme="minorEastAsia" w:eastAsiaTheme="minorEastAsia" w:cstheme="minorEastAsia"/>
                <w:color w:val="000000"/>
                <w:kern w:val="0"/>
                <w:sz w:val="21"/>
                <w:szCs w:val="21"/>
                <w:lang w:bidi="ar"/>
              </w:rPr>
              <w:t>CMOS传感器</w:t>
            </w:r>
            <w:bookmarkEnd w:id="17"/>
            <w:bookmarkEnd w:id="18"/>
            <w:r>
              <w:rPr>
                <w:rFonts w:hint="eastAsia" w:asciiTheme="minorEastAsia" w:hAnsiTheme="minorEastAsia" w:eastAsiaTheme="minorEastAsia" w:cstheme="minorEastAsia"/>
                <w:color w:val="000000"/>
                <w:kern w:val="0"/>
                <w:sz w:val="21"/>
                <w:szCs w:val="21"/>
                <w:lang w:bidi="ar"/>
              </w:rPr>
              <w:t>。具有不</w:t>
            </w:r>
            <w:r>
              <w:rPr>
                <w:rFonts w:hint="eastAsia" w:asciiTheme="minorEastAsia" w:hAnsiTheme="minorEastAsia" w:eastAsiaTheme="minorEastAsia" w:cstheme="minorEastAsia"/>
                <w:color w:val="000000"/>
                <w:kern w:val="0"/>
                <w:sz w:val="21"/>
                <w:szCs w:val="21"/>
                <w:lang w:val="en-US" w:eastAsia="zh-CN" w:bidi="ar"/>
              </w:rPr>
              <w:t>低</w:t>
            </w:r>
            <w:r>
              <w:rPr>
                <w:rFonts w:hint="eastAsia" w:asciiTheme="minorEastAsia" w:hAnsiTheme="minorEastAsia" w:eastAsiaTheme="minorEastAsia" w:cstheme="minorEastAsia"/>
                <w:color w:val="000000"/>
                <w:kern w:val="0"/>
                <w:sz w:val="21"/>
                <w:szCs w:val="21"/>
                <w:lang w:bidi="ar"/>
              </w:rPr>
              <w:t>于1/1.8英寸靶面尺寸，最低照度彩色：0.0005lx；</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2、最高分辨率不低于2560×1920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3、智能侦测：支持越界侦测、区域入侵侦测；</w:t>
            </w:r>
          </w:p>
          <w:p>
            <w:pPr>
              <w:rPr>
                <w:rFonts w:hint="eastAsia" w:asciiTheme="minorEastAsia" w:hAnsiTheme="minorEastAsia" w:eastAsiaTheme="minorEastAsia" w:cstheme="minorEastAsia"/>
                <w:color w:val="000000"/>
                <w:kern w:val="0"/>
                <w:sz w:val="21"/>
                <w:szCs w:val="21"/>
                <w:lang w:val="en-US" w:bidi="ar"/>
              </w:rPr>
            </w:pPr>
            <w:r>
              <w:rPr>
                <w:rFonts w:hint="eastAsia" w:asciiTheme="minorEastAsia" w:hAnsiTheme="minorEastAsia" w:eastAsiaTheme="minorEastAsia" w:cstheme="minorEastAsia"/>
                <w:color w:val="000000"/>
                <w:kern w:val="0"/>
                <w:sz w:val="21"/>
                <w:szCs w:val="21"/>
                <w:lang w:bidi="ar"/>
              </w:rPr>
              <w:t>4、支持双码流技术，主码流最高不低于2560×</w:t>
            </w:r>
            <w:r>
              <w:rPr>
                <w:rFonts w:hint="eastAsia" w:asciiTheme="minorEastAsia" w:hAnsiTheme="minorEastAsia" w:eastAsiaTheme="minorEastAsia" w:cstheme="minorEastAsia"/>
                <w:color w:val="000000"/>
                <w:kern w:val="0"/>
                <w:sz w:val="21"/>
                <w:szCs w:val="21"/>
                <w:lang w:val="en-US" w:eastAsia="zh-CN" w:bidi="ar"/>
              </w:rPr>
              <w:t>1440</w:t>
            </w:r>
            <w:r>
              <w:rPr>
                <w:rFonts w:hint="eastAsia" w:asciiTheme="minorEastAsia" w:hAnsiTheme="minorEastAsia" w:eastAsiaTheme="minorEastAsia" w:cstheme="minorEastAsia"/>
                <w:color w:val="000000"/>
                <w:kern w:val="0"/>
                <w:sz w:val="21"/>
                <w:szCs w:val="21"/>
                <w:lang w:bidi="ar"/>
              </w:rPr>
              <w:t>，子码流不低于</w:t>
            </w:r>
            <w:r>
              <w:rPr>
                <w:rFonts w:hint="eastAsia" w:asciiTheme="minorEastAsia" w:hAnsiTheme="minorEastAsia" w:eastAsiaTheme="minorEastAsia" w:cstheme="minorEastAsia"/>
                <w:color w:val="000000"/>
                <w:kern w:val="0"/>
                <w:sz w:val="21"/>
                <w:szCs w:val="21"/>
                <w:lang w:val="en-US" w:eastAsia="zh-CN" w:bidi="ar"/>
              </w:rPr>
              <w:t>680</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val="en-US" w:eastAsia="zh-CN" w:bidi="ar"/>
              </w:rPr>
              <w:t>640；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5、支持背光补偿，强光抑制，3D数字降噪，宽动态；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6、内置麦克风；</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7、支持白光/红外双补光，红外光最远不低于50m，白光最远不低于30m；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8、不低于IP67防尘防水；</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■9、补光灯灯杯采用双层透镜结构，外表平面为柔光层，具有六边形阵列纹路；下层束光层为鳞甲TIR透镜，内壁具有鳞甲阵列纹路</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■10、要求具有日夜场景自适应功能，在白天和夜晚环境下，样机均可输出彩色图像，在夜晚自动开启补光灯条件下，夜晚图像清晰度应不低于白天图像清晰度的95%</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室外球式摄像机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1、不低于400万像素球式网络摄像机，主码流支持不低于2560*1440；</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2、传感器类型：不小于1/2.8英寸CMOS</w:t>
            </w:r>
            <w:r>
              <w:rPr>
                <w:rFonts w:hint="eastAsia" w:asciiTheme="minorEastAsia" w:hAnsiTheme="minorEastAsia" w:eastAsiaTheme="minorEastAsia" w:cstheme="minorEastAsia"/>
                <w:color w:val="000000"/>
                <w:kern w:val="0"/>
                <w:sz w:val="21"/>
                <w:szCs w:val="21"/>
                <w:lang w:eastAsia="zh-CN" w:bidi="ar"/>
              </w:rPr>
              <w:t>，支持</w:t>
            </w:r>
            <w:r>
              <w:rPr>
                <w:rFonts w:hint="eastAsia" w:asciiTheme="minorEastAsia" w:hAnsiTheme="minorEastAsia" w:eastAsiaTheme="minorEastAsia" w:cstheme="minorEastAsia"/>
                <w:color w:val="000000"/>
                <w:kern w:val="0"/>
                <w:sz w:val="21"/>
                <w:szCs w:val="21"/>
                <w:lang w:val="en-US" w:eastAsia="zh-CN" w:bidi="ar"/>
              </w:rPr>
              <w:t>不低于</w:t>
            </w:r>
            <w:r>
              <w:rPr>
                <w:rFonts w:hint="eastAsia" w:asciiTheme="minorEastAsia" w:hAnsiTheme="minorEastAsia" w:eastAsiaTheme="minorEastAsia" w:cstheme="minorEastAsia"/>
                <w:color w:val="000000"/>
                <w:kern w:val="0"/>
                <w:sz w:val="21"/>
                <w:szCs w:val="21"/>
                <w:lang w:eastAsia="zh-CN" w:bidi="ar"/>
              </w:rPr>
              <w:t>2</w:t>
            </w:r>
            <w:r>
              <w:rPr>
                <w:rFonts w:hint="eastAsia" w:asciiTheme="minorEastAsia" w:hAnsiTheme="minorEastAsia" w:eastAsiaTheme="minorEastAsia" w:cstheme="minorEastAsia"/>
                <w:color w:val="000000"/>
                <w:kern w:val="0"/>
                <w:sz w:val="21"/>
                <w:szCs w:val="21"/>
                <w:lang w:val="en-US" w:eastAsia="zh-CN" w:bidi="ar"/>
              </w:rPr>
              <w:t>5</w:t>
            </w:r>
            <w:r>
              <w:rPr>
                <w:rFonts w:hint="eastAsia" w:asciiTheme="minorEastAsia" w:hAnsiTheme="minorEastAsia" w:eastAsiaTheme="minorEastAsia" w:cstheme="minorEastAsia"/>
                <w:color w:val="000000"/>
                <w:kern w:val="0"/>
                <w:sz w:val="21"/>
                <w:szCs w:val="21"/>
                <w:lang w:eastAsia="zh-CN" w:bidi="ar"/>
              </w:rPr>
              <w:t>倍变焦，最大焦距≥110mm</w:t>
            </w:r>
            <w:r>
              <w:rPr>
                <w:rFonts w:hint="eastAsia" w:asciiTheme="minorEastAsia" w:hAnsiTheme="minorEastAsia" w:eastAsiaTheme="minorEastAsia" w:cstheme="minorEastAsia"/>
                <w:color w:val="000000"/>
                <w:kern w:val="0"/>
                <w:sz w:val="21"/>
                <w:szCs w:val="21"/>
                <w:lang w:bidi="ar"/>
              </w:rPr>
              <w:t>；</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3、支持背光补偿，3D数字降噪；</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4、支持白光/红外双补光，最大补光距离：白光不低于30m；红外不低于30m；</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5、支持移动侦测，声音报警；</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6、支持图像饱和度，亮度，对比度，锐度可调；</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7、内置麦克风和扬声器，支持双向语音对讲；</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8、支持SD卡存储；</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9、支持12VDC供电及PoE供电；</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10、不低于IP66防尘防水；</w:t>
            </w:r>
          </w:p>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11、工作温度和湿度：至少满足-30℃~60℃，湿度小于95%(无凝结)。</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摄像机电源</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AC12V电源</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摄像机支架</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定制</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只</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室外摄像机立杆</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4米立杆（含地笼）</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接入交换机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5口10/100/1000M自适应千兆非管理型交换机</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接入交换机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8口10/100/1000M自适应千兆二层管理型交换机</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接入交换机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24口10/100/1000M自适应千兆二层管理型交换机</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光纤收发器</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单模单纤，1个千兆SC光口，1个千兆RJ45网口</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4芯熔纤盒</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含耦合器</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23</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8芯熔纤盒</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含耦合器</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光纤熔接</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光纤熔接</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芯</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光纤尾纤</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1米SC光纤跳线国标</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132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光纤跳线</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3米SC光纤跳线国标</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36</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15</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室外线路汇聚箱</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bookmarkStart w:id="19" w:name="OLE_LINK5"/>
            <w:bookmarkStart w:id="20" w:name="OLE_LINK6"/>
            <w:r>
              <w:rPr>
                <w:rFonts w:hint="eastAsia" w:asciiTheme="minorEastAsia" w:hAnsiTheme="minorEastAsia" w:eastAsiaTheme="minorEastAsia" w:cstheme="minorEastAsia"/>
                <w:color w:val="000000"/>
                <w:kern w:val="0"/>
                <w:sz w:val="21"/>
                <w:szCs w:val="21"/>
                <w:lang w:bidi="ar"/>
              </w:rPr>
              <w:t>箱体尺寸：</w:t>
            </w:r>
            <w:bookmarkEnd w:id="19"/>
            <w:bookmarkEnd w:id="20"/>
            <w:r>
              <w:rPr>
                <w:rFonts w:hint="eastAsia" w:asciiTheme="minorEastAsia" w:hAnsiTheme="minorEastAsia" w:eastAsiaTheme="minorEastAsia" w:cstheme="minorEastAsia"/>
                <w:color w:val="000000"/>
                <w:kern w:val="0"/>
                <w:sz w:val="21"/>
                <w:szCs w:val="21"/>
                <w:lang w:bidi="ar"/>
              </w:rPr>
              <w:t>500×600×300mm，不锈钢（含防雷排插及漏保开关）。</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16</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室内监控汇集箱</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箱体尺寸：400×500×200mm，不锈钢（含防雷排插）。</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17</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监控立杆箱</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箱体尺寸：400×500×200mm，不锈钢（含防雷排插）。</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14</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18</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光纤端口其他辅材</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法兰等其它终端所需要辅材</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719" w:type="dxa"/>
            <w:gridSpan w:val="5"/>
            <w:tcBorders>
              <w:tl2br w:val="nil"/>
              <w:tr2bl w:val="nil"/>
            </w:tcBorders>
            <w:shd w:val="clear" w:color="auto" w:fill="auto"/>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二、线缆管材部分</w:t>
            </w:r>
          </w:p>
        </w:tc>
        <w:tc>
          <w:tcPr>
            <w:tcW w:w="684" w:type="dxa"/>
            <w:tcBorders>
              <w:tl2br w:val="nil"/>
              <w:tr2bl w:val="nil"/>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信号线</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不低于国标超五类UTP5E无氧铜（供货前提供第三方机构出具的带有CMA标识的检测报告）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2200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未端分支电缆国标无氧铜RVV2×1.0（供货前提供第三方机构出具的带有CMA标识的检测报告）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电源线</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二级分支电缆国标无氧铜RVV2×2.5（供货前提供第三方机构出具的带有CMA标识的检测报告）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660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主电源电缆线</w:t>
            </w:r>
          </w:p>
        </w:tc>
        <w:tc>
          <w:tcPr>
            <w:tcW w:w="5409" w:type="dxa"/>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主电缆，国标</w:t>
            </w:r>
            <w:r>
              <w:rPr>
                <w:rFonts w:hint="eastAsia" w:asciiTheme="minorEastAsia" w:hAnsiTheme="minorEastAsia" w:eastAsiaTheme="minorEastAsia" w:cstheme="minorEastAsia"/>
                <w:color w:val="000000"/>
                <w:kern w:val="0"/>
                <w:sz w:val="21"/>
                <w:szCs w:val="21"/>
              </w:rPr>
              <w:t>3芯ZC-</w:t>
            </w:r>
            <w:r>
              <w:rPr>
                <w:rFonts w:hint="eastAsia" w:asciiTheme="minorEastAsia" w:hAnsiTheme="minorEastAsia" w:eastAsiaTheme="minorEastAsia" w:cstheme="minorEastAsia"/>
                <w:color w:val="000000"/>
                <w:kern w:val="0"/>
                <w:sz w:val="21"/>
                <w:szCs w:val="21"/>
                <w:lang w:bidi="ar"/>
              </w:rPr>
              <w:t>YJV3×4电缆（供货前提供第三方机构出具的带有CMA标识的检测报告）。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640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四芯单模光纤</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国标4芯单模（供货前提供第三方机构出具的带有CMA标识的检测报告）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2800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八芯单模光纤</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国标8芯单模（供货前提供第三方机构出具的带有CMA标识的检测报告）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PE线管</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1、</w:t>
            </w:r>
            <w:r>
              <w:rPr>
                <w:rFonts w:hint="eastAsia" w:asciiTheme="minorEastAsia" w:hAnsiTheme="minorEastAsia" w:eastAsiaTheme="minorEastAsia" w:cstheme="minorEastAsia"/>
                <w:color w:val="000000"/>
                <w:kern w:val="0"/>
                <w:sz w:val="21"/>
                <w:szCs w:val="21"/>
                <w:lang w:bidi="ar"/>
              </w:rPr>
              <w:t>园区埋设光缆及电缆线管，黑色32PE线管国标</w:t>
            </w:r>
            <w:r>
              <w:rPr>
                <w:rFonts w:hint="eastAsia" w:asciiTheme="minorEastAsia" w:hAnsiTheme="minorEastAsia" w:eastAsiaTheme="minorEastAsia" w:cstheme="minorEastAsia"/>
                <w:color w:val="000000"/>
                <w:kern w:val="0"/>
                <w:sz w:val="21"/>
                <w:szCs w:val="21"/>
                <w:lang w:eastAsia="zh-CN" w:bidi="ar"/>
              </w:rPr>
              <w:t>，</w:t>
            </w:r>
            <w:r>
              <w:rPr>
                <w:rFonts w:hint="eastAsia" w:asciiTheme="minorEastAsia" w:hAnsiTheme="minorEastAsia" w:eastAsiaTheme="minorEastAsia" w:cstheme="minorEastAsia"/>
                <w:color w:val="000000"/>
                <w:kern w:val="0"/>
                <w:sz w:val="21"/>
                <w:szCs w:val="21"/>
                <w:lang w:bidi="ar"/>
              </w:rPr>
              <w:t>（供货前提供第三方机构出具的带有CMA标识的检测报告）</w:t>
            </w:r>
            <w:r>
              <w:rPr>
                <w:rFonts w:hint="eastAsia" w:asciiTheme="minorEastAsia" w:hAnsiTheme="minorEastAsia" w:eastAsiaTheme="minorEastAsia" w:cstheme="minorEastAsia"/>
                <w:color w:val="000000"/>
                <w:kern w:val="0"/>
                <w:sz w:val="21"/>
                <w:szCs w:val="21"/>
                <w:lang w:eastAsia="zh-CN" w:bidi="ar"/>
              </w:rPr>
              <w:t>；</w:t>
            </w:r>
          </w:p>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w:t>
            </w:r>
            <w:r>
              <w:rPr>
                <w:rFonts w:hint="eastAsia" w:ascii="Times New Roman" w:eastAsia="宋体"/>
                <w:lang w:val="en-US" w:eastAsia="zh-CN"/>
              </w:rPr>
              <w:t>管线埋深要求不低于70cm</w:t>
            </w:r>
            <w:r>
              <w:rPr>
                <w:rFonts w:hint="eastAsia" w:asciiTheme="minorEastAsia" w:hAnsiTheme="minorEastAsia" w:eastAsiaTheme="minorEastAsia" w:cstheme="minorEastAsia"/>
                <w:color w:val="000000"/>
                <w:kern w:val="0"/>
                <w:sz w:val="21"/>
                <w:szCs w:val="21"/>
                <w:lang w:bidi="ar"/>
              </w:rPr>
              <w:t>。</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PE线管</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val="en-US" w:eastAsia="zh-CN" w:bidi="ar"/>
              </w:rPr>
              <w:t>1、</w:t>
            </w:r>
            <w:r>
              <w:rPr>
                <w:rFonts w:hint="eastAsia" w:asciiTheme="minorEastAsia" w:hAnsiTheme="minorEastAsia" w:eastAsiaTheme="minorEastAsia" w:cstheme="minorEastAsia"/>
                <w:color w:val="000000"/>
                <w:kern w:val="0"/>
                <w:sz w:val="21"/>
                <w:szCs w:val="21"/>
                <w:lang w:bidi="ar"/>
              </w:rPr>
              <w:t>园区埋设光缆及电缆线管，黑色25PE线管国标（供货前提供第三方机构出具的带有CMA标识的检测报告）</w:t>
            </w:r>
            <w:r>
              <w:rPr>
                <w:rFonts w:hint="eastAsia" w:asciiTheme="minorEastAsia" w:hAnsiTheme="minorEastAsia" w:eastAsiaTheme="minorEastAsia" w:cstheme="minorEastAsia"/>
                <w:color w:val="000000"/>
                <w:kern w:val="0"/>
                <w:sz w:val="21"/>
                <w:szCs w:val="21"/>
                <w:lang w:eastAsia="zh-CN" w:bidi="ar"/>
              </w:rPr>
              <w:t>；</w:t>
            </w:r>
          </w:p>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w:t>
            </w:r>
            <w:r>
              <w:rPr>
                <w:rFonts w:hint="eastAsia" w:ascii="Times New Roman" w:eastAsia="宋体"/>
                <w:lang w:val="en-US" w:eastAsia="zh-CN"/>
              </w:rPr>
              <w:t>管线埋深要求不低于70cm</w:t>
            </w:r>
            <w:r>
              <w:rPr>
                <w:rFonts w:hint="eastAsia" w:asciiTheme="minorEastAsia" w:hAnsiTheme="minorEastAsia" w:eastAsiaTheme="minorEastAsia" w:cstheme="minorEastAsia"/>
                <w:color w:val="000000"/>
                <w:kern w:val="0"/>
                <w:sz w:val="21"/>
                <w:szCs w:val="21"/>
                <w:lang w:bidi="ar"/>
              </w:rPr>
              <w:t>。</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2500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PVC线管</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20PVC线管国标（供货前提供第三方机构出具的带有CMA标识的检测报告）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540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金属线管</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25KBG镀锌金属线管国标（供货前提供第三方机构出具的带有CMA标识的检测报告）</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760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金属线管辅材</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KBG镀锌线管弯头、接头、卡箍等、膨胀管辅材。</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管线布线接线辅材</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扎带，接头，水晶头，波纹软管，电工胶带，抱箍等。</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690"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5409" w:type="dxa"/>
            <w:tcBorders>
              <w:tl2br w:val="nil"/>
              <w:tr2bl w:val="nil"/>
            </w:tcBorders>
            <w:shd w:val="clear" w:color="auto" w:fill="auto"/>
            <w:vAlign w:val="center"/>
          </w:tcPr>
          <w:p>
            <w:pPr>
              <w:rPr>
                <w:rFonts w:hint="eastAsia" w:asciiTheme="minorEastAsia" w:hAnsiTheme="minorEastAsia" w:eastAsiaTheme="minorEastAsia" w:cstheme="minorEastAsia"/>
                <w:color w:val="000000"/>
                <w:sz w:val="21"/>
                <w:szCs w:val="21"/>
              </w:rPr>
            </w:pPr>
          </w:p>
        </w:tc>
        <w:tc>
          <w:tcPr>
            <w:tcW w:w="555"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510"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21"/>
                <w:szCs w:val="21"/>
              </w:rPr>
            </w:pP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719" w:type="dxa"/>
            <w:gridSpan w:val="5"/>
            <w:tcBorders>
              <w:tl2br w:val="nil"/>
              <w:tr2bl w:val="nil"/>
            </w:tcBorders>
            <w:shd w:val="clear" w:color="auto" w:fill="auto"/>
            <w:vAlign w:val="center"/>
          </w:tcPr>
          <w:p>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三、机房控制部分</w:t>
            </w:r>
          </w:p>
        </w:tc>
        <w:tc>
          <w:tcPr>
            <w:tcW w:w="684" w:type="dxa"/>
            <w:tcBorders>
              <w:tl2br w:val="nil"/>
              <w:tr2bl w:val="nil"/>
            </w:tcBorders>
            <w:shd w:val="clear" w:color="auto" w:fill="auto"/>
            <w:noWrap/>
            <w:vAlign w:val="center"/>
          </w:tcPr>
          <w:p>
            <w:pPr>
              <w:jc w:val="center"/>
              <w:rPr>
                <w:rFonts w:hint="eastAsia" w:asciiTheme="minorEastAsia" w:hAnsiTheme="minorEastAsia" w:eastAsiaTheme="minorEastAsia" w:cstheme="minorEastAsia"/>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硬盘录像机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1、具有</w:t>
            </w:r>
            <w:bookmarkStart w:id="21" w:name="OLE_LINK7"/>
            <w:bookmarkStart w:id="22" w:name="OLE_LINK8"/>
            <w:r>
              <w:rPr>
                <w:rFonts w:hint="eastAsia" w:asciiTheme="minorEastAsia" w:hAnsiTheme="minorEastAsia" w:eastAsiaTheme="minorEastAsia" w:cstheme="minorEastAsia"/>
                <w:color w:val="000000"/>
                <w:kern w:val="0"/>
                <w:sz w:val="21"/>
                <w:szCs w:val="21"/>
                <w:lang w:bidi="ar"/>
              </w:rPr>
              <w:t>不少于</w:t>
            </w:r>
            <w:bookmarkEnd w:id="21"/>
            <w:bookmarkEnd w:id="22"/>
            <w:r>
              <w:rPr>
                <w:rFonts w:hint="eastAsia" w:asciiTheme="minorEastAsia" w:hAnsiTheme="minorEastAsia" w:eastAsiaTheme="minorEastAsia" w:cstheme="minorEastAsia"/>
                <w:color w:val="000000"/>
                <w:kern w:val="0"/>
                <w:sz w:val="21"/>
                <w:szCs w:val="21"/>
                <w:lang w:bidi="ar"/>
              </w:rPr>
              <w:t>2个HDMI接口、不少于2个VGA接口、不少于2个RJ45千兆网络接口；不少于2个USB2.0接口和2个USB3.0接口、不少于1个RS232接口、不少于1个RS485接口（可接入RS485键盘）、不少于1个eSata接口；具有不少于1路音频输入接口、不少于2路音频输出接口、不少于16路报警输入接口、不少于8路报警输出接口、具有不少于1路直流12V输出接口（12V 1A）、可内置不少于9块SATA硬盘接口；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2、HDMI1和HDMI2支持最大单路</w:t>
            </w:r>
            <w:bookmarkStart w:id="23" w:name="OLE_LINK10"/>
            <w:bookmarkStart w:id="24" w:name="OLE_LINK9"/>
            <w:r>
              <w:rPr>
                <w:rFonts w:hint="eastAsia" w:asciiTheme="minorEastAsia" w:hAnsiTheme="minorEastAsia" w:eastAsiaTheme="minorEastAsia" w:cstheme="minorEastAsia"/>
                <w:color w:val="000000"/>
                <w:kern w:val="0"/>
                <w:sz w:val="21"/>
                <w:szCs w:val="21"/>
                <w:lang w:bidi="ar"/>
              </w:rPr>
              <w:t>不低于</w:t>
            </w:r>
            <w:bookmarkEnd w:id="23"/>
            <w:bookmarkEnd w:id="24"/>
            <w:r>
              <w:rPr>
                <w:rFonts w:hint="eastAsia" w:asciiTheme="minorEastAsia" w:hAnsiTheme="minorEastAsia" w:eastAsiaTheme="minorEastAsia" w:cstheme="minorEastAsia"/>
                <w:color w:val="000000"/>
                <w:kern w:val="0"/>
                <w:sz w:val="21"/>
                <w:szCs w:val="21"/>
                <w:lang w:bidi="ar"/>
              </w:rPr>
              <w:t>8K（7680×4320）和不低于1080P（1920×1080）异源输出；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3、接入能力：不低于64路H.264、H.265格式高清码流接入；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设备支持文搜功能，可通过文字语义描述，快速检索目标对象或内容；支持对人体、车辆、非机动车、物品、动物、基础事件等类型的检索；并可基于文搜快速检索的结果，对目标进行图搜的二次精准检索定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■5、支持独立的文搜应用展示界面，默认支持全通道录像检索，且通道和时间范围可设；支持自定义选择时间范围，可快速选择1天、3天、7天</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6、支持不低于4路视频流人脸识别，支持不低于16路图片流人脸识别；</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kern w:val="0"/>
                <w:sz w:val="21"/>
                <w:szCs w:val="21"/>
                <w:lang w:bidi="ar"/>
              </w:rPr>
              <w:t>7、支持切片回放，支持按月、日、小时维度进行切片展示，按月最大支持不低于30个切片，按日最大支持不低于24个切片，按时最大支持低于60个切片</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8、支持对切片回放片段进行目标检索、备份导出、开启/关闭智能POS信息等操作；</w:t>
            </w:r>
          </w:p>
          <w:p>
            <w:pPr>
              <w:widowControl/>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9、支持对登入IP安全性检测，检测到上一次登录与本次登录的IP地址不在同一个网段时，会提示上一次登录信息（IP和时间）并有日志记录；</w:t>
            </w:r>
          </w:p>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■10、支持查看在线用户信息，包括用户名、用户类型、IP地址和用户最后操作时间等维护信息</w:t>
            </w:r>
            <w:bookmarkStart w:id="25" w:name="OLE_LINK23"/>
            <w:bookmarkStart w:id="26" w:name="OLE_LINK24"/>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bookmarkEnd w:id="25"/>
            <w:bookmarkEnd w:id="26"/>
            <w:r>
              <w:rPr>
                <w:rFonts w:hint="eastAsia" w:asciiTheme="minorEastAsia" w:hAnsiTheme="minorEastAsia" w:eastAsiaTheme="minorEastAsia" w:cstheme="minorEastAsia"/>
                <w:color w:val="000000"/>
                <w:kern w:val="0"/>
                <w:sz w:val="21"/>
                <w:szCs w:val="21"/>
                <w:lang w:bidi="ar"/>
              </w:rPr>
              <w:t>；</w:t>
            </w:r>
          </w:p>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12、支持将搜索内容添加到历史记录，历史检索词条保持最近10条，通过直接点击该高频热词或历史记录可直接进行重复检索。</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监控专用硬盘</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6T</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光纤收发器机架</w:t>
            </w:r>
          </w:p>
        </w:tc>
        <w:tc>
          <w:tcPr>
            <w:tcW w:w="5409" w:type="dxa"/>
            <w:tcBorders>
              <w:tl2br w:val="nil"/>
              <w:tr2bl w:val="nil"/>
            </w:tcBorders>
            <w:shd w:val="clear" w:color="auto" w:fill="auto"/>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标准14位双电源光纤收发器机架</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bookmarkStart w:id="27" w:name="OLE_LINK12"/>
            <w:bookmarkStart w:id="28" w:name="OLE_LINK11"/>
            <w:r>
              <w:rPr>
                <w:rFonts w:hint="eastAsia" w:asciiTheme="minorEastAsia" w:hAnsiTheme="minorEastAsia" w:eastAsiaTheme="minorEastAsia" w:cstheme="minorEastAsia"/>
                <w:sz w:val="21"/>
                <w:szCs w:val="21"/>
              </w:rPr>
              <w:t>▲</w:t>
            </w:r>
            <w:bookmarkEnd w:id="27"/>
            <w:bookmarkEnd w:id="28"/>
            <w:r>
              <w:rPr>
                <w:rFonts w:hint="eastAsia" w:asciiTheme="minorEastAsia" w:hAnsiTheme="minorEastAsia" w:eastAsiaTheme="minorEastAsia" w:cstheme="minorEastAsia"/>
                <w:color w:val="000000"/>
                <w:kern w:val="0"/>
                <w:sz w:val="21"/>
                <w:szCs w:val="21"/>
                <w:lang w:bidi="ar"/>
              </w:rPr>
              <w:t>24口核心交换机</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1、交换容量≥600Gbps/6Tbps，包转发率≥170Mpps/300Mpps；</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2、千兆电口≥24个，万兆SFP+光口≥4个；Console口≥1个；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3、支持MAC地址自动学习，支持源MAC地址过滤，支持接口MAC地址学习个数限制；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4、支持IGMP v1/v2/v3 Snooping，支持STP、RSTP、MSTP协议，支持端口聚合，支持手工和静态LACP，支持静态路由支持DHCP Server；</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5、支持防网关ARP欺骗，支持端口保护、隔离、防止ARP泛洪攻击功能；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■6、支持M-LAG技术，跨设备链路聚合（非堆叠技术实现），要求配对的设备有独立的控制平面</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7、支持DHCP Snooping，支持交换机端口设置为信任端口或非信任端口，非信任端口也可设置白名单响应DHCP报文；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■8、支持以下上线方式：支持二层广播自动发现网管中心平台；支持配置静态IP地址三层发现网管中心平台；支持DHCP Option43方式发现网管中心平台；支持DNS域名发现网管中心平台</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■9、支持通过网管中心平台一键替换“按钮”即可完成故障设备替换</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10、支持终端IP-MAC绑定，当IP-MAC不对应时，可以将终端加入黑名单实现断开终端流量；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11、支持通过在网管中心平台的Web页面对交换机进行可视化管理查看，包括交换机的端口状态及配置、vlan信息；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■12、支持终端类型库，基于指纹自动识别PC、路由器、摄像头设备、无线AP等</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■13.支持在交换机上创建东西向安全策略，实现全网安全风险拦截</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b/>
                <w:bCs/>
                <w:color w:val="000000"/>
                <w:kern w:val="0"/>
                <w:sz w:val="21"/>
                <w:szCs w:val="21"/>
                <w:lang w:eastAsia="zh-CN" w:bidi="ar"/>
              </w:rPr>
              <w:t>投标文件中提供满足参数要求的承诺函，供货前提供产品彩页或第三方机构出具的带有CMA标识的检测报告</w:t>
            </w:r>
            <w:r>
              <w:rPr>
                <w:rFonts w:hint="eastAsia" w:asciiTheme="minorEastAsia" w:hAnsiTheme="minorEastAsia" w:eastAsiaTheme="minorEastAsia" w:cstheme="minorEastAsia"/>
                <w:b/>
                <w:bCs/>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光纤配线架</w:t>
            </w:r>
          </w:p>
        </w:tc>
        <w:tc>
          <w:tcPr>
            <w:tcW w:w="5409" w:type="dxa"/>
            <w:tcBorders>
              <w:tl2br w:val="nil"/>
              <w:tr2bl w:val="nil"/>
            </w:tcBorders>
            <w:shd w:val="clear" w:color="auto" w:fill="auto"/>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标准机架式</w:t>
            </w:r>
            <w:r>
              <w:rPr>
                <w:rFonts w:hint="eastAsia" w:asciiTheme="minorEastAsia" w:hAnsiTheme="minorEastAsia" w:eastAsiaTheme="minorEastAsia" w:cstheme="minorEastAsia"/>
                <w:color w:val="000000"/>
                <w:kern w:val="0"/>
                <w:sz w:val="21"/>
                <w:szCs w:val="21"/>
                <w:lang w:bidi="ar"/>
              </w:rPr>
              <w:t>24芯光纤配线架</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bookmarkStart w:id="29" w:name="OLE_LINK18"/>
            <w:r>
              <w:rPr>
                <w:rFonts w:hint="eastAsia" w:asciiTheme="minorEastAsia" w:hAnsiTheme="minorEastAsia" w:eastAsiaTheme="minorEastAsia" w:cstheme="minorEastAsia"/>
                <w:color w:val="000000"/>
                <w:kern w:val="0"/>
                <w:sz w:val="21"/>
                <w:szCs w:val="21"/>
                <w:lang w:bidi="ar"/>
              </w:rPr>
              <w:t>网络</w:t>
            </w:r>
            <w:bookmarkEnd w:id="29"/>
            <w:r>
              <w:rPr>
                <w:rFonts w:hint="eastAsia" w:asciiTheme="minorEastAsia" w:hAnsiTheme="minorEastAsia" w:eastAsiaTheme="minorEastAsia" w:cstheme="minorEastAsia"/>
                <w:color w:val="000000"/>
                <w:kern w:val="0"/>
                <w:sz w:val="21"/>
                <w:szCs w:val="21"/>
                <w:lang w:bidi="ar"/>
              </w:rPr>
              <w:t>机柜</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标准19寸网络机柜（600×600×2000mm）（含标准8位PDU电源）</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强弱电桥架</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塑钢桥架200×100mm</w:t>
            </w:r>
          </w:p>
        </w:tc>
        <w:tc>
          <w:tcPr>
            <w:tcW w:w="555"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米</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690"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设备房配电柜</w:t>
            </w:r>
          </w:p>
        </w:tc>
        <w:tc>
          <w:tcPr>
            <w:tcW w:w="5409" w:type="dxa"/>
            <w:tcBorders>
              <w:tl2br w:val="nil"/>
              <w:tr2bl w:val="nil"/>
            </w:tcBorders>
            <w:shd w:val="clear" w:color="auto" w:fill="auto"/>
            <w:noWrap/>
            <w:vAlign w:val="center"/>
          </w:tcPr>
          <w:p>
            <w:pPr>
              <w:pStyle w:val="2"/>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1、</w:t>
            </w:r>
            <w:r>
              <w:rPr>
                <w:rFonts w:hint="eastAsia" w:asciiTheme="minorEastAsia" w:hAnsiTheme="minorEastAsia" w:eastAsiaTheme="minorEastAsia" w:cstheme="minorEastAsia"/>
                <w:color w:val="000000"/>
                <w:kern w:val="0"/>
                <w:sz w:val="21"/>
                <w:szCs w:val="21"/>
                <w:lang w:bidi="ar"/>
              </w:rPr>
              <w:t>设备间强电GGD配电柜，含柜体内母线、接地、断路器、DGN多功能仪表、隔离开关、各分部开关及配电柜内各部件组装。</w:t>
            </w:r>
          </w:p>
          <w:p>
            <w:pPr>
              <w:pStyle w:val="2"/>
              <w:rPr>
                <w:rFonts w:hint="eastAsia" w:asciiTheme="minorEastAsia" w:hAnsiTheme="minorEastAsia" w:eastAsiaTheme="minorEastAsia" w:cstheme="minorEastAsia"/>
                <w:color w:val="000000"/>
                <w:kern w:val="0"/>
                <w:sz w:val="21"/>
                <w:szCs w:val="21"/>
                <w:lang w:bidi="ar"/>
              </w:rPr>
            </w:pPr>
            <w:r>
              <w:rPr>
                <w:rFonts w:hint="eastAsia"/>
                <w:lang w:val="en-US" w:eastAsia="zh-CN"/>
              </w:rPr>
              <w:t>2、</w:t>
            </w:r>
            <w:r>
              <w:rPr>
                <w:rFonts w:hint="eastAsia"/>
                <w:lang w:eastAsia="zh-CN"/>
              </w:rPr>
              <w:t>柜体尺寸：</w:t>
            </w:r>
            <w:r>
              <w:rPr>
                <w:rFonts w:hint="eastAsia"/>
                <w:lang w:val="en-US" w:eastAsia="zh-CN"/>
              </w:rPr>
              <w:t>2200*800*600mm。</w:t>
            </w:r>
          </w:p>
        </w:tc>
        <w:tc>
          <w:tcPr>
            <w:tcW w:w="555"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eastAsia="zh-CN" w:bidi="ar"/>
              </w:rPr>
              <w:t>工业级别</w:t>
            </w:r>
            <w:r>
              <w:rPr>
                <w:rFonts w:hint="eastAsia" w:asciiTheme="minorEastAsia" w:hAnsiTheme="minorEastAsia" w:eastAsiaTheme="minorEastAsia" w:cstheme="minorEastAsia"/>
                <w:color w:val="000000"/>
                <w:kern w:val="0"/>
                <w:sz w:val="21"/>
                <w:szCs w:val="21"/>
                <w:lang w:bidi="ar"/>
              </w:rPr>
              <w:t>5G双卡全网通插卡无线路由器</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1、支持双SIM卡槽；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2、支持5G/宽带双连接；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w:t>
            </w:r>
            <w:bookmarkStart w:id="30" w:name="OLE_LINK20"/>
            <w:bookmarkStart w:id="31" w:name="OLE_LINK19"/>
            <w:r>
              <w:rPr>
                <w:rFonts w:hint="eastAsia" w:asciiTheme="minorEastAsia" w:hAnsiTheme="minorEastAsia" w:eastAsiaTheme="minorEastAsia" w:cstheme="minorEastAsia"/>
                <w:color w:val="000000"/>
                <w:kern w:val="0"/>
                <w:sz w:val="21"/>
                <w:szCs w:val="21"/>
                <w:lang w:bidi="ar"/>
              </w:rPr>
              <w:t>不低于</w:t>
            </w:r>
            <w:bookmarkEnd w:id="30"/>
            <w:bookmarkEnd w:id="31"/>
            <w:r>
              <w:rPr>
                <w:rFonts w:hint="eastAsia" w:asciiTheme="minorEastAsia" w:hAnsiTheme="minorEastAsia" w:eastAsiaTheme="minorEastAsia" w:cstheme="minorEastAsia"/>
                <w:color w:val="000000"/>
                <w:kern w:val="0"/>
                <w:sz w:val="21"/>
                <w:szCs w:val="21"/>
                <w:lang w:bidi="ar"/>
              </w:rPr>
              <w:t>1200M 11AC双频无线；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4、不低于1个千兆WAN口，不低于1个千兆LAN口，不低于3个WAN/LAN千兆可变口；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5、支持云展异地组网服务，实现跨区域互联互通；</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6、支持双连接智能负载均衡/冗余备份；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7、支持多WAN口、Web认证、访客网络功能；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8、支持AP管理、IPSec VPN、L2TP VPN、PPTP VPN；</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9、上网行为管理（应用限制、网站过滤、URL过滤、网页安全、访问控制列表；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10、ARP防护、攻击防护、智能带宽控制及连接数限制。</w:t>
            </w:r>
          </w:p>
        </w:tc>
        <w:tc>
          <w:tcPr>
            <w:tcW w:w="555"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719" w:type="dxa"/>
            <w:gridSpan w:val="5"/>
            <w:tcBorders>
              <w:tl2br w:val="nil"/>
              <w:tr2bl w:val="nil"/>
            </w:tcBorders>
            <w:shd w:val="clear" w:color="auto" w:fill="auto"/>
            <w:vAlign w:val="center"/>
          </w:tcPr>
          <w:p>
            <w:pPr>
              <w:widowControl/>
              <w:jc w:val="left"/>
              <w:textAlignment w:val="center"/>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color w:val="000000"/>
                <w:kern w:val="0"/>
                <w:sz w:val="21"/>
                <w:szCs w:val="21"/>
                <w:lang w:bidi="ar"/>
              </w:rPr>
              <w:t>四、</w:t>
            </w:r>
            <w:r>
              <w:rPr>
                <w:rFonts w:hint="eastAsia" w:asciiTheme="minorEastAsia" w:hAnsiTheme="minorEastAsia" w:eastAsiaTheme="minorEastAsia" w:cstheme="minorEastAsia"/>
                <w:b/>
                <w:bCs/>
                <w:color w:val="000000"/>
                <w:kern w:val="0"/>
                <w:sz w:val="21"/>
                <w:szCs w:val="21"/>
                <w:lang w:val="en-US" w:eastAsia="zh-CN" w:bidi="ar"/>
              </w:rPr>
              <w:t>其他</w:t>
            </w:r>
          </w:p>
        </w:tc>
        <w:tc>
          <w:tcPr>
            <w:tcW w:w="684" w:type="dxa"/>
            <w:tcBorders>
              <w:tl2br w:val="nil"/>
              <w:tr2bl w:val="nil"/>
            </w:tcBorders>
            <w:shd w:val="clear" w:color="auto" w:fill="auto"/>
            <w:noWrap/>
            <w:vAlign w:val="center"/>
          </w:tcPr>
          <w:p>
            <w:pPr>
              <w:rPr>
                <w:rFonts w:hint="eastAsia" w:asciiTheme="minorEastAsia" w:hAnsiTheme="minorEastAsia" w:eastAsiaTheme="minorEastAsia" w:cstheme="minorEastAsia"/>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系统集成服务</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棚内外混凝土开槽埋管走线，园区人工穿管布线，接线，所有设备材料运输、安装、调试，机械调运，移动式升降机，机械云梯，脚手架等设备租赁。</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69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基础及线槽施工辅材</w:t>
            </w:r>
          </w:p>
        </w:tc>
        <w:tc>
          <w:tcPr>
            <w:tcW w:w="5409" w:type="dxa"/>
            <w:tcBorders>
              <w:tl2br w:val="nil"/>
              <w:tr2bl w:val="nil"/>
            </w:tcBorders>
            <w:shd w:val="clear" w:color="auto" w:fill="auto"/>
            <w:vAlign w:val="center"/>
          </w:tcPr>
          <w:p>
            <w:pPr>
              <w:widowControl/>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钢筋、砖、水泥、黄沙、石子等。</w:t>
            </w:r>
          </w:p>
        </w:tc>
        <w:tc>
          <w:tcPr>
            <w:tcW w:w="555"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项</w:t>
            </w:r>
          </w:p>
        </w:tc>
        <w:tc>
          <w:tcPr>
            <w:tcW w:w="510"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84" w:type="dxa"/>
            <w:tcBorders>
              <w:tl2br w:val="nil"/>
              <w:tr2bl w:val="nil"/>
            </w:tcBorders>
            <w:shd w:val="clear" w:color="auto" w:fill="auto"/>
            <w:noWrap/>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注：</w:t>
      </w:r>
      <w:r>
        <w:rPr>
          <w:rFonts w:hint="eastAsia" w:ascii="宋体" w:hAnsi="宋体" w:eastAsia="宋体" w:cs="宋体"/>
          <w:color w:val="auto"/>
          <w:szCs w:val="21"/>
          <w:highlight w:val="none"/>
          <w:lang w:eastAsia="zh-CN"/>
        </w:rPr>
        <w:t>园区</w:t>
      </w:r>
      <w:r>
        <w:rPr>
          <w:rFonts w:hint="eastAsia" w:eastAsia="宋体"/>
          <w:color w:val="auto"/>
          <w:szCs w:val="21"/>
          <w:highlight w:val="none"/>
          <w:lang w:eastAsia="zh-CN"/>
        </w:rPr>
        <w:t>监控点位</w:t>
      </w:r>
      <w:r>
        <w:rPr>
          <w:rFonts w:hint="eastAsia" w:ascii="宋体" w:hAnsi="宋体" w:eastAsia="宋体" w:cs="宋体"/>
          <w:color w:val="auto"/>
          <w:szCs w:val="21"/>
          <w:highlight w:val="none"/>
          <w:lang w:eastAsia="zh-CN"/>
        </w:rPr>
        <w:t>分布</w:t>
      </w:r>
      <w:r>
        <w:rPr>
          <w:rFonts w:hint="eastAsia" w:eastAsia="宋体"/>
          <w:color w:val="auto"/>
          <w:szCs w:val="21"/>
          <w:highlight w:val="none"/>
          <w:lang w:eastAsia="zh-CN"/>
        </w:rPr>
        <w:t>平面图详见附件，</w:t>
      </w:r>
      <w:r>
        <w:rPr>
          <w:rFonts w:hint="eastAsia" w:eastAsia="宋体"/>
          <w:color w:val="auto"/>
          <w:szCs w:val="21"/>
          <w:highlight w:val="none"/>
          <w:lang w:val="en-US" w:eastAsia="zh-CN"/>
        </w:rPr>
        <w:t>合同签订后中标人须</w:t>
      </w:r>
      <w:r>
        <w:rPr>
          <w:rFonts w:hint="eastAsia" w:eastAsia="宋体"/>
          <w:color w:val="auto"/>
          <w:szCs w:val="21"/>
          <w:highlight w:val="none"/>
          <w:lang w:eastAsia="zh-CN"/>
        </w:rPr>
        <w:t>根据园区监控点位分布平面图</w:t>
      </w:r>
      <w:r>
        <w:rPr>
          <w:rFonts w:hint="eastAsia" w:eastAsia="宋体"/>
          <w:color w:val="auto"/>
          <w:szCs w:val="21"/>
          <w:highlight w:val="none"/>
          <w:lang w:val="en-US" w:eastAsia="zh-CN"/>
        </w:rPr>
        <w:t>深化</w:t>
      </w:r>
      <w:r>
        <w:rPr>
          <w:rFonts w:hint="eastAsia" w:eastAsia="宋体"/>
          <w:color w:val="auto"/>
          <w:szCs w:val="21"/>
          <w:highlight w:val="none"/>
          <w:lang w:eastAsia="zh-CN"/>
        </w:rPr>
        <w:t>设计并提供园区监控管线走线及汇集节点图和系统图。</w:t>
      </w:r>
    </w:p>
    <w:bookmarkEnd w:id="15"/>
    <w:bookmarkEnd w:id="16"/>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三、其他要求</w:t>
      </w:r>
      <w:r>
        <w:rPr>
          <w:rFonts w:hint="eastAsia" w:ascii="宋体" w:hAnsi="宋体" w:eastAsia="宋体"/>
          <w:b/>
          <w:color w:val="auto"/>
          <w:szCs w:val="21"/>
          <w:highlight w:val="none"/>
          <w:lang w:eastAsia="zh-CN"/>
        </w:rPr>
        <w:t>（</w:t>
      </w:r>
      <w:r>
        <w:rPr>
          <w:rFonts w:hint="eastAsia" w:ascii="宋体" w:hAnsi="宋体" w:eastAsia="宋体"/>
          <w:b/>
          <w:color w:val="auto"/>
          <w:szCs w:val="21"/>
          <w:highlight w:val="none"/>
          <w:lang w:val="en-US" w:eastAsia="zh-CN"/>
        </w:rPr>
        <w:t>适用于包2</w:t>
      </w:r>
      <w:r>
        <w:rPr>
          <w:rFonts w:hint="eastAsia" w:ascii="宋体" w:hAnsi="宋体" w:eastAsia="宋体"/>
          <w:b/>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、安装调试、验收试验及质量保证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中标人在设备安装地点负责安装、调试。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具体设备验收标准和程序按采购人要求执行，下列验收程序可参照执行：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中标人提供的必要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中标人应根据采购人使用单位的技术要求提供相应的产品。由中标人所提供的设备部件间的连线和插接件均应视为设备内部器件，包含在相应的设备之中。</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包装运输</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中标人负责设备包装、办理运输和保险，将设备安全运抵交货地点。</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设备制造完成并通过试验后应及时包装，否则应得到切实的保护，确保其不受污损。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在包装箱外应标明采购人的订货号、发货号。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各种包装应能确保各零部件在运输过程中不致遭到损坏、丢失、变形、受潮和腐蚀。</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包装箱上应有明显的包装储运图示标志。</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整体产品或分别运输的部件都要适应运输和装载的要求。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随产品提供的技术资料应完整无缺。</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技术培训</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为使合同设备能正常安装和运行，由中标人提供相应的技术培训。培训内容应与工程进度相一致。</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培训的时间、人数、地点等具体内容由买卖双方商定，内容至少包括：设备原理、使用、维护、运行操作、常见故障处理等。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采购清单里有特别规定的，以采购清单中的需求为准。</w:t>
      </w:r>
    </w:p>
    <w:p>
      <w:pPr>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质保及售后服务</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自双方签订《验收报告》起进入质保期。</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质保期间内，非采购人过失和故意并且在正常使用的情况下发现产品有缺陷，中标人将免费修理或替换该设备；在质保期间内，非采购人过失和故意并且在正常使用的情况下设备发生故障，中标人应及时提供免费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1"/>
        <w:rPr>
          <w:rFonts w:hint="default" w:ascii="宋体" w:hAnsi="宋体" w:eastAsia="宋体" w:cs="宋体"/>
          <w:b/>
          <w:bCs/>
          <w:color w:val="auto"/>
          <w:szCs w:val="21"/>
          <w:highlight w:val="none"/>
          <w:lang w:val="en-US" w:eastAsia="zh-CN"/>
        </w:rPr>
      </w:pPr>
      <w:bookmarkStart w:id="32" w:name="_Toc19993"/>
      <w:r>
        <w:rPr>
          <w:rFonts w:hint="eastAsia" w:ascii="宋体" w:hAnsi="宋体" w:eastAsia="宋体" w:cs="宋体"/>
          <w:b/>
          <w:bCs/>
          <w:color w:val="auto"/>
          <w:szCs w:val="21"/>
          <w:highlight w:val="none"/>
          <w:lang w:val="en-US" w:eastAsia="zh-CN"/>
        </w:rPr>
        <w:t>5、报价要求</w:t>
      </w:r>
      <w:bookmarkEnd w:id="32"/>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本项目报总价，报价包括但不限于配套设备投入的费用、安装费、材料费、调试费、技术支持费、设备运输费、管理费、利润和税金等保障采购人正常使用的所有费用。</w:t>
      </w:r>
      <w:bookmarkEnd w:id="1"/>
    </w:p>
    <w:p>
      <w:r>
        <w:rPr>
          <w:rFonts w:hint="eastAsia" w:ascii="宋体" w:hAnsi="宋体" w:eastAsia="宋体" w:cs="宋体"/>
          <w:b/>
          <w:bCs/>
          <w:color w:val="auto"/>
          <w:sz w:val="21"/>
          <w:szCs w:val="21"/>
          <w:highlight w:val="none"/>
        </w:rPr>
        <w:br w:type="page"/>
      </w:r>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82C4A"/>
    <w:multiLevelType w:val="singleLevel"/>
    <w:tmpl w:val="80982C4A"/>
    <w:lvl w:ilvl="0" w:tentative="0">
      <w:start w:val="1"/>
      <w:numFmt w:val="decimal"/>
      <w:suff w:val="nothing"/>
      <w:lvlText w:val="(%1)"/>
      <w:lvlJc w:val="left"/>
      <w:pPr>
        <w:ind w:left="0" w:firstLine="0"/>
      </w:pPr>
      <w:rPr>
        <w:rFonts w:hint="default"/>
      </w:rPr>
    </w:lvl>
  </w:abstractNum>
  <w:abstractNum w:abstractNumId="1">
    <w:nsid w:val="BDF6AA73"/>
    <w:multiLevelType w:val="singleLevel"/>
    <w:tmpl w:val="BDF6AA73"/>
    <w:lvl w:ilvl="0" w:tentative="0">
      <w:start w:val="1"/>
      <w:numFmt w:val="decimal"/>
      <w:suff w:val="nothing"/>
      <w:lvlText w:val="(%1)"/>
      <w:lvlJc w:val="left"/>
      <w:pPr>
        <w:ind w:left="0" w:firstLine="0"/>
      </w:pPr>
      <w:rPr>
        <w:rFonts w:hint="default"/>
      </w:rPr>
    </w:lvl>
  </w:abstractNum>
  <w:abstractNum w:abstractNumId="2">
    <w:nsid w:val="D1B7E79B"/>
    <w:multiLevelType w:val="singleLevel"/>
    <w:tmpl w:val="D1B7E79B"/>
    <w:lvl w:ilvl="0" w:tentative="0">
      <w:start w:val="1"/>
      <w:numFmt w:val="decimal"/>
      <w:suff w:val="nothing"/>
      <w:lvlText w:val="(%1)"/>
      <w:lvlJc w:val="left"/>
      <w:pPr>
        <w:ind w:left="0" w:firstLine="0"/>
      </w:pPr>
      <w:rPr>
        <w:rFonts w:hint="default"/>
      </w:rPr>
    </w:lvl>
  </w:abstractNum>
  <w:abstractNum w:abstractNumId="3">
    <w:nsid w:val="FA3D4FA0"/>
    <w:multiLevelType w:val="singleLevel"/>
    <w:tmpl w:val="FA3D4FA0"/>
    <w:lvl w:ilvl="0" w:tentative="0">
      <w:start w:val="1"/>
      <w:numFmt w:val="decimal"/>
      <w:suff w:val="nothing"/>
      <w:lvlText w:val="(%1)"/>
      <w:lvlJc w:val="left"/>
      <w:pPr>
        <w:ind w:left="0" w:firstLine="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E28A2"/>
    <w:rsid w:val="0F2E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宋体" w:hAnsi="宋体" w:eastAsia="宋体" w:cs="Times New Roma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none" w:color="auto" w:sz="0" w:space="0"/>
      </w:pBdr>
      <w:snapToGrid/>
    </w:pPr>
    <w:rPr>
      <w:rFonts w:ascii="宋体" w:hAnsi="宋体" w:eastAsia="宋体"/>
      <w:bCs/>
      <w:sz w:val="24"/>
      <w:szCs w:val="20"/>
    </w:rPr>
  </w:style>
  <w:style w:type="paragraph" w:customStyle="1" w:styleId="7">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2025-11-17T07:13:00Z</dcterms:created>
  <dc:creator>admin</dc:creator>
  <cp:lastModifiedBy>admin</cp:lastModifiedBy>
  <dcterms:modified xsi:type="dcterms:W3CDTF">2025-11-17T07:13:41Z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