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A0188">
      <w:pPr>
        <w:spacing w:line="360" w:lineRule="auto"/>
        <w:jc w:val="center"/>
        <w:outlineLvl w:val="0"/>
        <w:rPr>
          <w:rFonts w:ascii="宋体" w:hAnsi="宋体" w:eastAsia="宋体"/>
          <w:b/>
          <w:sz w:val="28"/>
        </w:rPr>
      </w:pPr>
      <w:bookmarkStart w:id="0" w:name="_Toc178465409"/>
      <w:r>
        <w:rPr>
          <w:rFonts w:hint="eastAsia" w:ascii="宋体" w:hAnsi="宋体" w:eastAsia="宋体"/>
          <w:b/>
          <w:sz w:val="28"/>
        </w:rPr>
        <w:t>第三章  采购需求</w:t>
      </w:r>
      <w:bookmarkEnd w:id="0"/>
    </w:p>
    <w:p w14:paraId="4CE059ED">
      <w:pPr>
        <w:adjustRightInd w:val="0"/>
        <w:snapToGrid w:val="0"/>
        <w:spacing w:line="360" w:lineRule="auto"/>
        <w:ind w:firstLine="422"/>
        <w:rPr>
          <w:rFonts w:ascii="宋体" w:hAnsi="宋体" w:eastAsia="宋体"/>
          <w:b/>
          <w:szCs w:val="21"/>
        </w:rPr>
      </w:pPr>
      <w:r>
        <w:rPr>
          <w:rFonts w:hint="eastAsia" w:ascii="宋体" w:hAnsi="宋体" w:eastAsia="宋体"/>
          <w:b/>
          <w:szCs w:val="21"/>
        </w:rPr>
        <w:t>前注：</w:t>
      </w:r>
    </w:p>
    <w:p w14:paraId="38AB7639">
      <w:pPr>
        <w:adjustRightInd w:val="0"/>
        <w:snapToGrid w:val="0"/>
        <w:spacing w:line="360" w:lineRule="auto"/>
        <w:ind w:firstLine="420"/>
        <w:rPr>
          <w:rFonts w:ascii="宋体" w:hAnsi="宋体" w:eastAsia="宋体"/>
          <w:szCs w:val="21"/>
        </w:rPr>
      </w:pPr>
      <w:r>
        <w:rPr>
          <w:rFonts w:hint="eastAsia" w:ascii="宋体" w:hAnsi="宋体" w:eastAsia="宋体"/>
          <w:szCs w:val="21"/>
        </w:rPr>
        <w:t>1.</w:t>
      </w:r>
      <w:r>
        <w:rPr>
          <w:rFonts w:ascii="宋体" w:hAnsi="宋体" w:eastAsia="宋体"/>
          <w:szCs w:val="21"/>
        </w:rPr>
        <w:t>根据《</w:t>
      </w:r>
      <w:r>
        <w:rPr>
          <w:rFonts w:hint="eastAsia" w:ascii="宋体" w:hAnsi="宋体" w:eastAsia="宋体"/>
          <w:szCs w:val="21"/>
        </w:rPr>
        <w:t>政府采购进口产品管理办法</w:t>
      </w:r>
      <w:r>
        <w:rPr>
          <w:rFonts w:ascii="宋体" w:hAnsi="宋体" w:eastAsia="宋体"/>
          <w:szCs w:val="21"/>
        </w:rPr>
        <w:t>》及政府采购管理部门的相关规定，下列采购需求中</w:t>
      </w:r>
      <w:r>
        <w:rPr>
          <w:rFonts w:hint="eastAsia" w:ascii="宋体" w:hAnsi="宋体" w:eastAsia="宋体"/>
          <w:szCs w:val="21"/>
        </w:rPr>
        <w:t>标注进口产品的货物均</w:t>
      </w:r>
      <w:r>
        <w:rPr>
          <w:rFonts w:ascii="宋体" w:hAnsi="宋体" w:eastAsia="宋体"/>
          <w:szCs w:val="21"/>
        </w:rPr>
        <w:t>已履行相关论证手续，经核准采购进口</w:t>
      </w:r>
      <w:r>
        <w:rPr>
          <w:rFonts w:hint="eastAsia" w:ascii="宋体" w:hAnsi="宋体" w:eastAsia="宋体"/>
          <w:szCs w:val="21"/>
        </w:rPr>
        <w:t>产品</w:t>
      </w:r>
      <w:r>
        <w:rPr>
          <w:rFonts w:ascii="宋体" w:hAnsi="宋体" w:eastAsia="宋体"/>
          <w:szCs w:val="21"/>
        </w:rPr>
        <w:t>，但不限制满足招标文件要求的国内产品参与竞争</w:t>
      </w:r>
      <w:r>
        <w:rPr>
          <w:rFonts w:hint="eastAsia" w:ascii="宋体" w:hAnsi="宋体" w:eastAsia="宋体"/>
          <w:szCs w:val="21"/>
        </w:rPr>
        <w:t>。未标注进口产品的货物均</w:t>
      </w:r>
      <w:r>
        <w:rPr>
          <w:rFonts w:ascii="宋体" w:hAnsi="宋体" w:eastAsia="宋体"/>
          <w:szCs w:val="21"/>
        </w:rPr>
        <w:t>为拒绝采购进口产品</w:t>
      </w:r>
      <w:r>
        <w:rPr>
          <w:rFonts w:hint="eastAsia" w:ascii="宋体" w:hAnsi="宋体" w:eastAsia="宋体"/>
          <w:szCs w:val="21"/>
        </w:rPr>
        <w:t>。</w:t>
      </w:r>
    </w:p>
    <w:p w14:paraId="7CE31E09">
      <w:pPr>
        <w:adjustRightInd w:val="0"/>
        <w:snapToGrid w:val="0"/>
        <w:spacing w:line="360" w:lineRule="auto"/>
        <w:ind w:firstLine="420"/>
        <w:rPr>
          <w:rFonts w:ascii="宋体" w:hAnsi="宋体" w:eastAsia="宋体"/>
          <w:szCs w:val="21"/>
        </w:rPr>
      </w:pPr>
      <w:r>
        <w:rPr>
          <w:rFonts w:hint="eastAsia" w:ascii="宋体" w:hAnsi="宋体" w:eastAsia="宋体"/>
          <w:szCs w:val="21"/>
        </w:rPr>
        <w:t>2.</w:t>
      </w:r>
      <w:r>
        <w:rPr>
          <w:rFonts w:ascii="宋体" w:hAnsi="宋体" w:eastAsia="宋体" w:cs="宋体"/>
          <w:szCs w:val="21"/>
        </w:rPr>
        <w:t>政府采购政策（包括但不限于下列具体政策要求</w:t>
      </w:r>
      <w:r>
        <w:rPr>
          <w:rFonts w:hint="eastAsia" w:ascii="宋体" w:hAnsi="宋体" w:eastAsia="宋体" w:cs="宋体"/>
          <w:szCs w:val="21"/>
        </w:rPr>
        <w:t>）</w:t>
      </w:r>
      <w:r>
        <w:rPr>
          <w:rFonts w:hint="eastAsia" w:ascii="宋体" w:hAnsi="宋体" w:eastAsia="宋体"/>
          <w:szCs w:val="21"/>
        </w:rPr>
        <w:t>：</w:t>
      </w:r>
    </w:p>
    <w:p w14:paraId="7FB7D9BB">
      <w:pPr>
        <w:adjustRightInd w:val="0"/>
        <w:snapToGrid w:val="0"/>
        <w:spacing w:line="360" w:lineRule="auto"/>
        <w:ind w:firstLine="420"/>
        <w:rPr>
          <w:rFonts w:ascii="宋体" w:hAnsi="宋体" w:eastAsia="宋体" w:cs="宋体"/>
          <w:szCs w:val="21"/>
        </w:rPr>
      </w:pPr>
      <w:r>
        <w:rPr>
          <w:rFonts w:hint="eastAsia" w:ascii="宋体" w:hAnsi="宋体" w:eastAsia="宋体" w:cs="宋体"/>
          <w:szCs w:val="21"/>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15ECDE0">
      <w:pPr>
        <w:adjustRightInd w:val="0"/>
        <w:snapToGrid w:val="0"/>
        <w:spacing w:line="360" w:lineRule="auto"/>
        <w:ind w:firstLine="420"/>
        <w:rPr>
          <w:rFonts w:ascii="宋体" w:hAnsi="宋体" w:eastAsia="宋体" w:cs="宋体"/>
          <w:szCs w:val="21"/>
        </w:rPr>
      </w:pPr>
      <w:r>
        <w:rPr>
          <w:rFonts w:hint="eastAsia" w:ascii="宋体" w:hAnsi="宋体" w:eastAsia="宋体" w:cs="宋体"/>
          <w:szCs w:val="21"/>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941EF8A">
      <w:pPr>
        <w:adjustRightInd w:val="0"/>
        <w:snapToGrid w:val="0"/>
        <w:spacing w:line="360" w:lineRule="auto"/>
        <w:ind w:firstLine="420"/>
        <w:rPr>
          <w:rFonts w:ascii="宋体" w:hAnsi="宋体" w:eastAsia="宋体" w:cs="宋体"/>
          <w:szCs w:val="21"/>
        </w:rPr>
      </w:pPr>
      <w:r>
        <w:rPr>
          <w:rFonts w:hint="eastAsia" w:ascii="宋体" w:hAnsi="宋体" w:eastAsia="宋体" w:cs="宋体"/>
          <w:szCs w:val="21"/>
        </w:rPr>
        <w:t>3.</w:t>
      </w:r>
      <w:r>
        <w:rPr>
          <w:rFonts w:hint="eastAsia" w:ascii="宋体" w:hAnsi="宋体" w:eastAsia="宋体"/>
          <w:szCs w:val="21"/>
        </w:rPr>
        <w:t>如采购人允许采用分包方式履行合同的，应当明确可以分包履行的相关内容</w:t>
      </w:r>
      <w:r>
        <w:rPr>
          <w:rFonts w:hint="eastAsia" w:ascii="宋体" w:hAnsi="宋体" w:eastAsia="宋体" w:cs="宋体"/>
          <w:szCs w:val="21"/>
        </w:rPr>
        <w:t>。</w:t>
      </w:r>
    </w:p>
    <w:p w14:paraId="4AD82F82">
      <w:pPr>
        <w:adjustRightInd w:val="0"/>
        <w:snapToGrid w:val="0"/>
        <w:spacing w:line="360" w:lineRule="auto"/>
        <w:ind w:firstLine="420"/>
        <w:rPr>
          <w:szCs w:val="21"/>
        </w:rPr>
      </w:pPr>
      <w:r>
        <w:rPr>
          <w:rFonts w:hint="eastAsia" w:ascii="宋体" w:hAnsi="宋体" w:eastAsia="宋体" w:cs="宋体"/>
          <w:szCs w:val="21"/>
        </w:rPr>
        <w:t>4.下列采购需求中：标注▲的产品（核心产品），投标人在投标文件《主要中标标的承诺函》中填写名称、品牌、规格、型号、数量、单价等信息。</w:t>
      </w:r>
    </w:p>
    <w:p w14:paraId="276DE9F4">
      <w:pPr>
        <w:adjustRightInd w:val="0"/>
        <w:snapToGrid w:val="0"/>
        <w:spacing w:line="360" w:lineRule="auto"/>
        <w:ind w:firstLine="482"/>
        <w:outlineLvl w:val="1"/>
        <w:rPr>
          <w:rFonts w:ascii="宋体" w:hAnsi="宋体" w:eastAsia="宋体"/>
          <w:b/>
          <w:szCs w:val="21"/>
        </w:rPr>
      </w:pPr>
      <w:bookmarkStart w:id="1" w:name="_Toc32151"/>
      <w:bookmarkStart w:id="2" w:name="_Toc2554"/>
      <w:bookmarkStart w:id="3" w:name="_Toc178465410"/>
      <w:r>
        <w:rPr>
          <w:rFonts w:hint="eastAsia" w:ascii="宋体" w:hAnsi="宋体" w:eastAsia="宋体"/>
          <w:b/>
          <w:szCs w:val="21"/>
        </w:rPr>
        <w:t>一、采购需求前附表</w:t>
      </w:r>
      <w:bookmarkEnd w:id="1"/>
      <w:bookmarkEnd w:id="2"/>
      <w:bookmarkEnd w:id="3"/>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032"/>
        <w:gridCol w:w="5483"/>
      </w:tblGrid>
      <w:tr w14:paraId="0B6C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43FE9BDB">
            <w:pPr>
              <w:pStyle w:val="8"/>
              <w:adjustRightInd w:val="0"/>
              <w:snapToGrid w:val="0"/>
              <w:spacing w:line="300" w:lineRule="auto"/>
              <w:rPr>
                <w:rFonts w:cs="@仿宋_GB2312"/>
                <w:b/>
                <w:kern w:val="2"/>
                <w:sz w:val="21"/>
                <w:szCs w:val="21"/>
                <w:lang w:val="en-US" w:eastAsia="zh-CN"/>
              </w:rPr>
            </w:pPr>
            <w:r>
              <w:rPr>
                <w:rFonts w:hint="eastAsia" w:cs="@仿宋_GB2312"/>
                <w:b/>
                <w:kern w:val="2"/>
                <w:sz w:val="21"/>
                <w:szCs w:val="21"/>
                <w:lang w:val="en-US" w:eastAsia="zh-CN"/>
              </w:rPr>
              <w:t>序号</w:t>
            </w:r>
          </w:p>
        </w:tc>
        <w:tc>
          <w:tcPr>
            <w:tcW w:w="2032" w:type="dxa"/>
            <w:noWrap w:val="0"/>
            <w:vAlign w:val="center"/>
          </w:tcPr>
          <w:p w14:paraId="5571D872">
            <w:pPr>
              <w:pStyle w:val="9"/>
              <w:jc w:val="center"/>
              <w:rPr>
                <w:b/>
                <w:color w:val="auto"/>
              </w:rPr>
            </w:pPr>
            <w:r>
              <w:rPr>
                <w:rFonts w:hint="eastAsia"/>
                <w:b/>
                <w:color w:val="auto"/>
              </w:rPr>
              <w:t>条款名称</w:t>
            </w:r>
          </w:p>
        </w:tc>
        <w:tc>
          <w:tcPr>
            <w:tcW w:w="5483" w:type="dxa"/>
            <w:noWrap w:val="0"/>
            <w:vAlign w:val="center"/>
          </w:tcPr>
          <w:p w14:paraId="7F5A20CD">
            <w:pPr>
              <w:pStyle w:val="9"/>
              <w:jc w:val="center"/>
              <w:rPr>
                <w:b/>
                <w:color w:val="auto"/>
              </w:rPr>
            </w:pPr>
            <w:r>
              <w:rPr>
                <w:rFonts w:hint="eastAsia"/>
                <w:b/>
                <w:color w:val="auto"/>
              </w:rPr>
              <w:t>内容、说明与要求</w:t>
            </w:r>
          </w:p>
        </w:tc>
      </w:tr>
      <w:tr w14:paraId="4708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1DDB3638">
            <w:pPr>
              <w:pStyle w:val="8"/>
              <w:adjustRightInd w:val="0"/>
              <w:snapToGrid w:val="0"/>
              <w:spacing w:line="300" w:lineRule="auto"/>
              <w:rPr>
                <w:rFonts w:cs="@仿宋_GB2312"/>
                <w:kern w:val="2"/>
                <w:sz w:val="21"/>
                <w:szCs w:val="21"/>
                <w:lang w:val="en-US" w:eastAsia="zh-CN"/>
              </w:rPr>
            </w:pPr>
            <w:r>
              <w:rPr>
                <w:rFonts w:hint="eastAsia" w:cs="@仿宋_GB2312"/>
                <w:kern w:val="2"/>
                <w:sz w:val="21"/>
                <w:szCs w:val="21"/>
                <w:lang w:val="en-US" w:eastAsia="zh-CN"/>
              </w:rPr>
              <w:t>1</w:t>
            </w:r>
          </w:p>
        </w:tc>
        <w:tc>
          <w:tcPr>
            <w:tcW w:w="2032" w:type="dxa"/>
            <w:noWrap w:val="0"/>
            <w:vAlign w:val="center"/>
          </w:tcPr>
          <w:p w14:paraId="0E50E976">
            <w:pPr>
              <w:pStyle w:val="9"/>
              <w:rPr>
                <w:b/>
                <w:color w:val="000000"/>
              </w:rPr>
            </w:pPr>
            <w:r>
              <w:rPr>
                <w:rFonts w:hint="eastAsia"/>
                <w:color w:val="000000"/>
              </w:rPr>
              <w:t>付款方式</w:t>
            </w:r>
          </w:p>
        </w:tc>
        <w:tc>
          <w:tcPr>
            <w:tcW w:w="5483" w:type="dxa"/>
            <w:noWrap w:val="0"/>
            <w:vAlign w:val="center"/>
          </w:tcPr>
          <w:p w14:paraId="46D41858">
            <w:pPr>
              <w:pStyle w:val="9"/>
              <w:rPr>
                <w:rFonts w:hint="eastAsia"/>
                <w:color w:val="000000"/>
              </w:rPr>
            </w:pPr>
            <w:r>
              <w:rPr>
                <w:rFonts w:hint="eastAsia"/>
                <w:color w:val="000000"/>
                <w:lang w:eastAsia="zh-CN"/>
              </w:rPr>
              <w:t>合同生效并具备实施条件5个工作日内，采购人付至合同价的 60%(中标人须提供等额预付款担保)</w:t>
            </w:r>
            <w:r>
              <w:rPr>
                <w:rFonts w:hint="eastAsia"/>
                <w:color w:val="000000"/>
              </w:rPr>
              <w:t>，项目经验收合格且相关资料齐备已移交后，一次性付清合同余款。</w:t>
            </w:r>
          </w:p>
          <w:p w14:paraId="0C79E0C9">
            <w:pPr>
              <w:pStyle w:val="9"/>
              <w:rPr>
                <w:rFonts w:hint="eastAsia"/>
                <w:color w:val="000000"/>
              </w:rPr>
            </w:pPr>
            <w:r>
              <w:rPr>
                <w:rFonts w:hint="eastAsia"/>
                <w:color w:val="000000"/>
              </w:rPr>
              <w:t>注</w:t>
            </w:r>
            <w:r>
              <w:rPr>
                <w:rFonts w:hint="eastAsia"/>
                <w:color w:val="000000"/>
                <w:lang w:eastAsia="zh-CN"/>
              </w:rPr>
              <w:t>：</w:t>
            </w:r>
            <w:r>
              <w:rPr>
                <w:rFonts w:hint="eastAsia"/>
                <w:color w:val="000000"/>
              </w:rPr>
              <w:t>(1)中标人未按规定提供预付款担保的,视为放弃预付款；(2)预付款担保要求</w:t>
            </w:r>
            <w:r>
              <w:rPr>
                <w:rFonts w:hint="eastAsia"/>
                <w:color w:val="000000"/>
                <w:lang w:eastAsia="zh-CN"/>
              </w:rPr>
              <w:t>：</w:t>
            </w:r>
            <w:r>
              <w:rPr>
                <w:rFonts w:hint="eastAsia"/>
                <w:color w:val="000000"/>
              </w:rPr>
              <w:t>采用银行保函(或担保机构担保或保证保险)形式提交预付款担保的，必须具有明确有效的查询途径(二维码或网址链接及查询方式)。以上各类机构出具的以担保函、保证保险承担责任的方式均须满足无条件见索即付条件。</w:t>
            </w:r>
          </w:p>
        </w:tc>
      </w:tr>
      <w:tr w14:paraId="0D9B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5047385A">
            <w:pPr>
              <w:pStyle w:val="8"/>
              <w:adjustRightInd w:val="0"/>
              <w:snapToGrid w:val="0"/>
              <w:spacing w:line="300" w:lineRule="auto"/>
              <w:rPr>
                <w:rFonts w:cs="@仿宋_GB2312"/>
                <w:kern w:val="2"/>
                <w:sz w:val="21"/>
                <w:szCs w:val="21"/>
                <w:lang w:val="en-US" w:eastAsia="zh-CN"/>
              </w:rPr>
            </w:pPr>
            <w:r>
              <w:rPr>
                <w:rFonts w:hint="eastAsia" w:cs="@仿宋_GB2312"/>
                <w:kern w:val="2"/>
                <w:sz w:val="21"/>
                <w:szCs w:val="21"/>
                <w:lang w:val="en-US" w:eastAsia="zh-CN"/>
              </w:rPr>
              <w:t>2</w:t>
            </w:r>
          </w:p>
        </w:tc>
        <w:tc>
          <w:tcPr>
            <w:tcW w:w="2032" w:type="dxa"/>
            <w:noWrap w:val="0"/>
            <w:vAlign w:val="center"/>
          </w:tcPr>
          <w:p w14:paraId="1AB72F72">
            <w:pPr>
              <w:pStyle w:val="9"/>
              <w:rPr>
                <w:b/>
                <w:color w:val="000000"/>
              </w:rPr>
            </w:pPr>
            <w:r>
              <w:rPr>
                <w:rFonts w:hint="eastAsia"/>
                <w:color w:val="000000"/>
              </w:rPr>
              <w:t>供货及安装地点</w:t>
            </w:r>
          </w:p>
        </w:tc>
        <w:tc>
          <w:tcPr>
            <w:tcW w:w="5483" w:type="dxa"/>
            <w:noWrap w:val="0"/>
            <w:vAlign w:val="center"/>
          </w:tcPr>
          <w:p w14:paraId="687A209F">
            <w:pPr>
              <w:pStyle w:val="9"/>
              <w:rPr>
                <w:color w:val="000000"/>
              </w:rPr>
            </w:pPr>
            <w:r>
              <w:rPr>
                <w:rFonts w:hint="eastAsia"/>
                <w:color w:val="000000"/>
              </w:rPr>
              <w:t>安徽省合肥市芜湖路</w:t>
            </w:r>
            <w:r>
              <w:rPr>
                <w:color w:val="000000"/>
              </w:rPr>
              <w:t>74号安徽省图书馆</w:t>
            </w:r>
            <w:r>
              <w:rPr>
                <w:rFonts w:hint="eastAsia"/>
                <w:color w:val="000000"/>
              </w:rPr>
              <w:t>，具体按采购人要求。</w:t>
            </w:r>
          </w:p>
        </w:tc>
      </w:tr>
      <w:tr w14:paraId="39D9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62562375">
            <w:pPr>
              <w:pStyle w:val="8"/>
              <w:adjustRightInd w:val="0"/>
              <w:snapToGrid w:val="0"/>
              <w:spacing w:line="300" w:lineRule="auto"/>
              <w:rPr>
                <w:rFonts w:cs="@仿宋_GB2312"/>
                <w:kern w:val="2"/>
                <w:sz w:val="21"/>
                <w:szCs w:val="21"/>
                <w:lang w:val="en-US" w:eastAsia="zh-CN"/>
              </w:rPr>
            </w:pPr>
            <w:r>
              <w:rPr>
                <w:rFonts w:hint="eastAsia" w:cs="@仿宋_GB2312"/>
                <w:kern w:val="2"/>
                <w:sz w:val="21"/>
                <w:szCs w:val="21"/>
                <w:lang w:val="en-US" w:eastAsia="zh-CN"/>
              </w:rPr>
              <w:t>3</w:t>
            </w:r>
          </w:p>
        </w:tc>
        <w:tc>
          <w:tcPr>
            <w:tcW w:w="2032" w:type="dxa"/>
            <w:noWrap w:val="0"/>
            <w:vAlign w:val="center"/>
          </w:tcPr>
          <w:p w14:paraId="6C989CDD">
            <w:pPr>
              <w:pStyle w:val="9"/>
              <w:rPr>
                <w:b/>
                <w:color w:val="000000"/>
              </w:rPr>
            </w:pPr>
            <w:r>
              <w:rPr>
                <w:rFonts w:hint="eastAsia"/>
                <w:color w:val="000000"/>
              </w:rPr>
              <w:t>供货及安装期限</w:t>
            </w:r>
          </w:p>
        </w:tc>
        <w:tc>
          <w:tcPr>
            <w:tcW w:w="5483" w:type="dxa"/>
            <w:noWrap w:val="0"/>
            <w:vAlign w:val="center"/>
          </w:tcPr>
          <w:p w14:paraId="70045EE8">
            <w:pPr>
              <w:pStyle w:val="9"/>
              <w:rPr>
                <w:rFonts w:hint="eastAsia"/>
                <w:color w:val="auto"/>
              </w:rPr>
            </w:pPr>
            <w:r>
              <w:rPr>
                <w:rFonts w:hint="eastAsia"/>
                <w:color w:val="auto"/>
                <w:lang w:eastAsia="zh-CN"/>
              </w:rPr>
              <w:t>合同生效之日起，40个日历天内完成供货</w:t>
            </w:r>
            <w:r>
              <w:rPr>
                <w:rFonts w:hint="eastAsia"/>
                <w:color w:val="auto"/>
              </w:rPr>
              <w:t>、安装、调试、培训等所有工作内容。</w:t>
            </w:r>
          </w:p>
        </w:tc>
      </w:tr>
      <w:tr w14:paraId="4458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14:paraId="5C6CEE4C">
            <w:pPr>
              <w:pStyle w:val="8"/>
              <w:adjustRightInd w:val="0"/>
              <w:snapToGrid w:val="0"/>
              <w:spacing w:line="300" w:lineRule="auto"/>
              <w:rPr>
                <w:rFonts w:cs="@仿宋_GB2312"/>
                <w:kern w:val="2"/>
                <w:sz w:val="21"/>
                <w:szCs w:val="21"/>
                <w:lang w:val="en-US" w:eastAsia="zh-CN"/>
              </w:rPr>
            </w:pPr>
            <w:r>
              <w:rPr>
                <w:rFonts w:hint="eastAsia" w:cs="@仿宋_GB2312"/>
                <w:kern w:val="2"/>
                <w:sz w:val="21"/>
                <w:szCs w:val="21"/>
                <w:lang w:val="en-US" w:eastAsia="zh-CN"/>
              </w:rPr>
              <w:t>4</w:t>
            </w:r>
          </w:p>
        </w:tc>
        <w:tc>
          <w:tcPr>
            <w:tcW w:w="2032" w:type="dxa"/>
            <w:noWrap w:val="0"/>
            <w:vAlign w:val="center"/>
          </w:tcPr>
          <w:p w14:paraId="66BC7B3F">
            <w:pPr>
              <w:pStyle w:val="9"/>
              <w:rPr>
                <w:b/>
                <w:color w:val="000000"/>
              </w:rPr>
            </w:pPr>
            <w:r>
              <w:rPr>
                <w:rFonts w:hint="eastAsia"/>
                <w:color w:val="000000"/>
              </w:rPr>
              <w:t>免费质保期</w:t>
            </w:r>
          </w:p>
        </w:tc>
        <w:tc>
          <w:tcPr>
            <w:tcW w:w="5483" w:type="dxa"/>
            <w:noWrap w:val="0"/>
            <w:vAlign w:val="center"/>
          </w:tcPr>
          <w:p w14:paraId="6570C24F">
            <w:pPr>
              <w:pStyle w:val="9"/>
              <w:rPr>
                <w:color w:val="auto"/>
              </w:rPr>
            </w:pPr>
            <w:r>
              <w:rPr>
                <w:color w:val="auto"/>
              </w:rPr>
              <w:t>“</w:t>
            </w:r>
            <w:r>
              <w:rPr>
                <w:rFonts w:hint="eastAsia" w:ascii="宋体" w:hAnsi="宋体" w:eastAsia="宋体" w:cs="Times New Roman"/>
                <w:b w:val="0"/>
                <w:bCs w:val="0"/>
                <w:color w:val="auto"/>
                <w:szCs w:val="21"/>
                <w:lang w:val="en-US" w:eastAsia="zh-CN"/>
              </w:rPr>
              <w:t>最低</w:t>
            </w:r>
            <w:r>
              <w:rPr>
                <w:color w:val="auto"/>
              </w:rPr>
              <w:t>技术参数及要求”中未明确的，免费质保期为自验收合格之日起</w:t>
            </w:r>
            <w:r>
              <w:rPr>
                <w:rFonts w:hint="eastAsia"/>
                <w:color w:val="auto"/>
                <w:lang w:val="en-US" w:eastAsia="zh-CN"/>
              </w:rPr>
              <w:t>3</w:t>
            </w:r>
            <w:r>
              <w:rPr>
                <w:rFonts w:hint="eastAsia"/>
                <w:color w:val="auto"/>
              </w:rPr>
              <w:t>年</w:t>
            </w:r>
            <w:r>
              <w:rPr>
                <w:color w:val="auto"/>
              </w:rPr>
              <w:t>；“</w:t>
            </w:r>
            <w:r>
              <w:rPr>
                <w:rFonts w:hint="eastAsia" w:ascii="宋体" w:hAnsi="宋体" w:eastAsia="宋体" w:cs="Times New Roman"/>
                <w:b w:val="0"/>
                <w:bCs w:val="0"/>
                <w:color w:val="auto"/>
                <w:szCs w:val="21"/>
                <w:lang w:val="en-US" w:eastAsia="zh-CN"/>
              </w:rPr>
              <w:t>最低</w:t>
            </w:r>
            <w:r>
              <w:rPr>
                <w:color w:val="auto"/>
              </w:rPr>
              <w:t>技术参数及要求”中明确的，免费质保期按“技术参数及要求”执行。</w:t>
            </w:r>
          </w:p>
        </w:tc>
      </w:tr>
    </w:tbl>
    <w:p w14:paraId="32FB07C6">
      <w:pPr>
        <w:pStyle w:val="3"/>
        <w:adjustRightInd w:val="0"/>
        <w:snapToGrid w:val="0"/>
        <w:spacing w:before="0" w:after="0" w:line="360" w:lineRule="auto"/>
        <w:rPr>
          <w:rFonts w:hint="eastAsia" w:ascii="宋体" w:hAnsi="宋体" w:eastAsia="宋体" w:cs="宋体"/>
          <w:bCs w:val="0"/>
          <w:sz w:val="21"/>
          <w:szCs w:val="21"/>
        </w:rPr>
      </w:pPr>
      <w:bookmarkStart w:id="4" w:name="_Toc626387511"/>
      <w:bookmarkStart w:id="5" w:name="_Toc717369146"/>
      <w:bookmarkStart w:id="6" w:name="_Toc302804901"/>
      <w:bookmarkStart w:id="7" w:name="_Toc1693477008"/>
      <w:bookmarkStart w:id="8" w:name="_Toc1191965283_WPSOffice_Level2"/>
      <w:bookmarkStart w:id="9" w:name="_Toc369119811"/>
      <w:bookmarkStart w:id="10" w:name="_Toc1715351726"/>
      <w:bookmarkStart w:id="11" w:name="_Toc58935147"/>
      <w:r>
        <w:rPr>
          <w:rFonts w:hint="eastAsia" w:ascii="宋体" w:hAnsi="宋体" w:eastAsia="宋体" w:cs="宋体"/>
          <w:bCs w:val="0"/>
          <w:sz w:val="21"/>
          <w:szCs w:val="21"/>
        </w:rPr>
        <w:t>二、货物需求</w:t>
      </w:r>
      <w:bookmarkEnd w:id="4"/>
      <w:bookmarkEnd w:id="5"/>
      <w:bookmarkEnd w:id="6"/>
      <w:bookmarkEnd w:id="7"/>
      <w:bookmarkEnd w:id="8"/>
      <w:bookmarkEnd w:id="9"/>
      <w:bookmarkEnd w:id="10"/>
      <w:bookmarkEnd w:id="11"/>
    </w:p>
    <w:p w14:paraId="69EA71BE">
      <w:pPr>
        <w:adjustRightInd w:val="0"/>
        <w:snapToGrid w:val="0"/>
        <w:spacing w:line="360" w:lineRule="auto"/>
        <w:ind w:firstLine="420"/>
        <w:rPr>
          <w:rFonts w:hint="eastAsia" w:ascii="宋体" w:hAnsi="宋体" w:eastAsia="宋体" w:cs="宋体"/>
          <w:szCs w:val="21"/>
        </w:rPr>
      </w:pPr>
      <w:r>
        <w:rPr>
          <w:rFonts w:ascii="宋体" w:hAnsi="宋体" w:eastAsia="宋体" w:cs="宋体"/>
          <w:b w:val="0"/>
          <w:bCs w:val="0"/>
          <w:szCs w:val="21"/>
        </w:rPr>
        <w:t>1</w:t>
      </w:r>
      <w:r>
        <w:rPr>
          <w:rFonts w:hint="eastAsia" w:ascii="宋体" w:hAnsi="宋体" w:eastAsia="宋体" w:cs="宋体"/>
          <w:szCs w:val="21"/>
          <w:lang w:val="en-US" w:eastAsia="zh-CN"/>
        </w:rPr>
        <w:t>、</w:t>
      </w:r>
      <w:r>
        <w:rPr>
          <w:rFonts w:ascii="宋体" w:hAnsi="宋体" w:eastAsia="宋体" w:cs="宋体"/>
          <w:szCs w:val="21"/>
        </w:rPr>
        <w:t>标识符号</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0"/>
        <w:gridCol w:w="1217"/>
        <w:gridCol w:w="5518"/>
      </w:tblGrid>
      <w:tr w14:paraId="0AA0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0" w:type="dxa"/>
            <w:noWrap/>
            <w:vAlign w:val="center"/>
          </w:tcPr>
          <w:p w14:paraId="1DB0799C">
            <w:pPr>
              <w:spacing w:line="360" w:lineRule="auto"/>
              <w:jc w:val="center"/>
              <w:rPr>
                <w:rFonts w:ascii="宋体" w:hAnsi="宋体" w:eastAsia="宋体" w:cs="宋体"/>
                <w:b/>
                <w:bCs/>
                <w:color w:val="000000"/>
                <w:kern w:val="0"/>
                <w:szCs w:val="21"/>
              </w:rPr>
            </w:pPr>
            <w:r>
              <w:rPr>
                <w:rFonts w:hint="eastAsia" w:ascii="宋体" w:hAnsi="宋体" w:eastAsia="宋体" w:cs="宋体"/>
                <w:b/>
                <w:szCs w:val="21"/>
              </w:rPr>
              <w:t>标识</w:t>
            </w:r>
            <w:r>
              <w:rPr>
                <w:rFonts w:ascii="宋体" w:hAnsi="宋体" w:eastAsia="宋体" w:cs="宋体"/>
                <w:b/>
                <w:szCs w:val="21"/>
              </w:rPr>
              <w:t>类型</w:t>
            </w:r>
          </w:p>
        </w:tc>
        <w:tc>
          <w:tcPr>
            <w:tcW w:w="1217" w:type="dxa"/>
            <w:noWrap/>
            <w:vAlign w:val="center"/>
          </w:tcPr>
          <w:p w14:paraId="6F2927A1">
            <w:pPr>
              <w:spacing w:line="360" w:lineRule="auto"/>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标识符号</w:t>
            </w:r>
          </w:p>
        </w:tc>
        <w:tc>
          <w:tcPr>
            <w:tcW w:w="5518" w:type="dxa"/>
            <w:noWrap/>
            <w:vAlign w:val="center"/>
          </w:tcPr>
          <w:p w14:paraId="4543E5F3">
            <w:pPr>
              <w:spacing w:line="360" w:lineRule="auto"/>
              <w:jc w:val="center"/>
              <w:rPr>
                <w:rFonts w:ascii="宋体" w:hAnsi="宋体" w:eastAsia="宋体" w:cs="宋体"/>
                <w:color w:val="000000"/>
                <w:kern w:val="0"/>
                <w:szCs w:val="21"/>
              </w:rPr>
            </w:pPr>
            <w:r>
              <w:rPr>
                <w:rFonts w:ascii="宋体" w:hAnsi="宋体" w:eastAsia="宋体" w:cs="宋体"/>
                <w:b/>
                <w:szCs w:val="21"/>
              </w:rPr>
              <w:t>标识符号含义</w:t>
            </w:r>
          </w:p>
        </w:tc>
      </w:tr>
      <w:tr w14:paraId="1D76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020" w:type="dxa"/>
            <w:noWrap/>
            <w:vAlign w:val="center"/>
          </w:tcPr>
          <w:p w14:paraId="28821946">
            <w:pPr>
              <w:spacing w:line="360" w:lineRule="auto"/>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关键指标项</w:t>
            </w:r>
          </w:p>
        </w:tc>
        <w:tc>
          <w:tcPr>
            <w:tcW w:w="1217" w:type="dxa"/>
            <w:noWrap/>
            <w:vAlign w:val="center"/>
          </w:tcPr>
          <w:p w14:paraId="38F05498">
            <w:pPr>
              <w:spacing w:line="360" w:lineRule="auto"/>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w:t>
            </w:r>
          </w:p>
        </w:tc>
        <w:tc>
          <w:tcPr>
            <w:tcW w:w="5518" w:type="dxa"/>
            <w:noWrap/>
            <w:vAlign w:val="center"/>
          </w:tcPr>
          <w:p w14:paraId="29C3A949">
            <w:pPr>
              <w:spacing w:line="360" w:lineRule="auto"/>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不响应或负偏离的</w:t>
            </w:r>
            <w:r>
              <w:rPr>
                <w:rFonts w:hint="eastAsia" w:ascii="宋体" w:hAnsi="宋体" w:eastAsia="宋体" w:cs="宋体"/>
                <w:b/>
                <w:bCs/>
                <w:color w:val="000000"/>
                <w:kern w:val="0"/>
                <w:szCs w:val="21"/>
              </w:rPr>
              <w:t>，投标无效</w:t>
            </w:r>
          </w:p>
        </w:tc>
      </w:tr>
      <w:tr w14:paraId="40E1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020" w:type="dxa"/>
            <w:noWrap/>
            <w:vAlign w:val="center"/>
          </w:tcPr>
          <w:p w14:paraId="6412A953">
            <w:pPr>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重要指标项</w:t>
            </w:r>
          </w:p>
        </w:tc>
        <w:tc>
          <w:tcPr>
            <w:tcW w:w="1217" w:type="dxa"/>
            <w:noWrap/>
            <w:vAlign w:val="center"/>
          </w:tcPr>
          <w:p w14:paraId="2274C78D">
            <w:pPr>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5518" w:type="dxa"/>
            <w:noWrap/>
            <w:vAlign w:val="center"/>
          </w:tcPr>
          <w:p w14:paraId="45901298">
            <w:pPr>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评分项，详见评分细则</w:t>
            </w:r>
          </w:p>
        </w:tc>
      </w:tr>
      <w:tr w14:paraId="1A70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2020" w:type="dxa"/>
            <w:noWrap/>
            <w:vAlign w:val="center"/>
          </w:tcPr>
          <w:p w14:paraId="24CF0E07">
            <w:pPr>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一般指标项</w:t>
            </w:r>
          </w:p>
        </w:tc>
        <w:tc>
          <w:tcPr>
            <w:tcW w:w="1217" w:type="dxa"/>
            <w:noWrap/>
            <w:vAlign w:val="center"/>
          </w:tcPr>
          <w:p w14:paraId="4A5FE4E0">
            <w:pPr>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5518" w:type="dxa"/>
            <w:noWrap/>
            <w:vAlign w:val="center"/>
          </w:tcPr>
          <w:p w14:paraId="106A408C">
            <w:pPr>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评分项，详见评分细则</w:t>
            </w:r>
          </w:p>
        </w:tc>
      </w:tr>
      <w:tr w14:paraId="4634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2020" w:type="dxa"/>
            <w:noWrap/>
            <w:vAlign w:val="center"/>
          </w:tcPr>
          <w:p w14:paraId="573C53C1">
            <w:pPr>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无标识项</w:t>
            </w:r>
          </w:p>
        </w:tc>
        <w:tc>
          <w:tcPr>
            <w:tcW w:w="1217" w:type="dxa"/>
            <w:noWrap/>
            <w:vAlign w:val="center"/>
          </w:tcPr>
          <w:p w14:paraId="151C8E19">
            <w:pPr>
              <w:spacing w:line="360" w:lineRule="auto"/>
              <w:jc w:val="center"/>
              <w:rPr>
                <w:rFonts w:ascii="宋体" w:hAnsi="宋体" w:eastAsia="宋体" w:cs="宋体"/>
                <w:color w:val="000000"/>
                <w:kern w:val="0"/>
                <w:szCs w:val="21"/>
              </w:rPr>
            </w:pPr>
          </w:p>
        </w:tc>
        <w:tc>
          <w:tcPr>
            <w:tcW w:w="5518" w:type="dxa"/>
            <w:noWrap/>
            <w:vAlign w:val="center"/>
          </w:tcPr>
          <w:p w14:paraId="5922F541">
            <w:pPr>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5</w:t>
            </w:r>
            <w:r>
              <w:rPr>
                <w:rFonts w:hint="eastAsia" w:ascii="宋体" w:hAnsi="宋体" w:eastAsia="宋体" w:cs="宋体"/>
                <w:color w:val="000000"/>
                <w:kern w:val="0"/>
                <w:szCs w:val="21"/>
              </w:rPr>
              <w:t>条及以上不响应或负偏离的</w:t>
            </w:r>
            <w:r>
              <w:rPr>
                <w:rFonts w:hint="eastAsia" w:ascii="宋体" w:hAnsi="宋体" w:eastAsia="宋体" w:cs="宋体"/>
                <w:b/>
                <w:bCs/>
                <w:color w:val="000000"/>
                <w:kern w:val="0"/>
                <w:szCs w:val="21"/>
              </w:rPr>
              <w:t>，投标无效</w:t>
            </w:r>
          </w:p>
        </w:tc>
      </w:tr>
      <w:tr w14:paraId="77A6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755" w:type="dxa"/>
            <w:gridSpan w:val="3"/>
            <w:noWrap/>
            <w:vAlign w:val="center"/>
          </w:tcPr>
          <w:p w14:paraId="1447081E">
            <w:pPr>
              <w:widowControl w:val="0"/>
              <w:adjustRightInd w:val="0"/>
              <w:snapToGrid w:val="0"/>
              <w:spacing w:after="0" w:line="300" w:lineRule="auto"/>
              <w:ind w:left="0" w:lef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注：</w:t>
            </w:r>
          </w:p>
          <w:p w14:paraId="6155AD5E">
            <w:pPr>
              <w:widowControl w:val="0"/>
              <w:adjustRightInd w:val="0"/>
              <w:snapToGrid w:val="0"/>
              <w:spacing w:after="0" w:line="300" w:lineRule="auto"/>
              <w:ind w:left="0" w:leftChars="0"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1.如某项标识中包含多条技术参数或要求，则该项标识所含内容均需满足或优于招标文件要求，否则不予认可。</w:t>
            </w:r>
          </w:p>
          <w:p w14:paraId="7DB16853">
            <w:pPr>
              <w:spacing w:line="360" w:lineRule="auto"/>
              <w:jc w:val="left"/>
              <w:rPr>
                <w:rFonts w:hint="eastAsia" w:ascii="宋体" w:hAnsi="宋体" w:eastAsia="宋体" w:cs="宋体"/>
                <w:color w:val="000000"/>
                <w:kern w:val="0"/>
                <w:szCs w:val="21"/>
              </w:rPr>
            </w:pPr>
            <w:r>
              <w:rPr>
                <w:rFonts w:hint="eastAsia" w:ascii="宋体" w:hAnsi="宋体" w:eastAsia="宋体" w:cs="宋体"/>
                <w:kern w:val="2"/>
                <w:sz w:val="21"/>
                <w:szCs w:val="21"/>
                <w:lang w:val="en-US" w:eastAsia="zh-CN" w:bidi="ar-SA"/>
              </w:rPr>
              <w:t>2.“所属行业”栏标注为“/”的项为所投产品配套的工程或服务，无需在《中小企业声明函》中列明。</w:t>
            </w:r>
          </w:p>
        </w:tc>
      </w:tr>
    </w:tbl>
    <w:p w14:paraId="7050D8FB">
      <w:pPr>
        <w:adjustRightInd w:val="0"/>
        <w:snapToGrid w:val="0"/>
        <w:spacing w:line="360" w:lineRule="auto"/>
        <w:ind w:firstLine="420"/>
        <w:rPr>
          <w:rFonts w:hint="eastAsia" w:ascii="宋体" w:hAnsi="宋体" w:eastAsia="宋体" w:cs="宋体"/>
          <w:szCs w:val="21"/>
        </w:rPr>
      </w:pPr>
    </w:p>
    <w:p w14:paraId="71E0767A">
      <w:pPr>
        <w:numPr>
          <w:ilvl w:val="0"/>
          <w:numId w:val="0"/>
        </w:num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货物需求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267"/>
        <w:gridCol w:w="4398"/>
        <w:gridCol w:w="986"/>
        <w:gridCol w:w="643"/>
        <w:gridCol w:w="1089"/>
      </w:tblGrid>
      <w:tr w14:paraId="1833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dxa"/>
            <w:noWrap w:val="0"/>
            <w:vAlign w:val="center"/>
          </w:tcPr>
          <w:p w14:paraId="7DAEA378">
            <w:pPr>
              <w:keepNext w:val="0"/>
              <w:keepLines w:val="0"/>
              <w:pageBreakBefore w:val="0"/>
              <w:widowControl w:val="0"/>
              <w:tabs>
                <w:tab w:val="left" w:pos="3600"/>
              </w:tabs>
              <w:kinsoku/>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1"/>
                <w:szCs w:val="21"/>
              </w:rPr>
            </w:pPr>
            <w:r>
              <w:rPr>
                <w:rFonts w:ascii="宋体" w:hAnsi="宋体" w:eastAsia="宋体" w:cs="Times New Roman"/>
                <w:b/>
                <w:bCs/>
                <w:sz w:val="21"/>
                <w:szCs w:val="21"/>
              </w:rPr>
              <w:t>序号</w:t>
            </w:r>
          </w:p>
        </w:tc>
        <w:tc>
          <w:tcPr>
            <w:tcW w:w="1267" w:type="dxa"/>
            <w:noWrap w:val="0"/>
            <w:vAlign w:val="center"/>
          </w:tcPr>
          <w:p w14:paraId="688FFAB6">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1"/>
                <w:szCs w:val="21"/>
              </w:rPr>
            </w:pPr>
            <w:r>
              <w:rPr>
                <w:rFonts w:hint="eastAsia" w:ascii="宋体" w:hAnsi="宋体" w:eastAsia="宋体" w:cs="Times New Roman"/>
                <w:b/>
                <w:bCs/>
                <w:sz w:val="21"/>
                <w:szCs w:val="21"/>
              </w:rPr>
              <w:t>货物名称</w:t>
            </w:r>
          </w:p>
        </w:tc>
        <w:tc>
          <w:tcPr>
            <w:tcW w:w="4398" w:type="dxa"/>
            <w:noWrap w:val="0"/>
            <w:vAlign w:val="center"/>
          </w:tcPr>
          <w:p w14:paraId="1F9677D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1"/>
                <w:szCs w:val="21"/>
                <w:lang w:eastAsia="zh-CN"/>
              </w:rPr>
            </w:pPr>
            <w:r>
              <w:rPr>
                <w:rFonts w:hint="eastAsia" w:ascii="宋体" w:hAnsi="宋体" w:eastAsia="宋体" w:cs="Times New Roman"/>
                <w:b/>
                <w:bCs/>
                <w:color w:val="auto"/>
                <w:sz w:val="21"/>
                <w:szCs w:val="21"/>
                <w:lang w:val="en-US" w:eastAsia="zh-CN"/>
              </w:rPr>
              <w:t>最低</w:t>
            </w:r>
            <w:r>
              <w:rPr>
                <w:rFonts w:hint="eastAsia" w:ascii="宋体" w:hAnsi="宋体" w:eastAsia="宋体" w:cs="Times New Roman"/>
                <w:b/>
                <w:bCs/>
                <w:color w:val="auto"/>
                <w:sz w:val="21"/>
                <w:szCs w:val="21"/>
              </w:rPr>
              <w:t>技术参数及要求</w:t>
            </w:r>
          </w:p>
        </w:tc>
        <w:tc>
          <w:tcPr>
            <w:tcW w:w="986" w:type="dxa"/>
            <w:noWrap w:val="0"/>
            <w:vAlign w:val="center"/>
          </w:tcPr>
          <w:p w14:paraId="34279478">
            <w:pPr>
              <w:keepNext w:val="0"/>
              <w:keepLines w:val="0"/>
              <w:pageBreakBefore w:val="0"/>
              <w:widowControl w:val="0"/>
              <w:tabs>
                <w:tab w:val="left" w:pos="3600"/>
              </w:tabs>
              <w:kinsoku/>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1"/>
                <w:szCs w:val="21"/>
                <w:lang w:eastAsia="zh-CN"/>
              </w:rPr>
            </w:pPr>
            <w:r>
              <w:rPr>
                <w:rFonts w:ascii="宋体" w:hAnsi="宋体" w:eastAsia="宋体" w:cs="Times New Roman"/>
                <w:b/>
                <w:bCs/>
                <w:sz w:val="21"/>
                <w:szCs w:val="21"/>
              </w:rPr>
              <w:t>数量</w:t>
            </w:r>
          </w:p>
        </w:tc>
        <w:tc>
          <w:tcPr>
            <w:tcW w:w="643" w:type="dxa"/>
            <w:noWrap w:val="0"/>
            <w:vAlign w:val="center"/>
          </w:tcPr>
          <w:p w14:paraId="5F04C8F0">
            <w:pPr>
              <w:keepNext w:val="0"/>
              <w:keepLines w:val="0"/>
              <w:pageBreakBefore w:val="0"/>
              <w:widowControl w:val="0"/>
              <w:tabs>
                <w:tab w:val="left" w:pos="3600"/>
              </w:tabs>
              <w:kinsoku/>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1"/>
                <w:szCs w:val="21"/>
                <w:lang w:eastAsia="zh-CN"/>
              </w:rPr>
            </w:pPr>
            <w:r>
              <w:rPr>
                <w:rFonts w:hint="eastAsia" w:ascii="宋体" w:hAnsi="宋体" w:eastAsia="宋体" w:cs="Times New Roman"/>
                <w:b/>
                <w:bCs/>
                <w:sz w:val="21"/>
                <w:szCs w:val="21"/>
              </w:rPr>
              <w:t>所属行业</w:t>
            </w:r>
          </w:p>
        </w:tc>
        <w:tc>
          <w:tcPr>
            <w:tcW w:w="1089" w:type="dxa"/>
            <w:noWrap w:val="0"/>
            <w:vAlign w:val="center"/>
          </w:tcPr>
          <w:p w14:paraId="5F7EBD2F">
            <w:pPr>
              <w:keepNext w:val="0"/>
              <w:keepLines w:val="0"/>
              <w:pageBreakBefore w:val="0"/>
              <w:widowControl w:val="0"/>
              <w:tabs>
                <w:tab w:val="left" w:pos="3600"/>
              </w:tabs>
              <w:kinsoku/>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1"/>
                <w:szCs w:val="21"/>
                <w:lang w:val="en-US" w:eastAsia="zh-CN"/>
              </w:rPr>
            </w:pPr>
            <w:r>
              <w:rPr>
                <w:rFonts w:ascii="宋体" w:hAnsi="宋体" w:eastAsia="宋体" w:cs="Times New Roman"/>
                <w:b/>
                <w:bCs/>
                <w:sz w:val="21"/>
                <w:szCs w:val="21"/>
              </w:rPr>
              <w:t>是否为核心产品</w:t>
            </w:r>
          </w:p>
        </w:tc>
      </w:tr>
      <w:tr w14:paraId="71F6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440" w:type="dxa"/>
            <w:noWrap w:val="0"/>
            <w:vAlign w:val="center"/>
          </w:tcPr>
          <w:p w14:paraId="57303C1B">
            <w:pPr>
              <w:keepNext w:val="0"/>
              <w:keepLines w:val="0"/>
              <w:pageBreakBefore w:val="0"/>
              <w:widowControl w:val="0"/>
              <w:kinsoku/>
              <w:wordWrap/>
              <w:overflowPunct/>
              <w:topLinePunct w:val="0"/>
              <w:autoSpaceDE/>
              <w:autoSpaceDN/>
              <w:bidi w:val="0"/>
              <w:adjustRightInd/>
              <w:snapToGrid/>
              <w:spacing w:line="360" w:lineRule="auto"/>
              <w:ind w:left="1260" w:leftChars="600"/>
              <w:jc w:val="center"/>
              <w:textAlignment w:val="auto"/>
              <w:rPr>
                <w:rFonts w:hint="eastAsia" w:ascii="宋体" w:hAnsi="宋体" w:eastAsia="宋体" w:cs="宋体"/>
                <w:kern w:val="2"/>
                <w:sz w:val="21"/>
                <w:szCs w:val="21"/>
                <w:lang w:val="en-US" w:eastAsia="zh-CN" w:bidi="ar-SA"/>
              </w:rPr>
            </w:pPr>
          </w:p>
          <w:p w14:paraId="2CC3E1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267" w:type="dxa"/>
            <w:noWrap w:val="0"/>
            <w:vAlign w:val="center"/>
          </w:tcPr>
          <w:p w14:paraId="62E0963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lang w:eastAsia="zh-CN"/>
              </w:rPr>
            </w:pPr>
            <w:r>
              <w:rPr>
                <w:rFonts w:hint="eastAsia" w:ascii="宋体" w:hAnsi="宋体" w:eastAsia="宋体" w:cs="宋体"/>
                <w:szCs w:val="21"/>
              </w:rPr>
              <w:t>▲</w:t>
            </w:r>
            <w:r>
              <w:rPr>
                <w:rFonts w:hint="eastAsia" w:ascii="宋体" w:hAnsi="宋体" w:eastAsia="宋体" w:cs="宋体"/>
                <w:bCs/>
                <w:sz w:val="21"/>
                <w:szCs w:val="21"/>
              </w:rPr>
              <w:t>LED</w:t>
            </w:r>
            <w:r>
              <w:rPr>
                <w:rFonts w:hint="eastAsia" w:ascii="宋体" w:hAnsi="宋体" w:eastAsia="宋体" w:cs="宋体"/>
                <w:bCs/>
                <w:sz w:val="21"/>
                <w:szCs w:val="21"/>
                <w:lang w:val="en-US" w:eastAsia="zh-CN"/>
              </w:rPr>
              <w:t>教室灯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长1200</w:t>
            </w:r>
            <w:r>
              <w:rPr>
                <w:rFonts w:hint="eastAsia" w:ascii="宋体" w:hAnsi="宋体" w:eastAsia="宋体" w:cs="宋体"/>
                <w:sz w:val="21"/>
                <w:szCs w:val="21"/>
              </w:rPr>
              <w:t>±</w:t>
            </w:r>
            <w:r>
              <w:rPr>
                <w:rFonts w:hint="eastAsia" w:ascii="宋体" w:hAnsi="宋体" w:eastAsia="宋体" w:cs="宋体"/>
                <w:sz w:val="21"/>
                <w:szCs w:val="21"/>
                <w:lang w:val="en-US" w:eastAsia="zh-CN"/>
              </w:rPr>
              <w:t>100mm，宽300</w:t>
            </w:r>
            <w:r>
              <w:rPr>
                <w:rFonts w:hint="eastAsia" w:ascii="宋体" w:hAnsi="宋体" w:eastAsia="宋体" w:cs="宋体"/>
                <w:sz w:val="21"/>
                <w:szCs w:val="21"/>
              </w:rPr>
              <w:t>±</w:t>
            </w:r>
            <w:r>
              <w:rPr>
                <w:rFonts w:hint="eastAsia" w:ascii="宋体" w:hAnsi="宋体" w:eastAsia="宋体" w:cs="宋体"/>
                <w:sz w:val="21"/>
                <w:szCs w:val="21"/>
                <w:lang w:val="en-US" w:eastAsia="zh-CN"/>
              </w:rPr>
              <w:t>20mm</w:t>
            </w:r>
            <w:r>
              <w:rPr>
                <w:rFonts w:hint="eastAsia" w:ascii="宋体" w:hAnsi="宋体" w:eastAsia="宋体" w:cs="宋体"/>
                <w:sz w:val="21"/>
                <w:szCs w:val="21"/>
                <w:lang w:eastAsia="zh-CN"/>
              </w:rPr>
              <w:t>）</w:t>
            </w:r>
          </w:p>
        </w:tc>
        <w:tc>
          <w:tcPr>
            <w:tcW w:w="4398" w:type="dxa"/>
            <w:noWrap w:val="0"/>
            <w:vAlign w:val="center"/>
          </w:tcPr>
          <w:p w14:paraId="401E87C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LED教室灯额定功率≤</w:t>
            </w:r>
            <w:r>
              <w:rPr>
                <w:rFonts w:hint="eastAsia" w:ascii="宋体" w:hAnsi="宋体" w:eastAsia="宋体" w:cs="宋体"/>
                <w:sz w:val="21"/>
                <w:szCs w:val="21"/>
                <w:lang w:val="en-US" w:eastAsia="zh-CN"/>
              </w:rPr>
              <w:t>36</w:t>
            </w:r>
            <w:r>
              <w:rPr>
                <w:rFonts w:hint="eastAsia" w:ascii="宋体" w:hAnsi="宋体" w:eastAsia="宋体" w:cs="宋体"/>
                <w:sz w:val="21"/>
                <w:szCs w:val="21"/>
              </w:rPr>
              <w:t>W</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长1200</w:t>
            </w:r>
            <w:r>
              <w:rPr>
                <w:rFonts w:hint="eastAsia" w:ascii="宋体" w:hAnsi="宋体" w:eastAsia="宋体" w:cs="宋体"/>
                <w:sz w:val="21"/>
                <w:szCs w:val="21"/>
              </w:rPr>
              <w:t>±</w:t>
            </w:r>
            <w:r>
              <w:rPr>
                <w:rFonts w:hint="eastAsia" w:ascii="宋体" w:hAnsi="宋体" w:eastAsia="宋体" w:cs="宋体"/>
                <w:sz w:val="21"/>
                <w:szCs w:val="21"/>
                <w:lang w:val="en-US" w:eastAsia="zh-CN"/>
              </w:rPr>
              <w:t>100mm，宽300</w:t>
            </w:r>
            <w:r>
              <w:rPr>
                <w:rFonts w:hint="eastAsia" w:ascii="宋体" w:hAnsi="宋体" w:eastAsia="宋体" w:cs="宋体"/>
                <w:sz w:val="21"/>
                <w:szCs w:val="21"/>
              </w:rPr>
              <w:t>±</w:t>
            </w:r>
            <w:r>
              <w:rPr>
                <w:rFonts w:hint="eastAsia" w:ascii="宋体" w:hAnsi="宋体" w:eastAsia="宋体" w:cs="宋体"/>
                <w:sz w:val="21"/>
                <w:szCs w:val="21"/>
                <w:lang w:val="en-US" w:eastAsia="zh-CN"/>
              </w:rPr>
              <w:t>20mm</w:t>
            </w:r>
            <w:r>
              <w:rPr>
                <w:rFonts w:hint="eastAsia" w:ascii="宋体" w:hAnsi="宋体" w:eastAsia="宋体" w:cs="宋体"/>
                <w:sz w:val="21"/>
                <w:szCs w:val="21"/>
                <w:lang w:eastAsia="zh-CN"/>
              </w:rPr>
              <w:t>），</w:t>
            </w:r>
            <w:r>
              <w:rPr>
                <w:rFonts w:hint="eastAsia" w:ascii="宋体" w:hAnsi="宋体" w:eastAsia="宋体" w:cs="宋体"/>
                <w:kern w:val="0"/>
                <w:sz w:val="21"/>
                <w:szCs w:val="21"/>
                <w:lang w:bidi="ar"/>
              </w:rPr>
              <w:t>LED模块功率冗余量不低于</w:t>
            </w:r>
            <w:r>
              <w:rPr>
                <w:rFonts w:hint="eastAsia" w:ascii="宋体" w:hAnsi="宋体" w:eastAsia="宋体" w:cs="宋体"/>
                <w:kern w:val="0"/>
                <w:sz w:val="21"/>
                <w:szCs w:val="21"/>
                <w:lang w:val="en-US" w:eastAsia="zh-CN" w:bidi="ar"/>
              </w:rPr>
              <w:t>3</w:t>
            </w:r>
            <w:r>
              <w:rPr>
                <w:rFonts w:hint="eastAsia" w:ascii="宋体" w:hAnsi="宋体" w:eastAsia="宋体" w:cs="宋体"/>
                <w:kern w:val="0"/>
                <w:sz w:val="21"/>
                <w:szCs w:val="21"/>
                <w:lang w:bidi="ar"/>
              </w:rPr>
              <w:t>倍</w:t>
            </w:r>
            <w:r>
              <w:rPr>
                <w:rFonts w:hint="eastAsia" w:ascii="宋体" w:hAnsi="宋体" w:eastAsia="宋体" w:cs="宋体"/>
                <w:kern w:val="0"/>
                <w:sz w:val="21"/>
                <w:szCs w:val="21"/>
                <w:lang w:eastAsia="zh-CN" w:bidi="ar"/>
              </w:rPr>
              <w:t>。</w:t>
            </w:r>
          </w:p>
          <w:p w14:paraId="48CF6E1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rPr>
              <w:t>LED教室灯</w:t>
            </w:r>
            <w:r>
              <w:rPr>
                <w:rFonts w:hint="eastAsia" w:ascii="宋体" w:hAnsi="宋体" w:eastAsia="宋体" w:cs="宋体"/>
                <w:sz w:val="21"/>
                <w:szCs w:val="21"/>
                <w:lang w:val="en-US" w:eastAsia="zh-CN"/>
              </w:rPr>
              <w:t>显色指数</w:t>
            </w:r>
            <w:r>
              <w:rPr>
                <w:rFonts w:hint="eastAsia" w:ascii="宋体" w:hAnsi="宋体" w:eastAsia="宋体" w:cs="宋体"/>
                <w:sz w:val="21"/>
                <w:szCs w:val="21"/>
              </w:rPr>
              <w:t>在</w:t>
            </w:r>
            <w:r>
              <w:rPr>
                <w:rFonts w:hint="eastAsia" w:ascii="宋体" w:hAnsi="宋体" w:eastAsia="宋体" w:cs="宋体"/>
                <w:sz w:val="21"/>
                <w:szCs w:val="21"/>
                <w:lang w:val="en-US" w:eastAsia="zh-CN"/>
              </w:rPr>
              <w:t>开关试验</w:t>
            </w:r>
            <w:r>
              <w:rPr>
                <w:rFonts w:hint="eastAsia" w:ascii="宋体" w:hAnsi="宋体" w:eastAsia="宋体" w:cs="宋体"/>
                <w:sz w:val="21"/>
                <w:szCs w:val="21"/>
              </w:rPr>
              <w:t>（</w:t>
            </w:r>
            <w:r>
              <w:rPr>
                <w:rFonts w:hint="eastAsia" w:ascii="宋体" w:hAnsi="宋体" w:eastAsia="宋体" w:cs="宋体"/>
                <w:sz w:val="21"/>
                <w:szCs w:val="21"/>
                <w:lang w:val="en-US" w:eastAsia="zh-CN"/>
              </w:rPr>
              <w:t>初始</w:t>
            </w:r>
            <w:r>
              <w:rPr>
                <w:rFonts w:hint="eastAsia" w:ascii="宋体" w:hAnsi="宋体" w:eastAsia="宋体" w:cs="宋体"/>
                <w:sz w:val="21"/>
                <w:szCs w:val="21"/>
              </w:rPr>
              <w:t>0</w:t>
            </w:r>
            <w:r>
              <w:rPr>
                <w:rFonts w:hint="eastAsia" w:ascii="宋体" w:hAnsi="宋体" w:eastAsia="宋体" w:cs="宋体"/>
                <w:sz w:val="21"/>
                <w:szCs w:val="21"/>
                <w:lang w:eastAsia="zh-CN"/>
              </w:rPr>
              <w:t>次</w:t>
            </w:r>
            <w:r>
              <w:rPr>
                <w:rFonts w:hint="eastAsia" w:ascii="宋体" w:hAnsi="宋体" w:eastAsia="宋体" w:cs="宋体"/>
                <w:sz w:val="21"/>
                <w:szCs w:val="21"/>
              </w:rPr>
              <w:t>）及</w:t>
            </w:r>
            <w:r>
              <w:rPr>
                <w:rFonts w:hint="eastAsia" w:ascii="宋体" w:hAnsi="宋体" w:eastAsia="宋体" w:cs="宋体"/>
                <w:sz w:val="21"/>
                <w:szCs w:val="21"/>
                <w:lang w:val="en-US" w:eastAsia="zh-CN"/>
              </w:rPr>
              <w:t>开关（50000次）均满足Ra</w:t>
            </w:r>
            <w:r>
              <w:rPr>
                <w:rFonts w:hint="eastAsia" w:ascii="宋体" w:hAnsi="宋体" w:eastAsia="宋体" w:cs="宋体"/>
                <w:spacing w:val="9"/>
                <w:sz w:val="21"/>
                <w:szCs w:val="21"/>
              </w:rPr>
              <w:t>≥</w:t>
            </w:r>
            <w:r>
              <w:rPr>
                <w:rFonts w:hint="eastAsia" w:ascii="宋体" w:hAnsi="宋体" w:eastAsia="宋体" w:cs="宋体"/>
                <w:spacing w:val="9"/>
                <w:sz w:val="21"/>
                <w:szCs w:val="21"/>
                <w:lang w:val="en-US" w:eastAsia="zh-CN"/>
              </w:rPr>
              <w:t>96,显色指数Ra变化差</w:t>
            </w:r>
            <w:r>
              <w:rPr>
                <w:rFonts w:hint="eastAsia" w:ascii="宋体" w:hAnsi="宋体" w:eastAsia="宋体" w:cs="宋体"/>
                <w:sz w:val="21"/>
                <w:szCs w:val="21"/>
                <w:lang w:val="en-US" w:eastAsia="zh-CN"/>
              </w:rPr>
              <w:t>≤0.5。</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54EC01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rPr>
              <w:t>LED教室灯色温（或相关色温）在</w:t>
            </w:r>
            <w:r>
              <w:rPr>
                <w:rFonts w:hint="eastAsia" w:ascii="宋体" w:hAnsi="宋体" w:eastAsia="宋体" w:cs="宋体"/>
                <w:sz w:val="21"/>
                <w:szCs w:val="21"/>
                <w:lang w:val="en-US" w:eastAsia="zh-CN"/>
              </w:rPr>
              <w:t>开关试验</w:t>
            </w:r>
            <w:r>
              <w:rPr>
                <w:rFonts w:hint="eastAsia" w:ascii="宋体" w:hAnsi="宋体" w:eastAsia="宋体" w:cs="宋体"/>
                <w:sz w:val="21"/>
                <w:szCs w:val="21"/>
              </w:rPr>
              <w:t>（</w:t>
            </w:r>
            <w:r>
              <w:rPr>
                <w:rFonts w:hint="eastAsia" w:ascii="宋体" w:hAnsi="宋体" w:eastAsia="宋体" w:cs="宋体"/>
                <w:sz w:val="21"/>
                <w:szCs w:val="21"/>
                <w:lang w:val="en-US" w:eastAsia="zh-CN"/>
              </w:rPr>
              <w:t>初始</w:t>
            </w:r>
            <w:r>
              <w:rPr>
                <w:rFonts w:hint="eastAsia" w:ascii="宋体" w:hAnsi="宋体" w:eastAsia="宋体" w:cs="宋体"/>
                <w:sz w:val="21"/>
                <w:szCs w:val="21"/>
              </w:rPr>
              <w:t>0</w:t>
            </w:r>
            <w:r>
              <w:rPr>
                <w:rFonts w:hint="eastAsia" w:ascii="宋体" w:hAnsi="宋体" w:eastAsia="宋体" w:cs="宋体"/>
                <w:sz w:val="21"/>
                <w:szCs w:val="21"/>
                <w:lang w:eastAsia="zh-CN"/>
              </w:rPr>
              <w:t>次</w:t>
            </w:r>
            <w:r>
              <w:rPr>
                <w:rFonts w:hint="eastAsia" w:ascii="宋体" w:hAnsi="宋体" w:eastAsia="宋体" w:cs="宋体"/>
                <w:sz w:val="21"/>
                <w:szCs w:val="21"/>
              </w:rPr>
              <w:t>）及</w:t>
            </w:r>
            <w:r>
              <w:rPr>
                <w:rFonts w:hint="eastAsia" w:ascii="宋体" w:hAnsi="宋体" w:eastAsia="宋体" w:cs="宋体"/>
                <w:sz w:val="21"/>
                <w:szCs w:val="21"/>
                <w:lang w:val="en-US" w:eastAsia="zh-CN"/>
              </w:rPr>
              <w:t>开关（50000次）均满足</w:t>
            </w:r>
            <w:r>
              <w:rPr>
                <w:rFonts w:hint="eastAsia" w:ascii="宋体" w:hAnsi="宋体" w:eastAsia="宋体" w:cs="宋体"/>
                <w:sz w:val="21"/>
                <w:szCs w:val="21"/>
              </w:rPr>
              <w:t>3300-5300K</w:t>
            </w:r>
            <w:r>
              <w:rPr>
                <w:rFonts w:hint="eastAsia" w:ascii="宋体" w:hAnsi="宋体" w:eastAsia="宋体" w:cs="宋体"/>
                <w:sz w:val="21"/>
                <w:szCs w:val="21"/>
                <w:lang w:eastAsia="zh-CN"/>
              </w:rPr>
              <w:t>。</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52E41C3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rPr>
              <w:t>LED教室灯</w:t>
            </w:r>
            <w:r>
              <w:rPr>
                <w:rFonts w:hint="eastAsia" w:ascii="宋体" w:hAnsi="宋体" w:eastAsia="宋体" w:cs="宋体"/>
                <w:sz w:val="21"/>
                <w:szCs w:val="21"/>
                <w:lang w:val="en-US" w:eastAsia="zh-CN"/>
              </w:rPr>
              <w:t>在开关试验50000次后光通维持率≥95%。</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55121F0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7"/>
                <w:sz w:val="21"/>
                <w:szCs w:val="21"/>
              </w:rPr>
            </w:pPr>
            <w:r>
              <w:rPr>
                <w:rFonts w:hint="eastAsia" w:ascii="宋体" w:hAnsi="宋体" w:eastAsia="宋体" w:cs="宋体"/>
                <w:spacing w:val="7"/>
                <w:sz w:val="21"/>
                <w:szCs w:val="21"/>
                <w:lang w:val="en-US" w:eastAsia="zh-CN"/>
              </w:rPr>
              <w:t>5.</w:t>
            </w:r>
            <w:r>
              <w:rPr>
                <w:rFonts w:hint="eastAsia" w:ascii="宋体" w:hAnsi="宋体" w:eastAsia="宋体" w:cs="宋体"/>
                <w:sz w:val="21"/>
                <w:szCs w:val="21"/>
              </w:rPr>
              <w:t>LED</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教室灯“</w:t>
            </w:r>
            <w:r>
              <w:rPr>
                <w:rFonts w:hint="eastAsia" w:ascii="宋体" w:hAnsi="宋体" w:eastAsia="宋体" w:cs="宋体"/>
                <w:spacing w:val="-65"/>
                <w:sz w:val="21"/>
                <w:szCs w:val="21"/>
              </w:rPr>
              <w:t xml:space="preserve"> </w:t>
            </w:r>
            <w:r>
              <w:rPr>
                <w:rFonts w:hint="eastAsia" w:ascii="宋体" w:hAnsi="宋体" w:eastAsia="宋体" w:cs="宋体"/>
                <w:spacing w:val="7"/>
                <w:sz w:val="21"/>
                <w:szCs w:val="21"/>
              </w:rPr>
              <w:t>闪烁</w:t>
            </w:r>
            <w:r>
              <w:rPr>
                <w:rFonts w:hint="eastAsia" w:ascii="宋体" w:hAnsi="宋体" w:eastAsia="宋体" w:cs="宋体"/>
                <w:spacing w:val="-72"/>
                <w:sz w:val="21"/>
                <w:szCs w:val="21"/>
              </w:rPr>
              <w:t xml:space="preserve"> </w:t>
            </w:r>
            <w:r>
              <w:rPr>
                <w:rFonts w:hint="eastAsia" w:ascii="宋体" w:hAnsi="宋体" w:eastAsia="宋体" w:cs="宋体"/>
                <w:spacing w:val="7"/>
                <w:sz w:val="21"/>
                <w:szCs w:val="21"/>
              </w:rPr>
              <w:t>”项目检测为无显著影响。</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79F11B2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5"/>
                <w:sz w:val="21"/>
                <w:szCs w:val="21"/>
              </w:rPr>
            </w:pPr>
            <w:r>
              <w:rPr>
                <w:rFonts w:hint="eastAsia" w:ascii="宋体" w:hAnsi="宋体" w:eastAsia="宋体" w:cs="宋体"/>
                <w:spacing w:val="7"/>
                <w:sz w:val="21"/>
                <w:szCs w:val="21"/>
                <w:lang w:val="en-US" w:eastAsia="zh-CN"/>
              </w:rPr>
              <w:t>6.LED教室灯</w:t>
            </w:r>
            <w:r>
              <w:rPr>
                <w:rFonts w:hint="eastAsia" w:ascii="宋体" w:hAnsi="宋体" w:eastAsia="宋体" w:cs="宋体"/>
                <w:spacing w:val="-4"/>
                <w:sz w:val="21"/>
                <w:szCs w:val="21"/>
              </w:rPr>
              <w:t>的蓝光危害等级应为“RG0”</w:t>
            </w:r>
            <w:r>
              <w:rPr>
                <w:rFonts w:hint="eastAsia" w:ascii="宋体" w:hAnsi="宋体" w:eastAsia="宋体" w:cs="宋体"/>
                <w:spacing w:val="-5"/>
                <w:sz w:val="21"/>
                <w:szCs w:val="21"/>
              </w:rPr>
              <w:t>。</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0280B6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7"/>
                <w:sz w:val="21"/>
                <w:szCs w:val="21"/>
              </w:rPr>
            </w:pPr>
            <w:r>
              <w:rPr>
                <w:rFonts w:hint="eastAsia" w:ascii="宋体" w:hAnsi="宋体" w:eastAsia="宋体" w:cs="宋体"/>
                <w:spacing w:val="-6"/>
                <w:sz w:val="21"/>
                <w:szCs w:val="21"/>
                <w:lang w:val="en-US" w:eastAsia="zh-CN"/>
              </w:rPr>
              <w:t>7.</w:t>
            </w:r>
            <w:r>
              <w:rPr>
                <w:rFonts w:hint="eastAsia" w:ascii="宋体" w:hAnsi="宋体" w:eastAsia="宋体" w:cs="宋体"/>
                <w:spacing w:val="7"/>
                <w:sz w:val="21"/>
                <w:szCs w:val="21"/>
                <w:lang w:val="en-US" w:eastAsia="zh-CN"/>
              </w:rPr>
              <w:t>LED教室灯</w:t>
            </w:r>
            <w:r>
              <w:rPr>
                <w:rFonts w:hint="eastAsia" w:ascii="宋体" w:hAnsi="宋体" w:eastAsia="宋体" w:cs="宋体"/>
                <w:spacing w:val="-6"/>
                <w:sz w:val="21"/>
                <w:szCs w:val="21"/>
              </w:rPr>
              <w:t>的光</w:t>
            </w:r>
            <w:r>
              <w:rPr>
                <w:rFonts w:hint="eastAsia" w:ascii="宋体" w:hAnsi="宋体" w:eastAsia="宋体" w:cs="宋体"/>
                <w:spacing w:val="-7"/>
                <w:sz w:val="21"/>
                <w:szCs w:val="21"/>
              </w:rPr>
              <w:t>生物安全</w:t>
            </w:r>
            <w:r>
              <w:rPr>
                <w:rFonts w:hint="eastAsia" w:ascii="宋体" w:hAnsi="宋体" w:eastAsia="宋体" w:cs="宋体"/>
                <w:spacing w:val="-7"/>
                <w:sz w:val="21"/>
                <w:szCs w:val="21"/>
                <w:lang w:val="en-US" w:eastAsia="zh-CN"/>
              </w:rPr>
              <w:t>符合</w:t>
            </w:r>
            <w:r>
              <w:rPr>
                <w:rFonts w:hint="eastAsia" w:ascii="宋体" w:hAnsi="宋体" w:eastAsia="宋体" w:cs="宋体"/>
                <w:spacing w:val="-41"/>
                <w:sz w:val="21"/>
                <w:szCs w:val="21"/>
              </w:rPr>
              <w:t xml:space="preserve"> </w:t>
            </w:r>
            <w:r>
              <w:rPr>
                <w:rFonts w:hint="eastAsia" w:ascii="宋体" w:hAnsi="宋体" w:eastAsia="宋体" w:cs="宋体"/>
                <w:spacing w:val="-7"/>
                <w:sz w:val="21"/>
                <w:szCs w:val="21"/>
              </w:rPr>
              <w:t>“无危害”</w:t>
            </w:r>
            <w:r>
              <w:rPr>
                <w:rFonts w:hint="eastAsia" w:ascii="宋体" w:hAnsi="宋体" w:eastAsia="宋体" w:cs="宋体"/>
                <w:spacing w:val="-14"/>
                <w:sz w:val="21"/>
                <w:szCs w:val="21"/>
              </w:rPr>
              <w:t xml:space="preserve"> </w:t>
            </w:r>
            <w:r>
              <w:rPr>
                <w:rFonts w:hint="eastAsia" w:ascii="宋体" w:hAnsi="宋体" w:eastAsia="宋体" w:cs="宋体"/>
                <w:spacing w:val="-7"/>
                <w:sz w:val="21"/>
                <w:szCs w:val="21"/>
              </w:rPr>
              <w:t>类。</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5957D4E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6"/>
                <w:sz w:val="21"/>
                <w:szCs w:val="21"/>
                <w:lang w:val="en-US" w:eastAsia="zh-CN"/>
              </w:rPr>
              <w:t>8.</w:t>
            </w:r>
            <w:r>
              <w:rPr>
                <w:rFonts w:hint="eastAsia" w:ascii="宋体" w:hAnsi="宋体" w:eastAsia="宋体" w:cs="宋体"/>
                <w:b w:val="0"/>
                <w:bCs w:val="0"/>
                <w:color w:val="000000"/>
                <w:kern w:val="0"/>
                <w:sz w:val="21"/>
                <w:szCs w:val="21"/>
                <w:lang w:val="en-US" w:eastAsia="zh-CN" w:bidi="ar"/>
              </w:rPr>
              <w:t>LED教室灯通过机械悬挂</w:t>
            </w:r>
            <w:r>
              <w:rPr>
                <w:rFonts w:hint="eastAsia" w:ascii="Times New Roman" w:eastAsia="宋体"/>
                <w:lang w:val="en-US" w:eastAsia="zh-CN"/>
              </w:rPr>
              <w:t>不低于</w:t>
            </w:r>
            <w:r>
              <w:rPr>
                <w:rFonts w:hint="eastAsia" w:ascii="宋体" w:hAnsi="宋体" w:eastAsia="宋体" w:cs="宋体"/>
                <w:b w:val="0"/>
                <w:bCs w:val="0"/>
                <w:color w:val="000000"/>
                <w:kern w:val="0"/>
                <w:sz w:val="21"/>
                <w:szCs w:val="21"/>
                <w:lang w:val="en-US" w:eastAsia="zh-CN" w:bidi="ar"/>
              </w:rPr>
              <w:t>10倍重量测试，试验后悬挂装置完好，无明显变形。</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4C35A96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9</w:t>
            </w:r>
            <w:r>
              <w:rPr>
                <w:rFonts w:hint="eastAsia" w:ascii="宋体" w:hAnsi="宋体" w:eastAsia="宋体" w:cs="宋体"/>
                <w:spacing w:val="-6"/>
                <w:sz w:val="21"/>
                <w:szCs w:val="21"/>
                <w:lang w:val="en-US" w:eastAsia="zh-CN"/>
              </w:rPr>
              <w:t>.</w:t>
            </w:r>
            <w:r>
              <w:rPr>
                <w:rFonts w:hint="eastAsia" w:ascii="宋体" w:hAnsi="宋体" w:eastAsia="宋体" w:cs="宋体"/>
                <w:spacing w:val="7"/>
                <w:sz w:val="21"/>
                <w:szCs w:val="21"/>
                <w:lang w:val="en-US" w:eastAsia="zh-CN"/>
              </w:rPr>
              <w:t>LED</w:t>
            </w:r>
            <w:r>
              <w:rPr>
                <w:rFonts w:hint="eastAsia" w:ascii="宋体" w:hAnsi="宋体" w:eastAsia="宋体" w:cs="宋体"/>
                <w:color w:val="000000"/>
                <w:kern w:val="0"/>
                <w:sz w:val="21"/>
                <w:szCs w:val="21"/>
                <w:lang w:val="en-US" w:eastAsia="zh-CN" w:bidi="ar"/>
              </w:rPr>
              <w:t>教室灯通过静电放电抗干扰测试，空气放电在±8kV之间,接触放电在±4kV之间，测试后灯具运行正常。</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4046AD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 w:val="21"/>
                <w:szCs w:val="21"/>
                <w:lang w:val="en-US" w:eastAsia="zh-CN"/>
              </w:rPr>
              <w:t>10.</w:t>
            </w:r>
            <w:r>
              <w:rPr>
                <w:rFonts w:hint="eastAsia" w:ascii="宋体" w:hAnsi="宋体" w:eastAsia="宋体" w:cs="宋体"/>
                <w:color w:val="000000"/>
                <w:sz w:val="21"/>
                <w:szCs w:val="21"/>
              </w:rPr>
              <w:t>LED教室灯</w:t>
            </w:r>
            <w:r>
              <w:rPr>
                <w:rFonts w:hint="eastAsia" w:ascii="宋体" w:hAnsi="宋体" w:eastAsia="宋体" w:cs="宋体"/>
                <w:sz w:val="21"/>
                <w:szCs w:val="21"/>
              </w:rPr>
              <w:t>依据</w:t>
            </w:r>
            <w:r>
              <w:rPr>
                <w:rFonts w:hint="eastAsia" w:ascii="宋体" w:hAnsi="宋体" w:eastAsia="宋体" w:cs="宋体"/>
                <w:color w:val="000000"/>
                <w:sz w:val="21"/>
                <w:szCs w:val="21"/>
              </w:rPr>
              <w:t>GB/T 31275-2020 照明设备对人体电磁辐射的</w:t>
            </w:r>
            <w:r>
              <w:rPr>
                <w:rFonts w:hint="eastAsia" w:ascii="宋体" w:hAnsi="宋体" w:eastAsia="宋体" w:cs="宋体"/>
                <w:sz w:val="21"/>
                <w:szCs w:val="21"/>
              </w:rPr>
              <w:t>安全要求：</w:t>
            </w:r>
            <w:r>
              <w:rPr>
                <w:rFonts w:hint="eastAsia" w:ascii="宋体" w:hAnsi="宋体" w:eastAsia="宋体" w:cs="宋体"/>
                <w:color w:val="000000"/>
                <w:sz w:val="21"/>
                <w:szCs w:val="21"/>
              </w:rPr>
              <w:t>频率范围：20kHz-10MHz，感应电流密度限值：</w:t>
            </w:r>
            <w:r>
              <w:rPr>
                <w:rFonts w:hint="eastAsia" w:ascii="宋体" w:hAnsi="宋体" w:eastAsia="宋体" w:cs="宋体"/>
                <w:i/>
                <w:color w:val="000000"/>
                <w:sz w:val="21"/>
                <w:szCs w:val="21"/>
              </w:rPr>
              <w:t>F≤</w:t>
            </w:r>
            <w:r>
              <w:rPr>
                <w:rFonts w:hint="eastAsia" w:ascii="宋体" w:hAnsi="宋体" w:eastAsia="宋体" w:cs="宋体"/>
                <w:color w:val="000000"/>
                <w:sz w:val="21"/>
                <w:szCs w:val="21"/>
              </w:rPr>
              <w:t>1，进行范德霍夫测试，判定结果为P。</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770DB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7"/>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2"/>
                <w:sz w:val="21"/>
                <w:szCs w:val="21"/>
                <w:highlight w:val="none"/>
              </w:rPr>
              <w:t>1</w:t>
            </w:r>
            <w:r>
              <w:rPr>
                <w:rFonts w:hint="eastAsia" w:ascii="宋体" w:hAnsi="宋体" w:eastAsia="宋体" w:cs="宋体"/>
                <w:spacing w:val="2"/>
                <w:sz w:val="21"/>
                <w:szCs w:val="21"/>
                <w:highlight w:val="none"/>
                <w:lang w:val="en-US" w:eastAsia="zh-CN"/>
              </w:rPr>
              <w:t>1.</w:t>
            </w:r>
            <w:r>
              <w:rPr>
                <w:rFonts w:hint="eastAsia" w:ascii="宋体" w:hAnsi="宋体" w:eastAsia="宋体" w:cs="宋体"/>
                <w:spacing w:val="7"/>
                <w:sz w:val="21"/>
                <w:szCs w:val="21"/>
                <w:lang w:val="en-US" w:eastAsia="zh-CN"/>
              </w:rPr>
              <w:t>LED教室灯的光通维持寿命40000小时或以上。</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26C2BA9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12</w:t>
            </w:r>
            <w:r>
              <w:rPr>
                <w:rFonts w:hint="eastAsia" w:ascii="宋体" w:hAnsi="宋体" w:eastAsia="宋体" w:cs="宋体"/>
                <w:spacing w:val="2"/>
                <w:sz w:val="21"/>
                <w:szCs w:val="21"/>
                <w:highlight w:val="none"/>
                <w:lang w:val="en-US" w:eastAsia="zh-CN"/>
              </w:rPr>
              <w:t>.</w:t>
            </w:r>
            <w:r>
              <w:rPr>
                <w:rFonts w:hint="eastAsia" w:ascii="宋体" w:hAnsi="宋体" w:eastAsia="宋体" w:cs="宋体"/>
                <w:spacing w:val="7"/>
                <w:sz w:val="21"/>
                <w:szCs w:val="21"/>
                <w:lang w:val="en-US" w:eastAsia="zh-CN"/>
              </w:rPr>
              <w:t>LED教室灯经过点灯40000H老化试验（不接受加速老化测试）</w:t>
            </w:r>
          </w:p>
          <w:p w14:paraId="3991AC2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7"/>
                <w:sz w:val="21"/>
                <w:szCs w:val="21"/>
                <w:lang w:val="en-US" w:eastAsia="zh-CN"/>
              </w:rPr>
              <w:t>（1）依据GB/T 20138-2023《电器设备外壳对外界机械碰撞的防护等级（IK代码）》防护等级≥（IK08）5J外壳冲击。</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343788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7"/>
                <w:sz w:val="21"/>
                <w:szCs w:val="21"/>
                <w:lang w:val="en-US" w:eastAsia="zh-CN"/>
              </w:rPr>
              <w:t>（2）依据GB/T 31897.201-2016《灯具性能 第2-1部分：LED灯具特殊要求》，GB/T 9468-2008《灯具分布光度测量的一般要求》，GB/T 24824-2009《普通照明用LED模块测试方法》，光通维持率≥0.96。</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55D45E0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7"/>
                <w:sz w:val="21"/>
                <w:szCs w:val="21"/>
                <w:lang w:val="en-US" w:eastAsia="zh-CN"/>
              </w:rPr>
              <w:t>（3）依据GB/T 31897.201-2016《灯具性能 第2-1部分：LED灯具特殊要求》，GB/T 9468-2008《灯具分布光度测量的一般要求》，GB/T 24824-2009《普通照明用LED模块测试方法》，光束角（半峰光束角C0/180)角度偏差绝对值≤1°。</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2D0AE85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13</w:t>
            </w:r>
            <w:r>
              <w:rPr>
                <w:rFonts w:hint="eastAsia" w:ascii="宋体" w:hAnsi="宋体" w:eastAsia="宋体" w:cs="宋体"/>
                <w:spacing w:val="2"/>
                <w:sz w:val="21"/>
                <w:szCs w:val="21"/>
                <w:highlight w:val="none"/>
                <w:lang w:val="en-US" w:eastAsia="zh-CN"/>
              </w:rPr>
              <w:t>.</w:t>
            </w:r>
            <w:r>
              <w:rPr>
                <w:rFonts w:hint="eastAsia" w:ascii="宋体" w:hAnsi="宋体" w:eastAsia="宋体" w:cs="宋体"/>
                <w:spacing w:val="7"/>
                <w:sz w:val="21"/>
                <w:szCs w:val="21"/>
                <w:lang w:val="en-US" w:eastAsia="zh-CN"/>
              </w:rPr>
              <w:t>LED教室灯在大气压力≥100kPa，平均湿度≥50%RH、及极值空气温度≥35℃的实地自然环境条件下至少持续运行1000小时。</w:t>
            </w:r>
          </w:p>
          <w:p w14:paraId="5D81A74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7"/>
                <w:sz w:val="21"/>
                <w:szCs w:val="21"/>
                <w:lang w:val="en-US" w:eastAsia="zh-CN"/>
              </w:rPr>
              <w:t>（1）依据GB/T 36979-2018标准满足色品空间颜色不均匀性△u’v’≤0.007。</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2990BD3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7"/>
                <w:sz w:val="21"/>
                <w:szCs w:val="21"/>
                <w:lang w:val="en-US" w:eastAsia="zh-CN"/>
              </w:rPr>
              <w:t>（2）依据GB/T 31897.201-2016标准满足光效的实测值与初始值的偏差不超过-10%。</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1A89312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7"/>
                <w:sz w:val="21"/>
                <w:szCs w:val="21"/>
                <w:lang w:val="en-US" w:eastAsia="zh-CN"/>
              </w:rPr>
              <w:t>（3）依据GB/T 6882-2016标准噪声实测值与初始值偏差不超过5db(A )。</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5087579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spacing w:val="7"/>
                <w:sz w:val="21"/>
                <w:szCs w:val="21"/>
                <w:lang w:val="en-US" w:eastAsia="zh-CN"/>
              </w:rPr>
              <w:t>（4）色彩保真度Rf＞95得。</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tc>
        <w:tc>
          <w:tcPr>
            <w:tcW w:w="986" w:type="dxa"/>
            <w:noWrap w:val="0"/>
            <w:vAlign w:val="center"/>
          </w:tcPr>
          <w:p w14:paraId="57972D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2300</w:t>
            </w:r>
            <w:r>
              <w:rPr>
                <w:rFonts w:hint="eastAsia" w:ascii="宋体" w:hAnsi="宋体" w:eastAsia="宋体" w:cs="Times New Roman"/>
                <w:b/>
                <w:bCs/>
                <w:sz w:val="21"/>
                <w:szCs w:val="21"/>
                <w:lang w:val="en-US" w:eastAsia="zh-CN"/>
              </w:rPr>
              <w:t>套</w:t>
            </w:r>
          </w:p>
        </w:tc>
        <w:tc>
          <w:tcPr>
            <w:tcW w:w="643" w:type="dxa"/>
            <w:noWrap w:val="0"/>
            <w:vAlign w:val="center"/>
          </w:tcPr>
          <w:p w14:paraId="05B230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544201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是</w:t>
            </w:r>
          </w:p>
        </w:tc>
      </w:tr>
      <w:tr w14:paraId="7CBB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7F09BC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267" w:type="dxa"/>
            <w:noWrap w:val="0"/>
            <w:vAlign w:val="center"/>
          </w:tcPr>
          <w:p w14:paraId="7DE33F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Cs w:val="21"/>
              </w:rPr>
              <w:t>▲</w:t>
            </w:r>
            <w:r>
              <w:rPr>
                <w:rFonts w:hint="eastAsia" w:ascii="宋体" w:hAnsi="宋体" w:eastAsia="宋体" w:cs="宋体"/>
                <w:bCs/>
                <w:kern w:val="2"/>
                <w:sz w:val="21"/>
                <w:szCs w:val="21"/>
                <w:lang w:val="en-US" w:eastAsia="zh-CN" w:bidi="ar-SA"/>
              </w:rPr>
              <w:t>LED教室灯（</w:t>
            </w:r>
            <w:r>
              <w:rPr>
                <w:rFonts w:hint="eastAsia" w:ascii="宋体" w:hAnsi="宋体" w:eastAsia="宋体" w:cs="宋体"/>
                <w:spacing w:val="7"/>
                <w:kern w:val="2"/>
                <w:sz w:val="21"/>
                <w:szCs w:val="21"/>
                <w:lang w:val="en-US" w:eastAsia="en-US" w:bidi="ar-SA"/>
              </w:rPr>
              <w:t>长</w:t>
            </w:r>
            <w:r>
              <w:rPr>
                <w:rFonts w:hint="eastAsia" w:ascii="宋体" w:hAnsi="宋体" w:eastAsia="宋体" w:cs="宋体"/>
                <w:spacing w:val="-37"/>
                <w:kern w:val="2"/>
                <w:sz w:val="21"/>
                <w:szCs w:val="21"/>
                <w:lang w:val="en-US" w:eastAsia="en-US" w:bidi="ar-SA"/>
              </w:rPr>
              <w:t xml:space="preserve"> </w:t>
            </w:r>
            <w:r>
              <w:rPr>
                <w:rFonts w:hint="eastAsia" w:ascii="宋体" w:hAnsi="宋体" w:eastAsia="宋体" w:cs="宋体"/>
                <w:spacing w:val="7"/>
                <w:kern w:val="2"/>
                <w:sz w:val="21"/>
                <w:szCs w:val="21"/>
                <w:lang w:val="en-US" w:eastAsia="en-US" w:bidi="ar-SA"/>
              </w:rPr>
              <w:t>600±5</w:t>
            </w:r>
            <w:r>
              <w:rPr>
                <w:rFonts w:hint="eastAsia" w:ascii="宋体" w:hAnsi="宋体" w:eastAsia="宋体" w:cs="宋体"/>
                <w:kern w:val="2"/>
                <w:sz w:val="21"/>
                <w:szCs w:val="21"/>
                <w:lang w:val="en-US" w:eastAsia="en-US" w:bidi="ar-SA"/>
              </w:rPr>
              <w:t>mm</w:t>
            </w:r>
            <w:r>
              <w:rPr>
                <w:rFonts w:hint="eastAsia" w:ascii="宋体" w:hAnsi="宋体" w:eastAsia="宋体" w:cs="宋体"/>
                <w:spacing w:val="7"/>
                <w:kern w:val="2"/>
                <w:sz w:val="21"/>
                <w:szCs w:val="21"/>
                <w:lang w:val="en-US" w:eastAsia="zh-CN" w:bidi="ar-SA"/>
              </w:rPr>
              <w:t>，</w:t>
            </w:r>
            <w:r>
              <w:rPr>
                <w:rFonts w:hint="eastAsia" w:ascii="宋体" w:hAnsi="宋体" w:eastAsia="宋体" w:cs="宋体"/>
                <w:spacing w:val="7"/>
                <w:kern w:val="2"/>
                <w:sz w:val="21"/>
                <w:szCs w:val="21"/>
                <w:lang w:val="en-US" w:eastAsia="en-US" w:bidi="ar-SA"/>
              </w:rPr>
              <w:t>宽</w:t>
            </w:r>
            <w:r>
              <w:rPr>
                <w:rFonts w:hint="eastAsia" w:ascii="宋体" w:hAnsi="宋体" w:eastAsia="宋体" w:cs="宋体"/>
                <w:spacing w:val="-38"/>
                <w:kern w:val="2"/>
                <w:sz w:val="21"/>
                <w:szCs w:val="21"/>
                <w:lang w:val="en-US" w:eastAsia="en-US" w:bidi="ar-SA"/>
              </w:rPr>
              <w:t xml:space="preserve"> </w:t>
            </w:r>
            <w:r>
              <w:rPr>
                <w:rFonts w:hint="eastAsia" w:ascii="宋体" w:hAnsi="宋体" w:eastAsia="宋体" w:cs="宋体"/>
                <w:spacing w:val="7"/>
                <w:kern w:val="2"/>
                <w:sz w:val="21"/>
                <w:szCs w:val="21"/>
                <w:lang w:val="en-US" w:eastAsia="en-US" w:bidi="ar-SA"/>
              </w:rPr>
              <w:t>600±5</w:t>
            </w:r>
            <w:r>
              <w:rPr>
                <w:rFonts w:hint="eastAsia" w:ascii="宋体" w:hAnsi="宋体" w:eastAsia="宋体" w:cs="宋体"/>
                <w:kern w:val="2"/>
                <w:sz w:val="21"/>
                <w:szCs w:val="21"/>
                <w:lang w:val="en-US" w:eastAsia="en-US" w:bidi="ar-SA"/>
              </w:rPr>
              <w:t>mm</w:t>
            </w:r>
            <w:r>
              <w:rPr>
                <w:rFonts w:hint="eastAsia" w:ascii="宋体" w:hAnsi="宋体" w:eastAsia="宋体" w:cs="宋体"/>
                <w:bCs/>
                <w:kern w:val="2"/>
                <w:sz w:val="21"/>
                <w:szCs w:val="21"/>
                <w:lang w:val="en-US" w:eastAsia="zh-CN" w:bidi="ar-SA"/>
              </w:rPr>
              <w:t>）</w:t>
            </w:r>
          </w:p>
        </w:tc>
        <w:tc>
          <w:tcPr>
            <w:tcW w:w="4398" w:type="dxa"/>
            <w:noWrap w:val="0"/>
            <w:vAlign w:val="center"/>
          </w:tcPr>
          <w:p w14:paraId="22364CBC">
            <w:pPr>
              <w:keepNext w:val="0"/>
              <w:keepLines w:val="0"/>
              <w:pageBreakBefore w:val="0"/>
              <w:widowControl w:val="0"/>
              <w:kinsoku/>
              <w:wordWrap/>
              <w:overflowPunct/>
              <w:topLinePunct w:val="0"/>
              <w:autoSpaceDE/>
              <w:autoSpaceDN/>
              <w:bidi w:val="0"/>
              <w:adjustRightInd/>
              <w:snapToGrid/>
              <w:spacing w:line="360" w:lineRule="auto"/>
              <w:ind w:right="108"/>
              <w:jc w:val="both"/>
              <w:textAlignment w:val="auto"/>
              <w:rPr>
                <w:rFonts w:hint="eastAsia" w:ascii="宋体" w:hAnsi="宋体" w:eastAsia="宋体" w:cs="宋体"/>
                <w:kern w:val="2"/>
                <w:sz w:val="21"/>
                <w:szCs w:val="21"/>
                <w:lang w:val="en-US" w:eastAsia="en-US" w:bidi="ar-SA"/>
              </w:rPr>
            </w:pPr>
            <w:r>
              <w:rPr>
                <w:rFonts w:hint="eastAsia" w:ascii="宋体" w:hAnsi="宋体" w:eastAsia="宋体" w:cs="宋体"/>
                <w:spacing w:val="7"/>
                <w:kern w:val="2"/>
                <w:sz w:val="21"/>
                <w:szCs w:val="21"/>
                <w:lang w:val="en-US" w:eastAsia="zh-CN" w:bidi="ar-SA"/>
              </w:rPr>
              <w:t>1.</w:t>
            </w:r>
            <w:r>
              <w:rPr>
                <w:rFonts w:hint="eastAsia" w:ascii="宋体" w:hAnsi="宋体" w:eastAsia="宋体" w:cs="宋体"/>
                <w:bCs/>
                <w:kern w:val="2"/>
                <w:sz w:val="21"/>
                <w:szCs w:val="21"/>
                <w:lang w:val="en-US" w:eastAsia="zh-CN" w:bidi="ar-SA"/>
              </w:rPr>
              <w:t>LED</w:t>
            </w:r>
            <w:r>
              <w:rPr>
                <w:rFonts w:hint="eastAsia" w:ascii="宋体" w:hAnsi="宋体" w:eastAsia="宋体" w:cs="宋体"/>
                <w:spacing w:val="7"/>
                <w:kern w:val="2"/>
                <w:sz w:val="21"/>
                <w:szCs w:val="21"/>
                <w:lang w:val="en-US" w:eastAsia="zh-CN" w:bidi="ar-SA"/>
              </w:rPr>
              <w:t>教室灯</w:t>
            </w:r>
            <w:r>
              <w:rPr>
                <w:rFonts w:hint="eastAsia" w:ascii="宋体" w:hAnsi="宋体" w:eastAsia="宋体" w:cs="宋体"/>
                <w:spacing w:val="7"/>
                <w:kern w:val="2"/>
                <w:sz w:val="21"/>
                <w:szCs w:val="21"/>
                <w:lang w:val="en-US" w:eastAsia="en-US" w:bidi="ar-SA"/>
              </w:rPr>
              <w:t>；无格栅，灯具尺寸</w:t>
            </w:r>
            <w:r>
              <w:rPr>
                <w:rFonts w:hint="eastAsia" w:ascii="宋体" w:hAnsi="宋体" w:eastAsia="宋体" w:cs="宋体"/>
                <w:spacing w:val="7"/>
                <w:kern w:val="2"/>
                <w:sz w:val="21"/>
                <w:szCs w:val="21"/>
                <w:lang w:val="en-US" w:eastAsia="zh-CN" w:bidi="ar-SA"/>
              </w:rPr>
              <w:t>：</w:t>
            </w:r>
            <w:r>
              <w:rPr>
                <w:rFonts w:hint="eastAsia" w:ascii="宋体" w:hAnsi="宋体" w:eastAsia="宋体" w:cs="宋体"/>
                <w:spacing w:val="7"/>
                <w:kern w:val="2"/>
                <w:sz w:val="21"/>
                <w:szCs w:val="21"/>
                <w:lang w:val="en-US" w:eastAsia="en-US" w:bidi="ar-SA"/>
              </w:rPr>
              <w:t>长</w:t>
            </w:r>
            <w:r>
              <w:rPr>
                <w:rFonts w:hint="eastAsia" w:ascii="宋体" w:hAnsi="宋体" w:eastAsia="宋体" w:cs="宋体"/>
                <w:spacing w:val="-37"/>
                <w:kern w:val="2"/>
                <w:sz w:val="21"/>
                <w:szCs w:val="21"/>
                <w:lang w:val="en-US" w:eastAsia="en-US" w:bidi="ar-SA"/>
              </w:rPr>
              <w:t xml:space="preserve"> </w:t>
            </w:r>
            <w:r>
              <w:rPr>
                <w:rFonts w:hint="eastAsia" w:ascii="宋体" w:hAnsi="宋体" w:eastAsia="宋体" w:cs="宋体"/>
                <w:spacing w:val="7"/>
                <w:kern w:val="2"/>
                <w:sz w:val="21"/>
                <w:szCs w:val="21"/>
                <w:lang w:val="en-US" w:eastAsia="en-US" w:bidi="ar-SA"/>
              </w:rPr>
              <w:t>600±5</w:t>
            </w:r>
            <w:r>
              <w:rPr>
                <w:rFonts w:hint="eastAsia" w:ascii="宋体" w:hAnsi="宋体" w:eastAsia="宋体" w:cs="宋体"/>
                <w:kern w:val="2"/>
                <w:sz w:val="21"/>
                <w:szCs w:val="21"/>
                <w:lang w:val="en-US" w:eastAsia="en-US" w:bidi="ar-SA"/>
              </w:rPr>
              <w:t>mm</w:t>
            </w:r>
            <w:r>
              <w:rPr>
                <w:rFonts w:hint="eastAsia" w:ascii="宋体" w:hAnsi="宋体" w:eastAsia="宋体" w:cs="宋体"/>
                <w:spacing w:val="7"/>
                <w:kern w:val="2"/>
                <w:sz w:val="21"/>
                <w:szCs w:val="21"/>
                <w:lang w:val="en-US" w:eastAsia="zh-CN" w:bidi="ar-SA"/>
              </w:rPr>
              <w:t>，</w:t>
            </w:r>
            <w:r>
              <w:rPr>
                <w:rFonts w:hint="eastAsia" w:ascii="宋体" w:hAnsi="宋体" w:eastAsia="宋体" w:cs="宋体"/>
                <w:spacing w:val="7"/>
                <w:kern w:val="2"/>
                <w:sz w:val="21"/>
                <w:szCs w:val="21"/>
                <w:lang w:val="en-US" w:eastAsia="en-US" w:bidi="ar-SA"/>
              </w:rPr>
              <w:t>宽</w:t>
            </w:r>
            <w:r>
              <w:rPr>
                <w:rFonts w:hint="eastAsia" w:ascii="宋体" w:hAnsi="宋体" w:eastAsia="宋体" w:cs="宋体"/>
                <w:spacing w:val="-38"/>
                <w:kern w:val="2"/>
                <w:sz w:val="21"/>
                <w:szCs w:val="21"/>
                <w:lang w:val="en-US" w:eastAsia="en-US" w:bidi="ar-SA"/>
              </w:rPr>
              <w:t xml:space="preserve"> </w:t>
            </w:r>
            <w:r>
              <w:rPr>
                <w:rFonts w:hint="eastAsia" w:ascii="宋体" w:hAnsi="宋体" w:eastAsia="宋体" w:cs="宋体"/>
                <w:spacing w:val="7"/>
                <w:kern w:val="2"/>
                <w:sz w:val="21"/>
                <w:szCs w:val="21"/>
                <w:lang w:val="en-US" w:eastAsia="en-US" w:bidi="ar-SA"/>
              </w:rPr>
              <w:t>600±5</w:t>
            </w:r>
            <w:r>
              <w:rPr>
                <w:rFonts w:hint="eastAsia" w:ascii="宋体" w:hAnsi="宋体" w:eastAsia="宋体" w:cs="宋体"/>
                <w:kern w:val="2"/>
                <w:sz w:val="21"/>
                <w:szCs w:val="21"/>
                <w:lang w:val="en-US" w:eastAsia="en-US" w:bidi="ar-SA"/>
              </w:rPr>
              <w:t>mm</w:t>
            </w:r>
            <w:r>
              <w:rPr>
                <w:rFonts w:hint="eastAsia" w:ascii="宋体" w:hAnsi="宋体" w:eastAsia="宋体" w:cs="宋体"/>
                <w:spacing w:val="7"/>
                <w:kern w:val="2"/>
                <w:sz w:val="21"/>
                <w:szCs w:val="21"/>
                <w:lang w:val="en-US" w:eastAsia="en-US" w:bidi="ar-SA"/>
              </w:rPr>
              <w:t>；灯</w:t>
            </w:r>
            <w:r>
              <w:rPr>
                <w:rFonts w:hint="eastAsia" w:ascii="宋体" w:hAnsi="宋体" w:eastAsia="宋体" w:cs="宋体"/>
                <w:spacing w:val="9"/>
                <w:kern w:val="2"/>
                <w:sz w:val="21"/>
                <w:szCs w:val="21"/>
                <w:lang w:val="en-US" w:eastAsia="en-US" w:bidi="ar-SA"/>
              </w:rPr>
              <w:t>具的壳体应采用铝型材等轻型、坚固金属材料，并经喷涂处理，具备防锈功能。</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56F6992E">
            <w:pPr>
              <w:keepNext w:val="0"/>
              <w:keepLines w:val="0"/>
              <w:pageBreakBefore w:val="0"/>
              <w:widowControl w:val="0"/>
              <w:kinsoku/>
              <w:wordWrap/>
              <w:overflowPunct/>
              <w:topLinePunct w:val="0"/>
              <w:autoSpaceDE/>
              <w:autoSpaceDN/>
              <w:bidi w:val="0"/>
              <w:adjustRightInd/>
              <w:snapToGrid/>
              <w:spacing w:line="360" w:lineRule="auto"/>
              <w:ind w:right="108"/>
              <w:jc w:val="both"/>
              <w:textAlignment w:val="auto"/>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w:t>
            </w:r>
            <w:r>
              <w:rPr>
                <w:rFonts w:hint="eastAsia" w:ascii="宋体" w:hAnsi="宋体" w:eastAsia="宋体" w:cs="宋体"/>
                <w:spacing w:val="-2"/>
                <w:kern w:val="2"/>
                <w:sz w:val="21"/>
                <w:szCs w:val="21"/>
                <w:lang w:val="en-US" w:eastAsia="zh-CN" w:bidi="ar-SA"/>
              </w:rPr>
              <w:t>2.</w:t>
            </w:r>
            <w:r>
              <w:rPr>
                <w:rFonts w:hint="eastAsia" w:ascii="宋体" w:hAnsi="宋体" w:eastAsia="宋体" w:cs="宋体"/>
                <w:spacing w:val="-2"/>
                <w:kern w:val="2"/>
                <w:sz w:val="21"/>
                <w:szCs w:val="21"/>
                <w:lang w:val="en-US" w:eastAsia="en-US" w:bidi="ar-SA"/>
              </w:rPr>
              <w:t>灯具性能参数：灯具效能≥85lm/W，功率（W）</w:t>
            </w:r>
            <w:r>
              <w:rPr>
                <w:rFonts w:hint="eastAsia" w:ascii="宋体" w:hAnsi="宋体" w:eastAsia="宋体" w:cs="宋体"/>
                <w:b w:val="0"/>
                <w:bCs w:val="0"/>
                <w:i w:val="0"/>
                <w:caps w:val="0"/>
                <w:spacing w:val="0"/>
                <w:w w:val="100"/>
                <w:kern w:val="2"/>
                <w:sz w:val="21"/>
                <w:szCs w:val="21"/>
                <w:lang w:val="en-US" w:eastAsia="en-US" w:bidi="ar-SA"/>
              </w:rPr>
              <w:t>≤</w:t>
            </w:r>
            <w:r>
              <w:rPr>
                <w:rFonts w:hint="eastAsia" w:ascii="宋体" w:hAnsi="宋体" w:eastAsia="宋体" w:cs="宋体"/>
                <w:spacing w:val="-2"/>
                <w:kern w:val="2"/>
                <w:sz w:val="21"/>
                <w:szCs w:val="21"/>
                <w:lang w:val="en-US" w:eastAsia="en-US" w:bidi="ar-SA"/>
              </w:rPr>
              <w:t>40W，</w:t>
            </w:r>
            <w:r>
              <w:rPr>
                <w:rFonts w:hint="eastAsia" w:ascii="宋体" w:hAnsi="宋体" w:eastAsia="宋体" w:cs="宋体"/>
                <w:b w:val="0"/>
                <w:bCs w:val="0"/>
                <w:i w:val="0"/>
                <w:caps w:val="0"/>
                <w:spacing w:val="0"/>
                <w:w w:val="100"/>
                <w:kern w:val="2"/>
                <w:sz w:val="21"/>
                <w:szCs w:val="21"/>
                <w:lang w:val="en-US" w:eastAsia="en-US" w:bidi="ar-SA"/>
              </w:rPr>
              <w:t>单颗光源功率≥1W</w:t>
            </w:r>
            <w:r>
              <w:rPr>
                <w:rFonts w:hint="eastAsia" w:ascii="宋体" w:hAnsi="宋体" w:eastAsia="宋体" w:cs="宋体"/>
                <w:b w:val="0"/>
                <w:bCs w:val="0"/>
                <w:i w:val="0"/>
                <w:caps w:val="0"/>
                <w:spacing w:val="0"/>
                <w:w w:val="100"/>
                <w:kern w:val="2"/>
                <w:sz w:val="21"/>
                <w:szCs w:val="21"/>
                <w:lang w:val="en-US" w:eastAsia="zh-CN" w:bidi="ar-SA"/>
              </w:rPr>
              <w:t>，</w:t>
            </w:r>
            <w:r>
              <w:rPr>
                <w:rFonts w:hint="eastAsia" w:ascii="宋体" w:hAnsi="宋体" w:eastAsia="宋体" w:cs="宋体"/>
                <w:spacing w:val="-2"/>
                <w:kern w:val="2"/>
                <w:sz w:val="21"/>
                <w:szCs w:val="21"/>
                <w:lang w:val="en-US" w:eastAsia="en-US" w:bidi="ar-SA"/>
              </w:rPr>
              <w:t>色温（K</w:t>
            </w:r>
            <w:r>
              <w:rPr>
                <w:rFonts w:hint="eastAsia" w:ascii="宋体" w:hAnsi="宋体" w:eastAsia="宋体" w:cs="宋体"/>
                <w:spacing w:val="-9"/>
                <w:kern w:val="2"/>
                <w:sz w:val="21"/>
                <w:szCs w:val="21"/>
                <w:lang w:val="en-US" w:eastAsia="en-US" w:bidi="ar-SA"/>
              </w:rPr>
              <w:t>）：</w:t>
            </w:r>
            <w:r>
              <w:rPr>
                <w:rFonts w:hint="eastAsia" w:ascii="宋体" w:hAnsi="宋体" w:eastAsia="宋体" w:cs="宋体"/>
                <w:spacing w:val="-2"/>
                <w:kern w:val="2"/>
                <w:sz w:val="21"/>
                <w:szCs w:val="21"/>
                <w:lang w:val="en-US" w:eastAsia="en-US" w:bidi="ar-SA"/>
              </w:rPr>
              <w:t>5000K±200K，显指（R</w:t>
            </w:r>
            <w:r>
              <w:rPr>
                <w:rFonts w:hint="eastAsia" w:ascii="宋体" w:hAnsi="宋体" w:eastAsia="宋体" w:cs="宋体"/>
                <w:spacing w:val="-8"/>
                <w:kern w:val="2"/>
                <w:sz w:val="21"/>
                <w:szCs w:val="21"/>
                <w:lang w:val="en-US" w:eastAsia="en-US" w:bidi="ar-SA"/>
              </w:rPr>
              <w:t>）：</w:t>
            </w:r>
            <w:r>
              <w:rPr>
                <w:rFonts w:hint="eastAsia" w:ascii="宋体" w:hAnsi="宋体" w:eastAsia="宋体" w:cs="宋体"/>
                <w:spacing w:val="-2"/>
                <w:kern w:val="2"/>
                <w:sz w:val="21"/>
                <w:szCs w:val="21"/>
                <w:lang w:val="en-US" w:eastAsia="en-US" w:bidi="ar-SA"/>
              </w:rPr>
              <w:t>Ra≥90，R9≥50,功率因数：PF≥0.95。</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7D050465">
            <w:pPr>
              <w:keepNext w:val="0"/>
              <w:keepLines w:val="0"/>
              <w:pageBreakBefore w:val="0"/>
              <w:widowControl w:val="0"/>
              <w:kinsoku/>
              <w:wordWrap/>
              <w:overflowPunct/>
              <w:topLinePunct w:val="0"/>
              <w:autoSpaceDE/>
              <w:autoSpaceDN/>
              <w:bidi w:val="0"/>
              <w:adjustRightInd/>
              <w:snapToGrid/>
              <w:spacing w:line="360" w:lineRule="auto"/>
              <w:ind w:right="108"/>
              <w:jc w:val="both"/>
              <w:textAlignment w:val="auto"/>
              <w:rPr>
                <w:rFonts w:hint="eastAsia" w:ascii="宋体" w:hAnsi="宋体" w:eastAsia="宋体" w:cs="宋体"/>
                <w:kern w:val="2"/>
                <w:sz w:val="21"/>
                <w:szCs w:val="21"/>
                <w:lang w:val="en-US" w:eastAsia="en-US"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spacing w:val="11"/>
                <w:kern w:val="2"/>
                <w:sz w:val="21"/>
                <w:szCs w:val="21"/>
                <w:lang w:val="en-US" w:eastAsia="zh-CN" w:bidi="ar-SA"/>
              </w:rPr>
              <w:t>3.</w:t>
            </w:r>
            <w:r>
              <w:rPr>
                <w:rFonts w:hint="eastAsia" w:ascii="宋体" w:hAnsi="宋体" w:eastAsia="宋体" w:cs="宋体"/>
                <w:spacing w:val="11"/>
                <w:kern w:val="2"/>
                <w:sz w:val="21"/>
                <w:szCs w:val="21"/>
                <w:lang w:val="en-US" w:eastAsia="en-US" w:bidi="ar-SA"/>
              </w:rPr>
              <w:t>教室光环境</w:t>
            </w:r>
            <w:r>
              <w:rPr>
                <w:rFonts w:hint="eastAsia" w:ascii="宋体" w:hAnsi="宋体" w:eastAsia="宋体" w:cs="宋体"/>
                <w:spacing w:val="11"/>
                <w:kern w:val="2"/>
                <w:sz w:val="21"/>
                <w:szCs w:val="21"/>
                <w:lang w:val="en-US" w:eastAsia="zh-CN" w:bidi="ar-SA"/>
              </w:rPr>
              <w:t>要求</w:t>
            </w:r>
            <w:r>
              <w:rPr>
                <w:rFonts w:hint="eastAsia" w:ascii="宋体" w:hAnsi="宋体" w:eastAsia="宋体" w:cs="宋体"/>
                <w:spacing w:val="11"/>
                <w:kern w:val="2"/>
                <w:sz w:val="21"/>
                <w:szCs w:val="21"/>
                <w:lang w:val="en-US" w:eastAsia="en-US" w:bidi="ar-SA"/>
              </w:rPr>
              <w:t>：教室面照度≥400</w:t>
            </w:r>
            <w:r>
              <w:rPr>
                <w:rFonts w:hint="eastAsia" w:ascii="宋体" w:hAnsi="宋体" w:eastAsia="宋体" w:cs="宋体"/>
                <w:kern w:val="2"/>
                <w:sz w:val="21"/>
                <w:szCs w:val="21"/>
                <w:lang w:val="en-US" w:eastAsia="en-US" w:bidi="ar-SA"/>
              </w:rPr>
              <w:t>Lx</w:t>
            </w:r>
            <w:r>
              <w:rPr>
                <w:rFonts w:hint="eastAsia" w:ascii="宋体" w:hAnsi="宋体" w:eastAsia="宋体" w:cs="宋体"/>
                <w:spacing w:val="11"/>
                <w:kern w:val="2"/>
                <w:sz w:val="21"/>
                <w:szCs w:val="21"/>
                <w:lang w:val="en-US" w:eastAsia="en-US" w:bidi="ar-SA"/>
              </w:rPr>
              <w:t>，教室面照度的均匀度</w:t>
            </w:r>
            <w:r>
              <w:rPr>
                <w:rFonts w:hint="eastAsia" w:ascii="宋体" w:hAnsi="宋体" w:eastAsia="宋体" w:cs="宋体"/>
                <w:spacing w:val="10"/>
                <w:kern w:val="2"/>
                <w:sz w:val="21"/>
                <w:szCs w:val="21"/>
                <w:lang w:val="en-US" w:eastAsia="en-US" w:bidi="ar-SA"/>
              </w:rPr>
              <w:t>≥0.80，教室的功</w:t>
            </w:r>
            <w:r>
              <w:rPr>
                <w:rFonts w:hint="eastAsia" w:ascii="宋体" w:hAnsi="宋体" w:eastAsia="宋体" w:cs="宋体"/>
                <w:spacing w:val="6"/>
                <w:kern w:val="2"/>
                <w:sz w:val="21"/>
                <w:szCs w:val="21"/>
                <w:lang w:val="en-US" w:eastAsia="en-US" w:bidi="ar-SA"/>
              </w:rPr>
              <w:t>率密度＜6W/㎡</w:t>
            </w:r>
            <w:r>
              <w:rPr>
                <w:rFonts w:hint="eastAsia" w:ascii="宋体" w:hAnsi="宋体" w:eastAsia="宋体" w:cs="宋体"/>
                <w:spacing w:val="-23"/>
                <w:kern w:val="2"/>
                <w:sz w:val="21"/>
                <w:szCs w:val="21"/>
                <w:lang w:val="en-US" w:eastAsia="en-US" w:bidi="ar-SA"/>
              </w:rPr>
              <w:t>，</w:t>
            </w:r>
            <w:r>
              <w:rPr>
                <w:rFonts w:hint="eastAsia" w:ascii="宋体" w:hAnsi="宋体" w:eastAsia="宋体" w:cs="宋体"/>
                <w:spacing w:val="6"/>
                <w:kern w:val="2"/>
                <w:sz w:val="21"/>
                <w:szCs w:val="21"/>
                <w:lang w:val="en-US" w:eastAsia="en-US" w:bidi="ar-SA"/>
              </w:rPr>
              <w:t>眩光值</w:t>
            </w:r>
            <w:r>
              <w:rPr>
                <w:rFonts w:hint="eastAsia" w:ascii="宋体" w:hAnsi="宋体" w:eastAsia="宋体" w:cs="宋体"/>
                <w:spacing w:val="-45"/>
                <w:kern w:val="2"/>
                <w:sz w:val="21"/>
                <w:szCs w:val="21"/>
                <w:lang w:val="en-US" w:eastAsia="en-US" w:bidi="ar-SA"/>
              </w:rPr>
              <w:t xml:space="preserve"> </w:t>
            </w:r>
            <w:r>
              <w:rPr>
                <w:rFonts w:hint="eastAsia" w:ascii="宋体" w:hAnsi="宋体" w:eastAsia="宋体" w:cs="宋体"/>
                <w:kern w:val="2"/>
                <w:sz w:val="21"/>
                <w:szCs w:val="21"/>
                <w:lang w:val="en-US" w:eastAsia="en-US" w:bidi="ar-SA"/>
              </w:rPr>
              <w:t>UGR</w:t>
            </w:r>
            <w:r>
              <w:rPr>
                <w:rFonts w:hint="eastAsia" w:ascii="宋体" w:hAnsi="宋体" w:eastAsia="宋体" w:cs="宋体"/>
                <w:spacing w:val="6"/>
                <w:kern w:val="2"/>
                <w:sz w:val="21"/>
                <w:szCs w:val="21"/>
                <w:lang w:val="en-US" w:eastAsia="en-US" w:bidi="ar-SA"/>
              </w:rPr>
              <w:t>≤1</w:t>
            </w:r>
            <w:r>
              <w:rPr>
                <w:rFonts w:hint="eastAsia" w:ascii="宋体" w:hAnsi="宋体" w:eastAsia="宋体" w:cs="宋体"/>
                <w:spacing w:val="6"/>
                <w:kern w:val="2"/>
                <w:sz w:val="21"/>
                <w:szCs w:val="21"/>
                <w:lang w:val="en-US" w:eastAsia="zh-CN" w:bidi="ar-SA"/>
              </w:rPr>
              <w:t>9</w:t>
            </w:r>
            <w:r>
              <w:rPr>
                <w:rFonts w:hint="eastAsia" w:ascii="宋体" w:hAnsi="宋体" w:eastAsia="宋体" w:cs="宋体"/>
                <w:spacing w:val="6"/>
                <w:kern w:val="2"/>
                <w:sz w:val="21"/>
                <w:szCs w:val="21"/>
                <w:lang w:val="en-US" w:eastAsia="en-US" w:bidi="ar-SA"/>
              </w:rPr>
              <w:t>。</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7EA46BD2">
            <w:pPr>
              <w:keepNext w:val="0"/>
              <w:keepLines w:val="0"/>
              <w:pageBreakBefore w:val="0"/>
              <w:widowControl w:val="0"/>
              <w:kinsoku/>
              <w:wordWrap/>
              <w:overflowPunct/>
              <w:topLinePunct w:val="0"/>
              <w:autoSpaceDE/>
              <w:autoSpaceDN/>
              <w:bidi w:val="0"/>
              <w:adjustRightInd/>
              <w:snapToGrid/>
              <w:spacing w:line="360" w:lineRule="auto"/>
              <w:ind w:right="108"/>
              <w:jc w:val="both"/>
              <w:textAlignment w:val="auto"/>
              <w:rPr>
                <w:rFonts w:hint="default" w:ascii="宋体" w:hAnsi="宋体" w:eastAsia="宋体" w:cs="宋体"/>
                <w:kern w:val="2"/>
                <w:sz w:val="21"/>
                <w:szCs w:val="21"/>
                <w:lang w:val="en-US" w:eastAsia="en-US" w:bidi="ar-SA"/>
              </w:rPr>
            </w:pPr>
            <w:r>
              <w:rPr>
                <w:rFonts w:hint="eastAsia" w:ascii="宋体" w:hAnsi="宋体" w:eastAsia="宋体" w:cs="宋体"/>
                <w:spacing w:val="8"/>
                <w:kern w:val="2"/>
                <w:sz w:val="21"/>
                <w:szCs w:val="21"/>
                <w:lang w:val="en-US" w:eastAsia="zh-CN" w:bidi="ar-SA"/>
              </w:rPr>
              <w:t>4.</w:t>
            </w:r>
            <w:r>
              <w:rPr>
                <w:rFonts w:hint="eastAsia" w:ascii="宋体" w:hAnsi="宋体" w:eastAsia="宋体" w:cs="宋体"/>
                <w:bCs/>
                <w:kern w:val="2"/>
                <w:sz w:val="21"/>
                <w:szCs w:val="21"/>
                <w:lang w:val="en-US" w:eastAsia="zh-CN" w:bidi="ar-SA"/>
              </w:rPr>
              <w:t>LED教室灯</w:t>
            </w:r>
            <w:r>
              <w:rPr>
                <w:rFonts w:hint="eastAsia" w:ascii="宋体" w:hAnsi="宋体" w:eastAsia="宋体" w:cs="宋体"/>
                <w:spacing w:val="7"/>
                <w:kern w:val="2"/>
                <w:sz w:val="21"/>
                <w:szCs w:val="21"/>
                <w:lang w:val="en-US" w:eastAsia="zh-CN" w:bidi="ar-SA"/>
              </w:rPr>
              <w:t>的光通维持寿命50000小时或以上。</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49DEFD53">
            <w:pPr>
              <w:keepNext w:val="0"/>
              <w:keepLines w:val="0"/>
              <w:pageBreakBefore w:val="0"/>
              <w:widowControl w:val="0"/>
              <w:kinsoku/>
              <w:wordWrap/>
              <w:overflowPunct/>
              <w:topLinePunct w:val="0"/>
              <w:autoSpaceDE/>
              <w:autoSpaceDN/>
              <w:bidi w:val="0"/>
              <w:adjustRightInd/>
              <w:snapToGrid/>
              <w:spacing w:line="360" w:lineRule="auto"/>
              <w:ind w:right="108"/>
              <w:jc w:val="both"/>
              <w:textAlignment w:val="auto"/>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zh-CN" w:bidi="ar-SA"/>
              </w:rPr>
              <w:t>■</w:t>
            </w:r>
            <w:r>
              <w:rPr>
                <w:rFonts w:hint="eastAsia" w:ascii="宋体" w:hAnsi="宋体" w:eastAsia="宋体" w:cs="宋体"/>
                <w:spacing w:val="4"/>
                <w:kern w:val="2"/>
                <w:sz w:val="21"/>
                <w:szCs w:val="21"/>
                <w:lang w:val="en-US" w:eastAsia="zh-CN" w:bidi="ar-SA"/>
              </w:rPr>
              <w:t>5.</w:t>
            </w:r>
            <w:r>
              <w:rPr>
                <w:rFonts w:hint="eastAsia" w:ascii="宋体" w:hAnsi="宋体" w:eastAsia="宋体" w:cs="宋体"/>
                <w:bCs/>
                <w:kern w:val="2"/>
                <w:sz w:val="21"/>
                <w:szCs w:val="21"/>
                <w:lang w:val="en-US" w:eastAsia="zh-CN" w:bidi="ar-SA"/>
              </w:rPr>
              <w:t>LED教室灯</w:t>
            </w:r>
            <w:r>
              <w:rPr>
                <w:rFonts w:hint="eastAsia" w:ascii="宋体" w:hAnsi="宋体" w:eastAsia="宋体" w:cs="宋体"/>
                <w:spacing w:val="4"/>
                <w:kern w:val="2"/>
                <w:sz w:val="21"/>
                <w:szCs w:val="21"/>
                <w:lang w:val="en-US" w:eastAsia="en-US" w:bidi="ar-SA"/>
              </w:rPr>
              <w:t>符合</w:t>
            </w:r>
            <w:r>
              <w:rPr>
                <w:rFonts w:hint="eastAsia" w:ascii="宋体" w:hAnsi="宋体" w:eastAsia="宋体" w:cs="宋体"/>
                <w:spacing w:val="6"/>
                <w:kern w:val="2"/>
                <w:sz w:val="21"/>
                <w:szCs w:val="21"/>
                <w:lang w:val="en-US" w:eastAsia="en-US" w:bidi="ar-SA"/>
              </w:rPr>
              <w:t>“无显著影响</w:t>
            </w:r>
            <w:r>
              <w:rPr>
                <w:rFonts w:hint="eastAsia" w:ascii="宋体" w:hAnsi="宋体" w:eastAsia="宋体" w:cs="宋体"/>
                <w:spacing w:val="-70"/>
                <w:kern w:val="2"/>
                <w:sz w:val="21"/>
                <w:szCs w:val="21"/>
                <w:lang w:val="en-US" w:eastAsia="en-US" w:bidi="ar-SA"/>
              </w:rPr>
              <w:t xml:space="preserve"> </w:t>
            </w:r>
            <w:r>
              <w:rPr>
                <w:rFonts w:hint="eastAsia" w:ascii="宋体" w:hAnsi="宋体" w:eastAsia="宋体" w:cs="宋体"/>
                <w:spacing w:val="6"/>
                <w:kern w:val="2"/>
                <w:sz w:val="21"/>
                <w:szCs w:val="21"/>
                <w:lang w:val="en-US" w:eastAsia="en-US" w:bidi="ar-SA"/>
              </w:rPr>
              <w:t>”等级。波动深度</w:t>
            </w:r>
            <w:r>
              <w:rPr>
                <w:rFonts w:hint="eastAsia" w:ascii="宋体" w:hAnsi="宋体" w:eastAsia="宋体" w:cs="宋体"/>
                <w:spacing w:val="-44"/>
                <w:kern w:val="2"/>
                <w:sz w:val="21"/>
                <w:szCs w:val="21"/>
                <w:lang w:val="en-US" w:eastAsia="en-US" w:bidi="ar-SA"/>
              </w:rPr>
              <w:t xml:space="preserve"> </w:t>
            </w:r>
            <w:r>
              <w:rPr>
                <w:rFonts w:hint="eastAsia" w:ascii="宋体" w:hAnsi="宋体" w:eastAsia="宋体" w:cs="宋体"/>
                <w:kern w:val="2"/>
                <w:sz w:val="21"/>
                <w:szCs w:val="21"/>
                <w:lang w:val="en-US" w:eastAsia="en-US" w:bidi="ar-SA"/>
              </w:rPr>
              <w:t>FPF</w:t>
            </w:r>
            <w:r>
              <w:rPr>
                <w:rFonts w:hint="eastAsia" w:ascii="宋体" w:hAnsi="宋体" w:eastAsia="宋体" w:cs="宋体"/>
                <w:spacing w:val="-20"/>
                <w:kern w:val="2"/>
                <w:sz w:val="21"/>
                <w:szCs w:val="21"/>
                <w:lang w:val="en-US" w:eastAsia="en-US" w:bidi="ar-SA"/>
              </w:rPr>
              <w:t xml:space="preserve"> </w:t>
            </w:r>
            <w:r>
              <w:rPr>
                <w:rFonts w:hint="eastAsia" w:ascii="宋体" w:hAnsi="宋体" w:eastAsia="宋体" w:cs="宋体"/>
                <w:spacing w:val="6"/>
                <w:kern w:val="2"/>
                <w:sz w:val="21"/>
                <w:szCs w:val="21"/>
                <w:lang w:val="en-US" w:eastAsia="en-US" w:bidi="ar-SA"/>
              </w:rPr>
              <w:t>限值≤1%。</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13D88AAC">
            <w:pPr>
              <w:keepNext w:val="0"/>
              <w:keepLines w:val="0"/>
              <w:pageBreakBefore w:val="0"/>
              <w:widowControl w:val="0"/>
              <w:kinsoku/>
              <w:wordWrap/>
              <w:overflowPunct/>
              <w:topLinePunct w:val="0"/>
              <w:autoSpaceDE/>
              <w:autoSpaceDN/>
              <w:bidi w:val="0"/>
              <w:adjustRightInd/>
              <w:snapToGrid/>
              <w:spacing w:line="360" w:lineRule="auto"/>
              <w:ind w:right="108"/>
              <w:jc w:val="both"/>
              <w:textAlignment w:val="auto"/>
              <w:rPr>
                <w:rFonts w:hint="eastAsia" w:ascii="宋体" w:hAnsi="宋体" w:eastAsia="宋体" w:cs="宋体"/>
                <w:kern w:val="2"/>
                <w:sz w:val="21"/>
                <w:szCs w:val="21"/>
                <w:lang w:val="en-US" w:eastAsia="en-US" w:bidi="ar-SA"/>
              </w:rPr>
            </w:pPr>
            <w:r>
              <w:rPr>
                <w:rFonts w:hint="eastAsia" w:ascii="宋体" w:hAnsi="宋体" w:eastAsia="宋体" w:cs="宋体"/>
                <w:spacing w:val="-6"/>
                <w:kern w:val="2"/>
                <w:sz w:val="21"/>
                <w:szCs w:val="21"/>
                <w:lang w:val="en-US" w:eastAsia="zh-CN" w:bidi="ar-SA"/>
              </w:rPr>
              <w:t>6.</w:t>
            </w:r>
            <w:r>
              <w:rPr>
                <w:rFonts w:hint="eastAsia" w:ascii="宋体" w:hAnsi="宋体" w:eastAsia="宋体" w:cs="宋体"/>
                <w:bCs/>
                <w:kern w:val="2"/>
                <w:sz w:val="21"/>
                <w:szCs w:val="21"/>
                <w:lang w:val="en-US" w:eastAsia="zh-CN" w:bidi="ar-SA"/>
              </w:rPr>
              <w:t>LED教室灯</w:t>
            </w:r>
            <w:r>
              <w:rPr>
                <w:rFonts w:hint="eastAsia" w:ascii="宋体" w:hAnsi="宋体" w:eastAsia="宋体" w:cs="宋体"/>
                <w:spacing w:val="-4"/>
                <w:kern w:val="2"/>
                <w:sz w:val="21"/>
                <w:szCs w:val="21"/>
                <w:lang w:val="en-US" w:eastAsia="en-US" w:bidi="ar-SA"/>
              </w:rPr>
              <w:t>蓝光危害等级应为“RG0”</w:t>
            </w:r>
            <w:r>
              <w:rPr>
                <w:rFonts w:hint="eastAsia" w:ascii="宋体" w:hAnsi="宋体" w:eastAsia="宋体" w:cs="宋体"/>
                <w:spacing w:val="-5"/>
                <w:kern w:val="2"/>
                <w:sz w:val="21"/>
                <w:szCs w:val="21"/>
                <w:lang w:val="en-US" w:eastAsia="en-US" w:bidi="ar-SA"/>
              </w:rPr>
              <w:t>无危害。</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p w14:paraId="7842E92E">
            <w:pPr>
              <w:keepNext w:val="0"/>
              <w:keepLines w:val="0"/>
              <w:pageBreakBefore w:val="0"/>
              <w:widowControl w:val="0"/>
              <w:kinsoku/>
              <w:wordWrap/>
              <w:overflowPunct/>
              <w:topLinePunct w:val="0"/>
              <w:autoSpaceDE/>
              <w:autoSpaceDN/>
              <w:bidi w:val="0"/>
              <w:adjustRightInd/>
              <w:snapToGrid/>
              <w:spacing w:line="360" w:lineRule="auto"/>
              <w:ind w:right="108"/>
              <w:jc w:val="both"/>
              <w:textAlignment w:val="auto"/>
              <w:rPr>
                <w:rFonts w:hint="eastAsia" w:ascii="宋体" w:hAnsi="宋体" w:eastAsia="宋体" w:cs="宋体"/>
                <w:spacing w:val="-9"/>
                <w:sz w:val="21"/>
                <w:szCs w:val="21"/>
              </w:rPr>
            </w:pPr>
            <w:r>
              <w:rPr>
                <w:rFonts w:hint="eastAsia" w:ascii="宋体" w:hAnsi="宋体" w:eastAsia="宋体" w:cs="宋体"/>
                <w:spacing w:val="8"/>
                <w:kern w:val="2"/>
                <w:sz w:val="21"/>
                <w:szCs w:val="21"/>
                <w:lang w:val="en-US" w:eastAsia="zh-CN" w:bidi="ar-SA"/>
              </w:rPr>
              <w:t>7.</w:t>
            </w:r>
            <w:r>
              <w:rPr>
                <w:rFonts w:hint="eastAsia" w:ascii="宋体" w:hAnsi="宋体" w:eastAsia="宋体" w:cs="宋体"/>
                <w:bCs/>
                <w:kern w:val="2"/>
                <w:sz w:val="21"/>
                <w:szCs w:val="21"/>
                <w:lang w:val="en-US" w:eastAsia="zh-CN" w:bidi="ar-SA"/>
              </w:rPr>
              <w:t>LED教室灯</w:t>
            </w:r>
            <w:r>
              <w:rPr>
                <w:rFonts w:hint="eastAsia" w:ascii="宋体" w:hAnsi="宋体" w:eastAsia="宋体" w:cs="宋体"/>
                <w:spacing w:val="8"/>
                <w:kern w:val="2"/>
                <w:sz w:val="21"/>
                <w:szCs w:val="21"/>
                <w:lang w:val="en-US" w:eastAsia="en-US" w:bidi="ar-SA"/>
              </w:rPr>
              <w:t>结构：灯具应采用封闭式结构，灰尘、蚊虫、蜘蛛等不能进入灯具内部</w:t>
            </w:r>
            <w:r>
              <w:rPr>
                <w:rFonts w:hint="eastAsia" w:ascii="宋体" w:hAnsi="宋体" w:eastAsia="宋体" w:cs="宋体"/>
                <w:spacing w:val="-6"/>
                <w:kern w:val="2"/>
                <w:sz w:val="21"/>
                <w:szCs w:val="21"/>
                <w:lang w:val="en-US" w:eastAsia="en-US" w:bidi="ar-SA"/>
              </w:rPr>
              <w:t>结构，</w:t>
            </w:r>
            <w:r>
              <w:rPr>
                <w:rFonts w:hint="eastAsia" w:ascii="宋体" w:hAnsi="宋体" w:eastAsia="宋体" w:cs="宋体"/>
                <w:spacing w:val="-32"/>
                <w:kern w:val="2"/>
                <w:sz w:val="21"/>
                <w:szCs w:val="21"/>
                <w:lang w:val="en-US" w:eastAsia="en-US" w:bidi="ar-SA"/>
              </w:rPr>
              <w:t xml:space="preserve"> </w:t>
            </w:r>
            <w:r>
              <w:rPr>
                <w:rFonts w:hint="eastAsia" w:ascii="宋体" w:hAnsi="宋体" w:eastAsia="宋体" w:cs="宋体"/>
                <w:spacing w:val="-6"/>
                <w:kern w:val="2"/>
                <w:sz w:val="21"/>
                <w:szCs w:val="21"/>
                <w:lang w:val="en-US" w:eastAsia="en-US" w:bidi="ar-SA"/>
              </w:rPr>
              <w:t>外部易清理</w:t>
            </w:r>
            <w:r>
              <w:rPr>
                <w:rFonts w:hint="eastAsia" w:ascii="宋体" w:hAnsi="宋体" w:eastAsia="宋体" w:cs="宋体"/>
                <w:spacing w:val="-6"/>
                <w:kern w:val="2"/>
                <w:sz w:val="21"/>
                <w:szCs w:val="21"/>
                <w:lang w:val="en-US" w:eastAsia="zh-CN" w:bidi="ar-SA"/>
              </w:rPr>
              <w:t>，</w:t>
            </w:r>
            <w:r>
              <w:rPr>
                <w:rFonts w:hint="eastAsia" w:ascii="宋体" w:hAnsi="宋体" w:eastAsia="宋体" w:cs="宋体"/>
                <w:spacing w:val="-9"/>
                <w:kern w:val="2"/>
                <w:sz w:val="21"/>
                <w:szCs w:val="21"/>
                <w:lang w:val="en-US" w:eastAsia="en-US" w:bidi="ar-SA"/>
              </w:rPr>
              <w:t>灯具的</w:t>
            </w:r>
            <w:r>
              <w:rPr>
                <w:rFonts w:hint="eastAsia" w:ascii="宋体" w:hAnsi="宋体" w:eastAsia="宋体" w:cs="宋体"/>
                <w:spacing w:val="-22"/>
                <w:kern w:val="2"/>
                <w:sz w:val="21"/>
                <w:szCs w:val="21"/>
                <w:lang w:val="en-US" w:eastAsia="en-US" w:bidi="ar-SA"/>
              </w:rPr>
              <w:t xml:space="preserve"> </w:t>
            </w:r>
            <w:r>
              <w:rPr>
                <w:rFonts w:hint="eastAsia" w:ascii="宋体" w:hAnsi="宋体" w:eastAsia="宋体" w:cs="宋体"/>
                <w:spacing w:val="-9"/>
                <w:kern w:val="2"/>
                <w:sz w:val="21"/>
                <w:szCs w:val="21"/>
                <w:lang w:val="en-US" w:eastAsia="en-US" w:bidi="ar-SA"/>
              </w:rPr>
              <w:t>IP 防护等级≥IP40。</w:t>
            </w:r>
            <w:r>
              <w:rPr>
                <w:rFonts w:hint="eastAsia" w:ascii="宋体" w:hAnsi="宋体" w:eastAsia="宋体" w:cs="宋体"/>
                <w:color w:val="auto"/>
                <w:szCs w:val="21"/>
              </w:rPr>
              <w:t>（</w:t>
            </w:r>
            <w:r>
              <w:rPr>
                <w:rFonts w:hint="eastAsia" w:ascii="宋体" w:hAnsi="宋体" w:eastAsia="宋体" w:cs="宋体"/>
                <w:b/>
                <w:bCs/>
                <w:color w:val="auto"/>
                <w:szCs w:val="21"/>
              </w:rPr>
              <w:t>投标文件中提供第三方机构出具的具有CMA标识的检测报告扫描件</w:t>
            </w:r>
            <w:r>
              <w:rPr>
                <w:rFonts w:hint="eastAsia" w:ascii="宋体" w:hAnsi="宋体" w:eastAsia="宋体" w:cs="宋体"/>
                <w:color w:val="auto"/>
                <w:szCs w:val="21"/>
              </w:rPr>
              <w:t>）</w:t>
            </w:r>
          </w:p>
        </w:tc>
        <w:tc>
          <w:tcPr>
            <w:tcW w:w="986" w:type="dxa"/>
            <w:noWrap w:val="0"/>
            <w:vAlign w:val="center"/>
          </w:tcPr>
          <w:p w14:paraId="6F7D7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1"/>
                <w:szCs w:val="21"/>
                <w:lang w:val="en-US"/>
              </w:rPr>
            </w:pPr>
            <w:r>
              <w:rPr>
                <w:rFonts w:hint="eastAsia" w:ascii="宋体" w:hAnsi="宋体" w:eastAsia="宋体" w:cs="宋体"/>
                <w:bCs/>
                <w:sz w:val="21"/>
                <w:szCs w:val="21"/>
                <w:lang w:val="en-US" w:eastAsia="zh-CN"/>
              </w:rPr>
              <w:t>2400</w:t>
            </w:r>
            <w:r>
              <w:rPr>
                <w:rFonts w:hint="eastAsia" w:ascii="宋体" w:hAnsi="宋体" w:eastAsia="宋体" w:cs="Times New Roman"/>
                <w:b/>
                <w:bCs/>
                <w:sz w:val="21"/>
                <w:szCs w:val="21"/>
                <w:lang w:val="en-US" w:eastAsia="zh-CN"/>
              </w:rPr>
              <w:t>套</w:t>
            </w:r>
          </w:p>
        </w:tc>
        <w:tc>
          <w:tcPr>
            <w:tcW w:w="643" w:type="dxa"/>
            <w:noWrap w:val="0"/>
            <w:vAlign w:val="center"/>
          </w:tcPr>
          <w:p w14:paraId="441E8F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工业</w:t>
            </w:r>
          </w:p>
        </w:tc>
        <w:tc>
          <w:tcPr>
            <w:tcW w:w="1089" w:type="dxa"/>
            <w:noWrap w:val="0"/>
            <w:vAlign w:val="center"/>
          </w:tcPr>
          <w:p w14:paraId="7CC7CA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是</w:t>
            </w:r>
          </w:p>
        </w:tc>
      </w:tr>
      <w:tr w14:paraId="2EE8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17E940F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3</w:t>
            </w:r>
          </w:p>
        </w:tc>
        <w:tc>
          <w:tcPr>
            <w:tcW w:w="1267" w:type="dxa"/>
            <w:noWrap w:val="0"/>
            <w:vAlign w:val="center"/>
          </w:tcPr>
          <w:p w14:paraId="676C671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LED集成吊顶灯（300*300mm）</w:t>
            </w:r>
          </w:p>
        </w:tc>
        <w:tc>
          <w:tcPr>
            <w:tcW w:w="4398" w:type="dxa"/>
            <w:noWrap w:val="0"/>
            <w:vAlign w:val="center"/>
          </w:tcPr>
          <w:p w14:paraId="4BA7545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1.材质：铝材+PP。</w:t>
            </w:r>
          </w:p>
          <w:p w14:paraId="3BF2751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2.额定功率：≤26W。</w:t>
            </w:r>
          </w:p>
          <w:p w14:paraId="05853AA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3.色温≥5000K。</w:t>
            </w:r>
          </w:p>
          <w:p w14:paraId="0E6D379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4.显色指数：Ra≥90。</w:t>
            </w:r>
          </w:p>
          <w:p w14:paraId="74E57F2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5.电压：220V/50Hz。</w:t>
            </w:r>
          </w:p>
          <w:p w14:paraId="22DF405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6.防护等级≥IP20。</w:t>
            </w:r>
          </w:p>
        </w:tc>
        <w:tc>
          <w:tcPr>
            <w:tcW w:w="986" w:type="dxa"/>
            <w:noWrap w:val="0"/>
            <w:vAlign w:val="center"/>
          </w:tcPr>
          <w:p w14:paraId="63621E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80</w:t>
            </w:r>
            <w:r>
              <w:rPr>
                <w:rFonts w:hint="eastAsia" w:ascii="宋体" w:hAnsi="宋体" w:eastAsia="宋体" w:cs="Times New Roman"/>
                <w:b/>
                <w:bCs/>
                <w:sz w:val="21"/>
                <w:szCs w:val="21"/>
                <w:lang w:val="en-US" w:eastAsia="zh-CN"/>
              </w:rPr>
              <w:t>套</w:t>
            </w:r>
          </w:p>
        </w:tc>
        <w:tc>
          <w:tcPr>
            <w:tcW w:w="643" w:type="dxa"/>
            <w:noWrap w:val="0"/>
            <w:vAlign w:val="center"/>
          </w:tcPr>
          <w:p w14:paraId="37D504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1CFB4E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32FB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5E6B18B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4</w:t>
            </w:r>
          </w:p>
        </w:tc>
        <w:tc>
          <w:tcPr>
            <w:tcW w:w="1267" w:type="dxa"/>
            <w:noWrap w:val="0"/>
            <w:vAlign w:val="center"/>
          </w:tcPr>
          <w:p w14:paraId="18C2C1E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筒灯</w:t>
            </w:r>
          </w:p>
          <w:p w14:paraId="7104843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（嵌入安装、吊顶，外直径约200mm）</w:t>
            </w:r>
          </w:p>
        </w:tc>
        <w:tc>
          <w:tcPr>
            <w:tcW w:w="4398" w:type="dxa"/>
            <w:noWrap w:val="0"/>
            <w:vAlign w:val="center"/>
          </w:tcPr>
          <w:p w14:paraId="2C14728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1.材质：铝材+PP。</w:t>
            </w:r>
          </w:p>
          <w:p w14:paraId="7F1CAEF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额定功率：≤</w:t>
            </w:r>
            <w:r>
              <w:rPr>
                <w:rFonts w:hint="eastAsia" w:ascii="宋体" w:hAnsi="宋体" w:eastAsia="宋体" w:cs="宋体"/>
                <w:kern w:val="2"/>
                <w:sz w:val="21"/>
                <w:szCs w:val="21"/>
                <w:highlight w:val="none"/>
                <w:lang w:val="en-US" w:eastAsia="zh-CN" w:bidi="ar-SA"/>
              </w:rPr>
              <w:t>9W。</w:t>
            </w:r>
          </w:p>
          <w:p w14:paraId="74D534F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3.色温：</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5700K。</w:t>
            </w:r>
          </w:p>
          <w:p w14:paraId="492A8EF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4.RA≥90。</w:t>
            </w:r>
          </w:p>
          <w:p w14:paraId="37E4901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5.电压：220V/50Hz。</w:t>
            </w:r>
          </w:p>
          <w:p w14:paraId="39A30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防护等级≥IP</w:t>
            </w:r>
            <w:r>
              <w:rPr>
                <w:rFonts w:hint="eastAsia" w:ascii="宋体" w:hAnsi="宋体" w:eastAsia="宋体" w:cs="宋体"/>
                <w:sz w:val="21"/>
                <w:szCs w:val="21"/>
                <w:highlight w:val="none"/>
                <w:lang w:val="en-US" w:eastAsia="zh-CN"/>
              </w:rPr>
              <w:t>20</w:t>
            </w:r>
            <w:r>
              <w:rPr>
                <w:rFonts w:hint="eastAsia" w:ascii="宋体" w:hAnsi="宋体" w:eastAsia="宋体" w:cs="宋体"/>
                <w:kern w:val="2"/>
                <w:sz w:val="21"/>
                <w:szCs w:val="21"/>
                <w:highlight w:val="none"/>
                <w:lang w:val="en-US" w:eastAsia="zh-CN" w:bidi="ar-SA"/>
              </w:rPr>
              <w:t>。</w:t>
            </w:r>
          </w:p>
          <w:p w14:paraId="7B3F9CCA">
            <w:pPr>
              <w:keepNext w:val="0"/>
              <w:keepLines w:val="0"/>
              <w:pageBreakBefore w:val="0"/>
              <w:widowControl w:val="0"/>
              <w:tabs>
                <w:tab w:val="left" w:pos="1232"/>
              </w:tabs>
              <w:kinsoku/>
              <w:wordWrap/>
              <w:overflowPunct/>
              <w:topLinePunct w:val="0"/>
              <w:autoSpaceDE/>
              <w:autoSpaceDN/>
              <w:bidi w:val="0"/>
              <w:adjustRightInd/>
              <w:snapToGrid/>
              <w:spacing w:line="360" w:lineRule="auto"/>
              <w:jc w:val="both"/>
              <w:textAlignment w:val="auto"/>
              <w:rPr>
                <w:rFonts w:hint="eastAsia" w:ascii="宋体" w:hAnsi="宋体" w:eastAsia="宋体" w:cs="宋体"/>
                <w:spacing w:val="7"/>
                <w:kern w:val="2"/>
                <w:sz w:val="21"/>
                <w:szCs w:val="21"/>
                <w:highlight w:val="none"/>
                <w:lang w:val="en-US" w:eastAsia="zh-CN" w:bidi="ar-SA"/>
              </w:rPr>
            </w:pPr>
            <w:r>
              <w:rPr>
                <w:rFonts w:hint="eastAsia" w:ascii="宋体" w:hAnsi="宋体" w:eastAsia="宋体" w:cs="宋体"/>
                <w:sz w:val="21"/>
                <w:szCs w:val="21"/>
                <w:highlight w:val="none"/>
                <w:lang w:val="en-US" w:eastAsia="zh-CN"/>
              </w:rPr>
              <w:t>7.能效：二级及以上。</w:t>
            </w:r>
          </w:p>
        </w:tc>
        <w:tc>
          <w:tcPr>
            <w:tcW w:w="986" w:type="dxa"/>
            <w:noWrap w:val="0"/>
            <w:vAlign w:val="center"/>
          </w:tcPr>
          <w:p w14:paraId="28CF1E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563</w:t>
            </w:r>
            <w:r>
              <w:rPr>
                <w:rFonts w:hint="eastAsia" w:ascii="宋体" w:hAnsi="宋体" w:eastAsia="宋体" w:cs="Times New Roman"/>
                <w:b/>
                <w:bCs/>
                <w:sz w:val="21"/>
                <w:szCs w:val="21"/>
                <w:lang w:val="en-US" w:eastAsia="zh-CN"/>
              </w:rPr>
              <w:t>套</w:t>
            </w:r>
          </w:p>
        </w:tc>
        <w:tc>
          <w:tcPr>
            <w:tcW w:w="643" w:type="dxa"/>
            <w:noWrap w:val="0"/>
            <w:vAlign w:val="center"/>
          </w:tcPr>
          <w:p w14:paraId="79F28B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2C9A3F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1A91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dxa"/>
            <w:noWrap w:val="0"/>
            <w:vAlign w:val="center"/>
          </w:tcPr>
          <w:p w14:paraId="1589E55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5</w:t>
            </w:r>
          </w:p>
        </w:tc>
        <w:tc>
          <w:tcPr>
            <w:tcW w:w="1267" w:type="dxa"/>
            <w:noWrap w:val="0"/>
            <w:vAlign w:val="center"/>
          </w:tcPr>
          <w:p w14:paraId="090AB7D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筒灯</w:t>
            </w:r>
          </w:p>
          <w:p w14:paraId="6AC5D5A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（嵌入安装、吊顶，外直径约180mm）</w:t>
            </w:r>
          </w:p>
        </w:tc>
        <w:tc>
          <w:tcPr>
            <w:tcW w:w="4398" w:type="dxa"/>
            <w:noWrap w:val="0"/>
            <w:vAlign w:val="center"/>
          </w:tcPr>
          <w:p w14:paraId="48D4F04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1.材质：铝材+PP。</w:t>
            </w:r>
          </w:p>
          <w:p w14:paraId="2C428A7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额定功率：</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9W。</w:t>
            </w:r>
          </w:p>
          <w:p w14:paraId="05A4524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3.色温：</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5700K。</w:t>
            </w:r>
          </w:p>
          <w:p w14:paraId="3F8333C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pacing w:val="7"/>
                <w:sz w:val="21"/>
                <w:szCs w:val="21"/>
                <w:lang w:val="en-US" w:eastAsia="zh-CN"/>
              </w:rPr>
              <w:t>4.显色指数：</w:t>
            </w:r>
            <w:r>
              <w:rPr>
                <w:rFonts w:hint="eastAsia" w:ascii="宋体" w:hAnsi="宋体" w:eastAsia="宋体" w:cs="宋体"/>
                <w:kern w:val="2"/>
                <w:sz w:val="21"/>
                <w:szCs w:val="21"/>
                <w:highlight w:val="none"/>
                <w:lang w:val="en-US" w:eastAsia="zh-CN" w:bidi="ar-SA"/>
              </w:rPr>
              <w:t>RA≥90。</w:t>
            </w:r>
          </w:p>
          <w:p w14:paraId="1787C8B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5.电压：220V/50Hz。</w:t>
            </w:r>
          </w:p>
          <w:p w14:paraId="3791C8F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防护等级≥IP</w:t>
            </w:r>
            <w:r>
              <w:rPr>
                <w:rFonts w:hint="eastAsia" w:ascii="宋体" w:hAnsi="宋体" w:eastAsia="宋体" w:cs="宋体"/>
                <w:sz w:val="21"/>
                <w:szCs w:val="21"/>
                <w:highlight w:val="none"/>
                <w:lang w:val="en-US" w:eastAsia="zh-CN"/>
              </w:rPr>
              <w:t>20</w:t>
            </w:r>
            <w:r>
              <w:rPr>
                <w:rFonts w:hint="eastAsia" w:ascii="宋体" w:hAnsi="宋体" w:eastAsia="宋体" w:cs="宋体"/>
                <w:kern w:val="2"/>
                <w:sz w:val="21"/>
                <w:szCs w:val="21"/>
                <w:highlight w:val="none"/>
                <w:lang w:val="en-US" w:eastAsia="zh-CN" w:bidi="ar-SA"/>
              </w:rPr>
              <w:t>。</w:t>
            </w:r>
          </w:p>
          <w:p w14:paraId="4A5D703F">
            <w:pPr>
              <w:keepNext w:val="0"/>
              <w:keepLines w:val="0"/>
              <w:pageBreakBefore w:val="0"/>
              <w:widowControl w:val="0"/>
              <w:tabs>
                <w:tab w:val="left" w:pos="1232"/>
              </w:tabs>
              <w:kinsoku/>
              <w:wordWrap/>
              <w:overflowPunct/>
              <w:topLinePunct w:val="0"/>
              <w:autoSpaceDE/>
              <w:autoSpaceDN/>
              <w:bidi w:val="0"/>
              <w:adjustRightInd/>
              <w:snapToGrid/>
              <w:spacing w:line="360" w:lineRule="auto"/>
              <w:jc w:val="both"/>
              <w:textAlignment w:val="auto"/>
              <w:rPr>
                <w:rFonts w:hint="eastAsia" w:ascii="宋体" w:hAnsi="宋体" w:eastAsia="宋体" w:cs="宋体"/>
                <w:spacing w:val="7"/>
                <w:kern w:val="2"/>
                <w:sz w:val="21"/>
                <w:szCs w:val="21"/>
                <w:highlight w:val="none"/>
                <w:lang w:val="en-US" w:eastAsia="zh-CN" w:bidi="ar-SA"/>
              </w:rPr>
            </w:pPr>
            <w:r>
              <w:rPr>
                <w:rFonts w:hint="eastAsia" w:ascii="宋体" w:hAnsi="宋体" w:eastAsia="宋体" w:cs="宋体"/>
                <w:sz w:val="21"/>
                <w:szCs w:val="21"/>
                <w:highlight w:val="none"/>
                <w:lang w:val="en-US" w:eastAsia="zh-CN"/>
              </w:rPr>
              <w:t>7.能效：二级及以上。</w:t>
            </w:r>
          </w:p>
        </w:tc>
        <w:tc>
          <w:tcPr>
            <w:tcW w:w="986" w:type="dxa"/>
            <w:noWrap w:val="0"/>
            <w:vAlign w:val="center"/>
          </w:tcPr>
          <w:p w14:paraId="3263AA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210</w:t>
            </w:r>
            <w:r>
              <w:rPr>
                <w:rFonts w:hint="eastAsia" w:ascii="宋体" w:hAnsi="宋体" w:eastAsia="宋体" w:cs="Times New Roman"/>
                <w:b/>
                <w:bCs/>
                <w:sz w:val="21"/>
                <w:szCs w:val="21"/>
                <w:lang w:val="en-US" w:eastAsia="zh-CN"/>
              </w:rPr>
              <w:t>套</w:t>
            </w:r>
          </w:p>
        </w:tc>
        <w:tc>
          <w:tcPr>
            <w:tcW w:w="643" w:type="dxa"/>
            <w:noWrap w:val="0"/>
            <w:vAlign w:val="center"/>
          </w:tcPr>
          <w:p w14:paraId="586984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7D1A2A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09F3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66C0010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6</w:t>
            </w:r>
          </w:p>
        </w:tc>
        <w:tc>
          <w:tcPr>
            <w:tcW w:w="1267" w:type="dxa"/>
            <w:noWrap w:val="0"/>
            <w:vAlign w:val="center"/>
          </w:tcPr>
          <w:p w14:paraId="4D80810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筒灯</w:t>
            </w:r>
          </w:p>
          <w:p w14:paraId="1BAA0DF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（嵌入安装、吊顶，外直径约140mm）</w:t>
            </w:r>
          </w:p>
        </w:tc>
        <w:tc>
          <w:tcPr>
            <w:tcW w:w="4398" w:type="dxa"/>
            <w:noWrap w:val="0"/>
            <w:vAlign w:val="center"/>
          </w:tcPr>
          <w:p w14:paraId="1295F38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1.材质：铝材+PP。</w:t>
            </w:r>
          </w:p>
          <w:p w14:paraId="668BB7E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额定功率：</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5W。</w:t>
            </w:r>
          </w:p>
          <w:p w14:paraId="4BCE8E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3.色温：</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5700K。</w:t>
            </w:r>
          </w:p>
          <w:p w14:paraId="4201772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w:t>
            </w:r>
            <w:r>
              <w:rPr>
                <w:rFonts w:hint="eastAsia" w:ascii="宋体" w:hAnsi="宋体" w:eastAsia="宋体" w:cs="宋体"/>
                <w:spacing w:val="7"/>
                <w:sz w:val="21"/>
                <w:szCs w:val="21"/>
                <w:lang w:val="en-US" w:eastAsia="zh-CN"/>
              </w:rPr>
              <w:t>显色指数：</w:t>
            </w:r>
            <w:r>
              <w:rPr>
                <w:rFonts w:hint="eastAsia" w:ascii="宋体" w:hAnsi="宋体" w:eastAsia="宋体" w:cs="宋体"/>
                <w:kern w:val="2"/>
                <w:sz w:val="21"/>
                <w:szCs w:val="21"/>
                <w:highlight w:val="none"/>
                <w:lang w:val="en-US" w:eastAsia="zh-CN" w:bidi="ar-SA"/>
              </w:rPr>
              <w:t>RA≥90。</w:t>
            </w:r>
          </w:p>
          <w:p w14:paraId="0F20D37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5.电压：220V/50Hz。</w:t>
            </w:r>
          </w:p>
          <w:p w14:paraId="5E22337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防护等级≥IP</w:t>
            </w:r>
            <w:r>
              <w:rPr>
                <w:rFonts w:hint="eastAsia" w:ascii="宋体" w:hAnsi="宋体" w:eastAsia="宋体" w:cs="宋体"/>
                <w:sz w:val="21"/>
                <w:szCs w:val="21"/>
                <w:highlight w:val="none"/>
                <w:lang w:val="en-US" w:eastAsia="zh-CN"/>
              </w:rPr>
              <w:t>20</w:t>
            </w:r>
            <w:r>
              <w:rPr>
                <w:rFonts w:hint="eastAsia" w:ascii="宋体" w:hAnsi="宋体" w:eastAsia="宋体" w:cs="宋体"/>
                <w:kern w:val="2"/>
                <w:sz w:val="21"/>
                <w:szCs w:val="21"/>
                <w:highlight w:val="none"/>
                <w:lang w:val="en-US" w:eastAsia="zh-CN" w:bidi="ar-SA"/>
              </w:rPr>
              <w:t>。</w:t>
            </w:r>
          </w:p>
          <w:p w14:paraId="52F086D9">
            <w:pPr>
              <w:keepNext w:val="0"/>
              <w:keepLines w:val="0"/>
              <w:pageBreakBefore w:val="0"/>
              <w:widowControl w:val="0"/>
              <w:tabs>
                <w:tab w:val="left" w:pos="1232"/>
              </w:tabs>
              <w:kinsoku/>
              <w:wordWrap/>
              <w:overflowPunct/>
              <w:topLinePunct w:val="0"/>
              <w:autoSpaceDE/>
              <w:autoSpaceDN/>
              <w:bidi w:val="0"/>
              <w:adjustRightInd/>
              <w:snapToGrid/>
              <w:spacing w:line="360" w:lineRule="auto"/>
              <w:jc w:val="both"/>
              <w:textAlignment w:val="auto"/>
              <w:rPr>
                <w:rFonts w:hint="eastAsia" w:ascii="宋体" w:hAnsi="宋体" w:eastAsia="宋体" w:cs="宋体"/>
                <w:spacing w:val="7"/>
                <w:kern w:val="2"/>
                <w:sz w:val="21"/>
                <w:szCs w:val="21"/>
                <w:highlight w:val="none"/>
                <w:lang w:val="en-US" w:eastAsia="zh-CN" w:bidi="ar-SA"/>
              </w:rPr>
            </w:pPr>
            <w:r>
              <w:rPr>
                <w:rFonts w:hint="eastAsia" w:ascii="宋体" w:hAnsi="宋体" w:eastAsia="宋体" w:cs="宋体"/>
                <w:sz w:val="21"/>
                <w:szCs w:val="21"/>
                <w:highlight w:val="none"/>
                <w:lang w:val="en-US" w:eastAsia="zh-CN"/>
              </w:rPr>
              <w:t>7.能效：二级及以上。</w:t>
            </w:r>
          </w:p>
        </w:tc>
        <w:tc>
          <w:tcPr>
            <w:tcW w:w="986" w:type="dxa"/>
            <w:noWrap w:val="0"/>
            <w:vAlign w:val="center"/>
          </w:tcPr>
          <w:p w14:paraId="38B0B04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626</w:t>
            </w:r>
            <w:r>
              <w:rPr>
                <w:rFonts w:hint="eastAsia" w:ascii="宋体" w:hAnsi="宋体" w:eastAsia="宋体" w:cs="Times New Roman"/>
                <w:b/>
                <w:bCs/>
                <w:sz w:val="21"/>
                <w:szCs w:val="21"/>
                <w:lang w:val="en-US" w:eastAsia="zh-CN"/>
              </w:rPr>
              <w:t>套</w:t>
            </w:r>
          </w:p>
        </w:tc>
        <w:tc>
          <w:tcPr>
            <w:tcW w:w="643" w:type="dxa"/>
            <w:noWrap w:val="0"/>
            <w:vAlign w:val="center"/>
          </w:tcPr>
          <w:p w14:paraId="4DDEC6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13C528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644A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4414560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7</w:t>
            </w:r>
          </w:p>
        </w:tc>
        <w:tc>
          <w:tcPr>
            <w:tcW w:w="1267" w:type="dxa"/>
            <w:noWrap w:val="0"/>
            <w:vAlign w:val="center"/>
          </w:tcPr>
          <w:p w14:paraId="3EE16B2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筒灯</w:t>
            </w:r>
          </w:p>
          <w:p w14:paraId="42545E8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（嵌入安装、吊顶，外直径约120mm）</w:t>
            </w:r>
          </w:p>
        </w:tc>
        <w:tc>
          <w:tcPr>
            <w:tcW w:w="4398" w:type="dxa"/>
            <w:noWrap w:val="0"/>
            <w:vAlign w:val="center"/>
          </w:tcPr>
          <w:p w14:paraId="3FA3DD7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1.材质：铝材+PP。</w:t>
            </w:r>
          </w:p>
          <w:p w14:paraId="0202C44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额定功率：</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5W。</w:t>
            </w:r>
          </w:p>
          <w:p w14:paraId="11FEF4F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3.色温：</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5700K。</w:t>
            </w:r>
          </w:p>
          <w:p w14:paraId="33CBD12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pacing w:val="7"/>
                <w:sz w:val="21"/>
                <w:szCs w:val="21"/>
                <w:lang w:val="en-US" w:eastAsia="zh-CN"/>
              </w:rPr>
              <w:t>4.显色指数：</w:t>
            </w:r>
            <w:r>
              <w:rPr>
                <w:rFonts w:hint="eastAsia" w:ascii="宋体" w:hAnsi="宋体" w:eastAsia="宋体" w:cs="宋体"/>
                <w:kern w:val="2"/>
                <w:sz w:val="21"/>
                <w:szCs w:val="21"/>
                <w:highlight w:val="none"/>
                <w:lang w:val="en-US" w:eastAsia="zh-CN" w:bidi="ar-SA"/>
              </w:rPr>
              <w:t>RA≥90。</w:t>
            </w:r>
          </w:p>
          <w:p w14:paraId="64F08AE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5.电压：220V/50Hz。</w:t>
            </w:r>
          </w:p>
          <w:p w14:paraId="2A0921C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防护等级≥IP</w:t>
            </w:r>
            <w:r>
              <w:rPr>
                <w:rFonts w:hint="eastAsia" w:ascii="宋体" w:hAnsi="宋体" w:eastAsia="宋体" w:cs="宋体"/>
                <w:sz w:val="21"/>
                <w:szCs w:val="21"/>
                <w:highlight w:val="none"/>
                <w:lang w:val="en-US" w:eastAsia="zh-CN"/>
              </w:rPr>
              <w:t>20</w:t>
            </w:r>
            <w:r>
              <w:rPr>
                <w:rFonts w:hint="eastAsia" w:ascii="宋体" w:hAnsi="宋体" w:eastAsia="宋体" w:cs="宋体"/>
                <w:kern w:val="2"/>
                <w:sz w:val="21"/>
                <w:szCs w:val="21"/>
                <w:highlight w:val="none"/>
                <w:lang w:val="en-US" w:eastAsia="zh-CN" w:bidi="ar-SA"/>
              </w:rPr>
              <w:t>。</w:t>
            </w:r>
          </w:p>
          <w:p w14:paraId="74F76327">
            <w:pPr>
              <w:keepNext w:val="0"/>
              <w:keepLines w:val="0"/>
              <w:pageBreakBefore w:val="0"/>
              <w:widowControl w:val="0"/>
              <w:tabs>
                <w:tab w:val="left" w:pos="1232"/>
              </w:tabs>
              <w:kinsoku/>
              <w:wordWrap/>
              <w:overflowPunct/>
              <w:topLinePunct w:val="0"/>
              <w:autoSpaceDE/>
              <w:autoSpaceDN/>
              <w:bidi w:val="0"/>
              <w:adjustRightInd/>
              <w:snapToGrid/>
              <w:spacing w:line="360" w:lineRule="auto"/>
              <w:jc w:val="both"/>
              <w:textAlignment w:val="auto"/>
              <w:rPr>
                <w:rFonts w:hint="eastAsia" w:ascii="宋体" w:hAnsi="宋体" w:eastAsia="宋体" w:cs="宋体"/>
                <w:spacing w:val="7"/>
                <w:kern w:val="2"/>
                <w:sz w:val="21"/>
                <w:szCs w:val="21"/>
                <w:highlight w:val="none"/>
                <w:lang w:val="en-US" w:eastAsia="zh-CN" w:bidi="ar-SA"/>
              </w:rPr>
            </w:pPr>
            <w:r>
              <w:rPr>
                <w:rFonts w:hint="eastAsia" w:ascii="宋体" w:hAnsi="宋体" w:eastAsia="宋体" w:cs="宋体"/>
                <w:sz w:val="21"/>
                <w:szCs w:val="21"/>
                <w:highlight w:val="none"/>
                <w:lang w:val="en-US" w:eastAsia="zh-CN"/>
              </w:rPr>
              <w:t>7.能效：二级及以上。</w:t>
            </w:r>
          </w:p>
        </w:tc>
        <w:tc>
          <w:tcPr>
            <w:tcW w:w="986" w:type="dxa"/>
            <w:noWrap w:val="0"/>
            <w:vAlign w:val="center"/>
          </w:tcPr>
          <w:p w14:paraId="243D77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60</w:t>
            </w:r>
            <w:r>
              <w:rPr>
                <w:rFonts w:hint="eastAsia" w:ascii="宋体" w:hAnsi="宋体" w:eastAsia="宋体" w:cs="Times New Roman"/>
                <w:b/>
                <w:bCs/>
                <w:sz w:val="21"/>
                <w:szCs w:val="21"/>
                <w:lang w:val="en-US" w:eastAsia="zh-CN"/>
              </w:rPr>
              <w:t>套</w:t>
            </w:r>
          </w:p>
        </w:tc>
        <w:tc>
          <w:tcPr>
            <w:tcW w:w="643" w:type="dxa"/>
            <w:noWrap w:val="0"/>
            <w:vAlign w:val="center"/>
          </w:tcPr>
          <w:p w14:paraId="436FA1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6CF50E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39B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75EFA31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8</w:t>
            </w:r>
          </w:p>
        </w:tc>
        <w:tc>
          <w:tcPr>
            <w:tcW w:w="1267" w:type="dxa"/>
            <w:noWrap w:val="0"/>
            <w:vAlign w:val="center"/>
          </w:tcPr>
          <w:p w14:paraId="2E7C8A9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筒灯</w:t>
            </w:r>
          </w:p>
          <w:p w14:paraId="5329802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（嵌入安装、吊顶，外直径约100mm）</w:t>
            </w:r>
          </w:p>
        </w:tc>
        <w:tc>
          <w:tcPr>
            <w:tcW w:w="4398" w:type="dxa"/>
            <w:noWrap w:val="0"/>
            <w:vAlign w:val="center"/>
          </w:tcPr>
          <w:p w14:paraId="3D9E6DB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1.材质：铝材+PP。</w:t>
            </w:r>
          </w:p>
          <w:p w14:paraId="7A88F98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额定功率：</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5W。</w:t>
            </w:r>
          </w:p>
          <w:p w14:paraId="7478F7C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3.色温：</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5700K。</w:t>
            </w:r>
          </w:p>
          <w:p w14:paraId="18EC7DA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w:t>
            </w:r>
            <w:r>
              <w:rPr>
                <w:rFonts w:hint="eastAsia" w:ascii="宋体" w:hAnsi="宋体" w:eastAsia="宋体" w:cs="宋体"/>
                <w:spacing w:val="7"/>
                <w:sz w:val="21"/>
                <w:szCs w:val="21"/>
                <w:lang w:val="en-US" w:eastAsia="zh-CN"/>
              </w:rPr>
              <w:t>显色指数：</w:t>
            </w:r>
            <w:r>
              <w:rPr>
                <w:rFonts w:hint="eastAsia" w:ascii="宋体" w:hAnsi="宋体" w:eastAsia="宋体" w:cs="宋体"/>
                <w:kern w:val="2"/>
                <w:sz w:val="21"/>
                <w:szCs w:val="21"/>
                <w:highlight w:val="none"/>
                <w:lang w:val="en-US" w:eastAsia="zh-CN" w:bidi="ar-SA"/>
              </w:rPr>
              <w:t>RA≥90。</w:t>
            </w:r>
          </w:p>
          <w:p w14:paraId="01F2A8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5.电压：220V/50Hz。</w:t>
            </w:r>
          </w:p>
          <w:p w14:paraId="2E0C5CB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防护等级≥IP</w:t>
            </w:r>
            <w:r>
              <w:rPr>
                <w:rFonts w:hint="eastAsia" w:ascii="宋体" w:hAnsi="宋体" w:eastAsia="宋体" w:cs="宋体"/>
                <w:sz w:val="21"/>
                <w:szCs w:val="21"/>
                <w:highlight w:val="none"/>
                <w:lang w:val="en-US" w:eastAsia="zh-CN"/>
              </w:rPr>
              <w:t>20</w:t>
            </w:r>
            <w:r>
              <w:rPr>
                <w:rFonts w:hint="eastAsia" w:ascii="宋体" w:hAnsi="宋体" w:eastAsia="宋体" w:cs="宋体"/>
                <w:kern w:val="2"/>
                <w:sz w:val="21"/>
                <w:szCs w:val="21"/>
                <w:highlight w:val="none"/>
                <w:lang w:val="en-US" w:eastAsia="zh-CN" w:bidi="ar-SA"/>
              </w:rPr>
              <w:t>。</w:t>
            </w:r>
          </w:p>
          <w:p w14:paraId="37F9F169">
            <w:pPr>
              <w:keepNext w:val="0"/>
              <w:keepLines w:val="0"/>
              <w:pageBreakBefore w:val="0"/>
              <w:widowControl w:val="0"/>
              <w:tabs>
                <w:tab w:val="left" w:pos="1232"/>
              </w:tabs>
              <w:kinsoku/>
              <w:wordWrap/>
              <w:overflowPunct/>
              <w:topLinePunct w:val="0"/>
              <w:autoSpaceDE/>
              <w:autoSpaceDN/>
              <w:bidi w:val="0"/>
              <w:adjustRightInd/>
              <w:snapToGrid/>
              <w:spacing w:line="360" w:lineRule="auto"/>
              <w:jc w:val="both"/>
              <w:textAlignment w:val="auto"/>
              <w:rPr>
                <w:rFonts w:hint="eastAsia" w:ascii="宋体" w:hAnsi="宋体" w:eastAsia="宋体" w:cs="宋体"/>
                <w:spacing w:val="7"/>
                <w:kern w:val="2"/>
                <w:sz w:val="21"/>
                <w:szCs w:val="21"/>
                <w:highlight w:val="none"/>
                <w:lang w:val="en-US" w:eastAsia="zh-CN" w:bidi="ar-SA"/>
              </w:rPr>
            </w:pPr>
            <w:r>
              <w:rPr>
                <w:rFonts w:hint="eastAsia" w:ascii="宋体" w:hAnsi="宋体" w:eastAsia="宋体" w:cs="宋体"/>
                <w:sz w:val="21"/>
                <w:szCs w:val="21"/>
                <w:highlight w:val="none"/>
                <w:lang w:val="en-US" w:eastAsia="zh-CN"/>
              </w:rPr>
              <w:t>7.能效：二级及以上。</w:t>
            </w:r>
          </w:p>
        </w:tc>
        <w:tc>
          <w:tcPr>
            <w:tcW w:w="986" w:type="dxa"/>
            <w:noWrap w:val="0"/>
            <w:vAlign w:val="center"/>
          </w:tcPr>
          <w:p w14:paraId="510A504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90</w:t>
            </w:r>
            <w:r>
              <w:rPr>
                <w:rFonts w:hint="eastAsia" w:ascii="宋体" w:hAnsi="宋体" w:eastAsia="宋体" w:cs="Times New Roman"/>
                <w:b/>
                <w:bCs/>
                <w:sz w:val="21"/>
                <w:szCs w:val="21"/>
                <w:lang w:val="en-US" w:eastAsia="zh-CN"/>
              </w:rPr>
              <w:t>套</w:t>
            </w:r>
          </w:p>
        </w:tc>
        <w:tc>
          <w:tcPr>
            <w:tcW w:w="643" w:type="dxa"/>
            <w:noWrap w:val="0"/>
            <w:vAlign w:val="center"/>
          </w:tcPr>
          <w:p w14:paraId="3F388B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052633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76AC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38E5C1D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9</w:t>
            </w:r>
          </w:p>
        </w:tc>
        <w:tc>
          <w:tcPr>
            <w:tcW w:w="1267" w:type="dxa"/>
            <w:noWrap w:val="0"/>
            <w:vAlign w:val="center"/>
          </w:tcPr>
          <w:p w14:paraId="495FBE5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筒灯</w:t>
            </w:r>
          </w:p>
          <w:p w14:paraId="7DD46C8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（嵌入安装、吊顶，外直径约80mm）</w:t>
            </w:r>
          </w:p>
        </w:tc>
        <w:tc>
          <w:tcPr>
            <w:tcW w:w="4398" w:type="dxa"/>
            <w:noWrap w:val="0"/>
            <w:vAlign w:val="center"/>
          </w:tcPr>
          <w:p w14:paraId="1737066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1.材质：铝材+PP。</w:t>
            </w:r>
          </w:p>
          <w:p w14:paraId="1D55FA1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额定功率：</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9W。</w:t>
            </w:r>
          </w:p>
          <w:p w14:paraId="04CA7B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3.色温：</w:t>
            </w:r>
            <w:r>
              <w:rPr>
                <w:rFonts w:hint="eastAsia" w:ascii="宋体" w:hAnsi="宋体" w:eastAsia="宋体" w:cs="宋体"/>
                <w:spacing w:val="7"/>
                <w:sz w:val="21"/>
                <w:szCs w:val="21"/>
                <w:highlight w:val="none"/>
                <w:lang w:val="en-US" w:eastAsia="zh-CN"/>
              </w:rPr>
              <w:t>≥</w:t>
            </w:r>
            <w:r>
              <w:rPr>
                <w:rFonts w:hint="eastAsia" w:ascii="宋体" w:hAnsi="宋体" w:eastAsia="宋体" w:cs="宋体"/>
                <w:kern w:val="2"/>
                <w:sz w:val="21"/>
                <w:szCs w:val="21"/>
                <w:highlight w:val="none"/>
                <w:lang w:val="en-US" w:eastAsia="zh-CN" w:bidi="ar-SA"/>
              </w:rPr>
              <w:t>5700K。</w:t>
            </w:r>
          </w:p>
          <w:p w14:paraId="0423A3D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pacing w:val="7"/>
                <w:sz w:val="21"/>
                <w:szCs w:val="21"/>
                <w:lang w:val="en-US" w:eastAsia="zh-CN"/>
              </w:rPr>
              <w:t>4.显色指数：</w:t>
            </w:r>
            <w:r>
              <w:rPr>
                <w:rFonts w:hint="eastAsia" w:ascii="宋体" w:hAnsi="宋体" w:eastAsia="宋体" w:cs="宋体"/>
                <w:kern w:val="2"/>
                <w:sz w:val="21"/>
                <w:szCs w:val="21"/>
                <w:highlight w:val="none"/>
                <w:lang w:val="en-US" w:eastAsia="zh-CN" w:bidi="ar-SA"/>
              </w:rPr>
              <w:t>RA≥90。</w:t>
            </w:r>
          </w:p>
          <w:p w14:paraId="2BC9FC3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5.电压：220V/50Hz。</w:t>
            </w:r>
          </w:p>
          <w:p w14:paraId="33FBA27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防护等级≥IP</w:t>
            </w:r>
            <w:r>
              <w:rPr>
                <w:rFonts w:hint="eastAsia" w:ascii="宋体" w:hAnsi="宋体" w:eastAsia="宋体" w:cs="宋体"/>
                <w:sz w:val="21"/>
                <w:szCs w:val="21"/>
                <w:highlight w:val="none"/>
                <w:lang w:val="en-US" w:eastAsia="zh-CN"/>
              </w:rPr>
              <w:t>20</w:t>
            </w:r>
            <w:r>
              <w:rPr>
                <w:rFonts w:hint="eastAsia" w:ascii="宋体" w:hAnsi="宋体" w:eastAsia="宋体" w:cs="宋体"/>
                <w:kern w:val="2"/>
                <w:sz w:val="21"/>
                <w:szCs w:val="21"/>
                <w:highlight w:val="none"/>
                <w:lang w:val="en-US" w:eastAsia="zh-CN" w:bidi="ar-SA"/>
              </w:rPr>
              <w:t>。</w:t>
            </w:r>
          </w:p>
          <w:p w14:paraId="650B12ED">
            <w:pPr>
              <w:keepNext w:val="0"/>
              <w:keepLines w:val="0"/>
              <w:pageBreakBefore w:val="0"/>
              <w:widowControl w:val="0"/>
              <w:tabs>
                <w:tab w:val="left" w:pos="1232"/>
              </w:tabs>
              <w:kinsoku/>
              <w:wordWrap/>
              <w:overflowPunct/>
              <w:topLinePunct w:val="0"/>
              <w:autoSpaceDE/>
              <w:autoSpaceDN/>
              <w:bidi w:val="0"/>
              <w:adjustRightInd/>
              <w:snapToGrid/>
              <w:spacing w:line="360" w:lineRule="auto"/>
              <w:jc w:val="both"/>
              <w:textAlignment w:val="auto"/>
              <w:rPr>
                <w:rFonts w:hint="eastAsia" w:ascii="宋体" w:hAnsi="宋体" w:eastAsia="宋体" w:cs="宋体"/>
                <w:spacing w:val="7"/>
                <w:kern w:val="2"/>
                <w:sz w:val="21"/>
                <w:szCs w:val="21"/>
                <w:highlight w:val="none"/>
                <w:lang w:val="en-US" w:eastAsia="zh-CN" w:bidi="ar-SA"/>
              </w:rPr>
            </w:pPr>
            <w:r>
              <w:rPr>
                <w:rFonts w:hint="eastAsia" w:ascii="宋体" w:hAnsi="宋体" w:eastAsia="宋体" w:cs="宋体"/>
                <w:sz w:val="21"/>
                <w:szCs w:val="21"/>
                <w:highlight w:val="none"/>
                <w:lang w:val="en-US" w:eastAsia="zh-CN"/>
              </w:rPr>
              <w:t>7.能效：二级及以上。</w:t>
            </w:r>
          </w:p>
        </w:tc>
        <w:tc>
          <w:tcPr>
            <w:tcW w:w="986" w:type="dxa"/>
            <w:noWrap w:val="0"/>
            <w:vAlign w:val="center"/>
          </w:tcPr>
          <w:p w14:paraId="4F0C027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70</w:t>
            </w:r>
            <w:r>
              <w:rPr>
                <w:rFonts w:hint="eastAsia" w:ascii="宋体" w:hAnsi="宋体" w:eastAsia="宋体" w:cs="Times New Roman"/>
                <w:b/>
                <w:bCs/>
                <w:sz w:val="21"/>
                <w:szCs w:val="21"/>
                <w:lang w:val="en-US" w:eastAsia="zh-CN"/>
              </w:rPr>
              <w:t>套</w:t>
            </w:r>
          </w:p>
        </w:tc>
        <w:tc>
          <w:tcPr>
            <w:tcW w:w="643" w:type="dxa"/>
            <w:noWrap w:val="0"/>
            <w:vAlign w:val="center"/>
          </w:tcPr>
          <w:p w14:paraId="643DE4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43BF63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68E9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3F28335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10</w:t>
            </w:r>
          </w:p>
        </w:tc>
        <w:tc>
          <w:tcPr>
            <w:tcW w:w="1267" w:type="dxa"/>
            <w:noWrap w:val="0"/>
            <w:vAlign w:val="center"/>
          </w:tcPr>
          <w:p w14:paraId="18B9716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 xml:space="preserve">LED人体感应灯 </w:t>
            </w:r>
          </w:p>
          <w:p w14:paraId="73B5231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p>
        </w:tc>
        <w:tc>
          <w:tcPr>
            <w:tcW w:w="4398" w:type="dxa"/>
            <w:noWrap w:val="0"/>
            <w:vAlign w:val="center"/>
          </w:tcPr>
          <w:p w14:paraId="5396840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1.产品尺寸：直径约260-300mm。</w:t>
            </w:r>
          </w:p>
          <w:p w14:paraId="7B0D48E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2.功率：≤18W。</w:t>
            </w:r>
          </w:p>
          <w:p w14:paraId="047B1F4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3.额定电压：AC220V～220V/50Hz。</w:t>
            </w:r>
          </w:p>
          <w:p w14:paraId="4F390B8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4.色温：≥5700K。</w:t>
            </w:r>
          </w:p>
          <w:p w14:paraId="7EB7A82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5.显色指数：Ra90及以上。</w:t>
            </w:r>
          </w:p>
          <w:p w14:paraId="7320AC6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6.感应范围：高不小于3米直径不小于6米。</w:t>
            </w:r>
          </w:p>
        </w:tc>
        <w:tc>
          <w:tcPr>
            <w:tcW w:w="986" w:type="dxa"/>
            <w:noWrap w:val="0"/>
            <w:vAlign w:val="center"/>
          </w:tcPr>
          <w:p w14:paraId="7A9308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90</w:t>
            </w:r>
            <w:r>
              <w:rPr>
                <w:rFonts w:hint="eastAsia" w:ascii="宋体" w:hAnsi="宋体" w:eastAsia="宋体" w:cs="Times New Roman"/>
                <w:b/>
                <w:bCs/>
                <w:sz w:val="21"/>
                <w:szCs w:val="21"/>
                <w:lang w:val="en-US" w:eastAsia="zh-CN"/>
              </w:rPr>
              <w:t>套</w:t>
            </w:r>
          </w:p>
        </w:tc>
        <w:tc>
          <w:tcPr>
            <w:tcW w:w="643" w:type="dxa"/>
            <w:noWrap w:val="0"/>
            <w:vAlign w:val="center"/>
          </w:tcPr>
          <w:p w14:paraId="277865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4C6DB1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0163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dxa"/>
            <w:noWrap w:val="0"/>
            <w:vAlign w:val="center"/>
          </w:tcPr>
          <w:p w14:paraId="6097994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11</w:t>
            </w:r>
          </w:p>
        </w:tc>
        <w:tc>
          <w:tcPr>
            <w:tcW w:w="1267" w:type="dxa"/>
            <w:noWrap w:val="0"/>
            <w:vAlign w:val="center"/>
          </w:tcPr>
          <w:p w14:paraId="18B2A4E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LED吸顶灯</w:t>
            </w:r>
          </w:p>
          <w:p w14:paraId="77EBDD7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p>
        </w:tc>
        <w:tc>
          <w:tcPr>
            <w:tcW w:w="4398" w:type="dxa"/>
            <w:noWrap w:val="0"/>
            <w:vAlign w:val="center"/>
          </w:tcPr>
          <w:p w14:paraId="56ED72C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1.产品尺寸：直径约260-300mm。</w:t>
            </w:r>
          </w:p>
          <w:p w14:paraId="08A81C9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2.额定功率：≤18W。</w:t>
            </w:r>
          </w:p>
          <w:p w14:paraId="45B294D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3.额定电压：AC220V～220V/50Hz。</w:t>
            </w:r>
          </w:p>
          <w:p w14:paraId="24C49DD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4.色温：≥5000K。</w:t>
            </w:r>
          </w:p>
          <w:p w14:paraId="4D8F8B4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5.显色指数：Ra80及以上。</w:t>
            </w:r>
          </w:p>
        </w:tc>
        <w:tc>
          <w:tcPr>
            <w:tcW w:w="986" w:type="dxa"/>
            <w:noWrap w:val="0"/>
            <w:vAlign w:val="center"/>
          </w:tcPr>
          <w:p w14:paraId="0D3B13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50</w:t>
            </w:r>
            <w:r>
              <w:rPr>
                <w:rFonts w:hint="eastAsia" w:ascii="宋体" w:hAnsi="宋体" w:eastAsia="宋体" w:cs="Times New Roman"/>
                <w:b/>
                <w:bCs/>
                <w:sz w:val="21"/>
                <w:szCs w:val="21"/>
                <w:lang w:val="en-US" w:eastAsia="zh-CN"/>
              </w:rPr>
              <w:t>套</w:t>
            </w:r>
          </w:p>
        </w:tc>
        <w:tc>
          <w:tcPr>
            <w:tcW w:w="643" w:type="dxa"/>
            <w:noWrap w:val="0"/>
            <w:vAlign w:val="center"/>
          </w:tcPr>
          <w:p w14:paraId="1FE917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2E9A6E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6479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39CFFF6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12</w:t>
            </w:r>
          </w:p>
        </w:tc>
        <w:tc>
          <w:tcPr>
            <w:tcW w:w="1267" w:type="dxa"/>
            <w:noWrap w:val="0"/>
            <w:vAlign w:val="center"/>
          </w:tcPr>
          <w:p w14:paraId="248A819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护眼台灯</w:t>
            </w:r>
          </w:p>
        </w:tc>
        <w:tc>
          <w:tcPr>
            <w:tcW w:w="4398" w:type="dxa"/>
            <w:noWrap w:val="0"/>
            <w:vAlign w:val="center"/>
          </w:tcPr>
          <w:p w14:paraId="789414A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1.额定功率：10-14W。</w:t>
            </w:r>
          </w:p>
          <w:p w14:paraId="64902C0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2.额定电压：AC220V～240V/50Hz。</w:t>
            </w:r>
          </w:p>
          <w:p w14:paraId="0FF1BA8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3.色温：3200K-5300k。</w:t>
            </w:r>
          </w:p>
          <w:p w14:paraId="060594F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4.显色指数：Ra95及以上。</w:t>
            </w:r>
          </w:p>
          <w:p w14:paraId="5C9B3D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5.蓝光危害类别等级为：RG0（或0类危险）。6.照度：国AA级。</w:t>
            </w:r>
          </w:p>
          <w:p w14:paraId="5CC0742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z w:val="21"/>
                <w:szCs w:val="21"/>
                <w:highlight w:val="none"/>
                <w:lang w:val="en-US" w:eastAsia="zh-CN"/>
              </w:rPr>
              <w:t>7.能效：二级及以上。</w:t>
            </w:r>
          </w:p>
        </w:tc>
        <w:tc>
          <w:tcPr>
            <w:tcW w:w="986" w:type="dxa"/>
            <w:noWrap w:val="0"/>
            <w:vAlign w:val="center"/>
          </w:tcPr>
          <w:p w14:paraId="4AE8165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200</w:t>
            </w:r>
            <w:r>
              <w:rPr>
                <w:rFonts w:hint="eastAsia" w:ascii="宋体" w:hAnsi="宋体" w:eastAsia="宋体" w:cs="Times New Roman"/>
                <w:b/>
                <w:bCs/>
                <w:sz w:val="21"/>
                <w:szCs w:val="21"/>
                <w:lang w:val="en-US" w:eastAsia="zh-CN"/>
              </w:rPr>
              <w:t>套</w:t>
            </w:r>
          </w:p>
        </w:tc>
        <w:tc>
          <w:tcPr>
            <w:tcW w:w="643" w:type="dxa"/>
            <w:noWrap w:val="0"/>
            <w:vAlign w:val="center"/>
          </w:tcPr>
          <w:p w14:paraId="1E2CC5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4EC1EA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5657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1D267E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13</w:t>
            </w:r>
          </w:p>
        </w:tc>
        <w:tc>
          <w:tcPr>
            <w:tcW w:w="1267" w:type="dxa"/>
            <w:noWrap w:val="0"/>
            <w:vAlign w:val="center"/>
          </w:tcPr>
          <w:p w14:paraId="4A6883E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书库吸顶灯</w:t>
            </w:r>
          </w:p>
        </w:tc>
        <w:tc>
          <w:tcPr>
            <w:tcW w:w="4398" w:type="dxa"/>
            <w:noWrap w:val="0"/>
            <w:vAlign w:val="center"/>
          </w:tcPr>
          <w:p w14:paraId="36EE491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1.尺寸：150-200mm。</w:t>
            </w:r>
          </w:p>
          <w:p w14:paraId="10D90C3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2.额定功率：≤8W</w:t>
            </w:r>
            <w:r>
              <w:rPr>
                <w:rFonts w:hint="eastAsia" w:eastAsia="宋体"/>
                <w:lang w:eastAsia="zh-CN"/>
              </w:rPr>
              <w:t>。</w:t>
            </w:r>
          </w:p>
          <w:p w14:paraId="4790FE7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3.0.25m垂直面维持平面照度≥50lx。</w:t>
            </w:r>
          </w:p>
          <w:p w14:paraId="4434EC0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4.显色指数：Ra80及以上。</w:t>
            </w:r>
          </w:p>
        </w:tc>
        <w:tc>
          <w:tcPr>
            <w:tcW w:w="986" w:type="dxa"/>
            <w:noWrap w:val="0"/>
            <w:vAlign w:val="center"/>
          </w:tcPr>
          <w:p w14:paraId="29C73FF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2000</w:t>
            </w:r>
            <w:r>
              <w:rPr>
                <w:rFonts w:hint="eastAsia" w:ascii="宋体" w:hAnsi="宋体" w:eastAsia="宋体" w:cs="Times New Roman"/>
                <w:b/>
                <w:bCs/>
                <w:sz w:val="21"/>
                <w:szCs w:val="21"/>
                <w:lang w:val="en-US" w:eastAsia="zh-CN"/>
              </w:rPr>
              <w:t>套</w:t>
            </w:r>
          </w:p>
        </w:tc>
        <w:tc>
          <w:tcPr>
            <w:tcW w:w="643" w:type="dxa"/>
            <w:noWrap w:val="0"/>
            <w:vAlign w:val="center"/>
          </w:tcPr>
          <w:p w14:paraId="24A9EF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2A60E3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0D2B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vMerge w:val="restart"/>
            <w:noWrap w:val="0"/>
            <w:vAlign w:val="center"/>
          </w:tcPr>
          <w:p w14:paraId="0229C8C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14</w:t>
            </w:r>
          </w:p>
        </w:tc>
        <w:tc>
          <w:tcPr>
            <w:tcW w:w="1267" w:type="dxa"/>
            <w:vMerge w:val="restart"/>
            <w:noWrap w:val="0"/>
            <w:vAlign w:val="center"/>
          </w:tcPr>
          <w:p w14:paraId="5CF1C11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动物户外灯</w:t>
            </w:r>
          </w:p>
        </w:tc>
        <w:tc>
          <w:tcPr>
            <w:tcW w:w="4398" w:type="dxa"/>
            <w:noWrap w:val="0"/>
            <w:vAlign w:val="center"/>
          </w:tcPr>
          <w:p w14:paraId="4CF27F8F">
            <w:pPr>
              <w:pStyle w:val="4"/>
              <w:spacing w:line="360" w:lineRule="auto"/>
              <w:rPr>
                <w:rFonts w:hint="eastAsia" w:ascii="宋体" w:hAnsi="宋体" w:eastAsia="@仿宋_GB2312" w:cs="宋体"/>
                <w:spacing w:val="7"/>
                <w:sz w:val="21"/>
                <w:szCs w:val="21"/>
                <w:lang w:val="en-US" w:eastAsia="zh-CN"/>
              </w:rPr>
            </w:pPr>
            <w:r>
              <w:rPr>
                <w:rFonts w:hint="eastAsia" w:ascii="宋体" w:hAnsi="宋体" w:eastAsia="宋体" w:cs="宋体"/>
                <w:spacing w:val="7"/>
                <w:sz w:val="21"/>
                <w:szCs w:val="21"/>
                <w:lang w:val="en-US" w:eastAsia="zh-CN"/>
              </w:rPr>
              <w:t>兔子造型户外灯：</w:t>
            </w:r>
            <w:r>
              <w:rPr>
                <w:rFonts w:hint="eastAsia" w:cs="宋体"/>
                <w:spacing w:val="7"/>
                <w:sz w:val="21"/>
                <w:szCs w:val="21"/>
                <w:lang w:val="en-US" w:eastAsia="zh-CN"/>
              </w:rPr>
              <w:t>约</w:t>
            </w:r>
            <w:r>
              <w:rPr>
                <w:rFonts w:hint="eastAsia" w:ascii="宋体" w:hAnsi="宋体" w:eastAsia="宋体" w:cs="宋体"/>
                <w:spacing w:val="7"/>
                <w:sz w:val="21"/>
                <w:szCs w:val="21"/>
                <w:lang w:val="en-US" w:eastAsia="zh-CN"/>
              </w:rPr>
              <w:t>55*37cm,防水，接电</w:t>
            </w:r>
            <w:r>
              <w:rPr>
                <w:rFonts w:hint="eastAsia" w:cs="宋体"/>
                <w:spacing w:val="7"/>
                <w:sz w:val="21"/>
                <w:szCs w:val="21"/>
                <w:lang w:val="en-US" w:eastAsia="zh-CN"/>
              </w:rPr>
              <w:t>,</w:t>
            </w:r>
            <w:r>
              <w:rPr>
                <w:rFonts w:hint="eastAsia" w:ascii="宋体" w:hAnsi="宋体" w:eastAsia="宋体" w:cs="宋体"/>
                <w:spacing w:val="7"/>
                <w:sz w:val="21"/>
                <w:szCs w:val="21"/>
                <w:lang w:val="en-US" w:eastAsia="zh-CN"/>
              </w:rPr>
              <w:t>5W≤LED≤</w:t>
            </w:r>
            <w:r>
              <w:rPr>
                <w:rFonts w:hint="eastAsia" w:cs="宋体"/>
                <w:spacing w:val="7"/>
                <w:sz w:val="21"/>
                <w:szCs w:val="21"/>
                <w:lang w:val="en-US" w:eastAsia="zh-CN"/>
              </w:rPr>
              <w:t>9</w:t>
            </w:r>
            <w:r>
              <w:rPr>
                <w:rFonts w:hint="eastAsia" w:ascii="宋体" w:hAnsi="宋体" w:eastAsia="宋体" w:cs="宋体"/>
                <w:spacing w:val="7"/>
                <w:sz w:val="21"/>
                <w:szCs w:val="21"/>
                <w:lang w:val="en-US" w:eastAsia="zh-CN"/>
              </w:rPr>
              <w:t>W,树脂+玻璃纤维。</w:t>
            </w:r>
          </w:p>
        </w:tc>
        <w:tc>
          <w:tcPr>
            <w:tcW w:w="986" w:type="dxa"/>
            <w:noWrap w:val="0"/>
            <w:vAlign w:val="center"/>
          </w:tcPr>
          <w:p w14:paraId="279841D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w:t>
            </w:r>
            <w:r>
              <w:rPr>
                <w:rFonts w:hint="eastAsia" w:ascii="宋体" w:hAnsi="宋体" w:eastAsia="宋体" w:cs="Times New Roman"/>
                <w:b/>
                <w:bCs/>
                <w:sz w:val="21"/>
                <w:szCs w:val="21"/>
                <w:lang w:val="en-US" w:eastAsia="zh-CN"/>
              </w:rPr>
              <w:t>套</w:t>
            </w:r>
          </w:p>
        </w:tc>
        <w:tc>
          <w:tcPr>
            <w:tcW w:w="643" w:type="dxa"/>
            <w:noWrap w:val="0"/>
            <w:vAlign w:val="center"/>
          </w:tcPr>
          <w:p w14:paraId="03083E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426796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0C23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vMerge w:val="continue"/>
            <w:noWrap w:val="0"/>
            <w:vAlign w:val="center"/>
          </w:tcPr>
          <w:p w14:paraId="37E5398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p>
        </w:tc>
        <w:tc>
          <w:tcPr>
            <w:tcW w:w="1267" w:type="dxa"/>
            <w:vMerge w:val="continue"/>
            <w:noWrap w:val="0"/>
            <w:vAlign w:val="center"/>
          </w:tcPr>
          <w:p w14:paraId="3857A5F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p>
        </w:tc>
        <w:tc>
          <w:tcPr>
            <w:tcW w:w="4398" w:type="dxa"/>
            <w:noWrap w:val="0"/>
            <w:vAlign w:val="center"/>
          </w:tcPr>
          <w:p w14:paraId="33A89B6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大号公母梅花鹿组合户外灯：约120*70cm,防水，接电,5W≤LED≤9W,树脂+玻璃纤维。</w:t>
            </w:r>
          </w:p>
        </w:tc>
        <w:tc>
          <w:tcPr>
            <w:tcW w:w="986" w:type="dxa"/>
            <w:noWrap w:val="0"/>
            <w:vAlign w:val="center"/>
          </w:tcPr>
          <w:p w14:paraId="01A38B6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w:t>
            </w:r>
            <w:r>
              <w:rPr>
                <w:rFonts w:hint="eastAsia" w:ascii="宋体" w:hAnsi="宋体" w:eastAsia="宋体" w:cs="Times New Roman"/>
                <w:b/>
                <w:bCs/>
                <w:sz w:val="21"/>
                <w:szCs w:val="21"/>
                <w:lang w:val="en-US" w:eastAsia="zh-CN"/>
              </w:rPr>
              <w:t>套</w:t>
            </w:r>
          </w:p>
        </w:tc>
        <w:tc>
          <w:tcPr>
            <w:tcW w:w="643" w:type="dxa"/>
            <w:noWrap w:val="0"/>
            <w:vAlign w:val="center"/>
          </w:tcPr>
          <w:p w14:paraId="380932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3D2C1A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680A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vMerge w:val="continue"/>
            <w:noWrap w:val="0"/>
            <w:vAlign w:val="center"/>
          </w:tcPr>
          <w:p w14:paraId="7D0C0B3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p>
        </w:tc>
        <w:tc>
          <w:tcPr>
            <w:tcW w:w="1267" w:type="dxa"/>
            <w:vMerge w:val="continue"/>
            <w:noWrap w:val="0"/>
            <w:vAlign w:val="center"/>
          </w:tcPr>
          <w:p w14:paraId="75F0417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p>
        </w:tc>
        <w:tc>
          <w:tcPr>
            <w:tcW w:w="4398" w:type="dxa"/>
            <w:noWrap w:val="0"/>
            <w:vAlign w:val="center"/>
          </w:tcPr>
          <w:p w14:paraId="08375D5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松鼠灯造型户外户外灯灯:约48*45cm,防水，接电，5W≤LED≤9W,树脂+玻璃纤维。</w:t>
            </w:r>
          </w:p>
        </w:tc>
        <w:tc>
          <w:tcPr>
            <w:tcW w:w="986" w:type="dxa"/>
            <w:noWrap w:val="0"/>
            <w:vAlign w:val="center"/>
          </w:tcPr>
          <w:p w14:paraId="67624D6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3</w:t>
            </w:r>
            <w:r>
              <w:rPr>
                <w:rFonts w:hint="eastAsia" w:ascii="宋体" w:hAnsi="宋体" w:eastAsia="宋体" w:cs="Times New Roman"/>
                <w:b/>
                <w:bCs/>
                <w:sz w:val="21"/>
                <w:szCs w:val="21"/>
                <w:lang w:val="en-US" w:eastAsia="zh-CN"/>
              </w:rPr>
              <w:t>套</w:t>
            </w:r>
          </w:p>
        </w:tc>
        <w:tc>
          <w:tcPr>
            <w:tcW w:w="643" w:type="dxa"/>
            <w:noWrap w:val="0"/>
            <w:vAlign w:val="center"/>
          </w:tcPr>
          <w:p w14:paraId="037AE0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54665D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47FE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vMerge w:val="continue"/>
            <w:noWrap w:val="0"/>
            <w:vAlign w:val="center"/>
          </w:tcPr>
          <w:p w14:paraId="2AA4E08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p>
        </w:tc>
        <w:tc>
          <w:tcPr>
            <w:tcW w:w="1267" w:type="dxa"/>
            <w:vMerge w:val="continue"/>
            <w:noWrap w:val="0"/>
            <w:vAlign w:val="center"/>
          </w:tcPr>
          <w:p w14:paraId="67693D2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p>
        </w:tc>
        <w:tc>
          <w:tcPr>
            <w:tcW w:w="4398" w:type="dxa"/>
            <w:noWrap w:val="0"/>
            <w:vAlign w:val="center"/>
          </w:tcPr>
          <w:p w14:paraId="21BEEDEF">
            <w:pPr>
              <w:pStyle w:val="4"/>
              <w:spacing w:line="360" w:lineRule="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熊猫造型户外灯灯：</w:t>
            </w:r>
            <w:r>
              <w:rPr>
                <w:rFonts w:hint="eastAsia" w:cs="宋体"/>
                <w:spacing w:val="7"/>
                <w:sz w:val="21"/>
                <w:szCs w:val="21"/>
                <w:lang w:val="en-US" w:eastAsia="zh-CN"/>
              </w:rPr>
              <w:t>约</w:t>
            </w:r>
            <w:r>
              <w:rPr>
                <w:rFonts w:hint="eastAsia" w:ascii="宋体" w:hAnsi="宋体" w:eastAsia="宋体" w:cs="宋体"/>
                <w:spacing w:val="7"/>
                <w:sz w:val="21"/>
                <w:szCs w:val="21"/>
                <w:lang w:val="en-US" w:eastAsia="zh-CN"/>
              </w:rPr>
              <w:t>48*45cm</w:t>
            </w:r>
            <w:r>
              <w:rPr>
                <w:rFonts w:hint="eastAsia" w:cs="宋体"/>
                <w:spacing w:val="7"/>
                <w:sz w:val="21"/>
                <w:szCs w:val="21"/>
                <w:lang w:val="en-US" w:eastAsia="zh-CN"/>
              </w:rPr>
              <w:t>,</w:t>
            </w:r>
            <w:r>
              <w:rPr>
                <w:rFonts w:hint="eastAsia" w:ascii="宋体" w:hAnsi="宋体" w:eastAsia="宋体" w:cs="宋体"/>
                <w:spacing w:val="7"/>
                <w:sz w:val="21"/>
                <w:szCs w:val="21"/>
                <w:lang w:val="en-US" w:eastAsia="zh-CN"/>
              </w:rPr>
              <w:t>防水，接电，5W≤LED≤9W</w:t>
            </w:r>
            <w:r>
              <w:rPr>
                <w:rFonts w:hint="eastAsia" w:cs="宋体"/>
                <w:spacing w:val="7"/>
                <w:sz w:val="21"/>
                <w:szCs w:val="21"/>
                <w:lang w:val="en-US" w:eastAsia="zh-CN"/>
              </w:rPr>
              <w:t>,</w:t>
            </w:r>
            <w:r>
              <w:rPr>
                <w:rFonts w:hint="eastAsia" w:ascii="宋体" w:hAnsi="宋体" w:eastAsia="宋体" w:cs="宋体"/>
                <w:spacing w:val="7"/>
                <w:sz w:val="21"/>
                <w:szCs w:val="21"/>
                <w:lang w:val="en-US" w:eastAsia="zh-CN"/>
              </w:rPr>
              <w:t>树脂+玻璃纤维</w:t>
            </w:r>
            <w:r>
              <w:rPr>
                <w:rFonts w:hint="eastAsia" w:cs="宋体"/>
                <w:spacing w:val="7"/>
                <w:sz w:val="21"/>
                <w:szCs w:val="21"/>
                <w:lang w:val="en-US" w:eastAsia="zh-CN"/>
              </w:rPr>
              <w:t>。</w:t>
            </w:r>
          </w:p>
        </w:tc>
        <w:tc>
          <w:tcPr>
            <w:tcW w:w="986" w:type="dxa"/>
            <w:noWrap w:val="0"/>
            <w:vAlign w:val="center"/>
          </w:tcPr>
          <w:p w14:paraId="07B29FD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w:t>
            </w:r>
            <w:r>
              <w:rPr>
                <w:rFonts w:hint="eastAsia" w:ascii="宋体" w:hAnsi="宋体" w:eastAsia="宋体" w:cs="Times New Roman"/>
                <w:b/>
                <w:bCs/>
                <w:sz w:val="21"/>
                <w:szCs w:val="21"/>
                <w:lang w:val="en-US" w:eastAsia="zh-CN"/>
              </w:rPr>
              <w:t>套</w:t>
            </w:r>
          </w:p>
        </w:tc>
        <w:tc>
          <w:tcPr>
            <w:tcW w:w="643" w:type="dxa"/>
            <w:noWrap w:val="0"/>
            <w:vAlign w:val="center"/>
          </w:tcPr>
          <w:p w14:paraId="364046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598FFC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2C9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28AB2A1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15</w:t>
            </w:r>
          </w:p>
        </w:tc>
        <w:tc>
          <w:tcPr>
            <w:tcW w:w="1267" w:type="dxa"/>
            <w:noWrap w:val="0"/>
            <w:vAlign w:val="center"/>
          </w:tcPr>
          <w:p w14:paraId="7AA4AA8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吊灯</w:t>
            </w:r>
          </w:p>
        </w:tc>
        <w:tc>
          <w:tcPr>
            <w:tcW w:w="4398" w:type="dxa"/>
            <w:noWrap w:val="0"/>
            <w:vAlign w:val="center"/>
          </w:tcPr>
          <w:p w14:paraId="4FE0619A">
            <w:pPr>
              <w:pStyle w:val="4"/>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cs="宋体"/>
                <w:spacing w:val="7"/>
                <w:sz w:val="21"/>
                <w:szCs w:val="21"/>
                <w:lang w:val="en-US" w:eastAsia="zh-CN"/>
              </w:rPr>
            </w:pPr>
            <w:r>
              <w:rPr>
                <w:rFonts w:hint="eastAsia" w:cs="宋体"/>
                <w:spacing w:val="7"/>
                <w:sz w:val="21"/>
                <w:szCs w:val="21"/>
                <w:lang w:val="en-US" w:eastAsia="zh-CN"/>
              </w:rPr>
              <w:t>1.尺寸：2000</w:t>
            </w:r>
            <w:r>
              <w:rPr>
                <w:rFonts w:hint="eastAsia" w:ascii="宋体" w:hAnsi="宋体" w:eastAsia="宋体" w:cs="宋体"/>
                <w:spacing w:val="7"/>
                <w:sz w:val="21"/>
                <w:szCs w:val="21"/>
                <w:lang w:val="en-US" w:eastAsia="zh-CN"/>
              </w:rPr>
              <w:t>±</w:t>
            </w:r>
            <w:r>
              <w:rPr>
                <w:rFonts w:hint="eastAsia" w:cs="宋体"/>
                <w:spacing w:val="7"/>
                <w:sz w:val="21"/>
                <w:szCs w:val="21"/>
                <w:lang w:val="en-US" w:eastAsia="zh-CN"/>
              </w:rPr>
              <w:t>10mm</w:t>
            </w:r>
            <w:r>
              <w:rPr>
                <w:rFonts w:hint="eastAsia" w:ascii="宋体" w:hAnsi="宋体" w:eastAsia="宋体" w:cs="宋体"/>
                <w:spacing w:val="7"/>
                <w:sz w:val="21"/>
                <w:szCs w:val="21"/>
                <w:lang w:val="en-US" w:eastAsia="zh-CN"/>
              </w:rPr>
              <w:t>*</w:t>
            </w:r>
            <w:r>
              <w:rPr>
                <w:rFonts w:hint="eastAsia" w:cs="宋体"/>
                <w:spacing w:val="7"/>
                <w:sz w:val="21"/>
                <w:szCs w:val="21"/>
                <w:lang w:val="en-US" w:eastAsia="zh-CN"/>
              </w:rPr>
              <w:t>800</w:t>
            </w:r>
            <w:r>
              <w:rPr>
                <w:rFonts w:hint="eastAsia" w:ascii="宋体" w:hAnsi="宋体" w:eastAsia="宋体" w:cs="宋体"/>
                <w:spacing w:val="7"/>
                <w:sz w:val="21"/>
                <w:szCs w:val="21"/>
                <w:lang w:val="en-US" w:eastAsia="zh-CN"/>
              </w:rPr>
              <w:t>±</w:t>
            </w:r>
            <w:r>
              <w:rPr>
                <w:rFonts w:hint="eastAsia" w:cs="宋体"/>
                <w:spacing w:val="7"/>
                <w:sz w:val="21"/>
                <w:szCs w:val="21"/>
                <w:lang w:val="en-US" w:eastAsia="zh-CN"/>
              </w:rPr>
              <w:t>10mm</w:t>
            </w:r>
            <w:r>
              <w:rPr>
                <w:rFonts w:hint="eastAsia" w:ascii="宋体" w:hAnsi="宋体" w:eastAsia="宋体" w:cs="宋体"/>
                <w:spacing w:val="7"/>
                <w:sz w:val="21"/>
                <w:szCs w:val="21"/>
                <w:lang w:val="en-US" w:eastAsia="zh-CN"/>
              </w:rPr>
              <w:t>*</w:t>
            </w:r>
            <w:r>
              <w:rPr>
                <w:rFonts w:hint="eastAsia" w:cs="宋体"/>
                <w:spacing w:val="7"/>
                <w:sz w:val="21"/>
                <w:szCs w:val="21"/>
                <w:lang w:val="en-US" w:eastAsia="zh-CN"/>
              </w:rPr>
              <w:t>350</w:t>
            </w:r>
            <w:r>
              <w:rPr>
                <w:rFonts w:hint="eastAsia" w:ascii="宋体" w:hAnsi="宋体" w:eastAsia="宋体" w:cs="宋体"/>
                <w:spacing w:val="7"/>
                <w:sz w:val="21"/>
                <w:szCs w:val="21"/>
                <w:lang w:val="en-US" w:eastAsia="zh-CN"/>
              </w:rPr>
              <w:t>±</w:t>
            </w:r>
            <w:r>
              <w:rPr>
                <w:rFonts w:hint="eastAsia" w:cs="宋体"/>
                <w:spacing w:val="7"/>
                <w:sz w:val="21"/>
                <w:szCs w:val="21"/>
                <w:lang w:val="en-US" w:eastAsia="zh-CN"/>
              </w:rPr>
              <w:t>10mm。</w:t>
            </w:r>
          </w:p>
          <w:p w14:paraId="2CE93614">
            <w:pPr>
              <w:pStyle w:val="4"/>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cs="宋体"/>
                <w:spacing w:val="7"/>
                <w:sz w:val="21"/>
                <w:szCs w:val="21"/>
                <w:lang w:val="en-US" w:eastAsia="zh-CN"/>
              </w:rPr>
            </w:pPr>
            <w:r>
              <w:rPr>
                <w:rFonts w:hint="eastAsia" w:cs="宋体"/>
                <w:spacing w:val="7"/>
                <w:sz w:val="21"/>
                <w:szCs w:val="21"/>
                <w:lang w:val="en-US" w:eastAsia="zh-CN"/>
              </w:rPr>
              <w:t>2.功率：</w:t>
            </w:r>
            <w:r>
              <w:rPr>
                <w:rFonts w:hint="eastAsia" w:ascii="宋体" w:hAnsi="宋体" w:eastAsia="宋体" w:cs="宋体"/>
                <w:spacing w:val="7"/>
                <w:sz w:val="21"/>
                <w:szCs w:val="21"/>
                <w:lang w:val="en-US" w:eastAsia="zh-CN"/>
              </w:rPr>
              <w:t>≤</w:t>
            </w:r>
            <w:r>
              <w:rPr>
                <w:rFonts w:hint="eastAsia" w:cs="宋体"/>
                <w:spacing w:val="7"/>
                <w:sz w:val="21"/>
                <w:szCs w:val="21"/>
                <w:lang w:val="en-US" w:eastAsia="zh-CN"/>
              </w:rPr>
              <w:t>68W。</w:t>
            </w:r>
          </w:p>
          <w:p w14:paraId="0AEDA84D">
            <w:pPr>
              <w:pStyle w:val="4"/>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cs="宋体"/>
                <w:spacing w:val="7"/>
                <w:sz w:val="21"/>
                <w:szCs w:val="21"/>
                <w:lang w:val="en-US" w:eastAsia="zh-CN"/>
              </w:rPr>
              <w:t>3.</w:t>
            </w:r>
            <w:r>
              <w:rPr>
                <w:rFonts w:hint="eastAsia" w:ascii="宋体" w:hAnsi="宋体" w:eastAsia="宋体" w:cs="宋体"/>
                <w:spacing w:val="7"/>
                <w:sz w:val="21"/>
                <w:szCs w:val="21"/>
                <w:lang w:val="en-US" w:eastAsia="zh-CN"/>
              </w:rPr>
              <w:t>色温：≥</w:t>
            </w:r>
            <w:r>
              <w:rPr>
                <w:rFonts w:hint="eastAsia" w:cs="宋体"/>
                <w:spacing w:val="7"/>
                <w:sz w:val="21"/>
                <w:szCs w:val="21"/>
                <w:lang w:val="en-US" w:eastAsia="zh-CN"/>
              </w:rPr>
              <w:t>30</w:t>
            </w:r>
            <w:r>
              <w:rPr>
                <w:rFonts w:hint="eastAsia" w:ascii="宋体" w:hAnsi="宋体" w:eastAsia="宋体" w:cs="宋体"/>
                <w:spacing w:val="7"/>
                <w:sz w:val="21"/>
                <w:szCs w:val="21"/>
                <w:lang w:val="en-US" w:eastAsia="zh-CN"/>
              </w:rPr>
              <w:t>00K</w:t>
            </w:r>
            <w:r>
              <w:rPr>
                <w:rFonts w:hint="eastAsia" w:cs="宋体"/>
                <w:spacing w:val="7"/>
                <w:sz w:val="21"/>
                <w:szCs w:val="21"/>
                <w:lang w:val="en-US" w:eastAsia="zh-CN"/>
              </w:rPr>
              <w:t>。</w:t>
            </w:r>
          </w:p>
          <w:p w14:paraId="11CDBF67">
            <w:pPr>
              <w:pStyle w:val="4"/>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cs="宋体"/>
                <w:spacing w:val="7"/>
                <w:sz w:val="21"/>
                <w:szCs w:val="21"/>
                <w:lang w:val="en-US" w:eastAsia="zh-CN"/>
              </w:rPr>
              <w:t>4.</w:t>
            </w:r>
            <w:r>
              <w:rPr>
                <w:rFonts w:hint="eastAsia" w:ascii="宋体" w:hAnsi="宋体" w:eastAsia="宋体" w:cs="宋体"/>
                <w:spacing w:val="7"/>
                <w:sz w:val="21"/>
                <w:szCs w:val="21"/>
                <w:lang w:val="en-US" w:eastAsia="zh-CN"/>
              </w:rPr>
              <w:t>木质灯罩</w:t>
            </w:r>
            <w:r>
              <w:rPr>
                <w:rFonts w:hint="eastAsia" w:cs="宋体"/>
                <w:spacing w:val="7"/>
                <w:sz w:val="21"/>
                <w:szCs w:val="21"/>
                <w:lang w:val="en-US" w:eastAsia="zh-CN"/>
              </w:rPr>
              <w:t>。</w:t>
            </w:r>
          </w:p>
          <w:p w14:paraId="75179FD2">
            <w:pPr>
              <w:pStyle w:val="4"/>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cs="宋体"/>
                <w:spacing w:val="7"/>
                <w:sz w:val="21"/>
                <w:szCs w:val="21"/>
                <w:lang w:val="en-US" w:eastAsia="zh-CN"/>
              </w:rPr>
              <w:t>5.</w:t>
            </w:r>
            <w:r>
              <w:rPr>
                <w:rFonts w:hint="eastAsia" w:ascii="宋体" w:hAnsi="宋体" w:eastAsia="宋体" w:cs="宋体"/>
                <w:spacing w:val="7"/>
                <w:sz w:val="21"/>
                <w:szCs w:val="21"/>
                <w:lang w:val="en-US" w:eastAsia="zh-CN"/>
              </w:rPr>
              <w:t>电压：110</w:t>
            </w:r>
            <w:r>
              <w:rPr>
                <w:rFonts w:hint="eastAsia" w:cs="宋体"/>
                <w:spacing w:val="7"/>
                <w:sz w:val="21"/>
                <w:szCs w:val="21"/>
                <w:lang w:val="en-US" w:eastAsia="zh-CN"/>
              </w:rPr>
              <w:t>V</w:t>
            </w:r>
            <w:r>
              <w:rPr>
                <w:rFonts w:hint="eastAsia" w:ascii="宋体" w:hAnsi="宋体" w:eastAsia="宋体" w:cs="宋体"/>
                <w:spacing w:val="7"/>
                <w:sz w:val="21"/>
                <w:szCs w:val="21"/>
                <w:lang w:val="en-US" w:eastAsia="zh-CN"/>
              </w:rPr>
              <w:t>-240</w:t>
            </w:r>
            <w:r>
              <w:rPr>
                <w:rFonts w:hint="eastAsia" w:cs="宋体"/>
                <w:spacing w:val="7"/>
                <w:sz w:val="21"/>
                <w:szCs w:val="21"/>
                <w:lang w:val="en-US" w:eastAsia="zh-CN"/>
              </w:rPr>
              <w:t>V。</w:t>
            </w:r>
            <w:r>
              <w:drawing>
                <wp:inline distT="0" distB="0" distL="114300" distR="114300">
                  <wp:extent cx="2653665" cy="1071245"/>
                  <wp:effectExtent l="0" t="0" r="1333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653665" cy="1071245"/>
                          </a:xfrm>
                          <a:prstGeom prst="rect">
                            <a:avLst/>
                          </a:prstGeom>
                          <a:noFill/>
                          <a:ln>
                            <a:noFill/>
                          </a:ln>
                        </pic:spPr>
                      </pic:pic>
                    </a:graphicData>
                  </a:graphic>
                </wp:inline>
              </w:drawing>
            </w:r>
          </w:p>
        </w:tc>
        <w:tc>
          <w:tcPr>
            <w:tcW w:w="986" w:type="dxa"/>
            <w:noWrap w:val="0"/>
            <w:vAlign w:val="center"/>
          </w:tcPr>
          <w:p w14:paraId="5F085CE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2</w:t>
            </w:r>
            <w:r>
              <w:rPr>
                <w:rFonts w:hint="eastAsia" w:ascii="宋体" w:hAnsi="宋体" w:eastAsia="宋体" w:cs="Times New Roman"/>
                <w:b/>
                <w:bCs/>
                <w:sz w:val="21"/>
                <w:szCs w:val="21"/>
                <w:lang w:val="en-US" w:eastAsia="zh-CN"/>
              </w:rPr>
              <w:t>套</w:t>
            </w:r>
          </w:p>
        </w:tc>
        <w:tc>
          <w:tcPr>
            <w:tcW w:w="643" w:type="dxa"/>
            <w:noWrap w:val="0"/>
            <w:vAlign w:val="center"/>
          </w:tcPr>
          <w:p w14:paraId="52DA1D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42717D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077C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4B1629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16</w:t>
            </w:r>
          </w:p>
        </w:tc>
        <w:tc>
          <w:tcPr>
            <w:tcW w:w="1267" w:type="dxa"/>
            <w:noWrap w:val="0"/>
            <w:vAlign w:val="center"/>
          </w:tcPr>
          <w:p w14:paraId="7B89383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吊挂式插座</w:t>
            </w:r>
          </w:p>
        </w:tc>
        <w:tc>
          <w:tcPr>
            <w:tcW w:w="4398" w:type="dxa"/>
            <w:noWrap w:val="0"/>
            <w:vAlign w:val="center"/>
          </w:tcPr>
          <w:p w14:paraId="2D21C3D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6插位不低于3米，带USB，抗电涌插座过载保护。</w:t>
            </w:r>
          </w:p>
        </w:tc>
        <w:tc>
          <w:tcPr>
            <w:tcW w:w="986" w:type="dxa"/>
            <w:noWrap w:val="0"/>
            <w:vAlign w:val="center"/>
          </w:tcPr>
          <w:p w14:paraId="4BB170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100</w:t>
            </w:r>
            <w:r>
              <w:rPr>
                <w:rFonts w:hint="eastAsia" w:ascii="宋体" w:hAnsi="宋体" w:eastAsia="宋体" w:cs="Times New Roman"/>
                <w:b/>
                <w:bCs/>
                <w:sz w:val="21"/>
                <w:szCs w:val="21"/>
                <w:lang w:val="en-US" w:eastAsia="zh-CN"/>
              </w:rPr>
              <w:t>个</w:t>
            </w:r>
          </w:p>
        </w:tc>
        <w:tc>
          <w:tcPr>
            <w:tcW w:w="643" w:type="dxa"/>
            <w:noWrap w:val="0"/>
            <w:vAlign w:val="center"/>
          </w:tcPr>
          <w:p w14:paraId="46B5A0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08EFB6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647C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479919F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17</w:t>
            </w:r>
          </w:p>
        </w:tc>
        <w:tc>
          <w:tcPr>
            <w:tcW w:w="1267" w:type="dxa"/>
            <w:noWrap w:val="0"/>
            <w:vAlign w:val="center"/>
          </w:tcPr>
          <w:p w14:paraId="621DD4E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Led长条灯</w:t>
            </w:r>
          </w:p>
        </w:tc>
        <w:tc>
          <w:tcPr>
            <w:tcW w:w="4398" w:type="dxa"/>
            <w:noWrap w:val="0"/>
            <w:vAlign w:val="center"/>
          </w:tcPr>
          <w:p w14:paraId="7829B291">
            <w:pPr>
              <w:pStyle w:val="4"/>
              <w:wordWrap w:val="0"/>
              <w:spacing w:line="360" w:lineRule="auto"/>
              <w:rPr>
                <w:rFonts w:hint="eastAsia" w:ascii="宋体" w:hAnsi="宋体" w:eastAsia="宋体" w:cs="宋体"/>
                <w:spacing w:val="7"/>
                <w:sz w:val="21"/>
                <w:szCs w:val="21"/>
                <w:lang w:val="en-US" w:eastAsia="zh-CN"/>
              </w:rPr>
            </w:pPr>
            <w:r>
              <w:rPr>
                <w:rFonts w:hint="eastAsia" w:cs="宋体"/>
                <w:spacing w:val="7"/>
                <w:sz w:val="21"/>
                <w:szCs w:val="21"/>
                <w:lang w:val="en-US" w:eastAsia="zh-CN"/>
              </w:rPr>
              <w:t>1.</w:t>
            </w:r>
            <w:r>
              <w:rPr>
                <w:rFonts w:hint="eastAsia" w:ascii="宋体" w:hAnsi="宋体" w:eastAsia="宋体" w:cs="宋体"/>
                <w:spacing w:val="7"/>
                <w:sz w:val="21"/>
                <w:szCs w:val="21"/>
                <w:lang w:val="en-US" w:eastAsia="zh-CN"/>
              </w:rPr>
              <w:t>白色边框</w:t>
            </w:r>
            <w:r>
              <w:rPr>
                <w:rFonts w:hint="eastAsia" w:cs="宋体"/>
                <w:spacing w:val="7"/>
                <w:sz w:val="21"/>
                <w:szCs w:val="21"/>
                <w:lang w:val="en-US" w:eastAsia="zh-CN"/>
              </w:rPr>
              <w:t>。</w:t>
            </w:r>
          </w:p>
          <w:p w14:paraId="3BD03752">
            <w:pPr>
              <w:pStyle w:val="4"/>
              <w:wordWrap w:val="0"/>
              <w:spacing w:line="360" w:lineRule="auto"/>
              <w:rPr>
                <w:rFonts w:hint="eastAsia" w:cs="宋体"/>
                <w:spacing w:val="7"/>
                <w:sz w:val="21"/>
                <w:szCs w:val="21"/>
                <w:lang w:val="en-US" w:eastAsia="zh-CN"/>
              </w:rPr>
            </w:pPr>
            <w:r>
              <w:rPr>
                <w:rFonts w:hint="eastAsia" w:cs="宋体"/>
                <w:spacing w:val="7"/>
                <w:sz w:val="21"/>
                <w:szCs w:val="21"/>
                <w:lang w:val="en-US" w:eastAsia="zh-CN"/>
              </w:rPr>
              <w:t>2.尺寸：</w:t>
            </w:r>
            <w:r>
              <w:rPr>
                <w:rFonts w:hint="eastAsia" w:ascii="宋体" w:hAnsi="宋体" w:eastAsia="宋体" w:cs="宋体"/>
                <w:spacing w:val="7"/>
                <w:sz w:val="21"/>
                <w:szCs w:val="21"/>
                <w:lang w:val="en-US" w:eastAsia="zh-CN"/>
              </w:rPr>
              <w:t>1</w:t>
            </w:r>
            <w:r>
              <w:rPr>
                <w:rFonts w:hint="eastAsia" w:cs="宋体"/>
                <w:spacing w:val="7"/>
                <w:sz w:val="21"/>
                <w:szCs w:val="21"/>
                <w:lang w:val="en-US" w:eastAsia="zh-CN"/>
              </w:rPr>
              <w:t>200</w:t>
            </w:r>
            <w:r>
              <w:rPr>
                <w:rFonts w:hint="eastAsia" w:ascii="宋体" w:hAnsi="宋体" w:eastAsia="宋体" w:cs="宋体"/>
                <w:spacing w:val="7"/>
                <w:sz w:val="21"/>
                <w:szCs w:val="21"/>
                <w:lang w:val="en-US" w:eastAsia="zh-CN"/>
              </w:rPr>
              <w:t>±</w:t>
            </w:r>
            <w:r>
              <w:rPr>
                <w:rFonts w:hint="eastAsia" w:cs="宋体"/>
                <w:spacing w:val="7"/>
                <w:sz w:val="21"/>
                <w:szCs w:val="21"/>
                <w:lang w:val="en-US" w:eastAsia="zh-CN"/>
              </w:rPr>
              <w:t>10mm</w:t>
            </w:r>
            <w:r>
              <w:rPr>
                <w:rFonts w:hint="eastAsia" w:ascii="宋体" w:hAnsi="宋体" w:eastAsia="宋体" w:cs="宋体"/>
                <w:spacing w:val="7"/>
                <w:sz w:val="21"/>
                <w:szCs w:val="21"/>
                <w:lang w:val="en-US" w:eastAsia="zh-CN"/>
              </w:rPr>
              <w:t>*</w:t>
            </w:r>
            <w:r>
              <w:rPr>
                <w:rFonts w:hint="eastAsia" w:cs="宋体"/>
                <w:spacing w:val="7"/>
                <w:sz w:val="21"/>
                <w:szCs w:val="21"/>
                <w:lang w:val="en-US" w:eastAsia="zh-CN"/>
              </w:rPr>
              <w:t>70±5mm。</w:t>
            </w:r>
          </w:p>
          <w:p w14:paraId="61FB3332">
            <w:pPr>
              <w:pStyle w:val="4"/>
              <w:wordWrap w:val="0"/>
              <w:spacing w:line="360" w:lineRule="auto"/>
              <w:rPr>
                <w:rFonts w:hint="eastAsia" w:ascii="宋体" w:hAnsi="宋体" w:eastAsia="宋体" w:cs="宋体"/>
                <w:spacing w:val="7"/>
                <w:sz w:val="21"/>
                <w:szCs w:val="21"/>
                <w:lang w:val="en-US" w:eastAsia="zh-CN"/>
              </w:rPr>
            </w:pPr>
            <w:r>
              <w:rPr>
                <w:rFonts w:hint="eastAsia" w:cs="宋体"/>
                <w:spacing w:val="7"/>
                <w:sz w:val="21"/>
                <w:szCs w:val="21"/>
                <w:lang w:val="en-US" w:eastAsia="zh-CN"/>
              </w:rPr>
              <w:t>3.</w:t>
            </w:r>
            <w:r>
              <w:rPr>
                <w:rFonts w:hint="eastAsia" w:ascii="宋体" w:hAnsi="宋体" w:eastAsia="宋体" w:cs="宋体"/>
                <w:spacing w:val="7"/>
                <w:sz w:val="21"/>
                <w:szCs w:val="21"/>
                <w:lang w:val="en-US" w:eastAsia="zh-CN"/>
              </w:rPr>
              <w:t>220V-50HZ</w:t>
            </w:r>
            <w:r>
              <w:rPr>
                <w:rFonts w:hint="eastAsia"/>
                <w:lang w:eastAsia="zh-CN"/>
              </w:rPr>
              <w:t>。</w:t>
            </w:r>
          </w:p>
          <w:p w14:paraId="14717917">
            <w:pPr>
              <w:pStyle w:val="4"/>
              <w:wordWrap w:val="0"/>
              <w:spacing w:line="360" w:lineRule="auto"/>
              <w:rPr>
                <w:rFonts w:hint="eastAsia" w:ascii="宋体" w:hAnsi="宋体" w:eastAsia="宋体" w:cs="宋体"/>
                <w:spacing w:val="7"/>
                <w:sz w:val="21"/>
                <w:szCs w:val="21"/>
                <w:lang w:val="en-US" w:eastAsia="zh-CN"/>
              </w:rPr>
            </w:pPr>
            <w:r>
              <w:rPr>
                <w:rFonts w:hint="eastAsia" w:cs="宋体"/>
                <w:spacing w:val="7"/>
                <w:sz w:val="21"/>
                <w:szCs w:val="21"/>
                <w:lang w:val="en-US" w:eastAsia="zh-CN"/>
              </w:rPr>
              <w:t>4.功率</w:t>
            </w:r>
            <w:r>
              <w:rPr>
                <w:rFonts w:hint="eastAsia" w:ascii="宋体" w:hAnsi="宋体" w:eastAsia="宋体" w:cs="宋体"/>
                <w:spacing w:val="7"/>
                <w:sz w:val="21"/>
                <w:szCs w:val="21"/>
                <w:lang w:val="en-US" w:eastAsia="zh-CN"/>
              </w:rPr>
              <w:t>≤36W</w:t>
            </w:r>
            <w:r>
              <w:rPr>
                <w:rFonts w:hint="eastAsia" w:cs="宋体"/>
                <w:spacing w:val="7"/>
                <w:sz w:val="21"/>
                <w:szCs w:val="21"/>
                <w:lang w:val="en-US" w:eastAsia="zh-CN"/>
              </w:rPr>
              <w:t>。</w:t>
            </w:r>
          </w:p>
          <w:p w14:paraId="0F7EBF69">
            <w:pPr>
              <w:pStyle w:val="4"/>
              <w:wordWrap w:val="0"/>
              <w:spacing w:line="360" w:lineRule="auto"/>
              <w:rPr>
                <w:rFonts w:hint="default" w:ascii="宋体" w:hAnsi="宋体" w:eastAsia="宋体" w:cs="宋体"/>
                <w:spacing w:val="7"/>
                <w:sz w:val="21"/>
                <w:szCs w:val="21"/>
                <w:lang w:val="en-US" w:eastAsia="zh-CN"/>
              </w:rPr>
            </w:pPr>
            <w:r>
              <w:rPr>
                <w:rFonts w:hint="eastAsia" w:cs="宋体"/>
                <w:spacing w:val="7"/>
                <w:sz w:val="21"/>
                <w:szCs w:val="21"/>
                <w:lang w:val="en-US" w:eastAsia="zh-CN"/>
              </w:rPr>
              <w:t>5.</w:t>
            </w:r>
            <w:r>
              <w:rPr>
                <w:rFonts w:hint="eastAsia" w:ascii="宋体" w:hAnsi="宋体" w:eastAsia="宋体" w:cs="宋体"/>
                <w:spacing w:val="7"/>
                <w:sz w:val="21"/>
                <w:szCs w:val="21"/>
                <w:lang w:val="en-US" w:eastAsia="zh-CN"/>
              </w:rPr>
              <w:t>色温：≥6500K</w:t>
            </w:r>
            <w:r>
              <w:rPr>
                <w:rFonts w:hint="eastAsia" w:cs="宋体"/>
                <w:spacing w:val="7"/>
                <w:sz w:val="21"/>
                <w:szCs w:val="21"/>
                <w:lang w:val="en-US" w:eastAsia="zh-CN"/>
              </w:rPr>
              <w:t>。</w:t>
            </w:r>
          </w:p>
        </w:tc>
        <w:tc>
          <w:tcPr>
            <w:tcW w:w="986" w:type="dxa"/>
            <w:noWrap w:val="0"/>
            <w:vAlign w:val="center"/>
          </w:tcPr>
          <w:p w14:paraId="6521A1B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50</w:t>
            </w:r>
            <w:r>
              <w:rPr>
                <w:rFonts w:hint="eastAsia" w:ascii="宋体" w:hAnsi="宋体" w:eastAsia="宋体" w:cs="Times New Roman"/>
                <w:b/>
                <w:bCs/>
                <w:sz w:val="21"/>
                <w:szCs w:val="21"/>
                <w:lang w:val="en-US" w:eastAsia="zh-CN"/>
              </w:rPr>
              <w:t>套</w:t>
            </w:r>
          </w:p>
        </w:tc>
        <w:tc>
          <w:tcPr>
            <w:tcW w:w="643" w:type="dxa"/>
            <w:noWrap w:val="0"/>
            <w:vAlign w:val="center"/>
          </w:tcPr>
          <w:p w14:paraId="760D76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6D88BA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484D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05AF150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18</w:t>
            </w:r>
          </w:p>
        </w:tc>
        <w:tc>
          <w:tcPr>
            <w:tcW w:w="1267" w:type="dxa"/>
            <w:noWrap w:val="0"/>
            <w:vAlign w:val="center"/>
          </w:tcPr>
          <w:p w14:paraId="4F58DDC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太阳能铁栅栏灯</w:t>
            </w:r>
          </w:p>
        </w:tc>
        <w:tc>
          <w:tcPr>
            <w:tcW w:w="4398" w:type="dxa"/>
            <w:noWrap w:val="0"/>
            <w:vAlign w:val="center"/>
          </w:tcPr>
          <w:p w14:paraId="678DA97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压铸铝，条纹琉璃，防水防锈，底座12cm，需要打孔固定。</w:t>
            </w:r>
          </w:p>
        </w:tc>
        <w:tc>
          <w:tcPr>
            <w:tcW w:w="986" w:type="dxa"/>
            <w:noWrap w:val="0"/>
            <w:vAlign w:val="center"/>
          </w:tcPr>
          <w:p w14:paraId="0A59D88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100</w:t>
            </w:r>
            <w:r>
              <w:rPr>
                <w:rFonts w:hint="eastAsia" w:ascii="宋体" w:hAnsi="宋体" w:eastAsia="宋体" w:cs="Times New Roman"/>
                <w:b/>
                <w:bCs/>
                <w:color w:val="auto"/>
                <w:sz w:val="21"/>
                <w:szCs w:val="21"/>
                <w:lang w:val="en-US" w:eastAsia="zh-CN"/>
              </w:rPr>
              <w:t>套</w:t>
            </w:r>
          </w:p>
        </w:tc>
        <w:tc>
          <w:tcPr>
            <w:tcW w:w="643" w:type="dxa"/>
            <w:noWrap w:val="0"/>
            <w:vAlign w:val="center"/>
          </w:tcPr>
          <w:p w14:paraId="1A9503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2B934C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4F70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440" w:type="dxa"/>
            <w:noWrap w:val="0"/>
            <w:vAlign w:val="center"/>
          </w:tcPr>
          <w:p w14:paraId="52DF62F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19</w:t>
            </w:r>
          </w:p>
        </w:tc>
        <w:tc>
          <w:tcPr>
            <w:tcW w:w="1267" w:type="dxa"/>
            <w:noWrap w:val="0"/>
            <w:vAlign w:val="center"/>
          </w:tcPr>
          <w:p w14:paraId="7483F6D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专业轨道射灯</w:t>
            </w:r>
          </w:p>
        </w:tc>
        <w:tc>
          <w:tcPr>
            <w:tcW w:w="4398" w:type="dxa"/>
            <w:noWrap w:val="0"/>
            <w:vAlign w:val="center"/>
          </w:tcPr>
          <w:p w14:paraId="0D4FC3B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1.光源要求：LED COB 封装光源。</w:t>
            </w:r>
          </w:p>
          <w:p w14:paraId="11F0C14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2.功率：0-15W。</w:t>
            </w:r>
          </w:p>
          <w:p w14:paraId="4E2EB44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3.色温：3000K（±100K）。</w:t>
            </w:r>
          </w:p>
          <w:p w14:paraId="48B688F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4.光源维持率：＞50000h-L90。</w:t>
            </w:r>
          </w:p>
          <w:p w14:paraId="1E5554C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5.配光类型：光束角最小角度≤15°，最大角度≥50°；任意光束角。</w:t>
            </w:r>
          </w:p>
          <w:p w14:paraId="326B904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调节时保持外观尺寸一致美观性；要求布光均匀，无杂光。</w:t>
            </w:r>
          </w:p>
          <w:p w14:paraId="07C5678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6.显色指数：Ra≥95，R9＞90。</w:t>
            </w:r>
          </w:p>
          <w:p w14:paraId="011BD0B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7.色容差：SDCM≤3。</w:t>
            </w:r>
          </w:p>
          <w:p w14:paraId="77C2A71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8.角度调节：水平 360°调节，垂直 90°调节。</w:t>
            </w:r>
          </w:p>
          <w:p w14:paraId="1D9E1AA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9.材质：灯体一体化压铸铝材质，无外露明线，表面喷粉处理；电器与光源一体内置。</w:t>
            </w:r>
          </w:p>
          <w:p w14:paraId="2834E00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10.安装方式：适配三回路轨道，自带锁定结构，保证与三回路轨道的可靠机械及电气连接。</w:t>
            </w:r>
          </w:p>
          <w:p w14:paraId="3ACD69B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11.照明控制模式:（0-1）-100%无频闪调光，可单灯调光。</w:t>
            </w:r>
          </w:p>
          <w:p w14:paraId="1C4067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12.全部配备防眩配件和角度镜片。</w:t>
            </w:r>
          </w:p>
          <w:p w14:paraId="6CBCFDA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13.蓝光控制：蓝光危害在 RG1以下。</w:t>
            </w:r>
          </w:p>
        </w:tc>
        <w:tc>
          <w:tcPr>
            <w:tcW w:w="986" w:type="dxa"/>
            <w:noWrap w:val="0"/>
            <w:vAlign w:val="center"/>
          </w:tcPr>
          <w:p w14:paraId="690A1A1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48套</w:t>
            </w:r>
          </w:p>
        </w:tc>
        <w:tc>
          <w:tcPr>
            <w:tcW w:w="643" w:type="dxa"/>
            <w:noWrap w:val="0"/>
            <w:vAlign w:val="center"/>
          </w:tcPr>
          <w:p w14:paraId="584F5A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工业</w:t>
            </w:r>
          </w:p>
        </w:tc>
        <w:tc>
          <w:tcPr>
            <w:tcW w:w="1089" w:type="dxa"/>
            <w:noWrap w:val="0"/>
            <w:vAlign w:val="center"/>
          </w:tcPr>
          <w:p w14:paraId="4E82F0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1F91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1AAD0F8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20</w:t>
            </w:r>
          </w:p>
        </w:tc>
        <w:tc>
          <w:tcPr>
            <w:tcW w:w="1267" w:type="dxa"/>
            <w:noWrap w:val="0"/>
            <w:vAlign w:val="center"/>
          </w:tcPr>
          <w:p w14:paraId="607787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照明轨道及配件</w:t>
            </w:r>
          </w:p>
        </w:tc>
        <w:tc>
          <w:tcPr>
            <w:tcW w:w="4398" w:type="dxa"/>
            <w:noWrap w:val="0"/>
            <w:vAlign w:val="center"/>
          </w:tcPr>
          <w:p w14:paraId="7D6025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1.材质:铝合金。</w:t>
            </w:r>
          </w:p>
          <w:p w14:paraId="12F1B26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2.颜色:黑色或白色。</w:t>
            </w:r>
          </w:p>
          <w:p w14:paraId="141CF9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3.长度:根据现场实际情况定制。</w:t>
            </w:r>
          </w:p>
          <w:p w14:paraId="2A6660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4.配件:包括但不限于轨道接头、轨道吊件、轨道端盖等。</w:t>
            </w:r>
          </w:p>
        </w:tc>
        <w:tc>
          <w:tcPr>
            <w:tcW w:w="986" w:type="dxa"/>
            <w:noWrap w:val="0"/>
            <w:vAlign w:val="center"/>
          </w:tcPr>
          <w:p w14:paraId="068601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50米</w:t>
            </w:r>
          </w:p>
        </w:tc>
        <w:tc>
          <w:tcPr>
            <w:tcW w:w="643" w:type="dxa"/>
            <w:noWrap w:val="0"/>
            <w:vAlign w:val="center"/>
          </w:tcPr>
          <w:p w14:paraId="68DC3B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工业</w:t>
            </w:r>
          </w:p>
        </w:tc>
        <w:tc>
          <w:tcPr>
            <w:tcW w:w="1089" w:type="dxa"/>
            <w:noWrap w:val="0"/>
            <w:vAlign w:val="center"/>
          </w:tcPr>
          <w:p w14:paraId="1E385C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否</w:t>
            </w:r>
          </w:p>
        </w:tc>
      </w:tr>
      <w:tr w14:paraId="58B1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660BB27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21</w:t>
            </w:r>
          </w:p>
        </w:tc>
        <w:tc>
          <w:tcPr>
            <w:tcW w:w="1267" w:type="dxa"/>
            <w:noWrap w:val="0"/>
            <w:vAlign w:val="center"/>
          </w:tcPr>
          <w:p w14:paraId="34C4552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展陈照明筒灯</w:t>
            </w:r>
          </w:p>
        </w:tc>
        <w:tc>
          <w:tcPr>
            <w:tcW w:w="4398" w:type="dxa"/>
            <w:noWrap w:val="0"/>
            <w:vAlign w:val="center"/>
          </w:tcPr>
          <w:p w14:paraId="474596E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1.功率≤15W。</w:t>
            </w:r>
          </w:p>
          <w:p w14:paraId="1101A9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2.色温≥4000k。</w:t>
            </w:r>
          </w:p>
          <w:p w14:paraId="389BAC6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3.规格：LED 110V~240V。</w:t>
            </w:r>
          </w:p>
          <w:p w14:paraId="16A9F17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4.光源类型:LED。</w:t>
            </w:r>
          </w:p>
          <w:p w14:paraId="2DFD8B7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5.显色指数 (CRI): ＞ra90。</w:t>
            </w:r>
          </w:p>
          <w:p w14:paraId="1C7E326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6.电器：高品质恒流驱动提供短路，过流保护。</w:t>
            </w:r>
          </w:p>
          <w:p w14:paraId="00A9AB4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7.防护等级: ≥IP20。</w:t>
            </w:r>
          </w:p>
          <w:p w14:paraId="19529B6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8.材质：一体铝合金结构。</w:t>
            </w:r>
          </w:p>
          <w:p w14:paraId="178D1FF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9.安装方式: 嵌入式。</w:t>
            </w:r>
          </w:p>
          <w:p w14:paraId="1D0EF2C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10.其他:防眩光设计，无可视屏闪。</w:t>
            </w:r>
          </w:p>
        </w:tc>
        <w:tc>
          <w:tcPr>
            <w:tcW w:w="986" w:type="dxa"/>
            <w:noWrap w:val="0"/>
            <w:vAlign w:val="center"/>
          </w:tcPr>
          <w:p w14:paraId="0A26D33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10套</w:t>
            </w:r>
          </w:p>
        </w:tc>
        <w:tc>
          <w:tcPr>
            <w:tcW w:w="643" w:type="dxa"/>
            <w:noWrap w:val="0"/>
            <w:vAlign w:val="center"/>
          </w:tcPr>
          <w:p w14:paraId="43BF7D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bCs/>
                <w:color w:val="auto"/>
                <w:sz w:val="21"/>
                <w:szCs w:val="21"/>
                <w:lang w:val="en-US" w:eastAsia="zh-CN"/>
              </w:rPr>
              <w:t>工业</w:t>
            </w:r>
          </w:p>
        </w:tc>
        <w:tc>
          <w:tcPr>
            <w:tcW w:w="1089" w:type="dxa"/>
            <w:noWrap w:val="0"/>
            <w:vAlign w:val="center"/>
          </w:tcPr>
          <w:p w14:paraId="05B144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07C0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440" w:type="dxa"/>
            <w:noWrap w:val="0"/>
            <w:vAlign w:val="center"/>
          </w:tcPr>
          <w:p w14:paraId="0F1A779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22</w:t>
            </w:r>
          </w:p>
        </w:tc>
        <w:tc>
          <w:tcPr>
            <w:tcW w:w="1267" w:type="dxa"/>
            <w:noWrap w:val="0"/>
            <w:vAlign w:val="center"/>
          </w:tcPr>
          <w:p w14:paraId="7BBEA3D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双头格栅灯</w:t>
            </w:r>
          </w:p>
        </w:tc>
        <w:tc>
          <w:tcPr>
            <w:tcW w:w="4398" w:type="dxa"/>
            <w:noWrap w:val="0"/>
            <w:vAlign w:val="center"/>
          </w:tcPr>
          <w:p w14:paraId="4859C90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1.光源类型:LED。</w:t>
            </w:r>
          </w:p>
          <w:p w14:paraId="4769418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2.色温:≥4000K。</w:t>
            </w:r>
          </w:p>
          <w:p w14:paraId="2DFD75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3.显色指数 (CRI):≥90。</w:t>
            </w:r>
          </w:p>
          <w:p w14:paraId="60FA9A8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4.光束角:36°。</w:t>
            </w:r>
          </w:p>
          <w:p w14:paraId="12BD225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5.功率:20W-30W。</w:t>
            </w:r>
          </w:p>
          <w:p w14:paraId="63A81DF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6.防护等级:≥IP20。</w:t>
            </w:r>
          </w:p>
          <w:p w14:paraId="3BB8CDE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7.安装方式:嵌入式。</w:t>
            </w:r>
          </w:p>
        </w:tc>
        <w:tc>
          <w:tcPr>
            <w:tcW w:w="986" w:type="dxa"/>
            <w:noWrap w:val="0"/>
            <w:vAlign w:val="center"/>
          </w:tcPr>
          <w:p w14:paraId="7331964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8套</w:t>
            </w:r>
          </w:p>
        </w:tc>
        <w:tc>
          <w:tcPr>
            <w:tcW w:w="643" w:type="dxa"/>
            <w:noWrap w:val="0"/>
            <w:vAlign w:val="center"/>
          </w:tcPr>
          <w:p w14:paraId="70809F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bCs/>
                <w:color w:val="auto"/>
                <w:sz w:val="21"/>
                <w:szCs w:val="21"/>
                <w:lang w:val="en-US" w:eastAsia="zh-CN"/>
              </w:rPr>
              <w:t>工业</w:t>
            </w:r>
          </w:p>
        </w:tc>
        <w:tc>
          <w:tcPr>
            <w:tcW w:w="1089" w:type="dxa"/>
            <w:noWrap w:val="0"/>
            <w:vAlign w:val="center"/>
          </w:tcPr>
          <w:p w14:paraId="754BBC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r w14:paraId="66B3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440" w:type="dxa"/>
            <w:noWrap w:val="0"/>
            <w:vAlign w:val="center"/>
          </w:tcPr>
          <w:p w14:paraId="05CC6A1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23</w:t>
            </w:r>
          </w:p>
        </w:tc>
        <w:tc>
          <w:tcPr>
            <w:tcW w:w="1267" w:type="dxa"/>
            <w:noWrap w:val="0"/>
            <w:vAlign w:val="center"/>
          </w:tcPr>
          <w:p w14:paraId="7C3C74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展厅LED增艳轨道灯</w:t>
            </w:r>
          </w:p>
        </w:tc>
        <w:tc>
          <w:tcPr>
            <w:tcW w:w="4398" w:type="dxa"/>
            <w:noWrap w:val="0"/>
            <w:vAlign w:val="center"/>
          </w:tcPr>
          <w:p w14:paraId="32A1365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1.输入电压：100-250 V。</w:t>
            </w:r>
          </w:p>
          <w:p w14:paraId="680F1A1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2.功率：30±1 W。</w:t>
            </w:r>
          </w:p>
          <w:p w14:paraId="571B6A5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3.色温：4000-5000 K。</w:t>
            </w:r>
          </w:p>
          <w:p w14:paraId="435E2FF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4.光通量≥2500 Lm。</w:t>
            </w:r>
          </w:p>
          <w:p w14:paraId="3A8C94F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5.发光角度15°-24 °。</w:t>
            </w:r>
          </w:p>
          <w:p w14:paraId="4423B01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6.LED功率≤30W。</w:t>
            </w:r>
          </w:p>
          <w:p w14:paraId="51DDCFD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7.LED数量：1 PCS。</w:t>
            </w:r>
          </w:p>
          <w:p w14:paraId="797A524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8.防水等级≥20 IP。</w:t>
            </w:r>
          </w:p>
          <w:p w14:paraId="3A6DFE3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9.灯体材质：塑+铝。</w:t>
            </w:r>
          </w:p>
          <w:p w14:paraId="64A0D3A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10.尺寸：Φ121 ×160 mm。</w:t>
            </w:r>
          </w:p>
          <w:p w14:paraId="1D384CA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11.工作温度：-20---45 ℃。</w:t>
            </w:r>
          </w:p>
          <w:p w14:paraId="67E5015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12.储存温度：-25---65 ℃。</w:t>
            </w:r>
          </w:p>
          <w:p w14:paraId="634045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13.使用寿命≥ 25000 hrs。</w:t>
            </w:r>
          </w:p>
        </w:tc>
        <w:tc>
          <w:tcPr>
            <w:tcW w:w="986" w:type="dxa"/>
            <w:noWrap w:val="0"/>
            <w:vAlign w:val="center"/>
          </w:tcPr>
          <w:p w14:paraId="45056F5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color w:val="auto"/>
                <w:spacing w:val="7"/>
                <w:sz w:val="21"/>
                <w:szCs w:val="21"/>
                <w:lang w:val="en-US" w:eastAsia="zh-CN"/>
              </w:rPr>
              <w:t>150套</w:t>
            </w:r>
          </w:p>
        </w:tc>
        <w:tc>
          <w:tcPr>
            <w:tcW w:w="643" w:type="dxa"/>
            <w:noWrap w:val="0"/>
            <w:vAlign w:val="center"/>
          </w:tcPr>
          <w:p w14:paraId="645BE7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7"/>
                <w:sz w:val="21"/>
                <w:szCs w:val="21"/>
                <w:lang w:val="en-US" w:eastAsia="zh-CN"/>
              </w:rPr>
            </w:pPr>
            <w:r>
              <w:rPr>
                <w:rFonts w:hint="eastAsia" w:ascii="宋体" w:hAnsi="宋体" w:eastAsia="宋体" w:cs="宋体"/>
                <w:bCs/>
                <w:color w:val="auto"/>
                <w:sz w:val="21"/>
                <w:szCs w:val="21"/>
                <w:lang w:val="en-US" w:eastAsia="zh-CN"/>
              </w:rPr>
              <w:t>工业</w:t>
            </w:r>
          </w:p>
        </w:tc>
        <w:tc>
          <w:tcPr>
            <w:tcW w:w="1089" w:type="dxa"/>
            <w:noWrap w:val="0"/>
            <w:vAlign w:val="center"/>
          </w:tcPr>
          <w:p w14:paraId="4FAACA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bCs/>
                <w:sz w:val="21"/>
                <w:szCs w:val="21"/>
                <w:lang w:val="en-US" w:eastAsia="zh-CN"/>
              </w:rPr>
              <w:t>否</w:t>
            </w:r>
          </w:p>
        </w:tc>
      </w:tr>
    </w:tbl>
    <w:p w14:paraId="75A99A8D">
      <w:pPr>
        <w:widowControl w:val="0"/>
        <w:numPr>
          <w:ilvl w:val="0"/>
          <w:numId w:val="0"/>
        </w:numPr>
        <w:adjustRightInd w:val="0"/>
        <w:snapToGrid w:val="0"/>
        <w:spacing w:line="360" w:lineRule="auto"/>
        <w:jc w:val="both"/>
        <w:rPr>
          <w:rFonts w:hint="eastAsia" w:ascii="宋体" w:hAnsi="宋体" w:eastAsia="宋体" w:cs="宋体"/>
          <w:szCs w:val="21"/>
        </w:rPr>
      </w:pPr>
    </w:p>
    <w:p w14:paraId="05757B0E">
      <w:pPr>
        <w:adjustRightInd w:val="0"/>
        <w:snapToGrid w:val="0"/>
        <w:spacing w:line="360" w:lineRule="auto"/>
        <w:ind w:firstLine="422" w:firstLineChars="200"/>
        <w:rPr>
          <w:rFonts w:ascii="宋体" w:hAnsi="宋体" w:eastAsia="宋体" w:cs="宋体"/>
          <w:b/>
          <w:bCs/>
          <w:szCs w:val="21"/>
        </w:rPr>
      </w:pPr>
      <w:r>
        <w:rPr>
          <w:rFonts w:hint="eastAsia" w:ascii="宋体" w:hAnsi="宋体" w:eastAsia="宋体" w:cs="宋体"/>
          <w:b/>
          <w:bCs/>
          <w:szCs w:val="21"/>
        </w:rPr>
        <w:t>三、备品备件及专用工具</w:t>
      </w:r>
    </w:p>
    <w:p w14:paraId="10FB594C">
      <w:pPr>
        <w:adjustRightInd w:val="0"/>
        <w:snapToGrid w:val="0"/>
        <w:spacing w:line="360" w:lineRule="auto"/>
        <w:ind w:firstLine="420" w:firstLineChars="200"/>
        <w:rPr>
          <w:rFonts w:ascii="宋体" w:hAnsi="宋体" w:eastAsia="宋体" w:cs="宋体"/>
          <w:szCs w:val="21"/>
        </w:rPr>
      </w:pPr>
      <w:bookmarkStart w:id="12" w:name="_Toc455587093"/>
      <w:bookmarkStart w:id="13" w:name="_Toc455587277"/>
      <w:bookmarkStart w:id="14" w:name="_Toc445554752"/>
      <w:r>
        <w:rPr>
          <w:rFonts w:hint="eastAsia" w:ascii="宋体" w:hAnsi="宋体" w:eastAsia="宋体" w:cs="宋体"/>
          <w:szCs w:val="21"/>
        </w:rPr>
        <w:t>1、备品备件：中标人提供能够满足质量保证期内的设备维修要求的备品备件，备品备件应是新品。</w:t>
      </w:r>
    </w:p>
    <w:p w14:paraId="37FC272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2、专用工具：中标人提供设备安装、调试、验收、维修、保养所必要的专用工具、仪器、仪表等工具。</w:t>
      </w:r>
    </w:p>
    <w:bookmarkEnd w:id="12"/>
    <w:bookmarkEnd w:id="13"/>
    <w:bookmarkEnd w:id="14"/>
    <w:p w14:paraId="4CEA13A1">
      <w:pPr>
        <w:adjustRightInd w:val="0"/>
        <w:snapToGrid w:val="0"/>
        <w:spacing w:line="360" w:lineRule="auto"/>
        <w:ind w:firstLine="422" w:firstLineChars="200"/>
        <w:rPr>
          <w:rFonts w:ascii="宋体" w:hAnsi="宋体" w:eastAsia="宋体" w:cs="宋体"/>
          <w:b/>
          <w:bCs/>
          <w:szCs w:val="21"/>
        </w:rPr>
      </w:pPr>
      <w:bookmarkStart w:id="15" w:name="_Toc532199625"/>
      <w:bookmarkStart w:id="16" w:name="_Toc445554753"/>
      <w:bookmarkStart w:id="17" w:name="_Toc455587278"/>
      <w:bookmarkStart w:id="18" w:name="_Toc455587094"/>
      <w:r>
        <w:rPr>
          <w:rFonts w:hint="eastAsia" w:ascii="宋体" w:hAnsi="宋体" w:eastAsia="宋体" w:cs="宋体"/>
          <w:b/>
          <w:bCs/>
          <w:szCs w:val="21"/>
        </w:rPr>
        <w:t>四、安装调试、验收试验及质量保证</w:t>
      </w:r>
      <w:bookmarkEnd w:id="15"/>
    </w:p>
    <w:p w14:paraId="4123BCA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1、中标人在设备安装地点负责安装、调试。</w:t>
      </w:r>
    </w:p>
    <w:p w14:paraId="70746B9D">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2、具体设备验收标准和程序按采购人要求执行，下列验收程序可参照执行：</w:t>
      </w:r>
    </w:p>
    <w:p w14:paraId="5B701A0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7F39825B">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5B12A029">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2.3 中标人应根据采购人使用单位的技术要求提供相应的产品。由中标人所提供的设备部件间的连线和插接件均应视为设备内部器件，包含在相应的设备之中。</w:t>
      </w:r>
    </w:p>
    <w:p w14:paraId="46CC79D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2.4 运行测试及最终验收。在系统安装、调试结束后，采购人对其进行全面的测试，对测试中暴露出来的问题，中标人应及时进行整改，系统最终测试完毕经验收合格后，采购人应向中标人签发最终验收证明。</w:t>
      </w:r>
    </w:p>
    <w:p w14:paraId="11C0030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48A1990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3、如设备在验收时有一个或多个指标未能达到要求而属于中标人责任时，则中标人自费采取有效措施，在规定时间内使之达到保证指标。如在规定的时间内仍达不到合格标准时，则中标人应向采购人赔偿。</w:t>
      </w:r>
    </w:p>
    <w:bookmarkEnd w:id="16"/>
    <w:bookmarkEnd w:id="17"/>
    <w:bookmarkEnd w:id="18"/>
    <w:p w14:paraId="4E3DAA98">
      <w:pPr>
        <w:adjustRightInd w:val="0"/>
        <w:snapToGrid w:val="0"/>
        <w:spacing w:line="360" w:lineRule="auto"/>
        <w:ind w:firstLine="422" w:firstLineChars="200"/>
        <w:rPr>
          <w:rFonts w:ascii="宋体" w:hAnsi="宋体" w:eastAsia="宋体" w:cs="宋体"/>
          <w:b/>
          <w:bCs/>
          <w:szCs w:val="21"/>
        </w:rPr>
      </w:pPr>
      <w:bookmarkStart w:id="19" w:name="_Toc532199626"/>
      <w:r>
        <w:rPr>
          <w:rFonts w:hint="eastAsia" w:ascii="宋体" w:hAnsi="宋体" w:eastAsia="宋体" w:cs="宋体"/>
          <w:b/>
          <w:bCs/>
          <w:szCs w:val="21"/>
        </w:rPr>
        <w:t>五、包装运输</w:t>
      </w:r>
      <w:bookmarkEnd w:id="19"/>
    </w:p>
    <w:p w14:paraId="54A89726">
      <w:pPr>
        <w:adjustRightInd w:val="0"/>
        <w:snapToGrid w:val="0"/>
        <w:spacing w:line="360" w:lineRule="auto"/>
        <w:ind w:firstLine="420" w:firstLineChars="200"/>
        <w:rPr>
          <w:rFonts w:ascii="宋体" w:hAnsi="宋体" w:eastAsia="宋体" w:cs="宋体"/>
          <w:szCs w:val="21"/>
        </w:rPr>
      </w:pPr>
      <w:bookmarkStart w:id="20" w:name="_Toc455587095"/>
      <w:bookmarkStart w:id="21" w:name="_Toc445554754"/>
      <w:bookmarkStart w:id="22" w:name="_Toc455587279"/>
      <w:r>
        <w:rPr>
          <w:rFonts w:hint="eastAsia" w:ascii="宋体" w:hAnsi="宋体" w:eastAsia="宋体" w:cs="宋体"/>
          <w:szCs w:val="21"/>
        </w:rPr>
        <w:t>1、中标人负责设备包装、办理运输和保险，将设备安全运抵交货地点。</w:t>
      </w:r>
    </w:p>
    <w:p w14:paraId="3741728A">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2、设备制造完成并通过试验后应及时包装，否则应得到切实的保护，确保其不受污损。</w:t>
      </w:r>
    </w:p>
    <w:p w14:paraId="0BC630E2">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3、在包装箱外应标明采购人的订货号、发货号。</w:t>
      </w:r>
    </w:p>
    <w:p w14:paraId="532C8AE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4、各种包装应能确保各零部件在运输过程中不致遭到损坏、丢失、变形、受潮和腐蚀。</w:t>
      </w:r>
    </w:p>
    <w:p w14:paraId="2ADB0819">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5、包装箱上应有明显的包装储运图示标志。</w:t>
      </w:r>
    </w:p>
    <w:p w14:paraId="491B8AD3">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6、整体产品或分别运输的部件都要适应运输和装载的要求。</w:t>
      </w:r>
    </w:p>
    <w:p w14:paraId="746491C3">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7、随产品提供的技术资料应完整无缺。</w:t>
      </w:r>
    </w:p>
    <w:p w14:paraId="4B21ED85">
      <w:pPr>
        <w:adjustRightInd w:val="0"/>
        <w:snapToGrid w:val="0"/>
        <w:spacing w:line="360" w:lineRule="auto"/>
        <w:ind w:firstLine="422" w:firstLineChars="200"/>
        <w:rPr>
          <w:rFonts w:ascii="宋体" w:hAnsi="宋体" w:eastAsia="宋体" w:cs="宋体"/>
          <w:b/>
          <w:bCs/>
          <w:szCs w:val="21"/>
        </w:rPr>
      </w:pPr>
      <w:bookmarkStart w:id="23" w:name="_Toc532199627"/>
      <w:r>
        <w:rPr>
          <w:rFonts w:hint="eastAsia" w:ascii="宋体" w:hAnsi="宋体" w:eastAsia="宋体" w:cs="宋体"/>
          <w:b/>
          <w:bCs/>
          <w:szCs w:val="21"/>
        </w:rPr>
        <w:t>六、技术培训</w:t>
      </w:r>
      <w:bookmarkEnd w:id="20"/>
      <w:bookmarkEnd w:id="21"/>
      <w:bookmarkEnd w:id="22"/>
      <w:bookmarkEnd w:id="23"/>
    </w:p>
    <w:p w14:paraId="2045160D">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1、为使合同设备能正常安装和运行，由中标人提供相应的技术培训，并免收采购人培训费用。培训内容应与工程进度相一致。</w:t>
      </w:r>
    </w:p>
    <w:p w14:paraId="077D58F5">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2、培训的时间、人数、地点等具体内容由买卖双方商定，内容至少包括：设备原理、使用、维护、运行操作、常见故障处理等。</w:t>
      </w:r>
    </w:p>
    <w:p w14:paraId="534AD0D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3、技术参数及要求里有特别规定的，以技术参数及要求中的要求为准。</w:t>
      </w:r>
    </w:p>
    <w:p w14:paraId="77083F13">
      <w:pPr>
        <w:adjustRightInd w:val="0"/>
        <w:snapToGrid w:val="0"/>
        <w:spacing w:line="360" w:lineRule="auto"/>
        <w:ind w:firstLine="422" w:firstLineChars="200"/>
        <w:rPr>
          <w:rFonts w:ascii="宋体" w:hAnsi="宋体" w:eastAsia="宋体" w:cs="宋体"/>
          <w:b/>
          <w:bCs/>
          <w:szCs w:val="21"/>
        </w:rPr>
      </w:pPr>
      <w:r>
        <w:rPr>
          <w:rFonts w:hint="eastAsia" w:ascii="宋体" w:hAnsi="宋体" w:eastAsia="宋体" w:cs="宋体"/>
          <w:b/>
          <w:bCs/>
          <w:szCs w:val="21"/>
        </w:rPr>
        <w:t>七、质保及售后服务</w:t>
      </w:r>
    </w:p>
    <w:p w14:paraId="2A943DB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1、自双方签订《验收报告》起进入免费质保期。</w:t>
      </w:r>
    </w:p>
    <w:p w14:paraId="779E0C8F">
      <w:pPr>
        <w:adjustRightInd w:val="0"/>
        <w:snapToGrid w:val="0"/>
        <w:spacing w:line="360" w:lineRule="auto"/>
        <w:ind w:firstLine="420" w:firstLineChars="200"/>
        <w:rPr>
          <w:rFonts w:hint="eastAsia" w:ascii="Calibri" w:hAnsi="Calibri" w:eastAsia="宋体" w:cs="Times New Roman"/>
          <w:szCs w:val="22"/>
        </w:rPr>
      </w:pPr>
      <w:r>
        <w:rPr>
          <w:rFonts w:hint="eastAsia" w:ascii="宋体" w:hAnsi="宋体" w:eastAsia="宋体" w:cs="宋体"/>
          <w:szCs w:val="21"/>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5B9C2EEE">
      <w:pPr>
        <w:adjustRightInd w:val="0"/>
        <w:snapToGrid w:val="0"/>
        <w:spacing w:line="360" w:lineRule="auto"/>
        <w:ind w:firstLine="422" w:firstLineChars="200"/>
        <w:rPr>
          <w:rFonts w:hint="eastAsia" w:ascii="Calibri" w:hAnsi="Calibri" w:eastAsia="宋体" w:cs="Times New Roman"/>
          <w:b/>
          <w:szCs w:val="22"/>
        </w:rPr>
      </w:pPr>
      <w:r>
        <w:rPr>
          <w:rFonts w:hint="eastAsia" w:ascii="Calibri" w:hAnsi="Calibri" w:eastAsia="宋体" w:cs="Times New Roman"/>
          <w:b/>
          <w:szCs w:val="22"/>
        </w:rPr>
        <w:t>八、其他要求</w:t>
      </w:r>
    </w:p>
    <w:p w14:paraId="1847B6D9">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1.根据馆内现有的阅读环境重新设计、安装灯具</w:t>
      </w:r>
      <w:r>
        <w:rPr>
          <w:rFonts w:hint="eastAsia" w:ascii="宋体" w:hAnsi="宋体" w:eastAsia="宋体" w:cs="宋体"/>
          <w:szCs w:val="21"/>
          <w:lang w:eastAsia="zh-CN"/>
        </w:rPr>
        <w:t>；</w:t>
      </w:r>
    </w:p>
    <w:p w14:paraId="1EA4F132">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2.灯具安装摆放设计满足采购</w:t>
      </w:r>
      <w:r>
        <w:rPr>
          <w:rFonts w:hint="eastAsia" w:ascii="宋体" w:hAnsi="宋体" w:eastAsia="宋体" w:cs="宋体"/>
          <w:szCs w:val="21"/>
          <w:lang w:val="en-US" w:eastAsia="zh-CN"/>
        </w:rPr>
        <w:t>人</w:t>
      </w:r>
      <w:r>
        <w:rPr>
          <w:rFonts w:hint="eastAsia" w:ascii="宋体" w:hAnsi="宋体" w:eastAsia="宋体" w:cs="宋体"/>
          <w:szCs w:val="21"/>
        </w:rPr>
        <w:t>需求</w:t>
      </w:r>
      <w:r>
        <w:rPr>
          <w:rFonts w:hint="eastAsia" w:ascii="宋体" w:hAnsi="宋体" w:eastAsia="宋体" w:cs="宋体"/>
          <w:szCs w:val="21"/>
          <w:lang w:eastAsia="zh-CN"/>
        </w:rPr>
        <w:t>；</w:t>
      </w:r>
    </w:p>
    <w:p w14:paraId="0C6D1598">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3.实施时不得破坏馆内原有装修，如有损坏需无偿恢复</w:t>
      </w:r>
      <w:r>
        <w:rPr>
          <w:rFonts w:hint="eastAsia" w:ascii="宋体" w:hAnsi="宋体" w:eastAsia="宋体" w:cs="宋体"/>
          <w:szCs w:val="21"/>
          <w:lang w:eastAsia="zh-CN"/>
        </w:rPr>
        <w:t>；</w:t>
      </w:r>
    </w:p>
    <w:p w14:paraId="576D35F4">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4.安装前提交全馆护眼健康照明环境设计图</w:t>
      </w:r>
      <w:r>
        <w:rPr>
          <w:rFonts w:hint="eastAsia" w:ascii="宋体" w:hAnsi="宋体" w:eastAsia="宋体" w:cs="宋体"/>
          <w:szCs w:val="21"/>
          <w:lang w:eastAsia="zh-CN"/>
        </w:rPr>
        <w:t>；</w:t>
      </w:r>
    </w:p>
    <w:p w14:paraId="3A300C25">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5.更换灯具后</w:t>
      </w:r>
      <w:r>
        <w:rPr>
          <w:rFonts w:hint="eastAsia" w:ascii="宋体" w:hAnsi="宋体" w:eastAsia="宋体" w:cs="宋体"/>
          <w:szCs w:val="21"/>
          <w:lang w:val="en-US" w:eastAsia="zh-CN"/>
        </w:rPr>
        <w:t>阅</w:t>
      </w:r>
      <w:r>
        <w:rPr>
          <w:rFonts w:hint="eastAsia" w:ascii="宋体" w:hAnsi="宋体" w:eastAsia="宋体" w:cs="宋体"/>
          <w:szCs w:val="21"/>
        </w:rPr>
        <w:t>览区域的照度必须满足《建筑照明设计标准》GB/T 50034-2024</w:t>
      </w:r>
      <w:r>
        <w:rPr>
          <w:rFonts w:hint="eastAsia" w:ascii="宋体" w:hAnsi="宋体" w:eastAsia="宋体" w:cs="宋体"/>
          <w:szCs w:val="21"/>
          <w:lang w:val="en-US" w:eastAsia="zh-CN"/>
        </w:rPr>
        <w:t xml:space="preserve"> </w:t>
      </w:r>
      <w:r>
        <w:rPr>
          <w:rFonts w:hint="eastAsia" w:ascii="宋体" w:hAnsi="宋体" w:eastAsia="宋体" w:cs="宋体"/>
          <w:szCs w:val="21"/>
        </w:rPr>
        <w:t>图书馆建筑照明标准值。提供第三方专业机构阅览区域灯光安装前后的检测报告</w:t>
      </w:r>
      <w:r>
        <w:rPr>
          <w:rFonts w:hint="eastAsia" w:ascii="宋体" w:hAnsi="宋体" w:eastAsia="宋体" w:cs="宋体"/>
          <w:szCs w:val="21"/>
          <w:lang w:eastAsia="zh-CN"/>
        </w:rPr>
        <w:t>；</w:t>
      </w:r>
    </w:p>
    <w:p w14:paraId="0614A955">
      <w:pPr>
        <w:adjustRightInd w:val="0"/>
        <w:snapToGrid w:val="0"/>
        <w:spacing w:line="360" w:lineRule="auto"/>
        <w:ind w:firstLine="420" w:firstLineChars="200"/>
        <w:rPr>
          <w:rFonts w:hint="eastAsia" w:ascii="Calibri" w:hAnsi="Calibri" w:eastAsia="宋体" w:cs="Times New Roman"/>
          <w:szCs w:val="22"/>
        </w:rPr>
      </w:pPr>
      <w:r>
        <w:rPr>
          <w:rFonts w:hint="eastAsia" w:ascii="宋体" w:hAnsi="宋体" w:eastAsia="宋体" w:cs="宋体"/>
          <w:szCs w:val="21"/>
        </w:rPr>
        <w:t>6.所供应产品必须达到国家环保要求。</w:t>
      </w:r>
    </w:p>
    <w:p w14:paraId="360ED222">
      <w:bookmarkStart w:id="24" w:name="_GoBack"/>
      <w:bookmarkEnd w:id="2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067376"/>
    <w:rsid w:val="61067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2">
    <w:name w:val="heading 3"/>
    <w:basedOn w:val="1"/>
    <w:next w:val="1"/>
    <w:qFormat/>
    <w:uiPriority w:val="9"/>
    <w:pPr>
      <w:keepNext/>
      <w:keepLines/>
      <w:spacing w:before="260" w:after="260" w:line="416" w:lineRule="auto"/>
      <w:outlineLvl w:val="2"/>
    </w:pPr>
    <w:rPr>
      <w:rFonts w:cs="Times New Roman"/>
      <w:b/>
      <w:bCs/>
      <w:kern w:val="0"/>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rFonts w:ascii="宋体" w:hAnsi="宋体" w:eastAsia="宋体" w:cs="Times New Roman"/>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customStyle="1" w:styleId="8">
    <w:name w:val="D&amp;L"/>
    <w:basedOn w:val="5"/>
    <w:qFormat/>
    <w:uiPriority w:val="0"/>
    <w:pPr>
      <w:pBdr>
        <w:bottom w:val="none" w:color="auto" w:sz="0" w:space="0"/>
      </w:pBdr>
      <w:snapToGrid/>
    </w:pPr>
    <w:rPr>
      <w:rFonts w:ascii="宋体" w:hAnsi="宋体" w:eastAsia="宋体"/>
      <w:bCs/>
      <w:sz w:val="24"/>
      <w:szCs w:val="20"/>
    </w:rPr>
  </w:style>
  <w:style w:type="paragraph" w:customStyle="1" w:styleId="9">
    <w:name w:val="xl31"/>
    <w:basedOn w:val="1"/>
    <w:qFormat/>
    <w:uiPriority w:val="0"/>
    <w:pPr>
      <w:adjustRightInd w:val="0"/>
      <w:snapToGrid w:val="0"/>
      <w:spacing w:line="300" w:lineRule="auto"/>
    </w:pPr>
    <w:rPr>
      <w:rFonts w:ascii="宋体" w:hAnsi="宋体" w:eastAsia="宋体"/>
      <w:bCs/>
      <w:color w:val="FF0000"/>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2025-02-25T02:22:00Z</dcterms:created>
  <dc:creator>校对-程龙</dc:creator>
  <cp:lastModifiedBy>校对-程龙</cp:lastModifiedBy>
  <dcterms:modified xsi:type="dcterms:W3CDTF">2025-02-25T02:22:21Z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6CC587053D8F471A9F0008F066898295_11</vt:lpwstr>
  </property>
  <property fmtid="{D5CDD505-2E9C-101B-9397-08002B2CF9AE}" pid="4" name="KSOTemplateDocerSaveRecord">
    <vt:lpwstr>eyJoZGlkIjoiOGUwZDg0NzM2NWExMDEzYWJhMTNjMWY2NTRkNmVkMDMiLCJ1c2VySWQiOiI0MzkwMTYzMjcifQ==</vt:lpwstr>
  </property>
</Properties>
</file>