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D4B3C">
      <w:pPr>
        <w:pStyle w:val="2"/>
        <w:widowControl/>
        <w:shd w:val="clear" w:color="auto" w:fill="auto"/>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68A2CFA7">
      <w:pPr>
        <w:pStyle w:val="3"/>
        <w:shd w:val="clear" w:color="auto" w:fill="auto"/>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2F0B81C3">
      <w:pPr>
        <w:widowControl/>
        <w:shd w:val="clear" w:color="auto" w:fill="auto"/>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74791FCB">
      <w:pPr>
        <w:pStyle w:val="10"/>
        <w:shd w:val="clear" w:color="auto" w:fill="auto"/>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63321B27">
      <w:pPr>
        <w:shd w:val="clear" w:color="auto" w:fill="auto"/>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3C12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60F39695">
            <w:pPr>
              <w:shd w:val="clear" w:color="auto" w:fill="auto"/>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5839CABB">
            <w:pPr>
              <w:shd w:val="clear" w:color="auto" w:fill="auto"/>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33796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6EE52115">
            <w:pPr>
              <w:shd w:val="clear" w:color="auto" w:fill="auto"/>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3B296457">
            <w:pPr>
              <w:shd w:val="clear" w:color="auto" w:fill="auto"/>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77F6801E">
            <w:pPr>
              <w:shd w:val="clear" w:color="auto" w:fill="auto"/>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投标人为制造商的，须具有相应的医疗器械生产备案获取的备案编号（属于一类时）。</w:t>
            </w:r>
          </w:p>
        </w:tc>
      </w:tr>
      <w:tr w14:paraId="037B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3E960FF2">
            <w:pPr>
              <w:shd w:val="clear" w:color="auto" w:fill="auto"/>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78951EC9">
            <w:pPr>
              <w:shd w:val="clear" w:color="auto" w:fill="auto"/>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19806691">
            <w:pPr>
              <w:pStyle w:val="11"/>
              <w:shd w:val="clear" w:color="auto" w:fill="auto"/>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05A9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F3A9BAA">
            <w:pPr>
              <w:shd w:val="clear" w:color="auto" w:fill="auto"/>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5FF5BAD4">
            <w:pPr>
              <w:shd w:val="clear" w:color="auto" w:fill="auto"/>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4B5C7674">
            <w:pPr>
              <w:pStyle w:val="7"/>
              <w:shd w:val="clear" w:color="auto" w:fill="auto"/>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4725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1579C67">
            <w:pPr>
              <w:shd w:val="clear" w:color="auto" w:fill="auto"/>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096D9E9C">
            <w:pPr>
              <w:pStyle w:val="7"/>
              <w:shd w:val="clear" w:color="auto" w:fill="auto"/>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3C5F7C06">
            <w:pPr>
              <w:pStyle w:val="7"/>
              <w:shd w:val="clear" w:color="auto" w:fill="auto"/>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4060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4C03D43">
            <w:pPr>
              <w:shd w:val="clear" w:color="auto" w:fill="auto"/>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5</w:t>
            </w:r>
          </w:p>
        </w:tc>
        <w:tc>
          <w:tcPr>
            <w:tcW w:w="8745" w:type="dxa"/>
            <w:gridSpan w:val="2"/>
            <w:noWrap w:val="0"/>
            <w:vAlign w:val="top"/>
          </w:tcPr>
          <w:p w14:paraId="596B1C85">
            <w:pPr>
              <w:widowControl/>
              <w:shd w:val="clear" w:color="auto" w:fill="auto"/>
              <w:spacing w:line="360" w:lineRule="auto"/>
              <w:jc w:val="left"/>
              <w:rPr>
                <w:rFonts w:ascii="仿宋" w:hAnsi="仿宋" w:eastAsia="仿宋" w:cs="仿宋"/>
                <w:b/>
                <w:color w:val="000000"/>
                <w:kern w:val="0"/>
                <w:sz w:val="24"/>
                <w:highlight w:val="none"/>
                <w:lang w:bidi="ar"/>
              </w:rPr>
            </w:pPr>
            <w:r>
              <w:rPr>
                <w:rFonts w:hint="eastAsia" w:ascii="仿宋" w:hAnsi="仿宋" w:eastAsia="仿宋" w:cs="仿宋"/>
                <w:b/>
                <w:color w:val="000000"/>
                <w:kern w:val="0"/>
                <w:sz w:val="24"/>
                <w:highlight w:val="none"/>
                <w:lang w:bidi="ar"/>
              </w:rPr>
              <w:t>配置要求：</w:t>
            </w:r>
          </w:p>
          <w:p w14:paraId="340A49AD">
            <w:pPr>
              <w:widowControl/>
              <w:shd w:val="clear" w:color="auto" w:fill="auto"/>
              <w:spacing w:line="360" w:lineRule="auto"/>
              <w:jc w:val="left"/>
              <w:rPr>
                <w:rFonts w:hint="eastAsia" w:ascii="仿宋" w:hAnsi="仿宋" w:eastAsia="仿宋" w:cs="仿宋"/>
                <w:b/>
                <w:color w:val="000000"/>
                <w:kern w:val="0"/>
                <w:sz w:val="24"/>
                <w:highlight w:val="none"/>
                <w:lang w:bidi="ar"/>
              </w:rPr>
            </w:pPr>
            <w:r>
              <w:rPr>
                <w:rFonts w:hint="eastAsia" w:ascii="仿宋" w:hAnsi="仿宋" w:eastAsia="仿宋" w:cs="仿宋"/>
                <w:b/>
                <w:color w:val="000000"/>
                <w:kern w:val="0"/>
                <w:sz w:val="24"/>
                <w:highlight w:val="none"/>
                <w:lang w:bidi="ar"/>
              </w:rPr>
              <w:t>1、全光谱流式细胞仪主机1台（51个荧光通道）</w:t>
            </w:r>
          </w:p>
          <w:p w14:paraId="2E2F5648">
            <w:pPr>
              <w:widowControl/>
              <w:shd w:val="clear" w:color="auto" w:fill="auto"/>
              <w:spacing w:line="360" w:lineRule="auto"/>
              <w:jc w:val="left"/>
              <w:rPr>
                <w:rFonts w:hint="eastAsia" w:ascii="仿宋" w:hAnsi="仿宋" w:eastAsia="仿宋" w:cs="仿宋"/>
                <w:b/>
                <w:color w:val="000000"/>
                <w:kern w:val="0"/>
                <w:sz w:val="24"/>
                <w:highlight w:val="none"/>
                <w:lang w:bidi="ar"/>
              </w:rPr>
            </w:pPr>
            <w:r>
              <w:rPr>
                <w:rFonts w:hint="eastAsia" w:ascii="仿宋" w:hAnsi="仿宋" w:eastAsia="仿宋" w:cs="仿宋"/>
                <w:b/>
                <w:color w:val="000000"/>
                <w:kern w:val="0"/>
                <w:sz w:val="24"/>
                <w:highlight w:val="none"/>
                <w:lang w:bidi="ar"/>
              </w:rPr>
              <w:t>2、自动进样器1台（兼容40管流式管/EP管及24/48/96/384孔板）</w:t>
            </w:r>
          </w:p>
          <w:p w14:paraId="5890583D">
            <w:pPr>
              <w:widowControl/>
              <w:shd w:val="clear" w:color="auto" w:fill="auto"/>
              <w:spacing w:line="360" w:lineRule="auto"/>
              <w:jc w:val="left"/>
              <w:rPr>
                <w:rFonts w:hint="eastAsia" w:ascii="仿宋" w:hAnsi="仿宋" w:eastAsia="仿宋" w:cs="仿宋"/>
                <w:b/>
                <w:color w:val="000000"/>
                <w:kern w:val="0"/>
                <w:sz w:val="24"/>
                <w:highlight w:val="none"/>
                <w:lang w:bidi="ar"/>
              </w:rPr>
            </w:pPr>
            <w:r>
              <w:rPr>
                <w:rFonts w:hint="eastAsia" w:ascii="仿宋" w:hAnsi="仿宋" w:eastAsia="仿宋" w:cs="仿宋"/>
                <w:b/>
                <w:color w:val="000000"/>
                <w:kern w:val="0"/>
                <w:sz w:val="24"/>
                <w:highlight w:val="none"/>
                <w:lang w:bidi="ar"/>
              </w:rPr>
              <w:t>3、随机清洗液1套</w:t>
            </w:r>
          </w:p>
          <w:p w14:paraId="1C7C142E">
            <w:pPr>
              <w:widowControl/>
              <w:shd w:val="clear" w:color="auto" w:fill="auto"/>
              <w:spacing w:line="360" w:lineRule="auto"/>
              <w:jc w:val="left"/>
              <w:rPr>
                <w:rFonts w:hint="eastAsia" w:ascii="仿宋" w:hAnsi="仿宋" w:eastAsia="仿宋" w:cs="仿宋"/>
                <w:b/>
                <w:color w:val="000000"/>
                <w:kern w:val="0"/>
                <w:sz w:val="24"/>
                <w:highlight w:val="none"/>
                <w:lang w:bidi="ar"/>
              </w:rPr>
            </w:pPr>
            <w:r>
              <w:rPr>
                <w:rFonts w:hint="eastAsia" w:ascii="仿宋" w:hAnsi="仿宋" w:eastAsia="仿宋" w:cs="仿宋"/>
                <w:b/>
                <w:color w:val="000000"/>
                <w:kern w:val="0"/>
                <w:sz w:val="24"/>
                <w:highlight w:val="none"/>
                <w:lang w:bidi="ar"/>
              </w:rPr>
              <w:t>4、随机鞘液1套</w:t>
            </w:r>
          </w:p>
          <w:p w14:paraId="4CD0CF2F">
            <w:pPr>
              <w:pStyle w:val="7"/>
              <w:shd w:val="clear" w:color="auto" w:fill="auto"/>
              <w:spacing w:before="0" w:beforeAutospacing="0" w:after="0" w:afterAutospacing="0" w:line="360" w:lineRule="auto"/>
              <w:rPr>
                <w:rFonts w:hint="eastAsia" w:ascii="仿宋" w:hAnsi="仿宋" w:eastAsia="仿宋" w:cs="仿宋"/>
                <w:b/>
                <w:color w:val="auto"/>
                <w:highlight w:val="none"/>
              </w:rPr>
            </w:pPr>
            <w:r>
              <w:rPr>
                <w:rFonts w:hint="eastAsia" w:ascii="仿宋" w:hAnsi="仿宋" w:eastAsia="仿宋" w:cs="仿宋"/>
                <w:b/>
                <w:highlight w:val="none"/>
                <w:lang w:bidi="ar"/>
              </w:rPr>
              <w:t>5、全光谱流式分析软件及工作站1套</w:t>
            </w:r>
            <w:r>
              <w:rPr>
                <w:rFonts w:hint="eastAsia" w:ascii="仿宋" w:hAnsi="仿宋" w:eastAsia="仿宋" w:cs="仿宋"/>
                <w:b/>
                <w:highlight w:val="none"/>
                <w:lang w:bidi="ar"/>
              </w:rPr>
              <w:br w:type="page"/>
            </w:r>
          </w:p>
        </w:tc>
      </w:tr>
    </w:tbl>
    <w:p w14:paraId="6CE20BF1">
      <w:pPr>
        <w:shd w:val="clear" w:color="auto" w:fill="auto"/>
        <w:spacing w:line="360" w:lineRule="auto"/>
        <w:rPr>
          <w:rFonts w:hint="eastAsia" w:ascii="仿宋" w:hAnsi="仿宋" w:eastAsia="仿宋" w:cs="仿宋"/>
          <w:b/>
          <w:color w:val="000000"/>
          <w:sz w:val="24"/>
          <w:highlight w:val="none"/>
        </w:rPr>
      </w:pPr>
    </w:p>
    <w:p w14:paraId="053E52A5">
      <w:pPr>
        <w:shd w:val="clear" w:color="auto" w:fill="auto"/>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0967F473">
      <w:pPr>
        <w:pStyle w:val="5"/>
        <w:shd w:val="clear" w:color="auto" w:fill="auto"/>
        <w:ind w:firstLine="0"/>
        <w:rPr>
          <w:rFonts w:hint="eastAsia" w:ascii="仿宋" w:hAnsi="仿宋" w:eastAsia="仿宋" w:cs="仿宋"/>
          <w:b/>
          <w:sz w:val="24"/>
          <w:highlight w:val="none"/>
        </w:rPr>
      </w:pPr>
    </w:p>
    <w:p w14:paraId="615F3E82">
      <w:pPr>
        <w:pStyle w:val="5"/>
        <w:shd w:val="clear" w:color="auto" w:fill="auto"/>
        <w:rPr>
          <w:rFonts w:hint="eastAsia" w:ascii="仿宋" w:hAnsi="仿宋" w:eastAsia="仿宋" w:cs="仿宋"/>
          <w:b/>
          <w:sz w:val="24"/>
          <w:highlight w:val="none"/>
        </w:rPr>
      </w:pPr>
    </w:p>
    <w:p w14:paraId="6FCF43C1">
      <w:pPr>
        <w:pStyle w:val="4"/>
        <w:numPr>
          <w:ilvl w:val="0"/>
          <w:numId w:val="1"/>
        </w:numPr>
        <w:shd w:val="clear" w:color="auto" w:fill="auto"/>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1E1E62FA">
      <w:pPr>
        <w:pStyle w:val="4"/>
        <w:shd w:val="clear" w:color="auto" w:fill="auto"/>
        <w:ind w:firstLine="0" w:firstLineChars="0"/>
        <w:rPr>
          <w:b/>
          <w:bCs/>
          <w:highlight w:val="none"/>
          <w:lang w:val="zh-CN"/>
        </w:rPr>
      </w:pPr>
    </w:p>
    <w:p w14:paraId="6E21C780">
      <w:pPr>
        <w:shd w:val="clear" w:color="auto" w:fill="auto"/>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2CCB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56A2BFA7">
            <w:pPr>
              <w:widowControl/>
              <w:shd w:val="clear" w:color="auto" w:fill="auto"/>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5E594F32">
            <w:pPr>
              <w:widowControl/>
              <w:shd w:val="clear" w:color="auto" w:fill="auto"/>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51E656FB">
            <w:pPr>
              <w:widowControl/>
              <w:shd w:val="clear" w:color="auto" w:fill="auto"/>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561B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117D6CC9">
            <w:pPr>
              <w:widowControl/>
              <w:shd w:val="clear" w:color="auto" w:fill="auto"/>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70D299EC">
            <w:pPr>
              <w:widowControl/>
              <w:shd w:val="clear" w:color="auto" w:fill="auto"/>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32202B97">
            <w:pPr>
              <w:widowControl/>
              <w:shd w:val="clear" w:color="auto" w:fill="auto"/>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5B88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0A406C6">
            <w:pPr>
              <w:widowControl/>
              <w:shd w:val="clear" w:color="auto" w:fill="auto"/>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60DA7EC0">
            <w:pPr>
              <w:shd w:val="clear" w:color="auto" w:fill="auto"/>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426FB808">
            <w:pPr>
              <w:widowControl/>
              <w:shd w:val="clear" w:color="auto" w:fill="auto"/>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4F3D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464C60E">
            <w:pPr>
              <w:shd w:val="clear" w:color="auto" w:fill="auto"/>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注：投标人须如实响应，如在后期合同履约过程中，发现有虚假响应情况，招标人有权解除合同、不予退还履约保证金、不予支付合同款项，且追究中标人给甲方带来的一切损失。</w:t>
            </w:r>
          </w:p>
        </w:tc>
      </w:tr>
    </w:tbl>
    <w:p w14:paraId="79739A24">
      <w:pPr>
        <w:numPr>
          <w:ilvl w:val="0"/>
          <w:numId w:val="2"/>
        </w:numPr>
        <w:shd w:val="clear" w:color="auto" w:fill="auto"/>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10254250">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1.光路系统：</w:t>
      </w:r>
    </w:p>
    <w:p w14:paraId="5B0EA943">
      <w:pPr>
        <w:widowControl/>
        <w:shd w:val="clear" w:color="auto" w:fill="auto"/>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★1.1、激光器：≥130mW 405nm带TEC温控功能低功耗全固体激光器；≥100mW 488nm带TEC温控功能低功耗全固体激光器；≥120mW 637nm带TEC温控功能低功耗全固体激光器；≥100mW 561nm带TEC温控功能低功耗全固体激光器；</w:t>
      </w:r>
    </w:p>
    <w:p w14:paraId="07AB3C93">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1.2激光激发方式：激光立体空间激发方式</w:t>
      </w:r>
    </w:p>
    <w:p w14:paraId="4C81FD7A">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1.3、荧光探测器：372-832 nm全波段检测，每个通道均配备单独的检测器；</w:t>
      </w:r>
    </w:p>
    <w:p w14:paraId="27DAA2D5">
      <w:pPr>
        <w:widowControl/>
        <w:shd w:val="clear" w:color="auto" w:fill="auto"/>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★1.4、荧光通道：≥51个</w:t>
      </w:r>
    </w:p>
    <w:p w14:paraId="5B6EE5D5">
      <w:pPr>
        <w:widowControl/>
        <w:shd w:val="clear" w:color="auto" w:fill="auto"/>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405检测器模块：≥18个通道</w:t>
      </w:r>
    </w:p>
    <w:p w14:paraId="0375C325">
      <w:pPr>
        <w:widowControl/>
        <w:shd w:val="clear" w:color="auto" w:fill="auto"/>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488检测器模块：≥14个通道</w:t>
      </w:r>
    </w:p>
    <w:p w14:paraId="49CD23BF">
      <w:pPr>
        <w:widowControl/>
        <w:shd w:val="clear" w:color="auto" w:fill="auto"/>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561检测器模块：≥11个通道</w:t>
      </w:r>
    </w:p>
    <w:p w14:paraId="728A2602">
      <w:pPr>
        <w:widowControl/>
        <w:shd w:val="clear" w:color="auto" w:fill="auto"/>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637检测器模块：≥8个通道</w:t>
      </w:r>
    </w:p>
    <w:p w14:paraId="74CAFD8B">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1.5、FSC/SSC灵敏度：FSC ≤0.4 μm，B-SSC ≤0.2 μm，V-SSC ≤0.08 μm；</w:t>
      </w:r>
    </w:p>
    <w:p w14:paraId="0C2F5BAA">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1.6、荧光灵敏度：FITC≤50 MESF, PE≤10 MESF, APC≤10 MESF, Pacific Blue≤30 MESF；</w:t>
      </w:r>
    </w:p>
    <w:p w14:paraId="64C2A6F2">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1.7、荧光分辨率：CEN CV&lt;3%；</w:t>
      </w:r>
    </w:p>
    <w:p w14:paraId="2EE2063A">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1.8、光路传导：激光传递和荧光传导采用直接导入技术，可减少因光纤导入重新设计和调整光路反而导致的光子能量损失；</w:t>
      </w:r>
    </w:p>
    <w:p w14:paraId="2E2357D5">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2.流路系统：</w:t>
      </w:r>
    </w:p>
    <w:p w14:paraId="33CF6871">
      <w:pPr>
        <w:widowControl/>
        <w:shd w:val="clear" w:color="auto" w:fill="auto"/>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2</w:t>
      </w:r>
      <w:r>
        <w:rPr>
          <w:rFonts w:hint="eastAsia" w:ascii="仿宋" w:hAnsi="仿宋" w:eastAsia="仿宋" w:cs="仿宋"/>
          <w:b/>
          <w:bCs/>
          <w:color w:val="000000"/>
          <w:kern w:val="0"/>
          <w:sz w:val="24"/>
          <w:highlight w:val="none"/>
          <w:lang w:bidi="ar"/>
        </w:rPr>
        <w:t>.1、采样速度：≥100,000颗粒/秒；</w:t>
      </w:r>
    </w:p>
    <w:p w14:paraId="578FC10F">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.2、最小上样体积：≤5 μl；</w:t>
      </w:r>
    </w:p>
    <w:p w14:paraId="4E48BC3A">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.3、可检测颗粒直径：0.08-50 μm；</w:t>
      </w:r>
    </w:p>
    <w:p w14:paraId="74093975">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.4、交叉污染：≤0.1%；</w:t>
      </w:r>
    </w:p>
    <w:p w14:paraId="2F11887B">
      <w:pPr>
        <w:widowControl/>
        <w:shd w:val="clear" w:color="auto" w:fill="auto"/>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2</w:t>
      </w:r>
      <w:r>
        <w:rPr>
          <w:rFonts w:hint="eastAsia" w:ascii="仿宋" w:hAnsi="仿宋" w:eastAsia="仿宋" w:cs="仿宋"/>
          <w:b/>
          <w:bCs/>
          <w:color w:val="000000"/>
          <w:kern w:val="0"/>
          <w:sz w:val="24"/>
          <w:highlight w:val="none"/>
          <w:lang w:bidi="ar"/>
        </w:rPr>
        <w:t>.5、绝对计数：样本体积精确控制，无需任何耗材直接绝对计数，体积法绝对计数误差≤±5%；</w:t>
      </w:r>
    </w:p>
    <w:p w14:paraId="6C6914E9">
      <w:pPr>
        <w:widowControl/>
        <w:shd w:val="clear" w:color="auto" w:fill="auto"/>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2</w:t>
      </w:r>
      <w:r>
        <w:rPr>
          <w:rFonts w:hint="eastAsia" w:ascii="仿宋" w:hAnsi="仿宋" w:eastAsia="仿宋" w:cs="仿宋"/>
          <w:b/>
          <w:bCs/>
          <w:color w:val="000000"/>
          <w:kern w:val="0"/>
          <w:sz w:val="24"/>
          <w:highlight w:val="none"/>
          <w:lang w:bidi="ar"/>
        </w:rPr>
        <w:t>.6、液路控制：注射泵驱动，可提供更大驱动压力，不易堵管；高精度压力传感器实时监测流速，液路防堵报警；内置自动清洗消毒系统，可通过一键开关机及换样时自动启动清洗流程，无需手动设置及操作；</w:t>
      </w:r>
    </w:p>
    <w:p w14:paraId="0436C210">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.7、样本流速：具备高中低三档的选调设置基础上，可根据实际样本处理要求，实现连续上样流速调节，满足不同需求；</w:t>
      </w:r>
    </w:p>
    <w:p w14:paraId="1FB5D261">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3.数据处理及分析系统</w:t>
      </w:r>
    </w:p>
    <w:p w14:paraId="61608614">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.1、参数：包括FSC、B-SSC、V-SSC和荧光通道面积（A）和高度（H），宽度（W）和时间</w:t>
      </w:r>
    </w:p>
    <w:p w14:paraId="22827324">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.2、信号处理：24-位动态范围，即动态检测范围10^7.2 (无需PMT增益电压调节)，32位浮点解析度</w:t>
      </w:r>
    </w:p>
    <w:p w14:paraId="12FA068F">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.3、荧光补偿功能：为方便简单流式与多色复杂流式实验补偿功能调节，投标产品必须能够实现传统补偿调节方式与全光谱解析方式自由切换，可支持全光谱解析、离线、在线荧光解析及手动补偿</w:t>
      </w:r>
    </w:p>
    <w:p w14:paraId="7D1E1633">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.4、补偿方式：光谱解析手动更新与自动更新、快速补偿。快速补偿通过拖动补偿条快速调节荧光通道间的补偿系数，直观显示补偿结果；</w:t>
      </w:r>
    </w:p>
    <w:p w14:paraId="35A9DD76">
      <w:pPr>
        <w:widowControl/>
        <w:shd w:val="clear" w:color="auto" w:fill="auto"/>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3</w:t>
      </w:r>
      <w:r>
        <w:rPr>
          <w:rFonts w:hint="eastAsia" w:ascii="仿宋" w:hAnsi="仿宋" w:eastAsia="仿宋" w:cs="仿宋"/>
          <w:b/>
          <w:bCs/>
          <w:color w:val="000000"/>
          <w:kern w:val="0"/>
          <w:sz w:val="24"/>
          <w:highlight w:val="none"/>
          <w:lang w:bidi="ar"/>
        </w:rPr>
        <w:t>.5、可以通过软件直接调节激光器功率，以适应不同类型实验样本检测；</w:t>
      </w:r>
    </w:p>
    <w:p w14:paraId="451E671F">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6、数据分析及导出：支持边采集边分析的实时数据分析，支持手动更新参考光谱或实时自动更新参考光谱两种模式；支持1XN、NXN图，可实现快速新建图及批量切换分析通道；实时支持导出及导入FCS文件分析；支持导出及导入光谱库；支持导出csv、模板、不同格式图片，可编辑并导出定制PDF数据报告 。</w:t>
      </w:r>
    </w:p>
    <w:p w14:paraId="21780A29">
      <w:pPr>
        <w:widowControl/>
        <w:shd w:val="clear" w:color="auto" w:fill="auto"/>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.7、配套电脑：性能不低于Intel core i9处理器，≥64 GB RAM，≥256G SSD+16T HDD硬盘驱动器；≥27英寸平板显示器（分辨率 ≥2560×1440）；正版Windows 10专业版（64位）及以上；</w:t>
      </w:r>
    </w:p>
    <w:p w14:paraId="235CF850">
      <w:pPr>
        <w:widowControl/>
        <w:shd w:val="clear" w:color="auto" w:fill="auto"/>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3</w:t>
      </w:r>
      <w:r>
        <w:rPr>
          <w:rFonts w:hint="eastAsia" w:ascii="仿宋" w:hAnsi="仿宋" w:eastAsia="仿宋" w:cs="仿宋"/>
          <w:b/>
          <w:bCs/>
          <w:color w:val="000000"/>
          <w:kern w:val="0"/>
          <w:sz w:val="24"/>
          <w:highlight w:val="none"/>
          <w:lang w:bidi="ar"/>
        </w:rPr>
        <w:t>.8、自动加样器：兼容各种上样管，实现40管流式管/EP管及24/48/96/384孔板的高速上样，满足高通量检测需求；</w:t>
      </w:r>
    </w:p>
    <w:p w14:paraId="0415381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E32D76"/>
    <w:rsid w:val="747A0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uiPriority w:val="0"/>
    <w:pPr>
      <w:ind w:firstLine="420" w:firstLineChars="200"/>
    </w:pPr>
  </w:style>
  <w:style w:type="paragraph" w:styleId="6">
    <w:name w:val="Body Text Indent"/>
    <w:basedOn w:val="1"/>
    <w:uiPriority w:val="0"/>
    <w:pPr>
      <w:spacing w:after="120" w:afterLines="0" w:afterAutospacing="0"/>
      <w:ind w:left="420" w:leftChars="200"/>
    </w:pPr>
  </w:style>
  <w:style w:type="paragraph" w:styleId="7">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2025-05-07T02:39:00Z</dcterms:created>
  <dc:creator>Lenovo</dc:creator>
  <cp:lastModifiedBy>豆奶是个小胖子</cp:lastModifiedBy>
  <dcterms:modified xsi:type="dcterms:W3CDTF">2025-10-30T09:55:48Z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D323BED4188548F7B9F5AA7631948CC4_12</vt:lpwstr>
  </property>
  <property fmtid="{D5CDD505-2E9C-101B-9397-08002B2CF9AE}" pid="4" name="KSOTemplateDocerSaveRecord">
    <vt:lpwstr>eyJoZGlkIjoiNDAzNTQ2YzQzMjg1Y2RiZDM0NWYxOWI5N2Q4ZWNmMTEiLCJ1c2VySWQiOiIzMDI3OTc1ODcifQ==</vt:lpwstr>
  </property>
</Properties>
</file>