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E3639">
      <w:pPr>
        <w:spacing w:line="360" w:lineRule="auto"/>
        <w:rPr>
          <w:rFonts w:asciiTheme="minorEastAsia" w:hAnsiTheme="minorEastAsia" w:eastAsiaTheme="minorEastAsia"/>
          <w:b/>
          <w:color w:val="auto"/>
          <w:sz w:val="21"/>
          <w:szCs w:val="16"/>
          <w:highlight w:val="none"/>
        </w:rPr>
      </w:pPr>
      <w:r>
        <w:rPr>
          <w:rFonts w:hint="eastAsia" w:asciiTheme="minorEastAsia" w:hAnsiTheme="minorEastAsia" w:eastAsiaTheme="minorEastAsia"/>
          <w:b/>
          <w:color w:val="auto"/>
          <w:sz w:val="21"/>
          <w:szCs w:val="16"/>
          <w:highlight w:val="none"/>
        </w:rPr>
        <w:t>前注：</w:t>
      </w:r>
    </w:p>
    <w:p w14:paraId="648A9894">
      <w:pPr>
        <w:spacing w:line="360" w:lineRule="auto"/>
        <w:ind w:firstLine="435"/>
        <w:rPr>
          <w:rFonts w:ascii="宋体" w:hAnsi="宋体" w:eastAsia="宋体"/>
          <w:color w:val="auto"/>
          <w:sz w:val="21"/>
          <w:szCs w:val="15"/>
          <w:highlight w:val="none"/>
        </w:rPr>
      </w:pPr>
      <w:r>
        <w:rPr>
          <w:rFonts w:hint="eastAsia" w:asciiTheme="minorEastAsia" w:hAnsiTheme="minorEastAsia" w:eastAsiaTheme="minorEastAsia"/>
          <w:color w:val="auto"/>
          <w:sz w:val="21"/>
          <w:szCs w:val="16"/>
          <w:highlight w:val="none"/>
        </w:rPr>
        <w:t>1.</w:t>
      </w:r>
      <w:r>
        <w:rPr>
          <w:rFonts w:ascii="宋体" w:hAnsi="宋体" w:eastAsia="宋体"/>
          <w:color w:val="auto"/>
          <w:sz w:val="21"/>
          <w:szCs w:val="15"/>
          <w:highlight w:val="none"/>
        </w:rPr>
        <w:t>根据《</w:t>
      </w:r>
      <w:r>
        <w:rPr>
          <w:rFonts w:hint="eastAsia" w:ascii="宋体" w:hAnsi="宋体" w:eastAsia="宋体"/>
          <w:color w:val="auto"/>
          <w:sz w:val="21"/>
          <w:szCs w:val="15"/>
          <w:highlight w:val="none"/>
        </w:rPr>
        <w:t>政府采购进口产品管理办法</w:t>
      </w:r>
      <w:r>
        <w:rPr>
          <w:rFonts w:ascii="宋体" w:hAnsi="宋体" w:eastAsia="宋体"/>
          <w:color w:val="auto"/>
          <w:sz w:val="21"/>
          <w:szCs w:val="15"/>
          <w:highlight w:val="none"/>
        </w:rPr>
        <w:t>》及政府采购管理部门的相关规定，下列采购需求中</w:t>
      </w:r>
      <w:r>
        <w:rPr>
          <w:rFonts w:hint="eastAsia" w:ascii="宋体" w:hAnsi="宋体" w:eastAsia="宋体"/>
          <w:color w:val="auto"/>
          <w:sz w:val="21"/>
          <w:szCs w:val="15"/>
          <w:highlight w:val="none"/>
        </w:rPr>
        <w:t>标注进口产品的货物均</w:t>
      </w:r>
      <w:r>
        <w:rPr>
          <w:rFonts w:ascii="宋体" w:hAnsi="宋体" w:eastAsia="宋体"/>
          <w:color w:val="auto"/>
          <w:sz w:val="21"/>
          <w:szCs w:val="15"/>
          <w:highlight w:val="none"/>
        </w:rPr>
        <w:t>已履行相关论证手续，经核准采购进口</w:t>
      </w:r>
      <w:r>
        <w:rPr>
          <w:rFonts w:hint="eastAsia" w:ascii="宋体" w:hAnsi="宋体" w:eastAsia="宋体"/>
          <w:color w:val="auto"/>
          <w:sz w:val="21"/>
          <w:szCs w:val="15"/>
          <w:highlight w:val="none"/>
        </w:rPr>
        <w:t>产品</w:t>
      </w:r>
      <w:r>
        <w:rPr>
          <w:rFonts w:ascii="宋体" w:hAnsi="宋体" w:eastAsia="宋体"/>
          <w:color w:val="auto"/>
          <w:sz w:val="21"/>
          <w:szCs w:val="15"/>
          <w:highlight w:val="none"/>
        </w:rPr>
        <w:t>，但不限制满足招标文件要求的国内产品参与竞争</w:t>
      </w:r>
      <w:r>
        <w:rPr>
          <w:rFonts w:hint="eastAsia" w:ascii="宋体" w:hAnsi="宋体" w:eastAsia="宋体"/>
          <w:color w:val="auto"/>
          <w:sz w:val="21"/>
          <w:szCs w:val="15"/>
          <w:highlight w:val="none"/>
        </w:rPr>
        <w:t>。未标注进口产品的货物均</w:t>
      </w:r>
      <w:r>
        <w:rPr>
          <w:rFonts w:ascii="宋体" w:hAnsi="宋体" w:eastAsia="宋体"/>
          <w:color w:val="auto"/>
          <w:sz w:val="21"/>
          <w:szCs w:val="15"/>
          <w:highlight w:val="none"/>
        </w:rPr>
        <w:t>为拒绝采购进口产品</w:t>
      </w:r>
      <w:r>
        <w:rPr>
          <w:rFonts w:hint="eastAsia" w:ascii="宋体" w:hAnsi="宋体" w:eastAsia="宋体"/>
          <w:color w:val="auto"/>
          <w:sz w:val="21"/>
          <w:szCs w:val="15"/>
          <w:highlight w:val="none"/>
        </w:rPr>
        <w:t>。</w:t>
      </w:r>
    </w:p>
    <w:p w14:paraId="3D19009F">
      <w:pPr>
        <w:spacing w:line="360" w:lineRule="auto"/>
        <w:ind w:firstLine="435"/>
        <w:rPr>
          <w:rFonts w:hint="eastAsia" w:ascii="宋体" w:hAnsi="宋体" w:eastAsia="宋体"/>
          <w:color w:val="auto"/>
          <w:sz w:val="21"/>
          <w:szCs w:val="15"/>
          <w:highlight w:val="none"/>
        </w:rPr>
      </w:pPr>
      <w:r>
        <w:rPr>
          <w:rFonts w:hint="eastAsia" w:ascii="宋体" w:hAnsi="宋体" w:eastAsia="宋体"/>
          <w:color w:val="auto"/>
          <w:sz w:val="21"/>
          <w:szCs w:val="15"/>
          <w:highlight w:val="none"/>
        </w:rPr>
        <w:t>2</w:t>
      </w:r>
      <w:r>
        <w:rPr>
          <w:rFonts w:hint="eastAsia" w:ascii="宋体" w:hAnsi="宋体" w:eastAsia="宋体"/>
          <w:color w:val="auto"/>
          <w:sz w:val="21"/>
          <w:szCs w:val="15"/>
          <w:highlight w:val="none"/>
          <w:lang w:eastAsia="zh-CN"/>
        </w:rPr>
        <w:t>.</w:t>
      </w:r>
      <w:r>
        <w:rPr>
          <w:rFonts w:ascii="宋体" w:hAnsi="宋体" w:eastAsia="宋体" w:cs="宋体"/>
          <w:sz w:val="21"/>
          <w:szCs w:val="21"/>
          <w:highlight w:val="none"/>
        </w:rPr>
        <w:t>政府采购政策（包括但不限于下列具体政策要求</w:t>
      </w:r>
      <w:r>
        <w:rPr>
          <w:rFonts w:hint="eastAsia" w:ascii="宋体" w:hAnsi="宋体" w:eastAsia="宋体" w:cs="宋体"/>
          <w:sz w:val="21"/>
          <w:szCs w:val="21"/>
          <w:highlight w:val="none"/>
          <w:lang w:eastAsia="zh-CN"/>
        </w:rPr>
        <w:t>）</w:t>
      </w:r>
      <w:r>
        <w:rPr>
          <w:rFonts w:hint="eastAsia" w:ascii="宋体" w:hAnsi="宋体" w:eastAsia="宋体"/>
          <w:color w:val="auto"/>
          <w:sz w:val="21"/>
          <w:szCs w:val="15"/>
          <w:highlight w:val="none"/>
        </w:rPr>
        <w:t>：</w:t>
      </w:r>
    </w:p>
    <w:p w14:paraId="471EC60B">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99BB425">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1C7F3E8">
      <w:pPr>
        <w:spacing w:line="360" w:lineRule="auto"/>
        <w:ind w:firstLine="435"/>
        <w:rPr>
          <w:rFonts w:hint="eastAsia" w:ascii="宋体" w:hAnsi="宋体" w:eastAsia="宋体"/>
          <w:color w:val="auto"/>
          <w:sz w:val="21"/>
          <w:szCs w:val="15"/>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olor w:val="auto"/>
          <w:sz w:val="21"/>
          <w:szCs w:val="15"/>
          <w:highlight w:val="none"/>
        </w:rPr>
        <w:t>如采购人允许采用分包方式履行合同的，应当明确可以分包履行的相关内容。</w:t>
      </w:r>
    </w:p>
    <w:p w14:paraId="0A603A90">
      <w:pPr>
        <w:spacing w:line="360" w:lineRule="auto"/>
        <w:ind w:firstLine="435"/>
        <w:rPr>
          <w:rFonts w:hint="default" w:ascii="宋体" w:hAnsi="宋体" w:eastAsia="宋体"/>
          <w:color w:val="auto"/>
          <w:sz w:val="21"/>
          <w:szCs w:val="15"/>
          <w:highlight w:val="none"/>
          <w:lang w:val="en-US" w:eastAsia="zh-CN"/>
        </w:rPr>
      </w:pPr>
      <w:r>
        <w:rPr>
          <w:rFonts w:hint="eastAsia" w:ascii="宋体" w:hAnsi="宋体" w:eastAsia="宋体"/>
          <w:color w:val="auto"/>
          <w:sz w:val="21"/>
          <w:szCs w:val="15"/>
          <w:highlight w:val="none"/>
          <w:lang w:val="en-US" w:eastAsia="zh-CN"/>
        </w:rPr>
        <w:t>4.下列采购需求中：标注▲的产品为核心产品（主要中标标的）。</w:t>
      </w:r>
    </w:p>
    <w:p w14:paraId="30B0ED33">
      <w:pPr>
        <w:spacing w:line="360" w:lineRule="auto"/>
        <w:ind w:firstLine="437"/>
        <w:outlineLvl w:val="1"/>
        <w:rPr>
          <w:rFonts w:ascii="宋体" w:hAnsi="宋体" w:eastAsia="宋体"/>
          <w:b/>
          <w:color w:val="auto"/>
          <w:sz w:val="21"/>
          <w:szCs w:val="21"/>
          <w:highlight w:val="none"/>
        </w:rPr>
      </w:pPr>
      <w:bookmarkStart w:id="0" w:name="_Toc2554"/>
      <w:bookmarkStart w:id="1" w:name="_Toc1407"/>
      <w:bookmarkStart w:id="2" w:name="_Toc32151"/>
      <w:r>
        <w:rPr>
          <w:rFonts w:hint="eastAsia" w:ascii="宋体" w:hAnsi="宋体" w:eastAsia="宋体"/>
          <w:b/>
          <w:color w:val="auto"/>
          <w:sz w:val="21"/>
          <w:szCs w:val="21"/>
          <w:highlight w:val="none"/>
        </w:rPr>
        <w:t>一、采购需求前附表</w:t>
      </w:r>
      <w:bookmarkEnd w:id="0"/>
      <w:bookmarkEnd w:id="1"/>
      <w:bookmarkEnd w:id="2"/>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3BA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188398">
            <w:pPr>
              <w:pStyle w:val="6"/>
              <w:pBdr>
                <w:bottom w:val="none" w:color="auto" w:sz="0" w:space="0"/>
              </w:pBdr>
              <w:tabs>
                <w:tab w:val="clear" w:pos="4153"/>
                <w:tab w:val="clear" w:pos="8306"/>
              </w:tabs>
              <w:adjustRightInd/>
              <w:spacing w:line="240" w:lineRule="auto"/>
              <w:textAlignment w:val="auto"/>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序号</w:t>
            </w:r>
          </w:p>
        </w:tc>
        <w:tc>
          <w:tcPr>
            <w:tcW w:w="1192" w:type="pct"/>
            <w:vAlign w:val="center"/>
          </w:tcPr>
          <w:p w14:paraId="200C6B67">
            <w:pPr>
              <w:pStyle w:val="7"/>
              <w:widowControl w:val="0"/>
              <w:spacing w:before="0" w:beforeAutospacing="0" w:after="0" w:afterAutospacing="0" w:line="360" w:lineRule="auto"/>
              <w:rPr>
                <w:rFonts w:ascii="宋体" w:hAnsi="宋体" w:eastAsia="宋体"/>
                <w:bCs w:val="0"/>
                <w:color w:val="auto"/>
                <w:sz w:val="21"/>
                <w:szCs w:val="21"/>
                <w:highlight w:val="none"/>
              </w:rPr>
            </w:pPr>
            <w:r>
              <w:rPr>
                <w:rFonts w:hint="eastAsia" w:ascii="宋体" w:hAnsi="宋体" w:eastAsia="宋体"/>
                <w:bCs w:val="0"/>
                <w:color w:val="auto"/>
                <w:sz w:val="21"/>
                <w:szCs w:val="21"/>
                <w:highlight w:val="none"/>
              </w:rPr>
              <w:t>条款名称</w:t>
            </w:r>
          </w:p>
        </w:tc>
        <w:tc>
          <w:tcPr>
            <w:tcW w:w="3216" w:type="pct"/>
            <w:vAlign w:val="center"/>
          </w:tcPr>
          <w:p w14:paraId="1E08E055">
            <w:pPr>
              <w:pStyle w:val="7"/>
              <w:widowControl w:val="0"/>
              <w:spacing w:before="0" w:beforeAutospacing="0" w:after="0" w:afterAutospacing="0" w:line="360" w:lineRule="auto"/>
              <w:rPr>
                <w:rFonts w:ascii="宋体" w:hAnsi="宋体" w:eastAsia="宋体"/>
                <w:bCs w:val="0"/>
                <w:color w:val="auto"/>
                <w:sz w:val="21"/>
                <w:szCs w:val="21"/>
                <w:highlight w:val="none"/>
              </w:rPr>
            </w:pPr>
            <w:r>
              <w:rPr>
                <w:rFonts w:hint="eastAsia" w:ascii="宋体" w:hAnsi="宋体" w:eastAsia="宋体"/>
                <w:bCs w:val="0"/>
                <w:color w:val="auto"/>
                <w:sz w:val="21"/>
                <w:szCs w:val="21"/>
                <w:highlight w:val="none"/>
              </w:rPr>
              <w:t>内容、说明与要求</w:t>
            </w:r>
          </w:p>
        </w:tc>
      </w:tr>
      <w:tr w14:paraId="20CF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4D6A7A7">
            <w:pPr>
              <w:pStyle w:val="6"/>
              <w:pBdr>
                <w:bottom w:val="none" w:color="auto" w:sz="0" w:space="0"/>
              </w:pBdr>
              <w:tabs>
                <w:tab w:val="clear" w:pos="4153"/>
                <w:tab w:val="clear" w:pos="8306"/>
              </w:tabs>
              <w:adjustRightInd/>
              <w:spacing w:line="240" w:lineRule="auto"/>
              <w:textAlignment w:val="auto"/>
              <w:rPr>
                <w:rFonts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1</w:t>
            </w:r>
          </w:p>
        </w:tc>
        <w:tc>
          <w:tcPr>
            <w:tcW w:w="1192" w:type="pct"/>
            <w:vAlign w:val="center"/>
          </w:tcPr>
          <w:p w14:paraId="7EA999D1">
            <w:pPr>
              <w:pStyle w:val="7"/>
              <w:widowControl w:val="0"/>
              <w:spacing w:before="0" w:beforeAutospacing="0" w:after="0" w:afterAutospacing="0" w:line="360" w:lineRule="auto"/>
              <w:rPr>
                <w:rFonts w:ascii="宋体" w:hAnsi="宋体" w:eastAsia="宋体"/>
                <w:b w:val="0"/>
                <w:color w:val="auto"/>
                <w:sz w:val="21"/>
                <w:szCs w:val="21"/>
                <w:highlight w:val="none"/>
              </w:rPr>
            </w:pPr>
            <w:r>
              <w:rPr>
                <w:rFonts w:hint="eastAsia" w:ascii="宋体" w:hAnsi="宋体" w:eastAsia="宋体"/>
                <w:b w:val="0"/>
                <w:color w:val="auto"/>
                <w:sz w:val="21"/>
                <w:szCs w:val="21"/>
                <w:highlight w:val="none"/>
              </w:rPr>
              <w:t>付款方式</w:t>
            </w:r>
          </w:p>
        </w:tc>
        <w:tc>
          <w:tcPr>
            <w:tcW w:w="5484" w:type="dxa"/>
            <w:vAlign w:val="center"/>
          </w:tcPr>
          <w:p w14:paraId="3403C5AE">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合同生效后，采购人付至合同价的 50%</w:t>
            </w:r>
            <w:r>
              <w:rPr>
                <w:rFonts w:hint="eastAsia" w:asciiTheme="minorEastAsia" w:hAnsiTheme="minorEastAsia" w:eastAsiaTheme="minorEastAsia" w:cstheme="minorEastAsia"/>
                <w:b/>
                <w:bCs/>
                <w:sz w:val="21"/>
                <w:szCs w:val="21"/>
                <w:highlight w:val="none"/>
              </w:rPr>
              <w:t>（中标人须提供等额预付款担保）</w:t>
            </w:r>
            <w:r>
              <w:rPr>
                <w:rFonts w:hint="eastAsia" w:asciiTheme="minorEastAsia" w:hAnsiTheme="minorEastAsia" w:eastAsiaTheme="minorEastAsia" w:cstheme="minorEastAsia"/>
                <w:b w:val="0"/>
                <w:bCs w:val="0"/>
                <w:sz w:val="21"/>
                <w:szCs w:val="21"/>
                <w:highlight w:val="none"/>
              </w:rPr>
              <w:t>，项目经验收合格且相关资料齐备己移交后，一次性付清合同价款。</w:t>
            </w:r>
          </w:p>
          <w:p w14:paraId="52DF2738">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注：</w:t>
            </w:r>
          </w:p>
          <w:p w14:paraId="6793F961">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（1）中标人未按规定提供预付款担保的，视为放弃预付款；</w:t>
            </w:r>
          </w:p>
          <w:p w14:paraId="016E8359">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Theme="minorEastAsia" w:hAnsiTheme="minorEastAsia" w:eastAsiaTheme="minorEastAsia" w:cstheme="minorEastAsia"/>
                <w:b w:val="0"/>
                <w:bCs w:val="0"/>
                <w:color w:val="auto"/>
                <w:sz w:val="21"/>
                <w:szCs w:val="21"/>
                <w:highlight w:val="none"/>
                <w:u w:val="single"/>
              </w:rPr>
            </w:pPr>
            <w:r>
              <w:rPr>
                <w:rFonts w:hint="eastAsia" w:asciiTheme="minorEastAsia" w:hAnsiTheme="minorEastAsia" w:eastAsiaTheme="minorEastAsia" w:cstheme="minorEastAsia"/>
                <w:b w:val="0"/>
                <w:bCs w:val="0"/>
                <w:sz w:val="21"/>
                <w:szCs w:val="21"/>
              </w:rPr>
              <w:t>（2）预付款担保要求：如采用银行保函、担保机构出具的保函（担保机构担保）均须满足无条件见索即付条件。</w:t>
            </w:r>
          </w:p>
        </w:tc>
      </w:tr>
      <w:tr w14:paraId="54BA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BFF4145">
            <w:pPr>
              <w:pStyle w:val="6"/>
              <w:pBdr>
                <w:bottom w:val="none" w:color="auto" w:sz="0" w:space="0"/>
              </w:pBdr>
              <w:tabs>
                <w:tab w:val="clear" w:pos="4153"/>
                <w:tab w:val="clear" w:pos="8306"/>
              </w:tabs>
              <w:adjustRightInd/>
              <w:spacing w:line="240" w:lineRule="auto"/>
              <w:textAlignment w:val="auto"/>
              <w:rPr>
                <w:rFonts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2</w:t>
            </w:r>
          </w:p>
        </w:tc>
        <w:tc>
          <w:tcPr>
            <w:tcW w:w="1192" w:type="pct"/>
            <w:vAlign w:val="center"/>
          </w:tcPr>
          <w:p w14:paraId="400801A7">
            <w:pPr>
              <w:pStyle w:val="7"/>
              <w:widowControl w:val="0"/>
              <w:spacing w:before="0" w:beforeAutospacing="0" w:after="0" w:afterAutospacing="0" w:line="360" w:lineRule="auto"/>
              <w:rPr>
                <w:rFonts w:ascii="宋体" w:hAnsi="宋体" w:eastAsia="宋体"/>
                <w:b w:val="0"/>
                <w:color w:val="auto"/>
                <w:sz w:val="21"/>
                <w:szCs w:val="21"/>
                <w:highlight w:val="none"/>
              </w:rPr>
            </w:pPr>
            <w:r>
              <w:rPr>
                <w:rFonts w:hint="eastAsia" w:ascii="宋体" w:hAnsi="宋体" w:eastAsia="宋体"/>
                <w:b w:val="0"/>
                <w:color w:val="auto"/>
                <w:sz w:val="21"/>
                <w:szCs w:val="21"/>
                <w:highlight w:val="none"/>
              </w:rPr>
              <w:t>供货及安装地点</w:t>
            </w:r>
          </w:p>
        </w:tc>
        <w:tc>
          <w:tcPr>
            <w:tcW w:w="5484" w:type="dxa"/>
            <w:vAlign w:val="center"/>
          </w:tcPr>
          <w:p w14:paraId="008E1630">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sz w:val="21"/>
                <w:szCs w:val="21"/>
              </w:rPr>
              <w:t>安徽省内（包括16个地市及所辖县区），具体按采购人指定地点。</w:t>
            </w:r>
          </w:p>
        </w:tc>
      </w:tr>
      <w:tr w14:paraId="453D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9C64E8A">
            <w:pPr>
              <w:pStyle w:val="6"/>
              <w:pBdr>
                <w:bottom w:val="none" w:color="auto" w:sz="0" w:space="0"/>
              </w:pBdr>
              <w:tabs>
                <w:tab w:val="clear" w:pos="4153"/>
                <w:tab w:val="clear" w:pos="8306"/>
              </w:tabs>
              <w:adjustRightInd/>
              <w:spacing w:line="240" w:lineRule="auto"/>
              <w:textAlignment w:val="auto"/>
              <w:rPr>
                <w:rFonts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3</w:t>
            </w:r>
          </w:p>
        </w:tc>
        <w:tc>
          <w:tcPr>
            <w:tcW w:w="1192" w:type="pct"/>
            <w:vAlign w:val="center"/>
          </w:tcPr>
          <w:p w14:paraId="28D0729D">
            <w:pPr>
              <w:pStyle w:val="7"/>
              <w:widowControl w:val="0"/>
              <w:spacing w:before="0" w:beforeAutospacing="0" w:after="0" w:afterAutospacing="0" w:line="360" w:lineRule="auto"/>
              <w:rPr>
                <w:rFonts w:ascii="宋体" w:hAnsi="宋体" w:eastAsia="宋体"/>
                <w:b w:val="0"/>
                <w:color w:val="auto"/>
                <w:sz w:val="21"/>
                <w:szCs w:val="21"/>
                <w:highlight w:val="none"/>
              </w:rPr>
            </w:pPr>
            <w:r>
              <w:rPr>
                <w:rFonts w:hint="eastAsia" w:ascii="宋体" w:hAnsi="宋体" w:eastAsia="宋体"/>
                <w:b w:val="0"/>
                <w:color w:val="auto"/>
                <w:sz w:val="21"/>
                <w:szCs w:val="21"/>
                <w:highlight w:val="none"/>
              </w:rPr>
              <w:t>供货及安装期限</w:t>
            </w:r>
          </w:p>
        </w:tc>
        <w:tc>
          <w:tcPr>
            <w:tcW w:w="5484" w:type="dxa"/>
            <w:vAlign w:val="center"/>
          </w:tcPr>
          <w:p w14:paraId="64A45A16">
            <w:pPr>
              <w:keepNext w:val="0"/>
              <w:keepLines w:val="0"/>
              <w:pageBreakBefore w:val="0"/>
              <w:widowControl/>
              <w:kinsoku/>
              <w:wordWrap/>
              <w:overflowPunct/>
              <w:topLinePunct w:val="0"/>
              <w:autoSpaceDE/>
              <w:autoSpaceDN/>
              <w:bidi w:val="0"/>
              <w:adjustRightInd w:val="0"/>
              <w:snapToGrid w:val="0"/>
              <w:spacing w:beforeAutospacing="0" w:afterAutospacing="0" w:line="300" w:lineRule="auto"/>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sz w:val="21"/>
                <w:szCs w:val="21"/>
              </w:rPr>
              <w:t>合同生效后，接采购人通知起每批次60个日历天内，完成供货、安装、调试及试运行。</w:t>
            </w:r>
          </w:p>
        </w:tc>
      </w:tr>
      <w:tr w14:paraId="1661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A86A6BE">
            <w:pPr>
              <w:pStyle w:val="6"/>
              <w:pBdr>
                <w:bottom w:val="none" w:color="auto" w:sz="0" w:space="0"/>
              </w:pBdr>
              <w:tabs>
                <w:tab w:val="clear" w:pos="4153"/>
                <w:tab w:val="clear" w:pos="8306"/>
              </w:tabs>
              <w:adjustRightInd/>
              <w:spacing w:line="240" w:lineRule="auto"/>
              <w:textAlignment w:val="auto"/>
              <w:rPr>
                <w:rFonts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4</w:t>
            </w:r>
          </w:p>
        </w:tc>
        <w:tc>
          <w:tcPr>
            <w:tcW w:w="1192" w:type="pct"/>
            <w:vAlign w:val="center"/>
          </w:tcPr>
          <w:p w14:paraId="6BA5A37C">
            <w:pPr>
              <w:pStyle w:val="7"/>
              <w:widowControl w:val="0"/>
              <w:spacing w:before="0" w:beforeAutospacing="0" w:after="0" w:afterAutospacing="0" w:line="360" w:lineRule="auto"/>
              <w:rPr>
                <w:rFonts w:ascii="宋体" w:hAnsi="宋体" w:eastAsia="宋体"/>
                <w:b w:val="0"/>
                <w:color w:val="auto"/>
                <w:sz w:val="21"/>
                <w:szCs w:val="21"/>
                <w:highlight w:val="none"/>
              </w:rPr>
            </w:pPr>
            <w:r>
              <w:rPr>
                <w:rFonts w:hint="eastAsia" w:ascii="宋体" w:hAnsi="宋体" w:eastAsia="宋体"/>
                <w:b w:val="0"/>
                <w:color w:val="auto"/>
                <w:sz w:val="21"/>
                <w:szCs w:val="21"/>
                <w:highlight w:val="none"/>
              </w:rPr>
              <w:t>免费质保期</w:t>
            </w:r>
          </w:p>
        </w:tc>
        <w:tc>
          <w:tcPr>
            <w:tcW w:w="5484" w:type="dxa"/>
            <w:vAlign w:val="center"/>
          </w:tcPr>
          <w:p w14:paraId="0D94A51E">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000000"/>
                <w:sz w:val="21"/>
                <w:szCs w:val="21"/>
              </w:rPr>
              <w:t>全部货物供货完毕且验收合格之日起，12个月。</w:t>
            </w:r>
          </w:p>
        </w:tc>
      </w:tr>
    </w:tbl>
    <w:p w14:paraId="3E806DB2">
      <w:pPr>
        <w:spacing w:line="360" w:lineRule="auto"/>
        <w:ind w:firstLine="437"/>
        <w:outlineLvl w:val="1"/>
        <w:rPr>
          <w:rFonts w:hint="eastAsia" w:ascii="宋体" w:hAnsi="宋体" w:eastAsia="宋体"/>
          <w:b/>
          <w:bCs/>
          <w:color w:val="auto"/>
          <w:sz w:val="21"/>
          <w:szCs w:val="21"/>
          <w:highlight w:val="none"/>
        </w:rPr>
      </w:pPr>
      <w:bookmarkStart w:id="3" w:name="_Toc31097"/>
      <w:bookmarkStart w:id="4" w:name="_Toc7671"/>
      <w:bookmarkStart w:id="5" w:name="_Toc5944"/>
      <w:r>
        <w:rPr>
          <w:rFonts w:hint="eastAsia" w:ascii="宋体" w:hAnsi="宋体" w:eastAsia="宋体"/>
          <w:b/>
          <w:bCs/>
          <w:color w:val="auto"/>
          <w:sz w:val="21"/>
          <w:szCs w:val="21"/>
          <w:highlight w:val="none"/>
        </w:rPr>
        <w:t>二、</w:t>
      </w:r>
      <w:r>
        <w:rPr>
          <w:rFonts w:hint="eastAsia" w:ascii="宋体" w:hAnsi="宋体" w:eastAsia="宋体"/>
          <w:b/>
          <w:color w:val="auto"/>
          <w:sz w:val="21"/>
          <w:szCs w:val="21"/>
          <w:highlight w:val="none"/>
        </w:rPr>
        <w:t>货物</w:t>
      </w:r>
      <w:r>
        <w:rPr>
          <w:rFonts w:hint="eastAsia" w:ascii="宋体" w:hAnsi="宋体" w:eastAsia="宋体"/>
          <w:b/>
          <w:bCs/>
          <w:color w:val="auto"/>
          <w:sz w:val="21"/>
          <w:szCs w:val="21"/>
          <w:highlight w:val="none"/>
        </w:rPr>
        <w:t>需求</w:t>
      </w:r>
      <w:bookmarkEnd w:id="3"/>
      <w:bookmarkEnd w:id="4"/>
      <w:bookmarkEnd w:id="5"/>
    </w:p>
    <w:p w14:paraId="6C3D332C">
      <w:pPr>
        <w:widowControl/>
        <w:wordWrap/>
        <w:ind w:firstLine="422" w:firstLineChars="200"/>
        <w:outlineLvl w:val="2"/>
        <w:rPr>
          <w:rFonts w:hint="eastAsia" w:ascii="宋体" w:hAnsi="宋体" w:eastAsia="宋体" w:cs="宋体"/>
          <w:b/>
          <w:bCs/>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sz w:val="21"/>
          <w:szCs w:val="21"/>
          <w:highlight w:val="none"/>
        </w:rPr>
        <w:t>标识符号</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3F09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69E444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标识类型</w:t>
            </w:r>
          </w:p>
        </w:tc>
        <w:tc>
          <w:tcPr>
            <w:tcW w:w="1365" w:type="dxa"/>
            <w:noWrap w:val="0"/>
            <w:vAlign w:val="center"/>
          </w:tcPr>
          <w:p w14:paraId="5A1C0A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标识符号</w:t>
            </w:r>
          </w:p>
        </w:tc>
        <w:tc>
          <w:tcPr>
            <w:tcW w:w="5363" w:type="dxa"/>
            <w:noWrap w:val="0"/>
            <w:vAlign w:val="center"/>
          </w:tcPr>
          <w:p w14:paraId="144C8C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标识符号含义</w:t>
            </w:r>
          </w:p>
        </w:tc>
      </w:tr>
      <w:tr w14:paraId="24BF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shd w:val="clear" w:color="auto" w:fill="auto"/>
            <w:noWrap w:val="0"/>
            <w:vAlign w:val="center"/>
          </w:tcPr>
          <w:p w14:paraId="70CED31E">
            <w:pPr>
              <w:keepNext w:val="0"/>
              <w:keepLines w:val="0"/>
              <w:pageBreakBefore w:val="0"/>
              <w:widowControl w:val="0"/>
              <w:kinsoku/>
              <w:overflowPunct/>
              <w:topLinePunct w:val="0"/>
              <w:autoSpaceDE/>
              <w:autoSpaceDN/>
              <w:bidi w:val="0"/>
              <w:adjustRightInd w:val="0"/>
              <w:snapToGrid w:val="0"/>
              <w:spacing w:line="30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实质性参数</w:t>
            </w:r>
          </w:p>
        </w:tc>
        <w:tc>
          <w:tcPr>
            <w:tcW w:w="1365" w:type="dxa"/>
            <w:shd w:val="clear" w:color="auto" w:fill="auto"/>
            <w:noWrap w:val="0"/>
            <w:vAlign w:val="center"/>
          </w:tcPr>
          <w:p w14:paraId="710E1A75">
            <w:pPr>
              <w:keepNext w:val="0"/>
              <w:keepLines w:val="0"/>
              <w:pageBreakBefore w:val="0"/>
              <w:widowControl w:val="0"/>
              <w:kinsoku/>
              <w:overflowPunct/>
              <w:topLinePunct w:val="0"/>
              <w:autoSpaceDE/>
              <w:autoSpaceDN/>
              <w:bidi w:val="0"/>
              <w:adjustRightInd w:val="0"/>
              <w:snapToGrid w:val="0"/>
              <w:spacing w:line="300" w:lineRule="auto"/>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w:t>
            </w:r>
          </w:p>
        </w:tc>
        <w:tc>
          <w:tcPr>
            <w:tcW w:w="5363" w:type="dxa"/>
            <w:shd w:val="clear" w:color="auto" w:fill="auto"/>
            <w:noWrap w:val="0"/>
            <w:vAlign w:val="center"/>
          </w:tcPr>
          <w:p w14:paraId="4C7E90F5">
            <w:pPr>
              <w:keepNext w:val="0"/>
              <w:keepLines w:val="0"/>
              <w:pageBreakBefore w:val="0"/>
              <w:widowControl w:val="0"/>
              <w:kinsoku/>
              <w:overflowPunct/>
              <w:topLinePunct w:val="0"/>
              <w:autoSpaceDE/>
              <w:autoSpaceDN/>
              <w:bidi w:val="0"/>
              <w:adjustRightInd w:val="0"/>
              <w:snapToGrid w:val="0"/>
              <w:spacing w:line="300" w:lineRule="auto"/>
              <w:jc w:val="center"/>
              <w:textAlignment w:val="auto"/>
              <w:rPr>
                <w:rFonts w:hint="eastAsia" w:ascii="宋体" w:hAnsi="宋体" w:eastAsia="宋体" w:cs="宋体"/>
                <w:color w:val="FF0000"/>
                <w:kern w:val="2"/>
                <w:sz w:val="21"/>
                <w:szCs w:val="21"/>
                <w:lang w:val="en-US" w:eastAsia="zh-CN" w:bidi="ar-SA"/>
              </w:rPr>
            </w:pPr>
            <w:r>
              <w:rPr>
                <w:rFonts w:hint="eastAsia" w:ascii="宋体" w:hAnsi="宋体" w:eastAsia="宋体" w:cs="宋体"/>
                <w:bCs/>
                <w:color w:val="000000"/>
                <w:sz w:val="21"/>
                <w:szCs w:val="21"/>
                <w:highlight w:val="none"/>
                <w:lang w:val="en-US" w:eastAsia="zh-CN"/>
              </w:rPr>
              <w:t>符合性审查项，该指标项负偏离或未响应的，</w:t>
            </w:r>
            <w:r>
              <w:rPr>
                <w:rFonts w:hint="eastAsia" w:ascii="宋体" w:hAnsi="宋体" w:eastAsia="宋体" w:cs="宋体"/>
                <w:b/>
                <w:bCs w:val="0"/>
                <w:color w:val="000000"/>
                <w:sz w:val="21"/>
                <w:szCs w:val="21"/>
                <w:highlight w:val="none"/>
                <w:lang w:val="en-US" w:eastAsia="zh-CN"/>
              </w:rPr>
              <w:t>投标无效</w:t>
            </w:r>
            <w:r>
              <w:rPr>
                <w:rFonts w:hint="eastAsia" w:ascii="宋体" w:hAnsi="宋体" w:eastAsia="宋体" w:cs="宋体"/>
                <w:bCs/>
                <w:color w:val="000000"/>
                <w:sz w:val="21"/>
                <w:szCs w:val="21"/>
                <w:highlight w:val="none"/>
                <w:lang w:val="en-US" w:eastAsia="zh-CN"/>
              </w:rPr>
              <w:t>。</w:t>
            </w:r>
          </w:p>
        </w:tc>
      </w:tr>
      <w:tr w14:paraId="38B20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shd w:val="clear" w:color="auto" w:fill="auto"/>
            <w:noWrap w:val="0"/>
            <w:vAlign w:val="center"/>
          </w:tcPr>
          <w:p w14:paraId="5307EF19">
            <w:pPr>
              <w:keepNext w:val="0"/>
              <w:keepLines w:val="0"/>
              <w:pageBreakBefore w:val="0"/>
              <w:widowControl w:val="0"/>
              <w:kinsoku/>
              <w:overflowPunct/>
              <w:topLinePunct w:val="0"/>
              <w:autoSpaceDE/>
              <w:autoSpaceDN/>
              <w:bidi w:val="0"/>
              <w:adjustRightInd w:val="0"/>
              <w:snapToGrid w:val="0"/>
              <w:spacing w:line="30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重要参数</w:t>
            </w:r>
          </w:p>
        </w:tc>
        <w:tc>
          <w:tcPr>
            <w:tcW w:w="1365" w:type="dxa"/>
            <w:shd w:val="clear" w:color="auto" w:fill="auto"/>
            <w:noWrap w:val="0"/>
            <w:vAlign w:val="center"/>
          </w:tcPr>
          <w:p w14:paraId="7BC42D9C">
            <w:pPr>
              <w:keepNext w:val="0"/>
              <w:keepLines w:val="0"/>
              <w:pageBreakBefore w:val="0"/>
              <w:widowControl w:val="0"/>
              <w:kinsoku/>
              <w:overflowPunct/>
              <w:topLinePunct w:val="0"/>
              <w:autoSpaceDE/>
              <w:autoSpaceDN/>
              <w:bidi w:val="0"/>
              <w:adjustRightInd w:val="0"/>
              <w:snapToGrid w:val="0"/>
              <w:spacing w:line="300" w:lineRule="auto"/>
              <w:jc w:val="center"/>
              <w:textAlignment w:val="auto"/>
              <w:rPr>
                <w:rFonts w:hint="eastAsia" w:ascii="宋体" w:hAnsi="宋体" w:eastAsia="宋体" w:cs="宋体"/>
                <w:bCs/>
                <w:kern w:val="2"/>
                <w:sz w:val="21"/>
                <w:szCs w:val="21"/>
                <w:lang w:val="en-US" w:eastAsia="zh-CN" w:bidi="ar-SA"/>
              </w:rPr>
            </w:pPr>
            <w:r>
              <w:rPr>
                <w:rFonts w:hint="eastAsia" w:ascii="宋体" w:hAnsi="宋体" w:eastAsia="宋体" w:cs="宋体"/>
                <w:color w:val="000000"/>
                <w:sz w:val="21"/>
                <w:szCs w:val="21"/>
              </w:rPr>
              <w:t>■</w:t>
            </w:r>
          </w:p>
        </w:tc>
        <w:tc>
          <w:tcPr>
            <w:tcW w:w="5363" w:type="dxa"/>
            <w:shd w:val="clear" w:color="auto" w:fill="auto"/>
            <w:noWrap w:val="0"/>
            <w:vAlign w:val="center"/>
          </w:tcPr>
          <w:p w14:paraId="5AD917E0">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color w:val="000000"/>
                <w:sz w:val="21"/>
                <w:szCs w:val="21"/>
                <w:highlight w:val="none"/>
              </w:rPr>
              <w:t>评分项，</w:t>
            </w:r>
            <w:r>
              <w:rPr>
                <w:rFonts w:hint="eastAsia" w:ascii="宋体" w:hAnsi="宋体" w:eastAsia="宋体" w:cs="宋体"/>
                <w:color w:val="000000"/>
                <w:kern w:val="2"/>
                <w:sz w:val="21"/>
                <w:szCs w:val="21"/>
                <w:highlight w:val="none"/>
                <w:lang w:val="en-US" w:eastAsia="zh-CN" w:bidi="ar"/>
              </w:rPr>
              <w:t>详见评标办法和标准。</w:t>
            </w:r>
          </w:p>
        </w:tc>
      </w:tr>
      <w:tr w14:paraId="2734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shd w:val="clear" w:color="auto" w:fill="auto"/>
            <w:noWrap w:val="0"/>
            <w:vAlign w:val="center"/>
          </w:tcPr>
          <w:p w14:paraId="6E5E5783">
            <w:pPr>
              <w:keepNext w:val="0"/>
              <w:keepLines w:val="0"/>
              <w:pageBreakBefore w:val="0"/>
              <w:widowControl w:val="0"/>
              <w:kinsoku/>
              <w:overflowPunct/>
              <w:topLinePunct w:val="0"/>
              <w:autoSpaceDE/>
              <w:autoSpaceDN/>
              <w:bidi w:val="0"/>
              <w:adjustRightInd w:val="0"/>
              <w:snapToGrid w:val="0"/>
              <w:spacing w:line="30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一般参数</w:t>
            </w:r>
          </w:p>
        </w:tc>
        <w:tc>
          <w:tcPr>
            <w:tcW w:w="1365" w:type="dxa"/>
            <w:shd w:val="clear" w:color="auto" w:fill="auto"/>
            <w:noWrap w:val="0"/>
            <w:vAlign w:val="center"/>
          </w:tcPr>
          <w:p w14:paraId="750440E6">
            <w:pPr>
              <w:keepNext w:val="0"/>
              <w:keepLines w:val="0"/>
              <w:pageBreakBefore w:val="0"/>
              <w:widowControl w:val="0"/>
              <w:kinsoku/>
              <w:overflowPunct/>
              <w:topLinePunct w:val="0"/>
              <w:autoSpaceDE/>
              <w:autoSpaceDN/>
              <w:bidi w:val="0"/>
              <w:adjustRightInd w:val="0"/>
              <w:snapToGrid w:val="0"/>
              <w:spacing w:line="30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p>
        </w:tc>
        <w:tc>
          <w:tcPr>
            <w:tcW w:w="5363" w:type="dxa"/>
            <w:shd w:val="clear" w:color="auto" w:fill="auto"/>
            <w:noWrap w:val="0"/>
            <w:vAlign w:val="center"/>
          </w:tcPr>
          <w:p w14:paraId="4181516F">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bCs/>
                <w:color w:val="000000"/>
                <w:sz w:val="21"/>
                <w:szCs w:val="21"/>
                <w:highlight w:val="none"/>
              </w:rPr>
              <w:t>评分项，</w:t>
            </w:r>
            <w:r>
              <w:rPr>
                <w:rFonts w:hint="eastAsia" w:ascii="宋体" w:hAnsi="宋体" w:eastAsia="宋体" w:cs="宋体"/>
                <w:color w:val="000000"/>
                <w:kern w:val="2"/>
                <w:sz w:val="21"/>
                <w:szCs w:val="21"/>
                <w:highlight w:val="none"/>
                <w:lang w:val="en-US" w:eastAsia="zh-CN" w:bidi="ar"/>
              </w:rPr>
              <w:t>详见评标办法和标准。</w:t>
            </w:r>
          </w:p>
        </w:tc>
      </w:tr>
      <w:tr w14:paraId="2C7D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shd w:val="clear" w:color="auto" w:fill="auto"/>
            <w:noWrap w:val="0"/>
            <w:vAlign w:val="center"/>
          </w:tcPr>
          <w:p w14:paraId="168CBC73">
            <w:pPr>
              <w:keepNext w:val="0"/>
              <w:keepLines w:val="0"/>
              <w:pageBreakBefore w:val="0"/>
              <w:widowControl w:val="0"/>
              <w:kinsoku/>
              <w:overflowPunct/>
              <w:topLinePunct w:val="0"/>
              <w:autoSpaceDE/>
              <w:autoSpaceDN/>
              <w:bidi w:val="0"/>
              <w:adjustRightInd w:val="0"/>
              <w:snapToGrid w:val="0"/>
              <w:spacing w:line="30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无标识项</w:t>
            </w:r>
          </w:p>
        </w:tc>
        <w:tc>
          <w:tcPr>
            <w:tcW w:w="1365" w:type="dxa"/>
            <w:shd w:val="clear" w:color="auto" w:fill="auto"/>
            <w:noWrap w:val="0"/>
            <w:vAlign w:val="center"/>
          </w:tcPr>
          <w:p w14:paraId="25EEADF9">
            <w:pPr>
              <w:keepNext w:val="0"/>
              <w:keepLines w:val="0"/>
              <w:pageBreakBefore w:val="0"/>
              <w:widowControl w:val="0"/>
              <w:kinsoku/>
              <w:overflowPunct/>
              <w:topLinePunct w:val="0"/>
              <w:autoSpaceDE/>
              <w:autoSpaceDN/>
              <w:bidi w:val="0"/>
              <w:adjustRightInd w:val="0"/>
              <w:snapToGrid w:val="0"/>
              <w:spacing w:line="300" w:lineRule="auto"/>
              <w:jc w:val="center"/>
              <w:textAlignment w:val="auto"/>
              <w:rPr>
                <w:rFonts w:hint="eastAsia" w:ascii="宋体" w:hAnsi="宋体" w:eastAsia="宋体" w:cs="宋体"/>
                <w:kern w:val="2"/>
                <w:sz w:val="21"/>
                <w:szCs w:val="21"/>
                <w:lang w:val="en-US" w:eastAsia="zh-CN" w:bidi="ar-SA"/>
              </w:rPr>
            </w:pPr>
          </w:p>
        </w:tc>
        <w:tc>
          <w:tcPr>
            <w:tcW w:w="5363" w:type="dxa"/>
            <w:shd w:val="clear" w:color="auto" w:fill="auto"/>
            <w:noWrap w:val="0"/>
            <w:vAlign w:val="center"/>
          </w:tcPr>
          <w:p w14:paraId="3D0EB9AE">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bCs/>
                <w:color w:val="000000"/>
                <w:kern w:val="2"/>
                <w:sz w:val="21"/>
                <w:szCs w:val="21"/>
                <w:highlight w:val="none"/>
                <w:lang w:val="en-US" w:eastAsia="zh-CN" w:bidi="ar-SA"/>
              </w:rPr>
              <w:t>符合性审查项，该指标项最大允许负偏离</w:t>
            </w:r>
            <w:r>
              <w:rPr>
                <w:rFonts w:hint="eastAsia" w:ascii="宋体" w:hAnsi="宋体" w:eastAsia="宋体" w:cs="宋体"/>
                <w:bCs/>
                <w:color w:val="000000"/>
                <w:kern w:val="2"/>
                <w:sz w:val="21"/>
                <w:szCs w:val="21"/>
                <w:highlight w:val="none"/>
                <w:u w:val="single"/>
                <w:lang w:val="en-US" w:eastAsia="zh-CN" w:bidi="ar-SA"/>
              </w:rPr>
              <w:t>5</w:t>
            </w:r>
            <w:r>
              <w:rPr>
                <w:rFonts w:hint="eastAsia" w:ascii="宋体" w:hAnsi="宋体" w:eastAsia="宋体" w:cs="宋体"/>
                <w:bCs/>
                <w:color w:val="000000"/>
                <w:kern w:val="2"/>
                <w:sz w:val="21"/>
                <w:szCs w:val="21"/>
                <w:highlight w:val="none"/>
                <w:lang w:val="en-US" w:eastAsia="zh-CN" w:bidi="ar-SA"/>
              </w:rPr>
              <w:t>项，超过最大允许负偏离项数的，</w:t>
            </w:r>
            <w:r>
              <w:rPr>
                <w:rFonts w:hint="eastAsia" w:ascii="宋体" w:hAnsi="宋体" w:eastAsia="宋体" w:cs="宋体"/>
                <w:b/>
                <w:bCs w:val="0"/>
                <w:color w:val="000000"/>
                <w:kern w:val="2"/>
                <w:sz w:val="21"/>
                <w:szCs w:val="21"/>
                <w:highlight w:val="none"/>
                <w:lang w:val="en-US" w:eastAsia="zh-CN" w:bidi="ar-SA"/>
              </w:rPr>
              <w:t>投标无效</w:t>
            </w:r>
            <w:r>
              <w:rPr>
                <w:rFonts w:hint="eastAsia" w:ascii="宋体" w:hAnsi="宋体" w:eastAsia="宋体" w:cs="宋体"/>
                <w:bCs/>
                <w:color w:val="000000"/>
                <w:kern w:val="2"/>
                <w:sz w:val="21"/>
                <w:szCs w:val="21"/>
                <w:highlight w:val="none"/>
                <w:lang w:val="en-US" w:eastAsia="zh-CN" w:bidi="ar-SA"/>
              </w:rPr>
              <w:t>。</w:t>
            </w:r>
          </w:p>
        </w:tc>
      </w:tr>
      <w:tr w14:paraId="6912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4968FBE0">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firstLine="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13405C99">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（1）</w:t>
            </w:r>
            <w:r>
              <w:rPr>
                <w:rFonts w:hint="eastAsia" w:ascii="宋体" w:hAnsi="宋体" w:eastAsia="宋体" w:cs="宋体"/>
                <w:color w:val="000000"/>
                <w:sz w:val="21"/>
                <w:szCs w:val="21"/>
                <w:highlight w:val="none"/>
              </w:rPr>
              <w:t>标识条款中如包含多条子项技术参数或要求，则需满足或优于该标识条款内所有子项技术参数或要求方能得分。</w:t>
            </w:r>
          </w:p>
          <w:p w14:paraId="0A03CE86">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kern w:val="0"/>
                <w:sz w:val="21"/>
                <w:szCs w:val="21"/>
                <w:highlight w:val="none"/>
              </w:rPr>
              <w:t>下述技术参数所涉及的具体物理尺寸</w:t>
            </w:r>
            <w:r>
              <w:rPr>
                <w:rFonts w:hint="eastAsia" w:ascii="宋体" w:hAnsi="宋体" w:eastAsia="宋体" w:cs="宋体"/>
                <w:kern w:val="0"/>
                <w:sz w:val="21"/>
                <w:szCs w:val="21"/>
                <w:highlight w:val="none"/>
                <w:lang w:eastAsia="zh-CN"/>
              </w:rPr>
              <w:t>：货物需求清单</w:t>
            </w:r>
            <w:r>
              <w:rPr>
                <w:rFonts w:hint="eastAsia" w:ascii="宋体" w:hAnsi="宋体" w:eastAsia="宋体" w:cs="宋体"/>
                <w:kern w:val="0"/>
                <w:sz w:val="21"/>
                <w:szCs w:val="21"/>
                <w:highlight w:val="none"/>
                <w:lang w:val="en-US" w:eastAsia="zh-CN"/>
              </w:rPr>
              <w:t>中明确允许偏离范围的，按货物需求清单</w:t>
            </w:r>
            <w:r>
              <w:rPr>
                <w:rFonts w:hint="eastAsia" w:ascii="宋体" w:hAnsi="宋体" w:eastAsia="宋体" w:cs="宋体"/>
                <w:sz w:val="21"/>
                <w:szCs w:val="21"/>
                <w:highlight w:val="none"/>
                <w:lang w:val="en-US" w:eastAsia="zh-CN"/>
              </w:rPr>
              <w:t>要求</w:t>
            </w:r>
            <w:r>
              <w:rPr>
                <w:rFonts w:hint="eastAsia" w:ascii="宋体" w:hAnsi="宋体" w:eastAsia="宋体" w:cs="宋体"/>
                <w:kern w:val="0"/>
                <w:sz w:val="21"/>
                <w:szCs w:val="21"/>
                <w:highlight w:val="none"/>
                <w:lang w:val="en-US" w:eastAsia="zh-CN"/>
              </w:rPr>
              <w:t>执行；货物需求清单中未明确允许偏离范围的，</w:t>
            </w:r>
            <w:r>
              <w:rPr>
                <w:rFonts w:hint="eastAsia" w:ascii="宋体" w:hAnsi="宋体" w:eastAsia="宋体" w:cs="宋体"/>
                <w:kern w:val="0"/>
                <w:sz w:val="21"/>
                <w:szCs w:val="21"/>
                <w:highlight w:val="none"/>
              </w:rPr>
              <w:t>允许±5%偏离</w:t>
            </w:r>
            <w:r>
              <w:rPr>
                <w:rFonts w:hint="eastAsia" w:ascii="宋体" w:hAnsi="宋体" w:eastAsia="宋体" w:cs="宋体"/>
                <w:sz w:val="21"/>
                <w:szCs w:val="21"/>
                <w:highlight w:val="none"/>
              </w:rPr>
              <w:t>。</w:t>
            </w:r>
          </w:p>
        </w:tc>
      </w:tr>
    </w:tbl>
    <w:p w14:paraId="7E9B8411">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outlineLvl w:val="2"/>
        <w:rPr>
          <w:rFonts w:hint="eastAsia" w:ascii="宋体" w:hAnsi="宋体" w:eastAsia="宋体"/>
          <w:b/>
          <w:bCs/>
          <w:color w:val="auto"/>
          <w:sz w:val="21"/>
          <w:szCs w:val="21"/>
          <w:highlight w:val="none"/>
        </w:rPr>
      </w:pPr>
      <w:r>
        <w:rPr>
          <w:rFonts w:hint="eastAsia" w:ascii="宋体" w:hAnsi="宋体" w:eastAsia="宋体" w:cs="宋体"/>
          <w:b/>
          <w:bCs/>
          <w:sz w:val="21"/>
          <w:szCs w:val="21"/>
          <w:highlight w:val="none"/>
          <w:lang w:eastAsia="zh-CN"/>
        </w:rPr>
        <w:t>（二）</w:t>
      </w:r>
      <w:r>
        <w:rPr>
          <w:rFonts w:hint="eastAsia" w:ascii="宋体" w:hAnsi="宋体" w:eastAsia="宋体" w:cs="宋体"/>
          <w:b/>
          <w:bCs/>
          <w:sz w:val="21"/>
          <w:szCs w:val="21"/>
          <w:highlight w:val="none"/>
          <w:lang w:val="en-US" w:eastAsia="zh-CN"/>
        </w:rPr>
        <w:t>货物需求</w:t>
      </w:r>
      <w:r>
        <w:rPr>
          <w:rFonts w:hint="eastAsia" w:ascii="宋体" w:hAnsi="宋体" w:eastAsia="宋体" w:cs="宋体"/>
          <w:b/>
          <w:bCs/>
          <w:sz w:val="21"/>
          <w:szCs w:val="21"/>
          <w:highlight w:val="none"/>
        </w:rPr>
        <w:t>清单</w:t>
      </w:r>
    </w:p>
    <w:tbl>
      <w:tblPr>
        <w:tblStyle w:val="4"/>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43"/>
        <w:gridCol w:w="4356"/>
        <w:gridCol w:w="775"/>
        <w:gridCol w:w="690"/>
        <w:gridCol w:w="809"/>
        <w:gridCol w:w="472"/>
      </w:tblGrid>
      <w:tr w14:paraId="6C81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3" w:type="pct"/>
            <w:noWrap w:val="0"/>
            <w:vAlign w:val="center"/>
          </w:tcPr>
          <w:p w14:paraId="0E745C74">
            <w:pPr>
              <w:adjustRightInd w:val="0"/>
              <w:snapToGrid w:val="0"/>
              <w:spacing w:line="300" w:lineRule="auto"/>
              <w:jc w:val="center"/>
              <w:rPr>
                <w:rFonts w:ascii="宋体" w:hAnsi="宋体" w:eastAsia="宋体" w:cs="宋体"/>
                <w:b/>
                <w:bCs/>
                <w:szCs w:val="21"/>
              </w:rPr>
            </w:pPr>
            <w:bookmarkStart w:id="6" w:name="_Toc7421"/>
            <w:bookmarkStart w:id="7" w:name="_Toc4843"/>
            <w:r>
              <w:rPr>
                <w:rFonts w:hint="eastAsia" w:ascii="宋体" w:hAnsi="宋体" w:eastAsia="宋体" w:cs="宋体"/>
                <w:b/>
                <w:bCs/>
                <w:szCs w:val="21"/>
              </w:rPr>
              <w:t>序号</w:t>
            </w:r>
          </w:p>
        </w:tc>
        <w:tc>
          <w:tcPr>
            <w:tcW w:w="495" w:type="pct"/>
            <w:noWrap w:val="0"/>
            <w:vAlign w:val="center"/>
          </w:tcPr>
          <w:p w14:paraId="5B77216B">
            <w:pPr>
              <w:adjustRightInd w:val="0"/>
              <w:snapToGrid w:val="0"/>
              <w:spacing w:line="300" w:lineRule="auto"/>
              <w:jc w:val="center"/>
              <w:rPr>
                <w:rFonts w:ascii="宋体" w:hAnsi="宋体" w:eastAsia="宋体" w:cs="宋体"/>
                <w:b/>
                <w:bCs/>
                <w:szCs w:val="21"/>
              </w:rPr>
            </w:pPr>
            <w:r>
              <w:rPr>
                <w:rFonts w:hint="eastAsia" w:ascii="宋体" w:hAnsi="宋体" w:eastAsia="宋体" w:cs="宋体"/>
                <w:b/>
                <w:bCs/>
                <w:szCs w:val="21"/>
              </w:rPr>
              <w:t>货物名称</w:t>
            </w:r>
          </w:p>
        </w:tc>
        <w:tc>
          <w:tcPr>
            <w:tcW w:w="2557" w:type="pct"/>
            <w:noWrap w:val="0"/>
            <w:vAlign w:val="center"/>
          </w:tcPr>
          <w:p w14:paraId="4DA812BE">
            <w:pPr>
              <w:adjustRightInd w:val="0"/>
              <w:snapToGrid w:val="0"/>
              <w:spacing w:line="300" w:lineRule="auto"/>
              <w:jc w:val="center"/>
              <w:rPr>
                <w:rFonts w:ascii="宋体" w:hAnsi="宋体" w:eastAsia="宋体" w:cs="宋体"/>
                <w:b/>
                <w:bCs/>
                <w:szCs w:val="21"/>
              </w:rPr>
            </w:pPr>
            <w:r>
              <w:rPr>
                <w:rFonts w:hint="eastAsia" w:ascii="宋体" w:hAnsi="宋体" w:eastAsia="宋体" w:cs="宋体"/>
                <w:b/>
                <w:bCs/>
                <w:szCs w:val="21"/>
              </w:rPr>
              <w:t>技术参数及要求</w:t>
            </w:r>
          </w:p>
        </w:tc>
        <w:tc>
          <w:tcPr>
            <w:tcW w:w="455" w:type="pct"/>
            <w:noWrap w:val="0"/>
            <w:vAlign w:val="center"/>
          </w:tcPr>
          <w:p w14:paraId="5495A475">
            <w:pPr>
              <w:adjustRightInd w:val="0"/>
              <w:snapToGrid w:val="0"/>
              <w:spacing w:line="300" w:lineRule="auto"/>
              <w:jc w:val="center"/>
              <w:rPr>
                <w:rFonts w:ascii="宋体" w:hAnsi="宋体" w:eastAsia="宋体" w:cs="宋体"/>
                <w:b/>
                <w:bCs/>
                <w:szCs w:val="21"/>
              </w:rPr>
            </w:pPr>
            <w:r>
              <w:rPr>
                <w:rFonts w:hint="eastAsia" w:ascii="宋体" w:hAnsi="宋体" w:eastAsia="宋体" w:cs="宋体"/>
                <w:b/>
                <w:bCs/>
                <w:szCs w:val="21"/>
              </w:rPr>
              <w:t>计划采购数量</w:t>
            </w:r>
          </w:p>
          <w:p w14:paraId="218488C3">
            <w:pPr>
              <w:adjustRightInd w:val="0"/>
              <w:snapToGrid w:val="0"/>
              <w:spacing w:line="300" w:lineRule="auto"/>
              <w:jc w:val="center"/>
              <w:rPr>
                <w:rFonts w:ascii="宋体" w:hAnsi="宋体" w:eastAsia="宋体" w:cs="宋体"/>
                <w:b/>
                <w:bCs/>
                <w:szCs w:val="21"/>
              </w:rPr>
            </w:pPr>
            <w:r>
              <w:rPr>
                <w:rFonts w:hint="eastAsia" w:ascii="宋体" w:hAnsi="宋体" w:eastAsia="宋体" w:cs="宋体"/>
                <w:b/>
                <w:bCs/>
                <w:szCs w:val="21"/>
              </w:rPr>
              <w:t>（单位）</w:t>
            </w:r>
          </w:p>
        </w:tc>
        <w:tc>
          <w:tcPr>
            <w:tcW w:w="405" w:type="pct"/>
            <w:noWrap w:val="0"/>
            <w:vAlign w:val="center"/>
          </w:tcPr>
          <w:p w14:paraId="3AE2FDE8">
            <w:pPr>
              <w:adjustRightInd w:val="0"/>
              <w:snapToGrid w:val="0"/>
              <w:spacing w:line="300" w:lineRule="auto"/>
              <w:jc w:val="center"/>
              <w:rPr>
                <w:rFonts w:ascii="宋体" w:hAnsi="宋体" w:eastAsia="宋体" w:cs="宋体"/>
                <w:b/>
                <w:bCs/>
                <w:szCs w:val="21"/>
              </w:rPr>
            </w:pPr>
            <w:r>
              <w:rPr>
                <w:rFonts w:hint="eastAsia" w:ascii="宋体" w:hAnsi="宋体" w:eastAsia="宋体" w:cs="宋体"/>
                <w:b/>
                <w:bCs/>
                <w:szCs w:val="21"/>
              </w:rPr>
              <w:t>所属</w:t>
            </w:r>
          </w:p>
          <w:p w14:paraId="6AB02807">
            <w:pPr>
              <w:adjustRightInd w:val="0"/>
              <w:snapToGrid w:val="0"/>
              <w:spacing w:line="300" w:lineRule="auto"/>
              <w:jc w:val="center"/>
              <w:rPr>
                <w:rFonts w:ascii="宋体" w:hAnsi="宋体" w:eastAsia="宋体" w:cs="宋体"/>
                <w:b/>
                <w:bCs/>
                <w:szCs w:val="21"/>
              </w:rPr>
            </w:pPr>
            <w:r>
              <w:rPr>
                <w:rFonts w:hint="eastAsia" w:ascii="宋体" w:hAnsi="宋体" w:eastAsia="宋体" w:cs="宋体"/>
                <w:b/>
                <w:bCs/>
                <w:szCs w:val="21"/>
              </w:rPr>
              <w:t>行业</w:t>
            </w:r>
          </w:p>
        </w:tc>
        <w:tc>
          <w:tcPr>
            <w:tcW w:w="475" w:type="pct"/>
            <w:noWrap w:val="0"/>
            <w:vAlign w:val="center"/>
          </w:tcPr>
          <w:p w14:paraId="6B316F3B">
            <w:pPr>
              <w:adjustRightInd w:val="0"/>
              <w:snapToGrid w:val="0"/>
              <w:spacing w:line="300" w:lineRule="auto"/>
              <w:jc w:val="center"/>
              <w:rPr>
                <w:rFonts w:hint="eastAsia" w:ascii="宋体" w:hAnsi="宋体" w:eastAsia="宋体" w:cs="宋体"/>
                <w:b/>
                <w:bCs/>
                <w:szCs w:val="21"/>
                <w:lang w:eastAsia="zh-CN"/>
              </w:rPr>
            </w:pPr>
            <w:r>
              <w:rPr>
                <w:rFonts w:hint="eastAsia" w:ascii="宋体" w:hAnsi="宋体" w:eastAsia="宋体" w:cs="宋体"/>
                <w:b/>
                <w:bCs/>
                <w:szCs w:val="21"/>
              </w:rPr>
              <w:t>是否为核心产品</w:t>
            </w:r>
            <w:r>
              <w:rPr>
                <w:rFonts w:hint="eastAsia" w:ascii="宋体" w:hAnsi="宋体" w:eastAsia="宋体" w:cs="宋体"/>
                <w:b/>
                <w:bCs/>
                <w:szCs w:val="21"/>
                <w:lang w:eastAsia="zh-CN"/>
              </w:rPr>
              <w:t>（</w:t>
            </w:r>
            <w:r>
              <w:rPr>
                <w:rFonts w:hint="eastAsia" w:ascii="宋体" w:hAnsi="宋体" w:eastAsia="宋体" w:cs="宋体"/>
                <w:b/>
                <w:bCs/>
                <w:szCs w:val="21"/>
                <w:lang w:val="en-US" w:eastAsia="zh-CN"/>
              </w:rPr>
              <w:t>主要标的</w:t>
            </w:r>
            <w:r>
              <w:rPr>
                <w:rFonts w:hint="eastAsia" w:ascii="宋体" w:hAnsi="宋体" w:eastAsia="宋体" w:cs="宋体"/>
                <w:b/>
                <w:bCs/>
                <w:szCs w:val="21"/>
                <w:lang w:eastAsia="zh-CN"/>
              </w:rPr>
              <w:t>）</w:t>
            </w:r>
          </w:p>
        </w:tc>
        <w:tc>
          <w:tcPr>
            <w:tcW w:w="277" w:type="pct"/>
            <w:noWrap w:val="0"/>
            <w:vAlign w:val="center"/>
          </w:tcPr>
          <w:p w14:paraId="562C2B85">
            <w:pPr>
              <w:adjustRightInd w:val="0"/>
              <w:snapToGrid w:val="0"/>
              <w:spacing w:line="300" w:lineRule="auto"/>
              <w:jc w:val="center"/>
              <w:rPr>
                <w:rFonts w:ascii="宋体" w:hAnsi="宋体" w:eastAsia="宋体" w:cs="宋体"/>
                <w:b/>
                <w:bCs/>
                <w:szCs w:val="21"/>
              </w:rPr>
            </w:pPr>
            <w:r>
              <w:rPr>
                <w:rFonts w:hint="eastAsia" w:ascii="宋体" w:hAnsi="宋体" w:eastAsia="宋体" w:cs="宋体"/>
                <w:b/>
                <w:bCs/>
                <w:szCs w:val="21"/>
              </w:rPr>
              <w:t>备注</w:t>
            </w:r>
          </w:p>
        </w:tc>
      </w:tr>
      <w:tr w14:paraId="177B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3" w:type="pct"/>
            <w:noWrap w:val="0"/>
            <w:vAlign w:val="center"/>
          </w:tcPr>
          <w:p w14:paraId="3277579D">
            <w:pPr>
              <w:adjustRightInd w:val="0"/>
              <w:snapToGrid w:val="0"/>
              <w:spacing w:line="300" w:lineRule="auto"/>
              <w:jc w:val="center"/>
              <w:rPr>
                <w:rFonts w:ascii="宋体" w:hAnsi="宋体" w:eastAsia="宋体" w:cs="宋体"/>
                <w:szCs w:val="21"/>
              </w:rPr>
            </w:pPr>
            <w:r>
              <w:rPr>
                <w:rFonts w:hint="eastAsia" w:ascii="宋体" w:hAnsi="宋体" w:eastAsia="宋体" w:cs="宋体"/>
                <w:szCs w:val="21"/>
              </w:rPr>
              <w:t>1</w:t>
            </w:r>
          </w:p>
        </w:tc>
        <w:tc>
          <w:tcPr>
            <w:tcW w:w="495" w:type="pct"/>
            <w:noWrap w:val="0"/>
            <w:vAlign w:val="center"/>
          </w:tcPr>
          <w:p w14:paraId="39E9F0CD">
            <w:pPr>
              <w:widowControl/>
              <w:autoSpaceDN w:val="0"/>
              <w:adjustRightInd w:val="0"/>
              <w:snapToGrid w:val="0"/>
              <w:spacing w:line="300" w:lineRule="auto"/>
              <w:jc w:val="center"/>
              <w:rPr>
                <w:rFonts w:ascii="宋体" w:hAnsi="宋体" w:eastAsia="宋体" w:cs="宋体"/>
                <w:szCs w:val="21"/>
              </w:rPr>
            </w:pPr>
            <w:r>
              <w:rPr>
                <w:rFonts w:hint="eastAsia" w:ascii="宋体" w:hAnsi="宋体" w:eastAsia="宋体" w:cs="宋体"/>
                <w:szCs w:val="21"/>
              </w:rPr>
              <w:t>▲彩票投注终端机</w:t>
            </w:r>
          </w:p>
        </w:tc>
        <w:tc>
          <w:tcPr>
            <w:tcW w:w="2557" w:type="pct"/>
            <w:noWrap w:val="0"/>
            <w:vAlign w:val="center"/>
          </w:tcPr>
          <w:p w14:paraId="7D160C30">
            <w:pPr>
              <w:adjustRightInd w:val="0"/>
              <w:snapToGrid w:val="0"/>
              <w:spacing w:line="300" w:lineRule="auto"/>
              <w:outlineLvl w:val="3"/>
              <w:rPr>
                <w:rFonts w:ascii="宋体" w:hAnsi="宋体" w:eastAsia="宋体" w:cs="宋体"/>
                <w:b/>
                <w:szCs w:val="21"/>
              </w:rPr>
            </w:pPr>
            <w:r>
              <w:rPr>
                <w:rFonts w:hint="eastAsia" w:ascii="宋体" w:hAnsi="宋体" w:eastAsia="宋体" w:cs="宋体"/>
                <w:b/>
                <w:szCs w:val="21"/>
              </w:rPr>
              <w:t>1、硬件技术要求</w:t>
            </w:r>
          </w:p>
          <w:p w14:paraId="6A061F61">
            <w:pPr>
              <w:adjustRightInd w:val="0"/>
              <w:snapToGrid w:val="0"/>
              <w:spacing w:line="300" w:lineRule="auto"/>
              <w:rPr>
                <w:rFonts w:ascii="宋体" w:hAnsi="宋体" w:eastAsia="宋体" w:cs="宋体"/>
                <w:szCs w:val="21"/>
              </w:rPr>
            </w:pPr>
            <w:r>
              <w:rPr>
                <w:rFonts w:hint="eastAsia" w:ascii="宋体" w:hAnsi="宋体" w:eastAsia="宋体" w:cs="宋体"/>
                <w:b/>
                <w:szCs w:val="21"/>
              </w:rPr>
              <w:t>★</w:t>
            </w:r>
            <w:r>
              <w:rPr>
                <w:rFonts w:hint="eastAsia" w:ascii="宋体" w:hAnsi="宋体" w:eastAsia="宋体" w:cs="宋体"/>
                <w:b/>
                <w:bCs/>
                <w:szCs w:val="21"/>
              </w:rPr>
              <w:t>（1）主板及存储</w:t>
            </w:r>
          </w:p>
          <w:p w14:paraId="705E1FF4">
            <w:pPr>
              <w:adjustRightInd w:val="0"/>
              <w:snapToGrid w:val="0"/>
              <w:spacing w:line="300" w:lineRule="auto"/>
              <w:rPr>
                <w:rFonts w:ascii="宋体" w:hAnsi="宋体" w:eastAsia="宋体" w:cs="宋体"/>
                <w:szCs w:val="21"/>
              </w:rPr>
            </w:pPr>
            <w:r>
              <w:rPr>
                <w:rFonts w:hint="eastAsia" w:ascii="宋体" w:hAnsi="宋体" w:eastAsia="宋体" w:cs="宋体"/>
                <w:szCs w:val="21"/>
              </w:rPr>
              <w:t>1.1主芯片：核心数≥四核，主频≥2.3GHz</w:t>
            </w:r>
            <w:r>
              <w:rPr>
                <w:rFonts w:hint="eastAsia" w:ascii="宋体" w:hAnsi="宋体" w:eastAsia="宋体" w:cs="宋体"/>
                <w:b/>
                <w:szCs w:val="21"/>
              </w:rPr>
              <w:t>（投标文件中提供第三方机构出具的具有CMA标识的检测报告扫描件或主芯片制造商官网截图）</w:t>
            </w:r>
            <w:r>
              <w:rPr>
                <w:rFonts w:hint="eastAsia" w:ascii="宋体" w:hAnsi="宋体" w:eastAsia="宋体" w:cs="宋体"/>
                <w:szCs w:val="21"/>
              </w:rPr>
              <w:t>；</w:t>
            </w:r>
          </w:p>
          <w:p w14:paraId="6BB01C00">
            <w:pPr>
              <w:adjustRightInd w:val="0"/>
              <w:snapToGrid w:val="0"/>
              <w:spacing w:line="300" w:lineRule="auto"/>
              <w:rPr>
                <w:rFonts w:ascii="宋体" w:hAnsi="宋体" w:eastAsia="宋体" w:cs="宋体"/>
                <w:color w:val="FF0000"/>
                <w:szCs w:val="21"/>
              </w:rPr>
            </w:pPr>
            <w:r>
              <w:rPr>
                <w:rFonts w:hint="eastAsia" w:ascii="宋体" w:hAnsi="宋体" w:eastAsia="宋体" w:cs="宋体"/>
                <w:szCs w:val="21"/>
              </w:rPr>
              <w:t>1.2 显示：具有3路或以上独立显示通道，支持3路或以上独立视频输</w:t>
            </w:r>
            <w:r>
              <w:rPr>
                <w:rFonts w:hint="eastAsia" w:ascii="宋体" w:hAnsi="宋体" w:eastAsia="宋体" w:cs="宋体"/>
                <w:color w:val="000000"/>
                <w:szCs w:val="21"/>
              </w:rPr>
              <w:t>出；</w:t>
            </w:r>
          </w:p>
          <w:p w14:paraId="34CD8CC8">
            <w:pPr>
              <w:adjustRightInd w:val="0"/>
              <w:snapToGrid w:val="0"/>
              <w:spacing w:line="300" w:lineRule="auto"/>
              <w:rPr>
                <w:rFonts w:ascii="宋体" w:hAnsi="宋体" w:eastAsia="宋体" w:cs="宋体"/>
                <w:szCs w:val="21"/>
              </w:rPr>
            </w:pPr>
            <w:r>
              <w:rPr>
                <w:rFonts w:hint="eastAsia" w:ascii="宋体" w:hAnsi="宋体" w:eastAsia="宋体" w:cs="宋体"/>
                <w:szCs w:val="21"/>
              </w:rPr>
              <w:t>1.3 内存：容量≥4GB，类型DDR3或以上；</w:t>
            </w:r>
          </w:p>
          <w:p w14:paraId="49CB9A56">
            <w:pPr>
              <w:adjustRightInd w:val="0"/>
              <w:snapToGrid w:val="0"/>
              <w:spacing w:line="300" w:lineRule="auto"/>
              <w:rPr>
                <w:rFonts w:ascii="宋体" w:hAnsi="宋体" w:eastAsia="宋体" w:cs="宋体"/>
                <w:szCs w:val="21"/>
              </w:rPr>
            </w:pPr>
            <w:r>
              <w:rPr>
                <w:rFonts w:hint="eastAsia" w:ascii="宋体" w:hAnsi="宋体" w:eastAsia="宋体" w:cs="宋体"/>
                <w:szCs w:val="21"/>
              </w:rPr>
              <w:t>1.4 缓存：总容量≥4MB；</w:t>
            </w:r>
          </w:p>
          <w:p w14:paraId="47A39BC3">
            <w:pPr>
              <w:adjustRightInd w:val="0"/>
              <w:snapToGrid w:val="0"/>
              <w:spacing w:line="300" w:lineRule="auto"/>
              <w:rPr>
                <w:rFonts w:ascii="宋体" w:hAnsi="宋体" w:eastAsia="宋体" w:cs="宋体"/>
                <w:szCs w:val="21"/>
              </w:rPr>
            </w:pPr>
            <w:r>
              <w:rPr>
                <w:rFonts w:hint="eastAsia" w:ascii="宋体" w:hAnsi="宋体" w:eastAsia="宋体" w:cs="宋体"/>
                <w:szCs w:val="21"/>
              </w:rPr>
              <w:t>1.5 音频：板载3路或以上独立音频输出；</w:t>
            </w:r>
          </w:p>
          <w:p w14:paraId="75EC9E2A">
            <w:pPr>
              <w:adjustRightInd w:val="0"/>
              <w:snapToGrid w:val="0"/>
              <w:spacing w:line="300" w:lineRule="auto"/>
              <w:rPr>
                <w:rFonts w:ascii="宋体" w:hAnsi="宋体" w:eastAsia="宋体" w:cs="宋体"/>
                <w:szCs w:val="21"/>
              </w:rPr>
            </w:pPr>
            <w:r>
              <w:rPr>
                <w:rFonts w:hint="eastAsia" w:ascii="宋体" w:hAnsi="宋体" w:eastAsia="宋体" w:cs="宋体"/>
                <w:szCs w:val="21"/>
              </w:rPr>
              <w:t>1.6 存储：容量64GB或以上固态硬盘。</w:t>
            </w:r>
            <w:r>
              <w:rPr>
                <w:rFonts w:hint="eastAsia" w:ascii="宋体" w:hAnsi="宋体" w:eastAsia="宋体" w:cs="宋体"/>
                <w:b/>
                <w:szCs w:val="21"/>
              </w:rPr>
              <w:t>（1.2-1.6项，投标文件中提供第三方机构出具的具有CMA标识的检测报告）</w:t>
            </w:r>
            <w:r>
              <w:rPr>
                <w:rFonts w:hint="eastAsia" w:ascii="宋体" w:hAnsi="宋体" w:eastAsia="宋体" w:cs="宋体"/>
                <w:szCs w:val="21"/>
              </w:rPr>
              <w:t>。</w:t>
            </w:r>
          </w:p>
          <w:p w14:paraId="0F98C6CC">
            <w:pPr>
              <w:adjustRightInd w:val="0"/>
              <w:snapToGrid w:val="0"/>
              <w:spacing w:line="300" w:lineRule="auto"/>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b/>
                <w:bCs/>
                <w:szCs w:val="21"/>
              </w:rPr>
              <w:t>（2）打印机</w:t>
            </w:r>
          </w:p>
          <w:p w14:paraId="16FD9ABD">
            <w:pPr>
              <w:adjustRightInd w:val="0"/>
              <w:snapToGrid w:val="0"/>
              <w:spacing w:line="300" w:lineRule="auto"/>
              <w:rPr>
                <w:rFonts w:ascii="宋体" w:hAnsi="宋体" w:eastAsia="宋体" w:cs="宋体"/>
                <w:szCs w:val="21"/>
              </w:rPr>
            </w:pPr>
            <w:r>
              <w:rPr>
                <w:rFonts w:hint="eastAsia" w:ascii="宋体" w:hAnsi="宋体" w:eastAsia="宋体" w:cs="宋体"/>
                <w:szCs w:val="21"/>
              </w:rPr>
              <w:t>2.1票面整形：具有打印纸票面整形功能</w:t>
            </w:r>
          </w:p>
          <w:p w14:paraId="22F7C50D">
            <w:pPr>
              <w:adjustRightInd w:val="0"/>
              <w:snapToGrid w:val="0"/>
              <w:spacing w:line="300" w:lineRule="auto"/>
              <w:rPr>
                <w:rFonts w:ascii="宋体" w:hAnsi="宋体" w:eastAsia="宋体" w:cs="宋体"/>
                <w:szCs w:val="21"/>
              </w:rPr>
            </w:pPr>
            <w:r>
              <w:rPr>
                <w:rFonts w:hint="eastAsia" w:ascii="宋体" w:hAnsi="宋体" w:eastAsia="宋体" w:cs="宋体"/>
                <w:szCs w:val="21"/>
              </w:rPr>
              <w:t>集票功能：≥30张彩票</w:t>
            </w:r>
          </w:p>
          <w:p w14:paraId="484771DB">
            <w:pPr>
              <w:adjustRightInd w:val="0"/>
              <w:snapToGrid w:val="0"/>
              <w:spacing w:line="300" w:lineRule="auto"/>
              <w:rPr>
                <w:rFonts w:ascii="宋体" w:hAnsi="宋体" w:eastAsia="宋体" w:cs="宋体"/>
                <w:szCs w:val="21"/>
              </w:rPr>
            </w:pPr>
            <w:r>
              <w:rPr>
                <w:rFonts w:hint="eastAsia" w:ascii="宋体" w:hAnsi="宋体" w:eastAsia="宋体" w:cs="宋体"/>
                <w:szCs w:val="21"/>
              </w:rPr>
              <w:t>2.2打印头寿命：≥100km；</w:t>
            </w:r>
          </w:p>
          <w:p w14:paraId="1B78DE7F">
            <w:pPr>
              <w:adjustRightInd w:val="0"/>
              <w:snapToGrid w:val="0"/>
              <w:spacing w:line="300" w:lineRule="auto"/>
              <w:rPr>
                <w:rFonts w:ascii="宋体" w:hAnsi="宋体" w:eastAsia="宋体" w:cs="宋体"/>
                <w:szCs w:val="21"/>
              </w:rPr>
            </w:pPr>
            <w:r>
              <w:rPr>
                <w:rFonts w:hint="eastAsia" w:ascii="宋体" w:hAnsi="宋体" w:eastAsia="宋体" w:cs="宋体"/>
                <w:szCs w:val="21"/>
              </w:rPr>
              <w:t>2.3裁纸刀寿命：≥100万次；</w:t>
            </w:r>
          </w:p>
          <w:p w14:paraId="1B86FF09">
            <w:pPr>
              <w:adjustRightInd w:val="0"/>
              <w:snapToGrid w:val="0"/>
              <w:spacing w:line="300" w:lineRule="auto"/>
              <w:rPr>
                <w:rFonts w:ascii="宋体" w:hAnsi="宋体" w:eastAsia="宋体" w:cs="宋体"/>
                <w:szCs w:val="21"/>
              </w:rPr>
            </w:pPr>
            <w:r>
              <w:rPr>
                <w:rFonts w:hint="eastAsia" w:ascii="宋体" w:hAnsi="宋体" w:eastAsia="宋体" w:cs="宋体"/>
                <w:szCs w:val="21"/>
              </w:rPr>
              <w:t>2.4打印质量：≥200dpi；</w:t>
            </w:r>
          </w:p>
          <w:p w14:paraId="23478ECF">
            <w:pPr>
              <w:adjustRightInd w:val="0"/>
              <w:snapToGrid w:val="0"/>
              <w:spacing w:line="300" w:lineRule="auto"/>
              <w:rPr>
                <w:rFonts w:ascii="宋体" w:hAnsi="宋体" w:eastAsia="宋体" w:cs="宋体"/>
                <w:szCs w:val="21"/>
                <w:u w:val="single"/>
              </w:rPr>
            </w:pPr>
            <w:r>
              <w:rPr>
                <w:rFonts w:hint="eastAsia" w:ascii="宋体" w:hAnsi="宋体" w:eastAsia="宋体" w:cs="宋体"/>
                <w:szCs w:val="21"/>
              </w:rPr>
              <w:t>2.5打印速度：最大速度≥250mm/s ；打印方式：高速热敏打印机，易装纸结构；</w:t>
            </w:r>
          </w:p>
          <w:p w14:paraId="09A1A214">
            <w:pPr>
              <w:adjustRightInd w:val="0"/>
              <w:snapToGrid w:val="0"/>
              <w:spacing w:line="300" w:lineRule="auto"/>
              <w:rPr>
                <w:rFonts w:hint="eastAsia" w:ascii="宋体" w:hAnsi="宋体" w:eastAsia="宋体" w:cs="宋体"/>
                <w:b/>
                <w:szCs w:val="21"/>
              </w:rPr>
            </w:pPr>
            <w:r>
              <w:rPr>
                <w:rFonts w:hint="eastAsia" w:ascii="宋体" w:hAnsi="宋体" w:eastAsia="宋体" w:cs="宋体"/>
                <w:b/>
                <w:szCs w:val="21"/>
              </w:rPr>
              <w:t>（2.2-2.5项，投标文件中提供第三方机构出具的具有CMA标识的检测报告）。</w:t>
            </w:r>
          </w:p>
          <w:p w14:paraId="6EDB8053">
            <w:pPr>
              <w:adjustRightInd w:val="0"/>
              <w:snapToGrid w:val="0"/>
              <w:spacing w:line="300" w:lineRule="auto"/>
              <w:rPr>
                <w:rFonts w:ascii="宋体" w:hAnsi="宋体" w:eastAsia="宋体" w:cs="宋体"/>
                <w:szCs w:val="21"/>
              </w:rPr>
            </w:pPr>
            <w:r>
              <w:rPr>
                <w:rFonts w:hint="eastAsia" w:ascii="宋体" w:hAnsi="宋体" w:eastAsia="宋体" w:cs="宋体"/>
                <w:szCs w:val="21"/>
              </w:rPr>
              <w:t>2.6自动切刀：有（自动校准）</w:t>
            </w:r>
            <w:r>
              <w:rPr>
                <w:rFonts w:ascii="宋体" w:hAnsi="宋体" w:eastAsia="宋体" w:cs="宋体"/>
                <w:szCs w:val="21"/>
              </w:rPr>
              <w:t>；</w:t>
            </w:r>
          </w:p>
          <w:p w14:paraId="12A1A82F">
            <w:pPr>
              <w:adjustRightInd w:val="0"/>
              <w:snapToGrid w:val="0"/>
              <w:spacing w:line="300" w:lineRule="auto"/>
              <w:rPr>
                <w:rFonts w:ascii="宋体" w:hAnsi="宋体" w:eastAsia="宋体" w:cs="宋体"/>
                <w:szCs w:val="21"/>
              </w:rPr>
            </w:pPr>
            <w:r>
              <w:rPr>
                <w:rFonts w:hint="eastAsia" w:ascii="宋体" w:hAnsi="宋体" w:eastAsia="宋体" w:cs="宋体"/>
                <w:szCs w:val="21"/>
              </w:rPr>
              <w:t>2.7打印纸宽：支持打印热敏纸宽度80mm</w:t>
            </w:r>
            <w:r>
              <w:rPr>
                <w:rFonts w:ascii="宋体" w:hAnsi="宋体" w:eastAsia="宋体" w:cs="宋体"/>
                <w:szCs w:val="21"/>
              </w:rPr>
              <w:t>；</w:t>
            </w:r>
            <w:r>
              <w:rPr>
                <w:rFonts w:hint="eastAsia" w:ascii="宋体" w:hAnsi="宋体" w:eastAsia="宋体" w:cs="宋体"/>
                <w:szCs w:val="21"/>
              </w:rPr>
              <w:t>打印纸直径：最大可支持热敏打印纸直径≥128mm</w:t>
            </w:r>
            <w:r>
              <w:rPr>
                <w:rFonts w:ascii="宋体" w:hAnsi="宋体" w:eastAsia="宋体" w:cs="宋体"/>
                <w:szCs w:val="21"/>
              </w:rPr>
              <w:t>；</w:t>
            </w:r>
          </w:p>
          <w:p w14:paraId="0D69C773">
            <w:pPr>
              <w:adjustRightInd w:val="0"/>
              <w:snapToGrid w:val="0"/>
              <w:spacing w:line="300" w:lineRule="auto"/>
              <w:rPr>
                <w:rFonts w:ascii="宋体" w:hAnsi="宋体" w:eastAsia="宋体" w:cs="宋体"/>
                <w:szCs w:val="21"/>
              </w:rPr>
            </w:pPr>
            <w:r>
              <w:rPr>
                <w:rFonts w:hint="eastAsia" w:ascii="宋体" w:hAnsi="宋体" w:eastAsia="宋体" w:cs="宋体"/>
                <w:szCs w:val="21"/>
              </w:rPr>
              <w:t>2.8打印纸厚：56μm～150μm</w:t>
            </w:r>
            <w:r>
              <w:rPr>
                <w:rFonts w:ascii="宋体" w:hAnsi="宋体" w:eastAsia="宋体" w:cs="宋体"/>
                <w:szCs w:val="21"/>
              </w:rPr>
              <w:t>；</w:t>
            </w:r>
          </w:p>
          <w:p w14:paraId="30445208">
            <w:pPr>
              <w:adjustRightInd w:val="0"/>
              <w:snapToGrid w:val="0"/>
              <w:spacing w:line="300" w:lineRule="auto"/>
              <w:rPr>
                <w:rFonts w:ascii="宋体" w:hAnsi="宋体" w:eastAsia="宋体" w:cs="宋体"/>
                <w:szCs w:val="21"/>
              </w:rPr>
            </w:pPr>
            <w:r>
              <w:rPr>
                <w:rFonts w:hint="eastAsia" w:ascii="宋体" w:hAnsi="宋体" w:eastAsia="宋体" w:cs="宋体"/>
                <w:szCs w:val="21"/>
              </w:rPr>
              <w:t>2.9检测功能：具备缺纸自动检测、少纸检测、黑标检测及自检功能</w:t>
            </w:r>
            <w:r>
              <w:rPr>
                <w:rFonts w:ascii="宋体" w:hAnsi="宋体" w:eastAsia="宋体" w:cs="宋体"/>
                <w:szCs w:val="21"/>
              </w:rPr>
              <w:t>；</w:t>
            </w:r>
          </w:p>
          <w:p w14:paraId="2B599EC7">
            <w:pPr>
              <w:adjustRightInd w:val="0"/>
              <w:snapToGrid w:val="0"/>
              <w:spacing w:line="300" w:lineRule="auto"/>
              <w:rPr>
                <w:rFonts w:ascii="宋体" w:hAnsi="宋体" w:eastAsia="宋体" w:cs="宋体"/>
                <w:szCs w:val="21"/>
              </w:rPr>
            </w:pPr>
            <w:r>
              <w:rPr>
                <w:rFonts w:hint="eastAsia" w:ascii="宋体" w:hAnsi="宋体" w:eastAsia="宋体" w:cs="宋体"/>
                <w:szCs w:val="21"/>
              </w:rPr>
              <w:t>2.10打印类型：支持常用一维条码打印，如：UPC-A，UPC-E，EAN8/JAN8，EAN13/JAN13，Code39，ITF(Interleaved 2 of 5=25交叉码)，Codabar，Code93，Code128等；支持PDF417和QR二维码打印；支持位图打印功能；支持点阵码打印；</w:t>
            </w:r>
          </w:p>
          <w:p w14:paraId="7165F018">
            <w:pPr>
              <w:adjustRightInd w:val="0"/>
              <w:snapToGrid w:val="0"/>
              <w:spacing w:line="300" w:lineRule="auto"/>
              <w:rPr>
                <w:rFonts w:ascii="宋体" w:hAnsi="宋体" w:eastAsia="宋体" w:cs="宋体"/>
                <w:szCs w:val="21"/>
              </w:rPr>
            </w:pPr>
            <w:r>
              <w:rPr>
                <w:rFonts w:hint="eastAsia" w:ascii="宋体" w:hAnsi="宋体" w:eastAsia="宋体" w:cs="宋体"/>
                <w:szCs w:val="21"/>
              </w:rPr>
              <w:t>2.11接口类型：USB2.0或以上</w:t>
            </w:r>
            <w:r>
              <w:rPr>
                <w:rFonts w:ascii="宋体" w:hAnsi="宋体" w:eastAsia="宋体" w:cs="宋体"/>
                <w:szCs w:val="21"/>
              </w:rPr>
              <w:t>。</w:t>
            </w:r>
          </w:p>
          <w:p w14:paraId="78930AF2">
            <w:pPr>
              <w:adjustRightInd w:val="0"/>
              <w:snapToGrid w:val="0"/>
              <w:spacing w:line="300" w:lineRule="auto"/>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b/>
                <w:bCs/>
                <w:szCs w:val="21"/>
              </w:rPr>
              <w:t>（3）阅读器</w:t>
            </w:r>
          </w:p>
          <w:p w14:paraId="73B854BB">
            <w:pPr>
              <w:adjustRightInd w:val="0"/>
              <w:snapToGrid w:val="0"/>
              <w:spacing w:line="300" w:lineRule="auto"/>
              <w:rPr>
                <w:rFonts w:ascii="宋体" w:hAnsi="宋体" w:eastAsia="宋体" w:cs="宋体"/>
                <w:szCs w:val="21"/>
              </w:rPr>
            </w:pPr>
            <w:r>
              <w:rPr>
                <w:rFonts w:hint="eastAsia" w:ascii="宋体" w:hAnsi="宋体" w:eastAsia="宋体" w:cs="宋体"/>
                <w:szCs w:val="21"/>
              </w:rPr>
              <w:t>3.1类型：OCR阅读方式，具备自学习功能，支持点阵码识别；支持常用一维条码识别，如：UPC、EAN、39码、128码、25交叉码；支持PDF417和QR二维码识别</w:t>
            </w:r>
            <w:r>
              <w:rPr>
                <w:rFonts w:ascii="宋体" w:hAnsi="宋体" w:eastAsia="宋体" w:cs="宋体"/>
                <w:szCs w:val="21"/>
              </w:rPr>
              <w:t>；</w:t>
            </w:r>
          </w:p>
          <w:p w14:paraId="1BC11EBD">
            <w:pPr>
              <w:adjustRightInd w:val="0"/>
              <w:snapToGrid w:val="0"/>
              <w:spacing w:line="300" w:lineRule="auto"/>
              <w:rPr>
                <w:rFonts w:ascii="宋体" w:hAnsi="宋体" w:eastAsia="宋体" w:cs="宋体"/>
                <w:szCs w:val="21"/>
              </w:rPr>
            </w:pPr>
            <w:r>
              <w:rPr>
                <w:rFonts w:hint="eastAsia" w:ascii="宋体" w:hAnsi="宋体" w:eastAsia="宋体" w:cs="宋体"/>
                <w:szCs w:val="21"/>
              </w:rPr>
              <w:t>3.2读票规范：宽度：80mm/A4(210mm )，长度50mm～300mm</w:t>
            </w:r>
            <w:r>
              <w:rPr>
                <w:rFonts w:ascii="宋体" w:hAnsi="宋体" w:eastAsia="宋体" w:cs="宋体"/>
                <w:szCs w:val="21"/>
              </w:rPr>
              <w:t>；</w:t>
            </w:r>
          </w:p>
          <w:p w14:paraId="6742759A">
            <w:pPr>
              <w:adjustRightInd w:val="0"/>
              <w:snapToGrid w:val="0"/>
              <w:spacing w:line="300" w:lineRule="auto"/>
              <w:rPr>
                <w:rFonts w:ascii="宋体" w:hAnsi="宋体" w:eastAsia="宋体" w:cs="宋体"/>
                <w:szCs w:val="21"/>
              </w:rPr>
            </w:pPr>
            <w:r>
              <w:rPr>
                <w:rFonts w:hint="eastAsia" w:ascii="宋体" w:hAnsi="宋体" w:eastAsia="宋体" w:cs="宋体"/>
                <w:szCs w:val="21"/>
              </w:rPr>
              <w:t>3.3读票速度：≥500mm/s</w:t>
            </w:r>
            <w:r>
              <w:rPr>
                <w:rFonts w:ascii="宋体" w:hAnsi="宋体" w:eastAsia="宋体" w:cs="宋体"/>
                <w:szCs w:val="21"/>
              </w:rPr>
              <w:t>；</w:t>
            </w:r>
          </w:p>
          <w:p w14:paraId="2E404C3E">
            <w:pPr>
              <w:adjustRightInd w:val="0"/>
              <w:snapToGrid w:val="0"/>
              <w:spacing w:line="300" w:lineRule="auto"/>
              <w:rPr>
                <w:rFonts w:ascii="宋体" w:hAnsi="宋体" w:eastAsia="宋体" w:cs="宋体"/>
                <w:szCs w:val="21"/>
              </w:rPr>
            </w:pPr>
            <w:r>
              <w:rPr>
                <w:rFonts w:hint="eastAsia" w:ascii="宋体" w:hAnsi="宋体" w:eastAsia="宋体" w:cs="宋体"/>
                <w:szCs w:val="21"/>
              </w:rPr>
              <w:t>3.4图像分辨率：≥600dpi</w:t>
            </w:r>
            <w:r>
              <w:rPr>
                <w:rFonts w:ascii="宋体" w:hAnsi="宋体" w:eastAsia="宋体" w:cs="宋体"/>
                <w:szCs w:val="21"/>
              </w:rPr>
              <w:t>；</w:t>
            </w:r>
          </w:p>
          <w:p w14:paraId="5E4FE8E2">
            <w:pPr>
              <w:adjustRightInd w:val="0"/>
              <w:snapToGrid w:val="0"/>
              <w:spacing w:line="300" w:lineRule="auto"/>
              <w:rPr>
                <w:rFonts w:ascii="宋体" w:hAnsi="宋体" w:eastAsia="宋体" w:cs="宋体"/>
                <w:szCs w:val="21"/>
              </w:rPr>
            </w:pPr>
            <w:r>
              <w:rPr>
                <w:rFonts w:hint="eastAsia" w:ascii="宋体" w:hAnsi="宋体" w:eastAsia="宋体" w:cs="宋体"/>
                <w:szCs w:val="21"/>
              </w:rPr>
              <w:t>3.5使用寿命：MCBF≥200万张</w:t>
            </w:r>
            <w:r>
              <w:rPr>
                <w:rFonts w:ascii="宋体" w:hAnsi="宋体" w:eastAsia="宋体" w:cs="宋体"/>
                <w:szCs w:val="21"/>
              </w:rPr>
              <w:t>；</w:t>
            </w:r>
          </w:p>
          <w:p w14:paraId="6E6F54F2">
            <w:pPr>
              <w:adjustRightInd w:val="0"/>
              <w:snapToGrid w:val="0"/>
              <w:spacing w:line="300" w:lineRule="auto"/>
              <w:rPr>
                <w:rFonts w:ascii="宋体" w:hAnsi="宋体" w:eastAsia="宋体" w:cs="宋体"/>
                <w:szCs w:val="21"/>
              </w:rPr>
            </w:pPr>
            <w:r>
              <w:rPr>
                <w:rFonts w:hint="eastAsia" w:ascii="宋体" w:hAnsi="宋体" w:eastAsia="宋体" w:cs="宋体"/>
                <w:szCs w:val="21"/>
              </w:rPr>
              <w:t>3.6识别率：≥99.9%</w:t>
            </w:r>
            <w:r>
              <w:rPr>
                <w:rFonts w:ascii="宋体" w:hAnsi="宋体" w:eastAsia="宋体" w:cs="宋体"/>
                <w:szCs w:val="21"/>
              </w:rPr>
              <w:t>；</w:t>
            </w:r>
          </w:p>
          <w:p w14:paraId="4224AA82">
            <w:pPr>
              <w:adjustRightInd w:val="0"/>
              <w:snapToGrid w:val="0"/>
              <w:spacing w:line="300" w:lineRule="auto"/>
              <w:rPr>
                <w:rFonts w:ascii="宋体" w:hAnsi="宋体" w:eastAsia="宋体" w:cs="宋体"/>
                <w:szCs w:val="21"/>
              </w:rPr>
            </w:pPr>
            <w:r>
              <w:rPr>
                <w:rFonts w:hint="eastAsia" w:ascii="宋体" w:hAnsi="宋体" w:eastAsia="宋体" w:cs="宋体"/>
                <w:szCs w:val="21"/>
              </w:rPr>
              <w:t>3.7填涂方式：支持铅笔、签字笔和其他蓝/黑色常用笔填涂</w:t>
            </w:r>
            <w:r>
              <w:rPr>
                <w:rFonts w:ascii="宋体" w:hAnsi="宋体" w:eastAsia="宋体" w:cs="宋体"/>
                <w:szCs w:val="21"/>
              </w:rPr>
              <w:t>；</w:t>
            </w:r>
          </w:p>
          <w:p w14:paraId="47D586DC">
            <w:pPr>
              <w:adjustRightInd w:val="0"/>
              <w:snapToGrid w:val="0"/>
              <w:spacing w:line="300" w:lineRule="auto"/>
              <w:rPr>
                <w:rFonts w:ascii="宋体" w:hAnsi="宋体" w:eastAsia="宋体" w:cs="宋体"/>
                <w:szCs w:val="21"/>
              </w:rPr>
            </w:pPr>
            <w:r>
              <w:rPr>
                <w:rFonts w:hint="eastAsia" w:ascii="宋体" w:hAnsi="宋体" w:eastAsia="宋体" w:cs="宋体"/>
                <w:szCs w:val="21"/>
              </w:rPr>
              <w:t>3.8智能识别：支持兑奖票和投注单自动识别</w:t>
            </w:r>
            <w:r>
              <w:rPr>
                <w:rFonts w:ascii="宋体" w:hAnsi="宋体" w:eastAsia="宋体" w:cs="宋体"/>
                <w:szCs w:val="21"/>
              </w:rPr>
              <w:t>；</w:t>
            </w:r>
          </w:p>
          <w:p w14:paraId="3D6A9BE6">
            <w:pPr>
              <w:adjustRightInd w:val="0"/>
              <w:snapToGrid w:val="0"/>
              <w:spacing w:line="300" w:lineRule="auto"/>
              <w:rPr>
                <w:rFonts w:ascii="宋体" w:hAnsi="宋体" w:eastAsia="宋体" w:cs="宋体"/>
                <w:szCs w:val="21"/>
              </w:rPr>
            </w:pPr>
            <w:r>
              <w:rPr>
                <w:rFonts w:hint="eastAsia" w:ascii="宋体" w:hAnsi="宋体" w:eastAsia="宋体" w:cs="宋体"/>
                <w:szCs w:val="21"/>
              </w:rPr>
              <w:t>3.9标记打印功能：可标记打印已作废、金额等进行兑奖标记打印，不同中奖金额的标记打印；支持中文、西文、位图打印；打印位置可调、打印内容可编辑；打印宽度：≥36mm；打印速度：≥200mm/s；打印头寿命：≥50km</w:t>
            </w:r>
            <w:r>
              <w:rPr>
                <w:rFonts w:ascii="宋体" w:hAnsi="宋体" w:eastAsia="宋体" w:cs="宋体"/>
                <w:szCs w:val="21"/>
              </w:rPr>
              <w:t>；</w:t>
            </w:r>
          </w:p>
          <w:p w14:paraId="142F8DE9">
            <w:pPr>
              <w:adjustRightInd w:val="0"/>
              <w:snapToGrid w:val="0"/>
              <w:spacing w:line="300" w:lineRule="auto"/>
              <w:rPr>
                <w:rFonts w:ascii="宋体" w:hAnsi="宋体" w:eastAsia="宋体" w:cs="宋体"/>
                <w:szCs w:val="21"/>
              </w:rPr>
            </w:pPr>
            <w:r>
              <w:rPr>
                <w:rFonts w:hint="eastAsia" w:ascii="宋体" w:hAnsi="宋体" w:eastAsia="宋体" w:cs="宋体"/>
                <w:szCs w:val="21"/>
              </w:rPr>
              <w:t>3.10硬件接口：USB2.0或以上接口</w:t>
            </w:r>
            <w:r>
              <w:rPr>
                <w:rFonts w:ascii="宋体" w:hAnsi="宋体" w:eastAsia="宋体" w:cs="宋体"/>
                <w:szCs w:val="21"/>
              </w:rPr>
              <w:t>；</w:t>
            </w:r>
          </w:p>
          <w:p w14:paraId="4E4F4E1C">
            <w:pPr>
              <w:adjustRightInd w:val="0"/>
              <w:snapToGrid w:val="0"/>
              <w:spacing w:line="300" w:lineRule="auto"/>
              <w:rPr>
                <w:rFonts w:ascii="宋体" w:hAnsi="宋体" w:eastAsia="宋体" w:cs="宋体"/>
                <w:szCs w:val="21"/>
              </w:rPr>
            </w:pPr>
            <w:r>
              <w:rPr>
                <w:rFonts w:hint="eastAsia" w:ascii="宋体" w:hAnsi="宋体" w:eastAsia="宋体" w:cs="宋体"/>
                <w:szCs w:val="21"/>
              </w:rPr>
              <w:t>3.11阅读器集票功能：支持。</w:t>
            </w:r>
          </w:p>
          <w:p w14:paraId="31539A30">
            <w:pPr>
              <w:adjustRightInd w:val="0"/>
              <w:snapToGrid w:val="0"/>
              <w:spacing w:line="300" w:lineRule="auto"/>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b/>
                <w:bCs/>
                <w:szCs w:val="21"/>
              </w:rPr>
              <w:t>（4）主显屏</w:t>
            </w:r>
          </w:p>
          <w:p w14:paraId="52F070F4">
            <w:pPr>
              <w:adjustRightInd w:val="0"/>
              <w:snapToGrid w:val="0"/>
              <w:spacing w:line="300" w:lineRule="auto"/>
              <w:rPr>
                <w:rFonts w:ascii="宋体" w:hAnsi="宋体" w:eastAsia="宋体" w:cs="宋体"/>
                <w:szCs w:val="21"/>
              </w:rPr>
            </w:pPr>
            <w:r>
              <w:rPr>
                <w:rFonts w:hint="eastAsia" w:ascii="宋体" w:hAnsi="宋体" w:eastAsia="宋体" w:cs="宋体"/>
                <w:szCs w:val="21"/>
              </w:rPr>
              <w:t>4.1背光源寿命：≥50000小时</w:t>
            </w:r>
            <w:r>
              <w:rPr>
                <w:rFonts w:hint="eastAsia" w:ascii="宋体" w:hAnsi="宋体" w:eastAsia="宋体" w:cs="宋体"/>
                <w:b/>
                <w:szCs w:val="21"/>
              </w:rPr>
              <w:t>；</w:t>
            </w:r>
          </w:p>
          <w:p w14:paraId="5E79D04C">
            <w:pPr>
              <w:adjustRightInd w:val="0"/>
              <w:snapToGrid w:val="0"/>
              <w:spacing w:line="300" w:lineRule="auto"/>
              <w:rPr>
                <w:rFonts w:ascii="宋体" w:hAnsi="宋体" w:eastAsia="宋体" w:cs="宋体"/>
                <w:szCs w:val="21"/>
              </w:rPr>
            </w:pPr>
            <w:r>
              <w:rPr>
                <w:rFonts w:hint="eastAsia" w:ascii="宋体" w:hAnsi="宋体" w:eastAsia="宋体" w:cs="宋体"/>
                <w:szCs w:val="21"/>
              </w:rPr>
              <w:t>4.2亮度：≥300cd/㎡（可调）；</w:t>
            </w:r>
          </w:p>
          <w:p w14:paraId="1810F8F4">
            <w:pPr>
              <w:adjustRightInd w:val="0"/>
              <w:snapToGrid w:val="0"/>
              <w:spacing w:line="300" w:lineRule="auto"/>
              <w:rPr>
                <w:rFonts w:ascii="宋体" w:hAnsi="宋体" w:eastAsia="宋体" w:cs="宋体"/>
                <w:szCs w:val="21"/>
              </w:rPr>
            </w:pPr>
            <w:r>
              <w:rPr>
                <w:rFonts w:hint="eastAsia" w:ascii="宋体" w:hAnsi="宋体" w:eastAsia="宋体" w:cs="宋体"/>
                <w:szCs w:val="21"/>
              </w:rPr>
              <w:t>4.3对比度：≥2500：1（可调）</w:t>
            </w:r>
            <w:r>
              <w:rPr>
                <w:rFonts w:ascii="宋体" w:hAnsi="宋体" w:eastAsia="宋体" w:cs="宋体"/>
                <w:szCs w:val="21"/>
              </w:rPr>
              <w:t>；</w:t>
            </w:r>
          </w:p>
          <w:p w14:paraId="1F1683D2">
            <w:pPr>
              <w:adjustRightInd w:val="0"/>
              <w:snapToGrid w:val="0"/>
              <w:spacing w:line="300" w:lineRule="auto"/>
              <w:rPr>
                <w:rFonts w:hint="eastAsia" w:ascii="宋体" w:hAnsi="宋体" w:eastAsia="宋体" w:cs="宋体"/>
                <w:szCs w:val="21"/>
              </w:rPr>
            </w:pPr>
            <w:r>
              <w:rPr>
                <w:rFonts w:hint="eastAsia" w:ascii="宋体" w:hAnsi="宋体" w:eastAsia="宋体" w:cs="宋体"/>
                <w:b/>
                <w:szCs w:val="21"/>
              </w:rPr>
              <w:t>（4.1-4.3项，投标文件中提供第三方机构出具的具有CMA标识的检测报告）。</w:t>
            </w:r>
          </w:p>
          <w:p w14:paraId="484E27EA">
            <w:pPr>
              <w:adjustRightInd w:val="0"/>
              <w:snapToGrid w:val="0"/>
              <w:spacing w:line="300" w:lineRule="auto"/>
              <w:rPr>
                <w:rFonts w:ascii="宋体" w:hAnsi="宋体" w:eastAsia="宋体" w:cs="宋体"/>
                <w:szCs w:val="21"/>
              </w:rPr>
            </w:pPr>
            <w:r>
              <w:rPr>
                <w:rFonts w:hint="eastAsia" w:ascii="宋体" w:hAnsi="宋体" w:eastAsia="宋体" w:cs="宋体"/>
                <w:szCs w:val="21"/>
              </w:rPr>
              <w:t>4.4尺寸：≥15英寸</w:t>
            </w:r>
            <w:r>
              <w:rPr>
                <w:rFonts w:ascii="宋体" w:hAnsi="宋体" w:eastAsia="宋体" w:cs="宋体"/>
                <w:szCs w:val="21"/>
              </w:rPr>
              <w:t>；</w:t>
            </w:r>
          </w:p>
          <w:p w14:paraId="729A499F">
            <w:pPr>
              <w:adjustRightInd w:val="0"/>
              <w:snapToGrid w:val="0"/>
              <w:spacing w:line="300" w:lineRule="auto"/>
              <w:rPr>
                <w:rFonts w:ascii="宋体" w:hAnsi="宋体" w:eastAsia="宋体" w:cs="宋体"/>
                <w:szCs w:val="21"/>
              </w:rPr>
            </w:pPr>
            <w:r>
              <w:rPr>
                <w:rFonts w:hint="eastAsia" w:ascii="宋体" w:hAnsi="宋体" w:eastAsia="宋体" w:cs="宋体"/>
                <w:szCs w:val="21"/>
              </w:rPr>
              <w:t>4.5触摸屏：配置15英寸或以上电容触摸屏</w:t>
            </w:r>
            <w:r>
              <w:rPr>
                <w:rFonts w:ascii="宋体" w:hAnsi="宋体" w:eastAsia="宋体" w:cs="宋体"/>
                <w:szCs w:val="21"/>
              </w:rPr>
              <w:t>；</w:t>
            </w:r>
          </w:p>
          <w:p w14:paraId="594B3B7B">
            <w:pPr>
              <w:adjustRightInd w:val="0"/>
              <w:snapToGrid w:val="0"/>
              <w:spacing w:line="300" w:lineRule="auto"/>
              <w:rPr>
                <w:rFonts w:ascii="宋体" w:hAnsi="宋体" w:eastAsia="宋体" w:cs="宋体"/>
                <w:szCs w:val="21"/>
              </w:rPr>
            </w:pPr>
            <w:r>
              <w:rPr>
                <w:rFonts w:hint="eastAsia" w:ascii="宋体" w:hAnsi="宋体" w:eastAsia="宋体" w:cs="宋体"/>
                <w:szCs w:val="21"/>
              </w:rPr>
              <w:t>4.6分辨率：≥1024×768</w:t>
            </w:r>
            <w:r>
              <w:rPr>
                <w:rFonts w:ascii="宋体" w:hAnsi="宋体" w:eastAsia="宋体" w:cs="宋体"/>
                <w:szCs w:val="21"/>
              </w:rPr>
              <w:t>；</w:t>
            </w:r>
          </w:p>
          <w:p w14:paraId="5C0EEACC">
            <w:pPr>
              <w:adjustRightInd w:val="0"/>
              <w:snapToGrid w:val="0"/>
              <w:spacing w:line="300" w:lineRule="auto"/>
              <w:jc w:val="left"/>
              <w:rPr>
                <w:rFonts w:ascii="宋体" w:hAnsi="宋体" w:eastAsia="宋体" w:cs="宋体"/>
                <w:szCs w:val="21"/>
              </w:rPr>
            </w:pPr>
            <w:r>
              <w:rPr>
                <w:rFonts w:hint="eastAsia" w:ascii="宋体" w:hAnsi="宋体" w:eastAsia="宋体" w:cs="宋体"/>
                <w:szCs w:val="21"/>
              </w:rPr>
              <w:t>4.7角度：倾仰角度可调节范围≥30°；</w:t>
            </w:r>
          </w:p>
          <w:p w14:paraId="493F6FFC">
            <w:pPr>
              <w:adjustRightInd w:val="0"/>
              <w:snapToGrid w:val="0"/>
              <w:spacing w:line="300" w:lineRule="auto"/>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b/>
                <w:bCs/>
                <w:szCs w:val="21"/>
              </w:rPr>
              <w:t>（5）副屏</w:t>
            </w:r>
          </w:p>
          <w:p w14:paraId="0281C3FE">
            <w:pPr>
              <w:adjustRightInd w:val="0"/>
              <w:snapToGrid w:val="0"/>
              <w:spacing w:line="300" w:lineRule="auto"/>
              <w:rPr>
                <w:rFonts w:ascii="宋体" w:hAnsi="宋体" w:eastAsia="宋体" w:cs="宋体"/>
                <w:szCs w:val="21"/>
              </w:rPr>
            </w:pPr>
            <w:r>
              <w:rPr>
                <w:rFonts w:hint="eastAsia" w:ascii="宋体" w:hAnsi="宋体" w:eastAsia="宋体" w:cs="宋体"/>
                <w:szCs w:val="21"/>
              </w:rPr>
              <w:t>5.1尺寸：≥10英寸</w:t>
            </w:r>
            <w:r>
              <w:rPr>
                <w:rFonts w:ascii="宋体" w:hAnsi="宋体" w:eastAsia="宋体" w:cs="宋体"/>
                <w:szCs w:val="21"/>
              </w:rPr>
              <w:t>；</w:t>
            </w:r>
          </w:p>
          <w:p w14:paraId="762C4B18">
            <w:pPr>
              <w:adjustRightInd w:val="0"/>
              <w:snapToGrid w:val="0"/>
              <w:spacing w:line="300" w:lineRule="auto"/>
              <w:rPr>
                <w:rFonts w:ascii="宋体" w:hAnsi="宋体" w:eastAsia="宋体" w:cs="宋体"/>
                <w:szCs w:val="21"/>
              </w:rPr>
            </w:pPr>
            <w:r>
              <w:rPr>
                <w:rFonts w:hint="eastAsia" w:ascii="宋体" w:hAnsi="宋体" w:eastAsia="宋体" w:cs="宋体"/>
                <w:szCs w:val="21"/>
              </w:rPr>
              <w:t>5.2触摸屏：副屏配置10英寸或以上电容触摸屏</w:t>
            </w:r>
            <w:r>
              <w:rPr>
                <w:rFonts w:ascii="宋体" w:hAnsi="宋体" w:eastAsia="宋体" w:cs="宋体"/>
                <w:szCs w:val="21"/>
              </w:rPr>
              <w:t>；</w:t>
            </w:r>
          </w:p>
          <w:p w14:paraId="5DF219D5">
            <w:pPr>
              <w:adjustRightInd w:val="0"/>
              <w:snapToGrid w:val="0"/>
              <w:spacing w:line="300" w:lineRule="auto"/>
              <w:rPr>
                <w:rFonts w:ascii="宋体" w:hAnsi="宋体" w:eastAsia="宋体" w:cs="宋体"/>
                <w:szCs w:val="21"/>
              </w:rPr>
            </w:pPr>
            <w:r>
              <w:rPr>
                <w:rFonts w:hint="eastAsia" w:ascii="宋体" w:hAnsi="宋体" w:eastAsia="宋体" w:cs="宋体"/>
                <w:szCs w:val="21"/>
              </w:rPr>
              <w:t>5.3分辨率：≥1024×600</w:t>
            </w:r>
            <w:r>
              <w:rPr>
                <w:rFonts w:ascii="宋体" w:hAnsi="宋体" w:eastAsia="宋体" w:cs="宋体"/>
                <w:szCs w:val="21"/>
              </w:rPr>
              <w:t>。</w:t>
            </w:r>
          </w:p>
          <w:p w14:paraId="409C6BD3">
            <w:pPr>
              <w:adjustRightInd w:val="0"/>
              <w:snapToGrid w:val="0"/>
              <w:spacing w:line="300" w:lineRule="auto"/>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b/>
                <w:bCs/>
                <w:szCs w:val="21"/>
              </w:rPr>
              <w:t>（6）键盘</w:t>
            </w:r>
          </w:p>
          <w:p w14:paraId="3B69E08E">
            <w:pPr>
              <w:adjustRightInd w:val="0"/>
              <w:snapToGrid w:val="0"/>
              <w:spacing w:line="300" w:lineRule="auto"/>
              <w:rPr>
                <w:rFonts w:hint="eastAsia" w:ascii="宋体" w:hAnsi="宋体" w:eastAsia="宋体" w:cs="宋体"/>
                <w:szCs w:val="21"/>
              </w:rPr>
            </w:pPr>
            <w:r>
              <w:rPr>
                <w:rFonts w:hint="eastAsia" w:ascii="宋体" w:hAnsi="宋体" w:eastAsia="宋体" w:cs="宋体"/>
                <w:szCs w:val="21"/>
              </w:rPr>
              <w:t>6.1使用寿命：按键次数寿命≥2000万次</w:t>
            </w:r>
            <w:r>
              <w:rPr>
                <w:rFonts w:hint="eastAsia" w:ascii="宋体" w:hAnsi="宋体" w:eastAsia="宋体" w:cs="宋体"/>
                <w:b/>
                <w:szCs w:val="21"/>
              </w:rPr>
              <w:t>（投标文件中提供第三方机构出具的具有CMA标识的检测报告）。</w:t>
            </w:r>
          </w:p>
          <w:p w14:paraId="075C839C">
            <w:pPr>
              <w:adjustRightInd w:val="0"/>
              <w:snapToGrid w:val="0"/>
              <w:spacing w:line="300" w:lineRule="auto"/>
              <w:rPr>
                <w:rFonts w:ascii="宋体" w:hAnsi="宋体" w:eastAsia="宋体" w:cs="宋体"/>
                <w:szCs w:val="21"/>
              </w:rPr>
            </w:pPr>
            <w:r>
              <w:rPr>
                <w:rFonts w:hint="eastAsia" w:ascii="宋体" w:hAnsi="宋体" w:eastAsia="宋体" w:cs="宋体"/>
                <w:szCs w:val="21"/>
              </w:rPr>
              <w:t>6.2类型：可编程加密键盘，防尘防水设计，按键数≥48键</w:t>
            </w:r>
            <w:r>
              <w:rPr>
                <w:rFonts w:ascii="宋体" w:hAnsi="宋体" w:eastAsia="宋体" w:cs="宋体"/>
                <w:szCs w:val="21"/>
              </w:rPr>
              <w:t>。</w:t>
            </w:r>
          </w:p>
          <w:p w14:paraId="2B560EA7">
            <w:pPr>
              <w:adjustRightInd w:val="0"/>
              <w:snapToGrid w:val="0"/>
              <w:spacing w:line="300" w:lineRule="auto"/>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b/>
                <w:bCs/>
                <w:szCs w:val="21"/>
              </w:rPr>
              <w:t>（7）网络</w:t>
            </w:r>
          </w:p>
          <w:p w14:paraId="4E5955B4">
            <w:pPr>
              <w:adjustRightInd w:val="0"/>
              <w:snapToGrid w:val="0"/>
              <w:spacing w:line="300" w:lineRule="auto"/>
              <w:rPr>
                <w:rFonts w:ascii="宋体" w:hAnsi="宋体" w:eastAsia="宋体" w:cs="宋体"/>
                <w:szCs w:val="21"/>
              </w:rPr>
            </w:pPr>
            <w:r>
              <w:rPr>
                <w:rFonts w:hint="eastAsia" w:ascii="宋体" w:hAnsi="宋体" w:eastAsia="宋体" w:cs="宋体"/>
                <w:szCs w:val="21"/>
              </w:rPr>
              <w:t>7.1网卡：板载10/100/1000Mbps以太网口</w:t>
            </w:r>
            <w:r>
              <w:rPr>
                <w:rFonts w:ascii="宋体" w:hAnsi="宋体" w:eastAsia="宋体" w:cs="宋体"/>
                <w:szCs w:val="21"/>
              </w:rPr>
              <w:t>；</w:t>
            </w:r>
          </w:p>
          <w:p w14:paraId="3107FCB0">
            <w:pPr>
              <w:adjustRightInd w:val="0"/>
              <w:snapToGrid w:val="0"/>
              <w:spacing w:line="300" w:lineRule="auto"/>
              <w:rPr>
                <w:rFonts w:ascii="宋体" w:hAnsi="宋体" w:eastAsia="宋体" w:cs="宋体"/>
                <w:szCs w:val="21"/>
              </w:rPr>
            </w:pPr>
            <w:r>
              <w:rPr>
                <w:rFonts w:hint="eastAsia" w:ascii="宋体" w:hAnsi="宋体" w:eastAsia="宋体" w:cs="宋体"/>
                <w:szCs w:val="21"/>
              </w:rPr>
              <w:t>7.2扩展：支持3G/4G等无线通讯方式；支持ADSL、光纤Modem等有线通讯方式；具备通用的备份通信接口，串口、USB口以及以太网口</w:t>
            </w:r>
            <w:r>
              <w:rPr>
                <w:rFonts w:ascii="宋体" w:hAnsi="宋体" w:eastAsia="宋体" w:cs="宋体"/>
                <w:szCs w:val="21"/>
              </w:rPr>
              <w:t>。</w:t>
            </w:r>
          </w:p>
          <w:p w14:paraId="133ECBFB">
            <w:pPr>
              <w:adjustRightInd w:val="0"/>
              <w:snapToGrid w:val="0"/>
              <w:spacing w:line="300" w:lineRule="auto"/>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b/>
                <w:bCs/>
                <w:szCs w:val="21"/>
              </w:rPr>
              <w:t>（8）音频</w:t>
            </w:r>
          </w:p>
          <w:p w14:paraId="5AFB2224">
            <w:pPr>
              <w:adjustRightInd w:val="0"/>
              <w:snapToGrid w:val="0"/>
              <w:spacing w:line="300" w:lineRule="auto"/>
              <w:rPr>
                <w:rFonts w:ascii="宋体" w:hAnsi="宋体" w:eastAsia="宋体" w:cs="宋体"/>
                <w:szCs w:val="21"/>
              </w:rPr>
            </w:pPr>
            <w:r>
              <w:rPr>
                <w:rFonts w:hint="eastAsia" w:ascii="宋体" w:hAnsi="宋体" w:eastAsia="宋体" w:cs="宋体"/>
                <w:szCs w:val="21"/>
              </w:rPr>
              <w:t>内置扬声器：喇叭数量≥2个，功率≥3W</w:t>
            </w:r>
          </w:p>
          <w:p w14:paraId="25263CC9">
            <w:pPr>
              <w:adjustRightInd w:val="0"/>
              <w:snapToGrid w:val="0"/>
              <w:spacing w:line="300" w:lineRule="auto"/>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b/>
                <w:bCs/>
                <w:szCs w:val="21"/>
              </w:rPr>
              <w:t>（9）电源</w:t>
            </w:r>
          </w:p>
          <w:p w14:paraId="751ED072">
            <w:pPr>
              <w:adjustRightInd w:val="0"/>
              <w:snapToGrid w:val="0"/>
              <w:spacing w:line="300" w:lineRule="auto"/>
              <w:rPr>
                <w:rFonts w:ascii="宋体" w:hAnsi="宋体" w:eastAsia="宋体" w:cs="宋体"/>
                <w:szCs w:val="21"/>
              </w:rPr>
            </w:pPr>
            <w:r>
              <w:rPr>
                <w:rFonts w:hint="eastAsia" w:ascii="宋体" w:hAnsi="宋体" w:eastAsia="宋体" w:cs="宋体"/>
                <w:szCs w:val="21"/>
              </w:rPr>
              <w:t>9.1类型：内置工业级、模块化、ATX电源</w:t>
            </w:r>
            <w:r>
              <w:rPr>
                <w:rFonts w:ascii="宋体" w:hAnsi="宋体" w:eastAsia="宋体" w:cs="宋体"/>
                <w:szCs w:val="21"/>
              </w:rPr>
              <w:t>；</w:t>
            </w:r>
          </w:p>
          <w:p w14:paraId="7CA5D878">
            <w:pPr>
              <w:adjustRightInd w:val="0"/>
              <w:snapToGrid w:val="0"/>
              <w:spacing w:line="300" w:lineRule="auto"/>
              <w:rPr>
                <w:rFonts w:ascii="宋体" w:hAnsi="宋体" w:eastAsia="宋体" w:cs="宋体"/>
                <w:szCs w:val="21"/>
              </w:rPr>
            </w:pPr>
            <w:r>
              <w:rPr>
                <w:rFonts w:hint="eastAsia" w:ascii="宋体" w:hAnsi="宋体" w:eastAsia="宋体" w:cs="宋体"/>
                <w:szCs w:val="21"/>
              </w:rPr>
              <w:t>9.2频率：50Hz/60Hz</w:t>
            </w:r>
            <w:r>
              <w:rPr>
                <w:rFonts w:ascii="宋体" w:hAnsi="宋体" w:eastAsia="宋体" w:cs="宋体"/>
                <w:szCs w:val="21"/>
              </w:rPr>
              <w:t>；</w:t>
            </w:r>
          </w:p>
          <w:p w14:paraId="24AC1D5D">
            <w:pPr>
              <w:adjustRightInd w:val="0"/>
              <w:snapToGrid w:val="0"/>
              <w:spacing w:line="300" w:lineRule="auto"/>
              <w:rPr>
                <w:rFonts w:ascii="宋体" w:hAnsi="宋体" w:eastAsia="宋体" w:cs="宋体"/>
                <w:szCs w:val="21"/>
              </w:rPr>
            </w:pPr>
            <w:r>
              <w:rPr>
                <w:rFonts w:hint="eastAsia" w:ascii="宋体" w:hAnsi="宋体" w:eastAsia="宋体" w:cs="宋体"/>
                <w:szCs w:val="21"/>
              </w:rPr>
              <w:t>9.3工作电压：AC100V～240V</w:t>
            </w:r>
            <w:r>
              <w:rPr>
                <w:rFonts w:ascii="宋体" w:hAnsi="宋体" w:eastAsia="宋体" w:cs="宋体"/>
                <w:szCs w:val="21"/>
              </w:rPr>
              <w:t>；</w:t>
            </w:r>
          </w:p>
          <w:p w14:paraId="11237027">
            <w:pPr>
              <w:adjustRightInd w:val="0"/>
              <w:snapToGrid w:val="0"/>
              <w:spacing w:line="300" w:lineRule="auto"/>
              <w:rPr>
                <w:rFonts w:ascii="宋体" w:hAnsi="宋体" w:eastAsia="宋体" w:cs="宋体"/>
                <w:szCs w:val="21"/>
              </w:rPr>
            </w:pPr>
            <w:r>
              <w:rPr>
                <w:rFonts w:hint="eastAsia" w:ascii="宋体" w:hAnsi="宋体" w:eastAsia="宋体" w:cs="宋体"/>
                <w:szCs w:val="21"/>
              </w:rPr>
              <w:t>9.4掉电保护：支持掉电保护功能≥15分钟</w:t>
            </w:r>
            <w:r>
              <w:rPr>
                <w:rFonts w:ascii="宋体" w:hAnsi="宋体" w:eastAsia="宋体" w:cs="宋体"/>
                <w:szCs w:val="21"/>
              </w:rPr>
              <w:t>；</w:t>
            </w:r>
          </w:p>
          <w:p w14:paraId="1B963C46">
            <w:pPr>
              <w:adjustRightInd w:val="0"/>
              <w:snapToGrid w:val="0"/>
              <w:spacing w:line="300" w:lineRule="auto"/>
              <w:rPr>
                <w:rFonts w:ascii="宋体" w:hAnsi="宋体" w:eastAsia="宋体" w:cs="宋体"/>
                <w:szCs w:val="21"/>
              </w:rPr>
            </w:pPr>
            <w:r>
              <w:rPr>
                <w:rFonts w:hint="eastAsia" w:ascii="宋体" w:hAnsi="宋体" w:eastAsia="宋体" w:cs="宋体"/>
                <w:szCs w:val="21"/>
              </w:rPr>
              <w:t>9.5使用寿命：MTBF≥40000小时</w:t>
            </w:r>
            <w:r>
              <w:rPr>
                <w:rFonts w:ascii="宋体" w:hAnsi="宋体" w:eastAsia="宋体" w:cs="宋体"/>
                <w:szCs w:val="21"/>
              </w:rPr>
              <w:t>。</w:t>
            </w:r>
          </w:p>
          <w:p w14:paraId="52C1BEE3">
            <w:pPr>
              <w:adjustRightInd w:val="0"/>
              <w:snapToGrid w:val="0"/>
              <w:spacing w:line="300" w:lineRule="auto"/>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b/>
                <w:bCs/>
                <w:szCs w:val="21"/>
              </w:rPr>
              <w:t>（10）整机</w:t>
            </w:r>
          </w:p>
          <w:p w14:paraId="430F6E7C">
            <w:pPr>
              <w:adjustRightInd w:val="0"/>
              <w:snapToGrid w:val="0"/>
              <w:spacing w:line="300" w:lineRule="auto"/>
              <w:rPr>
                <w:rFonts w:ascii="宋体" w:hAnsi="宋体" w:eastAsia="宋体" w:cs="宋体"/>
                <w:szCs w:val="21"/>
              </w:rPr>
            </w:pPr>
            <w:r>
              <w:rPr>
                <w:rFonts w:hint="eastAsia" w:ascii="宋体" w:hAnsi="宋体" w:eastAsia="宋体" w:cs="宋体"/>
                <w:szCs w:val="21"/>
              </w:rPr>
              <w:t>10.1使用寿命：MTBF≥20000小时</w:t>
            </w:r>
            <w:r>
              <w:rPr>
                <w:rFonts w:ascii="宋体" w:hAnsi="宋体" w:eastAsia="宋体" w:cs="宋体"/>
                <w:szCs w:val="21"/>
              </w:rPr>
              <w:t>；</w:t>
            </w:r>
          </w:p>
          <w:p w14:paraId="10F388B8">
            <w:pPr>
              <w:adjustRightInd w:val="0"/>
              <w:snapToGrid w:val="0"/>
              <w:spacing w:line="300" w:lineRule="auto"/>
              <w:rPr>
                <w:rFonts w:ascii="宋体" w:hAnsi="宋体" w:eastAsia="宋体" w:cs="宋体"/>
                <w:szCs w:val="21"/>
              </w:rPr>
            </w:pPr>
            <w:r>
              <w:rPr>
                <w:rFonts w:hint="eastAsia" w:ascii="宋体" w:hAnsi="宋体" w:eastAsia="宋体" w:cs="宋体"/>
                <w:szCs w:val="21"/>
              </w:rPr>
              <w:t>10.2工作温度：-5℃～50℃</w:t>
            </w:r>
            <w:r>
              <w:rPr>
                <w:rFonts w:ascii="宋体" w:hAnsi="宋体" w:eastAsia="宋体" w:cs="宋体"/>
                <w:szCs w:val="21"/>
              </w:rPr>
              <w:t>；</w:t>
            </w:r>
          </w:p>
          <w:p w14:paraId="474EB389">
            <w:pPr>
              <w:adjustRightInd w:val="0"/>
              <w:snapToGrid w:val="0"/>
              <w:spacing w:line="300" w:lineRule="auto"/>
              <w:rPr>
                <w:rFonts w:ascii="宋体" w:hAnsi="宋体" w:eastAsia="宋体" w:cs="宋体"/>
                <w:szCs w:val="21"/>
              </w:rPr>
            </w:pPr>
            <w:r>
              <w:rPr>
                <w:rFonts w:hint="eastAsia" w:ascii="宋体" w:hAnsi="宋体" w:eastAsia="宋体" w:cs="宋体"/>
                <w:szCs w:val="21"/>
              </w:rPr>
              <w:t>10.3贮存温度：-30℃～70℃</w:t>
            </w:r>
            <w:r>
              <w:rPr>
                <w:rFonts w:ascii="宋体" w:hAnsi="宋体" w:eastAsia="宋体" w:cs="宋体"/>
                <w:szCs w:val="21"/>
              </w:rPr>
              <w:t>；</w:t>
            </w:r>
          </w:p>
          <w:p w14:paraId="646AFBB7">
            <w:pPr>
              <w:adjustRightInd w:val="0"/>
              <w:snapToGrid w:val="0"/>
              <w:spacing w:line="300" w:lineRule="auto"/>
              <w:rPr>
                <w:rFonts w:ascii="宋体" w:hAnsi="宋体" w:eastAsia="宋体" w:cs="宋体"/>
                <w:szCs w:val="21"/>
              </w:rPr>
            </w:pPr>
            <w:r>
              <w:rPr>
                <w:rFonts w:hint="eastAsia" w:ascii="宋体" w:hAnsi="宋体" w:eastAsia="宋体" w:cs="宋体"/>
                <w:szCs w:val="21"/>
              </w:rPr>
              <w:t>10.4相对湿度：20％～93％RH</w:t>
            </w:r>
            <w:r>
              <w:rPr>
                <w:rFonts w:ascii="宋体" w:hAnsi="宋体" w:eastAsia="宋体" w:cs="宋体"/>
                <w:szCs w:val="21"/>
              </w:rPr>
              <w:t>。</w:t>
            </w:r>
          </w:p>
          <w:p w14:paraId="0600C26A">
            <w:pPr>
              <w:adjustRightInd w:val="0"/>
              <w:snapToGrid w:val="0"/>
              <w:spacing w:line="300" w:lineRule="auto"/>
              <w:rPr>
                <w:rFonts w:ascii="宋体" w:hAnsi="宋体" w:eastAsia="宋体" w:cs="宋体"/>
                <w:szCs w:val="21"/>
              </w:rPr>
            </w:pPr>
            <w:r>
              <w:rPr>
                <w:rFonts w:hint="eastAsia" w:ascii="宋体" w:hAnsi="宋体" w:eastAsia="宋体" w:cs="宋体"/>
                <w:color w:val="000000"/>
                <w:szCs w:val="21"/>
              </w:rPr>
              <w:t>■</w:t>
            </w:r>
            <w:r>
              <w:rPr>
                <w:rFonts w:hint="eastAsia" w:ascii="宋体" w:hAnsi="宋体" w:eastAsia="宋体" w:cs="宋体"/>
                <w:b/>
                <w:bCs/>
                <w:szCs w:val="21"/>
              </w:rPr>
              <w:t>（11）软件</w:t>
            </w:r>
          </w:p>
          <w:p w14:paraId="234B4DC2">
            <w:pPr>
              <w:adjustRightInd w:val="0"/>
              <w:snapToGrid w:val="0"/>
              <w:spacing w:line="300" w:lineRule="auto"/>
              <w:rPr>
                <w:rFonts w:ascii="宋体" w:hAnsi="宋体" w:eastAsia="宋体" w:cs="宋体"/>
                <w:szCs w:val="21"/>
              </w:rPr>
            </w:pPr>
            <w:r>
              <w:rPr>
                <w:rFonts w:hint="eastAsia" w:ascii="宋体" w:hAnsi="宋体" w:eastAsia="宋体" w:cs="宋体"/>
                <w:szCs w:val="21"/>
              </w:rPr>
              <w:t>操作系统：预装正版操作系统（支持Linux、QNX、WINCE、Windows等）</w:t>
            </w:r>
          </w:p>
          <w:p w14:paraId="43C208E1">
            <w:pPr>
              <w:keepNext/>
              <w:keepLines/>
              <w:adjustRightInd w:val="0"/>
              <w:snapToGrid w:val="0"/>
              <w:spacing w:line="300" w:lineRule="auto"/>
              <w:outlineLvl w:val="3"/>
              <w:rPr>
                <w:rFonts w:ascii="宋体" w:hAnsi="宋体" w:eastAsia="宋体" w:cs="宋体"/>
                <w:b/>
                <w:bCs/>
                <w:szCs w:val="21"/>
              </w:rPr>
            </w:pPr>
            <w:r>
              <w:rPr>
                <w:rFonts w:hint="eastAsia" w:ascii="宋体" w:hAnsi="宋体" w:eastAsia="宋体" w:cs="宋体"/>
                <w:b/>
                <w:bCs/>
                <w:szCs w:val="21"/>
              </w:rPr>
              <w:t>2、投注机软件技术要求</w:t>
            </w:r>
          </w:p>
          <w:p w14:paraId="56468FDA">
            <w:pPr>
              <w:adjustRightInd w:val="0"/>
              <w:snapToGrid w:val="0"/>
              <w:spacing w:line="300" w:lineRule="auto"/>
              <w:rPr>
                <w:rFonts w:ascii="宋体" w:hAnsi="宋体" w:eastAsia="宋体" w:cs="宋体"/>
                <w:b/>
                <w:szCs w:val="21"/>
              </w:rPr>
            </w:pPr>
            <w:r>
              <w:rPr>
                <w:rFonts w:hint="eastAsia" w:ascii="宋体" w:hAnsi="宋体" w:eastAsia="宋体" w:cs="宋体"/>
                <w:color w:val="000000"/>
                <w:szCs w:val="21"/>
              </w:rPr>
              <w:t>■</w:t>
            </w:r>
            <w:r>
              <w:rPr>
                <w:rFonts w:hint="eastAsia" w:ascii="宋体" w:hAnsi="宋体" w:eastAsia="宋体" w:cs="宋体"/>
                <w:b/>
                <w:szCs w:val="21"/>
              </w:rPr>
              <w:t>（1）</w:t>
            </w:r>
            <w:r>
              <w:rPr>
                <w:rFonts w:hint="eastAsia" w:ascii="宋体" w:hAnsi="宋体" w:eastAsia="宋体" w:cs="宋体"/>
                <w:b/>
                <w:bCs/>
                <w:szCs w:val="21"/>
              </w:rPr>
              <w:t>投注</w:t>
            </w:r>
            <w:r>
              <w:rPr>
                <w:rFonts w:hint="eastAsia" w:ascii="宋体" w:hAnsi="宋体" w:eastAsia="宋体" w:cs="宋体"/>
                <w:b/>
                <w:szCs w:val="21"/>
              </w:rPr>
              <w:t>机软件基本功能要求</w:t>
            </w:r>
          </w:p>
          <w:p w14:paraId="4C87860A">
            <w:pPr>
              <w:adjustRightInd w:val="0"/>
              <w:snapToGrid w:val="0"/>
              <w:spacing w:line="300" w:lineRule="auto"/>
              <w:rPr>
                <w:rFonts w:ascii="宋体" w:hAnsi="宋体" w:eastAsia="宋体" w:cs="宋体"/>
                <w:szCs w:val="21"/>
              </w:rPr>
            </w:pPr>
            <w:r>
              <w:rPr>
                <w:rFonts w:hint="eastAsia" w:ascii="宋体" w:hAnsi="宋体" w:eastAsia="宋体" w:cs="宋体"/>
                <w:szCs w:val="21"/>
              </w:rPr>
              <w:t>2.1电脑票销售兑奖功能：</w:t>
            </w:r>
          </w:p>
          <w:p w14:paraId="43DC793A">
            <w:pPr>
              <w:adjustRightInd w:val="0"/>
              <w:snapToGrid w:val="0"/>
              <w:spacing w:line="300" w:lineRule="auto"/>
              <w:rPr>
                <w:rFonts w:ascii="宋体" w:hAnsi="宋体" w:eastAsia="宋体" w:cs="宋体"/>
                <w:szCs w:val="21"/>
              </w:rPr>
            </w:pPr>
            <w:r>
              <w:rPr>
                <w:rFonts w:hint="eastAsia" w:ascii="宋体" w:hAnsi="宋体" w:eastAsia="宋体" w:cs="宋体"/>
                <w:szCs w:val="21"/>
              </w:rPr>
              <w:t>支持投注单投注、机选号码投注、自选号码投注；</w:t>
            </w:r>
          </w:p>
          <w:p w14:paraId="31938F5F">
            <w:pPr>
              <w:adjustRightInd w:val="0"/>
              <w:snapToGrid w:val="0"/>
              <w:spacing w:line="300" w:lineRule="auto"/>
              <w:rPr>
                <w:rFonts w:ascii="宋体" w:hAnsi="宋体" w:eastAsia="宋体" w:cs="宋体"/>
                <w:szCs w:val="21"/>
              </w:rPr>
            </w:pPr>
            <w:r>
              <w:rPr>
                <w:rFonts w:hint="eastAsia" w:ascii="宋体" w:hAnsi="宋体" w:eastAsia="宋体" w:cs="宋体"/>
                <w:szCs w:val="21"/>
              </w:rPr>
              <w:t>支持过往票打印；</w:t>
            </w:r>
          </w:p>
          <w:p w14:paraId="73C5DE9F">
            <w:pPr>
              <w:adjustRightInd w:val="0"/>
              <w:snapToGrid w:val="0"/>
              <w:spacing w:line="300" w:lineRule="auto"/>
              <w:rPr>
                <w:rFonts w:ascii="宋体" w:hAnsi="宋体" w:eastAsia="宋体" w:cs="宋体"/>
                <w:szCs w:val="21"/>
              </w:rPr>
            </w:pPr>
            <w:r>
              <w:rPr>
                <w:rFonts w:hint="eastAsia" w:ascii="宋体" w:hAnsi="宋体" w:eastAsia="宋体" w:cs="宋体"/>
                <w:szCs w:val="21"/>
              </w:rPr>
              <w:t>支持扫描彩票自动兑奖、手动兑奖功能。</w:t>
            </w:r>
          </w:p>
          <w:p w14:paraId="2C62CB5C">
            <w:pPr>
              <w:adjustRightInd w:val="0"/>
              <w:snapToGrid w:val="0"/>
              <w:spacing w:line="300" w:lineRule="auto"/>
              <w:rPr>
                <w:rFonts w:hint="eastAsia" w:ascii="宋体" w:hAnsi="宋体" w:eastAsia="宋体" w:cs="宋体"/>
                <w:szCs w:val="21"/>
              </w:rPr>
            </w:pPr>
            <w:r>
              <w:rPr>
                <w:rFonts w:hint="eastAsia" w:ascii="宋体" w:hAnsi="宋体" w:eastAsia="宋体" w:cs="宋体"/>
                <w:szCs w:val="21"/>
              </w:rPr>
              <w:t>支持兑奖并直接打印过往票功能；</w:t>
            </w:r>
          </w:p>
          <w:p w14:paraId="7CE615DC">
            <w:pPr>
              <w:adjustRightInd w:val="0"/>
              <w:snapToGrid w:val="0"/>
              <w:spacing w:line="300" w:lineRule="auto"/>
              <w:rPr>
                <w:rFonts w:hint="eastAsia" w:ascii="宋体" w:hAnsi="宋体" w:eastAsia="宋体" w:cs="宋体"/>
                <w:szCs w:val="21"/>
              </w:rPr>
            </w:pPr>
            <w:r>
              <w:rPr>
                <w:rFonts w:hint="eastAsia" w:ascii="宋体" w:hAnsi="宋体" w:eastAsia="宋体" w:cs="宋体"/>
                <w:szCs w:val="21"/>
              </w:rPr>
              <w:t>2.2 即开票订票销售兑奖功能</w:t>
            </w:r>
            <w:r>
              <w:rPr>
                <w:rFonts w:ascii="宋体" w:hAnsi="宋体" w:eastAsia="宋体" w:cs="宋体"/>
                <w:szCs w:val="21"/>
              </w:rPr>
              <w:t>:支持即开票订票、入库销售和兑奖、查询功能；</w:t>
            </w:r>
          </w:p>
          <w:p w14:paraId="1941F1D4">
            <w:pPr>
              <w:adjustRightInd w:val="0"/>
              <w:snapToGrid w:val="0"/>
              <w:spacing w:line="300" w:lineRule="auto"/>
              <w:rPr>
                <w:rFonts w:ascii="宋体" w:hAnsi="宋体" w:eastAsia="宋体" w:cs="宋体"/>
                <w:szCs w:val="21"/>
              </w:rPr>
            </w:pPr>
            <w:r>
              <w:rPr>
                <w:rFonts w:hint="eastAsia" w:ascii="宋体" w:hAnsi="宋体" w:eastAsia="宋体" w:cs="宋体"/>
                <w:szCs w:val="21"/>
              </w:rPr>
              <w:t>2.3注销功能：</w:t>
            </w:r>
          </w:p>
          <w:p w14:paraId="754552C2">
            <w:pPr>
              <w:adjustRightInd w:val="0"/>
              <w:snapToGrid w:val="0"/>
              <w:spacing w:line="300" w:lineRule="auto"/>
              <w:rPr>
                <w:rFonts w:ascii="宋体" w:hAnsi="宋体" w:eastAsia="宋体" w:cs="宋体"/>
                <w:szCs w:val="21"/>
              </w:rPr>
            </w:pPr>
            <w:r>
              <w:rPr>
                <w:rFonts w:hint="eastAsia" w:ascii="宋体" w:hAnsi="宋体" w:eastAsia="宋体" w:cs="宋体"/>
                <w:szCs w:val="21"/>
              </w:rPr>
              <w:t>支持扫描彩票自动注销、手动注销功能。</w:t>
            </w:r>
          </w:p>
          <w:p w14:paraId="719379FA">
            <w:pPr>
              <w:adjustRightInd w:val="0"/>
              <w:snapToGrid w:val="0"/>
              <w:spacing w:line="300" w:lineRule="auto"/>
              <w:rPr>
                <w:rFonts w:ascii="宋体" w:hAnsi="宋体" w:eastAsia="宋体" w:cs="宋体"/>
                <w:szCs w:val="21"/>
              </w:rPr>
            </w:pPr>
            <w:r>
              <w:rPr>
                <w:rFonts w:hint="eastAsia" w:ascii="宋体" w:hAnsi="宋体" w:eastAsia="宋体" w:cs="宋体"/>
                <w:szCs w:val="21"/>
              </w:rPr>
              <w:t>2.4通知公告：</w:t>
            </w:r>
          </w:p>
          <w:p w14:paraId="266A4F7E">
            <w:pPr>
              <w:adjustRightInd w:val="0"/>
              <w:snapToGrid w:val="0"/>
              <w:spacing w:line="300" w:lineRule="auto"/>
              <w:rPr>
                <w:rFonts w:ascii="宋体" w:hAnsi="宋体" w:eastAsia="宋体" w:cs="宋体"/>
                <w:szCs w:val="21"/>
              </w:rPr>
            </w:pPr>
            <w:r>
              <w:rPr>
                <w:rFonts w:hint="eastAsia" w:ascii="宋体" w:hAnsi="宋体" w:eastAsia="宋体" w:cs="宋体"/>
                <w:szCs w:val="21"/>
              </w:rPr>
              <w:t>支持省（市）中心下发通知和公告的下载、查阅、打印。</w:t>
            </w:r>
          </w:p>
          <w:p w14:paraId="5310105C">
            <w:pPr>
              <w:adjustRightInd w:val="0"/>
              <w:snapToGrid w:val="0"/>
              <w:spacing w:line="300" w:lineRule="auto"/>
              <w:rPr>
                <w:rFonts w:ascii="宋体" w:hAnsi="宋体" w:eastAsia="宋体" w:cs="宋体"/>
                <w:szCs w:val="21"/>
              </w:rPr>
            </w:pPr>
            <w:r>
              <w:rPr>
                <w:rFonts w:hint="eastAsia" w:ascii="宋体" w:hAnsi="宋体" w:eastAsia="宋体" w:cs="宋体"/>
                <w:szCs w:val="21"/>
              </w:rPr>
              <w:t>2.5升级下载：</w:t>
            </w:r>
          </w:p>
          <w:p w14:paraId="6BC1AD8D">
            <w:pPr>
              <w:adjustRightInd w:val="0"/>
              <w:snapToGrid w:val="0"/>
              <w:spacing w:line="300" w:lineRule="auto"/>
              <w:rPr>
                <w:rFonts w:ascii="宋体" w:hAnsi="宋体" w:eastAsia="宋体" w:cs="宋体"/>
                <w:szCs w:val="21"/>
              </w:rPr>
            </w:pPr>
            <w:r>
              <w:rPr>
                <w:rFonts w:hint="eastAsia" w:ascii="宋体" w:hAnsi="宋体" w:eastAsia="宋体" w:cs="宋体"/>
                <w:szCs w:val="21"/>
              </w:rPr>
              <w:t>在中心控制下实现投注机软件的版本升级，包括增改功能、维护模块等。投注机下载支持断点续传，实现投注机下载速度可根据带宽灵活设置，提供稳定和更快的下载速度。</w:t>
            </w:r>
          </w:p>
          <w:p w14:paraId="56CAF381">
            <w:pPr>
              <w:adjustRightInd w:val="0"/>
              <w:snapToGrid w:val="0"/>
              <w:spacing w:line="300" w:lineRule="auto"/>
              <w:rPr>
                <w:rFonts w:ascii="宋体" w:hAnsi="宋体" w:eastAsia="宋体" w:cs="宋体"/>
                <w:szCs w:val="21"/>
              </w:rPr>
            </w:pPr>
            <w:r>
              <w:rPr>
                <w:rFonts w:hint="eastAsia" w:ascii="宋体" w:hAnsi="宋体" w:eastAsia="宋体" w:cs="宋体"/>
                <w:szCs w:val="21"/>
              </w:rPr>
              <w:t>2.6参数设置：</w:t>
            </w:r>
          </w:p>
          <w:p w14:paraId="285AF3E3">
            <w:pPr>
              <w:adjustRightInd w:val="0"/>
              <w:snapToGrid w:val="0"/>
              <w:spacing w:line="300" w:lineRule="auto"/>
              <w:rPr>
                <w:rFonts w:ascii="宋体" w:hAnsi="宋体" w:eastAsia="宋体" w:cs="宋体"/>
                <w:szCs w:val="21"/>
              </w:rPr>
            </w:pPr>
            <w:r>
              <w:rPr>
                <w:rFonts w:hint="eastAsia" w:ascii="宋体" w:hAnsi="宋体" w:eastAsia="宋体" w:cs="宋体"/>
                <w:szCs w:val="21"/>
              </w:rPr>
              <w:t>支持通讯方式、扫描识别、主屏亮度、主屏对比度和系统音量等功能通过参数设置进行设定。</w:t>
            </w:r>
          </w:p>
          <w:p w14:paraId="7D558F5E">
            <w:pPr>
              <w:adjustRightInd w:val="0"/>
              <w:snapToGrid w:val="0"/>
              <w:spacing w:line="300" w:lineRule="auto"/>
              <w:rPr>
                <w:rFonts w:ascii="宋体" w:hAnsi="宋体" w:eastAsia="宋体" w:cs="宋体"/>
                <w:szCs w:val="21"/>
              </w:rPr>
            </w:pPr>
            <w:r>
              <w:rPr>
                <w:rFonts w:hint="eastAsia" w:ascii="宋体" w:hAnsi="宋体" w:eastAsia="宋体" w:cs="宋体"/>
                <w:szCs w:val="21"/>
              </w:rPr>
              <w:t>2.7帮助系统：</w:t>
            </w:r>
          </w:p>
          <w:p w14:paraId="427CE4BD">
            <w:pPr>
              <w:adjustRightInd w:val="0"/>
              <w:snapToGrid w:val="0"/>
              <w:spacing w:line="300" w:lineRule="auto"/>
              <w:rPr>
                <w:rFonts w:ascii="宋体" w:hAnsi="宋体" w:eastAsia="宋体" w:cs="宋体"/>
                <w:szCs w:val="21"/>
              </w:rPr>
            </w:pPr>
            <w:r>
              <w:rPr>
                <w:rFonts w:hint="eastAsia" w:ascii="宋体" w:hAnsi="宋体" w:eastAsia="宋体" w:cs="宋体"/>
                <w:szCs w:val="21"/>
              </w:rPr>
              <w:t>提供投注机软件操作手册；</w:t>
            </w:r>
          </w:p>
          <w:p w14:paraId="74C732E1">
            <w:pPr>
              <w:adjustRightInd w:val="0"/>
              <w:snapToGrid w:val="0"/>
              <w:spacing w:line="300" w:lineRule="auto"/>
              <w:rPr>
                <w:rFonts w:ascii="宋体" w:hAnsi="宋体" w:eastAsia="宋体" w:cs="宋体"/>
                <w:szCs w:val="21"/>
              </w:rPr>
            </w:pPr>
            <w:r>
              <w:rPr>
                <w:rFonts w:hint="eastAsia" w:ascii="宋体" w:hAnsi="宋体" w:eastAsia="宋体" w:cs="宋体"/>
                <w:szCs w:val="21"/>
              </w:rPr>
              <w:t>提供投注机硬件操作的多媒体培训视频。</w:t>
            </w:r>
          </w:p>
          <w:p w14:paraId="6BD68403">
            <w:pPr>
              <w:adjustRightInd w:val="0"/>
              <w:snapToGrid w:val="0"/>
              <w:spacing w:line="300" w:lineRule="auto"/>
              <w:rPr>
                <w:rFonts w:ascii="宋体" w:hAnsi="宋体" w:eastAsia="宋体" w:cs="宋体"/>
                <w:szCs w:val="21"/>
              </w:rPr>
            </w:pPr>
            <w:r>
              <w:rPr>
                <w:rFonts w:hint="eastAsia" w:ascii="宋体" w:hAnsi="宋体" w:eastAsia="宋体" w:cs="宋体"/>
                <w:szCs w:val="21"/>
              </w:rPr>
              <w:t>2.8信息显示：</w:t>
            </w:r>
          </w:p>
          <w:p w14:paraId="0257E6EE">
            <w:pPr>
              <w:adjustRightInd w:val="0"/>
              <w:snapToGrid w:val="0"/>
              <w:spacing w:line="300" w:lineRule="auto"/>
              <w:rPr>
                <w:rFonts w:ascii="宋体" w:hAnsi="宋体" w:eastAsia="宋体" w:cs="宋体"/>
                <w:szCs w:val="21"/>
              </w:rPr>
            </w:pPr>
            <w:r>
              <w:rPr>
                <w:rFonts w:hint="eastAsia" w:ascii="宋体" w:hAnsi="宋体" w:eastAsia="宋体" w:cs="宋体"/>
                <w:szCs w:val="21"/>
              </w:rPr>
              <w:t>投注机主显示界面上可显示游戏信息、实时帐户信息、通讯状态、系统登录状态、新通知提示信息、动态时间显示；</w:t>
            </w:r>
          </w:p>
          <w:p w14:paraId="5C0B2CDA">
            <w:pPr>
              <w:adjustRightInd w:val="0"/>
              <w:snapToGrid w:val="0"/>
              <w:spacing w:line="300" w:lineRule="auto"/>
              <w:rPr>
                <w:rFonts w:ascii="宋体" w:hAnsi="宋体" w:eastAsia="宋体" w:cs="宋体"/>
                <w:szCs w:val="21"/>
              </w:rPr>
            </w:pPr>
            <w:r>
              <w:rPr>
                <w:rFonts w:hint="eastAsia" w:ascii="宋体" w:hAnsi="宋体" w:eastAsia="宋体" w:cs="宋体"/>
                <w:szCs w:val="21"/>
              </w:rPr>
              <w:t>2.9辅助功能：</w:t>
            </w:r>
          </w:p>
          <w:p w14:paraId="681F4CBB">
            <w:pPr>
              <w:adjustRightInd w:val="0"/>
              <w:snapToGrid w:val="0"/>
              <w:spacing w:line="300" w:lineRule="auto"/>
              <w:rPr>
                <w:rFonts w:hint="eastAsia" w:ascii="宋体" w:hAnsi="宋体" w:eastAsia="宋体" w:cs="宋体"/>
                <w:szCs w:val="21"/>
              </w:rPr>
            </w:pPr>
            <w:r>
              <w:rPr>
                <w:rFonts w:hint="eastAsia" w:ascii="宋体" w:hAnsi="宋体" w:eastAsia="宋体" w:cs="宋体"/>
                <w:szCs w:val="21"/>
              </w:rPr>
              <w:t>支持投注机硬件工作状态（包括CPU温度、内存容量、磁盘容量和风扇转速等）的实时监控。</w:t>
            </w:r>
          </w:p>
          <w:p w14:paraId="7F0394DC">
            <w:pPr>
              <w:adjustRightInd w:val="0"/>
              <w:snapToGrid w:val="0"/>
              <w:spacing w:line="300" w:lineRule="auto"/>
              <w:rPr>
                <w:rFonts w:ascii="宋体" w:hAnsi="宋体" w:eastAsia="宋体" w:cs="宋体"/>
                <w:szCs w:val="21"/>
              </w:rPr>
            </w:pPr>
            <w:r>
              <w:rPr>
                <w:rFonts w:hint="eastAsia" w:ascii="宋体" w:hAnsi="宋体" w:eastAsia="宋体" w:cs="宋体"/>
                <w:szCs w:val="21"/>
              </w:rPr>
              <w:t>2.10实名制兑奖功能：</w:t>
            </w:r>
          </w:p>
          <w:p w14:paraId="5237F942">
            <w:pPr>
              <w:adjustRightInd w:val="0"/>
              <w:snapToGrid w:val="0"/>
              <w:spacing w:line="300" w:lineRule="auto"/>
              <w:rPr>
                <w:rFonts w:ascii="宋体" w:hAnsi="宋体" w:eastAsia="宋体" w:cs="宋体"/>
                <w:szCs w:val="21"/>
              </w:rPr>
            </w:pPr>
            <w:r>
              <w:rPr>
                <w:rFonts w:hint="eastAsia" w:ascii="宋体" w:hAnsi="宋体" w:eastAsia="宋体" w:cs="宋体"/>
                <w:szCs w:val="21"/>
              </w:rPr>
              <w:t>支持中奖彩票是否达到实名制兑奖登记标准判断功能；</w:t>
            </w:r>
            <w:r>
              <w:rPr>
                <w:rFonts w:ascii="宋体" w:hAnsi="宋体" w:eastAsia="宋体" w:cs="宋体"/>
                <w:szCs w:val="21"/>
              </w:rPr>
              <w:t>支持</w:t>
            </w:r>
            <w:r>
              <w:rPr>
                <w:rFonts w:hint="eastAsia" w:ascii="宋体" w:hAnsi="宋体" w:eastAsia="宋体" w:cs="宋体"/>
                <w:szCs w:val="21"/>
              </w:rPr>
              <w:t>实名制</w:t>
            </w:r>
            <w:r>
              <w:rPr>
                <w:rFonts w:ascii="宋体" w:hAnsi="宋体" w:eastAsia="宋体" w:cs="宋体"/>
                <w:szCs w:val="21"/>
              </w:rPr>
              <w:t>兑奖</w:t>
            </w:r>
            <w:r>
              <w:rPr>
                <w:rFonts w:hint="eastAsia" w:ascii="宋体" w:hAnsi="宋体" w:eastAsia="宋体" w:cs="宋体"/>
                <w:szCs w:val="21"/>
              </w:rPr>
              <w:t>扫码</w:t>
            </w:r>
            <w:r>
              <w:rPr>
                <w:rFonts w:ascii="宋体" w:hAnsi="宋体" w:eastAsia="宋体" w:cs="宋体"/>
                <w:szCs w:val="21"/>
              </w:rPr>
              <w:t>登记功能。</w:t>
            </w:r>
          </w:p>
          <w:p w14:paraId="6E93E490">
            <w:pPr>
              <w:adjustRightInd w:val="0"/>
              <w:snapToGrid w:val="0"/>
              <w:spacing w:line="300" w:lineRule="auto"/>
              <w:rPr>
                <w:rFonts w:ascii="宋体" w:hAnsi="宋体" w:eastAsia="宋体" w:cs="宋体"/>
                <w:b/>
                <w:szCs w:val="21"/>
              </w:rPr>
            </w:pPr>
            <w:r>
              <w:rPr>
                <w:rFonts w:hint="eastAsia" w:ascii="宋体" w:hAnsi="宋体" w:eastAsia="宋体" w:cs="宋体"/>
                <w:color w:val="000000"/>
                <w:szCs w:val="21"/>
              </w:rPr>
              <w:t>■</w:t>
            </w:r>
            <w:r>
              <w:rPr>
                <w:rFonts w:hint="eastAsia" w:ascii="宋体" w:hAnsi="宋体" w:eastAsia="宋体" w:cs="宋体"/>
                <w:b/>
                <w:szCs w:val="21"/>
              </w:rPr>
              <w:t>（2）</w:t>
            </w:r>
            <w:r>
              <w:rPr>
                <w:rFonts w:hint="eastAsia" w:ascii="宋体" w:hAnsi="宋体" w:eastAsia="宋体" w:cs="宋体"/>
                <w:b/>
                <w:bCs/>
                <w:szCs w:val="21"/>
              </w:rPr>
              <w:t>投注</w:t>
            </w:r>
            <w:r>
              <w:rPr>
                <w:rFonts w:hint="eastAsia" w:ascii="宋体" w:hAnsi="宋体" w:eastAsia="宋体" w:cs="宋体"/>
                <w:b/>
                <w:szCs w:val="21"/>
              </w:rPr>
              <w:t>机安全接入需求</w:t>
            </w:r>
          </w:p>
          <w:p w14:paraId="428DBB7B">
            <w:pPr>
              <w:adjustRightInd w:val="0"/>
              <w:snapToGrid w:val="0"/>
              <w:spacing w:line="300" w:lineRule="auto"/>
              <w:rPr>
                <w:rFonts w:ascii="宋体" w:hAnsi="宋体" w:eastAsia="宋体" w:cs="宋体"/>
                <w:szCs w:val="21"/>
              </w:rPr>
            </w:pPr>
            <w:r>
              <w:rPr>
                <w:rFonts w:hint="eastAsia" w:ascii="宋体" w:hAnsi="宋体" w:eastAsia="宋体" w:cs="宋体"/>
                <w:szCs w:val="21"/>
              </w:rPr>
              <w:t>支持VPN、VPDN通讯网络接入模式，投注站可根据网点线路状况自行选择网络接入模式</w:t>
            </w:r>
            <w:r>
              <w:rPr>
                <w:rFonts w:hint="eastAsia" w:ascii="宋体" w:hAnsi="宋体" w:eastAsia="宋体" w:cs="宋体"/>
                <w:bCs/>
                <w:szCs w:val="21"/>
              </w:rPr>
              <w:t>。如涉及开发，相关费用包含在本项目中</w:t>
            </w:r>
            <w:r>
              <w:rPr>
                <w:rFonts w:hint="eastAsia" w:ascii="宋体" w:hAnsi="宋体" w:eastAsia="宋体" w:cs="宋体"/>
                <w:b/>
                <w:bCs/>
                <w:szCs w:val="21"/>
              </w:rPr>
              <w:t>（投标文件中提供承诺函，格式自拟）</w:t>
            </w:r>
            <w:r>
              <w:rPr>
                <w:rFonts w:hint="eastAsia" w:ascii="宋体" w:hAnsi="宋体" w:eastAsia="宋体" w:cs="宋体"/>
                <w:szCs w:val="21"/>
              </w:rPr>
              <w:t>。</w:t>
            </w:r>
          </w:p>
          <w:p w14:paraId="63099D4D">
            <w:pPr>
              <w:adjustRightInd w:val="0"/>
              <w:snapToGrid w:val="0"/>
              <w:spacing w:line="300" w:lineRule="auto"/>
              <w:rPr>
                <w:rFonts w:ascii="宋体" w:hAnsi="宋体" w:eastAsia="宋体" w:cs="宋体"/>
                <w:szCs w:val="21"/>
              </w:rPr>
            </w:pPr>
            <w:r>
              <w:rPr>
                <w:rFonts w:hint="eastAsia" w:ascii="宋体" w:hAnsi="宋体" w:eastAsia="宋体" w:cs="宋体"/>
                <w:szCs w:val="21"/>
              </w:rPr>
              <w:t>1）支持VPN隧道分离技术，可自定义加密数据流，提高通讯效率；</w:t>
            </w:r>
          </w:p>
          <w:p w14:paraId="39549468">
            <w:pPr>
              <w:adjustRightInd w:val="0"/>
              <w:snapToGrid w:val="0"/>
              <w:spacing w:line="300" w:lineRule="auto"/>
              <w:rPr>
                <w:rFonts w:ascii="宋体" w:hAnsi="宋体" w:eastAsia="宋体" w:cs="宋体"/>
                <w:szCs w:val="21"/>
              </w:rPr>
            </w:pPr>
            <w:r>
              <w:rPr>
                <w:rFonts w:hint="eastAsia" w:ascii="宋体" w:hAnsi="宋体" w:eastAsia="宋体" w:cs="宋体"/>
                <w:szCs w:val="21"/>
              </w:rPr>
              <w:t>2）支持基于X.509数字证书的投注机身份标识；</w:t>
            </w:r>
          </w:p>
          <w:p w14:paraId="20CF865B">
            <w:pPr>
              <w:adjustRightInd w:val="0"/>
              <w:snapToGrid w:val="0"/>
              <w:spacing w:line="300" w:lineRule="auto"/>
              <w:rPr>
                <w:rFonts w:ascii="宋体" w:hAnsi="宋体" w:eastAsia="宋体" w:cs="宋体"/>
                <w:szCs w:val="21"/>
              </w:rPr>
            </w:pPr>
            <w:r>
              <w:rPr>
                <w:rFonts w:hint="eastAsia" w:ascii="宋体" w:hAnsi="宋体" w:eastAsia="宋体" w:cs="宋体"/>
                <w:szCs w:val="21"/>
              </w:rPr>
              <w:t>3）支持基于X.509数字证书的VPN双向身份认证；</w:t>
            </w:r>
          </w:p>
          <w:p w14:paraId="245B2E29">
            <w:pPr>
              <w:adjustRightInd w:val="0"/>
              <w:snapToGrid w:val="0"/>
              <w:spacing w:line="300" w:lineRule="auto"/>
              <w:rPr>
                <w:rFonts w:ascii="宋体" w:hAnsi="宋体" w:eastAsia="宋体" w:cs="宋体"/>
                <w:szCs w:val="21"/>
              </w:rPr>
            </w:pPr>
            <w:r>
              <w:rPr>
                <w:rFonts w:hint="eastAsia" w:ascii="宋体" w:hAnsi="宋体" w:eastAsia="宋体" w:cs="宋体"/>
                <w:szCs w:val="21"/>
              </w:rPr>
              <w:t>4）支持数字证书在线下载功能；</w:t>
            </w:r>
          </w:p>
          <w:p w14:paraId="546E3B7E">
            <w:pPr>
              <w:adjustRightInd w:val="0"/>
              <w:snapToGrid w:val="0"/>
              <w:spacing w:line="300" w:lineRule="auto"/>
              <w:rPr>
                <w:rFonts w:ascii="宋体" w:hAnsi="宋体" w:eastAsia="宋体" w:cs="宋体"/>
                <w:szCs w:val="21"/>
              </w:rPr>
            </w:pPr>
            <w:r>
              <w:rPr>
                <w:rFonts w:hint="eastAsia" w:ascii="宋体" w:hAnsi="宋体" w:eastAsia="宋体" w:cs="宋体"/>
                <w:szCs w:val="21"/>
              </w:rPr>
              <w:t>5）支持数字证书过期提醒功能，并自动更新证书；</w:t>
            </w:r>
          </w:p>
          <w:p w14:paraId="3D3DDBA9">
            <w:pPr>
              <w:adjustRightInd w:val="0"/>
              <w:snapToGrid w:val="0"/>
              <w:spacing w:line="300" w:lineRule="auto"/>
              <w:rPr>
                <w:rFonts w:ascii="宋体" w:hAnsi="宋体" w:eastAsia="宋体" w:cs="宋体"/>
                <w:szCs w:val="21"/>
              </w:rPr>
            </w:pPr>
            <w:r>
              <w:rPr>
                <w:rFonts w:hint="eastAsia" w:ascii="宋体" w:hAnsi="宋体" w:eastAsia="宋体" w:cs="宋体"/>
                <w:szCs w:val="21"/>
              </w:rPr>
              <w:t>6）支持数字证书加、解密功能；</w:t>
            </w:r>
          </w:p>
          <w:p w14:paraId="407BFAF4">
            <w:pPr>
              <w:adjustRightInd w:val="0"/>
              <w:snapToGrid w:val="0"/>
              <w:spacing w:line="300" w:lineRule="auto"/>
              <w:rPr>
                <w:rFonts w:ascii="宋体" w:hAnsi="宋体" w:eastAsia="宋体" w:cs="宋体"/>
                <w:szCs w:val="21"/>
              </w:rPr>
            </w:pPr>
            <w:r>
              <w:rPr>
                <w:rFonts w:hint="eastAsia" w:ascii="宋体" w:hAnsi="宋体" w:eastAsia="宋体" w:cs="宋体"/>
                <w:szCs w:val="21"/>
              </w:rPr>
              <w:t>7）证书有效期须与货物免费质保期相同。</w:t>
            </w:r>
          </w:p>
          <w:p w14:paraId="52D787FF">
            <w:pPr>
              <w:adjustRightInd w:val="0"/>
              <w:snapToGrid w:val="0"/>
              <w:spacing w:line="300" w:lineRule="auto"/>
              <w:rPr>
                <w:rFonts w:ascii="宋体" w:hAnsi="宋体" w:eastAsia="宋体" w:cs="宋体"/>
                <w:b/>
                <w:szCs w:val="21"/>
              </w:rPr>
            </w:pPr>
            <w:r>
              <w:rPr>
                <w:rFonts w:hint="eastAsia" w:ascii="宋体" w:hAnsi="宋体" w:eastAsia="宋体" w:cs="宋体"/>
                <w:b/>
                <w:szCs w:val="21"/>
              </w:rPr>
              <w:t>（3）特别要求</w:t>
            </w:r>
          </w:p>
          <w:p w14:paraId="5E136886">
            <w:pPr>
              <w:adjustRightInd w:val="0"/>
              <w:snapToGrid w:val="0"/>
              <w:spacing w:line="300" w:lineRule="auto"/>
              <w:rPr>
                <w:rFonts w:ascii="宋体" w:hAnsi="宋体" w:eastAsia="宋体" w:cs="宋体"/>
                <w:szCs w:val="21"/>
              </w:rPr>
            </w:pPr>
            <w:r>
              <w:rPr>
                <w:rFonts w:hint="eastAsia" w:ascii="宋体" w:hAnsi="宋体" w:eastAsia="宋体" w:cs="宋体"/>
                <w:szCs w:val="21"/>
              </w:rPr>
              <w:t>●3.1软件功能：</w:t>
            </w:r>
          </w:p>
          <w:p w14:paraId="209BECDD">
            <w:pPr>
              <w:adjustRightInd w:val="0"/>
              <w:snapToGrid w:val="0"/>
              <w:spacing w:line="300" w:lineRule="auto"/>
              <w:rPr>
                <w:rFonts w:ascii="宋体" w:hAnsi="宋体" w:eastAsia="宋体" w:cs="宋体"/>
                <w:szCs w:val="21"/>
              </w:rPr>
            </w:pPr>
            <w:r>
              <w:rPr>
                <w:rFonts w:hint="eastAsia" w:ascii="宋体" w:hAnsi="宋体" w:eastAsia="宋体" w:cs="宋体"/>
                <w:szCs w:val="21"/>
              </w:rPr>
              <w:t>1）支持账户转账功能，可在电脑票账户和即开票账户之间进行转账。</w:t>
            </w:r>
          </w:p>
          <w:p w14:paraId="445A23D2">
            <w:pPr>
              <w:adjustRightInd w:val="0"/>
              <w:snapToGrid w:val="0"/>
              <w:spacing w:line="300" w:lineRule="auto"/>
              <w:rPr>
                <w:rFonts w:ascii="宋体" w:hAnsi="宋体" w:eastAsia="宋体" w:cs="宋体"/>
                <w:szCs w:val="21"/>
              </w:rPr>
            </w:pPr>
            <w:r>
              <w:rPr>
                <w:rFonts w:hint="eastAsia" w:ascii="宋体" w:hAnsi="宋体" w:eastAsia="宋体" w:cs="宋体"/>
                <w:szCs w:val="21"/>
              </w:rPr>
              <w:t>2）主、副屏支持触摸、键盘双模式输入，无需切换，同时键盘具有加密功能。</w:t>
            </w:r>
          </w:p>
          <w:p w14:paraId="2ED2F071">
            <w:pPr>
              <w:adjustRightInd w:val="0"/>
              <w:snapToGrid w:val="0"/>
              <w:spacing w:line="300" w:lineRule="auto"/>
              <w:rPr>
                <w:rFonts w:ascii="宋体" w:hAnsi="宋体" w:eastAsia="宋体" w:cs="宋体"/>
                <w:szCs w:val="21"/>
              </w:rPr>
            </w:pPr>
            <w:r>
              <w:rPr>
                <w:rFonts w:hint="eastAsia" w:ascii="宋体" w:hAnsi="宋体" w:eastAsia="宋体" w:cs="宋体"/>
                <w:szCs w:val="21"/>
              </w:rPr>
              <w:t>3）支持投注单及兑奖票多角度投放。</w:t>
            </w:r>
          </w:p>
          <w:p w14:paraId="32D28760">
            <w:pPr>
              <w:adjustRightInd w:val="0"/>
              <w:snapToGrid w:val="0"/>
              <w:spacing w:line="300" w:lineRule="auto"/>
              <w:rPr>
                <w:rFonts w:ascii="宋体" w:hAnsi="宋体" w:eastAsia="宋体" w:cs="宋体"/>
                <w:szCs w:val="21"/>
              </w:rPr>
            </w:pPr>
            <w:r>
              <w:rPr>
                <w:rFonts w:hint="eastAsia" w:ascii="宋体" w:hAnsi="宋体" w:eastAsia="宋体" w:cs="宋体"/>
                <w:szCs w:val="21"/>
              </w:rPr>
              <w:t>4）彩票读打一体阅读器具有可编程功能，可在彩票上打印“已兑奖”、“已作废”等自定义文字标记，能够识别一维、二维条型码。</w:t>
            </w:r>
          </w:p>
          <w:p w14:paraId="00F9F6A7">
            <w:pPr>
              <w:adjustRightInd w:val="0"/>
              <w:snapToGrid w:val="0"/>
              <w:spacing w:line="300" w:lineRule="auto"/>
              <w:rPr>
                <w:rFonts w:ascii="宋体" w:hAnsi="宋体" w:eastAsia="宋体" w:cs="宋体"/>
                <w:b/>
                <w:bCs/>
                <w:szCs w:val="21"/>
              </w:rPr>
            </w:pPr>
            <w:r>
              <w:rPr>
                <w:rFonts w:hint="eastAsia" w:ascii="宋体" w:hAnsi="宋体" w:eastAsia="宋体" w:cs="宋体"/>
                <w:szCs w:val="21"/>
              </w:rPr>
              <w:t>5）当销售完一张彩票后，可一键式打印与上一张相同注码的彩票。</w:t>
            </w:r>
          </w:p>
          <w:p w14:paraId="65A10A35">
            <w:pPr>
              <w:adjustRightInd w:val="0"/>
              <w:snapToGrid w:val="0"/>
              <w:spacing w:line="300" w:lineRule="auto"/>
              <w:rPr>
                <w:rFonts w:ascii="宋体" w:hAnsi="宋体" w:eastAsia="宋体" w:cs="宋体"/>
                <w:szCs w:val="21"/>
              </w:rPr>
            </w:pPr>
            <w:r>
              <w:rPr>
                <w:rFonts w:hint="eastAsia" w:ascii="宋体" w:hAnsi="宋体" w:eastAsia="宋体" w:cs="宋体"/>
                <w:szCs w:val="21"/>
              </w:rPr>
              <w:t>6）支付显示：支持第三方支付码显示功能（可关闭或打开）</w:t>
            </w:r>
            <w:r>
              <w:rPr>
                <w:rFonts w:ascii="宋体" w:hAnsi="宋体" w:eastAsia="宋体" w:cs="宋体"/>
                <w:szCs w:val="21"/>
              </w:rPr>
              <w:t>。</w:t>
            </w:r>
          </w:p>
          <w:p w14:paraId="086CA720">
            <w:pPr>
              <w:adjustRightInd w:val="0"/>
              <w:snapToGrid w:val="0"/>
              <w:spacing w:line="300" w:lineRule="auto"/>
              <w:rPr>
                <w:rFonts w:ascii="宋体" w:hAnsi="宋体" w:eastAsia="宋体" w:cs="宋体"/>
                <w:szCs w:val="21"/>
              </w:rPr>
            </w:pPr>
            <w:r>
              <w:rPr>
                <w:rFonts w:hint="eastAsia" w:ascii="宋体" w:hAnsi="宋体" w:eastAsia="宋体" w:cs="宋体"/>
                <w:szCs w:val="21"/>
              </w:rPr>
              <w:t>7）支持投注机缴款和提现功能。</w:t>
            </w:r>
          </w:p>
          <w:p w14:paraId="1C11E78C">
            <w:pPr>
              <w:adjustRightInd w:val="0"/>
              <w:snapToGrid w:val="0"/>
              <w:spacing w:line="300" w:lineRule="auto"/>
              <w:rPr>
                <w:rFonts w:ascii="宋体" w:hAnsi="宋体" w:eastAsia="宋体" w:cs="宋体"/>
                <w:szCs w:val="21"/>
              </w:rPr>
            </w:pPr>
            <w:r>
              <w:rPr>
                <w:rFonts w:hint="eastAsia" w:ascii="宋体" w:hAnsi="宋体" w:eastAsia="宋体" w:cs="宋体"/>
                <w:szCs w:val="21"/>
              </w:rPr>
              <w:t>3.2兼容性：</w:t>
            </w:r>
          </w:p>
          <w:p w14:paraId="5C4B1248">
            <w:pPr>
              <w:adjustRightInd w:val="0"/>
              <w:snapToGrid w:val="0"/>
              <w:spacing w:line="300" w:lineRule="auto"/>
              <w:rPr>
                <w:rFonts w:ascii="宋体" w:hAnsi="宋体" w:eastAsia="宋体" w:cs="宋体"/>
                <w:szCs w:val="21"/>
              </w:rPr>
            </w:pPr>
            <w:r>
              <w:rPr>
                <w:rFonts w:hint="eastAsia" w:ascii="宋体" w:hAnsi="宋体" w:eastAsia="宋体" w:cs="宋体"/>
                <w:color w:val="000000"/>
                <w:szCs w:val="21"/>
              </w:rPr>
              <w:t>■</w:t>
            </w:r>
            <w:r>
              <w:rPr>
                <w:rFonts w:hint="eastAsia" w:ascii="宋体" w:hAnsi="宋体" w:eastAsia="宋体" w:cs="宋体"/>
                <w:szCs w:val="21"/>
              </w:rPr>
              <w:t>1）投注机硬件设备、终端操作系统和终端应用软件须统一提供，必须确保投注机无缝接入安徽省福利彩票发行中心现有福利彩票销售系统，无需对系统软件及机房硬件做任何修改即可投入使用。投注机可接入到采购人现有系统中进行正常的销售、兑奖、查询等操作。</w:t>
            </w:r>
          </w:p>
          <w:p w14:paraId="1E39839B">
            <w:pPr>
              <w:adjustRightInd w:val="0"/>
              <w:snapToGrid w:val="0"/>
              <w:spacing w:line="300" w:lineRule="auto"/>
              <w:rPr>
                <w:rFonts w:ascii="宋体" w:hAnsi="宋体" w:eastAsia="宋体" w:cs="宋体"/>
                <w:szCs w:val="21"/>
              </w:rPr>
            </w:pPr>
            <w:r>
              <w:rPr>
                <w:rFonts w:hint="eastAsia" w:ascii="宋体" w:hAnsi="宋体" w:eastAsia="宋体" w:cs="宋体"/>
                <w:color w:val="000000"/>
                <w:szCs w:val="21"/>
              </w:rPr>
              <w:t>■</w:t>
            </w:r>
            <w:r>
              <w:rPr>
                <w:rFonts w:hint="eastAsia" w:ascii="宋体" w:hAnsi="宋体" w:eastAsia="宋体" w:cs="宋体"/>
                <w:szCs w:val="21"/>
              </w:rPr>
              <w:t>2）投注机兼容安徽省福利彩票发行中心现有投注机打印纸，打印的彩票票面与现有机型的票面保持一致，支持与安徽省现有投注机通兑。</w:t>
            </w:r>
          </w:p>
          <w:p w14:paraId="665CFD8A">
            <w:pPr>
              <w:adjustRightInd w:val="0"/>
              <w:snapToGrid w:val="0"/>
              <w:spacing w:line="300" w:lineRule="auto"/>
              <w:rPr>
                <w:rFonts w:ascii="宋体" w:hAnsi="宋体" w:eastAsia="宋体" w:cs="宋体"/>
                <w:szCs w:val="21"/>
              </w:rPr>
            </w:pPr>
            <w:r>
              <w:rPr>
                <w:rFonts w:hint="eastAsia" w:ascii="宋体" w:hAnsi="宋体" w:eastAsia="宋体" w:cs="宋体"/>
                <w:color w:val="000000"/>
                <w:szCs w:val="21"/>
              </w:rPr>
              <w:t>■</w:t>
            </w:r>
            <w:r>
              <w:rPr>
                <w:rFonts w:hint="eastAsia" w:ascii="宋体" w:hAnsi="宋体" w:eastAsia="宋体" w:cs="宋体"/>
                <w:szCs w:val="21"/>
              </w:rPr>
              <w:t>3）投注机的界面布局、按键位置、操作习惯等延续现有投注机的风格，兼容现有投注机销售、兑奖、查询等主要业务的操作习惯。</w:t>
            </w:r>
          </w:p>
          <w:p w14:paraId="11880F42">
            <w:pPr>
              <w:adjustRightInd w:val="0"/>
              <w:snapToGrid w:val="0"/>
              <w:spacing w:line="300" w:lineRule="auto"/>
              <w:rPr>
                <w:rFonts w:ascii="宋体" w:hAnsi="宋体" w:eastAsia="宋体" w:cs="宋体"/>
                <w:szCs w:val="21"/>
              </w:rPr>
            </w:pPr>
            <w:r>
              <w:rPr>
                <w:rFonts w:hint="eastAsia" w:ascii="宋体" w:hAnsi="宋体" w:eastAsia="宋体" w:cs="宋体"/>
                <w:szCs w:val="21"/>
              </w:rPr>
              <w:t>4）中标人与采购人原有销售系统对接无需另外缴纳接口费用，在签订保密协议后，采购人提供基于TCP/IP、HTTP等标准的通讯协议开发的接口，中标人在此基础上进行相应的开发，不限制中标人用何种开发工具及计算机编程语言。</w:t>
            </w:r>
          </w:p>
          <w:p w14:paraId="7BC586A7">
            <w:pPr>
              <w:keepNext/>
              <w:keepLines/>
              <w:adjustRightInd w:val="0"/>
              <w:snapToGrid w:val="0"/>
              <w:spacing w:line="300" w:lineRule="auto"/>
              <w:outlineLvl w:val="3"/>
              <w:rPr>
                <w:rFonts w:ascii="宋体" w:hAnsi="宋体" w:eastAsia="宋体" w:cs="宋体"/>
                <w:b/>
                <w:bCs/>
                <w:szCs w:val="21"/>
              </w:rPr>
            </w:pPr>
            <w:r>
              <w:rPr>
                <w:rFonts w:hint="eastAsia" w:ascii="宋体" w:hAnsi="宋体" w:eastAsia="宋体" w:cs="宋体"/>
                <w:b/>
                <w:bCs/>
                <w:szCs w:val="21"/>
              </w:rPr>
              <w:t>3、投注机其他技术功能要求</w:t>
            </w:r>
          </w:p>
          <w:p w14:paraId="49E519B3">
            <w:pPr>
              <w:adjustRightInd w:val="0"/>
              <w:snapToGrid w:val="0"/>
              <w:spacing w:line="300" w:lineRule="auto"/>
              <w:rPr>
                <w:rFonts w:hint="eastAsia" w:ascii="宋体" w:hAnsi="宋体" w:eastAsia="宋体" w:cs="宋体"/>
                <w:szCs w:val="21"/>
              </w:rPr>
            </w:pPr>
            <w:r>
              <w:rPr>
                <w:rFonts w:hint="eastAsia" w:ascii="宋体" w:hAnsi="宋体" w:eastAsia="宋体" w:cs="宋体"/>
                <w:szCs w:val="21"/>
              </w:rPr>
              <w:t>（1）支持安徽省福利彩票发行中心现已开通的所有电脑型福利彩票游戏的销售、兑奖、打印标记等功能。按采购人需求支持新游戏的销售、兑奖等功能。</w:t>
            </w:r>
          </w:p>
          <w:p w14:paraId="55D0028A">
            <w:pPr>
              <w:adjustRightInd w:val="0"/>
              <w:snapToGrid w:val="0"/>
              <w:spacing w:line="300" w:lineRule="auto"/>
              <w:rPr>
                <w:rFonts w:hint="eastAsia" w:ascii="宋体" w:hAnsi="宋体" w:eastAsia="宋体" w:cs="宋体"/>
                <w:szCs w:val="21"/>
              </w:rPr>
            </w:pPr>
            <w:r>
              <w:rPr>
                <w:rFonts w:hint="eastAsia" w:ascii="宋体" w:hAnsi="宋体" w:eastAsia="宋体" w:cs="宋体"/>
                <w:szCs w:val="21"/>
              </w:rPr>
              <w:t>（2）支持即开型福利彩票的彩票预定、报表查询、电脑票和即开票账户互转功能等。</w:t>
            </w:r>
          </w:p>
          <w:p w14:paraId="14F71134">
            <w:pPr>
              <w:adjustRightInd w:val="0"/>
              <w:snapToGrid w:val="0"/>
              <w:spacing w:line="300" w:lineRule="auto"/>
              <w:rPr>
                <w:rFonts w:hint="eastAsia" w:ascii="宋体" w:hAnsi="宋体" w:eastAsia="宋体" w:cs="宋体"/>
                <w:szCs w:val="21"/>
              </w:rPr>
            </w:pPr>
            <w:r>
              <w:rPr>
                <w:rFonts w:hint="eastAsia" w:ascii="宋体" w:hAnsi="宋体" w:eastAsia="宋体" w:cs="宋体"/>
                <w:szCs w:val="21"/>
              </w:rPr>
              <w:t>（3）支持即开票电脑票互动营销功能。</w:t>
            </w:r>
          </w:p>
          <w:p w14:paraId="0D2AAE56">
            <w:pPr>
              <w:adjustRightInd w:val="0"/>
              <w:snapToGrid w:val="0"/>
              <w:spacing w:line="300" w:lineRule="auto"/>
              <w:rPr>
                <w:rFonts w:ascii="宋体" w:hAnsi="宋体" w:eastAsia="宋体" w:cs="宋体"/>
                <w:szCs w:val="21"/>
              </w:rPr>
            </w:pPr>
            <w:r>
              <w:rPr>
                <w:rFonts w:hint="eastAsia" w:ascii="宋体" w:hAnsi="宋体" w:eastAsia="宋体" w:cs="宋体"/>
                <w:szCs w:val="21"/>
              </w:rPr>
              <w:t>（4）主、副屏支持触摸功能，并同步支持注码显示和编辑。</w:t>
            </w:r>
          </w:p>
          <w:p w14:paraId="53D82182">
            <w:pPr>
              <w:adjustRightInd w:val="0"/>
              <w:snapToGrid w:val="0"/>
              <w:spacing w:line="300" w:lineRule="auto"/>
              <w:rPr>
                <w:rFonts w:ascii="宋体" w:hAnsi="宋体" w:eastAsia="宋体" w:cs="宋体"/>
                <w:szCs w:val="21"/>
              </w:rPr>
            </w:pPr>
            <w:r>
              <w:rPr>
                <w:rFonts w:hint="eastAsia" w:ascii="宋体" w:hAnsi="宋体" w:eastAsia="宋体" w:cs="宋体"/>
                <w:szCs w:val="21"/>
              </w:rPr>
              <w:t>（5）阅读器分纸功能：可支持自动分纸，批量扫描。</w:t>
            </w:r>
          </w:p>
          <w:p w14:paraId="26A13CE2">
            <w:pPr>
              <w:adjustRightInd w:val="0"/>
              <w:snapToGrid w:val="0"/>
              <w:spacing w:line="300" w:lineRule="auto"/>
              <w:rPr>
                <w:rFonts w:ascii="宋体" w:hAnsi="宋体" w:eastAsia="宋体" w:cs="宋体"/>
                <w:szCs w:val="21"/>
              </w:rPr>
            </w:pPr>
            <w:r>
              <w:rPr>
                <w:rFonts w:hint="eastAsia" w:ascii="宋体" w:hAnsi="宋体" w:eastAsia="宋体" w:cs="宋体"/>
                <w:szCs w:val="21"/>
              </w:rPr>
              <w:t>（6）多路异步显示：除主、副屏外，可外接显示器播放图片、视频。</w:t>
            </w:r>
          </w:p>
          <w:p w14:paraId="50FCDC0E">
            <w:pPr>
              <w:adjustRightInd w:val="0"/>
              <w:snapToGrid w:val="0"/>
              <w:spacing w:line="300" w:lineRule="auto"/>
              <w:rPr>
                <w:rFonts w:ascii="宋体" w:hAnsi="宋体" w:eastAsia="宋体" w:cs="宋体"/>
                <w:color w:val="000000"/>
                <w:szCs w:val="21"/>
              </w:rPr>
            </w:pPr>
            <w:r>
              <w:rPr>
                <w:rFonts w:hint="eastAsia" w:ascii="宋体" w:hAnsi="宋体" w:eastAsia="宋体" w:cs="宋体"/>
                <w:szCs w:val="21"/>
              </w:rPr>
              <w:t>（7）报表查询：以双色球游戏为例，支持派奖、中奖、日报、期报、结</w:t>
            </w:r>
            <w:r>
              <w:rPr>
                <w:rFonts w:hint="eastAsia" w:ascii="宋体" w:hAnsi="宋体" w:eastAsia="宋体" w:cs="宋体"/>
                <w:color w:val="000000"/>
                <w:szCs w:val="21"/>
              </w:rPr>
              <w:t>算报表、缴款明细、账户信息等报表的查询。</w:t>
            </w:r>
          </w:p>
          <w:p w14:paraId="67DD0D5D">
            <w:pPr>
              <w:adjustRightInd w:val="0"/>
              <w:snapToGrid w:val="0"/>
              <w:spacing w:line="300" w:lineRule="auto"/>
              <w:rPr>
                <w:rFonts w:ascii="宋体" w:hAnsi="宋体" w:eastAsia="宋体" w:cs="宋体"/>
                <w:szCs w:val="21"/>
              </w:rPr>
            </w:pPr>
            <w:r>
              <w:rPr>
                <w:rFonts w:hint="eastAsia" w:ascii="宋体" w:hAnsi="宋体" w:eastAsia="宋体" w:cs="宋体"/>
                <w:color w:val="000000"/>
                <w:szCs w:val="21"/>
              </w:rPr>
              <w:t>（8）USB设备的访问权限：</w:t>
            </w:r>
            <w:r>
              <w:rPr>
                <w:rFonts w:ascii="宋体" w:hAnsi="宋体" w:eastAsia="宋体" w:cs="宋体"/>
                <w:bCs/>
                <w:color w:val="000000"/>
                <w:kern w:val="0"/>
              </w:rPr>
              <w:t>非授权硬件变动的弹窗报警功能，插入U盘</w:t>
            </w:r>
            <w:r>
              <w:rPr>
                <w:rFonts w:hint="eastAsia" w:ascii="宋体" w:hAnsi="宋体" w:eastAsia="宋体" w:cs="宋体"/>
                <w:bCs/>
                <w:color w:val="000000"/>
                <w:kern w:val="0"/>
              </w:rPr>
              <w:t>、移动硬盘</w:t>
            </w:r>
            <w:r>
              <w:rPr>
                <w:rFonts w:ascii="宋体" w:hAnsi="宋体" w:eastAsia="宋体" w:cs="宋体"/>
                <w:bCs/>
                <w:color w:val="000000"/>
                <w:kern w:val="0"/>
              </w:rPr>
              <w:t>等</w:t>
            </w:r>
            <w:r>
              <w:rPr>
                <w:rFonts w:hint="eastAsia" w:ascii="宋体" w:hAnsi="宋体" w:eastAsia="宋体" w:cs="宋体"/>
                <w:bCs/>
                <w:color w:val="000000"/>
                <w:kern w:val="0"/>
              </w:rPr>
              <w:t>各类</w:t>
            </w:r>
            <w:r>
              <w:rPr>
                <w:rFonts w:ascii="宋体" w:hAnsi="宋体" w:eastAsia="宋体" w:cs="宋体"/>
                <w:bCs/>
                <w:color w:val="000000"/>
                <w:kern w:val="0"/>
              </w:rPr>
              <w:t>USB 外设，弹出报警窗口并锁定销售界面</w:t>
            </w:r>
            <w:r>
              <w:rPr>
                <w:rFonts w:hint="eastAsia" w:ascii="宋体" w:hAnsi="宋体" w:eastAsia="宋体" w:cs="宋体"/>
                <w:color w:val="000000"/>
                <w:szCs w:val="21"/>
              </w:rPr>
              <w:t>（采购人可打开或关闭非授权设备弹出报警功能）。</w:t>
            </w:r>
          </w:p>
        </w:tc>
        <w:tc>
          <w:tcPr>
            <w:tcW w:w="455" w:type="pct"/>
            <w:noWrap w:val="0"/>
            <w:vAlign w:val="center"/>
          </w:tcPr>
          <w:p w14:paraId="55E0D9C6">
            <w:pPr>
              <w:adjustRightInd w:val="0"/>
              <w:snapToGrid w:val="0"/>
              <w:spacing w:line="300" w:lineRule="auto"/>
              <w:jc w:val="center"/>
              <w:rPr>
                <w:rFonts w:ascii="宋体" w:hAnsi="宋体" w:eastAsia="宋体" w:cs="宋体"/>
                <w:bCs/>
                <w:szCs w:val="21"/>
                <w:highlight w:val="none"/>
              </w:rPr>
            </w:pPr>
            <w:r>
              <w:rPr>
                <w:rFonts w:hint="eastAsia" w:ascii="宋体" w:hAnsi="宋体" w:eastAsia="宋体" w:cs="宋体"/>
                <w:szCs w:val="21"/>
                <w:highlight w:val="none"/>
                <w:lang w:val="en-US" w:eastAsia="zh-CN"/>
              </w:rPr>
              <w:t>527</w:t>
            </w:r>
            <w:r>
              <w:rPr>
                <w:rFonts w:hint="eastAsia" w:ascii="宋体" w:hAnsi="宋体" w:eastAsia="宋体" w:cs="宋体"/>
                <w:szCs w:val="21"/>
                <w:highlight w:val="none"/>
              </w:rPr>
              <w:t>台</w:t>
            </w:r>
          </w:p>
        </w:tc>
        <w:tc>
          <w:tcPr>
            <w:tcW w:w="405" w:type="pct"/>
            <w:noWrap w:val="0"/>
            <w:vAlign w:val="center"/>
          </w:tcPr>
          <w:p w14:paraId="36A48C2E">
            <w:pPr>
              <w:adjustRightInd w:val="0"/>
              <w:snapToGrid w:val="0"/>
              <w:spacing w:line="300" w:lineRule="auto"/>
              <w:jc w:val="center"/>
              <w:rPr>
                <w:rFonts w:ascii="宋体" w:hAnsi="宋体" w:eastAsia="宋体" w:cs="宋体"/>
                <w:bCs/>
                <w:szCs w:val="21"/>
              </w:rPr>
            </w:pPr>
            <w:r>
              <w:rPr>
                <w:rFonts w:hint="eastAsia" w:ascii="宋体" w:hAnsi="宋体" w:eastAsia="宋体" w:cs="宋体"/>
                <w:bCs/>
                <w:szCs w:val="21"/>
              </w:rPr>
              <w:t>工业</w:t>
            </w:r>
          </w:p>
        </w:tc>
        <w:tc>
          <w:tcPr>
            <w:tcW w:w="475" w:type="pct"/>
            <w:noWrap w:val="0"/>
            <w:vAlign w:val="center"/>
          </w:tcPr>
          <w:p w14:paraId="29059328">
            <w:pPr>
              <w:adjustRightInd w:val="0"/>
              <w:snapToGrid w:val="0"/>
              <w:spacing w:line="300" w:lineRule="auto"/>
              <w:jc w:val="center"/>
              <w:rPr>
                <w:rFonts w:ascii="宋体" w:hAnsi="宋体" w:eastAsia="宋体" w:cs="宋体"/>
                <w:bCs/>
                <w:szCs w:val="21"/>
              </w:rPr>
            </w:pPr>
            <w:r>
              <w:rPr>
                <w:rFonts w:hint="eastAsia" w:ascii="宋体" w:hAnsi="宋体" w:eastAsia="宋体" w:cs="宋体"/>
                <w:bCs/>
                <w:szCs w:val="21"/>
              </w:rPr>
              <w:t>是</w:t>
            </w:r>
          </w:p>
        </w:tc>
        <w:tc>
          <w:tcPr>
            <w:tcW w:w="277" w:type="pct"/>
            <w:noWrap w:val="0"/>
            <w:vAlign w:val="center"/>
          </w:tcPr>
          <w:p w14:paraId="474B57D2">
            <w:pPr>
              <w:adjustRightInd w:val="0"/>
              <w:snapToGrid w:val="0"/>
              <w:spacing w:line="300" w:lineRule="auto"/>
              <w:jc w:val="center"/>
              <w:rPr>
                <w:rFonts w:ascii="宋体" w:hAnsi="宋体" w:eastAsia="宋体" w:cs="宋体"/>
                <w:bCs/>
                <w:szCs w:val="21"/>
              </w:rPr>
            </w:pPr>
          </w:p>
        </w:tc>
      </w:tr>
    </w:tbl>
    <w:p w14:paraId="03F9B146">
      <w:pPr>
        <w:pStyle w:val="2"/>
        <w:widowControl/>
        <w:adjustRightInd w:val="0"/>
        <w:snapToGrid w:val="0"/>
        <w:spacing w:line="360" w:lineRule="auto"/>
        <w:ind w:firstLine="422"/>
        <w:outlineLvl w:val="1"/>
        <w:rPr>
          <w:rStyle w:val="8"/>
          <w:rFonts w:ascii="宋体" w:hAnsi="宋体" w:eastAsia="宋体" w:cs="宋体"/>
          <w:bCs w:val="0"/>
          <w:sz w:val="21"/>
          <w:szCs w:val="21"/>
        </w:rPr>
      </w:pPr>
      <w:bookmarkStart w:id="8" w:name="_Toc196850538"/>
      <w:bookmarkStart w:id="9" w:name="_Toc31082"/>
      <w:r>
        <w:rPr>
          <w:rStyle w:val="8"/>
          <w:rFonts w:hint="eastAsia" w:ascii="宋体" w:hAnsi="宋体" w:eastAsia="宋体" w:cs="宋体"/>
          <w:bCs w:val="0"/>
          <w:sz w:val="21"/>
          <w:szCs w:val="21"/>
        </w:rPr>
        <w:t>三、服务要求</w:t>
      </w:r>
      <w:bookmarkEnd w:id="8"/>
      <w:bookmarkEnd w:id="9"/>
      <w:r>
        <w:rPr>
          <w:rStyle w:val="8"/>
          <w:rFonts w:hint="eastAsia" w:ascii="宋体" w:hAnsi="宋体" w:eastAsia="宋体" w:cs="宋体"/>
          <w:bCs w:val="0"/>
          <w:sz w:val="21"/>
          <w:szCs w:val="21"/>
        </w:rPr>
        <w:t xml:space="preserve"> </w:t>
      </w:r>
    </w:p>
    <w:p w14:paraId="7CEB4F1B">
      <w:pPr>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w:t>
      </w:r>
      <w:r>
        <w:rPr>
          <w:rFonts w:hint="eastAsia" w:ascii="宋体" w:hAnsi="宋体" w:eastAsia="宋体" w:cs="宋体"/>
          <w:szCs w:val="21"/>
        </w:rPr>
        <w:t>服务范围包括：免费质保期内，中标人提供对所有终端机的软硬件更新及设备免费保修服务。为网点提供故障报修、技术咨询及技术支持服务。采购人根据彩票销售市场需要不定期开展各类营销活动及新增功能等，涉及到彩票销售终端机软件升级的，中标人须在规定时间内无条件响应并无偿解决。</w:t>
      </w:r>
    </w:p>
    <w:p w14:paraId="5EA1E0B9">
      <w:pPr>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w:t>
      </w:r>
      <w:r>
        <w:rPr>
          <w:rFonts w:hint="eastAsia" w:ascii="宋体" w:hAnsi="宋体" w:eastAsia="宋体" w:cs="宋体"/>
          <w:szCs w:val="21"/>
        </w:rPr>
        <w:t xml:space="preserve">在免费质保期内，中标人提供投注机全部软硬件及其技术支持，确保系统正常稳定运行，且投标人对其提供的设备至少进行一次全面技术巡检。 </w:t>
      </w:r>
    </w:p>
    <w:p w14:paraId="405299BC">
      <w:pPr>
        <w:adjustRightInd w:val="0"/>
        <w:snapToGrid w:val="0"/>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中标人为本项目配备专业售后服务团队</w:t>
      </w:r>
      <w:r>
        <w:rPr>
          <w:rFonts w:hint="eastAsia" w:ascii="宋体" w:hAnsi="宋体" w:eastAsia="宋体" w:cs="宋体"/>
          <w:szCs w:val="21"/>
          <w:highlight w:val="none"/>
          <w:lang w:val="en-US" w:eastAsia="zh-CN"/>
        </w:rPr>
        <w:t>(不得少于3人)</w:t>
      </w:r>
      <w:r>
        <w:rPr>
          <w:rFonts w:hint="eastAsia" w:ascii="宋体" w:hAnsi="宋体" w:eastAsia="宋体" w:cs="宋体"/>
          <w:szCs w:val="21"/>
          <w:highlight w:val="none"/>
        </w:rPr>
        <w:t>，提供一站式服务，在接到用户维修通知后 2 小时内响应，24小时内排除故障（节假日照常服务，彩票休市期间除外）。</w:t>
      </w:r>
    </w:p>
    <w:p w14:paraId="14481BE2">
      <w:pPr>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w:t>
      </w:r>
      <w:r>
        <w:rPr>
          <w:rFonts w:hint="eastAsia" w:ascii="宋体" w:hAnsi="宋体" w:eastAsia="宋体" w:cs="宋体"/>
          <w:szCs w:val="21"/>
        </w:rPr>
        <w:t xml:space="preserve">中标人为本项目设立配件库，提供充足的维修备件，以满足日常维修需要。 </w:t>
      </w:r>
    </w:p>
    <w:p w14:paraId="7818D603">
      <w:pPr>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5</w:t>
      </w:r>
      <w:r>
        <w:rPr>
          <w:rFonts w:hint="eastAsia" w:ascii="宋体" w:hAnsi="宋体" w:eastAsia="宋体" w:cs="宋体"/>
          <w:szCs w:val="21"/>
          <w:lang w:val="en-US" w:eastAsia="zh-CN"/>
        </w:rPr>
        <w:t>.</w:t>
      </w:r>
      <w:r>
        <w:rPr>
          <w:rFonts w:hint="eastAsia" w:ascii="宋体" w:hAnsi="宋体" w:eastAsia="宋体" w:cs="宋体"/>
          <w:szCs w:val="21"/>
        </w:rPr>
        <w:t>中标人须在免费质保期内，按采购人需求为每个部署投注机的地级市提供至少一次的线下培训服务</w:t>
      </w:r>
      <w:r>
        <w:rPr>
          <w:rFonts w:hint="eastAsia" w:ascii="宋体" w:hAnsi="宋体" w:eastAsia="宋体" w:cs="宋体"/>
          <w:szCs w:val="21"/>
          <w:lang w:eastAsia="zh-CN"/>
        </w:rPr>
        <w:t>（</w:t>
      </w:r>
      <w:r>
        <w:rPr>
          <w:rFonts w:hint="eastAsia" w:ascii="宋体" w:hAnsi="宋体" w:eastAsia="宋体" w:cs="宋体"/>
          <w:szCs w:val="21"/>
          <w:lang w:val="en-US" w:eastAsia="zh-CN"/>
        </w:rPr>
        <w:t>该部分金额包含在本项目投标报价中，采购人不再另行支付其他费用</w:t>
      </w:r>
      <w:r>
        <w:rPr>
          <w:rFonts w:hint="eastAsia" w:ascii="宋体" w:hAnsi="宋体" w:eastAsia="宋体" w:cs="宋体"/>
          <w:szCs w:val="21"/>
          <w:lang w:eastAsia="zh-CN"/>
        </w:rPr>
        <w:t>）</w:t>
      </w:r>
      <w:r>
        <w:rPr>
          <w:rFonts w:hint="eastAsia" w:ascii="宋体" w:hAnsi="宋体" w:eastAsia="宋体" w:cs="宋体"/>
          <w:szCs w:val="21"/>
        </w:rPr>
        <w:t>。内容包括：</w:t>
      </w:r>
    </w:p>
    <w:p w14:paraId="083BBAFE">
      <w:pPr>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（1）中标人须为设备使用人员提供具体的使用操作培训等；</w:t>
      </w:r>
    </w:p>
    <w:p w14:paraId="3339B4D2">
      <w:pPr>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（2）中标人须为采购人的技术人员提供相关培训，包括投注机操作、维护、保养等。</w:t>
      </w:r>
    </w:p>
    <w:p w14:paraId="7076B891">
      <w:pPr>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6</w:t>
      </w:r>
      <w:r>
        <w:rPr>
          <w:rFonts w:hint="eastAsia" w:ascii="宋体" w:hAnsi="宋体" w:eastAsia="宋体" w:cs="宋体"/>
          <w:szCs w:val="21"/>
          <w:lang w:val="en-US" w:eastAsia="zh-CN"/>
        </w:rPr>
        <w:t>.</w:t>
      </w:r>
      <w:r>
        <w:rPr>
          <w:rFonts w:hint="eastAsia" w:ascii="宋体" w:hAnsi="宋体" w:eastAsia="宋体" w:cs="宋体"/>
          <w:szCs w:val="21"/>
        </w:rPr>
        <w:t>项目验收</w:t>
      </w:r>
    </w:p>
    <w:p w14:paraId="7628E930">
      <w:pPr>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（1）采购人在中标人供货设备中随机抽取1台交送采购人指定的独立的第三方检测机构进行设备检测，检测的内容不超过采购需求要求的范围。</w:t>
      </w:r>
    </w:p>
    <w:p w14:paraId="26336276">
      <w:pPr>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（2）如果任何被检验或测试的设备不能满足规格的要求，采购人或使用单位可以拒绝接受该设备，中标人应更换被拒绝的设备，或者免费进行必要的修改以满足规格的要求；</w:t>
      </w:r>
    </w:p>
    <w:p w14:paraId="284A03ED">
      <w:pPr>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（3）设备抵达现场后，采购人或使用单位对设备的质量、规格、性能、数量和重量等与投标文件、投标时递交的样机进行比对、检验，在设备验收合格证书上签字确认后视为验收合格；</w:t>
      </w:r>
    </w:p>
    <w:p w14:paraId="57875D4E">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jc w:val="left"/>
        <w:textAlignment w:val="auto"/>
        <w:rPr>
          <w:rFonts w:ascii="宋体" w:hAnsi="宋体" w:eastAsia="宋体" w:cs="宋体"/>
          <w:szCs w:val="21"/>
        </w:rPr>
      </w:pPr>
      <w:r>
        <w:rPr>
          <w:rFonts w:hint="eastAsia" w:ascii="宋体" w:hAnsi="宋体" w:eastAsia="宋体" w:cs="宋体"/>
          <w:szCs w:val="21"/>
        </w:rPr>
        <w:t>（4）如果设备在合同条款规定的保修期内，根据采购人、使用单位或相关国家质量监督检验部门的检验结果，发现设备的质量或规格与合同要求不符，或设备被证实有缺陷，包括潜在缺陷或使用不合适材料，采购人或使用单位有权向中标人提出索赔并要求退货或换货。</w:t>
      </w:r>
    </w:p>
    <w:p w14:paraId="4BC76E0C">
      <w:pPr>
        <w:pStyle w:val="2"/>
        <w:widowControl/>
        <w:adjustRightInd w:val="0"/>
        <w:snapToGrid w:val="0"/>
        <w:spacing w:line="360" w:lineRule="auto"/>
        <w:ind w:firstLine="422"/>
        <w:outlineLvl w:val="1"/>
        <w:rPr>
          <w:rStyle w:val="8"/>
          <w:rFonts w:ascii="宋体" w:hAnsi="宋体" w:eastAsia="宋体" w:cs="宋体"/>
          <w:bCs w:val="0"/>
          <w:sz w:val="21"/>
          <w:szCs w:val="21"/>
        </w:rPr>
      </w:pPr>
      <w:bookmarkStart w:id="10" w:name="_Toc32104"/>
      <w:bookmarkStart w:id="11" w:name="_Toc196850539"/>
      <w:r>
        <w:rPr>
          <w:rStyle w:val="8"/>
          <w:rFonts w:hint="eastAsia" w:ascii="宋体" w:hAnsi="宋体" w:eastAsia="宋体" w:cs="宋体"/>
          <w:bCs w:val="0"/>
          <w:sz w:val="21"/>
          <w:szCs w:val="21"/>
        </w:rPr>
        <w:t>四、测试要求</w:t>
      </w:r>
      <w:bookmarkEnd w:id="10"/>
      <w:bookmarkEnd w:id="11"/>
    </w:p>
    <w:p w14:paraId="4D970DCE">
      <w:pPr>
        <w:adjustRightInd w:val="0"/>
        <w:snapToGrid w:val="0"/>
        <w:spacing w:line="360" w:lineRule="auto"/>
        <w:ind w:firstLine="420" w:firstLineChars="200"/>
        <w:jc w:val="left"/>
        <w:rPr>
          <w:rFonts w:ascii="宋体" w:hAnsi="宋体" w:eastAsia="宋体" w:cs="宋体"/>
          <w:bCs/>
          <w:color w:val="000000"/>
          <w:szCs w:val="21"/>
          <w:highlight w:val="yellow"/>
        </w:rPr>
      </w:pPr>
      <w:r>
        <w:rPr>
          <w:rFonts w:hint="eastAsia" w:ascii="宋体" w:hAnsi="宋体" w:eastAsia="宋体" w:cs="宋体"/>
          <w:color w:val="000000"/>
          <w:szCs w:val="21"/>
        </w:rPr>
        <w:t>为确保本次所采购的投注机顺利接入到采购人在运行的福利彩票销售系统，合同签订后供货前中标人须向采购人提供样机到采购人的指定地点，并在采购人的协调下，在45个</w:t>
      </w:r>
      <w:r>
        <w:rPr>
          <w:rFonts w:hint="eastAsia" w:ascii="宋体" w:hAnsi="宋体" w:eastAsia="宋体" w:cs="宋体"/>
          <w:bCs/>
          <w:color w:val="000000"/>
          <w:szCs w:val="21"/>
        </w:rPr>
        <w:t>日历</w:t>
      </w:r>
      <w:r>
        <w:rPr>
          <w:rFonts w:hint="eastAsia" w:ascii="宋体" w:hAnsi="宋体" w:eastAsia="宋体" w:cs="宋体"/>
          <w:color w:val="000000"/>
          <w:szCs w:val="21"/>
        </w:rPr>
        <w:t>天内完成第三方接入系统的对接测试。</w:t>
      </w:r>
      <w:r>
        <w:rPr>
          <w:rFonts w:hint="eastAsia" w:ascii="宋体" w:hAnsi="宋体" w:eastAsia="宋体" w:cs="宋体"/>
          <w:bCs/>
          <w:color w:val="000000"/>
          <w:szCs w:val="21"/>
        </w:rPr>
        <w:t>测试内容见附件1《投注机现场测试要求》。若未完成附件1《投注机现场测试要求》，采购人有权要求中标人停止供货，由此导致超出供货时间要求的，由中标人承担相关责任。</w:t>
      </w:r>
    </w:p>
    <w:p w14:paraId="3E33F0CC">
      <w:pPr>
        <w:pStyle w:val="2"/>
        <w:widowControl/>
        <w:adjustRightInd w:val="0"/>
        <w:snapToGrid w:val="0"/>
        <w:spacing w:line="360" w:lineRule="auto"/>
        <w:ind w:firstLine="422"/>
        <w:outlineLvl w:val="1"/>
        <w:rPr>
          <w:rStyle w:val="8"/>
          <w:rFonts w:ascii="宋体" w:hAnsi="宋体" w:eastAsia="宋体" w:cs="宋体"/>
          <w:bCs w:val="0"/>
          <w:sz w:val="21"/>
          <w:szCs w:val="21"/>
        </w:rPr>
      </w:pPr>
      <w:bookmarkStart w:id="12" w:name="_Toc196850540"/>
      <w:bookmarkStart w:id="13" w:name="_Toc24487"/>
      <w:r>
        <w:rPr>
          <w:rStyle w:val="8"/>
          <w:rFonts w:hint="eastAsia" w:ascii="宋体" w:hAnsi="宋体" w:eastAsia="宋体" w:cs="宋体"/>
          <w:bCs w:val="0"/>
          <w:sz w:val="21"/>
          <w:szCs w:val="21"/>
        </w:rPr>
        <w:t>五、其它</w:t>
      </w:r>
      <w:bookmarkEnd w:id="12"/>
      <w:bookmarkEnd w:id="13"/>
    </w:p>
    <w:p w14:paraId="1E0453B6">
      <w:pPr>
        <w:adjustRightInd w:val="0"/>
        <w:snapToGrid w:val="0"/>
        <w:spacing w:line="360" w:lineRule="auto"/>
        <w:ind w:firstLine="420" w:firstLineChars="200"/>
        <w:rPr>
          <w:rFonts w:ascii="宋体" w:hAnsi="宋体" w:eastAsia="宋体" w:cs="宋体"/>
          <w:color w:val="000000"/>
          <w:szCs w:val="21"/>
        </w:rPr>
      </w:pPr>
      <w:bookmarkStart w:id="14" w:name="_Toc196850541"/>
      <w:r>
        <w:rPr>
          <w:rFonts w:hint="eastAsia" w:ascii="宋体" w:hAnsi="宋体" w:eastAsia="宋体" w:cs="宋体"/>
          <w:szCs w:val="21"/>
        </w:rPr>
        <w:t>为保障投标人的合法权益，投标人在投标前，可在安徽省内任一福利彩票销售网点进行自行考察，考察内容包括彩票票面的显示内容和排列结构、投注机的操作界面和键盘布局、投注机外接副屏等。对上述考察内容有不解或疑问的，投标人可在网上询问截止时间向采购人提出询问。</w:t>
      </w:r>
    </w:p>
    <w:p w14:paraId="31523722">
      <w:pPr>
        <w:pStyle w:val="2"/>
        <w:widowControl/>
        <w:adjustRightInd w:val="0"/>
        <w:snapToGrid w:val="0"/>
        <w:spacing w:line="360" w:lineRule="auto"/>
        <w:ind w:firstLine="422"/>
        <w:outlineLvl w:val="1"/>
        <w:rPr>
          <w:rStyle w:val="8"/>
          <w:rFonts w:ascii="宋体" w:hAnsi="宋体" w:eastAsia="宋体" w:cs="宋体"/>
          <w:sz w:val="21"/>
          <w:szCs w:val="21"/>
        </w:rPr>
      </w:pPr>
      <w:bookmarkStart w:id="15" w:name="_Toc16691"/>
      <w:r>
        <w:rPr>
          <w:rStyle w:val="8"/>
          <w:rFonts w:hint="eastAsia" w:ascii="宋体" w:hAnsi="宋体" w:eastAsia="宋体" w:cs="宋体"/>
          <w:sz w:val="21"/>
          <w:szCs w:val="21"/>
        </w:rPr>
        <w:t>六、报价要求</w:t>
      </w:r>
      <w:bookmarkEnd w:id="14"/>
      <w:bookmarkEnd w:id="15"/>
    </w:p>
    <w:p w14:paraId="305F49BE">
      <w:pPr>
        <w:adjustRightInd w:val="0"/>
        <w:snapToGrid w:val="0"/>
        <w:spacing w:line="360" w:lineRule="auto"/>
        <w:ind w:firstLine="420" w:firstLineChars="200"/>
        <w:rPr>
          <w:rFonts w:ascii="宋体" w:hAnsi="宋体" w:eastAsia="宋体" w:cs="宋体"/>
          <w:sz w:val="21"/>
          <w:szCs w:val="21"/>
          <w:highlight w:val="none"/>
        </w:rPr>
      </w:pPr>
      <w:r>
        <w:rPr>
          <w:rFonts w:ascii="宋体" w:hAnsi="宋体" w:eastAsia="宋体" w:cs="宋体"/>
          <w:sz w:val="21"/>
          <w:szCs w:val="21"/>
          <w:highlight w:val="none"/>
        </w:rPr>
        <w:t>1</w:t>
      </w:r>
      <w:r>
        <w:rPr>
          <w:rFonts w:hint="eastAsia" w:ascii="宋体" w:hAnsi="宋体" w:eastAsia="宋体" w:cs="宋体"/>
          <w:sz w:val="21"/>
          <w:szCs w:val="21"/>
          <w:highlight w:val="none"/>
          <w:lang w:val="en-US" w:eastAsia="zh-CN"/>
        </w:rPr>
        <w:t>.</w:t>
      </w:r>
      <w:r>
        <w:rPr>
          <w:rFonts w:ascii="宋体" w:hAnsi="宋体" w:eastAsia="宋体" w:cs="宋体"/>
          <w:sz w:val="21"/>
          <w:szCs w:val="21"/>
          <w:highlight w:val="none"/>
        </w:rPr>
        <w:t>本项目报单价，中标人中标单价在合同执行过程中固定不变，不得以任何理由予以变更。结算价=中标单价×实际发生数量，最终结算金额不得超过预算金额。</w:t>
      </w:r>
    </w:p>
    <w:p w14:paraId="3539BDB9">
      <w:pPr>
        <w:adjustRightInd w:val="0"/>
        <w:snapToGrid w:val="0"/>
        <w:spacing w:line="360" w:lineRule="auto"/>
        <w:ind w:firstLine="420" w:firstLineChars="200"/>
        <w:rPr>
          <w:rFonts w:ascii="宋体" w:hAnsi="宋体" w:eastAsia="宋体" w:cs="宋体"/>
          <w:color w:val="000000"/>
          <w:szCs w:val="21"/>
        </w:rPr>
      </w:pPr>
      <w:r>
        <w:rPr>
          <w:rFonts w:hint="eastAsia" w:ascii="宋体" w:hAnsi="宋体" w:eastAsia="宋体" w:cs="宋体"/>
          <w:sz w:val="21"/>
          <w:szCs w:val="21"/>
          <w:highlight w:val="none"/>
          <w:lang w:val="en-US" w:eastAsia="zh-CN"/>
        </w:rPr>
        <w:t>2.投标人所报单价包括货物从设计、采购、制造、交货（包括运输至采购人指定地点卸车就位）和售后服务的一切费用（如设计费、采购费、制造费、包装费、运输费、运输保险费、装卸费、其他技术服务及质保期服务费等）、管理费、利润和税金，以及采购合同中明示或暗示的所有责任、义务和风险。</w:t>
      </w:r>
      <w:r>
        <w:rPr>
          <w:rFonts w:hint="eastAsia" w:ascii="宋体" w:hAnsi="宋体" w:eastAsia="宋体" w:cs="宋体"/>
          <w:color w:val="000000"/>
          <w:szCs w:val="21"/>
          <w:lang w:val="en-US" w:eastAsia="zh-CN"/>
        </w:rPr>
        <w:t>本次</w:t>
      </w:r>
      <w:r>
        <w:rPr>
          <w:rFonts w:hint="eastAsia" w:ascii="宋体" w:hAnsi="宋体" w:eastAsia="宋体" w:cs="宋体"/>
          <w:color w:val="000000"/>
          <w:szCs w:val="21"/>
        </w:rPr>
        <w:t>所采购的投注机接入采购人</w:t>
      </w:r>
      <w:r>
        <w:rPr>
          <w:rFonts w:hint="eastAsia" w:ascii="宋体" w:hAnsi="宋体" w:eastAsia="宋体" w:cs="宋体"/>
          <w:color w:val="000000"/>
          <w:szCs w:val="21"/>
          <w:lang w:val="en-US" w:eastAsia="zh-CN"/>
        </w:rPr>
        <w:t>现</w:t>
      </w:r>
      <w:r>
        <w:rPr>
          <w:rFonts w:hint="eastAsia" w:ascii="宋体" w:hAnsi="宋体" w:eastAsia="宋体" w:cs="宋体"/>
          <w:color w:val="000000"/>
          <w:szCs w:val="21"/>
        </w:rPr>
        <w:t>运行的福利彩票销售系统</w:t>
      </w:r>
      <w:r>
        <w:rPr>
          <w:rFonts w:hint="default" w:ascii="宋体" w:hAnsi="宋体" w:eastAsia="宋体" w:cs="宋体"/>
          <w:color w:val="000000"/>
          <w:szCs w:val="21"/>
          <w:lang w:val="en-US"/>
        </w:rPr>
        <w:t>时，如</w:t>
      </w:r>
      <w:r>
        <w:rPr>
          <w:rFonts w:hint="eastAsia" w:ascii="宋体" w:hAnsi="宋体" w:eastAsia="宋体" w:cs="宋体"/>
          <w:color w:val="000000"/>
          <w:szCs w:val="21"/>
          <w:lang w:val="en-US" w:eastAsia="zh-CN"/>
        </w:rPr>
        <w:t>涉及</w:t>
      </w:r>
      <w:r>
        <w:rPr>
          <w:rFonts w:hint="eastAsia" w:ascii="宋体" w:hAnsi="宋体" w:eastAsia="宋体" w:cs="宋体"/>
          <w:color w:val="000000"/>
          <w:szCs w:val="21"/>
        </w:rPr>
        <w:t>硬件接入设备和软件接入系统，相关费用由投标人</w:t>
      </w:r>
      <w:r>
        <w:rPr>
          <w:rFonts w:hint="eastAsia" w:ascii="宋体" w:hAnsi="宋体" w:eastAsia="宋体" w:cs="宋体"/>
          <w:color w:val="000000"/>
          <w:szCs w:val="21"/>
          <w:lang w:val="en-US" w:eastAsia="zh-CN"/>
        </w:rPr>
        <w:t>综合考虑在本项目单价中，采购人</w:t>
      </w:r>
      <w:r>
        <w:rPr>
          <w:rFonts w:hint="eastAsia" w:ascii="宋体" w:hAnsi="宋体" w:eastAsia="宋体" w:cs="宋体"/>
          <w:szCs w:val="21"/>
          <w:lang w:val="en-US" w:eastAsia="zh-CN"/>
        </w:rPr>
        <w:t>不再另行支付其他费用</w:t>
      </w:r>
      <w:r>
        <w:rPr>
          <w:rFonts w:hint="eastAsia" w:ascii="宋体" w:hAnsi="宋体" w:eastAsia="宋体" w:cs="宋体"/>
          <w:color w:val="000000"/>
          <w:szCs w:val="21"/>
        </w:rPr>
        <w:t>。</w:t>
      </w:r>
    </w:p>
    <w:p w14:paraId="56C993D7">
      <w:pPr>
        <w:adjustRightInd w:val="0"/>
        <w:snapToGrid w:val="0"/>
        <w:spacing w:line="360" w:lineRule="auto"/>
        <w:ind w:firstLine="420" w:firstLineChars="200"/>
        <w:rPr>
          <w:rFonts w:ascii="宋体" w:hAnsi="宋体" w:eastAsia="宋体"/>
          <w:bCs/>
          <w:color w:val="auto"/>
          <w:sz w:val="24"/>
          <w:szCs w:val="18"/>
          <w:highlight w:val="none"/>
        </w:rPr>
      </w:pPr>
      <w:r>
        <w:rPr>
          <w:rFonts w:hint="eastAsia" w:ascii="宋体" w:hAnsi="宋体" w:eastAsia="宋体" w:cs="宋体"/>
          <w:sz w:val="21"/>
          <w:szCs w:val="21"/>
          <w:highlight w:val="none"/>
          <w:lang w:val="en-US" w:eastAsia="zh-CN"/>
        </w:rPr>
        <w:t>3.</w:t>
      </w:r>
      <w:r>
        <w:rPr>
          <w:rFonts w:ascii="宋体" w:hAnsi="宋体" w:eastAsia="宋体" w:cs="宋体"/>
          <w:sz w:val="21"/>
          <w:szCs w:val="21"/>
          <w:highlight w:val="none"/>
        </w:rPr>
        <w:t>采购人在“</w:t>
      </w:r>
      <w:r>
        <w:rPr>
          <w:rFonts w:hint="eastAsia" w:ascii="宋体" w:hAnsi="宋体" w:eastAsia="宋体" w:cs="宋体"/>
          <w:sz w:val="21"/>
          <w:szCs w:val="21"/>
          <w:highlight w:val="none"/>
          <w:lang w:val="en-US" w:eastAsia="zh-CN"/>
        </w:rPr>
        <w:t>货物</w:t>
      </w:r>
      <w:r>
        <w:rPr>
          <w:rFonts w:ascii="宋体" w:hAnsi="宋体" w:eastAsia="宋体" w:cs="宋体"/>
          <w:sz w:val="21"/>
          <w:szCs w:val="21"/>
          <w:highlight w:val="none"/>
        </w:rPr>
        <w:t>需求”中所提供的各种货物的数量是计划采购数量，仅作为投标报价的依据，不作为最终结算与支付的依据。在合同实施期间，采购人可以按照政府采购政策规定对货物数量适当增减。投标人不得以货物的实际供货数量有变化为理由要求对各种货物的单价进行变更。</w:t>
      </w:r>
      <w:bookmarkEnd w:id="6"/>
      <w:bookmarkEnd w:id="7"/>
    </w:p>
    <w:p w14:paraId="10A37BB9">
      <w:bookmarkStart w:id="16" w:name="_GoBack"/>
      <w:bookmarkEnd w:id="1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B958A1"/>
    <w:rsid w:val="76B95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eastAsiaTheme="minorEastAsia" w:cstheme="minorBidi"/>
      <w:szCs w:val="22"/>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amp;L"/>
    <w:basedOn w:val="3"/>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7">
    <w:name w:val="xl31"/>
    <w:basedOn w:val="1"/>
    <w:autoRedefine/>
    <w:qFormat/>
    <w:uiPriority w:val="0"/>
    <w:pPr>
      <w:widowControl/>
      <w:spacing w:before="100" w:beforeAutospacing="1" w:after="100" w:afterAutospacing="1"/>
      <w:jc w:val="center"/>
    </w:pPr>
    <w:rPr>
      <w:b/>
      <w:bCs/>
      <w:kern w:val="0"/>
      <w:sz w:val="28"/>
      <w:szCs w:val="28"/>
    </w:rPr>
  </w:style>
  <w:style w:type="character" w:customStyle="1" w:styleId="8">
    <w:name w:val="标题 2 Char Char"/>
    <w:qFormat/>
    <w:uiPriority w:val="0"/>
    <w:rPr>
      <w:rFonts w:ascii="Arial" w:hAnsi="Arial" w:eastAsia="黑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2026-03-23T04:49:00Z</dcterms:created>
  <dc:creator>修订</dc:creator>
  <cp:lastModifiedBy>修订</cp:lastModifiedBy>
  <dcterms:modified xsi:type="dcterms:W3CDTF">2026-03-23T04:49:13Z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9CF6CE5F5D9B4995BF0F589F68326DBD_11</vt:lpwstr>
  </property>
  <property fmtid="{D5CDD505-2E9C-101B-9397-08002B2CF9AE}" pid="4" name="KSOTemplateDocerSaveRecord">
    <vt:lpwstr>eyJoZGlkIjoiMjFlNDcxMzhjZTVlNDBjMzBjMjM4MDQwMDM2MDcyZTEiLCJ1c2VySWQiOiIxMDExNDk4MDc1In0=</vt:lpwstr>
  </property>
</Properties>
</file>