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FC378">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采购需求</w:t>
      </w:r>
    </w:p>
    <w:p w14:paraId="3D51C54E">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571A129E">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为拒绝采购进口产品</w:t>
      </w:r>
      <w:r>
        <w:rPr>
          <w:rFonts w:hint="eastAsia" w:ascii="宋体" w:hAnsi="宋体" w:eastAsia="宋体"/>
          <w:color w:val="auto"/>
          <w:szCs w:val="21"/>
          <w:highlight w:val="none"/>
        </w:rPr>
        <w:t>。</w:t>
      </w:r>
    </w:p>
    <w:p w14:paraId="304236F9">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64B5B4E5">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w:t>
      </w:r>
      <w:bookmarkStart w:id="50" w:name="_GoBack"/>
      <w:bookmarkEnd w:id="50"/>
      <w:r>
        <w:rPr>
          <w:rFonts w:hint="eastAsia" w:ascii="宋体" w:hAnsi="宋体" w:eastAsia="宋体" w:cs="宋体"/>
          <w:color w:val="auto"/>
          <w:szCs w:val="21"/>
          <w:highlight w:val="none"/>
        </w:rPr>
        <w:t>构出具的、处于有效期内的节能产品认证证书。</w:t>
      </w:r>
    </w:p>
    <w:p w14:paraId="6CB20669">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834C3D3">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7F877862">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1C20FDC7">
      <w:pPr>
        <w:adjustRightInd w:val="0"/>
        <w:snapToGrid w:val="0"/>
        <w:spacing w:line="360" w:lineRule="auto"/>
        <w:ind w:firstLine="482"/>
        <w:outlineLvl w:val="1"/>
        <w:rPr>
          <w:rFonts w:hint="eastAsia" w:ascii="宋体" w:hAnsi="宋体" w:eastAsia="宋体"/>
          <w:b/>
          <w:color w:val="auto"/>
          <w:szCs w:val="21"/>
          <w:highlight w:val="none"/>
        </w:rPr>
      </w:pPr>
      <w:bookmarkStart w:id="0" w:name="_Toc2554"/>
      <w:bookmarkStart w:id="1" w:name="_Toc32151"/>
      <w:bookmarkStart w:id="2" w:name="_Toc178465410"/>
    </w:p>
    <w:p w14:paraId="06EBD841">
      <w:pPr>
        <w:adjustRightInd w:val="0"/>
        <w:snapToGrid w:val="0"/>
        <w:spacing w:line="360" w:lineRule="auto"/>
        <w:ind w:firstLine="482"/>
        <w:outlineLvl w:val="1"/>
        <w:rPr>
          <w:rFonts w:ascii="宋体" w:hAnsi="宋体" w:eastAsia="宋体"/>
          <w:b/>
          <w:color w:val="auto"/>
          <w:szCs w:val="21"/>
          <w:highlight w:val="none"/>
        </w:rPr>
      </w:pPr>
      <w:r>
        <w:rPr>
          <w:rFonts w:hint="eastAsia" w:ascii="宋体" w:hAnsi="宋体" w:eastAsia="宋体"/>
          <w:b/>
          <w:color w:val="auto"/>
          <w:szCs w:val="21"/>
          <w:highlight w:val="none"/>
        </w:rPr>
        <w:t>一、采购需求前附表</w:t>
      </w:r>
      <w:bookmarkEnd w:id="0"/>
      <w:bookmarkEnd w:id="1"/>
      <w:bookmarkEnd w:id="2"/>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7199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3577A575">
            <w:pPr>
              <w:pStyle w:val="10"/>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2032" w:type="dxa"/>
            <w:noWrap w:val="0"/>
            <w:vAlign w:val="center"/>
          </w:tcPr>
          <w:p w14:paraId="64A27048">
            <w:pPr>
              <w:pStyle w:val="11"/>
              <w:jc w:val="center"/>
              <w:rPr>
                <w:b/>
                <w:color w:val="auto"/>
                <w:highlight w:val="none"/>
              </w:rPr>
            </w:pPr>
            <w:r>
              <w:rPr>
                <w:rFonts w:hint="eastAsia"/>
                <w:b/>
                <w:color w:val="auto"/>
                <w:highlight w:val="none"/>
              </w:rPr>
              <w:t>条款名称</w:t>
            </w:r>
          </w:p>
        </w:tc>
        <w:tc>
          <w:tcPr>
            <w:tcW w:w="5483" w:type="dxa"/>
            <w:noWrap w:val="0"/>
            <w:vAlign w:val="center"/>
          </w:tcPr>
          <w:p w14:paraId="65274B2D">
            <w:pPr>
              <w:pStyle w:val="11"/>
              <w:jc w:val="center"/>
              <w:rPr>
                <w:b/>
                <w:color w:val="auto"/>
                <w:highlight w:val="none"/>
              </w:rPr>
            </w:pPr>
            <w:r>
              <w:rPr>
                <w:rFonts w:hint="eastAsia"/>
                <w:b/>
                <w:color w:val="auto"/>
                <w:highlight w:val="none"/>
              </w:rPr>
              <w:t>内容、说明与要求</w:t>
            </w:r>
          </w:p>
        </w:tc>
      </w:tr>
      <w:tr w14:paraId="7859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60224492">
            <w:pPr>
              <w:pStyle w:val="10"/>
              <w:adjustRightInd w:val="0"/>
              <w:snapToGrid w:val="0"/>
              <w:spacing w:line="300" w:lineRule="auto"/>
              <w:rPr>
                <w:color w:val="auto"/>
                <w:sz w:val="21"/>
                <w:szCs w:val="21"/>
                <w:highlight w:val="none"/>
              </w:rPr>
            </w:pPr>
            <w:r>
              <w:rPr>
                <w:rFonts w:hint="eastAsia"/>
                <w:color w:val="auto"/>
                <w:sz w:val="21"/>
                <w:szCs w:val="21"/>
                <w:highlight w:val="none"/>
              </w:rPr>
              <w:t>1</w:t>
            </w:r>
          </w:p>
        </w:tc>
        <w:tc>
          <w:tcPr>
            <w:tcW w:w="2032" w:type="dxa"/>
            <w:noWrap w:val="0"/>
            <w:vAlign w:val="center"/>
          </w:tcPr>
          <w:p w14:paraId="5EBF601E">
            <w:pPr>
              <w:pStyle w:val="11"/>
              <w:rPr>
                <w:b/>
                <w:color w:val="auto"/>
                <w:highlight w:val="none"/>
              </w:rPr>
            </w:pPr>
            <w:r>
              <w:rPr>
                <w:rFonts w:hint="eastAsia"/>
                <w:color w:val="auto"/>
                <w:highlight w:val="none"/>
              </w:rPr>
              <w:t>付款方式</w:t>
            </w:r>
          </w:p>
        </w:tc>
        <w:tc>
          <w:tcPr>
            <w:tcW w:w="5483" w:type="dxa"/>
            <w:noWrap w:val="0"/>
            <w:vAlign w:val="center"/>
          </w:tcPr>
          <w:p w14:paraId="4C05A1AC">
            <w:pPr>
              <w:pStyle w:val="11"/>
              <w:rPr>
                <w:rFonts w:hint="eastAsia"/>
                <w:color w:val="auto"/>
                <w:highlight w:val="none"/>
              </w:rPr>
            </w:pPr>
            <w:r>
              <w:rPr>
                <w:rFonts w:hint="eastAsia"/>
                <w:color w:val="auto"/>
                <w:highlight w:val="none"/>
              </w:rPr>
              <w:t>验收合格后，一次性支付合同价款。</w:t>
            </w:r>
          </w:p>
        </w:tc>
      </w:tr>
      <w:tr w14:paraId="2179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2E48F448">
            <w:pPr>
              <w:pStyle w:val="10"/>
              <w:adjustRightInd w:val="0"/>
              <w:snapToGrid w:val="0"/>
              <w:spacing w:line="300" w:lineRule="auto"/>
              <w:rPr>
                <w:color w:val="auto"/>
                <w:sz w:val="21"/>
                <w:szCs w:val="21"/>
                <w:highlight w:val="none"/>
              </w:rPr>
            </w:pPr>
            <w:r>
              <w:rPr>
                <w:rFonts w:hint="eastAsia"/>
                <w:color w:val="auto"/>
                <w:sz w:val="21"/>
                <w:szCs w:val="21"/>
                <w:highlight w:val="none"/>
              </w:rPr>
              <w:t>2</w:t>
            </w:r>
          </w:p>
        </w:tc>
        <w:tc>
          <w:tcPr>
            <w:tcW w:w="2032" w:type="dxa"/>
            <w:noWrap w:val="0"/>
            <w:vAlign w:val="center"/>
          </w:tcPr>
          <w:p w14:paraId="169468BA">
            <w:pPr>
              <w:pStyle w:val="11"/>
              <w:rPr>
                <w:b/>
                <w:color w:val="auto"/>
                <w:highlight w:val="none"/>
              </w:rPr>
            </w:pPr>
            <w:r>
              <w:rPr>
                <w:rFonts w:hint="eastAsia"/>
                <w:color w:val="auto"/>
                <w:highlight w:val="none"/>
              </w:rPr>
              <w:t>供货及安装地点</w:t>
            </w:r>
          </w:p>
        </w:tc>
        <w:tc>
          <w:tcPr>
            <w:tcW w:w="5483" w:type="dxa"/>
            <w:noWrap w:val="0"/>
            <w:vAlign w:val="center"/>
          </w:tcPr>
          <w:p w14:paraId="6D81FC39">
            <w:pPr>
              <w:pStyle w:val="11"/>
              <w:rPr>
                <w:color w:val="auto"/>
                <w:highlight w:val="none"/>
              </w:rPr>
            </w:pPr>
            <w:r>
              <w:rPr>
                <w:rFonts w:hint="eastAsia"/>
                <w:color w:val="auto"/>
                <w:highlight w:val="none"/>
              </w:rPr>
              <w:t>阜阳师范大学，具体按采购人要求。</w:t>
            </w:r>
          </w:p>
        </w:tc>
      </w:tr>
      <w:tr w14:paraId="0B58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0C94063D">
            <w:pPr>
              <w:pStyle w:val="10"/>
              <w:adjustRightInd w:val="0"/>
              <w:snapToGrid w:val="0"/>
              <w:spacing w:line="300" w:lineRule="auto"/>
              <w:rPr>
                <w:color w:val="auto"/>
                <w:sz w:val="21"/>
                <w:szCs w:val="21"/>
                <w:highlight w:val="none"/>
              </w:rPr>
            </w:pPr>
            <w:r>
              <w:rPr>
                <w:rFonts w:hint="eastAsia"/>
                <w:color w:val="auto"/>
                <w:sz w:val="21"/>
                <w:szCs w:val="21"/>
                <w:highlight w:val="none"/>
              </w:rPr>
              <w:t>3</w:t>
            </w:r>
          </w:p>
        </w:tc>
        <w:tc>
          <w:tcPr>
            <w:tcW w:w="2032" w:type="dxa"/>
            <w:noWrap w:val="0"/>
            <w:vAlign w:val="center"/>
          </w:tcPr>
          <w:p w14:paraId="3E9A8762">
            <w:pPr>
              <w:pStyle w:val="11"/>
              <w:rPr>
                <w:b/>
                <w:color w:val="auto"/>
                <w:highlight w:val="none"/>
              </w:rPr>
            </w:pPr>
            <w:r>
              <w:rPr>
                <w:rFonts w:hint="eastAsia"/>
                <w:color w:val="auto"/>
                <w:highlight w:val="none"/>
              </w:rPr>
              <w:t>供货及安装期限</w:t>
            </w:r>
          </w:p>
        </w:tc>
        <w:tc>
          <w:tcPr>
            <w:tcW w:w="5483" w:type="dxa"/>
            <w:noWrap w:val="0"/>
            <w:vAlign w:val="center"/>
          </w:tcPr>
          <w:p w14:paraId="766768CC">
            <w:pPr>
              <w:pStyle w:val="11"/>
              <w:rPr>
                <w:rFonts w:hint="eastAsia"/>
                <w:color w:val="auto"/>
                <w:highlight w:val="none"/>
              </w:rPr>
            </w:pPr>
            <w:r>
              <w:rPr>
                <w:rFonts w:hint="eastAsia"/>
                <w:color w:val="auto"/>
                <w:highlight w:val="none"/>
              </w:rPr>
              <w:t>合同生效之日起，60个工作日内完成供货、安装、调试、培训等所有工作内容。</w:t>
            </w:r>
          </w:p>
        </w:tc>
      </w:tr>
      <w:tr w14:paraId="029F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56FAFDE9">
            <w:pPr>
              <w:pStyle w:val="10"/>
              <w:adjustRightInd w:val="0"/>
              <w:snapToGrid w:val="0"/>
              <w:spacing w:line="300" w:lineRule="auto"/>
              <w:rPr>
                <w:color w:val="auto"/>
                <w:sz w:val="21"/>
                <w:szCs w:val="21"/>
                <w:highlight w:val="none"/>
              </w:rPr>
            </w:pPr>
            <w:r>
              <w:rPr>
                <w:rFonts w:hint="eastAsia"/>
                <w:color w:val="auto"/>
                <w:sz w:val="21"/>
                <w:szCs w:val="21"/>
                <w:highlight w:val="none"/>
              </w:rPr>
              <w:t>4</w:t>
            </w:r>
          </w:p>
        </w:tc>
        <w:tc>
          <w:tcPr>
            <w:tcW w:w="2032" w:type="dxa"/>
            <w:noWrap w:val="0"/>
            <w:vAlign w:val="center"/>
          </w:tcPr>
          <w:p w14:paraId="6B6B3D3D">
            <w:pPr>
              <w:pStyle w:val="11"/>
              <w:rPr>
                <w:b/>
                <w:color w:val="auto"/>
                <w:highlight w:val="none"/>
              </w:rPr>
            </w:pPr>
            <w:r>
              <w:rPr>
                <w:rFonts w:hint="eastAsia"/>
                <w:color w:val="auto"/>
                <w:highlight w:val="none"/>
              </w:rPr>
              <w:t>免费质保期</w:t>
            </w:r>
          </w:p>
        </w:tc>
        <w:tc>
          <w:tcPr>
            <w:tcW w:w="5483" w:type="dxa"/>
            <w:noWrap w:val="0"/>
            <w:vAlign w:val="center"/>
          </w:tcPr>
          <w:p w14:paraId="07F9D4A1">
            <w:pPr>
              <w:pStyle w:val="11"/>
              <w:rPr>
                <w:color w:val="auto"/>
                <w:highlight w:val="none"/>
              </w:rPr>
            </w:pPr>
            <w:r>
              <w:rPr>
                <w:rFonts w:hint="eastAsia"/>
                <w:color w:val="auto"/>
                <w:highlight w:val="none"/>
              </w:rPr>
              <w:t>自验收合格之日起3年。</w:t>
            </w:r>
          </w:p>
        </w:tc>
      </w:tr>
    </w:tbl>
    <w:p w14:paraId="191C5808">
      <w:pPr>
        <w:widowControl/>
        <w:jc w:val="left"/>
        <w:rPr>
          <w:rFonts w:ascii="宋体" w:hAnsi="宋体" w:eastAsia="宋体"/>
          <w:b/>
          <w:color w:val="auto"/>
          <w:szCs w:val="21"/>
          <w:highlight w:val="none"/>
        </w:rPr>
      </w:pPr>
      <w:bookmarkStart w:id="3" w:name="_Toc5944"/>
      <w:bookmarkStart w:id="4" w:name="_Toc7671"/>
    </w:p>
    <w:bookmarkEnd w:id="3"/>
    <w:bookmarkEnd w:id="4"/>
    <w:p w14:paraId="56C0891A">
      <w:pPr>
        <w:pStyle w:val="3"/>
        <w:rPr>
          <w:rFonts w:hint="eastAsia" w:ascii="宋体" w:hAnsi="宋体" w:eastAsia="宋体" w:cs="宋体"/>
          <w:bCs w:val="0"/>
          <w:color w:val="auto"/>
          <w:sz w:val="21"/>
          <w:szCs w:val="21"/>
          <w:highlight w:val="none"/>
        </w:rPr>
      </w:pPr>
      <w:bookmarkStart w:id="5" w:name="_Toc1715351726"/>
      <w:bookmarkStart w:id="6" w:name="_Toc302804901"/>
      <w:bookmarkStart w:id="7" w:name="_Toc1191965283_WPSOffice_Level2"/>
      <w:bookmarkStart w:id="8" w:name="_Toc58935147"/>
      <w:bookmarkStart w:id="9" w:name="_Toc626387511"/>
      <w:bookmarkStart w:id="10" w:name="_Toc717369146"/>
      <w:bookmarkStart w:id="11" w:name="_Toc369119811"/>
      <w:bookmarkStart w:id="12" w:name="_Toc1693477008"/>
      <w:r>
        <w:rPr>
          <w:rFonts w:hint="eastAsia" w:ascii="宋体" w:hAnsi="宋体" w:eastAsia="宋体" w:cs="宋体"/>
          <w:bCs w:val="0"/>
          <w:color w:val="auto"/>
          <w:sz w:val="21"/>
          <w:szCs w:val="21"/>
          <w:highlight w:val="none"/>
        </w:rPr>
        <w:br w:type="page"/>
      </w:r>
      <w:r>
        <w:rPr>
          <w:rFonts w:hint="eastAsia" w:ascii="宋体" w:hAnsi="宋体" w:eastAsia="宋体" w:cs="宋体"/>
          <w:bCs w:val="0"/>
          <w:color w:val="auto"/>
          <w:sz w:val="21"/>
          <w:szCs w:val="21"/>
          <w:highlight w:val="none"/>
        </w:rPr>
        <w:t>二、货物需求</w:t>
      </w:r>
      <w:bookmarkEnd w:id="5"/>
      <w:bookmarkEnd w:id="6"/>
      <w:bookmarkEnd w:id="7"/>
      <w:bookmarkEnd w:id="8"/>
      <w:bookmarkEnd w:id="9"/>
      <w:bookmarkEnd w:id="10"/>
      <w:bookmarkEnd w:id="11"/>
      <w:bookmarkEnd w:id="12"/>
    </w:p>
    <w:p w14:paraId="65EE7241">
      <w:pPr>
        <w:pStyle w:val="3"/>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（一）货物需求说明</w:t>
      </w:r>
    </w:p>
    <w:tbl>
      <w:tblPr>
        <w:tblStyle w:val="8"/>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642"/>
        <w:gridCol w:w="4713"/>
      </w:tblGrid>
      <w:tr w14:paraId="0B83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noWrap w:val="0"/>
            <w:vAlign w:val="center"/>
          </w:tcPr>
          <w:p w14:paraId="03995C0C">
            <w:pPr>
              <w:pStyle w:val="7"/>
              <w:spacing w:line="500" w:lineRule="exact"/>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需求内容类别</w:t>
            </w:r>
          </w:p>
        </w:tc>
        <w:tc>
          <w:tcPr>
            <w:tcW w:w="1642" w:type="dxa"/>
            <w:noWrap w:val="0"/>
            <w:vAlign w:val="center"/>
          </w:tcPr>
          <w:p w14:paraId="24B73C78">
            <w:pPr>
              <w:pStyle w:val="7"/>
              <w:spacing w:line="500" w:lineRule="exact"/>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标识符号</w:t>
            </w:r>
          </w:p>
        </w:tc>
        <w:tc>
          <w:tcPr>
            <w:tcW w:w="4713" w:type="dxa"/>
            <w:noWrap w:val="0"/>
            <w:vAlign w:val="center"/>
          </w:tcPr>
          <w:p w14:paraId="5081B31A">
            <w:pPr>
              <w:pStyle w:val="7"/>
              <w:spacing w:line="500" w:lineRule="exact"/>
              <w:ind w:left="0" w:leftChars="0"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投标要求</w:t>
            </w:r>
          </w:p>
        </w:tc>
      </w:tr>
      <w:tr w14:paraId="5FB8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1" w:type="dxa"/>
            <w:noWrap w:val="0"/>
            <w:vAlign w:val="center"/>
          </w:tcPr>
          <w:p w14:paraId="55DB1B59">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关键性指标项</w:t>
            </w:r>
          </w:p>
        </w:tc>
        <w:tc>
          <w:tcPr>
            <w:tcW w:w="1642" w:type="dxa"/>
            <w:noWrap w:val="0"/>
            <w:vAlign w:val="center"/>
          </w:tcPr>
          <w:p w14:paraId="061F6AAD">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713" w:type="dxa"/>
            <w:noWrap w:val="0"/>
            <w:vAlign w:val="center"/>
          </w:tcPr>
          <w:p w14:paraId="0A8A3A45">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该指标项负偏离或未响应的，</w:t>
            </w:r>
            <w:r>
              <w:rPr>
                <w:rFonts w:hint="eastAsia" w:ascii="宋体" w:hAnsi="宋体" w:eastAsia="宋体" w:cs="宋体"/>
                <w:b/>
                <w:bCs/>
                <w:color w:val="auto"/>
                <w:szCs w:val="21"/>
                <w:highlight w:val="none"/>
              </w:rPr>
              <w:t>投标无效</w:t>
            </w:r>
          </w:p>
        </w:tc>
      </w:tr>
      <w:tr w14:paraId="0175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noWrap w:val="0"/>
            <w:vAlign w:val="center"/>
          </w:tcPr>
          <w:p w14:paraId="7BFE7E6B">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重要指标项</w:t>
            </w:r>
          </w:p>
        </w:tc>
        <w:tc>
          <w:tcPr>
            <w:tcW w:w="1642" w:type="dxa"/>
            <w:noWrap w:val="0"/>
            <w:vAlign w:val="center"/>
          </w:tcPr>
          <w:p w14:paraId="7FA8220C">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713" w:type="dxa"/>
            <w:noWrap w:val="0"/>
            <w:vAlign w:val="center"/>
          </w:tcPr>
          <w:p w14:paraId="530EE956">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评分项，详见评分标准</w:t>
            </w:r>
          </w:p>
        </w:tc>
      </w:tr>
      <w:tr w14:paraId="18A3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noWrap w:val="0"/>
            <w:vAlign w:val="center"/>
          </w:tcPr>
          <w:p w14:paraId="79BD821D">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无标识项</w:t>
            </w:r>
          </w:p>
        </w:tc>
        <w:tc>
          <w:tcPr>
            <w:tcW w:w="1642" w:type="dxa"/>
            <w:noWrap w:val="0"/>
            <w:vAlign w:val="center"/>
          </w:tcPr>
          <w:p w14:paraId="44B7CC77">
            <w:pPr>
              <w:pStyle w:val="7"/>
              <w:spacing w:line="500" w:lineRule="exact"/>
              <w:ind w:firstLine="0" w:firstLineChars="0"/>
              <w:jc w:val="center"/>
              <w:rPr>
                <w:rFonts w:hint="eastAsia" w:ascii="宋体" w:hAnsi="宋体" w:eastAsia="宋体" w:cs="宋体"/>
                <w:color w:val="auto"/>
                <w:szCs w:val="21"/>
                <w:highlight w:val="none"/>
              </w:rPr>
            </w:pPr>
          </w:p>
        </w:tc>
        <w:tc>
          <w:tcPr>
            <w:tcW w:w="4713" w:type="dxa"/>
            <w:noWrap w:val="0"/>
            <w:vAlign w:val="center"/>
          </w:tcPr>
          <w:p w14:paraId="542CC6AD">
            <w:pPr>
              <w:pStyle w:val="7"/>
              <w:spacing w:line="500" w:lineRule="exact"/>
              <w:ind w:left="0" w:lef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五项及以上负偏离或未响应的，</w:t>
            </w:r>
            <w:r>
              <w:rPr>
                <w:rFonts w:hint="eastAsia" w:ascii="宋体" w:hAnsi="宋体" w:eastAsia="宋体" w:cs="宋体"/>
                <w:b/>
                <w:bCs/>
                <w:color w:val="auto"/>
                <w:szCs w:val="21"/>
                <w:highlight w:val="none"/>
              </w:rPr>
              <w:t>投标无效</w:t>
            </w:r>
          </w:p>
        </w:tc>
      </w:tr>
      <w:tr w14:paraId="796C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6" w:type="dxa"/>
            <w:gridSpan w:val="3"/>
            <w:noWrap w:val="0"/>
            <w:vAlign w:val="center"/>
          </w:tcPr>
          <w:p w14:paraId="0B13739F">
            <w:pPr>
              <w:pStyle w:val="7"/>
              <w:spacing w:line="500" w:lineRule="exact"/>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24BF8F2">
            <w:pPr>
              <w:pStyle w:val="7"/>
              <w:spacing w:line="500" w:lineRule="exact"/>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1.如某项标识中包含多条技术参数或要求，则该项标识所含内容均需满足或优于招标文件要求，否则不予认可。</w:t>
            </w:r>
          </w:p>
          <w:p w14:paraId="663950C7">
            <w:pPr>
              <w:pStyle w:val="7"/>
              <w:spacing w:line="500" w:lineRule="exact"/>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2.“所属行业”栏标注为“/”的项为所投产品配套的工程或服务，无需在《中小企业声明函》中列明。</w:t>
            </w:r>
          </w:p>
        </w:tc>
      </w:tr>
    </w:tbl>
    <w:p w14:paraId="76E983BA">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（二）货物需求清单</w:t>
      </w:r>
    </w:p>
    <w:tbl>
      <w:tblPr>
        <w:tblStyle w:val="8"/>
        <w:tblW w:w="997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00"/>
        <w:gridCol w:w="1084"/>
        <w:gridCol w:w="3680"/>
        <w:gridCol w:w="800"/>
        <w:gridCol w:w="650"/>
        <w:gridCol w:w="733"/>
        <w:gridCol w:w="1424"/>
      </w:tblGrid>
      <w:tr w14:paraId="2B324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BB03D8C">
            <w:pPr>
              <w:keepLines/>
              <w:wordWrap w:val="0"/>
              <w:topLinePunct/>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序号</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7945F45">
            <w:pPr>
              <w:keepLines/>
              <w:wordWrap w:val="0"/>
              <w:topLinePunct/>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B817CD6">
            <w:pPr>
              <w:keepLines/>
              <w:wordWrap w:val="0"/>
              <w:topLinePunct/>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货物名称</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159B93E1">
            <w:pPr>
              <w:keepLines/>
              <w:wordWrap w:val="0"/>
              <w:topLinePunct/>
              <w:adjustRightInd w:val="0"/>
              <w:snapToGrid w:val="0"/>
              <w:spacing w:line="360" w:lineRule="auto"/>
              <w:jc w:val="center"/>
              <w:rPr>
                <w:rFonts w:ascii="宋体" w:hAnsi="宋体" w:eastAsia="宋体" w:cs="宋体"/>
                <w:color w:val="auto"/>
                <w:szCs w:val="21"/>
                <w:highlight w:val="none"/>
              </w:rPr>
            </w:pPr>
            <w:bookmarkStart w:id="13" w:name="OLE_LINK4"/>
            <w:r>
              <w:rPr>
                <w:rFonts w:hint="eastAsia" w:ascii="宋体" w:hAnsi="宋体" w:eastAsia="宋体" w:cs="宋体"/>
                <w:b/>
                <w:bCs/>
                <w:color w:val="auto"/>
                <w:szCs w:val="21"/>
                <w:highlight w:val="none"/>
              </w:rPr>
              <w:t>技术参数及要求</w:t>
            </w:r>
            <w:bookmarkEnd w:id="13"/>
          </w:p>
        </w:tc>
        <w:tc>
          <w:tcPr>
            <w:tcW w:w="800" w:type="dxa"/>
            <w:tcBorders>
              <w:top w:val="single" w:color="auto" w:sz="4" w:space="0"/>
              <w:left w:val="single" w:color="auto" w:sz="4" w:space="0"/>
              <w:bottom w:val="single" w:color="auto" w:sz="4" w:space="0"/>
              <w:right w:val="single" w:color="auto" w:sz="4" w:space="0"/>
            </w:tcBorders>
            <w:noWrap w:val="0"/>
            <w:vAlign w:val="center"/>
          </w:tcPr>
          <w:p w14:paraId="0F23F67D">
            <w:pPr>
              <w:keepLines/>
              <w:wordWrap w:val="0"/>
              <w:topLinePunct/>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数量</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E0169F7">
            <w:pPr>
              <w:keepLines/>
              <w:wordWrap w:val="0"/>
              <w:topLinePunct/>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单位</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4931EC5">
            <w:pPr>
              <w:keepLines/>
              <w:wordWrap w:val="0"/>
              <w:topLinePunct/>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所属行业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1D703ED">
            <w:pPr>
              <w:keepLines/>
              <w:wordWrap w:val="0"/>
              <w:topLinePunct/>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备注</w:t>
            </w:r>
          </w:p>
        </w:tc>
      </w:tr>
      <w:tr w14:paraId="379E89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840573B">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00" w:type="dxa"/>
            <w:vMerge w:val="restart"/>
            <w:tcBorders>
              <w:top w:val="single" w:color="auto" w:sz="4" w:space="0"/>
              <w:left w:val="single" w:color="auto" w:sz="4" w:space="0"/>
              <w:right w:val="single" w:color="auto" w:sz="4" w:space="0"/>
            </w:tcBorders>
            <w:noWrap w:val="0"/>
            <w:vAlign w:val="center"/>
          </w:tcPr>
          <w:p w14:paraId="656DB3B3">
            <w:pPr>
              <w:keepLines/>
              <w:widowControl/>
              <w:wordWrap w:val="0"/>
              <w:topLinePunct/>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设备更换</w:t>
            </w:r>
            <w:r>
              <w:rPr>
                <w:rFonts w:hint="eastAsia" w:ascii="宋体" w:hAnsi="宋体" w:eastAsia="宋体" w:cs="Arial"/>
                <w:color w:val="auto"/>
                <w:szCs w:val="21"/>
                <w:highlight w:val="none"/>
              </w:rPr>
              <w:t>（包含原有设备拆除）</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597AD6F">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感烟火灾探测报警器</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08AA6A97">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●电子编码,内置单片机,配置底座。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E26F452">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3278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2347C4CB">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12B2EB3">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DBB4CF3">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206CB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D38AC2A">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00" w:type="dxa"/>
            <w:vMerge w:val="continue"/>
            <w:tcBorders>
              <w:left w:val="single" w:color="auto" w:sz="4" w:space="0"/>
              <w:right w:val="single" w:color="auto" w:sz="4" w:space="0"/>
            </w:tcBorders>
            <w:noWrap w:val="0"/>
            <w:vAlign w:val="center"/>
          </w:tcPr>
          <w:p w14:paraId="44F9A098">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7B7646BF">
            <w:pPr>
              <w:keepLines/>
              <w:wordWrap w:val="0"/>
              <w:topLinePunct/>
              <w:snapToGrid w:val="0"/>
              <w:spacing w:line="360" w:lineRule="auto"/>
              <w:jc w:val="center"/>
              <w:rPr>
                <w:rFonts w:ascii="宋体" w:hAnsi="宋体" w:eastAsia="宋体" w:cs="宋体"/>
                <w:color w:val="auto"/>
                <w:szCs w:val="21"/>
                <w:highlight w:val="none"/>
              </w:rPr>
            </w:pPr>
            <w:bookmarkStart w:id="14" w:name="OLE_LINK2"/>
            <w:r>
              <w:rPr>
                <w:rFonts w:hint="eastAsia" w:ascii="宋体" w:hAnsi="宋体" w:eastAsia="宋体" w:cs="宋体"/>
                <w:color w:val="auto"/>
                <w:szCs w:val="21"/>
                <w:highlight w:val="none"/>
              </w:rPr>
              <w:t>感温火灾探测器</w:t>
            </w:r>
            <w:bookmarkEnd w:id="14"/>
          </w:p>
        </w:tc>
        <w:tc>
          <w:tcPr>
            <w:tcW w:w="3680" w:type="dxa"/>
            <w:tcBorders>
              <w:top w:val="single" w:color="auto" w:sz="4" w:space="0"/>
              <w:left w:val="single" w:color="auto" w:sz="4" w:space="0"/>
              <w:bottom w:val="single" w:color="auto" w:sz="4" w:space="0"/>
              <w:right w:val="single" w:color="auto" w:sz="4" w:space="0"/>
            </w:tcBorders>
            <w:noWrap w:val="0"/>
            <w:vAlign w:val="center"/>
          </w:tcPr>
          <w:p w14:paraId="4917B7F9">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●电子编码,内置单片机,配置底座。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32F25AA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DADC6F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A004B93">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BBE5348">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0E5F02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9E739F3">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00" w:type="dxa"/>
            <w:vMerge w:val="continue"/>
            <w:tcBorders>
              <w:left w:val="single" w:color="auto" w:sz="4" w:space="0"/>
              <w:right w:val="single" w:color="auto" w:sz="4" w:space="0"/>
            </w:tcBorders>
            <w:noWrap w:val="0"/>
            <w:vAlign w:val="center"/>
          </w:tcPr>
          <w:p w14:paraId="0A662E94">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EA88391">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手动报警按钮</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6D3AFFF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●电子编码。带电话插孔,下翻盖。有工作指示灯,复位需用专用手报钥匙恢复,配置底座。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215E8B4">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479</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BB1A1E5">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CA69594">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B43EC6B">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2C4C3F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EE768E7">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00" w:type="dxa"/>
            <w:vMerge w:val="continue"/>
            <w:tcBorders>
              <w:left w:val="single" w:color="auto" w:sz="4" w:space="0"/>
              <w:right w:val="single" w:color="auto" w:sz="4" w:space="0"/>
            </w:tcBorders>
            <w:noWrap w:val="0"/>
            <w:vAlign w:val="center"/>
          </w:tcPr>
          <w:p w14:paraId="063198FA">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EA0DC27">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火灾声光报警器</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4A7F2C5C">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●编码型,占联动点,与控制器配合使用。</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5F7B567">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159</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7E0A5D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FA11EAB">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EF8E6B9">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25F48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36671A8">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00" w:type="dxa"/>
            <w:vMerge w:val="continue"/>
            <w:tcBorders>
              <w:left w:val="single" w:color="auto" w:sz="4" w:space="0"/>
              <w:right w:val="single" w:color="auto" w:sz="4" w:space="0"/>
            </w:tcBorders>
            <w:noWrap w:val="0"/>
            <w:vAlign w:val="center"/>
          </w:tcPr>
          <w:p w14:paraId="561B93A8">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FEAC03E">
            <w:pPr>
              <w:keepLines/>
              <w:wordWrap w:val="0"/>
              <w:topLinePunct/>
              <w:snapToGrid w:val="0"/>
              <w:spacing w:line="360" w:lineRule="auto"/>
              <w:jc w:val="center"/>
              <w:rPr>
                <w:rFonts w:ascii="宋体" w:hAnsi="宋体" w:eastAsia="宋体" w:cs="宋体"/>
                <w:color w:val="auto"/>
                <w:szCs w:val="21"/>
                <w:highlight w:val="none"/>
              </w:rPr>
            </w:pPr>
            <w:bookmarkStart w:id="15" w:name="OLE_LINK3"/>
            <w:r>
              <w:rPr>
                <w:rFonts w:hint="eastAsia" w:ascii="宋体" w:hAnsi="宋体" w:eastAsia="宋体" w:cs="宋体"/>
                <w:color w:val="auto"/>
                <w:szCs w:val="21"/>
                <w:highlight w:val="none"/>
              </w:rPr>
              <w:t>消火栓报警按钮</w:t>
            </w:r>
            <w:bookmarkEnd w:id="15"/>
          </w:p>
        </w:tc>
        <w:tc>
          <w:tcPr>
            <w:tcW w:w="3680" w:type="dxa"/>
            <w:tcBorders>
              <w:top w:val="single" w:color="auto" w:sz="4" w:space="0"/>
              <w:left w:val="single" w:color="auto" w:sz="4" w:space="0"/>
              <w:bottom w:val="single" w:color="auto" w:sz="4" w:space="0"/>
              <w:right w:val="single" w:color="auto" w:sz="4" w:space="0"/>
            </w:tcBorders>
            <w:noWrap w:val="0"/>
            <w:vAlign w:val="center"/>
          </w:tcPr>
          <w:p w14:paraId="1CF70C39">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●电子编码,不带电话插孔,启动消防泵功能。复位需用专用用手报钥匙恢复,配置底座。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67029B9">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508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3A24BE7">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B3AB372">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ED8F6E3">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4F9CB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1CC67AB">
            <w:pPr>
              <w:keepLines/>
              <w:widowControl/>
              <w:wordWrap w:val="0"/>
              <w:topLinePunct/>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800" w:type="dxa"/>
            <w:vMerge w:val="continue"/>
            <w:tcBorders>
              <w:left w:val="single" w:color="auto" w:sz="4" w:space="0"/>
              <w:right w:val="single" w:color="auto" w:sz="4" w:space="0"/>
            </w:tcBorders>
            <w:noWrap w:val="0"/>
            <w:vAlign w:val="center"/>
          </w:tcPr>
          <w:p w14:paraId="4002FD11">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D713C0E">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消防电话分机</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56E8C721">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正常监视状态应有光指示。消防电话分机与消防电话总机应能进行全双工通话，无振鸣现象。消防电话分机摘机即自动呼叫消防电话总机，呼叫时受话器应有回铃音，回铃音应符合GB/T 3380的要求。消防电话分机在消防电话总机退出通话状态时，应有忙音提示，忙音应符合GB/T 3380的要求。收到消防电话总机呼叫时，消防电话分机应能在3s内发出声、光指示信号。</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2CB658D">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40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D0244AE">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部</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C02CC38">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505C804">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539FD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2D8E31E">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800" w:type="dxa"/>
            <w:vMerge w:val="continue"/>
            <w:tcBorders>
              <w:left w:val="single" w:color="auto" w:sz="4" w:space="0"/>
              <w:right w:val="single" w:color="auto" w:sz="4" w:space="0"/>
            </w:tcBorders>
            <w:noWrap w:val="0"/>
            <w:vAlign w:val="center"/>
          </w:tcPr>
          <w:p w14:paraId="1A0C5847">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6DF8369">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输入模块</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697C6C94">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单路输入模块,电子编码,占1个地址点。配置底座。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EF193B0">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7464F4C0">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1828332">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EBF7433">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30D5AD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808E5A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800" w:type="dxa"/>
            <w:vMerge w:val="continue"/>
            <w:tcBorders>
              <w:left w:val="single" w:color="auto" w:sz="4" w:space="0"/>
              <w:right w:val="single" w:color="auto" w:sz="4" w:space="0"/>
            </w:tcBorders>
            <w:noWrap w:val="0"/>
            <w:vAlign w:val="center"/>
          </w:tcPr>
          <w:p w14:paraId="1F26686B">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DF2AE1F">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输入输出模块</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3F2E4C05">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单输入单输出模块,24V供电,电子编码,占1个地址点,与主机之间使用二总线连接,有源电平输出。配置底座。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602C257">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470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DEE774D">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9E75168">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7C6A0A2">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4D0BD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60D8DF2">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800" w:type="dxa"/>
            <w:vMerge w:val="continue"/>
            <w:tcBorders>
              <w:left w:val="single" w:color="auto" w:sz="4" w:space="0"/>
              <w:right w:val="single" w:color="auto" w:sz="4" w:space="0"/>
            </w:tcBorders>
            <w:noWrap w:val="0"/>
            <w:vAlign w:val="center"/>
          </w:tcPr>
          <w:p w14:paraId="30CE8134">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A51F287">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输出模块</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007AB309">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广播切换模块,二线制,24V供电,电子编码,占1个地址点,用于切换消防广播和其他音源,后面配接喇叭。配置底座。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02A83FC">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81253CB">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8946618">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FBA2C82">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13ACB8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06588D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800" w:type="dxa"/>
            <w:vMerge w:val="continue"/>
            <w:tcBorders>
              <w:left w:val="single" w:color="auto" w:sz="4" w:space="0"/>
              <w:right w:val="single" w:color="auto" w:sz="4" w:space="0"/>
            </w:tcBorders>
            <w:noWrap w:val="0"/>
            <w:vAlign w:val="center"/>
          </w:tcPr>
          <w:p w14:paraId="5157DF28">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06F18DD">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吸顶式扬声器（消防广播）</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564118CC">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明装吸顶。有线路监控功能。</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364DE3B">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481</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2D1A7C2">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E052624">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F62C37A">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6D5802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F9904A6">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800" w:type="dxa"/>
            <w:vMerge w:val="continue"/>
            <w:tcBorders>
              <w:left w:val="single" w:color="auto" w:sz="4" w:space="0"/>
              <w:right w:val="single" w:color="auto" w:sz="4" w:space="0"/>
            </w:tcBorders>
            <w:noWrap w:val="0"/>
            <w:vAlign w:val="center"/>
          </w:tcPr>
          <w:p w14:paraId="08BC0703">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6339E11">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消防警铃</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5207142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工作电压:DC24V±15%（无极性），工作电流：≤23mA，输出声级：≥90db。</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95BDF34">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14357C8B">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840B3A1">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A0D14B8">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01F637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D4D6894">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800" w:type="dxa"/>
            <w:vMerge w:val="continue"/>
            <w:tcBorders>
              <w:left w:val="single" w:color="auto" w:sz="4" w:space="0"/>
              <w:right w:val="single" w:color="auto" w:sz="4" w:space="0"/>
            </w:tcBorders>
            <w:noWrap w:val="0"/>
            <w:vAlign w:val="center"/>
          </w:tcPr>
          <w:p w14:paraId="16E95989">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ABF64BA">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多线模块</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05AE88E6">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单输入输出模块,电子编码,一路无源输入,一路有源输出,非二总线设备,与控制器多线盘连接通信。配置底座。</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3F53292">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42</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65B0B3E">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01C299FF">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1D70129">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119B3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3593D9F">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800" w:type="dxa"/>
            <w:vMerge w:val="continue"/>
            <w:tcBorders>
              <w:left w:val="single" w:color="auto" w:sz="4" w:space="0"/>
              <w:right w:val="single" w:color="auto" w:sz="4" w:space="0"/>
            </w:tcBorders>
            <w:noWrap w:val="0"/>
            <w:vAlign w:val="center"/>
          </w:tcPr>
          <w:p w14:paraId="48A16EE1">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4BF5D2E">
            <w:pPr>
              <w:keepLines/>
              <w:wordWrap w:val="0"/>
              <w:topLinePunct/>
              <w:snapToGrid w:val="0"/>
              <w:spacing w:line="360" w:lineRule="auto"/>
              <w:jc w:val="center"/>
              <w:rPr>
                <w:rFonts w:ascii="宋体" w:hAnsi="宋体" w:eastAsia="宋体" w:cs="宋体"/>
                <w:color w:val="auto"/>
                <w:szCs w:val="21"/>
                <w:highlight w:val="none"/>
              </w:rPr>
            </w:pPr>
            <w:bookmarkStart w:id="16" w:name="OLE_LINK9"/>
            <w:bookmarkStart w:id="17" w:name="OLE_LINK8"/>
            <w:r>
              <w:rPr>
                <w:rFonts w:hint="eastAsia" w:ascii="宋体" w:hAnsi="宋体" w:eastAsia="宋体" w:cs="宋体"/>
                <w:color w:val="auto"/>
                <w:szCs w:val="21"/>
                <w:highlight w:val="none"/>
              </w:rPr>
              <w:t>火灾显示盘</w:t>
            </w:r>
            <w:bookmarkEnd w:id="16"/>
            <w:bookmarkEnd w:id="17"/>
          </w:p>
        </w:tc>
        <w:tc>
          <w:tcPr>
            <w:tcW w:w="3680" w:type="dxa"/>
            <w:tcBorders>
              <w:top w:val="single" w:color="auto" w:sz="4" w:space="0"/>
              <w:left w:val="single" w:color="auto" w:sz="4" w:space="0"/>
              <w:bottom w:val="single" w:color="auto" w:sz="4" w:space="0"/>
              <w:right w:val="single" w:color="auto" w:sz="4" w:space="0"/>
            </w:tcBorders>
            <w:noWrap w:val="0"/>
            <w:vAlign w:val="center"/>
          </w:tcPr>
          <w:p w14:paraId="62D16892">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数字显示；火灾显示盘的信息展示容量：≥80个火警信息、≥80个故障信息；占一个总线地址。</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AA83F2C">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60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5144762">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536739A">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F170B7E">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3E5EAF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AB86FB8">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800" w:type="dxa"/>
            <w:vMerge w:val="continue"/>
            <w:tcBorders>
              <w:left w:val="single" w:color="auto" w:sz="4" w:space="0"/>
              <w:right w:val="single" w:color="auto" w:sz="4" w:space="0"/>
            </w:tcBorders>
            <w:noWrap w:val="0"/>
            <w:vAlign w:val="center"/>
          </w:tcPr>
          <w:p w14:paraId="3B74F388">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3543EFA">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消防报警主机</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58BCAD7A">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入柜安装,</w:t>
            </w:r>
            <w:bookmarkStart w:id="18" w:name="OLE_LINK14"/>
            <w:r>
              <w:rPr>
                <w:rFonts w:hint="eastAsia" w:ascii="宋体" w:hAnsi="宋体" w:eastAsia="宋体" w:cs="宋体"/>
                <w:color w:val="auto"/>
                <w:szCs w:val="21"/>
                <w:highlight w:val="none"/>
              </w:rPr>
              <w:t>≥</w:t>
            </w:r>
            <w:bookmarkEnd w:id="18"/>
            <w:r>
              <w:rPr>
                <w:rFonts w:hint="eastAsia" w:ascii="宋体" w:hAnsi="宋体" w:eastAsia="宋体" w:cs="宋体"/>
                <w:color w:val="auto"/>
                <w:szCs w:val="21"/>
                <w:highlight w:val="none"/>
              </w:rPr>
              <w:t>8U空间。≥7英寸彩色液晶显示,触摸屏操作方式。</w:t>
            </w:r>
            <w:r>
              <w:rPr>
                <w:rFonts w:ascii="宋体" w:hAnsi="宋体" w:eastAsia="宋体" w:cs="宋体"/>
                <w:color w:val="auto"/>
                <w:szCs w:val="21"/>
                <w:highlight w:val="none"/>
              </w:rPr>
              <w:t>8</w:t>
            </w:r>
            <w:r>
              <w:rPr>
                <w:rFonts w:hint="eastAsia" w:ascii="宋体" w:hAnsi="宋体" w:eastAsia="宋体" w:cs="宋体"/>
                <w:color w:val="auto"/>
                <w:szCs w:val="21"/>
                <w:highlight w:val="none"/>
              </w:rPr>
              <w:t>回路,联动地址与报警地址混编,含输出</w:t>
            </w:r>
            <w:r>
              <w:rPr>
                <w:rFonts w:ascii="宋体" w:hAnsi="宋体" w:eastAsia="宋体" w:cs="宋体"/>
                <w:color w:val="auto"/>
                <w:szCs w:val="21"/>
                <w:highlight w:val="none"/>
              </w:rPr>
              <w:t>设备</w:t>
            </w:r>
            <w:r>
              <w:rPr>
                <w:rFonts w:hint="eastAsia" w:ascii="宋体" w:hAnsi="宋体" w:eastAsia="宋体" w:cs="宋体"/>
                <w:color w:val="auto"/>
                <w:szCs w:val="21"/>
                <w:highlight w:val="none"/>
              </w:rPr>
              <w:t>不低于8路多线盘。需配主机电源（报警、联动）、联动备用电源和机柜。可作为集中区域机使用,备电需配12V38Ah电池2节。可配接二线制、四线制产品。</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D7C012E">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8AE01FD">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C74C547">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A18D5AA">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50A4A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09A12DC">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800" w:type="dxa"/>
            <w:vMerge w:val="continue"/>
            <w:tcBorders>
              <w:left w:val="single" w:color="auto" w:sz="4" w:space="0"/>
              <w:right w:val="single" w:color="auto" w:sz="4" w:space="0"/>
            </w:tcBorders>
            <w:noWrap w:val="0"/>
            <w:vAlign w:val="center"/>
          </w:tcPr>
          <w:p w14:paraId="2A6B1BFE">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F2886F9">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消防水炮控制主机</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0EC6AE0F">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●1、彩色液晶触摸屏，控制水炮，设定参数，</w:t>
            </w:r>
            <w:r>
              <w:rPr>
                <w:rFonts w:ascii="宋体" w:hAnsi="宋体" w:eastAsia="宋体" w:cs="宋体"/>
                <w:color w:val="auto"/>
                <w:szCs w:val="21"/>
                <w:highlight w:val="none"/>
              </w:rPr>
              <w:t>CRT电子地图显示</w:t>
            </w:r>
            <w:r>
              <w:rPr>
                <w:rFonts w:hint="eastAsia" w:ascii="宋体" w:hAnsi="宋体" w:eastAsia="宋体" w:cs="宋体"/>
                <w:color w:val="auto"/>
                <w:szCs w:val="21"/>
                <w:highlight w:val="none"/>
              </w:rPr>
              <w:t>，定时转换可带输出设备、摇杆、启泵按钮、阀门总控开关、远程监控、视频显示器、硬盘录像机等功能。</w:t>
            </w:r>
          </w:p>
          <w:p w14:paraId="1FB0AAD6">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2、具有消防水炮、自动控制部件、自动控制阀、消防泵、信号阀和水流指示器等状态显示功能。</w:t>
            </w:r>
          </w:p>
          <w:p w14:paraId="6F08A33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3、具备系统自检、消音、复位功能，火警、故障、联动等信息存储功能。</w:t>
            </w:r>
          </w:p>
          <w:p w14:paraId="63428B2A">
            <w:pPr>
              <w:keepLines/>
              <w:wordWrap w:val="0"/>
              <w:topLinePunct/>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、工作电压：AC220V，</w:t>
            </w:r>
            <w:r>
              <w:rPr>
                <w:rFonts w:ascii="宋体" w:hAnsi="宋体" w:eastAsia="宋体" w:cs="宋体"/>
                <w:color w:val="auto"/>
                <w:szCs w:val="21"/>
                <w:highlight w:val="none"/>
              </w:rPr>
              <w:t>采用CAN总线通讯方式，支持与其他火灾探测报警设备的联动</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w:t>
            </w:r>
          </w:p>
          <w:p w14:paraId="2FCC459E">
            <w:pPr>
              <w:keepLines/>
              <w:wordWrap w:val="0"/>
              <w:topLinePunct/>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、外部联动接入功能，系统具备外部联动接口功能</w:t>
            </w:r>
            <w:r>
              <w:rPr>
                <w:rFonts w:ascii="宋体" w:hAnsi="宋体" w:eastAsia="宋体" w:cs="宋体"/>
                <w:color w:val="auto"/>
                <w:szCs w:val="21"/>
                <w:highlight w:val="none"/>
              </w:rPr>
              <w:t>（开关量或网络通讯协议接口），</w:t>
            </w:r>
            <w:r>
              <w:rPr>
                <w:rFonts w:hint="eastAsia" w:ascii="宋体" w:hAnsi="宋体" w:eastAsia="宋体" w:cs="宋体"/>
                <w:color w:val="auto"/>
                <w:szCs w:val="21"/>
                <w:highlight w:val="none"/>
              </w:rPr>
              <w:t>支持与</w:t>
            </w:r>
            <w:r>
              <w:rPr>
                <w:rFonts w:ascii="宋体" w:hAnsi="宋体" w:eastAsia="宋体" w:cs="宋体"/>
                <w:color w:val="auto"/>
                <w:szCs w:val="21"/>
                <w:highlight w:val="none"/>
              </w:rPr>
              <w:t>其他火灾探测报警设备</w:t>
            </w:r>
            <w:r>
              <w:rPr>
                <w:rFonts w:hint="eastAsia" w:ascii="宋体" w:hAnsi="宋体" w:eastAsia="宋体" w:cs="宋体"/>
                <w:color w:val="auto"/>
                <w:szCs w:val="21"/>
                <w:highlight w:val="none"/>
              </w:rPr>
              <w:t>的</w:t>
            </w:r>
            <w:r>
              <w:rPr>
                <w:rFonts w:ascii="宋体" w:hAnsi="宋体" w:eastAsia="宋体" w:cs="宋体"/>
                <w:color w:val="auto"/>
                <w:szCs w:val="21"/>
                <w:highlight w:val="none"/>
              </w:rPr>
              <w:t>联动</w:t>
            </w:r>
            <w:r>
              <w:rPr>
                <w:rFonts w:ascii="Times New Roman" w:hAnsi="Times New Roman" w:eastAsia="宋体" w:cs="Times New Roman"/>
                <w:color w:val="auto"/>
                <w:szCs w:val="21"/>
                <w:highlight w:val="none"/>
              </w:rPr>
              <w:t>‌</w:t>
            </w:r>
            <w:r>
              <w:rPr>
                <w:rFonts w:hint="eastAsia" w:ascii="宋体" w:hAnsi="宋体" w:eastAsia="宋体" w:cs="宋体"/>
                <w:color w:val="auto"/>
                <w:szCs w:val="21"/>
                <w:highlight w:val="none"/>
              </w:rPr>
              <w:t>。</w:t>
            </w:r>
          </w:p>
          <w:p w14:paraId="5904F9F3">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6、监视电流：≤2A。</w:t>
            </w:r>
          </w:p>
          <w:p w14:paraId="0A891F83">
            <w:pPr>
              <w:keepLines/>
              <w:wordWrap w:val="0"/>
              <w:topLinePunct/>
              <w:spacing w:line="360" w:lineRule="auto"/>
              <w:rPr>
                <w:rFonts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、工作电流：≤3A。</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8353C55">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44AE0F5">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7146CBA">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02E785D">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3884D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B0CAE92">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800" w:type="dxa"/>
            <w:vMerge w:val="continue"/>
            <w:tcBorders>
              <w:left w:val="single" w:color="auto" w:sz="4" w:space="0"/>
              <w:right w:val="single" w:color="auto" w:sz="4" w:space="0"/>
            </w:tcBorders>
            <w:noWrap w:val="0"/>
            <w:vAlign w:val="center"/>
          </w:tcPr>
          <w:p w14:paraId="54B3F350">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D38038B">
            <w:pPr>
              <w:keepLines/>
              <w:wordWrap w:val="0"/>
              <w:topLinePunct/>
              <w:snapToGrid w:val="0"/>
              <w:spacing w:line="360" w:lineRule="auto"/>
              <w:jc w:val="center"/>
              <w:rPr>
                <w:rFonts w:ascii="宋体" w:hAnsi="宋体" w:eastAsia="宋体" w:cs="宋体"/>
                <w:color w:val="auto"/>
                <w:szCs w:val="21"/>
                <w:highlight w:val="none"/>
              </w:rPr>
            </w:pPr>
            <w:bookmarkStart w:id="19" w:name="OLE_LINK20"/>
            <w:bookmarkStart w:id="20" w:name="OLE_LINK19"/>
            <w:r>
              <w:rPr>
                <w:rFonts w:hint="eastAsia" w:ascii="宋体" w:hAnsi="宋体" w:eastAsia="宋体" w:cs="宋体"/>
                <w:color w:val="auto"/>
                <w:szCs w:val="21"/>
                <w:highlight w:val="none"/>
              </w:rPr>
              <w:t>智能型消防水炮</w:t>
            </w:r>
            <w:bookmarkEnd w:id="19"/>
            <w:bookmarkEnd w:id="20"/>
            <w:r>
              <w:rPr>
                <w:rFonts w:hint="eastAsia" w:ascii="宋体" w:hAnsi="Courier New" w:eastAsia="宋体" w:cs="Times New Roman"/>
                <w:color w:val="auto"/>
                <w:szCs w:val="22"/>
                <w:highlight w:val="none"/>
              </w:rPr>
              <w:t>（大炮）</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1FF4F3E8">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●1、红紫热三预警，热成像制导，红紫外热激光图像五复合，水柱与水雾自由转换。</w:t>
            </w:r>
          </w:p>
          <w:p w14:paraId="67592A2D">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●2、主机配置摇杆：无级变速。</w:t>
            </w:r>
          </w:p>
          <w:p w14:paraId="609E1D89">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●3、满足《自动跟踪定位射流灭火系统技术标准》 GB25204-2010 国标标准规范。</w:t>
            </w:r>
            <w:r>
              <w:rPr>
                <w:rFonts w:hint="eastAsia" w:ascii="宋体" w:hAnsi="宋体" w:eastAsia="宋体" w:cs="宋体"/>
                <w:b/>
                <w:bCs/>
                <w:color w:val="auto"/>
                <w:szCs w:val="21"/>
                <w:highlight w:val="none"/>
              </w:rPr>
              <w:t>（合同签订后供货前中标人向采购人提供消防产品认证证书和第三方机构出具的具有CMA标识的产品检测报告）</w:t>
            </w:r>
          </w:p>
          <w:p w14:paraId="4C82FDE2">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额定工作压力</w:t>
            </w:r>
            <w:r>
              <w:rPr>
                <w:rFonts w:hint="eastAsia" w:ascii="宋体" w:hAnsi="宋体" w:eastAsia="宋体" w:cs="宋体"/>
                <w:color w:val="auto"/>
                <w:szCs w:val="21"/>
                <w:highlight w:val="none"/>
              </w:rPr>
              <w:t>：0.8</w:t>
            </w:r>
            <w:r>
              <w:rPr>
                <w:rFonts w:ascii="宋体" w:hAnsi="宋体" w:eastAsia="宋体" w:cs="宋体"/>
                <w:color w:val="auto"/>
                <w:szCs w:val="21"/>
                <w:highlight w:val="none"/>
              </w:rPr>
              <w:t>Mpa</w:t>
            </w:r>
            <w:r>
              <w:rPr>
                <w:rFonts w:hint="eastAsia" w:ascii="宋体" w:hAnsi="宋体" w:eastAsia="宋体" w:cs="宋体"/>
                <w:color w:val="auto"/>
                <w:szCs w:val="21"/>
                <w:highlight w:val="none"/>
              </w:rPr>
              <w:t>；</w:t>
            </w:r>
            <w:r>
              <w:rPr>
                <w:rFonts w:ascii="宋体" w:hAnsi="宋体" w:eastAsia="宋体" w:cs="宋体"/>
                <w:color w:val="auto"/>
                <w:szCs w:val="21"/>
                <w:highlight w:val="none"/>
              </w:rPr>
              <w:t>额定流量：20L/S-30L/S</w:t>
            </w:r>
            <w:r>
              <w:rPr>
                <w:rFonts w:hint="eastAsia" w:ascii="宋体" w:hAnsi="宋体" w:eastAsia="宋体" w:cs="宋体"/>
                <w:color w:val="auto"/>
                <w:szCs w:val="21"/>
                <w:highlight w:val="none"/>
              </w:rPr>
              <w:t>，</w:t>
            </w:r>
            <w:r>
              <w:rPr>
                <w:rFonts w:ascii="宋体" w:hAnsi="宋体" w:eastAsia="宋体" w:cs="宋体"/>
                <w:color w:val="auto"/>
                <w:szCs w:val="21"/>
                <w:highlight w:val="none"/>
              </w:rPr>
              <w:t>最大保护半径：</w:t>
            </w:r>
            <w:r>
              <w:rPr>
                <w:rFonts w:hint="eastAsia" w:ascii="宋体" w:hAnsi="宋体" w:eastAsia="宋体" w:cs="宋体"/>
                <w:color w:val="auto"/>
                <w:szCs w:val="21"/>
                <w:highlight w:val="none"/>
              </w:rPr>
              <w:t>42</w:t>
            </w:r>
            <w:r>
              <w:rPr>
                <w:rFonts w:ascii="宋体" w:hAnsi="宋体" w:eastAsia="宋体" w:cs="宋体"/>
                <w:color w:val="auto"/>
                <w:szCs w:val="21"/>
                <w:highlight w:val="none"/>
              </w:rPr>
              <w:t>m</w:t>
            </w:r>
            <w:r>
              <w:rPr>
                <w:rFonts w:hint="eastAsia" w:ascii="宋体" w:hAnsi="宋体" w:eastAsia="宋体" w:cs="宋体"/>
                <w:color w:val="auto"/>
                <w:szCs w:val="21"/>
                <w:highlight w:val="none"/>
              </w:rPr>
              <w:t>-</w:t>
            </w:r>
            <w:r>
              <w:rPr>
                <w:rFonts w:ascii="宋体" w:hAnsi="宋体" w:eastAsia="宋体" w:cs="宋体"/>
                <w:color w:val="auto"/>
                <w:szCs w:val="21"/>
                <w:highlight w:val="none"/>
              </w:rPr>
              <w:t>50m</w:t>
            </w:r>
            <w:r>
              <w:rPr>
                <w:rFonts w:hint="eastAsia" w:ascii="宋体" w:hAnsi="宋体" w:eastAsia="宋体" w:cs="宋体"/>
                <w:color w:val="auto"/>
                <w:szCs w:val="21"/>
                <w:highlight w:val="none"/>
              </w:rPr>
              <w:t>，</w:t>
            </w:r>
            <w:r>
              <w:rPr>
                <w:rFonts w:ascii="宋体" w:hAnsi="宋体" w:eastAsia="宋体" w:cs="宋体"/>
                <w:color w:val="auto"/>
                <w:szCs w:val="21"/>
                <w:highlight w:val="none"/>
              </w:rPr>
              <w:t>炮体材质：</w:t>
            </w:r>
            <w:r>
              <w:rPr>
                <w:rFonts w:hint="eastAsia" w:ascii="宋体" w:hAnsi="宋体" w:eastAsia="宋体" w:cs="宋体"/>
                <w:color w:val="auto"/>
                <w:szCs w:val="21"/>
                <w:highlight w:val="none"/>
              </w:rPr>
              <w:t>镀锌钢管，</w:t>
            </w:r>
            <w:r>
              <w:rPr>
                <w:rFonts w:ascii="宋体" w:hAnsi="宋体" w:eastAsia="宋体" w:cs="宋体"/>
                <w:color w:val="auto"/>
                <w:szCs w:val="21"/>
                <w:highlight w:val="none"/>
              </w:rPr>
              <w:t>壁厚≥4.0mm</w:t>
            </w:r>
            <w:r>
              <w:rPr>
                <w:rFonts w:hint="eastAsia" w:ascii="宋体" w:hAnsi="宋体" w:eastAsia="宋体" w:cs="宋体"/>
                <w:color w:val="auto"/>
                <w:szCs w:val="21"/>
                <w:highlight w:val="none"/>
              </w:rPr>
              <w:t>；</w:t>
            </w:r>
            <w:r>
              <w:rPr>
                <w:rFonts w:ascii="宋体" w:hAnsi="宋体" w:eastAsia="宋体" w:cs="宋体"/>
                <w:color w:val="auto"/>
                <w:szCs w:val="21"/>
                <w:highlight w:val="none"/>
              </w:rPr>
              <w:t>接口直径：</w:t>
            </w:r>
            <w:r>
              <w:rPr>
                <w:rFonts w:hint="eastAsia" w:ascii="宋体" w:hAnsi="宋体" w:eastAsia="宋体" w:cs="宋体"/>
                <w:color w:val="auto"/>
                <w:szCs w:val="21"/>
                <w:highlight w:val="none"/>
              </w:rPr>
              <w:t>DN</w:t>
            </w:r>
            <w:r>
              <w:rPr>
                <w:rFonts w:ascii="宋体" w:hAnsi="宋体" w:eastAsia="宋体" w:cs="宋体"/>
                <w:color w:val="auto"/>
                <w:szCs w:val="21"/>
                <w:highlight w:val="none"/>
              </w:rPr>
              <w:t>8</w:t>
            </w:r>
            <w:r>
              <w:rPr>
                <w:rFonts w:hint="eastAsia" w:ascii="宋体" w:hAnsi="宋体" w:eastAsia="宋体" w:cs="宋体"/>
                <w:color w:val="auto"/>
                <w:szCs w:val="21"/>
                <w:highlight w:val="none"/>
              </w:rPr>
              <w:t>0。</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F590486">
            <w:pPr>
              <w:keepLines/>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1DE4878">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CB56BF3">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A8D619C">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4E0EB8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F13DE47">
            <w:pPr>
              <w:keepLines/>
              <w:widowControl/>
              <w:wordWrap w:val="0"/>
              <w:topLinePunct/>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w:t>
            </w:r>
          </w:p>
        </w:tc>
        <w:tc>
          <w:tcPr>
            <w:tcW w:w="800" w:type="dxa"/>
            <w:vMerge w:val="continue"/>
            <w:tcBorders>
              <w:left w:val="single" w:color="auto" w:sz="4" w:space="0"/>
              <w:bottom w:val="single" w:color="auto" w:sz="4" w:space="0"/>
              <w:right w:val="single" w:color="auto" w:sz="4" w:space="0"/>
            </w:tcBorders>
            <w:noWrap w:val="0"/>
            <w:vAlign w:val="center"/>
          </w:tcPr>
          <w:p w14:paraId="4BC18A3A">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12740A3">
            <w:pPr>
              <w:keepLines/>
              <w:wordWrap w:val="0"/>
              <w:topLinePunct/>
              <w:snapToGrid w:val="0"/>
              <w:spacing w:line="360" w:lineRule="auto"/>
              <w:jc w:val="center"/>
              <w:rPr>
                <w:rFonts w:ascii="宋体" w:hAnsi="宋体" w:eastAsia="宋体" w:cs="宋体"/>
                <w:color w:val="auto"/>
                <w:szCs w:val="21"/>
                <w:highlight w:val="none"/>
              </w:rPr>
            </w:pPr>
            <w:bookmarkStart w:id="21" w:name="OLE_LINK21"/>
            <w:r>
              <w:rPr>
                <w:rFonts w:hint="eastAsia" w:ascii="宋体" w:hAnsi="宋体" w:eastAsia="宋体" w:cs="宋体"/>
                <w:color w:val="auto"/>
                <w:szCs w:val="21"/>
                <w:highlight w:val="none"/>
              </w:rPr>
              <w:t>智能型消防水炮</w:t>
            </w:r>
            <w:bookmarkEnd w:id="21"/>
            <w:r>
              <w:rPr>
                <w:rFonts w:hint="eastAsia" w:ascii="宋体" w:hAnsi="宋体" w:eastAsia="宋体" w:cs="宋体"/>
                <w:color w:val="auto"/>
                <w:szCs w:val="21"/>
                <w:highlight w:val="none"/>
              </w:rPr>
              <w:t>（小炮）</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590D3384">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●1、红紫热三预警，热成像制导，红紫外热激光图像五复合，水柱与水雾自由转换。</w:t>
            </w:r>
          </w:p>
          <w:p w14:paraId="0F0113D4">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●2、主机配置摇杆：无级变速。</w:t>
            </w:r>
          </w:p>
          <w:p w14:paraId="43415DF6">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●3、满足《自动跟踪定位射流灭火系统技术标准》 GB25204-2010 国标标准规范。</w:t>
            </w:r>
            <w:r>
              <w:rPr>
                <w:rFonts w:hint="eastAsia" w:ascii="宋体" w:hAnsi="宋体" w:eastAsia="宋体" w:cs="宋体"/>
                <w:b/>
                <w:bCs/>
                <w:color w:val="auto"/>
                <w:szCs w:val="21"/>
                <w:highlight w:val="none"/>
              </w:rPr>
              <w:t>（合同签订后供货前中标人向采购人提供消防产品认证证书和第三方机构出具的具有CMA标识的产品检测报告）</w:t>
            </w:r>
          </w:p>
          <w:p w14:paraId="1E91E678">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额定工作压力</w:t>
            </w:r>
            <w:r>
              <w:rPr>
                <w:rFonts w:hint="eastAsia" w:ascii="宋体" w:hAnsi="宋体" w:eastAsia="宋体" w:cs="宋体"/>
                <w:color w:val="auto"/>
                <w:szCs w:val="21"/>
                <w:highlight w:val="none"/>
              </w:rPr>
              <w:t>：</w:t>
            </w:r>
            <w:r>
              <w:rPr>
                <w:rFonts w:ascii="宋体" w:hAnsi="宋体" w:eastAsia="宋体" w:cs="宋体"/>
                <w:color w:val="auto"/>
                <w:szCs w:val="21"/>
                <w:highlight w:val="none"/>
              </w:rPr>
              <w:t>0.</w:t>
            </w:r>
            <w:r>
              <w:rPr>
                <w:rFonts w:hint="eastAsia" w:ascii="宋体" w:hAnsi="宋体" w:eastAsia="宋体" w:cs="宋体"/>
                <w:color w:val="auto"/>
                <w:szCs w:val="21"/>
                <w:highlight w:val="none"/>
              </w:rPr>
              <w:t>6</w:t>
            </w:r>
            <w:r>
              <w:rPr>
                <w:rFonts w:ascii="宋体" w:hAnsi="宋体" w:eastAsia="宋体" w:cs="宋体"/>
                <w:color w:val="auto"/>
                <w:szCs w:val="21"/>
                <w:highlight w:val="none"/>
              </w:rPr>
              <w:t>MPa</w:t>
            </w:r>
            <w:bookmarkStart w:id="22" w:name="OLE_LINK13"/>
            <w:r>
              <w:rPr>
                <w:rFonts w:hint="eastAsia" w:ascii="宋体" w:hAnsi="宋体" w:eastAsia="宋体" w:cs="宋体"/>
                <w:color w:val="auto"/>
                <w:szCs w:val="21"/>
                <w:highlight w:val="none"/>
              </w:rPr>
              <w:t>；</w:t>
            </w:r>
            <w:r>
              <w:rPr>
                <w:rFonts w:ascii="宋体" w:hAnsi="宋体" w:eastAsia="宋体" w:cs="宋体"/>
                <w:color w:val="auto"/>
                <w:szCs w:val="21"/>
                <w:highlight w:val="none"/>
              </w:rPr>
              <w:t>额定流量</w:t>
            </w:r>
            <w:r>
              <w:rPr>
                <w:rFonts w:hint="eastAsia" w:ascii="宋体" w:hAnsi="宋体" w:eastAsia="宋体" w:cs="宋体"/>
                <w:color w:val="auto"/>
                <w:szCs w:val="21"/>
                <w:highlight w:val="none"/>
              </w:rPr>
              <w:t>：</w:t>
            </w:r>
            <w:r>
              <w:rPr>
                <w:rFonts w:ascii="宋体" w:hAnsi="宋体" w:eastAsia="宋体" w:cs="宋体"/>
                <w:color w:val="auto"/>
                <w:szCs w:val="21"/>
                <w:highlight w:val="none"/>
              </w:rPr>
              <w:t>5L/s-10L/S</w:t>
            </w:r>
            <w:r>
              <w:rPr>
                <w:rFonts w:hint="eastAsia" w:ascii="宋体" w:hAnsi="宋体" w:eastAsia="宋体" w:cs="宋体"/>
                <w:color w:val="auto"/>
                <w:szCs w:val="21"/>
                <w:highlight w:val="none"/>
              </w:rPr>
              <w:t>；</w:t>
            </w:r>
            <w:r>
              <w:rPr>
                <w:rFonts w:ascii="宋体" w:hAnsi="宋体" w:eastAsia="宋体" w:cs="宋体"/>
                <w:color w:val="auto"/>
                <w:szCs w:val="21"/>
                <w:highlight w:val="none"/>
              </w:rPr>
              <w:t>最大保护半径：</w:t>
            </w:r>
            <w:r>
              <w:rPr>
                <w:rFonts w:hint="eastAsia" w:ascii="宋体" w:hAnsi="宋体" w:eastAsia="宋体" w:cs="宋体"/>
                <w:color w:val="auto"/>
                <w:szCs w:val="21"/>
                <w:highlight w:val="none"/>
              </w:rPr>
              <w:t>20m</w:t>
            </w:r>
            <w:r>
              <w:rPr>
                <w:rFonts w:ascii="宋体" w:hAnsi="宋体" w:eastAsia="宋体" w:cs="宋体"/>
                <w:color w:val="auto"/>
                <w:szCs w:val="21"/>
                <w:highlight w:val="none"/>
              </w:rPr>
              <w:t>-28m</w:t>
            </w:r>
            <w:r>
              <w:rPr>
                <w:rFonts w:hint="eastAsia" w:ascii="宋体" w:hAnsi="宋体" w:eastAsia="宋体" w:cs="宋体"/>
                <w:color w:val="auto"/>
                <w:szCs w:val="21"/>
                <w:highlight w:val="none"/>
              </w:rPr>
              <w:t>；</w:t>
            </w:r>
            <w:r>
              <w:rPr>
                <w:rFonts w:ascii="宋体" w:hAnsi="宋体" w:eastAsia="宋体" w:cs="宋体"/>
                <w:color w:val="auto"/>
                <w:szCs w:val="21"/>
                <w:highlight w:val="none"/>
              </w:rPr>
              <w:t>炮体材质：</w:t>
            </w:r>
            <w:r>
              <w:rPr>
                <w:rFonts w:hint="eastAsia" w:ascii="宋体" w:hAnsi="宋体" w:eastAsia="宋体" w:cs="宋体"/>
                <w:color w:val="auto"/>
                <w:szCs w:val="21"/>
                <w:highlight w:val="none"/>
              </w:rPr>
              <w:t>镀锌钢管，</w:t>
            </w:r>
            <w:r>
              <w:rPr>
                <w:rFonts w:ascii="宋体" w:hAnsi="宋体" w:eastAsia="宋体" w:cs="宋体"/>
                <w:color w:val="auto"/>
                <w:szCs w:val="21"/>
                <w:highlight w:val="none"/>
              </w:rPr>
              <w:t>壁厚≥4.0mm</w:t>
            </w:r>
            <w:r>
              <w:rPr>
                <w:rFonts w:hint="eastAsia" w:ascii="宋体" w:hAnsi="宋体" w:eastAsia="宋体" w:cs="宋体"/>
                <w:color w:val="auto"/>
                <w:szCs w:val="21"/>
                <w:highlight w:val="none"/>
              </w:rPr>
              <w:t>；</w:t>
            </w:r>
            <w:r>
              <w:rPr>
                <w:rFonts w:ascii="宋体" w:hAnsi="宋体" w:eastAsia="宋体" w:cs="宋体"/>
                <w:color w:val="auto"/>
                <w:szCs w:val="21"/>
                <w:highlight w:val="none"/>
              </w:rPr>
              <w:t>接口直径：</w:t>
            </w:r>
            <w:r>
              <w:rPr>
                <w:rFonts w:hint="eastAsia" w:ascii="宋体" w:hAnsi="宋体" w:eastAsia="宋体" w:cs="宋体"/>
                <w:color w:val="auto"/>
                <w:szCs w:val="21"/>
                <w:highlight w:val="none"/>
              </w:rPr>
              <w:t>DN50。</w:t>
            </w:r>
            <w:bookmarkEnd w:id="22"/>
          </w:p>
        </w:tc>
        <w:tc>
          <w:tcPr>
            <w:tcW w:w="800" w:type="dxa"/>
            <w:tcBorders>
              <w:top w:val="single" w:color="auto" w:sz="4" w:space="0"/>
              <w:left w:val="single" w:color="auto" w:sz="4" w:space="0"/>
              <w:bottom w:val="single" w:color="auto" w:sz="4" w:space="0"/>
              <w:right w:val="single" w:color="auto" w:sz="4" w:space="0"/>
            </w:tcBorders>
            <w:noWrap w:val="0"/>
            <w:vAlign w:val="center"/>
          </w:tcPr>
          <w:p w14:paraId="787C8159">
            <w:pPr>
              <w:keepLines/>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7E23DEF0">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8937D32">
            <w:pPr>
              <w:keepLines/>
              <w:wordWrap w:val="0"/>
              <w:topLinePunct/>
              <w:autoSpaceDE w:val="0"/>
              <w:autoSpaceDN w:val="0"/>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8157570">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75083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768BF1E">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800" w:type="dxa"/>
            <w:vMerge w:val="restart"/>
            <w:tcBorders>
              <w:top w:val="single" w:color="auto" w:sz="4" w:space="0"/>
              <w:left w:val="single" w:color="auto" w:sz="4" w:space="0"/>
              <w:right w:val="single" w:color="auto" w:sz="4" w:space="0"/>
            </w:tcBorders>
            <w:noWrap w:val="0"/>
            <w:vAlign w:val="center"/>
          </w:tcPr>
          <w:p w14:paraId="4D447D0F">
            <w:pPr>
              <w:keepLines/>
              <w:widowControl/>
              <w:wordWrap w:val="0"/>
              <w:topLinePunct/>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线材更换</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C52AF82">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信号</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0D24954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国标RVS2*1.5</w:t>
            </w:r>
            <w:r>
              <w:rPr>
                <w:rFonts w:ascii="宋体" w:hAnsi="宋体" w:eastAsia="宋体" w:cs="宋体"/>
                <w:color w:val="auto"/>
                <w:szCs w:val="21"/>
                <w:highlight w:val="none"/>
              </w:rPr>
              <w:t xml:space="preserve"> </w:t>
            </w:r>
            <w:bookmarkStart w:id="23" w:name="OLE_LINK12"/>
            <w:r>
              <w:rPr>
                <w:rFonts w:ascii="宋体" w:hAnsi="宋体" w:eastAsia="宋体" w:cs="宋体"/>
                <w:color w:val="auto"/>
                <w:szCs w:val="21"/>
                <w:highlight w:val="none"/>
              </w:rPr>
              <w:t>mm²</w:t>
            </w:r>
            <w:bookmarkEnd w:id="23"/>
          </w:p>
        </w:tc>
        <w:tc>
          <w:tcPr>
            <w:tcW w:w="800" w:type="dxa"/>
            <w:tcBorders>
              <w:top w:val="single" w:color="auto" w:sz="4" w:space="0"/>
              <w:left w:val="single" w:color="auto" w:sz="4" w:space="0"/>
              <w:bottom w:val="single" w:color="auto" w:sz="4" w:space="0"/>
              <w:right w:val="single" w:color="auto" w:sz="4" w:space="0"/>
            </w:tcBorders>
            <w:noWrap w:val="0"/>
            <w:vAlign w:val="center"/>
          </w:tcPr>
          <w:p w14:paraId="6D5A29FF">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9000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557B83DC">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1B592A2">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vMerge w:val="restart"/>
            <w:tcBorders>
              <w:top w:val="single" w:color="auto" w:sz="4" w:space="0"/>
              <w:left w:val="single" w:color="auto" w:sz="4" w:space="0"/>
              <w:right w:val="single" w:color="auto" w:sz="4" w:space="0"/>
            </w:tcBorders>
            <w:noWrap w:val="0"/>
            <w:vAlign w:val="center"/>
          </w:tcPr>
          <w:p w14:paraId="0D3BC30F">
            <w:pPr>
              <w:keepLines/>
              <w:wordWrap w:val="0"/>
              <w:topLinePunct/>
              <w:adjustRightInd w:val="0"/>
              <w:snapToGrid w:val="0"/>
              <w:spacing w:line="360" w:lineRule="auto"/>
              <w:jc w:val="left"/>
              <w:rPr>
                <w:rFonts w:ascii="宋体" w:hAnsi="宋体" w:eastAsia="宋体" w:cs="宋体"/>
                <w:b/>
                <w:bCs/>
                <w:color w:val="auto"/>
                <w:szCs w:val="21"/>
                <w:highlight w:val="none"/>
              </w:rPr>
            </w:pPr>
            <w:r>
              <w:rPr>
                <w:rFonts w:ascii="宋体" w:hAnsi="宋体" w:eastAsia="宋体" w:cs="宋体"/>
                <w:color w:val="auto"/>
                <w:szCs w:val="21"/>
                <w:highlight w:val="none"/>
              </w:rPr>
              <w:t>线材更换</w:t>
            </w:r>
            <w:r>
              <w:rPr>
                <w:rFonts w:hint="eastAsia" w:ascii="宋体" w:hAnsi="宋体" w:eastAsia="宋体" w:cs="宋体"/>
                <w:color w:val="auto"/>
                <w:szCs w:val="21"/>
                <w:highlight w:val="none"/>
              </w:rPr>
              <w:t>部分的数量为暂定量，项目验收合格后据实结算（结算金额=实际发生数量*分项综合单价）。</w:t>
            </w:r>
          </w:p>
        </w:tc>
      </w:tr>
      <w:tr w14:paraId="5E4391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B71790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800" w:type="dxa"/>
            <w:vMerge w:val="continue"/>
            <w:tcBorders>
              <w:left w:val="single" w:color="auto" w:sz="4" w:space="0"/>
              <w:right w:val="single" w:color="auto" w:sz="4" w:space="0"/>
            </w:tcBorders>
            <w:noWrap w:val="0"/>
            <w:vAlign w:val="center"/>
          </w:tcPr>
          <w:p w14:paraId="0D3B3BD5">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9C883C7">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广播</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7BBDE186">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国标RVS2*1.5</w:t>
            </w:r>
            <w:r>
              <w:rPr>
                <w:rFonts w:ascii="宋体" w:hAnsi="宋体" w:eastAsia="宋体" w:cs="宋体"/>
                <w:color w:val="auto"/>
                <w:szCs w:val="21"/>
                <w:highlight w:val="none"/>
              </w:rPr>
              <w:t xml:space="preserve"> mm²</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62FB203">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7900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7EB05CF">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2249A90">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vMerge w:val="continue"/>
            <w:tcBorders>
              <w:left w:val="single" w:color="auto" w:sz="4" w:space="0"/>
              <w:right w:val="single" w:color="auto" w:sz="4" w:space="0"/>
            </w:tcBorders>
            <w:noWrap w:val="0"/>
            <w:vAlign w:val="center"/>
          </w:tcPr>
          <w:p w14:paraId="18B1366B">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552E1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73F3F944">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800" w:type="dxa"/>
            <w:vMerge w:val="continue"/>
            <w:tcBorders>
              <w:left w:val="single" w:color="auto" w:sz="4" w:space="0"/>
              <w:right w:val="single" w:color="auto" w:sz="4" w:space="0"/>
            </w:tcBorders>
            <w:noWrap w:val="0"/>
            <w:vAlign w:val="center"/>
          </w:tcPr>
          <w:p w14:paraId="5E5F5921">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9D090E8">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电源线</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3B81B370">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国标RVS2*2.5</w:t>
            </w:r>
            <w:r>
              <w:rPr>
                <w:rFonts w:ascii="宋体" w:hAnsi="宋体" w:eastAsia="宋体" w:cs="宋体"/>
                <w:color w:val="auto"/>
                <w:szCs w:val="21"/>
                <w:highlight w:val="none"/>
              </w:rPr>
              <w:t xml:space="preserve"> mm²</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214E48D">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6700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4ABB9225">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52234A2">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vMerge w:val="continue"/>
            <w:tcBorders>
              <w:left w:val="single" w:color="auto" w:sz="4" w:space="0"/>
              <w:right w:val="single" w:color="auto" w:sz="4" w:space="0"/>
            </w:tcBorders>
            <w:noWrap w:val="0"/>
            <w:vAlign w:val="center"/>
          </w:tcPr>
          <w:p w14:paraId="49C501F4">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73380E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A1E4379">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800" w:type="dxa"/>
            <w:vMerge w:val="continue"/>
            <w:tcBorders>
              <w:left w:val="single" w:color="auto" w:sz="4" w:space="0"/>
              <w:right w:val="single" w:color="auto" w:sz="4" w:space="0"/>
            </w:tcBorders>
            <w:noWrap w:val="0"/>
            <w:vAlign w:val="center"/>
          </w:tcPr>
          <w:p w14:paraId="50E0008B">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DF4E5FB">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668ABBA5">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国标RVS2*1.5</w:t>
            </w:r>
            <w:r>
              <w:rPr>
                <w:rFonts w:ascii="宋体" w:hAnsi="宋体" w:eastAsia="宋体" w:cs="宋体"/>
                <w:color w:val="auto"/>
                <w:szCs w:val="21"/>
                <w:highlight w:val="none"/>
              </w:rPr>
              <w:t xml:space="preserve"> mm²</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D4C8BAE">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5300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314E4C82">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4794D6E5">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vMerge w:val="continue"/>
            <w:tcBorders>
              <w:left w:val="single" w:color="auto" w:sz="4" w:space="0"/>
              <w:right w:val="single" w:color="auto" w:sz="4" w:space="0"/>
            </w:tcBorders>
            <w:noWrap w:val="0"/>
            <w:vAlign w:val="center"/>
          </w:tcPr>
          <w:p w14:paraId="5C7BCB1C">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072399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1C6F03C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800" w:type="dxa"/>
            <w:vMerge w:val="continue"/>
            <w:tcBorders>
              <w:left w:val="single" w:color="auto" w:sz="4" w:space="0"/>
              <w:bottom w:val="single" w:color="auto" w:sz="4" w:space="0"/>
              <w:right w:val="single" w:color="auto" w:sz="4" w:space="0"/>
            </w:tcBorders>
            <w:noWrap w:val="0"/>
            <w:vAlign w:val="center"/>
          </w:tcPr>
          <w:p w14:paraId="42504437">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B9676A8">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多线</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75AFABDA">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国标YJV-4*1.5</w:t>
            </w:r>
            <w:r>
              <w:rPr>
                <w:rFonts w:ascii="宋体" w:hAnsi="宋体" w:eastAsia="宋体" w:cs="宋体"/>
                <w:color w:val="auto"/>
                <w:szCs w:val="21"/>
                <w:highlight w:val="none"/>
              </w:rPr>
              <w:t xml:space="preserve"> mm²</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9BDB593">
            <w:pPr>
              <w:keepLines/>
              <w:widowControl/>
              <w:wordWrap w:val="0"/>
              <w:topLinePunct/>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3000</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7F959E9B">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325C106">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vMerge w:val="continue"/>
            <w:tcBorders>
              <w:left w:val="single" w:color="auto" w:sz="4" w:space="0"/>
              <w:bottom w:val="single" w:color="auto" w:sz="4" w:space="0"/>
              <w:right w:val="single" w:color="auto" w:sz="4" w:space="0"/>
            </w:tcBorders>
            <w:noWrap w:val="0"/>
            <w:vAlign w:val="center"/>
          </w:tcPr>
          <w:p w14:paraId="2D036663">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7231B8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547E2822">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800" w:type="dxa"/>
            <w:vMerge w:val="restart"/>
            <w:tcBorders>
              <w:top w:val="single" w:color="auto" w:sz="4" w:space="0"/>
              <w:left w:val="single" w:color="auto" w:sz="4" w:space="0"/>
              <w:right w:val="single" w:color="auto" w:sz="4" w:space="0"/>
            </w:tcBorders>
            <w:noWrap w:val="0"/>
            <w:vAlign w:val="center"/>
          </w:tcPr>
          <w:p w14:paraId="668A81F0">
            <w:pPr>
              <w:keepLines/>
              <w:widowControl/>
              <w:wordWrap w:val="0"/>
              <w:topLinePunct/>
              <w:spacing w:line="360" w:lineRule="auto"/>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增补设备</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B5D319D">
            <w:pPr>
              <w:keepLines/>
              <w:widowControl/>
              <w:wordWrap w:val="0"/>
              <w:topLinePunct/>
              <w:spacing w:line="360" w:lineRule="auto"/>
              <w:jc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火灾报警传输设备</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2F06DD81">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1、采用4G无线模块，支持移动或联通或电信网络制式。</w:t>
            </w:r>
          </w:p>
          <w:p w14:paraId="2F3D894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设备具有2路RS232，2路485，1路CAN通信口，1路RJ45口，2路开关量输出，1路开关量输入。设备通过增加输入输出模块，可拓展5路开关量输入和2路5V电源输出接口；通过增加串口模块，可拓展至4路RS232和4路RS485接口。</w:t>
            </w:r>
          </w:p>
          <w:p w14:paraId="2F3DD7AF">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3、手动报警：具有手动火警按钮，可以向管理平台上传人工火灾报警信息。</w:t>
            </w:r>
          </w:p>
          <w:p w14:paraId="73407F3D">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4、断网续传：网络断网恢复后，接续上传断网期间的数据。</w:t>
            </w:r>
          </w:p>
          <w:p w14:paraId="151A742B">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5、值班查岗：支持值班查岗功能。</w:t>
            </w:r>
          </w:p>
          <w:p w14:paraId="0AF221AD">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6、1个以太网接口，能够对目标IP，目标机号，本机机号设置。</w:t>
            </w:r>
          </w:p>
          <w:p w14:paraId="5DD9616B">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7、具有日志存储功能，支持存储历史火警、历史请求/反馈、历史操作、历史故障等至少10000条日志。</w:t>
            </w:r>
          </w:p>
          <w:p w14:paraId="7B1923D1">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8、提供液晶显示（分辨率≥128×64），提供实时时钟。</w:t>
            </w:r>
          </w:p>
          <w:p w14:paraId="218898FB">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9、蓄电池备用供电（待机24小时以上）。</w:t>
            </w:r>
          </w:p>
          <w:p w14:paraId="4CFB8E5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10、交流输入电压220V、50Hz。</w:t>
            </w:r>
          </w:p>
          <w:p w14:paraId="6BFA2B7F">
            <w:pPr>
              <w:keepLines/>
              <w:wordWrap w:val="0"/>
              <w:topLinePunct/>
              <w:spacing w:line="360" w:lineRule="auto"/>
              <w:rPr>
                <w:rFonts w:ascii="宋体" w:hAnsi="宋体" w:eastAsia="宋体" w:cs="Arial"/>
                <w:b/>
                <w:bCs/>
                <w:color w:val="auto"/>
                <w:szCs w:val="22"/>
                <w:highlight w:val="none"/>
              </w:rPr>
            </w:pPr>
            <w:r>
              <w:rPr>
                <w:rFonts w:hint="eastAsia" w:ascii="宋体" w:hAnsi="Times New Roman" w:eastAsia="宋体" w:cs="Times New Roman"/>
                <w:b/>
                <w:bCs/>
                <w:color w:val="auto"/>
                <w:kern w:val="0"/>
                <w:sz w:val="24"/>
                <w:szCs w:val="22"/>
                <w:highlight w:val="none"/>
              </w:rPr>
              <w:t>●</w:t>
            </w:r>
            <w:r>
              <w:rPr>
                <w:rFonts w:hint="eastAsia" w:ascii="宋体" w:hAnsi="宋体" w:eastAsia="宋体" w:cs="宋体"/>
                <w:color w:val="auto"/>
                <w:szCs w:val="21"/>
                <w:highlight w:val="none"/>
              </w:rPr>
              <w:t>11、所投产品具有符合国家标准GB 26875.1-2011《城市消防远程监控系统第1部分：用户信息传输装置》的消防产品认证证书。</w:t>
            </w:r>
            <w:r>
              <w:rPr>
                <w:rFonts w:hint="eastAsia" w:ascii="宋体" w:hAnsi="宋体" w:eastAsia="宋体" w:cs="宋体"/>
                <w:b/>
                <w:bCs/>
                <w:color w:val="auto"/>
                <w:szCs w:val="21"/>
                <w:highlight w:val="none"/>
              </w:rPr>
              <w:t>（投标文件中提供消防产品认证证书扫描件证明）</w:t>
            </w:r>
          </w:p>
          <w:p w14:paraId="0392FE4F">
            <w:pPr>
              <w:keepLines/>
              <w:wordWrap w:val="0"/>
              <w:topLinePunct/>
              <w:spacing w:line="360" w:lineRule="auto"/>
              <w:rPr>
                <w:rFonts w:ascii="宋体" w:hAnsi="宋体" w:eastAsia="宋体" w:cs="Arial"/>
                <w:color w:val="auto"/>
                <w:szCs w:val="22"/>
                <w:highlight w:val="none"/>
              </w:rPr>
            </w:pPr>
            <w:r>
              <w:rPr>
                <w:rFonts w:hint="eastAsia" w:ascii="宋体" w:hAnsi="宋体" w:eastAsia="宋体" w:cs="宋体"/>
                <w:color w:val="auto"/>
                <w:szCs w:val="21"/>
                <w:highlight w:val="none"/>
              </w:rPr>
              <w:t>12、用户信息传输装置内置软件具有计算机软件著作权登记证书。</w:t>
            </w:r>
          </w:p>
          <w:p w14:paraId="38DE9CA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★13、消防主机联网装置在主机与消防报警主机通讯延迟不大于1秒，主机与软件平台通讯延迟不大于1秒。</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p w14:paraId="43AFAC49">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★14、消防主机联网装置的电路有亚克力板保护，印有警示提示语。</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4407C8D">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7F48D11">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A708B65">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774450D">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0DC2F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4855ACD2">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800" w:type="dxa"/>
            <w:vMerge w:val="continue"/>
            <w:tcBorders>
              <w:left w:val="single" w:color="auto" w:sz="4" w:space="0"/>
              <w:right w:val="single" w:color="auto" w:sz="4" w:space="0"/>
            </w:tcBorders>
            <w:noWrap w:val="0"/>
            <w:vAlign w:val="center"/>
          </w:tcPr>
          <w:p w14:paraId="40970006">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D3259B7">
            <w:pPr>
              <w:keepLines/>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通信板卡</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6FBF11FB">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配套各型号主机使用。</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9118695">
            <w:pPr>
              <w:keepLines/>
              <w:widowControl/>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689F58E0">
            <w:pPr>
              <w:keepLines/>
              <w:widowControl/>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50BE8E20">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134DD4F">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65096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29D42A55">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800" w:type="dxa"/>
            <w:vMerge w:val="continue"/>
            <w:tcBorders>
              <w:left w:val="single" w:color="auto" w:sz="4" w:space="0"/>
              <w:right w:val="single" w:color="auto" w:sz="4" w:space="0"/>
            </w:tcBorders>
            <w:noWrap w:val="0"/>
            <w:vAlign w:val="center"/>
          </w:tcPr>
          <w:p w14:paraId="3F1F9925">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DAD69CE">
            <w:pPr>
              <w:keepLines/>
              <w:wordWrap w:val="0"/>
              <w:topLinePunct/>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bookmarkStart w:id="24" w:name="OLE_LINK16"/>
            <w:bookmarkStart w:id="25" w:name="OLE_LINK15"/>
            <w:r>
              <w:rPr>
                <w:rFonts w:hint="eastAsia" w:ascii="宋体" w:hAnsi="宋体" w:eastAsia="宋体" w:cs="宋体"/>
                <w:color w:val="auto"/>
                <w:szCs w:val="21"/>
                <w:highlight w:val="none"/>
              </w:rPr>
              <w:t>智慧消防服务平台</w:t>
            </w:r>
            <w:bookmarkEnd w:id="24"/>
            <w:bookmarkEnd w:id="25"/>
          </w:p>
        </w:tc>
        <w:tc>
          <w:tcPr>
            <w:tcW w:w="3680" w:type="dxa"/>
            <w:tcBorders>
              <w:top w:val="single" w:color="auto" w:sz="4" w:space="0"/>
              <w:left w:val="single" w:color="auto" w:sz="4" w:space="0"/>
              <w:bottom w:val="single" w:color="auto" w:sz="4" w:space="0"/>
              <w:right w:val="single" w:color="auto" w:sz="4" w:space="0"/>
            </w:tcBorders>
            <w:noWrap w:val="0"/>
            <w:vAlign w:val="center"/>
          </w:tcPr>
          <w:p w14:paraId="0E8FF96B">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1、CPU≥4核。</w:t>
            </w:r>
          </w:p>
          <w:p w14:paraId="3B5DA407">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2、内存≥16G，存储≥512GB SSD。</w:t>
            </w:r>
          </w:p>
          <w:p w14:paraId="1846B6D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3、集成消防管理平台软件各项功能：</w:t>
            </w:r>
          </w:p>
          <w:p w14:paraId="75E8CF80">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★①具有消防远程监控管理功能。</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p w14:paraId="5EF7F14F">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②具有消防水系统监测功能。</w:t>
            </w:r>
          </w:p>
          <w:p w14:paraId="039B664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bookmarkStart w:id="26" w:name="OLE_LINK7"/>
            <w:bookmarkStart w:id="27" w:name="OLE_LINK6"/>
            <w:r>
              <w:rPr>
                <w:rFonts w:hint="eastAsia" w:ascii="宋体" w:hAnsi="宋体" w:eastAsia="宋体" w:cs="宋体"/>
                <w:color w:val="auto"/>
                <w:szCs w:val="21"/>
                <w:highlight w:val="none"/>
              </w:rPr>
              <w:t>③</w:t>
            </w:r>
            <w:bookmarkEnd w:id="26"/>
            <w:bookmarkEnd w:id="27"/>
            <w:r>
              <w:rPr>
                <w:rFonts w:hint="eastAsia" w:ascii="宋体" w:hAnsi="宋体" w:eastAsia="宋体" w:cs="宋体"/>
                <w:color w:val="auto"/>
                <w:szCs w:val="21"/>
                <w:highlight w:val="none"/>
              </w:rPr>
              <w:t>具有电气火灾系统检测功能。</w:t>
            </w:r>
          </w:p>
          <w:p w14:paraId="5A05E12B">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★④具有消防设施可视化巡查功能。</w:t>
            </w:r>
          </w:p>
          <w:p w14:paraId="2C2BA637">
            <w:pPr>
              <w:keepLines/>
              <w:wordWrap w:val="0"/>
              <w:topLinePunct/>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★⑤具有安</w:t>
            </w:r>
            <w:r>
              <w:rPr>
                <w:rFonts w:ascii="宋体" w:hAnsi="宋体" w:eastAsia="宋体" w:cs="宋体"/>
                <w:color w:val="auto"/>
                <w:szCs w:val="21"/>
                <w:highlight w:val="none"/>
              </w:rPr>
              <w:t>消</w:t>
            </w:r>
            <w:r>
              <w:rPr>
                <w:rFonts w:hint="eastAsia" w:ascii="宋体" w:hAnsi="宋体" w:eastAsia="宋体" w:cs="宋体"/>
                <w:color w:val="auto"/>
                <w:szCs w:val="21"/>
                <w:highlight w:val="none"/>
              </w:rPr>
              <w:t>联动功能。</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p w14:paraId="692B168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⑥具有APP端。</w:t>
            </w:r>
          </w:p>
          <w:p w14:paraId="4A3EAC42">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⑦支持可视化大屏。</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EAECD8B">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049F9C5D">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D78A29D">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22B1443">
            <w:pPr>
              <w:keepLines/>
              <w:wordWrap w:val="0"/>
              <w:topLinePunct/>
              <w:adjustRightInd w:val="0"/>
              <w:snapToGrid w:val="0"/>
              <w:spacing w:line="360" w:lineRule="auto"/>
              <w:jc w:val="center"/>
              <w:rPr>
                <w:rFonts w:ascii="宋体" w:hAnsi="宋体" w:eastAsia="宋体" w:cs="宋体"/>
                <w:b/>
                <w:bCs/>
                <w:color w:val="auto"/>
                <w:szCs w:val="21"/>
                <w:highlight w:val="none"/>
              </w:rPr>
            </w:pPr>
          </w:p>
        </w:tc>
      </w:tr>
      <w:tr w14:paraId="4B946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15835D3">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800" w:type="dxa"/>
            <w:vMerge w:val="continue"/>
            <w:tcBorders>
              <w:left w:val="single" w:color="auto" w:sz="4" w:space="0"/>
              <w:bottom w:val="single" w:color="auto" w:sz="4" w:space="0"/>
              <w:right w:val="single" w:color="auto" w:sz="4" w:space="0"/>
            </w:tcBorders>
            <w:noWrap w:val="0"/>
            <w:vAlign w:val="center"/>
          </w:tcPr>
          <w:p w14:paraId="6A5193E0">
            <w:pPr>
              <w:keepLines/>
              <w:widowControl/>
              <w:wordWrap w:val="0"/>
              <w:topLinePunct/>
              <w:spacing w:line="360" w:lineRule="auto"/>
              <w:jc w:val="center"/>
              <w:rPr>
                <w:rFonts w:ascii="宋体" w:hAnsi="宋体" w:eastAsia="宋体" w:cs="宋体"/>
                <w:color w:val="auto"/>
                <w:kern w:val="0"/>
                <w:szCs w:val="21"/>
                <w:highlight w:val="none"/>
                <w:lang w:bidi="ar"/>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7E3DB31">
            <w:pPr>
              <w:keepLines/>
              <w:wordWrap w:val="0"/>
              <w:topLinePunct/>
              <w:snapToGrid w:val="0"/>
              <w:spacing w:line="360" w:lineRule="auto"/>
              <w:jc w:val="center"/>
              <w:rPr>
                <w:rFonts w:ascii="宋体" w:hAnsi="宋体" w:eastAsia="宋体" w:cs="宋体"/>
                <w:color w:val="auto"/>
                <w:szCs w:val="21"/>
                <w:highlight w:val="none"/>
              </w:rPr>
            </w:pPr>
            <w:bookmarkStart w:id="28" w:name="OLE_LINK5"/>
            <w:r>
              <w:rPr>
                <w:rFonts w:hint="eastAsia" w:ascii="宋体" w:hAnsi="宋体" w:eastAsia="宋体" w:cs="宋体"/>
                <w:color w:val="auto"/>
                <w:szCs w:val="21"/>
                <w:highlight w:val="none"/>
              </w:rPr>
              <w:t>边缘计算控制器</w:t>
            </w:r>
            <w:bookmarkEnd w:id="28"/>
          </w:p>
        </w:tc>
        <w:tc>
          <w:tcPr>
            <w:tcW w:w="3680" w:type="dxa"/>
            <w:tcBorders>
              <w:top w:val="single" w:color="auto" w:sz="4" w:space="0"/>
              <w:left w:val="single" w:color="auto" w:sz="4" w:space="0"/>
              <w:bottom w:val="single" w:color="auto" w:sz="4" w:space="0"/>
              <w:right w:val="single" w:color="auto" w:sz="4" w:space="0"/>
            </w:tcBorders>
            <w:noWrap w:val="0"/>
            <w:vAlign w:val="center"/>
          </w:tcPr>
          <w:p w14:paraId="3554DD75">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1、CPU：≥4核。</w:t>
            </w:r>
          </w:p>
          <w:p w14:paraId="73204B10">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2、NPU：支持INT16、INT8。</w:t>
            </w:r>
          </w:p>
          <w:p w14:paraId="7C4B12D6">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3、性能：不低于16 TOPS 算力。</w:t>
            </w:r>
          </w:p>
          <w:p w14:paraId="0A2E67F7">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★4、支持引擎算法分析：消防控制室无人值守分析、消防通道堵塞识别、烟火检测、电动车识别等。</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p w14:paraId="6D2E13F9">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★5、系统支持关联附近监控视频，查看远程视频图像。</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p w14:paraId="72F49E5E">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★6、消防控制室无人值守分析：漏报率≤1%，误报率≤3%，正确识别率≥96%，识别响应时间≤10秒。</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p w14:paraId="504B31FC">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★7、消防通道堵塞识别：漏报率≤15%，误报率≤15%，正确识别率≥70%，识别响应时间≤10秒。</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p w14:paraId="2C77D9C1">
            <w:pPr>
              <w:keepLines/>
              <w:wordWrap w:val="0"/>
              <w:topLinePunct/>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8、烟火检测：对重点区域摄像机的视频画面进行视频分析，实时探测监控区域的火焰和烟雾，当监控区域内发生烟雾及火焰时，系统自动发出提醒。漏报率≤10%，误报率≤10%，正确识别率≥80%，识别响应时间≤10秒。</w:t>
            </w:r>
            <w:r>
              <w:rPr>
                <w:rFonts w:hint="eastAsia" w:ascii="宋体" w:hAnsi="宋体" w:eastAsia="宋体" w:cs="宋体"/>
                <w:b/>
                <w:bCs/>
                <w:color w:val="auto"/>
                <w:szCs w:val="21"/>
                <w:highlight w:val="none"/>
              </w:rPr>
              <w:t>（投标文件中提供产品技术说明书或产品官网截图或第三方检测机构出具的带有CMA标识的检测报告扫描件证明）</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B910DE6">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7D0EC64F">
            <w:pPr>
              <w:keepLines/>
              <w:widowControl/>
              <w:wordWrap w:val="0"/>
              <w:topLinePunct/>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C40137E">
            <w:pPr>
              <w:keepLines/>
              <w:wordWrap w:val="0"/>
              <w:topLinePunct/>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工业</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CA2BD9B">
            <w:pPr>
              <w:keepLines/>
              <w:wordWrap w:val="0"/>
              <w:topLinePunct/>
              <w:adjustRightInd w:val="0"/>
              <w:snapToGrid w:val="0"/>
              <w:spacing w:line="360" w:lineRule="auto"/>
              <w:jc w:val="center"/>
              <w:rPr>
                <w:rFonts w:ascii="宋体" w:hAnsi="宋体" w:eastAsia="宋体" w:cs="宋体"/>
                <w:b/>
                <w:bCs/>
                <w:color w:val="auto"/>
                <w:szCs w:val="21"/>
                <w:highlight w:val="none"/>
              </w:rPr>
            </w:pPr>
          </w:p>
        </w:tc>
      </w:tr>
    </w:tbl>
    <w:p w14:paraId="4017FF98">
      <w:pPr>
        <w:rPr>
          <w:rFonts w:hint="eastAsia" w:ascii="宋体" w:hAnsi="宋体" w:eastAsia="宋体" w:cs="宋体"/>
          <w:color w:val="auto"/>
          <w:szCs w:val="21"/>
          <w:highlight w:val="none"/>
        </w:rPr>
      </w:pPr>
    </w:p>
    <w:p w14:paraId="2325F8B2">
      <w:pPr>
        <w:snapToGrid w:val="0"/>
        <w:spacing w:line="360" w:lineRule="auto"/>
        <w:ind w:firstLine="422" w:firstLineChars="200"/>
        <w:jc w:val="left"/>
        <w:rPr>
          <w:rFonts w:hint="eastAsia" w:ascii="宋体" w:hAnsi="宋体" w:eastAsia="宋体" w:cs="宋体"/>
          <w:b/>
          <w:bCs/>
          <w:color w:val="auto"/>
          <w:szCs w:val="21"/>
          <w:highlight w:val="none"/>
        </w:rPr>
      </w:pPr>
      <w:bookmarkStart w:id="29" w:name="_Toc1900587714"/>
      <w:bookmarkStart w:id="30" w:name="_Toc902728931"/>
      <w:bookmarkStart w:id="31" w:name="_Toc49042126"/>
      <w:bookmarkStart w:id="32" w:name="_Toc1101062245"/>
      <w:bookmarkStart w:id="33" w:name="_Toc1814319857"/>
      <w:bookmarkStart w:id="34" w:name="_Toc1061105159_WPSOffice_Level2"/>
      <w:bookmarkStart w:id="35" w:name="_Toc13384869"/>
      <w:bookmarkStart w:id="36" w:name="_Toc1520309192"/>
      <w:r>
        <w:rPr>
          <w:rFonts w:hint="eastAsia" w:ascii="宋体" w:hAnsi="宋体" w:eastAsia="宋体" w:cs="宋体"/>
          <w:b/>
          <w:bCs/>
          <w:color w:val="auto"/>
          <w:szCs w:val="21"/>
          <w:highlight w:val="none"/>
        </w:rPr>
        <w:t>三、报价要求</w:t>
      </w:r>
      <w:bookmarkEnd w:id="29"/>
      <w:bookmarkEnd w:id="30"/>
      <w:bookmarkEnd w:id="31"/>
      <w:bookmarkEnd w:id="32"/>
      <w:bookmarkEnd w:id="33"/>
      <w:bookmarkEnd w:id="34"/>
      <w:bookmarkEnd w:id="35"/>
      <w:bookmarkEnd w:id="36"/>
    </w:p>
    <w:p w14:paraId="1EB8051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报总价，投标报价包括货物生产、包装、运输、保险、装卸（至指定地点）、安装、调试、检验、试运行、技术服务、培训等所有应由投标人承担的各项费用及税金，以及采购合同中明示或暗示的所有责任、义务和风险。</w:t>
      </w:r>
    </w:p>
    <w:p w14:paraId="6302B4B2">
      <w:pPr>
        <w:snapToGrid w:val="0"/>
        <w:spacing w:line="360" w:lineRule="auto"/>
        <w:ind w:firstLine="422" w:firstLineChars="200"/>
        <w:jc w:val="left"/>
        <w:rPr>
          <w:rFonts w:hint="eastAsia" w:ascii="宋体" w:hAnsi="宋体" w:eastAsia="宋体" w:cs="宋体"/>
          <w:b/>
          <w:bCs/>
          <w:color w:val="auto"/>
          <w:szCs w:val="21"/>
          <w:highlight w:val="none"/>
        </w:rPr>
      </w:pPr>
      <w:bookmarkStart w:id="37" w:name="_Toc445554753"/>
      <w:bookmarkStart w:id="38" w:name="_Toc455587278"/>
      <w:bookmarkStart w:id="39" w:name="_Toc455587094"/>
      <w:r>
        <w:rPr>
          <w:rFonts w:hint="eastAsia" w:ascii="宋体" w:hAnsi="宋体" w:eastAsia="宋体" w:cs="宋体"/>
          <w:b/>
          <w:bCs/>
          <w:color w:val="auto"/>
          <w:szCs w:val="21"/>
          <w:highlight w:val="none"/>
        </w:rPr>
        <w:t>四、分包要求</w:t>
      </w:r>
    </w:p>
    <w:p w14:paraId="22D8ED4E">
      <w:pPr>
        <w:snapToGrid w:val="0"/>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本项目涉及施工</w:t>
      </w:r>
      <w:r>
        <w:rPr>
          <w:rFonts w:hint="eastAsia" w:ascii="宋体" w:hAnsi="宋体" w:eastAsia="宋体" w:cs="宋体"/>
          <w:color w:val="auto"/>
          <w:szCs w:val="21"/>
          <w:highlight w:val="none"/>
        </w:rPr>
        <w:t>的</w:t>
      </w:r>
      <w:r>
        <w:rPr>
          <w:rFonts w:ascii="宋体" w:hAnsi="宋体" w:eastAsia="宋体" w:cs="宋体"/>
          <w:color w:val="auto"/>
          <w:szCs w:val="21"/>
          <w:highlight w:val="none"/>
        </w:rPr>
        <w:t>内容允许分包，中标人如不具备相应专业承包工程施工资质（如消防设施工程专业承包资质等）的，可由中标人自行委托具有相应资质的单位承担，但所有费用均包含在本次投标报价中，且中标人必须对所有项目质量负总责。</w:t>
      </w:r>
    </w:p>
    <w:p w14:paraId="24B76D30">
      <w:pPr>
        <w:snapToGrid w:val="0"/>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对分包单位的要求：分包单位须有相关资质并经</w:t>
      </w:r>
      <w:r>
        <w:rPr>
          <w:rFonts w:hint="eastAsia" w:ascii="宋体" w:hAnsi="宋体" w:eastAsia="宋体" w:cs="宋体"/>
          <w:color w:val="auto"/>
          <w:szCs w:val="21"/>
          <w:highlight w:val="none"/>
        </w:rPr>
        <w:t>采购</w:t>
      </w:r>
      <w:r>
        <w:rPr>
          <w:rFonts w:ascii="宋体" w:hAnsi="宋体" w:eastAsia="宋体" w:cs="宋体"/>
          <w:color w:val="auto"/>
          <w:szCs w:val="21"/>
          <w:highlight w:val="none"/>
        </w:rPr>
        <w:t>人认可。</w:t>
      </w:r>
    </w:p>
    <w:p w14:paraId="61EE84AE">
      <w:pPr>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五、项目安装</w:t>
      </w:r>
      <w:r>
        <w:rPr>
          <w:rFonts w:ascii="宋体" w:hAnsi="宋体" w:eastAsia="宋体" w:cs="宋体"/>
          <w:b/>
          <w:bCs/>
          <w:color w:val="auto"/>
          <w:szCs w:val="21"/>
          <w:highlight w:val="none"/>
        </w:rPr>
        <w:t>实施要求</w:t>
      </w:r>
      <w:r>
        <w:rPr>
          <w:rFonts w:hint="eastAsia" w:ascii="宋体" w:hAnsi="宋体" w:eastAsia="宋体" w:cs="宋体"/>
          <w:b/>
          <w:bCs/>
          <w:color w:val="auto"/>
          <w:szCs w:val="21"/>
          <w:highlight w:val="none"/>
        </w:rPr>
        <w:t>（注：投标人自行考察现场，项目实施产生的费用包含在投标报价内。如投标人因未考察现场而导致中标后无法履约而导致的一切责任由投标人自行承担。）</w:t>
      </w:r>
    </w:p>
    <w:p w14:paraId="0F63BFDE">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1、火灾报警控制系统</w:t>
      </w:r>
    </w:p>
    <w:p w14:paraId="7F7F2CBD">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功能要求：应能接收火灾探测器等触发器件的火灾报警信号，按照预设的联动逻辑关系，准确发出联动控制信号，启动相关消防设备，如消防泵、喷淋泵、防火门、防火阀、防排烟阀、电梯迫降等，并能接收和显示消防设备的动作反馈信号。</w:t>
      </w:r>
    </w:p>
    <w:p w14:paraId="0B977FE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设置要求：应设置在消防控制室内，且具有明显的标识；其主电源应为消防电源，备用电源可采用蓄电池等，主、备电源应能自动切换。</w:t>
      </w:r>
    </w:p>
    <w:p w14:paraId="32A5943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布线要求：系统布线应符合相关标准，不同电压等级、不同电流类别的线路不应布在同一管内或线槽的同一槽孔内，导线的接头应在接线盒内焊接或用端子连接。</w:t>
      </w:r>
    </w:p>
    <w:p w14:paraId="4938759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2、报警主机回路板</w:t>
      </w:r>
    </w:p>
    <w:p w14:paraId="78BCAC9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功能要求：是火灾报警控制器的重要组成部分，负责连接和管理多个探测器、模块等设备，实现信号的采集、传输和处理；具备故障检测、隔离功能，当回路中的某个设备出现故障时，能及时检测到并将其隔离，不影响其他设备的正常工作。</w:t>
      </w:r>
    </w:p>
    <w:p w14:paraId="50C4EB5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安装要求：安装在火灾报警控制器内部，应确保安装牢固，接触良好；其工作环境应符合设备要求，避免高温、潮湿、灰尘等不良环境因素。</w:t>
      </w:r>
    </w:p>
    <w:p w14:paraId="1CC71EBA">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维护要求：定期检查回路板的工作状态，清洁电路板表面的灰尘，检查电子元件是否有损坏、老化等现象；当回路板出现故障时，应及时进行维修或更换。</w:t>
      </w:r>
    </w:p>
    <w:p w14:paraId="727BE16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3、消防水炮报警联动系统</w:t>
      </w:r>
    </w:p>
    <w:p w14:paraId="1FE3FAB0">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功能要求：能与消防水炮、火灾探测器等设备进行通信，接收火灾报警信号，根据信号准确控制消防水炮的启动、停止、俯仰、水平回转等动作，还能显示消防水炮的工作状态、故障信息等。</w:t>
      </w:r>
    </w:p>
    <w:p w14:paraId="30BED482">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设置要求：宜设置在消防控制室内，便于操作人员进行监控和操作；应具备良好的防护性能，防止灰尘、湿气等对设备造成影响。</w:t>
      </w:r>
    </w:p>
    <w:p w14:paraId="195269E3">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联动要求：与火灾报警系统、消防水泵等设备实现联动，当接收到火灾报警信号时，能自动或手动启动相应区域的消防水炮，并启动消防水泵供水。</w:t>
      </w:r>
    </w:p>
    <w:p w14:paraId="52D54E33">
      <w:pPr>
        <w:snapToGrid w:val="0"/>
        <w:spacing w:line="360" w:lineRule="auto"/>
        <w:ind w:firstLine="420" w:firstLineChars="200"/>
        <w:jc w:val="left"/>
        <w:rPr>
          <w:rFonts w:ascii="宋体" w:hAnsi="宋体" w:eastAsia="宋体" w:cs="宋体"/>
          <w:color w:val="auto"/>
          <w:szCs w:val="21"/>
          <w:highlight w:val="none"/>
        </w:rPr>
      </w:pPr>
      <w:r>
        <w:rPr>
          <w:rFonts w:ascii="宋体" w:hAnsi="宋体" w:eastAsia="宋体" w:cs="宋体"/>
          <w:color w:val="auto"/>
          <w:szCs w:val="21"/>
          <w:highlight w:val="none"/>
        </w:rPr>
        <w:t>报警主机应</w:t>
      </w:r>
      <w:r>
        <w:rPr>
          <w:rFonts w:hint="eastAsia" w:ascii="宋体" w:hAnsi="宋体" w:eastAsia="宋体" w:cs="宋体"/>
          <w:color w:val="auto"/>
          <w:szCs w:val="21"/>
          <w:highlight w:val="none"/>
        </w:rPr>
        <w:t>采用</w:t>
      </w:r>
      <w:r>
        <w:rPr>
          <w:rFonts w:ascii="宋体" w:hAnsi="宋体" w:eastAsia="宋体" w:cs="宋体"/>
          <w:color w:val="auto"/>
          <w:szCs w:val="21"/>
          <w:highlight w:val="none"/>
        </w:rPr>
        <w:t>报警联动一体机，</w:t>
      </w:r>
      <w:r>
        <w:rPr>
          <w:rFonts w:hint="eastAsia" w:ascii="宋体" w:hAnsi="宋体" w:eastAsia="宋体" w:cs="宋体"/>
          <w:color w:val="auto"/>
          <w:szCs w:val="21"/>
          <w:highlight w:val="none"/>
        </w:rPr>
        <w:t>其功</w:t>
      </w:r>
      <w:r>
        <w:rPr>
          <w:rFonts w:ascii="宋体" w:hAnsi="宋体" w:eastAsia="宋体" w:cs="宋体"/>
          <w:color w:val="auto"/>
          <w:szCs w:val="21"/>
          <w:highlight w:val="none"/>
        </w:rPr>
        <w:t>能</w:t>
      </w:r>
      <w:r>
        <w:rPr>
          <w:rFonts w:hint="eastAsia" w:ascii="宋体" w:hAnsi="宋体" w:eastAsia="宋体" w:cs="宋体"/>
          <w:color w:val="auto"/>
          <w:szCs w:val="21"/>
          <w:highlight w:val="none"/>
        </w:rPr>
        <w:t>需兼具</w:t>
      </w:r>
      <w:r>
        <w:rPr>
          <w:rFonts w:ascii="宋体" w:hAnsi="宋体" w:eastAsia="宋体" w:cs="宋体"/>
          <w:color w:val="auto"/>
          <w:szCs w:val="21"/>
          <w:highlight w:val="none"/>
        </w:rPr>
        <w:t>报警</w:t>
      </w:r>
      <w:r>
        <w:rPr>
          <w:rFonts w:hint="eastAsia" w:ascii="宋体" w:hAnsi="宋体" w:eastAsia="宋体" w:cs="宋体"/>
          <w:color w:val="auto"/>
          <w:szCs w:val="21"/>
          <w:highlight w:val="none"/>
        </w:rPr>
        <w:t>以及</w:t>
      </w:r>
      <w:r>
        <w:rPr>
          <w:rFonts w:ascii="宋体" w:hAnsi="宋体" w:eastAsia="宋体" w:cs="宋体"/>
          <w:color w:val="auto"/>
          <w:szCs w:val="21"/>
          <w:highlight w:val="none"/>
        </w:rPr>
        <w:t>联动起泵、启动排烟风机等</w:t>
      </w:r>
      <w:r>
        <w:rPr>
          <w:rFonts w:hint="eastAsia" w:ascii="宋体" w:hAnsi="宋体" w:eastAsia="宋体" w:cs="宋体"/>
          <w:color w:val="auto"/>
          <w:szCs w:val="21"/>
          <w:highlight w:val="none"/>
        </w:rPr>
        <w:t>。在整个项目的实施过程中，需有专业的技术人员对报警主机的安装、连接管线的铺设、楼梯开槽与恢复、吊顶拆除与恢复等各个环节进行严格的质量把控，以确保项目最终能够达到预期的要求，保障建筑物的报警联动功能正常运行，同时兼顾各个施工部分的质量和美观性。在施工过程中，对于连接管线的铺设必须严格遵循相关的安全与质量标准。要选用优质的管线材料，确保信号传输的稳定性以及电力供应的安全性。</w:t>
      </w:r>
    </w:p>
    <w:p w14:paraId="68B756D8">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4、连接管线</w:t>
      </w:r>
    </w:p>
    <w:p w14:paraId="0EE329D0">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要准确测量所需管线的长度、管径规格等参数，根据实际走向规划好连接线路，考虑不同区域的使用需求，比如是用于水电线路还是其他特殊介质输送等，确定好相应的管材类型，管道连接的方式，如热熔连接、丝扣连接等要按照规范操作，并且做好密封处理，防止出现渗漏等问题，同时涉及到穿墙、穿楼板等部位，要合理设置套管并做好防火、防水等封堵措施。</w:t>
      </w:r>
    </w:p>
    <w:p w14:paraId="502148AF">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完成连接后要进行线路导通测试（针对电线管）等验收工作，若有因施工造成的周边墙面、地面破损等情况，恢复工作所需的材料如腻子、涂料、地砖等以及人工费用都包含在投标报价内。</w:t>
      </w:r>
    </w:p>
    <w:p w14:paraId="7DEEE1D7">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5、开槽及恢复</w:t>
      </w:r>
    </w:p>
    <w:p w14:paraId="51115FC8">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要依据建筑结的结构特点和后续使用功能确定开槽位置、深度和宽度等参数，比如是为了铺设隐藏式的照明线路还是扶手的固定结构件等。开槽过程中使用的切割设备、开凿工具等租赁费用以及人工成本、恢复用的填充材料，重新做防水的材料和施工成本包含在投标报价内。</w:t>
      </w:r>
    </w:p>
    <w:p w14:paraId="058F08D8">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6、吊顶拆除及恢复</w:t>
      </w:r>
    </w:p>
    <w:p w14:paraId="1EFB906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拆除工作对应的人工费用、工具损耗费、搬运处理等费用包含在投标报价内，做好密封及外观恢复处理。</w:t>
      </w:r>
    </w:p>
    <w:p w14:paraId="5DA311F1">
      <w:pPr>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六、备品备件及专用工具</w:t>
      </w:r>
    </w:p>
    <w:p w14:paraId="69C66631">
      <w:pPr>
        <w:snapToGrid w:val="0"/>
        <w:spacing w:line="360" w:lineRule="auto"/>
        <w:ind w:firstLine="420" w:firstLineChars="200"/>
        <w:jc w:val="left"/>
        <w:rPr>
          <w:rFonts w:hint="eastAsia" w:ascii="宋体" w:hAnsi="宋体" w:eastAsia="宋体" w:cs="宋体"/>
          <w:color w:val="auto"/>
          <w:szCs w:val="21"/>
          <w:highlight w:val="none"/>
        </w:rPr>
      </w:pPr>
      <w:bookmarkStart w:id="40" w:name="_Toc455587093"/>
      <w:bookmarkStart w:id="41" w:name="_Toc445554752"/>
      <w:bookmarkStart w:id="42" w:name="_Toc455587277"/>
      <w:r>
        <w:rPr>
          <w:rFonts w:hint="eastAsia" w:ascii="宋体" w:hAnsi="宋体" w:eastAsia="宋体" w:cs="宋体"/>
          <w:color w:val="auto"/>
          <w:szCs w:val="21"/>
          <w:highlight w:val="none"/>
        </w:rPr>
        <w:t>1、备品备件：中标人提供能够满足质量保证期内的设备维修要求的备品备件，备品备件应是新品。</w:t>
      </w:r>
    </w:p>
    <w:p w14:paraId="6866C6C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2、专用工具：中标人提供设备安装、调试、验收、维修、保养所必要的专用工具、仪器、仪表等工具。</w:t>
      </w:r>
    </w:p>
    <w:bookmarkEnd w:id="40"/>
    <w:bookmarkEnd w:id="41"/>
    <w:bookmarkEnd w:id="42"/>
    <w:p w14:paraId="50BA116C">
      <w:pPr>
        <w:snapToGrid w:val="0"/>
        <w:spacing w:line="360" w:lineRule="auto"/>
        <w:ind w:firstLine="422" w:firstLineChars="200"/>
        <w:jc w:val="left"/>
        <w:rPr>
          <w:rFonts w:hint="eastAsia" w:ascii="宋体" w:hAnsi="宋体" w:eastAsia="宋体" w:cs="宋体"/>
          <w:b/>
          <w:bCs/>
          <w:color w:val="auto"/>
          <w:szCs w:val="21"/>
          <w:highlight w:val="none"/>
        </w:rPr>
      </w:pPr>
      <w:bookmarkStart w:id="43" w:name="_Toc532199625"/>
      <w:r>
        <w:rPr>
          <w:rFonts w:hint="eastAsia" w:ascii="宋体" w:hAnsi="宋体" w:eastAsia="宋体" w:cs="宋体"/>
          <w:b/>
          <w:bCs/>
          <w:color w:val="auto"/>
          <w:szCs w:val="21"/>
          <w:highlight w:val="none"/>
        </w:rPr>
        <w:t>七、安装调试、验收试验及质量保证</w:t>
      </w:r>
      <w:bookmarkEnd w:id="43"/>
    </w:p>
    <w:p w14:paraId="5367AAB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1、仪器到达后，中标人在接到通知后在规定时间内在安装地点负责安装、调试。</w:t>
      </w:r>
    </w:p>
    <w:p w14:paraId="40F7017A">
      <w:pPr>
        <w:snapToGrid w:val="0"/>
        <w:spacing w:line="360" w:lineRule="auto"/>
        <w:ind w:firstLine="420" w:firstLineChars="200"/>
        <w:jc w:val="left"/>
        <w:rPr>
          <w:rFonts w:hint="eastAsia" w:eastAsia="宋体"/>
          <w:color w:val="auto"/>
          <w:highlight w:val="none"/>
        </w:rPr>
      </w:pPr>
      <w:r>
        <w:rPr>
          <w:rFonts w:hint="eastAsia" w:ascii="宋体" w:hAnsi="宋体" w:eastAsia="宋体" w:cs="宋体"/>
          <w:color w:val="auto"/>
          <w:szCs w:val="21"/>
          <w:highlight w:val="none"/>
        </w:rPr>
        <w:t>2、具体设备验收标准和程序按采购人要求执行。</w:t>
      </w:r>
    </w:p>
    <w:p w14:paraId="5A9F474A">
      <w:pPr>
        <w:snapToGrid w:val="0"/>
        <w:spacing w:line="360" w:lineRule="auto"/>
        <w:ind w:firstLine="422" w:firstLineChars="200"/>
        <w:jc w:val="left"/>
        <w:rPr>
          <w:rFonts w:hint="eastAsia" w:ascii="宋体" w:hAnsi="宋体" w:eastAsia="宋体" w:cs="宋体"/>
          <w:b/>
          <w:bCs/>
          <w:color w:val="auto"/>
          <w:szCs w:val="21"/>
          <w:highlight w:val="none"/>
        </w:rPr>
      </w:pPr>
      <w:bookmarkStart w:id="44" w:name="_Toc532199626"/>
      <w:r>
        <w:rPr>
          <w:rFonts w:hint="eastAsia" w:ascii="宋体" w:hAnsi="宋体" w:eastAsia="宋体" w:cs="宋体"/>
          <w:b/>
          <w:bCs/>
          <w:color w:val="auto"/>
          <w:szCs w:val="21"/>
          <w:highlight w:val="none"/>
        </w:rPr>
        <w:t>八、包装运输</w:t>
      </w:r>
      <w:bookmarkEnd w:id="37"/>
      <w:bookmarkEnd w:id="38"/>
      <w:bookmarkEnd w:id="39"/>
      <w:bookmarkEnd w:id="44"/>
    </w:p>
    <w:p w14:paraId="70827886">
      <w:pPr>
        <w:snapToGrid w:val="0"/>
        <w:spacing w:line="360" w:lineRule="auto"/>
        <w:ind w:firstLine="420" w:firstLineChars="200"/>
        <w:jc w:val="left"/>
        <w:rPr>
          <w:rFonts w:hint="eastAsia" w:ascii="宋体" w:hAnsi="宋体" w:eastAsia="宋体" w:cs="宋体"/>
          <w:color w:val="auto"/>
          <w:szCs w:val="21"/>
          <w:highlight w:val="none"/>
        </w:rPr>
      </w:pPr>
      <w:bookmarkStart w:id="45" w:name="_Toc455587095"/>
      <w:bookmarkStart w:id="46" w:name="_Toc455587279"/>
      <w:bookmarkStart w:id="47" w:name="_Toc445554754"/>
      <w:r>
        <w:rPr>
          <w:rFonts w:hint="eastAsia" w:ascii="宋体" w:hAnsi="宋体" w:eastAsia="宋体" w:cs="宋体"/>
          <w:color w:val="auto"/>
          <w:szCs w:val="21"/>
          <w:highlight w:val="none"/>
        </w:rPr>
        <w:t>1、中标人负责设备包装、办理运输和保险，将设备安全运抵交货地点。</w:t>
      </w:r>
    </w:p>
    <w:p w14:paraId="68BC870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2、设备制造完成并通过试验后应及时包装，否则应得到切实的保护，确保其不受污损。</w:t>
      </w:r>
    </w:p>
    <w:p w14:paraId="659AC7B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3、在包装箱外应标明采购人的订货号、发货号。</w:t>
      </w:r>
    </w:p>
    <w:p w14:paraId="3074A27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4、各种包装应能确保各零部件在运输过程中不致遭到损坏、丢失、变形、受潮和腐蚀。</w:t>
      </w:r>
    </w:p>
    <w:p w14:paraId="6A7CB41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5、包装箱上应有明显的包装储运图示标志。</w:t>
      </w:r>
    </w:p>
    <w:p w14:paraId="6598330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6、整体产品或分别运输的部件都要适应运输和装载的要求。</w:t>
      </w:r>
    </w:p>
    <w:p w14:paraId="041591E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7、随产品提供的技术资料应完整无缺。</w:t>
      </w:r>
    </w:p>
    <w:p w14:paraId="04C05AD6">
      <w:pPr>
        <w:snapToGrid w:val="0"/>
        <w:spacing w:line="360" w:lineRule="auto"/>
        <w:ind w:firstLine="422" w:firstLineChars="200"/>
        <w:jc w:val="left"/>
        <w:rPr>
          <w:rFonts w:hint="eastAsia" w:ascii="宋体" w:hAnsi="宋体" w:eastAsia="宋体" w:cs="宋体"/>
          <w:b/>
          <w:bCs/>
          <w:color w:val="auto"/>
          <w:szCs w:val="21"/>
          <w:highlight w:val="none"/>
        </w:rPr>
      </w:pPr>
      <w:bookmarkStart w:id="48" w:name="_Toc532199627"/>
      <w:r>
        <w:rPr>
          <w:rFonts w:hint="eastAsia" w:ascii="宋体" w:hAnsi="宋体" w:eastAsia="宋体" w:cs="宋体"/>
          <w:b/>
          <w:bCs/>
          <w:color w:val="auto"/>
          <w:szCs w:val="21"/>
          <w:highlight w:val="none"/>
        </w:rPr>
        <w:t>九、技术培训</w:t>
      </w:r>
      <w:bookmarkEnd w:id="45"/>
      <w:bookmarkEnd w:id="46"/>
      <w:bookmarkEnd w:id="47"/>
      <w:bookmarkEnd w:id="48"/>
    </w:p>
    <w:p w14:paraId="0739681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1、为使合同设备能正常安装和运行，由中标人提供相应的技术培训，费用包含在投标报价内。</w:t>
      </w:r>
    </w:p>
    <w:p w14:paraId="77AF66C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2、培训的时间、人数、地点等具体内容由买卖双方商定，内容至少包括：设备原理、使用、维护、运行操作、常见故障处理等。</w:t>
      </w:r>
    </w:p>
    <w:p w14:paraId="1D387DB3">
      <w:pPr>
        <w:snapToGrid w:val="0"/>
        <w:spacing w:line="360" w:lineRule="auto"/>
        <w:ind w:firstLine="422" w:firstLineChars="200"/>
        <w:jc w:val="left"/>
        <w:rPr>
          <w:rFonts w:hint="eastAsia" w:ascii="宋体" w:hAnsi="宋体" w:eastAsia="宋体" w:cs="宋体"/>
          <w:b/>
          <w:bCs/>
          <w:color w:val="auto"/>
          <w:szCs w:val="21"/>
          <w:highlight w:val="none"/>
        </w:rPr>
      </w:pPr>
      <w:bookmarkStart w:id="49" w:name="_Toc532199628"/>
      <w:r>
        <w:rPr>
          <w:rFonts w:hint="eastAsia" w:ascii="宋体" w:hAnsi="宋体" w:eastAsia="宋体" w:cs="宋体"/>
          <w:b/>
          <w:bCs/>
          <w:color w:val="auto"/>
          <w:szCs w:val="21"/>
          <w:highlight w:val="none"/>
        </w:rPr>
        <w:t>十、质保及售后服务</w:t>
      </w:r>
    </w:p>
    <w:p w14:paraId="63B1E5E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质保期间内，非采购人过失和故意并且在正常使用的情况下发现商品有缺陷，中标人将无条件修理或替换该设备；在质保期间内，非采购人过失和故意并且在正常使用的情况下设备发生故障，中标人应及时提供无条件服务。</w:t>
      </w:r>
      <w:bookmarkEnd w:id="49"/>
    </w:p>
    <w:p w14:paraId="6145BC6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2、质保期内维修响应时间</w:t>
      </w:r>
      <w:r>
        <w:rPr>
          <w:rFonts w:ascii="宋体" w:hAnsi="宋体" w:eastAsia="宋体" w:cs="宋体"/>
          <w:color w:val="auto"/>
          <w:szCs w:val="21"/>
          <w:highlight w:val="none"/>
        </w:rPr>
        <w:t>2</w:t>
      </w:r>
      <w:r>
        <w:rPr>
          <w:rFonts w:hint="eastAsia" w:ascii="宋体" w:hAnsi="宋体" w:eastAsia="宋体" w:cs="宋体"/>
          <w:color w:val="auto"/>
          <w:szCs w:val="21"/>
          <w:highlight w:val="none"/>
        </w:rPr>
        <w:t>小时，若电话指导无法排除故障，中标人技术员应在48小时以内到达现场进行检查、维修，12小时内排除故障并出具维修维护报告（包括故障原因、处理情况等）供用户备案；质保期内无条件更换损坏的零部件。质保期满后，中标人应提供终身维修，软件无条件升级。</w:t>
      </w:r>
    </w:p>
    <w:p w14:paraId="13C453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C5548"/>
    <w:rsid w:val="437C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left="420" w:firstLine="420" w:firstLineChars="200"/>
    </w:pPr>
    <w:rPr>
      <w:rFonts w:ascii="Times New Roman" w:cs="Times New Roman"/>
    </w:rPr>
  </w:style>
  <w:style w:type="paragraph" w:customStyle="1" w:styleId="10">
    <w:name w:val="D&amp;L"/>
    <w:basedOn w:val="6"/>
    <w:qFormat/>
    <w:uiPriority w:val="0"/>
    <w:pPr>
      <w:pBdr>
        <w:bottom w:val="none" w:color="auto" w:sz="0" w:space="0"/>
      </w:pBdr>
      <w:snapToGrid/>
    </w:pPr>
    <w:rPr>
      <w:rFonts w:ascii="宋体" w:hAnsi="宋体" w:eastAsia="宋体"/>
      <w:bCs/>
      <w:sz w:val="24"/>
      <w:szCs w:val="20"/>
    </w:rPr>
  </w:style>
  <w:style w:type="paragraph" w:customStyle="1" w:styleId="11">
    <w:name w:val="xl31"/>
    <w:basedOn w:val="1"/>
    <w:qFormat/>
    <w:uiPriority w:val="0"/>
    <w:pPr>
      <w:adjustRightInd w:val="0"/>
      <w:snapToGrid w:val="0"/>
      <w:spacing w:line="300" w:lineRule="auto"/>
    </w:pPr>
    <w:rPr>
      <w:rFonts w:ascii="宋体" w:hAnsi="宋体" w:eastAsia="宋体"/>
      <w:bCs/>
      <w:color w:val="FF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2025-08-27T11:03:00Z</dcterms:created>
  <dc:creator>xmy</dc:creator>
  <cp:lastModifiedBy>xmy</cp:lastModifiedBy>
  <dcterms:modified xsi:type="dcterms:W3CDTF">2025-08-27T11:04:03Z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6090A728FADF41D5ADEEE6C7D1746106_11</vt:lpwstr>
  </property>
  <property fmtid="{D5CDD505-2E9C-101B-9397-08002B2CF9AE}" pid="4" name="KSOTemplateDocerSaveRecord">
    <vt:lpwstr>eyJoZGlkIjoiZWJjNjZmNTVkZTA2MzRiMTE5NTEwNzk1MzVhYWVkYTQiLCJ1c2VySWQiOiIzMjQ4MTEwODkifQ==</vt:lpwstr>
  </property>
</Properties>
</file>