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8A953">
      <w:pPr>
        <w:keepNext/>
        <w:keepLines/>
        <w:widowControl w:val="0"/>
        <w:shd w:val="clear"/>
        <w:spacing w:line="360" w:lineRule="auto"/>
        <w:jc w:val="center"/>
        <w:outlineLvl w:val="0"/>
        <w:rPr>
          <w:rFonts w:hint="eastAsia" w:ascii="方正小标宋_GBK" w:hAnsi="方正小标宋_GBK" w:eastAsia="华文中宋" w:cs="方正小标宋_GBK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华文中宋" w:cs="方正小标宋_GBK"/>
          <w:bCs/>
          <w:kern w:val="44"/>
          <w:sz w:val="44"/>
          <w:szCs w:val="44"/>
          <w:lang w:val="en-US" w:eastAsia="zh-CN" w:bidi="ar-SA"/>
        </w:rPr>
        <w:t>采购需求</w:t>
      </w:r>
    </w:p>
    <w:p w14:paraId="79AFE859">
      <w:pPr>
        <w:shd w:val="clear"/>
        <w:spacing w:line="360" w:lineRule="auto"/>
        <w:rPr>
          <w:rFonts w:hint="eastAsia" w:ascii="宋体" w:hAnsi="宋体" w:eastAsia="宋体" w:cs="@仿宋_GB2312"/>
          <w:b/>
          <w:kern w:val="2"/>
          <w:sz w:val="24"/>
          <w:szCs w:val="20"/>
        </w:rPr>
      </w:pPr>
      <w:r>
        <w:rPr>
          <w:rFonts w:hint="eastAsia" w:ascii="宋体" w:hAnsi="宋体" w:eastAsia="宋体" w:cs="@仿宋_GB2312"/>
          <w:b/>
          <w:kern w:val="2"/>
          <w:sz w:val="24"/>
          <w:szCs w:val="20"/>
        </w:rPr>
        <w:t>前注：</w:t>
      </w:r>
    </w:p>
    <w:p w14:paraId="67884BB3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18"/>
        </w:rPr>
      </w:pPr>
      <w:bookmarkStart w:id="0" w:name="_Hlk16461016"/>
      <w:r>
        <w:rPr>
          <w:rFonts w:hint="eastAsia" w:ascii="宋体" w:hAnsi="宋体" w:eastAsia="宋体" w:cs="宋体"/>
          <w:kern w:val="2"/>
          <w:sz w:val="24"/>
          <w:szCs w:val="20"/>
        </w:rPr>
        <w:t>1.</w:t>
      </w:r>
      <w:r>
        <w:rPr>
          <w:rFonts w:hint="eastAsia" w:ascii="宋体" w:hAnsi="宋体" w:eastAsia="宋体" w:cs="宋体"/>
          <w:kern w:val="2"/>
          <w:sz w:val="24"/>
          <w:szCs w:val="18"/>
        </w:rPr>
        <w:t>根据《关于规范政府采购进口产品有关工作的通知》及政府采购管理部门的相关规定，下列采购需求中标注进口产品的货物（科研仪器设备）均已履行相关论证手续，经核准采购进口产品，但不限制满足招标文件要求的国内产品参与竞争。未标注进口产品的货物均为拒绝采购进口产品。</w:t>
      </w:r>
    </w:p>
    <w:p w14:paraId="7D1FF811">
      <w:pPr>
        <w:shd w:val="clear"/>
        <w:spacing w:line="360" w:lineRule="auto"/>
        <w:ind w:firstLine="435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eastAsia" w:ascii="宋体" w:hAnsi="宋体" w:eastAsia="宋体" w:cs="宋体"/>
          <w:kern w:val="2"/>
          <w:sz w:val="24"/>
          <w:szCs w:val="18"/>
        </w:rPr>
        <w:t>2.下列采购需求中：</w:t>
      </w:r>
    </w:p>
    <w:p w14:paraId="67F335C8">
      <w:pPr>
        <w:shd w:val="clear"/>
        <w:spacing w:line="360" w:lineRule="auto"/>
        <w:ind w:firstLine="435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eastAsia" w:ascii="宋体" w:hAnsi="宋体" w:eastAsia="宋体" w:cs="宋体"/>
          <w:kern w:val="2"/>
          <w:sz w:val="24"/>
          <w:szCs w:val="18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050D2295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0FDE99A0">
      <w:pPr>
        <w:shd w:val="clear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eastAsia" w:ascii="宋体" w:hAnsi="宋体" w:eastAsia="宋体" w:cs="宋体"/>
          <w:kern w:val="2"/>
          <w:sz w:val="24"/>
          <w:szCs w:val="18"/>
        </w:rPr>
        <w:t>3.下列采购需求中：标注</w:t>
      </w:r>
      <w:r>
        <w:rPr>
          <w:rFonts w:hint="eastAsia" w:ascii="宋体" w:hAnsi="宋体" w:eastAsia="宋体" w:cs="宋体"/>
          <w:kern w:val="2"/>
          <w:sz w:val="24"/>
          <w:szCs w:val="24"/>
        </w:rPr>
        <w:t>▲</w:t>
      </w:r>
      <w:r>
        <w:rPr>
          <w:rFonts w:hint="eastAsia" w:ascii="宋体" w:hAnsi="宋体" w:eastAsia="宋体" w:cs="宋体"/>
          <w:kern w:val="2"/>
          <w:sz w:val="24"/>
          <w:szCs w:val="18"/>
        </w:rPr>
        <w:t>的产品（核心产品），投标人在投标文件《主要中标标的承诺函》中填写名称、品牌、规格、型号、数量、单价等信息。</w:t>
      </w:r>
    </w:p>
    <w:p w14:paraId="1A5A5B8C">
      <w:pPr>
        <w:keepNext/>
        <w:keepLines/>
        <w:widowControl w:val="0"/>
        <w:shd w:val="clear"/>
        <w:spacing w:before="240" w:line="360" w:lineRule="auto"/>
        <w:ind w:firstLine="0" w:firstLineChars="0"/>
        <w:jc w:val="left"/>
        <w:outlineLvl w:val="1"/>
        <w:rPr>
          <w:rFonts w:ascii="Arial" w:hAnsi="Arial" w:eastAsia="黑体" w:cs="Times New Roman"/>
          <w:bCs/>
          <w:kern w:val="0"/>
          <w:sz w:val="28"/>
          <w:szCs w:val="32"/>
          <w:lang w:val="en-US" w:eastAsia="zh-CN" w:bidi="ar-SA"/>
        </w:rPr>
      </w:pPr>
      <w:bookmarkStart w:id="1" w:name="_Toc1452677390"/>
      <w:bookmarkStart w:id="2" w:name="_Toc2025078090"/>
      <w:bookmarkStart w:id="3" w:name="_Toc337877615"/>
      <w:bookmarkStart w:id="4" w:name="_Toc1437377518_WPSOffice_Level2"/>
      <w:bookmarkStart w:id="5" w:name="_Toc292361325"/>
      <w:bookmarkStart w:id="6" w:name="_Toc1899401549"/>
      <w:bookmarkStart w:id="7" w:name="_Toc1064185329"/>
      <w:bookmarkStart w:id="8" w:name="_Toc382548620"/>
      <w:r>
        <w:rPr>
          <w:rFonts w:hint="eastAsia" w:ascii="Arial" w:hAnsi="Arial" w:eastAsia="黑体" w:cs="Times New Roman"/>
          <w:bCs/>
          <w:kern w:val="0"/>
          <w:sz w:val="28"/>
          <w:szCs w:val="32"/>
          <w:lang w:val="en-US" w:eastAsia="zh-CN" w:bidi="ar-SA"/>
        </w:rPr>
        <w:t>一、采购需求前附表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160"/>
        <w:gridCol w:w="6018"/>
      </w:tblGrid>
      <w:tr w14:paraId="47A5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  <w:jc w:val="center"/>
        </w:trPr>
        <w:tc>
          <w:tcPr>
            <w:tcW w:w="1042" w:type="dxa"/>
            <w:vAlign w:val="center"/>
          </w:tcPr>
          <w:p w14:paraId="5FFB0CF7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0"/>
              </w:rPr>
              <w:t>序号</w:t>
            </w:r>
          </w:p>
        </w:tc>
        <w:tc>
          <w:tcPr>
            <w:tcW w:w="2160" w:type="dxa"/>
            <w:vAlign w:val="center"/>
          </w:tcPr>
          <w:p w14:paraId="45E63C76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  <w:t>条款名称</w:t>
            </w:r>
          </w:p>
        </w:tc>
        <w:tc>
          <w:tcPr>
            <w:tcW w:w="6018" w:type="dxa"/>
            <w:vAlign w:val="center"/>
          </w:tcPr>
          <w:p w14:paraId="6F977B60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  <w:t>内容、说明与要求</w:t>
            </w:r>
          </w:p>
        </w:tc>
      </w:tr>
      <w:tr w14:paraId="2814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42" w:type="dxa"/>
            <w:vAlign w:val="center"/>
          </w:tcPr>
          <w:p w14:paraId="64D9143D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14:paraId="4D4CF9F7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  <w:t>付款方式</w:t>
            </w:r>
          </w:p>
        </w:tc>
        <w:tc>
          <w:tcPr>
            <w:tcW w:w="6018" w:type="dxa"/>
            <w:vAlign w:val="center"/>
          </w:tcPr>
          <w:p w14:paraId="3FB88645">
            <w:pPr>
              <w:shd w:val="clear"/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  <w:t>货到安装调试、培训并验收合格后一次性付清合同价款。</w:t>
            </w:r>
          </w:p>
        </w:tc>
      </w:tr>
      <w:tr w14:paraId="02F1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42" w:type="dxa"/>
            <w:vAlign w:val="center"/>
          </w:tcPr>
          <w:p w14:paraId="709E830E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14:paraId="3D4A9036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  <w:t>供货及安装地点</w:t>
            </w:r>
          </w:p>
        </w:tc>
        <w:tc>
          <w:tcPr>
            <w:tcW w:w="6018" w:type="dxa"/>
            <w:vAlign w:val="center"/>
          </w:tcPr>
          <w:p w14:paraId="384B1FD9">
            <w:pPr>
              <w:shd w:val="clear"/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  <w:t>阜阳师范大学，采购人指定地点。</w:t>
            </w:r>
          </w:p>
        </w:tc>
      </w:tr>
      <w:tr w14:paraId="10D5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42" w:type="dxa"/>
            <w:vAlign w:val="center"/>
          </w:tcPr>
          <w:p w14:paraId="18F669C6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14:paraId="41CD2D1D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  <w:t>供货及安装期限</w:t>
            </w:r>
          </w:p>
        </w:tc>
        <w:tc>
          <w:tcPr>
            <w:tcW w:w="6018" w:type="dxa"/>
            <w:vAlign w:val="center"/>
          </w:tcPr>
          <w:p w14:paraId="1DA46C66">
            <w:pPr>
              <w:shd w:val="clear"/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自合同生效之日起，1个月内完成供货、安装、调试、培训等所有工作内容。</w:t>
            </w:r>
          </w:p>
        </w:tc>
      </w:tr>
      <w:tr w14:paraId="1EBC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42" w:type="dxa"/>
            <w:vAlign w:val="center"/>
          </w:tcPr>
          <w:p w14:paraId="1CA9131A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14:paraId="0BE23A08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  <w:t>免费质保期</w:t>
            </w:r>
          </w:p>
        </w:tc>
        <w:tc>
          <w:tcPr>
            <w:tcW w:w="6018" w:type="dxa"/>
            <w:vAlign w:val="center"/>
          </w:tcPr>
          <w:p w14:paraId="1C925D4B">
            <w:pPr>
              <w:shd w:val="clear"/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  <w:t>自验收合格之日起不少于3年。货物需求清单另有规定的，以货物需求清单为准。</w:t>
            </w:r>
          </w:p>
        </w:tc>
      </w:tr>
    </w:tbl>
    <w:p w14:paraId="7AEB6DAC">
      <w:pPr>
        <w:shd w:val="clear"/>
        <w:rPr>
          <w:rFonts w:hint="default" w:ascii="Arial" w:hAnsi="Arial" w:eastAsia="黑体" w:cs="Times New Roman"/>
          <w:kern w:val="2"/>
          <w:szCs w:val="24"/>
        </w:rPr>
      </w:pPr>
      <w:bookmarkStart w:id="9" w:name="_Toc1693477008"/>
      <w:bookmarkStart w:id="10" w:name="_Toc717369146"/>
      <w:bookmarkStart w:id="11" w:name="_Toc302804901"/>
      <w:bookmarkStart w:id="12" w:name="_Toc1715351726"/>
      <w:bookmarkStart w:id="13" w:name="_Toc58935147"/>
      <w:bookmarkStart w:id="14" w:name="_Toc369119811"/>
      <w:bookmarkStart w:id="15" w:name="_Toc626387511"/>
      <w:bookmarkStart w:id="16" w:name="_Toc1191965283_WPSOffice_Level2"/>
      <w:r>
        <w:rPr>
          <w:rFonts w:hint="eastAsia" w:ascii="Arial" w:hAnsi="Arial" w:eastAsia="黑体" w:cs="Times New Roman"/>
          <w:kern w:val="2"/>
          <w:szCs w:val="24"/>
        </w:rPr>
        <w:br w:type="page"/>
      </w:r>
    </w:p>
    <w:p w14:paraId="09781570">
      <w:pPr>
        <w:keepNext/>
        <w:keepLines/>
        <w:widowControl w:val="0"/>
        <w:shd w:val="clear"/>
        <w:spacing w:before="240" w:line="360" w:lineRule="auto"/>
        <w:ind w:firstLine="0" w:firstLineChars="0"/>
        <w:jc w:val="left"/>
        <w:outlineLvl w:val="1"/>
        <w:rPr>
          <w:rFonts w:ascii="Arial" w:hAnsi="Arial" w:eastAsia="黑体" w:cs="Times New Roman"/>
          <w:bCs/>
          <w:kern w:val="0"/>
          <w:sz w:val="28"/>
          <w:szCs w:val="32"/>
          <w:lang w:val="en-US" w:eastAsia="zh-CN" w:bidi="ar-SA"/>
        </w:rPr>
      </w:pPr>
      <w:r>
        <w:rPr>
          <w:rFonts w:hint="eastAsia" w:ascii="Arial" w:hAnsi="Arial" w:eastAsia="黑体" w:cs="Times New Roman"/>
          <w:bCs/>
          <w:kern w:val="0"/>
          <w:sz w:val="28"/>
          <w:szCs w:val="32"/>
          <w:lang w:val="en-US" w:eastAsia="zh-CN" w:bidi="ar-SA"/>
        </w:rPr>
        <w:t>二、货物需求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D21EE31">
      <w:pPr>
        <w:shd w:val="clear"/>
        <w:spacing w:line="500" w:lineRule="exact"/>
        <w:ind w:firstLine="482" w:firstLineChars="200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（一）货物需求说明</w:t>
      </w:r>
    </w:p>
    <w:tbl>
      <w:tblPr>
        <w:tblStyle w:val="10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386"/>
        <w:gridCol w:w="5961"/>
      </w:tblGrid>
      <w:tr w14:paraId="0FED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</w:tcPr>
          <w:p w14:paraId="6366236D">
            <w:pPr>
              <w:shd w:val="clear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需求内容类别</w:t>
            </w:r>
          </w:p>
        </w:tc>
        <w:tc>
          <w:tcPr>
            <w:tcW w:w="1386" w:type="dxa"/>
          </w:tcPr>
          <w:p w14:paraId="0A91D24D">
            <w:pPr>
              <w:shd w:val="clear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标识符号</w:t>
            </w:r>
          </w:p>
        </w:tc>
        <w:tc>
          <w:tcPr>
            <w:tcW w:w="5961" w:type="dxa"/>
          </w:tcPr>
          <w:p w14:paraId="4D360611">
            <w:pPr>
              <w:shd w:val="clear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投标要求</w:t>
            </w:r>
          </w:p>
        </w:tc>
      </w:tr>
      <w:tr w14:paraId="27D4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98" w:type="dxa"/>
            <w:shd w:val="clear" w:color="auto" w:fill="auto"/>
            <w:vAlign w:val="center"/>
          </w:tcPr>
          <w:p w14:paraId="2A2F2A07">
            <w:pPr>
              <w:widowControl w:val="0"/>
              <w:shd w:val="clear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关键指标项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5357567">
            <w:pPr>
              <w:widowControl w:val="0"/>
              <w:shd w:val="clear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★</w:t>
            </w:r>
          </w:p>
        </w:tc>
        <w:tc>
          <w:tcPr>
            <w:tcW w:w="5961" w:type="dxa"/>
            <w:shd w:val="clear" w:color="auto" w:fill="auto"/>
            <w:vAlign w:val="center"/>
          </w:tcPr>
          <w:p w14:paraId="2417E479">
            <w:pPr>
              <w:widowControl w:val="0"/>
              <w:shd w:val="clear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负偏离或未响应的，投标无效</w:t>
            </w:r>
          </w:p>
        </w:tc>
      </w:tr>
      <w:tr w14:paraId="55DA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vAlign w:val="center"/>
          </w:tcPr>
          <w:p w14:paraId="557847FB">
            <w:pPr>
              <w:shd w:val="clear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重要指标项</w:t>
            </w:r>
          </w:p>
        </w:tc>
        <w:tc>
          <w:tcPr>
            <w:tcW w:w="1386" w:type="dxa"/>
            <w:vAlign w:val="center"/>
          </w:tcPr>
          <w:p w14:paraId="0C22E729">
            <w:pPr>
              <w:shd w:val="clear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●</w:t>
            </w:r>
          </w:p>
        </w:tc>
        <w:tc>
          <w:tcPr>
            <w:tcW w:w="5961" w:type="dxa"/>
            <w:vAlign w:val="center"/>
          </w:tcPr>
          <w:p w14:paraId="50DA0F29">
            <w:pPr>
              <w:widowControl w:val="0"/>
              <w:shd w:val="clear"/>
              <w:spacing w:line="500" w:lineRule="exact"/>
              <w:ind w:lef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标注“●”的技术参数及要求作为评分项，投标文件中需提供证明材料，证明材料包括产品技术白皮书、产品技术说明书、产品彩页（产品功能截图）、厂家（制造商）官网截图、第三方机构出具的带有CMA标识的检测报告，提供其中之一即可。未按以上要求提供证明材料的视为负偏离或未响应（为便于评审，建议投标人对证明材料中的关键参数进行标注）。详见“第四章评标方法和标准”中评分细则。</w:t>
            </w:r>
          </w:p>
        </w:tc>
      </w:tr>
      <w:tr w14:paraId="3476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5" w:type="dxa"/>
            <w:gridSpan w:val="3"/>
            <w:vAlign w:val="center"/>
          </w:tcPr>
          <w:p w14:paraId="543342AE">
            <w:pPr>
              <w:widowControl w:val="0"/>
              <w:shd w:val="clear"/>
              <w:spacing w:line="500" w:lineRule="exact"/>
              <w:ind w:lef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注：</w:t>
            </w:r>
          </w:p>
          <w:p w14:paraId="0C32DDB6">
            <w:pPr>
              <w:widowControl w:val="0"/>
              <w:shd w:val="clear"/>
              <w:spacing w:line="500" w:lineRule="exact"/>
              <w:ind w:left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1.如履约验收期间所投产品不满足招标文件要求及投标文件响应情况，采购人有权追究中标人的违约责任并上报政府采购监管部门，中标人承担由此产生的一切后果及责任。</w:t>
            </w:r>
          </w:p>
          <w:p w14:paraId="13E4E613">
            <w:pPr>
              <w:widowControl w:val="0"/>
              <w:shd w:val="clear"/>
              <w:spacing w:line="500" w:lineRule="exact"/>
              <w:ind w:left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2.如某项标识中包含多条技术参数或要求，则该项标识所含内容均需满足或优于招标文件要求，否则不予认可。</w:t>
            </w:r>
          </w:p>
        </w:tc>
      </w:tr>
    </w:tbl>
    <w:p w14:paraId="6C60771C">
      <w:pPr>
        <w:shd w:val="clear"/>
        <w:ind w:firstLine="482" w:firstLineChars="200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</w:p>
    <w:p w14:paraId="286EB59A">
      <w:pPr>
        <w:shd w:val="clear"/>
        <w:ind w:firstLine="482" w:firstLineChars="200"/>
        <w:rPr>
          <w:rFonts w:hint="eastAsia" w:ascii="@仿宋_GB2312" w:hAnsi="@仿宋_GB2312" w:eastAsia="@仿宋_GB2312" w:cs="@仿宋_GB2312"/>
          <w:kern w:val="2"/>
          <w:szCs w:val="20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（二）货物需求清单</w:t>
      </w:r>
    </w:p>
    <w:tbl>
      <w:tblPr>
        <w:tblStyle w:val="10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889"/>
        <w:gridCol w:w="5119"/>
        <w:gridCol w:w="851"/>
        <w:gridCol w:w="850"/>
        <w:gridCol w:w="850"/>
      </w:tblGrid>
      <w:tr w14:paraId="5E4A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5" w:type="dxa"/>
            <w:vAlign w:val="center"/>
          </w:tcPr>
          <w:p w14:paraId="7B259963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</w:rPr>
            </w:pPr>
            <w:bookmarkStart w:id="17" w:name="_Toc1061105159_WPSOffice_Level2"/>
            <w:bookmarkStart w:id="18" w:name="_Toc1101062245"/>
            <w:bookmarkStart w:id="19" w:name="_Toc902728931"/>
            <w:bookmarkStart w:id="20" w:name="_Toc49042126"/>
            <w:bookmarkStart w:id="21" w:name="_Toc1520309192"/>
            <w:bookmarkStart w:id="22" w:name="_Toc13384869"/>
            <w:bookmarkStart w:id="23" w:name="_Toc1900587714"/>
            <w:bookmarkStart w:id="24" w:name="_Toc1814319857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889" w:type="dxa"/>
            <w:vAlign w:val="center"/>
          </w:tcPr>
          <w:p w14:paraId="5EE6BAF3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货物名称</w:t>
            </w:r>
          </w:p>
        </w:tc>
        <w:tc>
          <w:tcPr>
            <w:tcW w:w="5119" w:type="dxa"/>
            <w:vAlign w:val="center"/>
          </w:tcPr>
          <w:p w14:paraId="4FDD8A9C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技术参数及要求</w:t>
            </w:r>
          </w:p>
        </w:tc>
        <w:tc>
          <w:tcPr>
            <w:tcW w:w="851" w:type="dxa"/>
            <w:vAlign w:val="center"/>
          </w:tcPr>
          <w:p w14:paraId="7F8D099D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14:paraId="3B0AD9F7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所属行业</w:t>
            </w:r>
          </w:p>
        </w:tc>
        <w:tc>
          <w:tcPr>
            <w:tcW w:w="850" w:type="dxa"/>
            <w:vAlign w:val="center"/>
          </w:tcPr>
          <w:p w14:paraId="325EE80A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备注（进口或强制节能）</w:t>
            </w:r>
          </w:p>
        </w:tc>
      </w:tr>
      <w:tr w14:paraId="4C9F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5" w:type="dxa"/>
            <w:vAlign w:val="center"/>
          </w:tcPr>
          <w:p w14:paraId="47A92B08">
            <w:pPr>
              <w:shd w:val="clear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889" w:type="dxa"/>
            <w:vAlign w:val="center"/>
          </w:tcPr>
          <w:p w14:paraId="2DF62C6C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▲超算GPU服务器</w:t>
            </w:r>
          </w:p>
        </w:tc>
        <w:tc>
          <w:tcPr>
            <w:tcW w:w="5119" w:type="dxa"/>
            <w:vAlign w:val="center"/>
          </w:tcPr>
          <w:p w14:paraId="0D3FCA5A">
            <w:pPr>
              <w:shd w:val="clear"/>
              <w:autoSpaceDE w:val="0"/>
              <w:autoSpaceDN w:val="0"/>
              <w:adjustRightInd w:val="0"/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一、技术要求</w:t>
            </w:r>
          </w:p>
          <w:p w14:paraId="5269C912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★1.CPU：双路CPU，单颗CPU基础主频≥2.6GHz，物理核心数≥44核心，L3缓存≥96MB。</w:t>
            </w:r>
          </w:p>
          <w:p w14:paraId="759BF734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★2.内存：≥DDR5 ECC RDIMM，单条容量≥64GB，总容量≥1024GB；频率：≥4800MHz。</w:t>
            </w:r>
          </w:p>
          <w:p w14:paraId="093195C6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★3.硬盘：支持U.2接口与协议：支持NVMe协议；配置2块磁盘，每块≥0.96TB或者单盘容量≥1.92TB；顺序读取速度≥7000MB/s，顺序写入速度≥5000MB/s。</w:t>
            </w:r>
          </w:p>
          <w:p w14:paraId="213A49BD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★4.算力卡：≥2块,晶体管数量≥540亿个,计算能力配置：FP32算力≥19.5TFLOPS，TF32算力≥156TFLOPS,每块显存≥80GB HBM2e，显存带宽：≥2039GB/s，支持稀疏性计算，支持PCIe接口。功耗：TDP≤300W。</w:t>
            </w:r>
          </w:p>
          <w:p w14:paraId="56005EFF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★5.电源：≥2个，每个≥2400W，需配置冗余电源。</w:t>
            </w:r>
          </w:p>
          <w:p w14:paraId="4E90A315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★6.主板：支持LGA4677接口的服务器主板，支持≥DDR5内存，插槽数量≥12个，最高频率≥4800MHz，提供≥4个PCIe 5.0 x16全速插槽，板载双口万兆网络控制器并提供固件更新服务。</w:t>
            </w:r>
          </w:p>
          <w:p w14:paraId="5CCB7955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●7.≥4U机架式机箱。</w:t>
            </w:r>
          </w:p>
          <w:p w14:paraId="7919DAB2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●8.算力卡扩展板，支持≥8张算力卡扩展，支持MCIO转PCIe 5.0 x16。</w:t>
            </w:r>
          </w:p>
          <w:p w14:paraId="102F5DC3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●9.网卡，提供双口连接，单端口速率≥40GbE，支持PCIe 4.0 x16或更高接口。</w:t>
            </w:r>
          </w:p>
          <w:p w14:paraId="46C55A26">
            <w:pPr>
              <w:shd w:val="clear"/>
              <w:autoSpaceDE w:val="0"/>
              <w:autoSpaceDN w:val="0"/>
              <w:adjustRightInd w:val="0"/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二、其他要求</w:t>
            </w:r>
          </w:p>
          <w:p w14:paraId="6F7D04A6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●1.支持并行计算及虚拟化技术。</w:t>
            </w:r>
          </w:p>
          <w:p w14:paraId="159C5540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●2.硬盘TBW，五年总写入量（TBW）≥1366 TB。</w:t>
            </w:r>
          </w:p>
        </w:tc>
        <w:tc>
          <w:tcPr>
            <w:tcW w:w="851" w:type="dxa"/>
            <w:vAlign w:val="center"/>
          </w:tcPr>
          <w:p w14:paraId="15AC2685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4台</w:t>
            </w:r>
          </w:p>
        </w:tc>
        <w:tc>
          <w:tcPr>
            <w:tcW w:w="850" w:type="dxa"/>
            <w:vAlign w:val="center"/>
          </w:tcPr>
          <w:p w14:paraId="72CB4A1C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工业</w:t>
            </w:r>
          </w:p>
        </w:tc>
        <w:tc>
          <w:tcPr>
            <w:tcW w:w="850" w:type="dxa"/>
            <w:vAlign w:val="center"/>
          </w:tcPr>
          <w:p w14:paraId="757C871E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 w14:paraId="7271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5" w:type="dxa"/>
            <w:vAlign w:val="center"/>
          </w:tcPr>
          <w:p w14:paraId="6CEC799D">
            <w:pPr>
              <w:shd w:val="clear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14:paraId="08E7C0AE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▲超算CPU服务器</w:t>
            </w:r>
          </w:p>
        </w:tc>
        <w:tc>
          <w:tcPr>
            <w:tcW w:w="5119" w:type="dxa"/>
            <w:vAlign w:val="center"/>
          </w:tcPr>
          <w:p w14:paraId="31E4F7E7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一、技术要求</w:t>
            </w:r>
          </w:p>
          <w:p w14:paraId="53557EF1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★1.双路CPU，采用≤5nm先进制程,单颗CPU基础主频≥2.7GHz，≥128核心，L3缓存≥512MB,需配置液冷CPU散热系统。</w:t>
            </w:r>
          </w:p>
          <w:p w14:paraId="7039C230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★2.主板，支持双路或者更多路服务器CPU，两颗CPU提供互通带宽（≥800 GB/s），支持≥DDR5内存，单颗CPU支持≥6TB内存，插槽数量≥24个。</w:t>
            </w:r>
          </w:p>
          <w:p w14:paraId="02131597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★3.内存：≥DDR5 ECC RDIMM，单条容量≥64GB，总容量≥1024GB；频率≥4800MHz。</w:t>
            </w:r>
          </w:p>
          <w:p w14:paraId="38E0C746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★4.硬盘：支持U.2接口与协议：支持NVMe协议；配置2块磁盘每块≥0.96TB或者单盘容量≥1.92TB；顺序读取速度≥7000MB/s，顺序写入速度≥5000MB/s。</w:t>
            </w:r>
          </w:p>
          <w:p w14:paraId="43E34B4D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★5.显卡：≥1块，采用≤5nm先进制程：支持FP4/FP8精度，AI算力≥3,352 TOPS：基础频率：≥2.01GHz，加速频率：≥2.41GHz：每块显存容量≥32 GB GDDR7x；支持PCIe 5.0 x16 接口。</w:t>
            </w:r>
          </w:p>
          <w:p w14:paraId="07E68BF7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★6.电源：≥2个2400W，配置需冗余电源。</w:t>
            </w:r>
          </w:p>
          <w:p w14:paraId="338514F1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●7.≥4U机架式机箱。</w:t>
            </w:r>
          </w:p>
          <w:p w14:paraId="3850A24B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●8.网卡，提供双口连接，支持单端口速率≥40GbE，支持PCIe 4.0 x16或更高接口。</w:t>
            </w:r>
          </w:p>
          <w:p w14:paraId="7133AD08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二、其他要求</w:t>
            </w:r>
          </w:p>
          <w:p w14:paraId="310DB2F2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●1.支持并行计算及虚拟化技术。</w:t>
            </w:r>
          </w:p>
          <w:p w14:paraId="32DE27F0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●2.硬盘TBW（总写入字节数）五年总写入量（TBW）≥1000TB。</w:t>
            </w:r>
          </w:p>
        </w:tc>
        <w:tc>
          <w:tcPr>
            <w:tcW w:w="851" w:type="dxa"/>
            <w:vAlign w:val="center"/>
          </w:tcPr>
          <w:p w14:paraId="3A56D231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4台</w:t>
            </w:r>
          </w:p>
        </w:tc>
        <w:tc>
          <w:tcPr>
            <w:tcW w:w="850" w:type="dxa"/>
            <w:vAlign w:val="center"/>
          </w:tcPr>
          <w:p w14:paraId="4E708DD3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工业</w:t>
            </w:r>
          </w:p>
        </w:tc>
        <w:tc>
          <w:tcPr>
            <w:tcW w:w="850" w:type="dxa"/>
            <w:vAlign w:val="center"/>
          </w:tcPr>
          <w:p w14:paraId="4F91BE44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 w14:paraId="2EAA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5" w:type="dxa"/>
            <w:vAlign w:val="center"/>
          </w:tcPr>
          <w:p w14:paraId="60DE668C">
            <w:pPr>
              <w:shd w:val="clear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89" w:type="dxa"/>
            <w:vAlign w:val="center"/>
          </w:tcPr>
          <w:p w14:paraId="7FB86CBA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存储服务器</w:t>
            </w:r>
          </w:p>
        </w:tc>
        <w:tc>
          <w:tcPr>
            <w:tcW w:w="5119" w:type="dxa"/>
            <w:vAlign w:val="center"/>
          </w:tcPr>
          <w:p w14:paraId="2963F6D6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●1.双路≤10nm工艺，核心数≥12核24线程，基础频率≥2.1GHz，三级缓存≥18MB。</w:t>
            </w:r>
          </w:p>
          <w:p w14:paraId="55B91C00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●2.内存：≥DDR4 ECC RDIMM，单条容量≥32GB。</w:t>
            </w:r>
          </w:p>
          <w:p w14:paraId="44368303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●3.系统盘：支持NVMe PCIe 4.0，单盘容量≥3.84TB。</w:t>
            </w:r>
          </w:p>
          <w:p w14:paraId="7585E6F8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★4.单盘规格：容量≥16TB，转速≥7200转/分钟，缓存≥256MB，SAS接口（≥12Gb/s），支持端到端数据保护及热插拔。总量要求：配置硬盘总容量≥128TB。</w:t>
            </w:r>
          </w:p>
        </w:tc>
        <w:tc>
          <w:tcPr>
            <w:tcW w:w="851" w:type="dxa"/>
            <w:vAlign w:val="center"/>
          </w:tcPr>
          <w:p w14:paraId="18DB450F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1台</w:t>
            </w:r>
          </w:p>
        </w:tc>
        <w:tc>
          <w:tcPr>
            <w:tcW w:w="850" w:type="dxa"/>
            <w:vAlign w:val="center"/>
          </w:tcPr>
          <w:p w14:paraId="3007DD4A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工业</w:t>
            </w:r>
          </w:p>
        </w:tc>
        <w:tc>
          <w:tcPr>
            <w:tcW w:w="850" w:type="dxa"/>
            <w:vAlign w:val="center"/>
          </w:tcPr>
          <w:p w14:paraId="3F42B04E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 w14:paraId="57C1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5" w:type="dxa"/>
            <w:vAlign w:val="center"/>
          </w:tcPr>
          <w:p w14:paraId="135BCB6F">
            <w:pPr>
              <w:shd w:val="clear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89" w:type="dxa"/>
            <w:vAlign w:val="center"/>
          </w:tcPr>
          <w:p w14:paraId="71608F73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管理服务器</w:t>
            </w:r>
          </w:p>
        </w:tc>
        <w:tc>
          <w:tcPr>
            <w:tcW w:w="5119" w:type="dxa"/>
            <w:vAlign w:val="center"/>
          </w:tcPr>
          <w:p w14:paraId="0E54578D">
            <w:pPr>
              <w:widowControl w:val="0"/>
              <w:shd w:val="clear"/>
              <w:spacing w:line="30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●1.CPU基础频率：≥2.9GHz,多线程负载下的稳定频率≥3.2GHz。</w:t>
            </w:r>
          </w:p>
          <w:p w14:paraId="7B42DBAF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●2.内存：RECC内存总容量≥256GB，内存频率≥4800MHz。</w:t>
            </w:r>
          </w:p>
          <w:p w14:paraId="6F3F486B">
            <w:pPr>
              <w:widowControl w:val="0"/>
              <w:shd w:val="clear"/>
              <w:spacing w:line="30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●3.硬盘：2.5英寸SATA III 接口，存储容量≥4TB，读取≥560MB/s，连续写入速度≥530MB/s。</w:t>
            </w:r>
          </w:p>
          <w:p w14:paraId="399B2A77">
            <w:pPr>
              <w:shd w:val="clear"/>
              <w:autoSpaceDE w:val="0"/>
              <w:autoSpaceDN w:val="0"/>
              <w:adjustRightInd w:val="0"/>
              <w:spacing w:line="30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●4.电源：配置≥2个≥2400W的冗余电源。</w:t>
            </w:r>
          </w:p>
          <w:p w14:paraId="7CE12715">
            <w:pPr>
              <w:shd w:val="clear"/>
              <w:autoSpaceDE w:val="0"/>
              <w:autoSpaceDN w:val="0"/>
              <w:adjustRightInd w:val="0"/>
              <w:spacing w:line="30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●5.网卡：万兆网卡，数量≥1个。</w:t>
            </w:r>
          </w:p>
          <w:p w14:paraId="3BEA4BCE">
            <w:pPr>
              <w:shd w:val="clear"/>
              <w:autoSpaceDE w:val="0"/>
              <w:autoSpaceDN w:val="0"/>
              <w:adjustRightInd w:val="0"/>
              <w:spacing w:line="30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●6.≥6个（×16）PCI-E 5.0、≥1个（×8）PCI-E 5.0全高业务插槽，板载双口千兆网卡，独立IPMI 2.0管理接口。</w:t>
            </w:r>
          </w:p>
          <w:p w14:paraId="5BD80D81">
            <w:pPr>
              <w:pStyle w:val="16"/>
              <w:shd w:val="clear"/>
              <w:spacing w:line="30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★7.配置≥1块显卡，≥3.7 PFLOPS，≥64GB显存，支持PCIe 5.0 x16接口。</w:t>
            </w:r>
          </w:p>
        </w:tc>
        <w:tc>
          <w:tcPr>
            <w:tcW w:w="851" w:type="dxa"/>
            <w:vAlign w:val="center"/>
          </w:tcPr>
          <w:p w14:paraId="6E820BDC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1台</w:t>
            </w:r>
          </w:p>
        </w:tc>
        <w:tc>
          <w:tcPr>
            <w:tcW w:w="850" w:type="dxa"/>
            <w:vAlign w:val="center"/>
          </w:tcPr>
          <w:p w14:paraId="580123F4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工业</w:t>
            </w:r>
          </w:p>
        </w:tc>
        <w:tc>
          <w:tcPr>
            <w:tcW w:w="850" w:type="dxa"/>
            <w:vAlign w:val="center"/>
          </w:tcPr>
          <w:p w14:paraId="2A1D7097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 w14:paraId="00D7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5" w:type="dxa"/>
            <w:vAlign w:val="center"/>
          </w:tcPr>
          <w:p w14:paraId="0367E300">
            <w:pPr>
              <w:shd w:val="clear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889" w:type="dxa"/>
            <w:vAlign w:val="center"/>
          </w:tcPr>
          <w:p w14:paraId="66B4AB30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网络设备</w:t>
            </w:r>
          </w:p>
        </w:tc>
        <w:tc>
          <w:tcPr>
            <w:tcW w:w="5119" w:type="dxa"/>
            <w:vAlign w:val="center"/>
          </w:tcPr>
          <w:p w14:paraId="1DC82428">
            <w:pPr>
              <w:shd w:val="clear"/>
              <w:autoSpaceDE w:val="0"/>
              <w:autoSpaceDN w:val="0"/>
              <w:adjustRightInd w:val="0"/>
              <w:spacing w:line="30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●1.≥24口万兆交换机及配套线缆；固化业务端口：≥24个10Gb SFP+万兆光口。整机包转发率≥330Mpps。</w:t>
            </w:r>
          </w:p>
        </w:tc>
        <w:tc>
          <w:tcPr>
            <w:tcW w:w="851" w:type="dxa"/>
            <w:vAlign w:val="center"/>
          </w:tcPr>
          <w:p w14:paraId="2A159110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1套</w:t>
            </w:r>
          </w:p>
        </w:tc>
        <w:tc>
          <w:tcPr>
            <w:tcW w:w="850" w:type="dxa"/>
            <w:vAlign w:val="center"/>
          </w:tcPr>
          <w:p w14:paraId="7A84A66A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工业</w:t>
            </w:r>
          </w:p>
        </w:tc>
        <w:tc>
          <w:tcPr>
            <w:tcW w:w="850" w:type="dxa"/>
            <w:vAlign w:val="center"/>
          </w:tcPr>
          <w:p w14:paraId="0BD09670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 w14:paraId="435E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5" w:type="dxa"/>
            <w:vAlign w:val="center"/>
          </w:tcPr>
          <w:p w14:paraId="03766958">
            <w:pPr>
              <w:shd w:val="clear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89" w:type="dxa"/>
            <w:vAlign w:val="center"/>
          </w:tcPr>
          <w:p w14:paraId="03B274B6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机柜</w:t>
            </w:r>
          </w:p>
        </w:tc>
        <w:tc>
          <w:tcPr>
            <w:tcW w:w="5119" w:type="dxa"/>
            <w:vAlign w:val="center"/>
          </w:tcPr>
          <w:p w14:paraId="4E09C21F">
            <w:pPr>
              <w:shd w:val="clear"/>
              <w:autoSpaceDE w:val="0"/>
              <w:autoSpaceDN w:val="0"/>
              <w:adjustRightInd w:val="0"/>
              <w:spacing w:line="30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★1.42U标准机柜。</w:t>
            </w:r>
          </w:p>
          <w:p w14:paraId="2734F4FE">
            <w:pPr>
              <w:shd w:val="clear"/>
              <w:autoSpaceDE w:val="0"/>
              <w:autoSpaceDN w:val="0"/>
              <w:adjustRightInd w:val="0"/>
              <w:spacing w:line="30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●2.材质：采用冷轧钢板，厚度≥1.2mm，静态负载≥500Kg。</w:t>
            </w:r>
          </w:p>
        </w:tc>
        <w:tc>
          <w:tcPr>
            <w:tcW w:w="851" w:type="dxa"/>
            <w:vAlign w:val="center"/>
          </w:tcPr>
          <w:p w14:paraId="075BE5C1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2台</w:t>
            </w:r>
          </w:p>
        </w:tc>
        <w:tc>
          <w:tcPr>
            <w:tcW w:w="850" w:type="dxa"/>
            <w:vAlign w:val="center"/>
          </w:tcPr>
          <w:p w14:paraId="3FF4D140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工业</w:t>
            </w:r>
          </w:p>
        </w:tc>
        <w:tc>
          <w:tcPr>
            <w:tcW w:w="850" w:type="dxa"/>
            <w:vAlign w:val="center"/>
          </w:tcPr>
          <w:p w14:paraId="10712DC4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 w14:paraId="24A4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5" w:type="dxa"/>
            <w:vAlign w:val="center"/>
          </w:tcPr>
          <w:p w14:paraId="499CB734">
            <w:pPr>
              <w:shd w:val="clear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889" w:type="dxa"/>
            <w:vAlign w:val="center"/>
          </w:tcPr>
          <w:p w14:paraId="225C0A1E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集群设备管理系统（含介质）</w:t>
            </w:r>
          </w:p>
        </w:tc>
        <w:tc>
          <w:tcPr>
            <w:tcW w:w="5119" w:type="dxa"/>
            <w:vAlign w:val="center"/>
          </w:tcPr>
          <w:p w14:paraId="7B0C84E6">
            <w:pPr>
              <w:shd w:val="clear"/>
              <w:spacing w:line="30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★1.集群设备管理系统（含介质）为正版软件。支持SNMP协议，支持与网管软件集成。</w:t>
            </w:r>
          </w:p>
          <w:p w14:paraId="566F67E6">
            <w:pPr>
              <w:shd w:val="clear"/>
              <w:spacing w:line="30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●2.支持集群管理与调度系统，支持MySQL、MariaDB等数据库的管理，支持创建、备份和恢复数据库。提供FTP服务器的管理功能，支持用户上传和下载文件。支持防火墙设置、SSL证书管理、日志查看等功能。</w:t>
            </w:r>
          </w:p>
        </w:tc>
        <w:tc>
          <w:tcPr>
            <w:tcW w:w="851" w:type="dxa"/>
            <w:vAlign w:val="center"/>
          </w:tcPr>
          <w:p w14:paraId="0296AB6F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1套</w:t>
            </w:r>
          </w:p>
        </w:tc>
        <w:tc>
          <w:tcPr>
            <w:tcW w:w="850" w:type="dxa"/>
            <w:vAlign w:val="center"/>
          </w:tcPr>
          <w:p w14:paraId="06AE78C0">
            <w:pPr>
              <w:shd w:val="clear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软件和信息技术服务业</w:t>
            </w:r>
          </w:p>
        </w:tc>
        <w:tc>
          <w:tcPr>
            <w:tcW w:w="850" w:type="dxa"/>
            <w:vAlign w:val="center"/>
          </w:tcPr>
          <w:p w14:paraId="5344C2F7">
            <w:pPr>
              <w:shd w:val="clear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bookmarkEnd w:id="0"/>
      <w:bookmarkEnd w:id="17"/>
      <w:bookmarkEnd w:id="18"/>
      <w:bookmarkEnd w:id="19"/>
      <w:bookmarkEnd w:id="20"/>
      <w:bookmarkEnd w:id="21"/>
      <w:bookmarkEnd w:id="22"/>
      <w:bookmarkEnd w:id="23"/>
      <w:bookmarkEnd w:id="24"/>
    </w:tbl>
    <w:p w14:paraId="3D1078D2">
      <w:pPr>
        <w:keepNext/>
        <w:keepLines/>
        <w:widowControl w:val="0"/>
        <w:shd w:val="clear"/>
        <w:spacing w:before="240" w:line="360" w:lineRule="auto"/>
        <w:ind w:firstLine="560" w:firstLineChars="200"/>
        <w:jc w:val="left"/>
        <w:outlineLvl w:val="1"/>
        <w:rPr>
          <w:rFonts w:ascii="Arial" w:hAnsi="Arial" w:eastAsia="黑体" w:cs="Times New Roman"/>
          <w:bCs/>
          <w:kern w:val="0"/>
          <w:sz w:val="28"/>
          <w:szCs w:val="32"/>
          <w:lang w:val="en-US" w:eastAsia="zh-CN" w:bidi="ar-SA"/>
        </w:rPr>
      </w:pPr>
      <w:r>
        <w:rPr>
          <w:rFonts w:hint="eastAsia" w:ascii="Arial" w:hAnsi="Arial" w:eastAsia="黑体" w:cs="Times New Roman"/>
          <w:bCs/>
          <w:kern w:val="0"/>
          <w:sz w:val="28"/>
          <w:szCs w:val="32"/>
          <w:lang w:val="en-US" w:eastAsia="zh-CN" w:bidi="ar-SA"/>
        </w:rPr>
        <w:t>五、报价要求</w:t>
      </w:r>
    </w:p>
    <w:p w14:paraId="022A28A5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eastAsia" w:ascii="宋体" w:hAnsi="宋体" w:eastAsia="宋体" w:cs="宋体"/>
          <w:kern w:val="2"/>
          <w:sz w:val="24"/>
          <w:szCs w:val="18"/>
        </w:rPr>
        <w:t>本项目报总价，投标报价</w:t>
      </w:r>
      <w:r>
        <w:rPr>
          <w:rFonts w:hint="default" w:ascii="宋体" w:hAnsi="宋体" w:eastAsia="宋体" w:cs="宋体"/>
          <w:kern w:val="2"/>
          <w:sz w:val="24"/>
          <w:szCs w:val="18"/>
        </w:rPr>
        <w:t>包括货物从设计、采购、制造、交货（包括运输至采购人指定地点卸车就位）至售后服务的一切费用、管理费、利润和税金，以及</w:t>
      </w:r>
      <w:r>
        <w:rPr>
          <w:rFonts w:hint="eastAsia" w:ascii="宋体" w:hAnsi="宋体" w:eastAsia="宋体" w:cs="宋体"/>
          <w:kern w:val="2"/>
          <w:sz w:val="24"/>
          <w:szCs w:val="18"/>
        </w:rPr>
        <w:t>采购</w:t>
      </w:r>
      <w:r>
        <w:rPr>
          <w:rFonts w:hint="default" w:ascii="宋体" w:hAnsi="宋体" w:eastAsia="宋体" w:cs="宋体"/>
          <w:kern w:val="2"/>
          <w:sz w:val="24"/>
          <w:szCs w:val="18"/>
        </w:rPr>
        <w:t>合同中明示或暗示的所有责任、义务和风险。</w:t>
      </w:r>
    </w:p>
    <w:p w14:paraId="09DB8914">
      <w:pPr>
        <w:keepNext/>
        <w:keepLines/>
        <w:widowControl w:val="0"/>
        <w:shd w:val="clear"/>
        <w:spacing w:before="240" w:line="360" w:lineRule="auto"/>
        <w:ind w:firstLine="560" w:firstLineChars="200"/>
        <w:jc w:val="left"/>
        <w:outlineLvl w:val="1"/>
        <w:rPr>
          <w:rFonts w:ascii="Arial" w:hAnsi="Arial" w:eastAsia="黑体" w:cs="Times New Roman"/>
          <w:bCs/>
          <w:kern w:val="0"/>
          <w:sz w:val="28"/>
          <w:szCs w:val="32"/>
          <w:lang w:val="en-US" w:eastAsia="zh-CN" w:bidi="ar-SA"/>
        </w:rPr>
      </w:pPr>
      <w:r>
        <w:rPr>
          <w:rFonts w:hint="eastAsia" w:ascii="Arial" w:hAnsi="Arial" w:eastAsia="黑体" w:cs="Times New Roman"/>
          <w:bCs/>
          <w:kern w:val="0"/>
          <w:sz w:val="28"/>
          <w:szCs w:val="32"/>
          <w:lang w:val="en-US" w:eastAsia="zh-CN" w:bidi="ar-SA"/>
        </w:rPr>
        <w:t>六</w:t>
      </w:r>
      <w:r>
        <w:rPr>
          <w:rFonts w:ascii="Arial" w:hAnsi="Arial" w:eastAsia="黑体" w:cs="Times New Roman"/>
          <w:bCs/>
          <w:kern w:val="0"/>
          <w:sz w:val="28"/>
          <w:szCs w:val="32"/>
          <w:lang w:val="en-US" w:eastAsia="zh-CN" w:bidi="ar-SA"/>
        </w:rPr>
        <w:t>、备品备件及专用工具</w:t>
      </w:r>
    </w:p>
    <w:p w14:paraId="38E6177C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bookmarkStart w:id="25" w:name="_Toc445554752"/>
      <w:bookmarkStart w:id="26" w:name="_Toc455587093"/>
      <w:bookmarkStart w:id="27" w:name="_Toc455587277"/>
      <w:r>
        <w:rPr>
          <w:rFonts w:hint="default" w:ascii="宋体" w:hAnsi="宋体" w:eastAsia="宋体" w:cs="宋体"/>
          <w:kern w:val="2"/>
          <w:sz w:val="24"/>
          <w:szCs w:val="18"/>
        </w:rPr>
        <w:t>1、备品备件：中标人提供能够满足质量保证期内的设备维修要求的备品备件，备品备件应是新品。</w:t>
      </w:r>
    </w:p>
    <w:p w14:paraId="61E9C760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default" w:ascii="宋体" w:hAnsi="宋体" w:eastAsia="宋体" w:cs="宋体"/>
          <w:kern w:val="2"/>
          <w:sz w:val="24"/>
          <w:szCs w:val="18"/>
        </w:rPr>
        <w:t>2、专用工具：中标人提供设备安装、调试、验收、维修、保养所必要的专用工具、仪器、仪表等工具。</w:t>
      </w:r>
      <w:bookmarkEnd w:id="25"/>
      <w:bookmarkEnd w:id="26"/>
      <w:bookmarkEnd w:id="27"/>
    </w:p>
    <w:p w14:paraId="74547A5B">
      <w:pPr>
        <w:keepNext/>
        <w:keepLines/>
        <w:widowControl w:val="0"/>
        <w:shd w:val="clear"/>
        <w:spacing w:before="240" w:line="360" w:lineRule="auto"/>
        <w:ind w:firstLine="560" w:firstLineChars="200"/>
        <w:jc w:val="left"/>
        <w:outlineLvl w:val="1"/>
        <w:rPr>
          <w:rFonts w:ascii="Arial" w:hAnsi="Arial" w:eastAsia="黑体" w:cs="Times New Roman"/>
          <w:bCs/>
          <w:kern w:val="0"/>
          <w:sz w:val="28"/>
          <w:szCs w:val="32"/>
          <w:lang w:val="en-US" w:eastAsia="zh-CN" w:bidi="ar-SA"/>
        </w:rPr>
      </w:pPr>
      <w:bookmarkStart w:id="28" w:name="_Toc532199625"/>
      <w:bookmarkStart w:id="29" w:name="_Toc445554753"/>
      <w:bookmarkStart w:id="30" w:name="_Toc455587278"/>
      <w:bookmarkStart w:id="31" w:name="_Toc455587094"/>
      <w:r>
        <w:rPr>
          <w:rFonts w:hint="eastAsia" w:ascii="Arial" w:hAnsi="Arial" w:eastAsia="黑体" w:cs="Times New Roman"/>
          <w:bCs/>
          <w:kern w:val="0"/>
          <w:sz w:val="28"/>
          <w:szCs w:val="32"/>
          <w:lang w:val="en-US" w:eastAsia="zh-CN" w:bidi="ar-SA"/>
        </w:rPr>
        <w:t>七</w:t>
      </w:r>
      <w:r>
        <w:rPr>
          <w:rFonts w:ascii="Arial" w:hAnsi="Arial" w:eastAsia="黑体" w:cs="Times New Roman"/>
          <w:bCs/>
          <w:kern w:val="0"/>
          <w:sz w:val="28"/>
          <w:szCs w:val="32"/>
          <w:lang w:val="en-US" w:eastAsia="zh-CN" w:bidi="ar-SA"/>
        </w:rPr>
        <w:t>、安装调试、验收试验及质量保证</w:t>
      </w:r>
      <w:bookmarkEnd w:id="28"/>
    </w:p>
    <w:p w14:paraId="4CB1B1EB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default" w:ascii="宋体" w:hAnsi="宋体" w:eastAsia="宋体" w:cs="宋体"/>
          <w:kern w:val="2"/>
          <w:sz w:val="24"/>
          <w:szCs w:val="18"/>
        </w:rPr>
        <w:t>1、</w:t>
      </w:r>
      <w:r>
        <w:rPr>
          <w:rFonts w:hint="eastAsia" w:ascii="宋体" w:hAnsi="宋体" w:eastAsia="宋体" w:cs="宋体"/>
          <w:kern w:val="2"/>
          <w:sz w:val="24"/>
          <w:szCs w:val="18"/>
        </w:rPr>
        <w:t>仪器到达后，</w:t>
      </w:r>
      <w:r>
        <w:rPr>
          <w:rFonts w:hint="default" w:ascii="宋体" w:hAnsi="宋体" w:eastAsia="宋体" w:cs="宋体"/>
          <w:kern w:val="2"/>
          <w:sz w:val="24"/>
          <w:szCs w:val="18"/>
        </w:rPr>
        <w:t>中标人</w:t>
      </w:r>
      <w:r>
        <w:rPr>
          <w:rFonts w:hint="eastAsia" w:ascii="宋体" w:hAnsi="宋体" w:eastAsia="宋体" w:cs="宋体"/>
          <w:kern w:val="2"/>
          <w:sz w:val="24"/>
          <w:szCs w:val="18"/>
        </w:rPr>
        <w:t>在接到通知后在规定时间内在</w:t>
      </w:r>
      <w:r>
        <w:rPr>
          <w:rFonts w:hint="default" w:ascii="宋体" w:hAnsi="宋体" w:eastAsia="宋体" w:cs="宋体"/>
          <w:kern w:val="2"/>
          <w:sz w:val="24"/>
          <w:szCs w:val="18"/>
        </w:rPr>
        <w:t>安装地点负责安装、调试。</w:t>
      </w:r>
    </w:p>
    <w:p w14:paraId="2FEAD2B6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default" w:ascii="宋体" w:hAnsi="宋体" w:eastAsia="宋体" w:cs="宋体"/>
          <w:kern w:val="2"/>
          <w:sz w:val="24"/>
          <w:szCs w:val="18"/>
        </w:rPr>
        <w:t>2、具体设备验收标准和程序按采购人要求执行。</w:t>
      </w:r>
    </w:p>
    <w:p w14:paraId="3FCDB5BF">
      <w:pPr>
        <w:keepNext/>
        <w:keepLines/>
        <w:widowControl w:val="0"/>
        <w:shd w:val="clear"/>
        <w:spacing w:before="240" w:line="360" w:lineRule="auto"/>
        <w:ind w:firstLine="560" w:firstLineChars="200"/>
        <w:jc w:val="left"/>
        <w:outlineLvl w:val="1"/>
        <w:rPr>
          <w:rFonts w:ascii="Arial" w:hAnsi="Arial" w:eastAsia="黑体" w:cs="Times New Roman"/>
          <w:bCs/>
          <w:kern w:val="0"/>
          <w:sz w:val="28"/>
          <w:szCs w:val="32"/>
          <w:lang w:val="en-US" w:eastAsia="zh-CN" w:bidi="ar-SA"/>
        </w:rPr>
      </w:pPr>
      <w:bookmarkStart w:id="32" w:name="_Toc532199626"/>
      <w:r>
        <w:rPr>
          <w:rFonts w:hint="eastAsia" w:ascii="Arial" w:hAnsi="Arial" w:eastAsia="黑体" w:cs="Times New Roman"/>
          <w:bCs/>
          <w:kern w:val="0"/>
          <w:sz w:val="28"/>
          <w:szCs w:val="32"/>
          <w:lang w:val="en-US" w:eastAsia="zh-CN" w:bidi="ar-SA"/>
        </w:rPr>
        <w:t>八</w:t>
      </w:r>
      <w:r>
        <w:rPr>
          <w:rFonts w:ascii="Arial" w:hAnsi="Arial" w:eastAsia="黑体" w:cs="Times New Roman"/>
          <w:bCs/>
          <w:kern w:val="0"/>
          <w:sz w:val="28"/>
          <w:szCs w:val="32"/>
          <w:lang w:val="en-US" w:eastAsia="zh-CN" w:bidi="ar-SA"/>
        </w:rPr>
        <w:t>、包装运输</w:t>
      </w:r>
      <w:bookmarkEnd w:id="29"/>
      <w:bookmarkEnd w:id="30"/>
      <w:bookmarkEnd w:id="31"/>
      <w:bookmarkEnd w:id="32"/>
    </w:p>
    <w:p w14:paraId="12F06D6F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bookmarkStart w:id="33" w:name="_Toc455587279"/>
      <w:bookmarkStart w:id="34" w:name="_Toc455587095"/>
      <w:bookmarkStart w:id="35" w:name="_Toc445554754"/>
      <w:r>
        <w:rPr>
          <w:rFonts w:hint="eastAsia" w:ascii="宋体" w:hAnsi="宋体" w:eastAsia="宋体" w:cs="宋体"/>
          <w:kern w:val="2"/>
          <w:sz w:val="24"/>
          <w:szCs w:val="18"/>
        </w:rPr>
        <w:t>1.中标人负责设备包装、办理运输和保险，将设备安全运抵交货地点。</w:t>
      </w:r>
    </w:p>
    <w:p w14:paraId="06789680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eastAsia" w:ascii="宋体" w:hAnsi="宋体" w:eastAsia="宋体" w:cs="宋体"/>
          <w:kern w:val="2"/>
          <w:sz w:val="24"/>
          <w:szCs w:val="18"/>
        </w:rPr>
        <w:t>2.设备制造完成并通过试验后应及时包装，否则应得到切实的保护，确保其不受污损。</w:t>
      </w:r>
    </w:p>
    <w:p w14:paraId="542F3681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eastAsia" w:ascii="宋体" w:hAnsi="宋体" w:eastAsia="宋体" w:cs="宋体"/>
          <w:kern w:val="2"/>
          <w:sz w:val="24"/>
          <w:szCs w:val="18"/>
        </w:rPr>
        <w:t>3.在包装箱外应标明采购人的订货号、发货号。</w:t>
      </w:r>
    </w:p>
    <w:p w14:paraId="5E0A8A95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eastAsia" w:ascii="宋体" w:hAnsi="宋体" w:eastAsia="宋体" w:cs="宋体"/>
          <w:kern w:val="2"/>
          <w:sz w:val="24"/>
          <w:szCs w:val="18"/>
        </w:rPr>
        <w:t>4.各种包装应能确保各零部件在运输过程中不致遭到损坏、丢失、变形、受潮和腐蚀。</w:t>
      </w:r>
    </w:p>
    <w:p w14:paraId="3AB08C84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eastAsia" w:ascii="宋体" w:hAnsi="宋体" w:eastAsia="宋体" w:cs="宋体"/>
          <w:kern w:val="2"/>
          <w:sz w:val="24"/>
          <w:szCs w:val="18"/>
        </w:rPr>
        <w:t>5.包装箱上应有明显的包装储运图示标志。</w:t>
      </w:r>
    </w:p>
    <w:p w14:paraId="03D0BAE2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eastAsia" w:ascii="宋体" w:hAnsi="宋体" w:eastAsia="宋体" w:cs="宋体"/>
          <w:kern w:val="2"/>
          <w:sz w:val="24"/>
          <w:szCs w:val="18"/>
        </w:rPr>
        <w:t>6.整体产品或分别运输的部件都要适应运输和装载的要求。</w:t>
      </w:r>
    </w:p>
    <w:p w14:paraId="1CCCB08B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eastAsia" w:ascii="宋体" w:hAnsi="宋体" w:eastAsia="宋体" w:cs="宋体"/>
          <w:kern w:val="2"/>
          <w:sz w:val="24"/>
          <w:szCs w:val="18"/>
        </w:rPr>
        <w:t>7.随产品提供的技术资料应完整无缺，每一个包装箱内应附一份详细的装箱单和质量合格证书。</w:t>
      </w:r>
      <w:bookmarkStart w:id="36" w:name="_Toc532199627"/>
    </w:p>
    <w:p w14:paraId="7C860626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eastAsia" w:ascii="宋体" w:hAnsi="宋体" w:eastAsia="宋体" w:cs="宋体"/>
          <w:kern w:val="2"/>
          <w:sz w:val="24"/>
          <w:szCs w:val="18"/>
        </w:rPr>
        <w:t>8.如因包装问题导致货物毁损或者品质下降，采购人有权要求换货、拒收部分或整批货物，由此造成的全部损失费用，均由中标人承担。</w:t>
      </w:r>
    </w:p>
    <w:p w14:paraId="47A56C9E">
      <w:pPr>
        <w:keepNext/>
        <w:keepLines/>
        <w:widowControl w:val="0"/>
        <w:shd w:val="clear"/>
        <w:spacing w:before="240" w:line="360" w:lineRule="auto"/>
        <w:ind w:firstLine="560" w:firstLineChars="200"/>
        <w:jc w:val="left"/>
        <w:outlineLvl w:val="1"/>
        <w:rPr>
          <w:rFonts w:ascii="Arial" w:hAnsi="Arial" w:eastAsia="黑体" w:cs="Times New Roman"/>
          <w:bCs/>
          <w:kern w:val="0"/>
          <w:sz w:val="28"/>
          <w:szCs w:val="32"/>
          <w:lang w:val="en-US" w:eastAsia="zh-CN" w:bidi="ar-SA"/>
        </w:rPr>
      </w:pPr>
      <w:r>
        <w:rPr>
          <w:rFonts w:hint="eastAsia" w:ascii="Arial" w:hAnsi="Arial" w:eastAsia="黑体" w:cs="Times New Roman"/>
          <w:bCs/>
          <w:kern w:val="0"/>
          <w:sz w:val="28"/>
          <w:szCs w:val="32"/>
          <w:lang w:val="en-US" w:eastAsia="zh-CN" w:bidi="ar-SA"/>
        </w:rPr>
        <w:t>九</w:t>
      </w:r>
      <w:r>
        <w:rPr>
          <w:rFonts w:ascii="Arial" w:hAnsi="Arial" w:eastAsia="黑体" w:cs="Times New Roman"/>
          <w:bCs/>
          <w:kern w:val="0"/>
          <w:sz w:val="28"/>
          <w:szCs w:val="32"/>
          <w:lang w:val="en-US" w:eastAsia="zh-CN" w:bidi="ar-SA"/>
        </w:rPr>
        <w:t>、技术培训</w:t>
      </w:r>
      <w:bookmarkEnd w:id="33"/>
      <w:bookmarkEnd w:id="34"/>
      <w:bookmarkEnd w:id="35"/>
      <w:bookmarkEnd w:id="36"/>
    </w:p>
    <w:p w14:paraId="6B2E04D5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bookmarkStart w:id="37" w:name="_Toc532199628"/>
      <w:r>
        <w:rPr>
          <w:rFonts w:hint="eastAsia" w:ascii="宋体" w:hAnsi="宋体" w:eastAsia="宋体" w:cs="宋体"/>
          <w:kern w:val="2"/>
          <w:sz w:val="24"/>
          <w:szCs w:val="18"/>
        </w:rPr>
        <w:t>1.为使合同设备能正常安装和运行，由中标人提供相应的技术培训，培训费用包含在投标报价内。</w:t>
      </w:r>
    </w:p>
    <w:p w14:paraId="593FF8EF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eastAsia" w:ascii="宋体" w:hAnsi="宋体" w:eastAsia="宋体" w:cs="宋体"/>
          <w:kern w:val="2"/>
          <w:sz w:val="24"/>
          <w:szCs w:val="18"/>
        </w:rPr>
        <w:t>2.培训的时间、人数、地点等具体内容由双方商定，内容至少包括：设备原理、使用、维护、运行操作、常见故障处理等。中标人在现场根据采购人要求提供设备安装服务，安装完毕后提供详细的中文技术文档，同时提供培训。培训内容包含但不限于对采购人的系统管理人员提供系统管理培训，对采购人的系统使用人员提供系统使用的培训，培训时间1-3天，采用会议式培训和上机演练相结合的方式，直至采购人的相关人员能掌握设备的使用、维护和管理等。</w:t>
      </w:r>
    </w:p>
    <w:p w14:paraId="5EB761D8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eastAsia" w:ascii="宋体" w:hAnsi="宋体" w:eastAsia="宋体" w:cs="宋体"/>
          <w:kern w:val="2"/>
          <w:sz w:val="24"/>
          <w:szCs w:val="18"/>
        </w:rPr>
        <w:t>4.货物需求里有特别规定的，以货物需求中的需求为准。</w:t>
      </w:r>
    </w:p>
    <w:p w14:paraId="0179CB3E">
      <w:pPr>
        <w:keepNext/>
        <w:keepLines/>
        <w:widowControl w:val="0"/>
        <w:shd w:val="clear"/>
        <w:spacing w:before="240" w:line="360" w:lineRule="auto"/>
        <w:ind w:firstLine="560" w:firstLineChars="200"/>
        <w:jc w:val="left"/>
        <w:outlineLvl w:val="1"/>
        <w:rPr>
          <w:rFonts w:ascii="Arial" w:hAnsi="Arial" w:eastAsia="黑体" w:cs="Times New Roman"/>
          <w:bCs/>
          <w:kern w:val="0"/>
          <w:sz w:val="28"/>
          <w:szCs w:val="32"/>
          <w:lang w:val="en-US" w:eastAsia="zh-CN" w:bidi="ar-SA"/>
        </w:rPr>
      </w:pPr>
      <w:r>
        <w:rPr>
          <w:rFonts w:hint="eastAsia" w:ascii="Arial" w:hAnsi="Arial" w:eastAsia="黑体" w:cs="Times New Roman"/>
          <w:bCs/>
          <w:kern w:val="0"/>
          <w:sz w:val="28"/>
          <w:szCs w:val="32"/>
          <w:lang w:val="en-US" w:eastAsia="zh-CN" w:bidi="ar-SA"/>
        </w:rPr>
        <w:t>十、质保及售后服务</w:t>
      </w:r>
    </w:p>
    <w:bookmarkEnd w:id="37"/>
    <w:p w14:paraId="63D62608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eastAsia" w:ascii="宋体" w:hAnsi="宋体" w:eastAsia="宋体" w:cs="宋体"/>
          <w:kern w:val="2"/>
          <w:sz w:val="24"/>
          <w:szCs w:val="18"/>
        </w:rPr>
        <w:t>1、自验收合格之日起进入免费质保期。</w:t>
      </w:r>
    </w:p>
    <w:p w14:paraId="6BF77915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eastAsia" w:ascii="宋体" w:hAnsi="宋体" w:eastAsia="宋体" w:cs="宋体"/>
          <w:kern w:val="2"/>
          <w:sz w:val="24"/>
          <w:szCs w:val="18"/>
        </w:rPr>
        <w:t>2、保修要求：在免费质保期内，出现产品质量问题，采购人提出后，中标人应在2小时内响应，24小时内到达现场提供相关的维修、更换等服务；48小时仍未排除故障、恢复正常运转的，由中标人提供同类型备品、备件等。</w:t>
      </w:r>
    </w:p>
    <w:p w14:paraId="6A486F30">
      <w:pPr>
        <w:shd w:val="clear"/>
        <w:spacing w:line="360" w:lineRule="auto"/>
        <w:ind w:firstLine="480"/>
        <w:jc w:val="left"/>
        <w:rPr>
          <w:rFonts w:hint="eastAsia" w:ascii="宋体" w:hAnsi="宋体" w:eastAsia="宋体" w:cs="宋体"/>
          <w:kern w:val="2"/>
          <w:sz w:val="24"/>
          <w:szCs w:val="18"/>
        </w:rPr>
      </w:pPr>
      <w:r>
        <w:rPr>
          <w:rFonts w:hint="eastAsia" w:ascii="宋体" w:hAnsi="宋体" w:eastAsia="宋体" w:cs="宋体"/>
          <w:kern w:val="2"/>
          <w:sz w:val="24"/>
          <w:szCs w:val="18"/>
        </w:rPr>
        <w:t>3、在质保期间内，非采购人过失和故意并且在正常使用的情况下发现商品有缺陷</w:t>
      </w:r>
      <w:r>
        <w:rPr>
          <w:rFonts w:hint="eastAsia" w:ascii="宋体" w:hAnsi="宋体" w:eastAsia="宋体" w:cs="宋体"/>
          <w:kern w:val="2"/>
          <w:sz w:val="24"/>
          <w:szCs w:val="18"/>
          <w:lang w:val="en-US" w:eastAsia="zh-CN"/>
        </w:rPr>
        <w:t>或</w:t>
      </w:r>
      <w:r>
        <w:rPr>
          <w:rFonts w:hint="eastAsia" w:ascii="宋体" w:hAnsi="宋体" w:eastAsia="宋体" w:cs="宋体"/>
          <w:kern w:val="2"/>
          <w:sz w:val="24"/>
          <w:szCs w:val="18"/>
        </w:rPr>
        <w:t>发生故障，中标人将无条件修理或替换该设备。</w:t>
      </w:r>
    </w:p>
    <w:p w14:paraId="29C7EB40">
      <w:pPr>
        <w:widowControl w:val="0"/>
        <w:shd w:val="clear"/>
        <w:ind w:left="0" w:firstLine="0" w:firstLineChars="0"/>
        <w:jc w:val="both"/>
        <w:rPr>
          <w:rFonts w:ascii="Times New Roman" w:hAnsi="Calibri" w:eastAsia="楷体_GB2312" w:cs="Times New Roman"/>
          <w:kern w:val="2"/>
          <w:sz w:val="32"/>
          <w:szCs w:val="20"/>
          <w:lang w:val="en-US" w:eastAsia="zh-CN" w:bidi="ar-SA"/>
        </w:rPr>
      </w:pPr>
    </w:p>
    <w:p w14:paraId="457DEE8D"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80DEC"/>
    <w:rsid w:val="0EE80DEC"/>
    <w:rsid w:val="183D39A2"/>
    <w:rsid w:val="5E0A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@仿宋_GB2312" w:hAnsi="@仿宋_GB2312" w:eastAsia="@仿宋_GB2312" w:cs="@仿宋_GB231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ascii="Times New Roman" w:hAnsi="Times New Roman" w:eastAsia="方正小标宋_GBK" w:cs="Times New Roman"/>
      <w:bCs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40" w:line="360" w:lineRule="auto"/>
      <w:ind w:firstLine="640"/>
      <w:jc w:val="left"/>
      <w:outlineLvl w:val="1"/>
    </w:pPr>
    <w:rPr>
      <w:rFonts w:ascii="Arial" w:hAnsi="Arial" w:eastAsia="方正黑体_GBK" w:cs="Times New Roman"/>
      <w:bCs/>
      <w:sz w:val="28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next w:val="5"/>
    <w:qFormat/>
    <w:uiPriority w:val="0"/>
    <w:pPr>
      <w:jc w:val="left"/>
    </w:pPr>
    <w:rPr>
      <w:rFonts w:ascii="Arial Unicode MS" w:hAnsi="Arial Unicode MS" w:eastAsia="宋体"/>
    </w:rPr>
  </w:style>
  <w:style w:type="paragraph" w:styleId="5">
    <w:name w:val="annotation subject"/>
    <w:next w:val="4"/>
    <w:qFormat/>
    <w:uiPriority w:val="0"/>
    <w:pPr>
      <w:widowControl w:val="0"/>
      <w:jc w:val="left"/>
    </w:pPr>
    <w:rPr>
      <w:rFonts w:ascii="@仿宋_GB2312" w:hAnsi="@仿宋_GB2312" w:eastAsia="仿宋" w:cs="@仿宋_GB2312"/>
      <w:b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next w:val="1"/>
    <w:unhideWhenUsed/>
    <w:qFormat/>
    <w:uiPriority w:val="99"/>
    <w:pPr>
      <w:ind w:firstLine="645"/>
    </w:pPr>
    <w:rPr>
      <w:rFonts w:ascii="楷体_GB2312" w:eastAsia="楷体_GB2312" w:cs="Times New Roman"/>
      <w:sz w:val="32"/>
    </w:rPr>
  </w:style>
  <w:style w:type="paragraph" w:styleId="7">
    <w:name w:val="envelope return"/>
    <w:basedOn w:val="1"/>
    <w:qFormat/>
    <w:uiPriority w:val="99"/>
    <w:rPr>
      <w:rFonts w:ascii="Arial" w:hAnsi="Arial" w:cs="Arial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cs="Times New Roman"/>
      <w:sz w:val="18"/>
      <w:szCs w:val="18"/>
    </w:rPr>
  </w:style>
  <w:style w:type="paragraph" w:styleId="9">
    <w:name w:val="Body Text First Indent 2"/>
    <w:basedOn w:val="6"/>
    <w:next w:val="1"/>
    <w:unhideWhenUsed/>
    <w:qFormat/>
    <w:uiPriority w:val="99"/>
    <w:pPr>
      <w:ind w:left="420" w:firstLine="420"/>
    </w:pPr>
    <w:rPr>
      <w:rFonts w:ascii="Times New Roman" w:cs="Times New Roman"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paragraph" w:customStyle="1" w:styleId="13">
    <w:name w:val="D&amp;L"/>
    <w:basedOn w:val="8"/>
    <w:qFormat/>
    <w:uiPriority w:val="0"/>
    <w:pPr>
      <w:pBdr>
        <w:bottom w:val="single" w:color="auto" w:sz="18" w:space="1"/>
      </w:pBdr>
      <w:spacing w:line="240" w:lineRule="atLeast"/>
    </w:pPr>
    <w:rPr>
      <w:sz w:val="24"/>
      <w:szCs w:val="20"/>
    </w:rPr>
  </w:style>
  <w:style w:type="paragraph" w:customStyle="1" w:styleId="14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15">
    <w:name w:val="List Paragraph"/>
    <w:basedOn w:val="1"/>
    <w:qFormat/>
    <w:uiPriority w:val="34"/>
    <w:pPr>
      <w:ind w:firstLine="420"/>
    </w:pPr>
    <w:rPr>
      <w:rFonts w:ascii="Times New Roman" w:hAnsi="Times New Roman" w:eastAsia="宋体" w:cs="Times New Roman"/>
      <w:szCs w:val="24"/>
    </w:rPr>
  </w:style>
  <w:style w:type="paragraph" w:customStyle="1" w:styleId="16">
    <w:name w:val="Char Char Char Char Char Char Char1 Char"/>
    <w:qFormat/>
    <w:uiPriority w:val="0"/>
    <w:pPr>
      <w:widowControl w:val="0"/>
      <w:jc w:val="both"/>
    </w:pPr>
    <w:rPr>
      <w:rFonts w:ascii="Arial" w:hAnsi="Arial" w:eastAsia="宋体" w:cs="Arial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16712</Words>
  <Characters>19305</Characters>
  <Lines>0</Lines>
  <Paragraphs>0</Paragraphs>
  <TotalTime>2</TotalTime>
  <ScaleCrop>false</ScaleCrop>
  <LinksUpToDate>false</LinksUpToDate>
  <CharactersWithSpaces>19347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2025-11-25T07:35:00Z</dcterms:created>
  <dc:creator>xmy</dc:creator>
  <cp:lastModifiedBy>xmy</cp:lastModifiedBy>
  <dcterms:modified xsi:type="dcterms:W3CDTF">2025-11-25T07:49:16Z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18FF0A16D451447E86F8EE8112966B58_11</vt:lpwstr>
  </property>
  <property fmtid="{D5CDD505-2E9C-101B-9397-08002B2CF9AE}" pid="4" name="KSOTemplateDocerSaveRecord">
    <vt:lpwstr>eyJoZGlkIjoiZjc4MDdiNDI1NzdiMmQ3M2FiNzNkZWYzMDcxMGZkNzYiLCJ1c2VySWQiOiIzMjQ4MTEwODkifQ==</vt:lpwstr>
  </property>
</Properties>
</file>