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09CDD">
      <w:pPr>
        <w:spacing w:line="360" w:lineRule="auto"/>
        <w:jc w:val="center"/>
        <w:outlineLvl w:val="0"/>
        <w:rPr>
          <w:rFonts w:hint="default" w:ascii="宋体" w:hAnsi="宋体" w:eastAsia="宋体" w:cs="Times New Roman"/>
          <w:b/>
          <w:bCs w:val="0"/>
          <w:kern w:val="0"/>
          <w:sz w:val="28"/>
        </w:rPr>
      </w:pPr>
      <w:r>
        <w:rPr>
          <w:rFonts w:hint="eastAsia" w:ascii="宋体" w:hAnsi="宋体" w:eastAsia="宋体" w:cs="Times New Roman"/>
          <w:b/>
          <w:bCs w:val="0"/>
          <w:kern w:val="0"/>
          <w:sz w:val="28"/>
        </w:rPr>
        <w:t>采购需求</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7F25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 w:type="dxa"/>
            <w:vAlign w:val="center"/>
          </w:tcPr>
          <w:p w14:paraId="086D0E01">
            <w:pPr>
              <w:spacing w:line="360" w:lineRule="auto"/>
              <w:jc w:val="center"/>
              <w:rPr>
                <w:rFonts w:hint="eastAsia" w:ascii="宋体" w:hAnsi="宋体" w:eastAsia="宋体" w:cs="宋体"/>
                <w:b/>
                <w:bCs w:val="0"/>
                <w:kern w:val="2"/>
                <w:sz w:val="24"/>
                <w:szCs w:val="22"/>
              </w:rPr>
            </w:pPr>
            <w:r>
              <w:rPr>
                <w:rFonts w:hint="eastAsia" w:ascii="宋体" w:hAnsi="宋体" w:eastAsia="宋体" w:cs="宋体"/>
                <w:b/>
                <w:bCs w:val="0"/>
                <w:kern w:val="2"/>
                <w:sz w:val="24"/>
                <w:szCs w:val="22"/>
              </w:rPr>
              <w:t>序号</w:t>
            </w:r>
          </w:p>
        </w:tc>
        <w:tc>
          <w:tcPr>
            <w:tcW w:w="1277" w:type="dxa"/>
            <w:vAlign w:val="center"/>
          </w:tcPr>
          <w:p w14:paraId="3629BE09">
            <w:pPr>
              <w:spacing w:line="360" w:lineRule="auto"/>
              <w:ind w:firstLine="435"/>
              <w:jc w:val="center"/>
              <w:rPr>
                <w:rFonts w:hint="eastAsia" w:ascii="宋体" w:hAnsi="宋体" w:eastAsia="宋体" w:cs="宋体"/>
                <w:b/>
                <w:bCs w:val="0"/>
                <w:kern w:val="2"/>
                <w:sz w:val="24"/>
                <w:szCs w:val="22"/>
              </w:rPr>
            </w:pPr>
            <w:r>
              <w:rPr>
                <w:rFonts w:hint="eastAsia" w:ascii="宋体" w:hAnsi="宋体" w:eastAsia="宋体" w:cs="宋体"/>
                <w:b/>
                <w:bCs w:val="0"/>
                <w:kern w:val="2"/>
                <w:sz w:val="24"/>
                <w:szCs w:val="22"/>
              </w:rPr>
              <w:t>内容</w:t>
            </w:r>
          </w:p>
        </w:tc>
        <w:tc>
          <w:tcPr>
            <w:tcW w:w="6287" w:type="dxa"/>
            <w:vAlign w:val="center"/>
          </w:tcPr>
          <w:p w14:paraId="50663081">
            <w:pPr>
              <w:spacing w:line="360" w:lineRule="auto"/>
              <w:ind w:firstLine="435"/>
              <w:jc w:val="center"/>
              <w:rPr>
                <w:rFonts w:hint="eastAsia" w:ascii="宋体" w:hAnsi="宋体" w:eastAsia="宋体" w:cs="宋体"/>
                <w:b/>
                <w:bCs w:val="0"/>
                <w:kern w:val="2"/>
                <w:sz w:val="24"/>
                <w:szCs w:val="22"/>
              </w:rPr>
            </w:pPr>
            <w:r>
              <w:rPr>
                <w:rFonts w:hint="eastAsia" w:ascii="宋体" w:hAnsi="宋体" w:eastAsia="宋体" w:cs="宋体"/>
                <w:b/>
                <w:bCs w:val="0"/>
                <w:kern w:val="2"/>
                <w:sz w:val="24"/>
                <w:szCs w:val="22"/>
              </w:rPr>
              <w:t>说明和要求</w:t>
            </w:r>
          </w:p>
        </w:tc>
      </w:tr>
      <w:tr w14:paraId="3401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2CA013A">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1</w:t>
            </w:r>
          </w:p>
        </w:tc>
        <w:tc>
          <w:tcPr>
            <w:tcW w:w="1277" w:type="dxa"/>
            <w:vAlign w:val="center"/>
          </w:tcPr>
          <w:p w14:paraId="080F84E1">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人员到岗及履约要求</w:t>
            </w:r>
          </w:p>
        </w:tc>
        <w:tc>
          <w:tcPr>
            <w:tcW w:w="6287" w:type="dxa"/>
            <w:vAlign w:val="center"/>
          </w:tcPr>
          <w:p w14:paraId="2C5A7475">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3E1A65C3">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9FB3DD2">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2507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F84BDBB">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2</w:t>
            </w:r>
          </w:p>
        </w:tc>
        <w:tc>
          <w:tcPr>
            <w:tcW w:w="1277" w:type="dxa"/>
            <w:vAlign w:val="center"/>
          </w:tcPr>
          <w:p w14:paraId="0CE13388">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材料要求</w:t>
            </w:r>
          </w:p>
        </w:tc>
        <w:tc>
          <w:tcPr>
            <w:tcW w:w="6287" w:type="dxa"/>
            <w:vAlign w:val="center"/>
          </w:tcPr>
          <w:p w14:paraId="659FB24F">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4F21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8089D69">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3</w:t>
            </w:r>
          </w:p>
        </w:tc>
        <w:tc>
          <w:tcPr>
            <w:tcW w:w="1277" w:type="dxa"/>
            <w:vAlign w:val="center"/>
          </w:tcPr>
          <w:p w14:paraId="23C58015">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工程施工重点难点</w:t>
            </w:r>
          </w:p>
        </w:tc>
        <w:tc>
          <w:tcPr>
            <w:tcW w:w="6287" w:type="dxa"/>
            <w:vAlign w:val="center"/>
          </w:tcPr>
          <w:p w14:paraId="493FF27E">
            <w:pPr>
              <w:spacing w:line="360" w:lineRule="auto"/>
              <w:rPr>
                <w:rFonts w:hint="eastAsia" w:ascii="宋体" w:hAnsi="宋体" w:eastAsia="宋体" w:cs="宋体"/>
                <w:b w:val="0"/>
                <w:bCs w:val="0"/>
                <w:kern w:val="2"/>
                <w:sz w:val="24"/>
                <w:szCs w:val="22"/>
                <w:lang w:eastAsia="zh-CN"/>
              </w:rPr>
            </w:pPr>
            <w:r>
              <w:rPr>
                <w:rFonts w:hint="eastAsia" w:ascii="宋体" w:hAnsi="宋体" w:eastAsia="宋体" w:cs="宋体"/>
                <w:b w:val="0"/>
                <w:bCs w:val="0"/>
                <w:kern w:val="2"/>
                <w:sz w:val="24"/>
                <w:szCs w:val="22"/>
                <w:lang w:eastAsia="zh-CN"/>
              </w:rPr>
              <w:t>（1）施工期间不得影响办公楼正常办公和小区住户休息，严禁在办公时间、夜间开展高噪音作业。</w:t>
            </w:r>
          </w:p>
          <w:p w14:paraId="65C76A08">
            <w:pPr>
              <w:spacing w:line="360" w:lineRule="auto"/>
              <w:rPr>
                <w:rFonts w:hint="eastAsia" w:ascii="宋体" w:hAnsi="宋体" w:eastAsia="宋体" w:cs="宋体"/>
                <w:b w:val="0"/>
                <w:bCs w:val="0"/>
                <w:kern w:val="2"/>
                <w:sz w:val="24"/>
                <w:szCs w:val="22"/>
                <w:lang w:eastAsia="zh-CN"/>
              </w:rPr>
            </w:pPr>
            <w:r>
              <w:rPr>
                <w:rFonts w:hint="eastAsia" w:ascii="宋体" w:hAnsi="宋体" w:eastAsia="宋体" w:cs="宋体"/>
                <w:b w:val="0"/>
                <w:bCs w:val="0"/>
                <w:kern w:val="2"/>
                <w:sz w:val="24"/>
                <w:szCs w:val="22"/>
                <w:lang w:eastAsia="zh-CN"/>
              </w:rPr>
              <w:t>（2）办公区、生活区内强电、弱电、消防、给排水、智能化系统密集，管线走向复杂，拆改风险高，极易误断线路及管道，维修前需全面排查管线，制定合理方案，专人现场监护，严禁盲目施工。</w:t>
            </w:r>
          </w:p>
          <w:p w14:paraId="552C11AA">
            <w:pPr>
              <w:spacing w:line="360" w:lineRule="auto"/>
              <w:rPr>
                <w:rFonts w:hint="eastAsia" w:ascii="宋体" w:hAnsi="宋体" w:eastAsia="宋体" w:cs="宋体"/>
                <w:b w:val="0"/>
                <w:bCs w:val="0"/>
                <w:kern w:val="2"/>
                <w:sz w:val="24"/>
                <w:szCs w:val="22"/>
                <w:lang w:eastAsia="zh-CN"/>
              </w:rPr>
            </w:pPr>
            <w:r>
              <w:rPr>
                <w:rFonts w:hint="eastAsia" w:ascii="宋体" w:hAnsi="宋体" w:eastAsia="宋体" w:cs="宋体"/>
                <w:b w:val="0"/>
                <w:bCs w:val="0"/>
                <w:kern w:val="2"/>
                <w:sz w:val="24"/>
                <w:szCs w:val="22"/>
                <w:lang w:eastAsia="zh-CN"/>
              </w:rPr>
              <w:t>（3）办公区、生活区对施工噪音、粉尘、卫生等要求严格；材料运输、垃圾清运需避开高峰时段、密闭处理；现场设置规范围挡，采取降尘降噪措施，保持环境整洁，做好现场管理组织协调。</w:t>
            </w:r>
          </w:p>
        </w:tc>
      </w:tr>
      <w:tr w14:paraId="661F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443656C">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4</w:t>
            </w:r>
          </w:p>
        </w:tc>
        <w:tc>
          <w:tcPr>
            <w:tcW w:w="1277" w:type="dxa"/>
            <w:vAlign w:val="center"/>
          </w:tcPr>
          <w:p w14:paraId="53064D2C">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报价须知</w:t>
            </w:r>
          </w:p>
        </w:tc>
        <w:tc>
          <w:tcPr>
            <w:tcW w:w="6287" w:type="dxa"/>
            <w:vAlign w:val="center"/>
          </w:tcPr>
          <w:p w14:paraId="47816CB7">
            <w:pPr>
              <w:spacing w:line="360" w:lineRule="auto"/>
              <w:rPr>
                <w:rFonts w:hint="eastAsia" w:ascii="宋体" w:hAnsi="宋体" w:eastAsia="宋体" w:cs="宋体"/>
                <w:b w:val="0"/>
                <w:bCs w:val="0"/>
                <w:kern w:val="2"/>
                <w:sz w:val="21"/>
                <w:szCs w:val="22"/>
              </w:rPr>
            </w:pPr>
            <w:r>
              <w:rPr>
                <w:rFonts w:hint="eastAsia" w:ascii="宋体" w:hAnsi="宋体" w:eastAsia="宋体" w:cs="宋体"/>
                <w:b w:val="0"/>
                <w:bCs w:val="0"/>
                <w:kern w:val="2"/>
                <w:sz w:val="24"/>
                <w:szCs w:val="22"/>
              </w:rPr>
              <w:t>供应商最后报价均不得高于磋商文件（公告）列明的项目预算、最高限价，否则其响应文件将被认定为响应无效。</w:t>
            </w:r>
          </w:p>
        </w:tc>
      </w:tr>
      <w:tr w14:paraId="74BD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B496F96">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5</w:t>
            </w:r>
          </w:p>
        </w:tc>
        <w:tc>
          <w:tcPr>
            <w:tcW w:w="1277" w:type="dxa"/>
            <w:vAlign w:val="center"/>
          </w:tcPr>
          <w:p w14:paraId="50CC7220">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重要说明</w:t>
            </w:r>
          </w:p>
        </w:tc>
        <w:tc>
          <w:tcPr>
            <w:tcW w:w="6287" w:type="dxa"/>
            <w:vAlign w:val="center"/>
          </w:tcPr>
          <w:p w14:paraId="78528B7C">
            <w:pPr>
              <w:spacing w:line="360" w:lineRule="auto"/>
              <w:rPr>
                <w:rFonts w:hint="eastAsia" w:ascii="宋体" w:hAnsi="宋体" w:eastAsia="宋体" w:cs="宋体"/>
                <w:b w:val="0"/>
                <w:bCs w:val="0"/>
                <w:kern w:val="2"/>
                <w:sz w:val="24"/>
                <w:szCs w:val="18"/>
              </w:rPr>
            </w:pPr>
            <w:bookmarkStart w:id="0" w:name="OLE_LINK3"/>
            <w:r>
              <w:rPr>
                <w:rFonts w:hint="eastAsia" w:ascii="宋体" w:hAnsi="宋体" w:eastAsia="宋体" w:cs="宋体"/>
                <w:b w:val="0"/>
                <w:bCs w:val="0"/>
                <w:kern w:val="2"/>
                <w:sz w:val="24"/>
                <w:szCs w:val="24"/>
              </w:rPr>
              <w:t>政府采购政策（包括但不限于下列具体政策要求）</w:t>
            </w:r>
            <w:r>
              <w:rPr>
                <w:rFonts w:hint="eastAsia" w:ascii="宋体" w:hAnsi="宋体" w:eastAsia="宋体" w:cs="宋体"/>
                <w:b w:val="0"/>
                <w:bCs w:val="0"/>
                <w:kern w:val="2"/>
                <w:sz w:val="24"/>
                <w:szCs w:val="18"/>
              </w:rPr>
              <w:t>：</w:t>
            </w:r>
          </w:p>
          <w:p w14:paraId="159D71C5">
            <w:pPr>
              <w:spacing w:line="360" w:lineRule="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7108B636">
            <w:pPr>
              <w:spacing w:line="360" w:lineRule="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4C13AEA">
            <w:pPr>
              <w:spacing w:line="360" w:lineRule="auto"/>
              <w:rPr>
                <w:rFonts w:hint="eastAsia" w:ascii="宋体" w:hAnsi="宋体" w:eastAsia="宋体" w:cs="宋体"/>
                <w:b w:val="0"/>
                <w:bCs w:val="0"/>
                <w:kern w:val="2"/>
                <w:sz w:val="24"/>
                <w:szCs w:val="22"/>
                <w:lang w:val="en-US" w:eastAsia="zh-CN"/>
              </w:rPr>
            </w:pPr>
            <w:bookmarkStart w:id="1" w:name="OLE_LINK5"/>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2"/>
                <w:lang w:val="en-US"/>
              </w:rPr>
              <w:t>根据《关于进一步做好政府采购支持绿色建材促进建筑品质提升相关工作的通知》（</w:t>
            </w:r>
            <w:r>
              <w:rPr>
                <w:rFonts w:hint="eastAsia" w:ascii="宋体" w:hAnsi="宋体" w:eastAsia="宋体" w:cs="宋体"/>
                <w:b w:val="0"/>
                <w:bCs w:val="0"/>
                <w:kern w:val="2"/>
                <w:sz w:val="24"/>
                <w:szCs w:val="22"/>
              </w:rPr>
              <w:t>合财购〔2025〕167号</w:t>
            </w:r>
            <w:r>
              <w:rPr>
                <w:rFonts w:hint="eastAsia" w:ascii="宋体" w:hAnsi="宋体" w:eastAsia="宋体" w:cs="宋体"/>
                <w:b w:val="0"/>
                <w:bCs w:val="0"/>
                <w:kern w:val="2"/>
                <w:sz w:val="24"/>
                <w:szCs w:val="22"/>
                <w:lang w:val="en-US"/>
              </w:rPr>
              <w:t>）、《</w:t>
            </w:r>
            <w:r>
              <w:rPr>
                <w:rFonts w:hint="eastAsia" w:ascii="宋体" w:hAnsi="宋体" w:eastAsia="宋体" w:cs="宋体"/>
                <w:b w:val="0"/>
                <w:bCs w:val="0"/>
                <w:kern w:val="2"/>
                <w:sz w:val="24"/>
                <w:szCs w:val="22"/>
              </w:rPr>
              <w:t>合肥市政府采购支持绿色建材促进建筑品质提升试点实施方案</w:t>
            </w:r>
            <w:r>
              <w:rPr>
                <w:rFonts w:hint="eastAsia" w:ascii="宋体" w:hAnsi="宋体" w:eastAsia="宋体" w:cs="宋体"/>
                <w:b w:val="0"/>
                <w:bCs w:val="0"/>
                <w:kern w:val="2"/>
                <w:sz w:val="24"/>
                <w:szCs w:val="22"/>
                <w:lang w:val="en-US"/>
              </w:rPr>
              <w:t>》，属于实施范围内的政府采购工程项目，</w:t>
            </w:r>
            <w:r>
              <w:rPr>
                <w:rFonts w:hint="eastAsia" w:ascii="宋体" w:hAnsi="宋体" w:eastAsia="宋体" w:cs="宋体"/>
                <w:b w:val="0"/>
                <w:bCs w:val="0"/>
                <w:kern w:val="2"/>
                <w:sz w:val="24"/>
                <w:szCs w:val="22"/>
              </w:rPr>
              <w:t>应</w:t>
            </w:r>
            <w:r>
              <w:rPr>
                <w:rFonts w:hint="eastAsia" w:ascii="宋体" w:hAnsi="宋体" w:eastAsia="宋体" w:cs="宋体"/>
                <w:b w:val="0"/>
                <w:bCs w:val="0"/>
                <w:kern w:val="2"/>
                <w:sz w:val="24"/>
                <w:szCs w:val="22"/>
                <w:lang w:val="en-US"/>
              </w:rPr>
              <w:t>按照</w:t>
            </w:r>
            <w:r>
              <w:rPr>
                <w:rFonts w:hint="eastAsia" w:ascii="宋体" w:hAnsi="宋体" w:eastAsia="宋体" w:cs="宋体"/>
                <w:b w:val="0"/>
                <w:bCs w:val="0"/>
                <w:kern w:val="2"/>
                <w:sz w:val="24"/>
                <w:szCs w:val="22"/>
              </w:rPr>
              <w:t>财政部、住建部、工信部联合印发的《绿色建筑和绿色建材政府采购需求标准》</w:t>
            </w:r>
            <w:r>
              <w:rPr>
                <w:rFonts w:hint="eastAsia" w:ascii="宋体" w:hAnsi="宋体" w:eastAsia="宋体" w:cs="宋体"/>
                <w:b w:val="0"/>
                <w:bCs w:val="0"/>
                <w:kern w:val="2"/>
                <w:sz w:val="24"/>
                <w:szCs w:val="22"/>
                <w:lang w:val="en-US"/>
              </w:rPr>
              <w:t>和</w:t>
            </w:r>
            <w:r>
              <w:rPr>
                <w:rFonts w:hint="eastAsia" w:ascii="宋体" w:hAnsi="宋体" w:eastAsia="宋体" w:cs="宋体"/>
                <w:b w:val="0"/>
                <w:bCs w:val="0"/>
                <w:kern w:val="2"/>
                <w:sz w:val="24"/>
                <w:szCs w:val="22"/>
              </w:rPr>
              <w:t>《政府采购支持绿色建材促进建筑品质提升政策项目实施指南》</w:t>
            </w:r>
            <w:r>
              <w:rPr>
                <w:rFonts w:hint="eastAsia" w:ascii="宋体" w:hAnsi="宋体" w:eastAsia="宋体" w:cs="宋体"/>
                <w:b w:val="0"/>
                <w:bCs w:val="0"/>
                <w:kern w:val="2"/>
                <w:sz w:val="24"/>
                <w:szCs w:val="22"/>
                <w:lang w:val="en-US"/>
              </w:rPr>
              <w:t>应</w:t>
            </w:r>
            <w:r>
              <w:rPr>
                <w:rFonts w:hint="eastAsia" w:ascii="宋体" w:hAnsi="宋体" w:eastAsia="宋体" w:cs="宋体"/>
                <w:b w:val="0"/>
                <w:bCs w:val="0"/>
                <w:kern w:val="2"/>
                <w:sz w:val="24"/>
                <w:szCs w:val="22"/>
              </w:rPr>
              <w:t>用绿色建筑和绿色建材</w:t>
            </w:r>
            <w:r>
              <w:rPr>
                <w:rFonts w:hint="eastAsia" w:ascii="宋体" w:hAnsi="宋体" w:eastAsia="宋体" w:cs="宋体"/>
                <w:b w:val="0"/>
                <w:bCs w:val="0"/>
                <w:kern w:val="2"/>
                <w:sz w:val="24"/>
                <w:szCs w:val="24"/>
                <w:lang w:val="en-US" w:eastAsia="zh-CN"/>
              </w:rPr>
              <w:t>。</w:t>
            </w:r>
            <w:bookmarkEnd w:id="0"/>
            <w:bookmarkEnd w:id="1"/>
          </w:p>
        </w:tc>
      </w:tr>
      <w:tr w14:paraId="1A29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FB8CCFB">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6</w:t>
            </w:r>
          </w:p>
        </w:tc>
        <w:tc>
          <w:tcPr>
            <w:tcW w:w="1277" w:type="dxa"/>
            <w:vAlign w:val="center"/>
          </w:tcPr>
          <w:p w14:paraId="7D6BC04B">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项目经理</w:t>
            </w:r>
          </w:p>
        </w:tc>
        <w:tc>
          <w:tcPr>
            <w:tcW w:w="6287" w:type="dxa"/>
            <w:vAlign w:val="center"/>
          </w:tcPr>
          <w:p w14:paraId="062BD6BB">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lang w:eastAsia="zh-CN"/>
              </w:rPr>
              <w:t>（</w:t>
            </w:r>
            <w:r>
              <w:rPr>
                <w:rFonts w:hint="eastAsia" w:ascii="宋体" w:hAnsi="宋体" w:eastAsia="宋体" w:cs="宋体"/>
                <w:b w:val="0"/>
                <w:bCs w:val="0"/>
                <w:kern w:val="2"/>
                <w:sz w:val="24"/>
                <w:szCs w:val="22"/>
                <w:lang w:val="en-US" w:eastAsia="zh-CN"/>
              </w:rPr>
              <w:t>1</w:t>
            </w:r>
            <w:r>
              <w:rPr>
                <w:rFonts w:hint="eastAsia" w:ascii="宋体" w:hAnsi="宋体" w:eastAsia="宋体" w:cs="宋体"/>
                <w:b w:val="0"/>
                <w:bCs w:val="0"/>
                <w:kern w:val="2"/>
                <w:sz w:val="24"/>
                <w:szCs w:val="22"/>
                <w:lang w:eastAsia="zh-CN"/>
              </w:rPr>
              <w:t>）</w:t>
            </w:r>
            <w:r>
              <w:rPr>
                <w:rFonts w:hint="eastAsia" w:ascii="宋体" w:hAnsi="宋体" w:eastAsia="宋体" w:cs="宋体"/>
                <w:b w:val="0"/>
                <w:bCs w:val="0"/>
                <w:kern w:val="2"/>
                <w:sz w:val="24"/>
                <w:szCs w:val="22"/>
              </w:rPr>
              <w:t>符合竞争性磋商公告中“项目经理资格要求”</w:t>
            </w:r>
            <w:r>
              <w:rPr>
                <w:rFonts w:hint="eastAsia" w:ascii="宋体" w:hAnsi="宋体" w:eastAsia="宋体" w:cs="宋体"/>
                <w:b w:val="0"/>
                <w:bCs w:val="0"/>
                <w:kern w:val="2"/>
                <w:sz w:val="24"/>
                <w:szCs w:val="22"/>
                <w:lang w:eastAsia="zh-CN"/>
              </w:rPr>
              <w:t>，</w:t>
            </w:r>
            <w:r>
              <w:rPr>
                <w:rFonts w:hint="eastAsia" w:ascii="Times New Roman" w:hAnsi="Times New Roman" w:eastAsia="宋体" w:cs="楷体"/>
                <w:b w:val="0"/>
                <w:bCs/>
                <w:snapToGrid w:val="0"/>
                <w:color w:val="000000"/>
                <w:kern w:val="0"/>
                <w:sz w:val="24"/>
                <w:szCs w:val="24"/>
              </w:rPr>
              <w:t>且必须是本单位人员（</w:t>
            </w:r>
            <w:r>
              <w:rPr>
                <w:rFonts w:hint="eastAsia" w:ascii="宋体" w:hAnsi="宋体" w:eastAsia="宋体" w:cs="宋体"/>
                <w:b w:val="0"/>
                <w:bCs w:val="0"/>
                <w:kern w:val="2"/>
                <w:sz w:val="24"/>
                <w:szCs w:val="22"/>
              </w:rPr>
              <w:t>竞争性磋商公告</w:t>
            </w:r>
            <w:r>
              <w:rPr>
                <w:rFonts w:hint="eastAsia" w:ascii="Times New Roman" w:hAnsi="Times New Roman" w:eastAsia="宋体" w:cs="楷体"/>
                <w:b w:val="0"/>
                <w:bCs/>
                <w:snapToGrid w:val="0"/>
                <w:color w:val="000000"/>
                <w:kern w:val="0"/>
                <w:sz w:val="24"/>
                <w:szCs w:val="24"/>
              </w:rPr>
              <w:t>中要求的注册证书注册单位应当与</w:t>
            </w:r>
            <w:r>
              <w:rPr>
                <w:rFonts w:hint="eastAsia" w:ascii="Times New Roman" w:hAnsi="Times New Roman" w:eastAsia="宋体" w:cs="楷体"/>
                <w:b w:val="0"/>
                <w:bCs/>
                <w:snapToGrid w:val="0"/>
                <w:color w:val="000000"/>
                <w:kern w:val="0"/>
                <w:sz w:val="24"/>
                <w:szCs w:val="24"/>
                <w:lang w:val="en-US" w:eastAsia="zh-CN"/>
              </w:rPr>
              <w:t>供应商</w:t>
            </w:r>
            <w:r>
              <w:rPr>
                <w:rFonts w:hint="eastAsia" w:ascii="Times New Roman" w:hAnsi="Times New Roman" w:eastAsia="宋体" w:cs="楷体"/>
                <w:b w:val="0"/>
                <w:bCs/>
                <w:snapToGrid w:val="0"/>
                <w:color w:val="000000"/>
                <w:kern w:val="0"/>
                <w:sz w:val="24"/>
                <w:szCs w:val="24"/>
              </w:rPr>
              <w:t>名称一致）</w:t>
            </w:r>
            <w:r>
              <w:rPr>
                <w:rFonts w:hint="eastAsia" w:ascii="宋体" w:hAnsi="宋体" w:eastAsia="宋体" w:cs="宋体"/>
                <w:b w:val="0"/>
                <w:bCs w:val="0"/>
                <w:kern w:val="2"/>
                <w:sz w:val="24"/>
                <w:szCs w:val="22"/>
              </w:rPr>
              <w:t>。</w:t>
            </w:r>
          </w:p>
          <w:p w14:paraId="53194CF4">
            <w:pPr>
              <w:spacing w:line="360" w:lineRule="auto"/>
              <w:rPr>
                <w:rFonts w:hint="eastAsia" w:ascii="宋体" w:hAnsi="宋体" w:eastAsia="宋体" w:cs="宋体"/>
                <w:b w:val="0"/>
                <w:bCs w:val="0"/>
                <w:kern w:val="2"/>
                <w:sz w:val="24"/>
                <w:szCs w:val="22"/>
              </w:rPr>
            </w:pPr>
            <w:bookmarkStart w:id="2" w:name="OLE_LINK9"/>
            <w:bookmarkStart w:id="3" w:name="OLE_LINK10"/>
            <w:r>
              <w:rPr>
                <w:rFonts w:hint="eastAsia" w:ascii="宋体" w:hAnsi="宋体" w:eastAsia="宋体" w:cs="宋体"/>
                <w:b w:val="0"/>
                <w:bCs w:val="0"/>
                <w:kern w:val="2"/>
                <w:sz w:val="24"/>
                <w:szCs w:val="22"/>
                <w:lang w:eastAsia="zh-CN"/>
              </w:rPr>
              <w:t>（</w:t>
            </w:r>
            <w:r>
              <w:rPr>
                <w:rFonts w:hint="eastAsia" w:ascii="宋体" w:hAnsi="宋体" w:eastAsia="宋体" w:cs="宋体"/>
                <w:b w:val="0"/>
                <w:bCs w:val="0"/>
                <w:kern w:val="2"/>
                <w:sz w:val="24"/>
                <w:szCs w:val="22"/>
                <w:lang w:val="en-US" w:eastAsia="zh-CN"/>
              </w:rPr>
              <w:t>2</w:t>
            </w:r>
            <w:r>
              <w:rPr>
                <w:rFonts w:hint="eastAsia" w:ascii="宋体" w:hAnsi="宋体" w:eastAsia="宋体" w:cs="宋体"/>
                <w:b w:val="0"/>
                <w:bCs w:val="0"/>
                <w:kern w:val="2"/>
                <w:sz w:val="24"/>
                <w:szCs w:val="22"/>
                <w:lang w:eastAsia="zh-CN"/>
              </w:rPr>
              <w:t>）</w:t>
            </w:r>
            <w:r>
              <w:rPr>
                <w:rFonts w:hint="eastAsia" w:ascii="宋体" w:hAnsi="宋体" w:eastAsia="宋体" w:cs="宋体"/>
                <w:b w:val="0"/>
                <w:bCs w:val="0"/>
                <w:kern w:val="2"/>
                <w:sz w:val="24"/>
                <w:szCs w:val="22"/>
              </w:rPr>
              <w:t>项目经理不得同时担任两个及以上建设工程施工项目经理，以下情形除外：</w:t>
            </w:r>
          </w:p>
          <w:p w14:paraId="3799427A">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fldChar w:fldCharType="begin"/>
            </w:r>
            <w:r>
              <w:rPr>
                <w:rFonts w:hint="eastAsia" w:ascii="宋体" w:hAnsi="宋体" w:eastAsia="宋体" w:cs="宋体"/>
                <w:b w:val="0"/>
                <w:bCs w:val="0"/>
                <w:kern w:val="2"/>
                <w:sz w:val="24"/>
                <w:szCs w:val="22"/>
              </w:rPr>
              <w:instrText xml:space="preserve"> = 1 \* GB3 \* MERGEFORMAT </w:instrText>
            </w:r>
            <w:r>
              <w:rPr>
                <w:rFonts w:hint="eastAsia" w:ascii="宋体" w:hAnsi="宋体" w:eastAsia="宋体" w:cs="宋体"/>
                <w:b w:val="0"/>
                <w:bCs w:val="0"/>
                <w:kern w:val="2"/>
                <w:sz w:val="24"/>
                <w:szCs w:val="22"/>
              </w:rPr>
              <w:fldChar w:fldCharType="separate"/>
            </w:r>
            <w:r>
              <w:rPr>
                <w:rFonts w:hint="eastAsia" w:ascii="宋体" w:hAnsi="宋体" w:eastAsia="宋体" w:cs="宋体"/>
                <w:b w:val="0"/>
                <w:bCs w:val="0"/>
                <w:kern w:val="2"/>
                <w:sz w:val="24"/>
                <w:szCs w:val="22"/>
              </w:rPr>
              <w:t>①</w:t>
            </w:r>
            <w:r>
              <w:rPr>
                <w:rFonts w:hint="eastAsia" w:ascii="宋体" w:hAnsi="宋体" w:eastAsia="宋体" w:cs="宋体"/>
                <w:b w:val="0"/>
                <w:bCs w:val="0"/>
                <w:kern w:val="2"/>
                <w:sz w:val="24"/>
                <w:szCs w:val="22"/>
              </w:rPr>
              <w:fldChar w:fldCharType="end"/>
            </w:r>
            <w:r>
              <w:rPr>
                <w:rFonts w:hint="eastAsia" w:ascii="宋体" w:hAnsi="宋体" w:eastAsia="宋体" w:cs="宋体"/>
                <w:b w:val="0"/>
                <w:bCs w:val="0"/>
                <w:kern w:val="2"/>
                <w:sz w:val="24"/>
                <w:szCs w:val="22"/>
              </w:rPr>
              <w:t>法定情形；</w:t>
            </w:r>
          </w:p>
          <w:p w14:paraId="4F73F80C">
            <w:pPr>
              <w:spacing w:line="360" w:lineRule="auto"/>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fldChar w:fldCharType="begin"/>
            </w:r>
            <w:r>
              <w:rPr>
                <w:rFonts w:hint="eastAsia" w:ascii="宋体" w:hAnsi="宋体" w:eastAsia="宋体" w:cs="宋体"/>
                <w:b w:val="0"/>
                <w:bCs w:val="0"/>
                <w:kern w:val="2"/>
                <w:sz w:val="24"/>
                <w:szCs w:val="22"/>
              </w:rPr>
              <w:instrText xml:space="preserve"> = 2 \* GB3 \* MERGEFORMAT </w:instrText>
            </w:r>
            <w:r>
              <w:rPr>
                <w:rFonts w:hint="eastAsia" w:ascii="宋体" w:hAnsi="宋体" w:eastAsia="宋体" w:cs="宋体"/>
                <w:b w:val="0"/>
                <w:bCs w:val="0"/>
                <w:kern w:val="2"/>
                <w:sz w:val="24"/>
                <w:szCs w:val="22"/>
              </w:rPr>
              <w:fldChar w:fldCharType="separate"/>
            </w:r>
            <w:r>
              <w:rPr>
                <w:rFonts w:hint="eastAsia" w:ascii="宋体" w:hAnsi="宋体" w:eastAsia="宋体" w:cs="宋体"/>
                <w:b w:val="0"/>
                <w:bCs w:val="0"/>
                <w:kern w:val="2"/>
                <w:sz w:val="24"/>
                <w:szCs w:val="22"/>
              </w:rPr>
              <w:t>②</w:t>
            </w:r>
            <w:r>
              <w:rPr>
                <w:rFonts w:hint="eastAsia" w:ascii="宋体" w:hAnsi="宋体" w:eastAsia="宋体" w:cs="宋体"/>
                <w:b w:val="0"/>
                <w:bCs w:val="0"/>
                <w:kern w:val="2"/>
                <w:sz w:val="24"/>
                <w:szCs w:val="22"/>
              </w:rPr>
              <w:fldChar w:fldCharType="end"/>
            </w:r>
            <w:r>
              <w:rPr>
                <w:rFonts w:hint="eastAsia" w:ascii="宋体" w:hAnsi="宋体" w:eastAsia="宋体" w:cs="宋体"/>
                <w:b w:val="0"/>
                <w:bCs w:val="0"/>
                <w:kern w:val="2"/>
                <w:sz w:val="24"/>
                <w:szCs w:val="22"/>
              </w:rPr>
              <w:t>虽在其他项目上担任项目经理岗位，但承诺在本项目成交后合同签订前能够从其他项目变更至本项目并全面履约。</w:t>
            </w:r>
            <w:bookmarkEnd w:id="2"/>
            <w:bookmarkEnd w:id="3"/>
          </w:p>
        </w:tc>
      </w:tr>
      <w:tr w14:paraId="6791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55121AA">
            <w:pPr>
              <w:spacing w:line="360" w:lineRule="auto"/>
              <w:jc w:val="cente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7</w:t>
            </w:r>
          </w:p>
        </w:tc>
        <w:tc>
          <w:tcPr>
            <w:tcW w:w="1277" w:type="dxa"/>
            <w:vAlign w:val="center"/>
          </w:tcPr>
          <w:p w14:paraId="59B35F7D">
            <w:pPr>
              <w:widowControl w:val="0"/>
              <w:spacing w:before="0" w:beforeAutospacing="0" w:after="0" w:afterAutospacing="0" w:line="360" w:lineRule="auto"/>
              <w:jc w:val="center"/>
              <w:rPr>
                <w:rFonts w:hint="eastAsia" w:ascii="宋体" w:hAnsi="宋体" w:eastAsia="宋体" w:cs="宋体"/>
                <w:b/>
                <w:bCs/>
                <w:kern w:val="2"/>
                <w:sz w:val="24"/>
                <w:szCs w:val="28"/>
                <w:lang w:val="en-US" w:eastAsia="zh-CN" w:bidi="ar-SA"/>
              </w:rPr>
            </w:pPr>
            <w:r>
              <w:rPr>
                <w:rFonts w:hint="eastAsia" w:ascii="宋体" w:hAnsi="宋体" w:eastAsia="宋体" w:cs="宋体"/>
                <w:b w:val="0"/>
                <w:bCs/>
                <w:kern w:val="2"/>
                <w:sz w:val="24"/>
                <w:szCs w:val="28"/>
                <w:lang w:val="en-US" w:eastAsia="zh-CN" w:bidi="ar-SA"/>
              </w:rPr>
              <w:t>本项目采购标的名称及所属行业</w:t>
            </w:r>
          </w:p>
        </w:tc>
        <w:tc>
          <w:tcPr>
            <w:tcW w:w="6287" w:type="dxa"/>
            <w:vAlign w:val="center"/>
          </w:tcPr>
          <w:p w14:paraId="7ED71764">
            <w:pPr>
              <w:spacing w:line="360" w:lineRule="auto"/>
              <w:jc w:val="left"/>
              <w:rPr>
                <w:rFonts w:hint="eastAsia" w:ascii="宋体" w:hAnsi="宋体" w:eastAsia="宋体" w:cs="宋体"/>
                <w:b w:val="0"/>
                <w:bCs w:val="0"/>
                <w:kern w:val="2"/>
                <w:sz w:val="24"/>
                <w:szCs w:val="22"/>
                <w:lang w:eastAsia="zh-CN"/>
              </w:rPr>
            </w:pPr>
            <w:r>
              <w:rPr>
                <w:rFonts w:hint="eastAsia" w:ascii="宋体" w:hAnsi="宋体" w:eastAsia="宋体" w:cs="宋体"/>
                <w:b w:val="0"/>
                <w:bCs w:val="0"/>
                <w:kern w:val="2"/>
                <w:sz w:val="24"/>
                <w:szCs w:val="22"/>
              </w:rPr>
              <w:t>标的名称：</w:t>
            </w:r>
            <w:r>
              <w:rPr>
                <w:rFonts w:hint="eastAsia" w:ascii="宋体" w:hAnsi="宋体" w:eastAsia="宋体" w:cs="宋体"/>
                <w:b w:val="0"/>
                <w:bCs w:val="0"/>
                <w:kern w:val="2"/>
                <w:sz w:val="24"/>
                <w:szCs w:val="18"/>
                <w:lang w:eastAsia="zh-CN"/>
              </w:rPr>
              <w:t>2026年省管局维修改造项目</w:t>
            </w:r>
          </w:p>
          <w:p w14:paraId="28B2252F">
            <w:pPr>
              <w:rPr>
                <w:rFonts w:hint="eastAsia" w:ascii="宋体" w:hAnsi="宋体" w:eastAsia="宋体" w:cs="宋体"/>
                <w:b w:val="0"/>
                <w:bCs w:val="0"/>
                <w:kern w:val="2"/>
                <w:sz w:val="24"/>
                <w:szCs w:val="22"/>
              </w:rPr>
            </w:pPr>
            <w:r>
              <w:rPr>
                <w:rFonts w:hint="eastAsia" w:ascii="宋体" w:hAnsi="宋体" w:eastAsia="宋体" w:cs="宋体"/>
                <w:b w:val="0"/>
                <w:bCs w:val="0"/>
                <w:kern w:val="2"/>
                <w:sz w:val="24"/>
                <w:szCs w:val="22"/>
              </w:rPr>
              <w:t>所属行业：建筑业</w:t>
            </w:r>
          </w:p>
        </w:tc>
      </w:tr>
    </w:tbl>
    <w:p w14:paraId="1D984D2C">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4" w:name="_Toc23730"/>
      <w:bookmarkStart w:id="5" w:name="_Toc15645"/>
      <w:r>
        <w:rPr>
          <w:rFonts w:hint="eastAsia" w:ascii="宋体" w:hAnsi="宋体" w:eastAsia="宋体" w:cs="宋体"/>
          <w:b/>
          <w:bCs/>
          <w:kern w:val="2"/>
          <w:sz w:val="24"/>
          <w:szCs w:val="24"/>
          <w:lang w:val="en-US" w:eastAsia="zh-CN" w:bidi="ar-SA"/>
        </w:rPr>
        <w:t>一、</w:t>
      </w:r>
      <w:r>
        <w:rPr>
          <w:rFonts w:hint="eastAsia" w:ascii="宋体" w:hAnsi="宋体" w:eastAsia="宋体" w:cs="宋体"/>
          <w:b/>
          <w:bCs/>
          <w:kern w:val="2"/>
          <w:sz w:val="24"/>
          <w:szCs w:val="24"/>
          <w:lang w:val="zh-CN" w:eastAsia="zh-CN" w:bidi="ar-SA"/>
        </w:rPr>
        <w:t>项目概况及总体要求</w:t>
      </w:r>
      <w:bookmarkEnd w:id="4"/>
      <w:bookmarkEnd w:id="5"/>
    </w:p>
    <w:p w14:paraId="08CD454D">
      <w:pPr>
        <w:widowControl/>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2026年省管局维修改造项目，对省直机关及省管局局属单位办公用房、集中管理的住宅小区包括但不限于防水、供配电系统、中央空调、给排水、消防等进行维修改造。</w:t>
      </w:r>
    </w:p>
    <w:p w14:paraId="6DE0ED80">
      <w:pPr>
        <w:widowControl/>
        <w:spacing w:line="360" w:lineRule="auto"/>
        <w:jc w:val="both"/>
        <w:outlineLvl w:val="1"/>
        <w:rPr>
          <w:rFonts w:ascii="宋体" w:hAnsi="宋体" w:eastAsia="宋体" w:cs="宋体"/>
          <w:sz w:val="24"/>
          <w:szCs w:val="24"/>
          <w:lang w:val="en-US" w:eastAsia="zh-CN" w:bidi="ar-SA"/>
        </w:rPr>
      </w:pPr>
      <w:bookmarkStart w:id="6" w:name="_Toc18199"/>
      <w:bookmarkStart w:id="7" w:name="_Toc445554749"/>
      <w:bookmarkStart w:id="8" w:name="_Toc455587275"/>
      <w:bookmarkStart w:id="9" w:name="_Toc466024558"/>
      <w:bookmarkStart w:id="10" w:name="_Toc455587091"/>
      <w:bookmarkStart w:id="11" w:name="_Toc12271"/>
      <w:r>
        <w:rPr>
          <w:rFonts w:hint="eastAsia" w:ascii="宋体" w:hAnsi="宋体" w:eastAsia="黑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技术要求</w:t>
      </w:r>
      <w:bookmarkEnd w:id="6"/>
      <w:bookmarkEnd w:id="7"/>
      <w:bookmarkEnd w:id="8"/>
      <w:bookmarkEnd w:id="9"/>
      <w:bookmarkEnd w:id="10"/>
      <w:bookmarkEnd w:id="11"/>
    </w:p>
    <w:p w14:paraId="67BA1BE2">
      <w:pPr>
        <w:widowControl/>
        <w:spacing w:line="360" w:lineRule="auto"/>
        <w:ind w:firstLine="480" w:firstLineChars="20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按照工程量清单要求及最新国家相关标准、规范要求执行。</w:t>
      </w:r>
    </w:p>
    <w:p w14:paraId="3D2E62B9">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2" w:name="_Toc8900"/>
      <w:bookmarkStart w:id="13" w:name="_Toc29071"/>
      <w:bookmarkStart w:id="14" w:name="OLE_LINK7"/>
      <w:r>
        <w:rPr>
          <w:rFonts w:hint="eastAsia" w:ascii="宋体" w:hAnsi="宋体" w:eastAsia="宋体" w:cs="宋体"/>
          <w:b/>
          <w:bCs/>
          <w:kern w:val="2"/>
          <w:sz w:val="24"/>
          <w:szCs w:val="24"/>
          <w:lang w:val="en-US" w:eastAsia="zh-CN" w:bidi="ar-SA"/>
        </w:rPr>
        <w:t>三、</w:t>
      </w:r>
      <w:r>
        <w:rPr>
          <w:rFonts w:hint="eastAsia" w:ascii="宋体" w:hAnsi="宋体" w:eastAsia="宋体" w:cs="宋体"/>
          <w:b/>
          <w:bCs/>
          <w:kern w:val="2"/>
          <w:sz w:val="24"/>
          <w:szCs w:val="24"/>
          <w:lang w:val="zh-CN" w:eastAsia="zh-CN" w:bidi="ar-SA"/>
        </w:rPr>
        <w:t>报价要求</w:t>
      </w:r>
      <w:bookmarkEnd w:id="12"/>
      <w:bookmarkEnd w:id="13"/>
    </w:p>
    <w:p w14:paraId="10D897C8">
      <w:pPr>
        <w:keepNext/>
        <w:keepLines/>
        <w:spacing w:line="360" w:lineRule="auto"/>
        <w:outlineLvl w:val="9"/>
        <w:rPr>
          <w:rFonts w:hint="default" w:ascii="宋体" w:hAnsi="宋体" w:eastAsia="宋体" w:cs="宋体"/>
          <w:b/>
          <w:bCs/>
          <w:color w:val="000000"/>
          <w:kern w:val="0"/>
          <w:sz w:val="24"/>
          <w:szCs w:val="24"/>
        </w:rPr>
      </w:pPr>
      <w:bookmarkStart w:id="15" w:name="_Toc28825"/>
      <w:bookmarkStart w:id="16" w:name="_Toc22767"/>
      <w:bookmarkStart w:id="17" w:name="_Toc11545"/>
      <w:r>
        <w:rPr>
          <w:rFonts w:hint="eastAsia" w:ascii="宋体" w:hAnsi="宋体" w:eastAsia="宋体" w:cs="宋体"/>
          <w:b/>
          <w:bCs/>
          <w:color w:val="000000"/>
          <w:kern w:val="0"/>
          <w:sz w:val="24"/>
          <w:szCs w:val="24"/>
        </w:rPr>
        <w:t>3.1计价依据</w:t>
      </w:r>
      <w:bookmarkEnd w:id="15"/>
      <w:bookmarkEnd w:id="16"/>
      <w:bookmarkEnd w:id="17"/>
    </w:p>
    <w:p w14:paraId="6B9CFA11">
      <w:pPr>
        <w:spacing w:line="360" w:lineRule="auto"/>
        <w:ind w:firstLine="480" w:firstLineChars="200"/>
        <w:outlineLvl w:val="9"/>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3.1.1 计价依据的确定符合国家法律法规、现行有关标准与规范，工程所在地的省、市工程定额和工程造价的规定以及工程造价信息要求。</w:t>
      </w:r>
    </w:p>
    <w:p w14:paraId="12B3650E">
      <w:pPr>
        <w:spacing w:line="360" w:lineRule="auto"/>
        <w:ind w:firstLine="480" w:firstLineChars="200"/>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 xml:space="preserve">3.1.2 </w:t>
      </w:r>
      <w:bookmarkStart w:id="18" w:name="OLE_LINK6"/>
      <w:r>
        <w:rPr>
          <w:rFonts w:hint="eastAsia" w:ascii="宋体" w:hAnsi="宋体" w:eastAsia="宋体" w:cs="宋体"/>
          <w:b w:val="0"/>
          <w:bCs w:val="0"/>
          <w:color w:val="auto"/>
          <w:kern w:val="0"/>
          <w:sz w:val="24"/>
          <w:szCs w:val="24"/>
        </w:rPr>
        <w:t>安全文明施工费</w:t>
      </w:r>
      <w:bookmarkEnd w:id="18"/>
      <w:r>
        <w:rPr>
          <w:rFonts w:hint="eastAsia" w:ascii="宋体" w:hAnsi="宋体" w:eastAsia="宋体" w:cs="宋体"/>
          <w:b w:val="0"/>
          <w:bCs w:val="0"/>
          <w:color w:val="auto"/>
          <w:kern w:val="0"/>
          <w:sz w:val="24"/>
          <w:szCs w:val="24"/>
          <w:lang w:val="en-US" w:eastAsia="zh-CN"/>
        </w:rPr>
        <w:t>费率</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详见最高限价中</w:t>
      </w:r>
      <w:r>
        <w:rPr>
          <w:rFonts w:hint="eastAsia" w:ascii="宋体" w:hAnsi="宋体" w:eastAsia="宋体" w:cs="宋体"/>
          <w:b w:val="0"/>
          <w:bCs w:val="0"/>
          <w:color w:val="auto"/>
          <w:kern w:val="0"/>
          <w:sz w:val="24"/>
          <w:szCs w:val="24"/>
        </w:rPr>
        <w:t>安全文明施工费</w:t>
      </w:r>
      <w:r>
        <w:rPr>
          <w:rFonts w:hint="eastAsia" w:ascii="宋体" w:hAnsi="宋体" w:eastAsia="宋体" w:cs="宋体"/>
          <w:b w:val="0"/>
          <w:bCs w:val="0"/>
          <w:color w:val="auto"/>
          <w:kern w:val="0"/>
          <w:sz w:val="24"/>
          <w:szCs w:val="24"/>
          <w:lang w:val="en-US" w:eastAsia="zh-CN"/>
        </w:rPr>
        <w:t>费率。</w:t>
      </w:r>
    </w:p>
    <w:p w14:paraId="5A81B5A9">
      <w:pPr>
        <w:spacing w:line="360" w:lineRule="auto"/>
        <w:ind w:firstLine="480" w:firstLineChars="200"/>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3.1.</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 xml:space="preserve"> </w:t>
      </w:r>
      <w:r>
        <w:rPr>
          <w:rFonts w:hint="eastAsia" w:ascii="宋体" w:hAnsi="宋体" w:eastAsia="宋体" w:cs="宋体"/>
          <w:b w:val="0"/>
          <w:bCs w:val="0"/>
          <w:color w:val="auto"/>
          <w:kern w:val="0"/>
          <w:sz w:val="24"/>
          <w:szCs w:val="24"/>
          <w:lang w:eastAsia="zh-CN"/>
        </w:rPr>
        <w:t>安全生产责任保险费</w:t>
      </w:r>
      <w:r>
        <w:rPr>
          <w:rFonts w:hint="eastAsia" w:ascii="宋体" w:hAnsi="宋体" w:eastAsia="宋体" w:cs="宋体"/>
          <w:b w:val="0"/>
          <w:bCs w:val="0"/>
          <w:color w:val="auto"/>
          <w:kern w:val="0"/>
          <w:sz w:val="24"/>
          <w:szCs w:val="24"/>
          <w:lang w:val="en-US" w:eastAsia="zh-CN"/>
        </w:rPr>
        <w:t>费率</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详见最高限价中</w:t>
      </w:r>
      <w:r>
        <w:rPr>
          <w:rFonts w:hint="eastAsia" w:ascii="宋体" w:hAnsi="宋体" w:eastAsia="宋体" w:cs="宋体"/>
          <w:b w:val="0"/>
          <w:bCs w:val="0"/>
          <w:color w:val="auto"/>
          <w:kern w:val="0"/>
          <w:sz w:val="24"/>
          <w:szCs w:val="24"/>
          <w:lang w:eastAsia="zh-CN"/>
        </w:rPr>
        <w:t>安全生产责任保险费</w:t>
      </w:r>
      <w:r>
        <w:rPr>
          <w:rFonts w:hint="eastAsia" w:ascii="宋体" w:hAnsi="宋体" w:eastAsia="宋体" w:cs="宋体"/>
          <w:b w:val="0"/>
          <w:bCs w:val="0"/>
          <w:color w:val="auto"/>
          <w:kern w:val="0"/>
          <w:sz w:val="24"/>
          <w:szCs w:val="24"/>
          <w:lang w:val="en-US" w:eastAsia="zh-CN"/>
        </w:rPr>
        <w:t>费率。</w:t>
      </w:r>
    </w:p>
    <w:p w14:paraId="6427BE6F">
      <w:pPr>
        <w:keepNext/>
        <w:keepLines/>
        <w:spacing w:line="360" w:lineRule="auto"/>
        <w:outlineLvl w:val="9"/>
        <w:rPr>
          <w:rFonts w:hint="default" w:ascii="宋体" w:hAnsi="宋体" w:eastAsia="宋体" w:cs="宋体"/>
          <w:b/>
          <w:bCs/>
          <w:color w:val="000000"/>
          <w:kern w:val="0"/>
          <w:sz w:val="24"/>
          <w:szCs w:val="24"/>
        </w:rPr>
      </w:pPr>
      <w:bookmarkStart w:id="19" w:name="_Toc22790"/>
      <w:bookmarkStart w:id="20" w:name="_Toc22414"/>
      <w:bookmarkStart w:id="21" w:name="_Toc4564"/>
      <w:r>
        <w:rPr>
          <w:rFonts w:hint="eastAsia" w:ascii="宋体" w:hAnsi="宋体" w:eastAsia="宋体" w:cs="宋体"/>
          <w:b/>
          <w:bCs/>
          <w:color w:val="000000"/>
          <w:kern w:val="0"/>
          <w:sz w:val="24"/>
          <w:szCs w:val="24"/>
        </w:rPr>
        <w:t>3.2响应报价参考编制要求</w:t>
      </w:r>
      <w:bookmarkEnd w:id="19"/>
      <w:bookmarkEnd w:id="20"/>
      <w:bookmarkEnd w:id="21"/>
    </w:p>
    <w:p w14:paraId="644A315A">
      <w:pPr>
        <w:spacing w:line="360" w:lineRule="auto"/>
        <w:ind w:firstLine="480" w:firstLineChars="200"/>
        <w:outlineLvl w:val="9"/>
        <w:rPr>
          <w:rFonts w:hint="default" w:ascii="宋体" w:hAnsi="宋体" w:eastAsia="宋体" w:cs="宋体"/>
          <w:b w:val="0"/>
          <w:bCs w:val="0"/>
          <w:color w:val="000000"/>
          <w:kern w:val="0"/>
          <w:sz w:val="24"/>
          <w:szCs w:val="24"/>
        </w:rPr>
      </w:pPr>
      <w:r>
        <w:rPr>
          <w:rFonts w:hint="eastAsia" w:ascii="宋体" w:hAnsi="宋体" w:eastAsia="宋体" w:cs="宋体"/>
          <w:b w:val="0"/>
          <w:bCs w:val="0"/>
          <w:kern w:val="0"/>
          <w:sz w:val="24"/>
          <w:szCs w:val="24"/>
        </w:rPr>
        <w:t>3.2.1 响应报价编制参考依据：</w:t>
      </w:r>
      <w:r>
        <w:rPr>
          <w:rFonts w:hint="eastAsia" w:ascii="宋体" w:hAnsi="宋体" w:eastAsia="宋体" w:cs="宋体"/>
          <w:b w:val="0"/>
          <w:bCs w:val="0"/>
          <w:color w:val="000000"/>
          <w:kern w:val="0"/>
          <w:sz w:val="24"/>
          <w:szCs w:val="24"/>
          <w:lang w:val="en-US" w:eastAsia="zh-CN"/>
        </w:rPr>
        <w:t>详见清单编制说明（如有）。</w:t>
      </w:r>
    </w:p>
    <w:p w14:paraId="11492B0D">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3.2.2供应商应仔细阅读采购文件，了解全部工程内容。供应商的响应报价应是采购文件所确定的采购范围内全部工程内容的价格体现，但其响应报价不得低于供应商个别成本价。</w:t>
      </w:r>
    </w:p>
    <w:p w14:paraId="55B8FA53">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3.2.3供应商应按采购人提供的工程量清单填报综合单价和合价，未填报的综合单价和合价，视为此项费用已合在工程量清单的其他综合单价和合价中。</w:t>
      </w:r>
    </w:p>
    <w:p w14:paraId="73754729">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51D079A6">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3.2.5措施项目费依据第3.2.1项编制依据确定。</w:t>
      </w:r>
    </w:p>
    <w:p w14:paraId="4BD0FFB2">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000000"/>
          <w:kern w:val="0"/>
          <w:sz w:val="24"/>
          <w:szCs w:val="24"/>
        </w:rPr>
        <w:t>3.2.6不可竞争费（含安全</w:t>
      </w:r>
      <w:r>
        <w:rPr>
          <w:rFonts w:hint="eastAsia" w:ascii="宋体" w:hAnsi="宋体" w:eastAsia="宋体" w:cs="宋体"/>
          <w:b w:val="0"/>
          <w:bCs w:val="0"/>
          <w:color w:val="auto"/>
          <w:kern w:val="0"/>
          <w:sz w:val="24"/>
          <w:szCs w:val="24"/>
        </w:rPr>
        <w:t>文明施工费、环境保护税</w:t>
      </w:r>
      <w:r>
        <w:rPr>
          <w:rFonts w:hint="eastAsia" w:ascii="宋体" w:hAnsi="宋体" w:eastAsia="宋体" w:cs="宋体"/>
          <w:b w:val="0"/>
          <w:bCs w:val="0"/>
          <w:color w:val="auto"/>
          <w:kern w:val="0"/>
          <w:sz w:val="24"/>
          <w:szCs w:val="24"/>
          <w:lang w:eastAsia="zh-CN"/>
        </w:rPr>
        <w:t>、安全生产责任保险费</w:t>
      </w:r>
      <w:r>
        <w:rPr>
          <w:rFonts w:hint="eastAsia" w:ascii="宋体" w:hAnsi="宋体" w:eastAsia="宋体" w:cs="宋体"/>
          <w:b w:val="0"/>
          <w:bCs w:val="0"/>
          <w:color w:val="auto"/>
          <w:kern w:val="0"/>
          <w:sz w:val="24"/>
          <w:szCs w:val="24"/>
          <w:lang w:val="en-US" w:eastAsia="zh-CN"/>
        </w:rPr>
        <w:t>等</w:t>
      </w:r>
      <w:r>
        <w:rPr>
          <w:rFonts w:hint="eastAsia" w:ascii="宋体" w:hAnsi="宋体" w:eastAsia="宋体" w:cs="宋体"/>
          <w:b w:val="0"/>
          <w:bCs w:val="0"/>
          <w:color w:val="auto"/>
          <w:kern w:val="0"/>
          <w:sz w:val="24"/>
          <w:szCs w:val="24"/>
        </w:rPr>
        <w:t>）根据工程量清单不可竞争项目，结合第3.2.1项编制依据确定，安全文明施工费费率</w:t>
      </w:r>
      <w:r>
        <w:rPr>
          <w:rFonts w:hint="eastAsia" w:ascii="宋体" w:hAnsi="宋体" w:eastAsia="宋体" w:cs="宋体"/>
          <w:b w:val="0"/>
          <w:bCs w:val="0"/>
          <w:color w:val="auto"/>
          <w:kern w:val="0"/>
          <w:sz w:val="24"/>
          <w:szCs w:val="24"/>
          <w:lang w:val="en-US" w:eastAsia="zh-CN"/>
        </w:rPr>
        <w:t>和</w:t>
      </w:r>
      <w:r>
        <w:rPr>
          <w:rFonts w:hint="eastAsia" w:ascii="宋体" w:hAnsi="宋体" w:eastAsia="宋体" w:cs="宋体"/>
          <w:b w:val="0"/>
          <w:bCs w:val="0"/>
          <w:color w:val="auto"/>
          <w:kern w:val="0"/>
          <w:sz w:val="24"/>
          <w:szCs w:val="24"/>
          <w:lang w:eastAsia="zh-CN"/>
        </w:rPr>
        <w:t>安全生产责任保险费</w:t>
      </w:r>
      <w:r>
        <w:rPr>
          <w:rFonts w:hint="eastAsia" w:ascii="宋体" w:hAnsi="宋体" w:eastAsia="宋体" w:cs="宋体"/>
          <w:b w:val="0"/>
          <w:bCs w:val="0"/>
          <w:color w:val="auto"/>
          <w:kern w:val="0"/>
          <w:sz w:val="24"/>
          <w:szCs w:val="24"/>
          <w:lang w:val="en-US" w:eastAsia="zh-CN"/>
        </w:rPr>
        <w:t>费率</w:t>
      </w:r>
      <w:r>
        <w:rPr>
          <w:rFonts w:hint="eastAsia" w:ascii="宋体" w:hAnsi="宋体" w:eastAsia="宋体" w:cs="宋体"/>
          <w:b w:val="0"/>
          <w:bCs w:val="0"/>
          <w:color w:val="auto"/>
          <w:kern w:val="0"/>
          <w:sz w:val="24"/>
          <w:szCs w:val="24"/>
        </w:rPr>
        <w:t>不得调整。</w:t>
      </w:r>
    </w:p>
    <w:p w14:paraId="6ABD4B6A">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3.2.7其他项目费用应按照下列规定计价：</w:t>
      </w:r>
    </w:p>
    <w:p w14:paraId="564F51F8">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auto"/>
          <w:kern w:val="0"/>
          <w:sz w:val="24"/>
          <w:szCs w:val="24"/>
        </w:rPr>
        <w:t>（1）暂列金额按工程量清单中列出的金额填写</w:t>
      </w:r>
      <w:r>
        <w:rPr>
          <w:rFonts w:hint="eastAsia" w:ascii="宋体" w:hAnsi="宋体" w:eastAsia="宋体" w:cs="宋体"/>
          <w:b w:val="0"/>
          <w:bCs w:val="0"/>
          <w:color w:val="000000"/>
          <w:kern w:val="0"/>
          <w:sz w:val="24"/>
          <w:szCs w:val="24"/>
        </w:rPr>
        <w:t>，不得更改；</w:t>
      </w:r>
    </w:p>
    <w:p w14:paraId="60D45094">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（2）专业工程暂估价按工程量清单中列出的金额填写，不得更改；</w:t>
      </w:r>
    </w:p>
    <w:p w14:paraId="52CDCFF9">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（3）计日工按采购人列出项目和数量，结合第3.2.1项编制依据的要求确定综合单价并计算费用； </w:t>
      </w:r>
    </w:p>
    <w:p w14:paraId="0703BC32">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（4）总承包服务费根据采购文件列出的内容和要求计算。</w:t>
      </w:r>
    </w:p>
    <w:p w14:paraId="114F4DA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3.2.8税金（增值税）按税金项目清单，结合第3.2.1项编制依据的要求编制，不得调整。</w:t>
      </w:r>
    </w:p>
    <w:p w14:paraId="7D52BC7D">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3.2.9 响应报价编制注意事项</w:t>
      </w:r>
    </w:p>
    <w:p w14:paraId="6AF6EDC8">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对于受施工现场场地限制，如需要另外寻找场地解决临时住宿、材料及设备堆放，由此所产生的费用应包含在响应报价范围内，采购人不再承担该费用</w:t>
      </w:r>
      <w:r>
        <w:rPr>
          <w:rFonts w:hint="eastAsia" w:ascii="宋体" w:hAnsi="宋体" w:eastAsia="宋体" w:cs="宋体"/>
          <w:b w:val="0"/>
          <w:bCs/>
          <w:kern w:val="0"/>
          <w:sz w:val="24"/>
          <w:szCs w:val="24"/>
        </w:rPr>
        <w:t>。</w:t>
      </w:r>
    </w:p>
    <w:bookmarkEnd w:id="14"/>
    <w:p w14:paraId="37D4BAFD">
      <w:pPr>
        <w:keepNext/>
        <w:keepLines/>
        <w:widowControl w:val="0"/>
        <w:spacing w:before="0" w:after="0" w:line="360" w:lineRule="auto"/>
        <w:jc w:val="both"/>
        <w:outlineLvl w:val="1"/>
        <w:rPr>
          <w:rFonts w:hint="default" w:ascii="Times New Roman" w:hAnsi="Times New Roman" w:eastAsia="宋体" w:cs="Times New Roman"/>
          <w:b/>
          <w:bCs/>
          <w:kern w:val="2"/>
          <w:sz w:val="24"/>
          <w:szCs w:val="24"/>
          <w:highlight w:val="none"/>
          <w:lang w:val="zh-CN" w:eastAsia="zh-CN" w:bidi="ar-SA"/>
        </w:rPr>
      </w:pPr>
      <w:bookmarkStart w:id="22" w:name="_Toc26113"/>
      <w:bookmarkStart w:id="23" w:name="_Toc25124"/>
      <w:bookmarkStart w:id="24" w:name="_Toc527541657"/>
      <w:r>
        <w:rPr>
          <w:rFonts w:hint="eastAsia" w:ascii="Times New Roman" w:hAnsi="Times New Roman" w:eastAsia="宋体" w:cs="Times New Roman"/>
          <w:b/>
          <w:bCs/>
          <w:kern w:val="2"/>
          <w:sz w:val="24"/>
          <w:szCs w:val="24"/>
          <w:highlight w:val="none"/>
          <w:lang w:val="en-US" w:eastAsia="zh-CN" w:bidi="ar-SA"/>
        </w:rPr>
        <w:t>四、</w:t>
      </w:r>
      <w:r>
        <w:rPr>
          <w:rFonts w:hint="default" w:ascii="Times New Roman" w:hAnsi="Times New Roman" w:eastAsia="宋体" w:cs="Times New Roman"/>
          <w:b/>
          <w:bCs/>
          <w:kern w:val="2"/>
          <w:sz w:val="24"/>
          <w:szCs w:val="24"/>
          <w:highlight w:val="none"/>
          <w:lang w:val="zh-CN" w:eastAsia="zh-CN" w:bidi="ar-SA"/>
        </w:rPr>
        <w:t>相当于或优于以下品牌（如有）</w:t>
      </w:r>
    </w:p>
    <w:tbl>
      <w:tblPr>
        <w:tblStyle w:val="2"/>
        <w:tblW w:w="841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08"/>
        <w:gridCol w:w="4570"/>
        <w:gridCol w:w="1090"/>
      </w:tblGrid>
      <w:tr w14:paraId="2491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D42AADA">
            <w:pPr>
              <w:spacing w:line="360" w:lineRule="auto"/>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kern w:val="2"/>
                <w:sz w:val="24"/>
                <w:szCs w:val="24"/>
                <w:highlight w:val="none"/>
              </w:rPr>
              <w:t>序号</w:t>
            </w:r>
          </w:p>
        </w:tc>
        <w:tc>
          <w:tcPr>
            <w:tcW w:w="2008" w:type="dxa"/>
            <w:noWrap w:val="0"/>
            <w:vAlign w:val="top"/>
          </w:tcPr>
          <w:p w14:paraId="0F9427D3">
            <w:pPr>
              <w:spacing w:line="360" w:lineRule="auto"/>
              <w:jc w:val="center"/>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kern w:val="2"/>
                <w:sz w:val="24"/>
                <w:szCs w:val="24"/>
                <w:highlight w:val="none"/>
              </w:rPr>
              <w:t>材料名称（如有）</w:t>
            </w:r>
          </w:p>
        </w:tc>
        <w:tc>
          <w:tcPr>
            <w:tcW w:w="4570" w:type="dxa"/>
            <w:noWrap w:val="0"/>
            <w:vAlign w:val="top"/>
          </w:tcPr>
          <w:p w14:paraId="0A3527B2">
            <w:pPr>
              <w:spacing w:line="360" w:lineRule="auto"/>
              <w:jc w:val="center"/>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kern w:val="2"/>
                <w:sz w:val="24"/>
                <w:szCs w:val="24"/>
                <w:highlight w:val="none"/>
              </w:rPr>
              <w:t>相当于或优于以下品牌</w:t>
            </w:r>
          </w:p>
        </w:tc>
        <w:tc>
          <w:tcPr>
            <w:tcW w:w="1090" w:type="dxa"/>
            <w:noWrap w:val="0"/>
            <w:vAlign w:val="top"/>
          </w:tcPr>
          <w:p w14:paraId="10DD9F0F">
            <w:pPr>
              <w:spacing w:line="360" w:lineRule="auto"/>
              <w:jc w:val="center"/>
              <w:rPr>
                <w:rFonts w:hint="default" w:ascii="Times New Roman" w:hAnsi="Times New Roman" w:eastAsia="宋体" w:cs="Times New Roman"/>
                <w:b/>
                <w:bCs/>
                <w:kern w:val="2"/>
                <w:sz w:val="24"/>
                <w:szCs w:val="24"/>
                <w:highlight w:val="none"/>
              </w:rPr>
            </w:pPr>
            <w:r>
              <w:rPr>
                <w:rFonts w:hint="default" w:ascii="Times New Roman" w:hAnsi="Times New Roman" w:eastAsia="宋体" w:cs="Times New Roman"/>
                <w:b/>
                <w:bCs/>
                <w:kern w:val="2"/>
                <w:sz w:val="24"/>
                <w:szCs w:val="24"/>
                <w:highlight w:val="none"/>
              </w:rPr>
              <w:t>备注</w:t>
            </w:r>
          </w:p>
        </w:tc>
      </w:tr>
      <w:tr w14:paraId="783B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F147AAF">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1</w:t>
            </w:r>
          </w:p>
        </w:tc>
        <w:tc>
          <w:tcPr>
            <w:tcW w:w="2008" w:type="dxa"/>
            <w:noWrap w:val="0"/>
            <w:vAlign w:val="center"/>
          </w:tcPr>
          <w:p w14:paraId="4140EB3C">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钢材</w:t>
            </w:r>
          </w:p>
        </w:tc>
        <w:tc>
          <w:tcPr>
            <w:tcW w:w="4570" w:type="dxa"/>
            <w:noWrap w:val="0"/>
            <w:vAlign w:val="center"/>
          </w:tcPr>
          <w:p w14:paraId="22AE29FB">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马钢、宝武钢、鞍钢、首钢</w:t>
            </w:r>
          </w:p>
        </w:tc>
        <w:tc>
          <w:tcPr>
            <w:tcW w:w="1090" w:type="dxa"/>
            <w:noWrap w:val="0"/>
            <w:vAlign w:val="top"/>
          </w:tcPr>
          <w:p w14:paraId="26B958AC">
            <w:pPr>
              <w:spacing w:line="360" w:lineRule="auto"/>
              <w:rPr>
                <w:rFonts w:hint="default" w:ascii="Times New Roman" w:hAnsi="Times New Roman" w:eastAsia="宋体" w:cs="Times New Roman"/>
                <w:b w:val="0"/>
                <w:bCs w:val="0"/>
                <w:kern w:val="2"/>
                <w:sz w:val="24"/>
                <w:szCs w:val="24"/>
                <w:highlight w:val="none"/>
              </w:rPr>
            </w:pPr>
          </w:p>
        </w:tc>
      </w:tr>
      <w:tr w14:paraId="7B6D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5141D183">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2</w:t>
            </w:r>
          </w:p>
        </w:tc>
        <w:tc>
          <w:tcPr>
            <w:tcW w:w="2008" w:type="dxa"/>
            <w:noWrap w:val="0"/>
            <w:vAlign w:val="center"/>
          </w:tcPr>
          <w:p w14:paraId="77D02135">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热镀锌水管</w:t>
            </w:r>
          </w:p>
        </w:tc>
        <w:tc>
          <w:tcPr>
            <w:tcW w:w="4570" w:type="dxa"/>
            <w:noWrap w:val="0"/>
            <w:vAlign w:val="center"/>
          </w:tcPr>
          <w:p w14:paraId="0C89E1B6">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天津利达、天津双街、中山华捷、天津友发、浙江金</w:t>
            </w:r>
            <w:r>
              <w:rPr>
                <w:rFonts w:hint="default" w:ascii="Times New Roman" w:hAnsi="Times New Roman" w:eastAsia="宋体" w:cs="Times New Roman"/>
                <w:b w:val="0"/>
                <w:bCs w:val="0"/>
                <w:kern w:val="0"/>
                <w:sz w:val="24"/>
                <w:szCs w:val="24"/>
                <w:highlight w:val="none"/>
                <w:lang w:eastAsia="zh-CN"/>
              </w:rPr>
              <w:t>洲</w:t>
            </w:r>
          </w:p>
        </w:tc>
        <w:tc>
          <w:tcPr>
            <w:tcW w:w="1090" w:type="dxa"/>
            <w:noWrap w:val="0"/>
            <w:vAlign w:val="top"/>
          </w:tcPr>
          <w:p w14:paraId="2CDDA797">
            <w:pPr>
              <w:spacing w:line="360" w:lineRule="auto"/>
              <w:rPr>
                <w:rFonts w:hint="default" w:ascii="Times New Roman" w:hAnsi="Times New Roman" w:eastAsia="宋体" w:cs="Times New Roman"/>
                <w:b w:val="0"/>
                <w:bCs w:val="0"/>
                <w:kern w:val="2"/>
                <w:sz w:val="24"/>
                <w:szCs w:val="24"/>
                <w:highlight w:val="none"/>
              </w:rPr>
            </w:pPr>
          </w:p>
        </w:tc>
      </w:tr>
      <w:tr w14:paraId="36FC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556EF408">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3</w:t>
            </w:r>
          </w:p>
        </w:tc>
        <w:tc>
          <w:tcPr>
            <w:tcW w:w="2008" w:type="dxa"/>
            <w:noWrap w:val="0"/>
            <w:vAlign w:val="center"/>
          </w:tcPr>
          <w:p w14:paraId="47C2AC7E">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无缝钢管、螺旋缝电焊钢管</w:t>
            </w:r>
          </w:p>
        </w:tc>
        <w:tc>
          <w:tcPr>
            <w:tcW w:w="4570" w:type="dxa"/>
            <w:noWrap w:val="0"/>
            <w:vAlign w:val="center"/>
          </w:tcPr>
          <w:p w14:paraId="4326DDF2">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包钢、鞍钢、天津无缝钢管厂</w:t>
            </w:r>
          </w:p>
        </w:tc>
        <w:tc>
          <w:tcPr>
            <w:tcW w:w="1090" w:type="dxa"/>
            <w:noWrap w:val="0"/>
            <w:vAlign w:val="top"/>
          </w:tcPr>
          <w:p w14:paraId="408A5F6D">
            <w:pPr>
              <w:spacing w:line="360" w:lineRule="auto"/>
              <w:rPr>
                <w:rFonts w:hint="default" w:ascii="Times New Roman" w:hAnsi="Times New Roman" w:eastAsia="宋体" w:cs="Times New Roman"/>
                <w:b w:val="0"/>
                <w:bCs w:val="0"/>
                <w:kern w:val="2"/>
                <w:sz w:val="24"/>
                <w:szCs w:val="24"/>
                <w:highlight w:val="none"/>
              </w:rPr>
            </w:pPr>
          </w:p>
        </w:tc>
      </w:tr>
      <w:tr w14:paraId="66B6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DD83092">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4</w:t>
            </w:r>
          </w:p>
        </w:tc>
        <w:tc>
          <w:tcPr>
            <w:tcW w:w="2008" w:type="dxa"/>
            <w:noWrap w:val="0"/>
            <w:vAlign w:val="center"/>
          </w:tcPr>
          <w:p w14:paraId="0D1E292B">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阀门（钢制阀门、铜制阀门，不锈钢软接、过滤器、橡胶软接等）</w:t>
            </w:r>
          </w:p>
        </w:tc>
        <w:tc>
          <w:tcPr>
            <w:tcW w:w="4570" w:type="dxa"/>
            <w:noWrap w:val="0"/>
            <w:vAlign w:val="center"/>
          </w:tcPr>
          <w:p w14:paraId="1328A85C">
            <w:pPr>
              <w:spacing w:line="360" w:lineRule="auto"/>
              <w:jc w:val="left"/>
              <w:rPr>
                <w:rFonts w:hint="eastAsia" w:ascii="Times New Roman" w:hAnsi="Times New Roman" w:eastAsia="宋体" w:cs="Times New Roman"/>
                <w:b w:val="0"/>
                <w:bCs w:val="0"/>
                <w:kern w:val="2"/>
                <w:sz w:val="24"/>
                <w:szCs w:val="24"/>
                <w:highlight w:val="none"/>
                <w:lang w:eastAsia="zh-CN"/>
              </w:rPr>
            </w:pPr>
            <w:r>
              <w:rPr>
                <w:rFonts w:hint="default" w:ascii="Times New Roman" w:hAnsi="Times New Roman" w:eastAsia="宋体" w:cs="Times New Roman"/>
                <w:b w:val="0"/>
                <w:bCs w:val="0"/>
                <w:kern w:val="0"/>
                <w:sz w:val="24"/>
                <w:szCs w:val="24"/>
                <w:highlight w:val="none"/>
              </w:rPr>
              <w:t>上海冠龙、太仓阀安格、苏州纽威、上海阀门五厂、天津卡尔斯</w:t>
            </w:r>
            <w:r>
              <w:rPr>
                <w:rFonts w:hint="eastAsia" w:ascii="Times New Roman" w:hAnsi="Times New Roman" w:eastAsia="宋体" w:cs="Times New Roman"/>
                <w:b w:val="0"/>
                <w:bCs w:val="0"/>
                <w:kern w:val="0"/>
                <w:sz w:val="24"/>
                <w:szCs w:val="24"/>
                <w:highlight w:val="none"/>
                <w:lang w:eastAsia="zh-CN"/>
              </w:rPr>
              <w:t>、宁波埃美柯</w:t>
            </w:r>
          </w:p>
        </w:tc>
        <w:tc>
          <w:tcPr>
            <w:tcW w:w="1090" w:type="dxa"/>
            <w:noWrap w:val="0"/>
            <w:vAlign w:val="top"/>
          </w:tcPr>
          <w:p w14:paraId="7A4D9571">
            <w:pPr>
              <w:spacing w:line="360" w:lineRule="auto"/>
              <w:rPr>
                <w:rFonts w:hint="default" w:ascii="Times New Roman" w:hAnsi="Times New Roman" w:eastAsia="宋体" w:cs="Times New Roman"/>
                <w:b w:val="0"/>
                <w:bCs w:val="0"/>
                <w:kern w:val="2"/>
                <w:sz w:val="24"/>
                <w:szCs w:val="24"/>
                <w:highlight w:val="none"/>
              </w:rPr>
            </w:pPr>
          </w:p>
        </w:tc>
      </w:tr>
      <w:tr w14:paraId="603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2639C1B">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5</w:t>
            </w:r>
          </w:p>
        </w:tc>
        <w:tc>
          <w:tcPr>
            <w:tcW w:w="2008" w:type="dxa"/>
            <w:noWrap w:val="0"/>
            <w:vAlign w:val="center"/>
          </w:tcPr>
          <w:p w14:paraId="0381CC2E">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电动阀门（电动阀门+电动执行机构）</w:t>
            </w:r>
          </w:p>
        </w:tc>
        <w:tc>
          <w:tcPr>
            <w:tcW w:w="4570" w:type="dxa"/>
            <w:noWrap w:val="0"/>
            <w:vAlign w:val="center"/>
          </w:tcPr>
          <w:p w14:paraId="1CAD259C">
            <w:pPr>
              <w:spacing w:line="360" w:lineRule="auto"/>
              <w:jc w:val="left"/>
              <w:rPr>
                <w:rFonts w:hint="eastAsia" w:ascii="Times New Roman" w:hAnsi="Times New Roman" w:eastAsia="宋体" w:cs="Times New Roman"/>
                <w:b w:val="0"/>
                <w:bCs w:val="0"/>
                <w:kern w:val="2"/>
                <w:sz w:val="24"/>
                <w:szCs w:val="24"/>
                <w:highlight w:val="none"/>
                <w:lang w:eastAsia="zh-CN"/>
              </w:rPr>
            </w:pPr>
            <w:r>
              <w:rPr>
                <w:rFonts w:hint="default" w:ascii="Times New Roman" w:hAnsi="Times New Roman" w:eastAsia="宋体" w:cs="Times New Roman"/>
                <w:b w:val="0"/>
                <w:bCs w:val="0"/>
                <w:kern w:val="0"/>
                <w:sz w:val="24"/>
                <w:szCs w:val="24"/>
                <w:highlight w:val="none"/>
              </w:rPr>
              <w:t>上海冠龙、太仓阀安格、苏州纽威、上海阀门五厂、天津卡尔斯</w:t>
            </w:r>
            <w:r>
              <w:rPr>
                <w:rFonts w:hint="eastAsia" w:ascii="Times New Roman" w:hAnsi="Times New Roman" w:eastAsia="宋体" w:cs="Times New Roman"/>
                <w:b w:val="0"/>
                <w:bCs w:val="0"/>
                <w:kern w:val="0"/>
                <w:sz w:val="24"/>
                <w:szCs w:val="24"/>
                <w:highlight w:val="none"/>
                <w:lang w:eastAsia="zh-CN"/>
              </w:rPr>
              <w:t>、宁波埃美柯</w:t>
            </w:r>
          </w:p>
        </w:tc>
        <w:tc>
          <w:tcPr>
            <w:tcW w:w="1090" w:type="dxa"/>
            <w:noWrap w:val="0"/>
            <w:vAlign w:val="top"/>
          </w:tcPr>
          <w:p w14:paraId="43C8396D">
            <w:pPr>
              <w:spacing w:line="360" w:lineRule="auto"/>
              <w:rPr>
                <w:rFonts w:hint="default" w:ascii="Times New Roman" w:hAnsi="Times New Roman" w:eastAsia="宋体" w:cs="Times New Roman"/>
                <w:b w:val="0"/>
                <w:bCs w:val="0"/>
                <w:kern w:val="2"/>
                <w:sz w:val="24"/>
                <w:szCs w:val="24"/>
                <w:highlight w:val="none"/>
              </w:rPr>
            </w:pPr>
          </w:p>
        </w:tc>
      </w:tr>
      <w:tr w14:paraId="20D4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F480458">
            <w:pPr>
              <w:spacing w:line="360" w:lineRule="auto"/>
              <w:jc w:val="center"/>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lang w:val="en-US" w:eastAsia="zh-CN"/>
              </w:rPr>
              <w:t>6</w:t>
            </w:r>
          </w:p>
        </w:tc>
        <w:tc>
          <w:tcPr>
            <w:tcW w:w="2008" w:type="dxa"/>
            <w:noWrap w:val="0"/>
            <w:vAlign w:val="center"/>
          </w:tcPr>
          <w:p w14:paraId="21090695">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橡塑保温材料</w:t>
            </w:r>
          </w:p>
        </w:tc>
        <w:tc>
          <w:tcPr>
            <w:tcW w:w="4570" w:type="dxa"/>
            <w:noWrap w:val="0"/>
            <w:vAlign w:val="center"/>
          </w:tcPr>
          <w:p w14:paraId="6AEDC6C1">
            <w:pPr>
              <w:spacing w:line="360" w:lineRule="auto"/>
              <w:jc w:val="left"/>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0"/>
                <w:sz w:val="24"/>
                <w:szCs w:val="24"/>
                <w:highlight w:val="none"/>
              </w:rPr>
              <w:t>大成杜肯、华美、阿乐斯、华能</w:t>
            </w:r>
          </w:p>
        </w:tc>
        <w:tc>
          <w:tcPr>
            <w:tcW w:w="1090" w:type="dxa"/>
            <w:noWrap w:val="0"/>
            <w:vAlign w:val="top"/>
          </w:tcPr>
          <w:p w14:paraId="6263B907">
            <w:pPr>
              <w:spacing w:line="360" w:lineRule="auto"/>
              <w:rPr>
                <w:rFonts w:hint="default" w:ascii="Times New Roman" w:hAnsi="Times New Roman" w:eastAsia="宋体" w:cs="Times New Roman"/>
                <w:b w:val="0"/>
                <w:bCs w:val="0"/>
                <w:kern w:val="2"/>
                <w:sz w:val="24"/>
                <w:szCs w:val="24"/>
                <w:highlight w:val="none"/>
              </w:rPr>
            </w:pPr>
          </w:p>
        </w:tc>
      </w:tr>
    </w:tbl>
    <w:p w14:paraId="4DC8D0F3">
      <w:pPr>
        <w:topLinePunct/>
        <w:spacing w:line="360" w:lineRule="auto"/>
        <w:ind w:firstLine="480" w:firstLineChars="200"/>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2"/>
          <w:sz w:val="24"/>
          <w:szCs w:val="24"/>
          <w:highlight w:val="none"/>
        </w:rPr>
        <w:t>注：</w:t>
      </w:r>
    </w:p>
    <w:p w14:paraId="7AA731DC">
      <w:pPr>
        <w:topLinePunct/>
        <w:spacing w:line="360" w:lineRule="auto"/>
        <w:ind w:firstLine="480" w:firstLineChars="200"/>
        <w:rPr>
          <w:rFonts w:hint="default" w:ascii="Times New Roman" w:hAnsi="Times New Roman" w:eastAsia="宋体" w:cs="Times New Roman"/>
          <w:b w:val="0"/>
          <w:bCs w:val="0"/>
          <w:kern w:val="2"/>
          <w:sz w:val="24"/>
          <w:szCs w:val="24"/>
          <w:highlight w:val="none"/>
        </w:rPr>
      </w:pPr>
      <w:r>
        <w:rPr>
          <w:rFonts w:hint="default" w:ascii="Times New Roman" w:hAnsi="Times New Roman" w:eastAsia="宋体" w:cs="Times New Roman"/>
          <w:b w:val="0"/>
          <w:bCs w:val="0"/>
          <w:kern w:val="2"/>
          <w:sz w:val="24"/>
          <w:szCs w:val="24"/>
          <w:highlight w:val="none"/>
        </w:rPr>
        <w:t>（1）以上产品设备，不具有限制性和排他性；</w:t>
      </w:r>
    </w:p>
    <w:p w14:paraId="7A5F2245">
      <w:pPr>
        <w:topLinePunct/>
        <w:spacing w:line="360" w:lineRule="auto"/>
        <w:ind w:firstLine="480" w:firstLineChars="200"/>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val="0"/>
          <w:bCs w:val="0"/>
          <w:kern w:val="2"/>
          <w:sz w:val="24"/>
          <w:szCs w:val="24"/>
          <w:highlight w:val="none"/>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14:paraId="52C8BA2C">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kern w:val="2"/>
          <w:sz w:val="24"/>
          <w:szCs w:val="24"/>
          <w:lang w:val="zh-CN" w:eastAsia="zh-CN" w:bidi="ar-SA"/>
        </w:rPr>
        <w:t>工程量清单</w:t>
      </w:r>
      <w:bookmarkEnd w:id="22"/>
      <w:bookmarkEnd w:id="23"/>
    </w:p>
    <w:bookmarkEnd w:id="24"/>
    <w:p w14:paraId="2AAB40C3">
      <w:pPr>
        <w:pageBreakBefore w:val="0"/>
        <w:widowControl w:val="0"/>
        <w:kinsoku/>
        <w:wordWrap/>
        <w:overflowPunct/>
        <w:topLinePunct w:val="0"/>
        <w:autoSpaceDE/>
        <w:autoSpaceDN/>
        <w:bidi w:val="0"/>
        <w:adjustRightInd/>
        <w:snapToGrid/>
        <w:spacing w:line="360" w:lineRule="auto"/>
        <w:ind w:firstLine="482" w:firstLineChars="200"/>
        <w:jc w:val="both"/>
        <w:textAlignment w:val="baseline"/>
        <w:rPr>
          <w:rFonts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另行发放。如工程量清单中涉及证明材料，供应商无须提供。如工程量清单中出现特定性、唯一性品牌的表述，该品牌仅作为参考，施工过程中不具有限定性。</w:t>
      </w:r>
    </w:p>
    <w:p w14:paraId="67674C62">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ascii="宋体" w:hAnsi="宋体" w:eastAsia="宋体" w:cs="宋体"/>
          <w:b/>
          <w:bCs/>
          <w:kern w:val="2"/>
          <w:sz w:val="24"/>
          <w:szCs w:val="24"/>
          <w:lang w:val="zh-CN" w:eastAsia="zh-CN" w:bidi="ar-SA"/>
        </w:rPr>
      </w:pPr>
      <w:bookmarkStart w:id="25" w:name="_Toc527541659"/>
      <w:bookmarkStart w:id="26" w:name="_Hlk165186373"/>
      <w:bookmarkStart w:id="27" w:name="_Toc4770"/>
      <w:bookmarkStart w:id="28" w:name="_Toc31135"/>
      <w:r>
        <w:rPr>
          <w:rFonts w:hint="eastAsia" w:ascii="宋体" w:hAnsi="宋体" w:eastAsia="宋体" w:cs="宋体"/>
          <w:b/>
          <w:bCs/>
          <w:kern w:val="2"/>
          <w:sz w:val="24"/>
          <w:szCs w:val="24"/>
          <w:lang w:val="en-US" w:eastAsia="zh-CN" w:bidi="ar-SA"/>
        </w:rPr>
        <w:t>六、</w:t>
      </w:r>
      <w:r>
        <w:rPr>
          <w:rFonts w:hint="eastAsia" w:ascii="宋体" w:hAnsi="宋体" w:eastAsia="宋体" w:cs="宋体"/>
          <w:b/>
          <w:bCs/>
          <w:kern w:val="2"/>
          <w:sz w:val="24"/>
          <w:szCs w:val="24"/>
          <w:lang w:val="zh-CN" w:eastAsia="zh-CN" w:bidi="ar-SA"/>
        </w:rPr>
        <w:t>图纸</w:t>
      </w:r>
      <w:bookmarkEnd w:id="25"/>
      <w:bookmarkEnd w:id="26"/>
      <w:bookmarkEnd w:id="27"/>
      <w:bookmarkEnd w:id="28"/>
    </w:p>
    <w:p w14:paraId="4B225BAD">
      <w:pPr>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本项目图纸成交后提供。</w:t>
      </w:r>
    </w:p>
    <w:p w14:paraId="312F868E">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七、采购人要求</w:t>
      </w:r>
    </w:p>
    <w:p w14:paraId="027FA92B">
      <w:pPr>
        <w:topLinePunct/>
        <w:spacing w:line="360" w:lineRule="auto"/>
        <w:ind w:firstLine="480" w:firstLineChars="200"/>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本项目为</w:t>
      </w:r>
      <w:r>
        <w:rPr>
          <w:rFonts w:hint="eastAsia" w:ascii="宋体" w:hAnsi="宋体" w:eastAsia="宋体" w:cs="宋体"/>
          <w:b/>
          <w:bCs/>
          <w:kern w:val="2"/>
          <w:sz w:val="24"/>
          <w:szCs w:val="24"/>
          <w:highlight w:val="none"/>
        </w:rPr>
        <w:t>统采分签分付</w:t>
      </w:r>
      <w:r>
        <w:rPr>
          <w:rFonts w:hint="eastAsia" w:ascii="宋体" w:hAnsi="宋体" w:eastAsia="宋体" w:cs="宋体"/>
          <w:b w:val="0"/>
          <w:bCs w:val="0"/>
          <w:kern w:val="2"/>
          <w:sz w:val="24"/>
          <w:szCs w:val="24"/>
          <w:highlight w:val="none"/>
        </w:rPr>
        <w:t>项目，各项目单位</w:t>
      </w:r>
      <w:r>
        <w:rPr>
          <w:rFonts w:hint="eastAsia" w:ascii="宋体" w:hAnsi="宋体" w:eastAsia="宋体" w:cs="宋体"/>
          <w:b w:val="0"/>
          <w:bCs w:val="0"/>
          <w:kern w:val="2"/>
          <w:sz w:val="24"/>
          <w:szCs w:val="24"/>
          <w:highlight w:val="none"/>
          <w:lang w:val="en-US" w:eastAsia="zh-CN"/>
        </w:rPr>
        <w:t>分别</w:t>
      </w:r>
      <w:r>
        <w:rPr>
          <w:rFonts w:hint="eastAsia" w:ascii="宋体" w:hAnsi="宋体" w:eastAsia="宋体" w:cs="宋体"/>
          <w:b w:val="0"/>
          <w:bCs w:val="0"/>
          <w:kern w:val="2"/>
          <w:sz w:val="24"/>
          <w:szCs w:val="24"/>
          <w:highlight w:val="none"/>
        </w:rPr>
        <w:t>与成交供应商签订施工合同，维修</w:t>
      </w:r>
      <w:r>
        <w:rPr>
          <w:rFonts w:hint="eastAsia" w:ascii="宋体" w:hAnsi="宋体" w:eastAsia="宋体" w:cs="宋体"/>
          <w:b w:val="0"/>
          <w:bCs w:val="0"/>
          <w:kern w:val="2"/>
          <w:sz w:val="24"/>
          <w:szCs w:val="24"/>
          <w:highlight w:val="none"/>
          <w:lang w:val="en-US" w:eastAsia="zh-CN"/>
        </w:rPr>
        <w:t>改造</w:t>
      </w:r>
      <w:r>
        <w:rPr>
          <w:rFonts w:hint="eastAsia" w:ascii="宋体" w:hAnsi="宋体" w:eastAsia="宋体" w:cs="宋体"/>
          <w:b w:val="0"/>
          <w:bCs w:val="0"/>
          <w:kern w:val="2"/>
          <w:sz w:val="24"/>
          <w:szCs w:val="24"/>
          <w:highlight w:val="none"/>
        </w:rPr>
        <w:t>项目施工费用由项目所属单位支付。</w:t>
      </w:r>
    </w:p>
    <w:p w14:paraId="0963E22F">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本项目为</w:t>
      </w:r>
      <w:r>
        <w:rPr>
          <w:rFonts w:hint="eastAsia" w:ascii="宋体" w:hAnsi="宋体" w:eastAsia="宋体" w:cs="宋体"/>
          <w:b/>
          <w:bCs/>
          <w:kern w:val="2"/>
          <w:sz w:val="24"/>
          <w:szCs w:val="24"/>
          <w:highlight w:val="none"/>
          <w:lang w:val="en-US" w:eastAsia="zh-CN"/>
        </w:rPr>
        <w:t>单价合同</w:t>
      </w:r>
      <w:r>
        <w:rPr>
          <w:rFonts w:hint="eastAsia" w:ascii="宋体" w:hAnsi="宋体" w:eastAsia="宋体" w:cs="宋体"/>
          <w:b w:val="0"/>
          <w:bCs w:val="0"/>
          <w:kern w:val="2"/>
          <w:sz w:val="24"/>
          <w:szCs w:val="24"/>
          <w:highlight w:val="none"/>
          <w:lang w:val="en-US" w:eastAsia="zh-CN"/>
        </w:rPr>
        <w:t>，</w:t>
      </w:r>
      <w:r>
        <w:rPr>
          <w:rFonts w:hint="eastAsia" w:ascii="宋体" w:hAnsi="宋体" w:eastAsia="宋体" w:cs="宋体"/>
          <w:b w:val="0"/>
          <w:bCs w:val="0"/>
          <w:kern w:val="2"/>
          <w:sz w:val="24"/>
          <w:szCs w:val="24"/>
          <w:highlight w:val="none"/>
        </w:rPr>
        <w:t>项目竣工验收通过后，进行工程结算审</w:t>
      </w:r>
      <w:r>
        <w:rPr>
          <w:rFonts w:hint="eastAsia" w:ascii="宋体" w:hAnsi="宋体" w:eastAsia="宋体" w:cs="宋体"/>
          <w:b w:val="0"/>
          <w:bCs w:val="0"/>
          <w:kern w:val="2"/>
          <w:sz w:val="24"/>
          <w:szCs w:val="24"/>
          <w:highlight w:val="none"/>
          <w:lang w:val="en-US" w:eastAsia="zh-CN"/>
        </w:rPr>
        <w:t>核</w:t>
      </w:r>
      <w:r>
        <w:rPr>
          <w:rFonts w:hint="eastAsia" w:ascii="宋体" w:hAnsi="宋体" w:eastAsia="宋体" w:cs="宋体"/>
          <w:b w:val="0"/>
          <w:bCs w:val="0"/>
          <w:kern w:val="2"/>
          <w:sz w:val="24"/>
          <w:szCs w:val="24"/>
          <w:highlight w:val="none"/>
        </w:rPr>
        <w:t>，结算审</w:t>
      </w:r>
      <w:r>
        <w:rPr>
          <w:rFonts w:hint="eastAsia" w:ascii="宋体" w:hAnsi="宋体" w:eastAsia="宋体" w:cs="宋体"/>
          <w:b w:val="0"/>
          <w:bCs w:val="0"/>
          <w:kern w:val="2"/>
          <w:sz w:val="24"/>
          <w:szCs w:val="24"/>
          <w:highlight w:val="none"/>
          <w:lang w:val="en-US" w:eastAsia="zh-CN"/>
        </w:rPr>
        <w:t>核</w:t>
      </w:r>
      <w:r>
        <w:rPr>
          <w:rFonts w:hint="eastAsia" w:ascii="宋体" w:hAnsi="宋体" w:eastAsia="宋体" w:cs="宋体"/>
          <w:b w:val="0"/>
          <w:bCs w:val="0"/>
          <w:kern w:val="2"/>
          <w:sz w:val="24"/>
          <w:szCs w:val="24"/>
          <w:highlight w:val="none"/>
        </w:rPr>
        <w:t>价不得超过</w:t>
      </w:r>
      <w:r>
        <w:rPr>
          <w:rFonts w:hint="eastAsia" w:ascii="宋体" w:hAnsi="宋体" w:eastAsia="宋体" w:cs="宋体"/>
          <w:b w:val="0"/>
          <w:bCs w:val="0"/>
          <w:kern w:val="2"/>
          <w:sz w:val="24"/>
          <w:szCs w:val="24"/>
          <w:highlight w:val="none"/>
          <w:lang w:val="en-US" w:eastAsia="zh-CN"/>
        </w:rPr>
        <w:t>项目预算</w:t>
      </w:r>
      <w:r>
        <w:rPr>
          <w:rFonts w:hint="eastAsia" w:ascii="宋体" w:hAnsi="宋体" w:eastAsia="宋体" w:cs="宋体"/>
          <w:b w:val="0"/>
          <w:bCs w:val="0"/>
          <w:kern w:val="2"/>
          <w:sz w:val="24"/>
          <w:szCs w:val="24"/>
          <w:highlight w:val="none"/>
        </w:rPr>
        <w:t>，如超出，超出部分不另行支付，由成交</w:t>
      </w:r>
      <w:r>
        <w:rPr>
          <w:rFonts w:hint="eastAsia" w:ascii="宋体" w:hAnsi="宋体"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自行承担</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rPr>
        <w:t>如结算价不超过</w:t>
      </w:r>
      <w:r>
        <w:rPr>
          <w:rFonts w:hint="eastAsia" w:ascii="宋体" w:hAnsi="宋体" w:eastAsia="宋体" w:cs="宋体"/>
          <w:b w:val="0"/>
          <w:bCs w:val="0"/>
          <w:kern w:val="2"/>
          <w:sz w:val="24"/>
          <w:szCs w:val="24"/>
          <w:highlight w:val="none"/>
          <w:lang w:val="en-US" w:eastAsia="zh-CN"/>
        </w:rPr>
        <w:t>项目预算</w:t>
      </w:r>
      <w:r>
        <w:rPr>
          <w:rFonts w:hint="eastAsia" w:ascii="宋体" w:hAnsi="宋体" w:eastAsia="宋体" w:cs="宋体"/>
          <w:b w:val="0"/>
          <w:bCs w:val="0"/>
          <w:kern w:val="2"/>
          <w:sz w:val="24"/>
          <w:szCs w:val="24"/>
          <w:highlight w:val="none"/>
        </w:rPr>
        <w:t>，据实结算，支付余款。成交</w:t>
      </w:r>
      <w:r>
        <w:rPr>
          <w:rFonts w:hint="eastAsia" w:ascii="宋体" w:hAnsi="宋体"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提供足额有效增值税票据后，采购人支付</w:t>
      </w:r>
      <w:r>
        <w:rPr>
          <w:rFonts w:hint="eastAsia" w:ascii="宋体" w:hAnsi="宋体" w:eastAsia="宋体" w:cs="宋体"/>
          <w:b w:val="0"/>
          <w:bCs w:val="0"/>
          <w:kern w:val="2"/>
          <w:sz w:val="24"/>
          <w:szCs w:val="24"/>
          <w:highlight w:val="none"/>
          <w:lang w:val="en-US" w:eastAsia="zh-CN"/>
        </w:rPr>
        <w:t>。</w:t>
      </w:r>
      <w:bookmarkStart w:id="29" w:name="OLE_LINK15"/>
    </w:p>
    <w:p w14:paraId="62B69846">
      <w:pPr>
        <w:widowControl w:val="0"/>
        <w:topLinePunct w:val="0"/>
        <w:adjustRightInd w:val="0"/>
        <w:snapToGrid w:val="0"/>
        <w:spacing w:line="360" w:lineRule="auto"/>
        <w:ind w:firstLine="482" w:firstLineChars="200"/>
        <w:jc w:val="both"/>
        <w:textAlignment w:val="baseline"/>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供应商报价不超过本项目总预算</w:t>
      </w:r>
      <w:r>
        <w:rPr>
          <w:rFonts w:hint="default" w:ascii="宋体" w:hAnsi="宋体" w:eastAsia="宋体" w:cs="宋体"/>
          <w:b/>
          <w:color w:val="auto"/>
          <w:sz w:val="24"/>
          <w:szCs w:val="24"/>
          <w:lang w:val="en-US" w:eastAsia="zh-CN" w:bidi="ar-SA"/>
        </w:rPr>
        <w:t>12</w:t>
      </w:r>
      <w:r>
        <w:rPr>
          <w:rFonts w:hint="eastAsia" w:ascii="宋体" w:hAnsi="宋体" w:eastAsia="宋体" w:cs="宋体"/>
          <w:b/>
          <w:color w:val="auto"/>
          <w:sz w:val="24"/>
          <w:szCs w:val="24"/>
          <w:lang w:val="en-US" w:eastAsia="zh" w:bidi="ar-SA"/>
        </w:rPr>
        <w:t>64.62</w:t>
      </w:r>
      <w:r>
        <w:rPr>
          <w:rFonts w:hint="eastAsia" w:ascii="宋体" w:hAnsi="宋体" w:eastAsia="宋体" w:cs="宋体"/>
          <w:b/>
          <w:color w:val="auto"/>
          <w:sz w:val="24"/>
          <w:szCs w:val="24"/>
          <w:lang w:val="en-US" w:eastAsia="zh-CN" w:bidi="ar-SA"/>
        </w:rPr>
        <w:t>万元，且不得超过各分项预算：2026省直机关办公用房维修改造项目预算1053.22万元（其中</w:t>
      </w:r>
      <w:r>
        <w:rPr>
          <w:rFonts w:hint="eastAsia" w:ascii="宋体" w:hAnsi="宋体" w:eastAsia="宋体" w:cs="宋体"/>
          <w:b/>
          <w:i w:val="0"/>
          <w:iCs w:val="0"/>
          <w:caps w:val="0"/>
          <w:color w:val="auto"/>
          <w:spacing w:val="0"/>
          <w:kern w:val="0"/>
          <w:sz w:val="24"/>
          <w:szCs w:val="24"/>
          <w:shd w:val="clear"/>
          <w:lang w:val="en-US" w:eastAsia="zh-CN" w:bidi="ar"/>
        </w:rPr>
        <w:t>3家企业按产权比例分摊维修费用</w:t>
      </w:r>
      <w:r>
        <w:rPr>
          <w:rFonts w:hint="eastAsia" w:ascii="宋体" w:hAnsi="宋体" w:eastAsia="宋体" w:cs="宋体"/>
          <w:b/>
          <w:color w:val="auto"/>
          <w:sz w:val="24"/>
          <w:szCs w:val="24"/>
          <w:lang w:val="en-US" w:eastAsia="zh-CN" w:bidi="ar-SA"/>
        </w:rPr>
        <w:t>并分别签订维修合同</w:t>
      </w:r>
      <w:r>
        <w:rPr>
          <w:rFonts w:hint="eastAsia" w:ascii="宋体" w:hAnsi="宋体" w:eastAsia="宋体" w:cs="宋体"/>
          <w:b/>
          <w:i w:val="0"/>
          <w:iCs w:val="0"/>
          <w:caps w:val="0"/>
          <w:color w:val="auto"/>
          <w:spacing w:val="0"/>
          <w:kern w:val="0"/>
          <w:sz w:val="24"/>
          <w:szCs w:val="24"/>
          <w:shd w:val="clear"/>
          <w:lang w:val="en-US" w:eastAsia="zh-CN" w:bidi="ar"/>
        </w:rPr>
        <w:t>，分别为：</w:t>
      </w:r>
      <w:r>
        <w:rPr>
          <w:rFonts w:hint="eastAsia" w:ascii="宋体" w:hAnsi="宋体" w:eastAsia="宋体" w:cs="宋体"/>
          <w:b/>
          <w:color w:val="auto"/>
          <w:sz w:val="24"/>
          <w:szCs w:val="24"/>
          <w:lang w:val="en-US" w:eastAsia="zh-CN" w:bidi="ar-SA"/>
        </w:rPr>
        <w:t>同济大厦</w:t>
      </w:r>
      <w:r>
        <w:rPr>
          <w:rFonts w:hint="eastAsia" w:ascii="宋体" w:hAnsi="宋体" w:eastAsia="宋体" w:cs="宋体"/>
          <w:b/>
          <w:i w:val="0"/>
          <w:iCs w:val="0"/>
          <w:caps w:val="0"/>
          <w:color w:val="auto"/>
          <w:spacing w:val="0"/>
          <w:kern w:val="0"/>
          <w:sz w:val="24"/>
          <w:szCs w:val="24"/>
          <w:shd w:val="clear"/>
          <w:lang w:val="en-US" w:eastAsia="zh-CN" w:bidi="ar"/>
        </w:rPr>
        <w:t>国元证券股份有限公司、</w:t>
      </w:r>
      <w:r>
        <w:rPr>
          <w:rFonts w:hint="eastAsia" w:ascii="宋体" w:hAnsi="宋体" w:eastAsia="宋体" w:cs="宋体"/>
          <w:b/>
          <w:color w:val="auto"/>
          <w:sz w:val="24"/>
          <w:szCs w:val="24"/>
          <w:lang w:val="en-US" w:eastAsia="zh-CN" w:bidi="ar-SA"/>
        </w:rPr>
        <w:t>同济大厦</w:t>
      </w:r>
      <w:r>
        <w:rPr>
          <w:rFonts w:hint="eastAsia" w:ascii="宋体" w:hAnsi="宋体" w:eastAsia="宋体" w:cs="宋体"/>
          <w:b/>
          <w:i w:val="0"/>
          <w:iCs w:val="0"/>
          <w:caps w:val="0"/>
          <w:color w:val="auto"/>
          <w:spacing w:val="0"/>
          <w:kern w:val="0"/>
          <w:sz w:val="24"/>
          <w:szCs w:val="24"/>
          <w:shd w:val="clear"/>
          <w:lang w:val="en-US" w:eastAsia="zh-CN" w:bidi="ar"/>
        </w:rPr>
        <w:t>合肥市中小企业融资担保有限公司、</w:t>
      </w:r>
      <w:r>
        <w:rPr>
          <w:rFonts w:hint="eastAsia" w:ascii="宋体" w:hAnsi="宋体" w:eastAsia="宋体" w:cs="宋体"/>
          <w:b/>
          <w:color w:val="auto"/>
          <w:sz w:val="24"/>
          <w:szCs w:val="24"/>
          <w:lang w:val="en-US" w:eastAsia="zh-CN" w:bidi="ar-SA"/>
        </w:rPr>
        <w:t>金安大厦</w:t>
      </w:r>
      <w:r>
        <w:rPr>
          <w:rFonts w:hint="eastAsia" w:ascii="宋体" w:hAnsi="宋体" w:eastAsia="宋体" w:cs="宋体"/>
          <w:b/>
          <w:i w:val="0"/>
          <w:iCs w:val="0"/>
          <w:caps w:val="0"/>
          <w:color w:val="auto"/>
          <w:spacing w:val="0"/>
          <w:kern w:val="0"/>
          <w:sz w:val="24"/>
          <w:szCs w:val="24"/>
          <w:shd w:val="clear"/>
          <w:lang w:val="en-US" w:eastAsia="zh-CN" w:bidi="ar"/>
        </w:rPr>
        <w:t>安徽省华安进出口有限公司</w:t>
      </w:r>
      <w:r>
        <w:rPr>
          <w:rFonts w:hint="eastAsia" w:ascii="宋体" w:hAnsi="宋体" w:eastAsia="宋体" w:cs="宋体"/>
          <w:b/>
          <w:color w:val="auto"/>
          <w:sz w:val="24"/>
          <w:szCs w:val="24"/>
          <w:lang w:val="en-US" w:eastAsia="zh-CN" w:bidi="ar-SA"/>
        </w:rPr>
        <w:t>）、政务大厦管理中心项目预算95.08万元、生活服务处项目预算14.96万元、曙光新村管理处项目预算79.35万元、</w:t>
      </w:r>
      <w:r>
        <w:rPr>
          <w:rFonts w:hint="eastAsia" w:ascii="宋体" w:hAnsi="宋体" w:eastAsia="宋体" w:cs="宋体"/>
          <w:b/>
          <w:bCs w:val="0"/>
          <w:color w:val="auto"/>
          <w:kern w:val="0"/>
          <w:sz w:val="24"/>
          <w:szCs w:val="24"/>
          <w:lang w:val="en-US" w:eastAsia="zh-CN" w:bidi="ar-SA"/>
        </w:rPr>
        <w:t>省直机关共享办公用房维修改造项目</w:t>
      </w:r>
      <w:r>
        <w:rPr>
          <w:rFonts w:hint="eastAsia" w:ascii="宋体" w:hAnsi="宋体" w:eastAsia="宋体" w:cs="宋体"/>
          <w:b/>
          <w:color w:val="auto"/>
          <w:sz w:val="24"/>
          <w:szCs w:val="24"/>
          <w:lang w:val="en-US" w:eastAsia="zh-CN" w:bidi="ar-SA"/>
        </w:rPr>
        <w:t>预算22.01万元，超过总预算或各分项预算视为无效响应、超过最高限价或各分项最高限价（各分项最高限价详见控制价）视为无效响应。</w:t>
      </w:r>
      <w:bookmarkEnd w:id="29"/>
    </w:p>
    <w:p w14:paraId="21019071">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以下任一情形，成交供应商第一次发生将被予以警告，第二次发生将被扣除履约保证金的50%，第三次发生采购人有权单方面解约、全部履约保证金不予退还， 如给采购人造成损失的，成交供应商须进行赔偿并承担相应责任：</w:t>
      </w:r>
    </w:p>
    <w:p w14:paraId="366E402B">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（1）未按照定额、信息价等计价规范擅自提高报价的；</w:t>
      </w:r>
    </w:p>
    <w:p w14:paraId="15533F42">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（2）除采购人原因外，未按施工任务安排及时开工的；</w:t>
      </w:r>
    </w:p>
    <w:p w14:paraId="5FED4BF4">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（3）未按施工合同规定的工期完成施工任务的；</w:t>
      </w:r>
    </w:p>
    <w:p w14:paraId="5B32CA3E">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在履行维修合同过程中，出现消极履约或不配合行为的。包括但不限于：对分配的维修任务以各种不正当理由推诿、拒绝承接；在维修条件基本具备的情况下，夸大施工难度或强调客观困难，经采购人督促仍不积极组织施工的；对采购人发出的维修指令或整改要求，未在规定时限内响应或反馈；未按施工规范或行业标准进行作业，存在敷衍拖拉、偷工减料、降低质量标准的行为。</w:t>
      </w:r>
    </w:p>
    <w:p w14:paraId="5D73AF41">
      <w:pPr>
        <w:topLinePunct/>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（5）预结算申报超过合理时限的；</w:t>
      </w:r>
    </w:p>
    <w:p w14:paraId="28D0C1FE">
      <w:pPr>
        <w:topLinePunct/>
        <w:spacing w:line="360" w:lineRule="auto"/>
        <w:ind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2"/>
          <w:sz w:val="24"/>
          <w:szCs w:val="24"/>
          <w:highlight w:val="none"/>
          <w:lang w:val="en-US" w:eastAsia="zh-CN"/>
        </w:rPr>
        <w:t>（6）保修未按规定及时服务的。</w:t>
      </w:r>
    </w:p>
    <w:p w14:paraId="03B34859">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八、其他要求</w:t>
      </w:r>
    </w:p>
    <w:p w14:paraId="6977AD5B">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本项目成交供应商不得将工程转包</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不得擅自转让履约责任</w:t>
      </w:r>
      <w:r>
        <w:rPr>
          <w:rFonts w:hint="eastAsia" w:ascii="宋体" w:hAnsi="宋体" w:eastAsia="宋体" w:cs="宋体"/>
          <w:b w:val="0"/>
          <w:bCs w:val="0"/>
          <w:color w:val="000000"/>
          <w:kern w:val="0"/>
          <w:sz w:val="24"/>
          <w:szCs w:val="24"/>
          <w:lang w:eastAsia="zh-CN"/>
        </w:rPr>
        <w:t>。</w:t>
      </w:r>
    </w:p>
    <w:p w14:paraId="785AC8F8">
      <w:pPr>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响应承诺的项目经理、技术负责人、专业工程师及施工机械，施工期间须在岗在位；供应商应结合项目实施范围及区域分布，组建若干专业施工团队，明确分工、责任到人。</w:t>
      </w:r>
    </w:p>
    <w:p w14:paraId="248BEE9D">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rPr>
        <w:t>）不得擅自更换项目经理及项目部主要管理人员，确需更换须经采购人书面同意，更换人员资质不低于原标准。</w:t>
      </w:r>
    </w:p>
    <w:p w14:paraId="050DEB8B">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）成交供应商履约过程中发生任何安全事故，或其他过错给采购人造成严重损失，采购人有权单方面解除合同并追究其应当承担的责任。</w:t>
      </w:r>
    </w:p>
    <w:p w14:paraId="4F482114">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rPr>
        <w:t>）成交供应商自行采购的材料应满足设计和规范要求的质量等级，并须按有关技术规范要求对材料质量进行检验。</w:t>
      </w:r>
    </w:p>
    <w:p w14:paraId="073EB101">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6</w:t>
      </w:r>
      <w:r>
        <w:rPr>
          <w:rFonts w:hint="eastAsia" w:ascii="宋体" w:hAnsi="宋体" w:eastAsia="宋体" w:cs="宋体"/>
          <w:b w:val="0"/>
          <w:bCs w:val="0"/>
          <w:color w:val="000000"/>
          <w:kern w:val="0"/>
          <w:sz w:val="24"/>
          <w:szCs w:val="24"/>
        </w:rPr>
        <w:t>）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618FA822">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7</w:t>
      </w:r>
      <w:r>
        <w:rPr>
          <w:rFonts w:hint="eastAsia" w:ascii="宋体" w:hAnsi="宋体" w:eastAsia="宋体" w:cs="宋体"/>
          <w:b w:val="0"/>
          <w:bCs w:val="0"/>
          <w:color w:val="000000"/>
          <w:kern w:val="0"/>
          <w:sz w:val="24"/>
          <w:szCs w:val="24"/>
        </w:rPr>
        <w:t>）质量要求：工程质量须符合相关规范，达到合格标准。</w:t>
      </w:r>
    </w:p>
    <w:p w14:paraId="641E96E9">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8</w:t>
      </w:r>
      <w:r>
        <w:rPr>
          <w:rFonts w:hint="eastAsia" w:ascii="宋体" w:hAnsi="宋体" w:eastAsia="宋体" w:cs="宋体"/>
          <w:b w:val="0"/>
          <w:bCs w:val="0"/>
          <w:color w:val="000000"/>
          <w:kern w:val="0"/>
          <w:sz w:val="24"/>
          <w:szCs w:val="24"/>
        </w:rPr>
        <w:t>）保修要求：不低于中华人民共和国建设部[2000]80号令规定保修期限。免费质保期自竣工验收签字之日起计，在保修期内因施工质量而造成返修，其费用由成交供应商负责。</w:t>
      </w:r>
    </w:p>
    <w:p w14:paraId="1003C5D1">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9</w:t>
      </w:r>
      <w:r>
        <w:rPr>
          <w:rFonts w:hint="eastAsia" w:ascii="宋体" w:hAnsi="宋体" w:eastAsia="宋体" w:cs="宋体"/>
          <w:b w:val="0"/>
          <w:bCs w:val="0"/>
          <w:color w:val="000000"/>
          <w:kern w:val="0"/>
          <w:sz w:val="24"/>
          <w:szCs w:val="24"/>
        </w:rPr>
        <w:t>）所有施工人员要做到文明施工，包括不随地乱扔杂物、烟蒂，严禁不文明行为</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车辆按照采购人指定</w:t>
      </w:r>
      <w:r>
        <w:rPr>
          <w:rFonts w:hint="eastAsia" w:ascii="宋体" w:hAnsi="宋体" w:eastAsia="宋体" w:cs="宋体"/>
          <w:b w:val="0"/>
          <w:bCs w:val="0"/>
          <w:color w:val="000000"/>
          <w:kern w:val="0"/>
          <w:sz w:val="24"/>
          <w:szCs w:val="24"/>
          <w:lang w:val="en-US" w:eastAsia="zh-CN"/>
        </w:rPr>
        <w:t>区域</w:t>
      </w:r>
      <w:r>
        <w:rPr>
          <w:rFonts w:hint="eastAsia" w:ascii="宋体" w:hAnsi="宋体" w:eastAsia="宋体" w:cs="宋体"/>
          <w:b w:val="0"/>
          <w:bCs w:val="0"/>
          <w:color w:val="000000"/>
          <w:kern w:val="0"/>
          <w:sz w:val="24"/>
          <w:szCs w:val="24"/>
        </w:rPr>
        <w:t>有序停放。</w:t>
      </w:r>
    </w:p>
    <w:p w14:paraId="00A74BEC">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0</w:t>
      </w:r>
      <w:r>
        <w:rPr>
          <w:rFonts w:hint="eastAsia" w:ascii="宋体" w:hAnsi="宋体" w:eastAsia="宋体" w:cs="宋体"/>
          <w:b w:val="0"/>
          <w:bCs w:val="0"/>
          <w:color w:val="000000"/>
          <w:kern w:val="0"/>
          <w:sz w:val="24"/>
          <w:szCs w:val="24"/>
        </w:rPr>
        <w:t>）所有施工人员要服从采购人安全管理，落实安全措施，保障施工及人员通行安全</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确保施工安全、人身安全。</w:t>
      </w:r>
    </w:p>
    <w:p w14:paraId="62C53AEC">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）装修施工时间限制：为避免影响工作人员休息，在采购人明确的禁止施工时间段内不得施工。</w:t>
      </w:r>
    </w:p>
    <w:p w14:paraId="5E90B580">
      <w:pPr>
        <w:spacing w:line="360" w:lineRule="auto"/>
        <w:ind w:firstLine="480" w:firstLineChars="20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）配备专职安全员，健全动火、用电安全申请批准制度</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建立施工安全用电制度，确保施工用电设备的完好无损，并设置漏电保护装置。</w:t>
      </w:r>
    </w:p>
    <w:p w14:paraId="447B3C64">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（13）施工场地要围挡作业的，应有护栏物隔离，并有明显的非施工人员不得入内的标志，安排专人负责围挡周围安全，严防非工作人员</w:t>
      </w:r>
      <w:r>
        <w:rPr>
          <w:rFonts w:hint="eastAsia" w:ascii="宋体" w:hAnsi="宋体" w:eastAsia="宋体" w:cs="宋体"/>
          <w:b w:val="0"/>
          <w:bCs w:val="0"/>
          <w:color w:val="000000"/>
          <w:kern w:val="0"/>
          <w:sz w:val="24"/>
          <w:szCs w:val="24"/>
        </w:rPr>
        <w:t>入内。对施工点的重要安全部位要重点看护，预防发生意外事故。</w:t>
      </w:r>
    </w:p>
    <w:p w14:paraId="0DAE82FB">
      <w:pPr>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施工材料采购前，成交供应商应将材料样品报采购人现场施工管理人员，经核准后采购，监理单位应做好材料样品留存、记录及材料进场查验工作。施工期间涉及防水、管材、电缆、涂料等主料须满足该材料的国家强制性标准并经采购人允许。</w:t>
      </w:r>
    </w:p>
    <w:p w14:paraId="4341F057">
      <w:pPr>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（15）成交供应商接到维修、改造任务后须尽快组织人员进入施工现场。</w:t>
      </w:r>
    </w:p>
    <w:p w14:paraId="74710866">
      <w:pPr>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（16）成交供应商在工程施工期间，配置一定数量的消防器材，并报送采购人核准、备案。</w:t>
      </w:r>
    </w:p>
    <w:p w14:paraId="58CEE9D5">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A05AF"/>
    <w:rsid w:val="10394623"/>
    <w:rsid w:val="1BDA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eastAsia="仿宋" w:asciiTheme="minorHAnsi" w:hAnsiTheme="minorHAnsi" w:cstheme="minorBidi"/>
      <w:b/>
      <w:bCs/>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2026-04-16T06:22:00Z</dcterms:created>
  <dc:creator>省招</dc:creator>
  <cp:lastModifiedBy>省招</cp:lastModifiedBy>
  <dcterms:modified xsi:type="dcterms:W3CDTF">2026-04-16T06:22:52Z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62DA6591158943C4AACAC084E532D1EE_11</vt:lpwstr>
  </property>
  <property fmtid="{D5CDD505-2E9C-101B-9397-08002B2CF9AE}" pid="4" name="KSOTemplateDocerSaveRecord">
    <vt:lpwstr>eyJoZGlkIjoiNGMwMTQ4YTY5ZjhmMzQyYzc0YTE3NTkyOGVmODk0MTIiLCJ1c2VySWQiOiI2OTIxNzQ3NjMifQ==</vt:lpwstr>
  </property>
</Properties>
</file>