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0DD260">
      <w:pPr>
        <w:spacing w:line="360" w:lineRule="auto"/>
        <w:jc w:val="center"/>
        <w:outlineLvl w:val="0"/>
        <w:rPr>
          <w:rFonts w:hint="eastAsia" w:ascii="宋体" w:hAnsi="宋体" w:eastAsia="宋体"/>
          <w:b/>
          <w:color w:val="auto"/>
          <w:sz w:val="28"/>
          <w:highlight w:val="none"/>
        </w:rPr>
      </w:pPr>
      <w:r>
        <w:rPr>
          <w:rFonts w:hint="eastAsia" w:ascii="宋体" w:hAnsi="宋体" w:eastAsia="宋体"/>
          <w:b/>
          <w:color w:val="auto"/>
          <w:sz w:val="28"/>
          <w:highlight w:val="none"/>
        </w:rPr>
        <w:t>采购需求</w:t>
      </w:r>
    </w:p>
    <w:p w14:paraId="290CB0E2">
      <w:pPr>
        <w:snapToGrid w:val="0"/>
        <w:spacing w:line="360" w:lineRule="auto"/>
        <w:rPr>
          <w:rFonts w:hint="eastAsia" w:ascii="宋体" w:hAnsi="宋体" w:eastAsia="宋体"/>
          <w:b/>
          <w:color w:val="auto"/>
          <w:sz w:val="24"/>
          <w:szCs w:val="24"/>
          <w:highlight w:val="none"/>
        </w:rPr>
      </w:pPr>
      <w:r>
        <w:rPr>
          <w:rFonts w:hint="eastAsia" w:ascii="宋体" w:hAnsi="宋体" w:eastAsia="宋体"/>
          <w:b/>
          <w:color w:val="auto"/>
          <w:sz w:val="24"/>
          <w:szCs w:val="24"/>
          <w:highlight w:val="none"/>
        </w:rPr>
        <w:t>前注：</w:t>
      </w:r>
    </w:p>
    <w:p w14:paraId="2FC9308A">
      <w:pPr>
        <w:snapToGrid w:val="0"/>
        <w:spacing w:line="360" w:lineRule="auto"/>
        <w:ind w:firstLine="435"/>
        <w:rPr>
          <w:rFonts w:hint="eastAsia" w:ascii="宋体" w:hAnsi="宋体" w:eastAsia="宋体"/>
          <w:color w:val="auto"/>
          <w:sz w:val="24"/>
          <w:szCs w:val="24"/>
          <w:highlight w:val="none"/>
        </w:rPr>
      </w:pPr>
      <w:r>
        <w:rPr>
          <w:rFonts w:hint="eastAsia" w:ascii="宋体" w:hAnsi="宋体" w:eastAsia="宋体"/>
          <w:color w:val="auto"/>
          <w:sz w:val="24"/>
          <w:szCs w:val="24"/>
          <w:highlight w:val="none"/>
        </w:rPr>
        <w:t>1.</w:t>
      </w:r>
      <w:r>
        <w:rPr>
          <w:rFonts w:ascii="宋体" w:hAnsi="宋体" w:eastAsia="宋体"/>
          <w:color w:val="auto"/>
          <w:sz w:val="24"/>
          <w:szCs w:val="24"/>
          <w:highlight w:val="none"/>
        </w:rPr>
        <w:t>根据《</w:t>
      </w:r>
      <w:r>
        <w:rPr>
          <w:rFonts w:hint="eastAsia" w:ascii="宋体" w:hAnsi="宋体" w:eastAsia="宋体"/>
          <w:color w:val="auto"/>
          <w:sz w:val="24"/>
          <w:szCs w:val="24"/>
          <w:highlight w:val="none"/>
        </w:rPr>
        <w:t>政府采购进口产品管理办法</w:t>
      </w:r>
      <w:r>
        <w:rPr>
          <w:rFonts w:ascii="宋体" w:hAnsi="宋体" w:eastAsia="宋体"/>
          <w:color w:val="auto"/>
          <w:sz w:val="24"/>
          <w:szCs w:val="24"/>
          <w:highlight w:val="none"/>
        </w:rPr>
        <w:t>》及政府采购管理部门的相关规定，下列采购需求中</w:t>
      </w:r>
      <w:r>
        <w:rPr>
          <w:rFonts w:hint="eastAsia" w:ascii="宋体" w:hAnsi="宋体" w:eastAsia="宋体"/>
          <w:color w:val="auto"/>
          <w:sz w:val="24"/>
          <w:szCs w:val="24"/>
          <w:highlight w:val="none"/>
        </w:rPr>
        <w:t>标注进口产品的货物均</w:t>
      </w:r>
      <w:r>
        <w:rPr>
          <w:rFonts w:ascii="宋体" w:hAnsi="宋体" w:eastAsia="宋体"/>
          <w:color w:val="auto"/>
          <w:sz w:val="24"/>
          <w:szCs w:val="24"/>
          <w:highlight w:val="none"/>
        </w:rPr>
        <w:t>已履行相关论证手续，经核准采购进口</w:t>
      </w:r>
      <w:r>
        <w:rPr>
          <w:rFonts w:hint="eastAsia" w:ascii="宋体" w:hAnsi="宋体" w:eastAsia="宋体"/>
          <w:color w:val="auto"/>
          <w:sz w:val="24"/>
          <w:szCs w:val="24"/>
          <w:highlight w:val="none"/>
        </w:rPr>
        <w:t>产品</w:t>
      </w:r>
      <w:r>
        <w:rPr>
          <w:rFonts w:ascii="宋体" w:hAnsi="宋体" w:eastAsia="宋体"/>
          <w:color w:val="auto"/>
          <w:sz w:val="24"/>
          <w:szCs w:val="24"/>
          <w:highlight w:val="none"/>
        </w:rPr>
        <w:t>，但不限制满足招标文件要求的国内产品参与竞争</w:t>
      </w:r>
      <w:r>
        <w:rPr>
          <w:rFonts w:hint="eastAsia" w:ascii="宋体" w:hAnsi="宋体" w:eastAsia="宋体"/>
          <w:color w:val="auto"/>
          <w:sz w:val="24"/>
          <w:szCs w:val="24"/>
          <w:highlight w:val="none"/>
        </w:rPr>
        <w:t>。未标注进口产品的货物均</w:t>
      </w:r>
      <w:r>
        <w:rPr>
          <w:rFonts w:ascii="宋体" w:hAnsi="宋体" w:eastAsia="宋体"/>
          <w:color w:val="auto"/>
          <w:sz w:val="24"/>
          <w:szCs w:val="24"/>
          <w:highlight w:val="none"/>
        </w:rPr>
        <w:t>为拒绝采购进口产品</w:t>
      </w:r>
      <w:r>
        <w:rPr>
          <w:rFonts w:hint="eastAsia" w:ascii="宋体" w:hAnsi="宋体" w:eastAsia="宋体"/>
          <w:color w:val="auto"/>
          <w:sz w:val="24"/>
          <w:szCs w:val="24"/>
          <w:highlight w:val="none"/>
        </w:rPr>
        <w:t>。</w:t>
      </w:r>
    </w:p>
    <w:p w14:paraId="64725555">
      <w:pPr>
        <w:snapToGrid w:val="0"/>
        <w:spacing w:line="360" w:lineRule="auto"/>
        <w:ind w:firstLine="435"/>
        <w:rPr>
          <w:rFonts w:hint="eastAsia" w:ascii="宋体" w:hAnsi="宋体" w:eastAsia="宋体"/>
          <w:color w:val="auto"/>
          <w:sz w:val="24"/>
          <w:szCs w:val="24"/>
          <w:highlight w:val="none"/>
        </w:rPr>
      </w:pPr>
      <w:r>
        <w:rPr>
          <w:rFonts w:hint="eastAsia" w:ascii="宋体" w:hAnsi="宋体" w:eastAsia="宋体"/>
          <w:color w:val="auto"/>
          <w:sz w:val="24"/>
          <w:szCs w:val="24"/>
          <w:highlight w:val="none"/>
        </w:rPr>
        <w:t>2.</w:t>
      </w:r>
      <w:r>
        <w:rPr>
          <w:rFonts w:ascii="宋体" w:hAnsi="宋体" w:eastAsia="宋体" w:cs="宋体"/>
          <w:color w:val="auto"/>
          <w:sz w:val="24"/>
          <w:szCs w:val="24"/>
          <w:highlight w:val="none"/>
        </w:rPr>
        <w:t>政府采购政策（包括但不限于下列具体政策要求</w:t>
      </w:r>
      <w:r>
        <w:rPr>
          <w:rFonts w:hint="eastAsia" w:ascii="宋体" w:hAnsi="宋体" w:eastAsia="宋体" w:cs="宋体"/>
          <w:color w:val="auto"/>
          <w:sz w:val="24"/>
          <w:szCs w:val="24"/>
          <w:highlight w:val="none"/>
        </w:rPr>
        <w:t>）</w:t>
      </w:r>
      <w:r>
        <w:rPr>
          <w:rFonts w:hint="eastAsia" w:ascii="宋体" w:hAnsi="宋体" w:eastAsia="宋体"/>
          <w:color w:val="auto"/>
          <w:sz w:val="24"/>
          <w:szCs w:val="24"/>
          <w:highlight w:val="none"/>
        </w:rPr>
        <w:t>：</w:t>
      </w:r>
    </w:p>
    <w:p w14:paraId="741F084C">
      <w:pPr>
        <w:snapToGrid w:val="0"/>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38DE408B">
      <w:pPr>
        <w:snapToGrid w:val="0"/>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5EA3D585">
      <w:pPr>
        <w:snapToGrid w:val="0"/>
        <w:spacing w:line="360" w:lineRule="auto"/>
        <w:ind w:firstLine="435"/>
        <w:rPr>
          <w:rFonts w:hint="eastAsia" w:ascii="宋体" w:hAnsi="宋体" w:eastAsia="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olor w:val="auto"/>
          <w:sz w:val="24"/>
          <w:szCs w:val="24"/>
          <w:highlight w:val="none"/>
        </w:rPr>
        <w:t>如采购人允许采用分包方式履行合同的，应当明确可以分包履行的相关内容。</w:t>
      </w:r>
    </w:p>
    <w:p w14:paraId="477FF6B5">
      <w:pPr>
        <w:snapToGrid w:val="0"/>
        <w:spacing w:line="360" w:lineRule="auto"/>
        <w:ind w:firstLine="435"/>
        <w:rPr>
          <w:rFonts w:hint="eastAsia" w:ascii="宋体" w:hAnsi="宋体" w:eastAsia="宋体"/>
          <w:color w:val="auto"/>
          <w:sz w:val="24"/>
          <w:szCs w:val="24"/>
          <w:highlight w:val="none"/>
        </w:rPr>
      </w:pPr>
      <w:r>
        <w:rPr>
          <w:rFonts w:hint="eastAsia" w:ascii="宋体" w:hAnsi="宋体" w:eastAsia="宋体"/>
          <w:color w:val="auto"/>
          <w:sz w:val="24"/>
          <w:szCs w:val="24"/>
          <w:highlight w:val="none"/>
        </w:rPr>
        <w:t>4.下列采购需求中：标注▲的产品为核心产品（主要中标标的）。</w:t>
      </w:r>
    </w:p>
    <w:p w14:paraId="51209315">
      <w:pPr>
        <w:snapToGrid w:val="0"/>
        <w:spacing w:line="360" w:lineRule="auto"/>
        <w:ind w:firstLine="437"/>
        <w:outlineLvl w:val="1"/>
        <w:rPr>
          <w:rFonts w:hint="eastAsia" w:ascii="宋体" w:hAnsi="宋体" w:eastAsia="宋体"/>
          <w:b/>
          <w:color w:val="auto"/>
          <w:sz w:val="24"/>
          <w:szCs w:val="24"/>
          <w:highlight w:val="none"/>
        </w:rPr>
      </w:pPr>
      <w:bookmarkStart w:id="0" w:name="_Toc9011"/>
      <w:bookmarkStart w:id="1" w:name="_Toc2554"/>
      <w:bookmarkStart w:id="2" w:name="_Toc32151"/>
      <w:r>
        <w:rPr>
          <w:rFonts w:hint="eastAsia" w:ascii="宋体" w:hAnsi="宋体" w:eastAsia="宋体"/>
          <w:b/>
          <w:color w:val="auto"/>
          <w:sz w:val="24"/>
          <w:szCs w:val="24"/>
          <w:highlight w:val="none"/>
        </w:rPr>
        <w:t>一、采购需求前附表</w:t>
      </w:r>
      <w:bookmarkEnd w:id="0"/>
      <w:bookmarkEnd w:id="1"/>
      <w:bookmarkEnd w:id="2"/>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0A597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90" w:type="pct"/>
            <w:vAlign w:val="center"/>
          </w:tcPr>
          <w:p w14:paraId="4852A5C6">
            <w:pPr>
              <w:widowControl w:val="0"/>
              <w:pBdr>
                <w:bottom w:val="none" w:color="auto" w:sz="0" w:space="0"/>
              </w:pBdr>
              <w:adjustRightInd w:val="0"/>
              <w:snapToGrid w:val="0"/>
              <w:spacing w:line="360" w:lineRule="auto"/>
              <w:jc w:val="center"/>
              <w:textAlignment w:val="auto"/>
              <w:rPr>
                <w:rFonts w:hint="eastAsia" w:ascii="宋体" w:hAnsi="宋体" w:eastAsia="宋体" w:cs="@仿宋_GB2312"/>
                <w:b/>
                <w:color w:val="auto"/>
                <w:kern w:val="2"/>
                <w:sz w:val="24"/>
                <w:szCs w:val="24"/>
                <w:highlight w:val="none"/>
                <w:lang w:val="en-US" w:eastAsia="zh-CN" w:bidi="ar-SA"/>
              </w:rPr>
            </w:pPr>
            <w:r>
              <w:rPr>
                <w:rFonts w:hint="eastAsia" w:ascii="宋体" w:hAnsi="宋体" w:eastAsia="宋体" w:cs="@仿宋_GB2312"/>
                <w:b/>
                <w:color w:val="auto"/>
                <w:kern w:val="2"/>
                <w:sz w:val="24"/>
                <w:szCs w:val="24"/>
                <w:highlight w:val="none"/>
                <w:lang w:val="en-US" w:eastAsia="zh-CN" w:bidi="ar-SA"/>
              </w:rPr>
              <w:t>序号</w:t>
            </w:r>
          </w:p>
        </w:tc>
        <w:tc>
          <w:tcPr>
            <w:tcW w:w="1192" w:type="pct"/>
            <w:vAlign w:val="center"/>
          </w:tcPr>
          <w:p w14:paraId="721662F4">
            <w:pPr>
              <w:widowControl w:val="0"/>
              <w:adjustRightInd w:val="0"/>
              <w:snapToGrid w:val="0"/>
              <w:spacing w:before="0" w:beforeAutospacing="0" w:after="0" w:afterAutospacing="0" w:line="360" w:lineRule="auto"/>
              <w:jc w:val="center"/>
              <w:rPr>
                <w:rFonts w:hint="eastAsia" w:ascii="宋体" w:hAnsi="宋体" w:eastAsia="宋体" w:cs="@仿宋_GB2312"/>
                <w:b/>
                <w:bCs w:val="0"/>
                <w:color w:val="auto"/>
                <w:kern w:val="0"/>
                <w:sz w:val="24"/>
                <w:szCs w:val="24"/>
                <w:highlight w:val="none"/>
                <w:lang w:val="en-US" w:eastAsia="zh-CN" w:bidi="ar-SA"/>
              </w:rPr>
            </w:pPr>
            <w:r>
              <w:rPr>
                <w:rFonts w:hint="eastAsia" w:ascii="宋体" w:hAnsi="宋体" w:eastAsia="宋体" w:cs="@仿宋_GB2312"/>
                <w:b/>
                <w:bCs w:val="0"/>
                <w:color w:val="auto"/>
                <w:kern w:val="0"/>
                <w:sz w:val="24"/>
                <w:szCs w:val="24"/>
                <w:highlight w:val="none"/>
                <w:lang w:val="en-US" w:eastAsia="zh-CN" w:bidi="ar-SA"/>
              </w:rPr>
              <w:t>条款名称</w:t>
            </w:r>
          </w:p>
        </w:tc>
        <w:tc>
          <w:tcPr>
            <w:tcW w:w="3217" w:type="pct"/>
            <w:vAlign w:val="center"/>
          </w:tcPr>
          <w:p w14:paraId="2650D58D">
            <w:pPr>
              <w:widowControl w:val="0"/>
              <w:adjustRightInd w:val="0"/>
              <w:snapToGrid w:val="0"/>
              <w:spacing w:before="0" w:beforeAutospacing="0" w:after="0" w:afterAutospacing="0" w:line="360" w:lineRule="auto"/>
              <w:jc w:val="center"/>
              <w:rPr>
                <w:rFonts w:hint="eastAsia" w:ascii="宋体" w:hAnsi="宋体" w:eastAsia="宋体" w:cs="@仿宋_GB2312"/>
                <w:b/>
                <w:bCs w:val="0"/>
                <w:color w:val="auto"/>
                <w:kern w:val="0"/>
                <w:sz w:val="24"/>
                <w:szCs w:val="24"/>
                <w:highlight w:val="none"/>
                <w:lang w:val="en-US" w:eastAsia="zh-CN" w:bidi="ar-SA"/>
              </w:rPr>
            </w:pPr>
            <w:r>
              <w:rPr>
                <w:rFonts w:hint="eastAsia" w:ascii="宋体" w:hAnsi="宋体" w:eastAsia="宋体" w:cs="@仿宋_GB2312"/>
                <w:b/>
                <w:bCs w:val="0"/>
                <w:color w:val="auto"/>
                <w:kern w:val="0"/>
                <w:sz w:val="24"/>
                <w:szCs w:val="24"/>
                <w:highlight w:val="none"/>
                <w:lang w:val="en-US" w:eastAsia="zh-CN" w:bidi="ar-SA"/>
              </w:rPr>
              <w:t>内容、说明与要求</w:t>
            </w:r>
          </w:p>
        </w:tc>
      </w:tr>
      <w:tr w14:paraId="17A93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8061F91">
            <w:pPr>
              <w:widowControl w:val="0"/>
              <w:pBdr>
                <w:bottom w:val="none" w:color="auto" w:sz="0" w:space="0"/>
              </w:pBdr>
              <w:adjustRightInd w:val="0"/>
              <w:snapToGrid w:val="0"/>
              <w:spacing w:line="360" w:lineRule="auto"/>
              <w:jc w:val="center"/>
              <w:textAlignment w:val="auto"/>
              <w:rPr>
                <w:rFonts w:hint="eastAsia" w:ascii="宋体" w:hAnsi="宋体" w:eastAsia="宋体" w:cs="@仿宋_GB2312"/>
                <w:bCs/>
                <w:color w:val="auto"/>
                <w:kern w:val="2"/>
                <w:sz w:val="24"/>
                <w:szCs w:val="24"/>
                <w:highlight w:val="none"/>
                <w:lang w:val="en-US" w:eastAsia="zh-CN" w:bidi="ar-SA"/>
              </w:rPr>
            </w:pPr>
            <w:r>
              <w:rPr>
                <w:rFonts w:hint="eastAsia" w:ascii="宋体" w:hAnsi="宋体" w:eastAsia="宋体" w:cs="@仿宋_GB2312"/>
                <w:bCs/>
                <w:color w:val="auto"/>
                <w:kern w:val="2"/>
                <w:sz w:val="24"/>
                <w:szCs w:val="24"/>
                <w:highlight w:val="none"/>
                <w:lang w:val="en-US" w:eastAsia="zh-CN" w:bidi="ar-SA"/>
              </w:rPr>
              <w:t>1</w:t>
            </w:r>
          </w:p>
        </w:tc>
        <w:tc>
          <w:tcPr>
            <w:tcW w:w="1192" w:type="pct"/>
            <w:vAlign w:val="center"/>
          </w:tcPr>
          <w:p w14:paraId="13BE5707">
            <w:pPr>
              <w:widowControl w:val="0"/>
              <w:adjustRightInd w:val="0"/>
              <w:snapToGrid w:val="0"/>
              <w:spacing w:before="0" w:beforeAutospacing="0" w:after="0" w:afterAutospacing="0" w:line="360" w:lineRule="auto"/>
              <w:jc w:val="center"/>
              <w:rPr>
                <w:rFonts w:hint="eastAsia" w:ascii="宋体" w:hAnsi="宋体" w:eastAsia="宋体" w:cs="@仿宋_GB2312"/>
                <w:b w:val="0"/>
                <w:bCs/>
                <w:color w:val="auto"/>
                <w:kern w:val="0"/>
                <w:sz w:val="24"/>
                <w:szCs w:val="24"/>
                <w:highlight w:val="none"/>
                <w:lang w:val="en-US" w:eastAsia="zh-CN" w:bidi="ar-SA"/>
              </w:rPr>
            </w:pPr>
            <w:r>
              <w:rPr>
                <w:rFonts w:hint="eastAsia" w:ascii="宋体" w:hAnsi="宋体" w:eastAsia="宋体" w:cs="@仿宋_GB2312"/>
                <w:b w:val="0"/>
                <w:bCs/>
                <w:color w:val="auto"/>
                <w:kern w:val="0"/>
                <w:sz w:val="24"/>
                <w:szCs w:val="24"/>
                <w:highlight w:val="none"/>
                <w:lang w:val="en-US" w:eastAsia="zh-CN" w:bidi="ar-SA"/>
              </w:rPr>
              <w:t>付款方式</w:t>
            </w:r>
          </w:p>
        </w:tc>
        <w:tc>
          <w:tcPr>
            <w:tcW w:w="3217" w:type="pct"/>
            <w:vAlign w:val="center"/>
          </w:tcPr>
          <w:p w14:paraId="22357CE0">
            <w:pPr>
              <w:widowControl w:val="0"/>
              <w:adjustRightInd w:val="0"/>
              <w:snapToGrid w:val="0"/>
              <w:spacing w:before="0" w:beforeAutospacing="0" w:after="0" w:afterAutospacing="0" w:line="360" w:lineRule="auto"/>
              <w:jc w:val="both"/>
              <w:rPr>
                <w:rFonts w:hint="eastAsia" w:ascii="宋体" w:hAnsi="宋体" w:eastAsia="宋体" w:cs="@仿宋_GB2312"/>
                <w:b w:val="0"/>
                <w:bCs/>
                <w:color w:val="auto"/>
                <w:kern w:val="0"/>
                <w:sz w:val="24"/>
                <w:szCs w:val="24"/>
                <w:highlight w:val="none"/>
                <w:lang w:val="en-US" w:eastAsia="zh-CN" w:bidi="ar-SA"/>
              </w:rPr>
            </w:pPr>
            <w:r>
              <w:rPr>
                <w:rFonts w:hint="eastAsia" w:ascii="宋体" w:hAnsi="宋体" w:eastAsia="宋体" w:cs="@仿宋_GB2312"/>
                <w:b w:val="0"/>
                <w:bCs/>
                <w:color w:val="auto"/>
                <w:kern w:val="0"/>
                <w:sz w:val="24"/>
                <w:szCs w:val="24"/>
                <w:highlight w:val="none"/>
                <w:lang w:val="en-US" w:eastAsia="zh-CN" w:bidi="ar-SA"/>
              </w:rPr>
              <w:t>中标人完成全部交付且经采购人验收合格后支付合同金额。</w:t>
            </w:r>
          </w:p>
        </w:tc>
      </w:tr>
      <w:tr w14:paraId="1ED63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6C7350FD">
            <w:pPr>
              <w:widowControl w:val="0"/>
              <w:pBdr>
                <w:bottom w:val="none" w:color="auto" w:sz="0" w:space="0"/>
              </w:pBdr>
              <w:adjustRightInd w:val="0"/>
              <w:snapToGrid w:val="0"/>
              <w:spacing w:line="360" w:lineRule="auto"/>
              <w:jc w:val="center"/>
              <w:textAlignment w:val="auto"/>
              <w:rPr>
                <w:rFonts w:hint="eastAsia" w:ascii="宋体" w:hAnsi="宋体" w:eastAsia="宋体" w:cs="@仿宋_GB2312"/>
                <w:bCs/>
                <w:color w:val="auto"/>
                <w:kern w:val="2"/>
                <w:sz w:val="24"/>
                <w:szCs w:val="24"/>
                <w:highlight w:val="none"/>
                <w:lang w:val="en-US" w:eastAsia="zh-CN" w:bidi="ar-SA"/>
              </w:rPr>
            </w:pPr>
            <w:r>
              <w:rPr>
                <w:rFonts w:hint="eastAsia" w:ascii="宋体" w:hAnsi="宋体" w:eastAsia="宋体" w:cs="@仿宋_GB2312"/>
                <w:bCs/>
                <w:color w:val="auto"/>
                <w:kern w:val="2"/>
                <w:sz w:val="24"/>
                <w:szCs w:val="24"/>
                <w:highlight w:val="none"/>
                <w:lang w:val="en-US" w:eastAsia="zh-CN" w:bidi="ar-SA"/>
              </w:rPr>
              <w:t>2</w:t>
            </w:r>
          </w:p>
        </w:tc>
        <w:tc>
          <w:tcPr>
            <w:tcW w:w="1192" w:type="pct"/>
            <w:vAlign w:val="center"/>
          </w:tcPr>
          <w:p w14:paraId="3B5C02C3">
            <w:pPr>
              <w:widowControl w:val="0"/>
              <w:adjustRightInd w:val="0"/>
              <w:snapToGrid w:val="0"/>
              <w:spacing w:before="0" w:beforeAutospacing="0" w:after="0" w:afterAutospacing="0" w:line="360" w:lineRule="auto"/>
              <w:jc w:val="center"/>
              <w:rPr>
                <w:rFonts w:hint="eastAsia" w:ascii="宋体" w:hAnsi="宋体" w:eastAsia="宋体" w:cs="@仿宋_GB2312"/>
                <w:b w:val="0"/>
                <w:bCs/>
                <w:color w:val="auto"/>
                <w:kern w:val="0"/>
                <w:sz w:val="24"/>
                <w:szCs w:val="24"/>
                <w:highlight w:val="none"/>
                <w:lang w:val="en-US" w:eastAsia="zh-CN" w:bidi="ar-SA"/>
              </w:rPr>
            </w:pPr>
            <w:r>
              <w:rPr>
                <w:rFonts w:hint="eastAsia" w:ascii="宋体" w:hAnsi="宋体" w:eastAsia="宋体" w:cs="@仿宋_GB2312"/>
                <w:b w:val="0"/>
                <w:bCs/>
                <w:color w:val="auto"/>
                <w:kern w:val="0"/>
                <w:sz w:val="24"/>
                <w:szCs w:val="24"/>
                <w:highlight w:val="none"/>
                <w:lang w:val="en-US" w:eastAsia="zh-CN" w:bidi="ar-SA"/>
              </w:rPr>
              <w:t>供货及安装地点</w:t>
            </w:r>
          </w:p>
        </w:tc>
        <w:tc>
          <w:tcPr>
            <w:tcW w:w="3217" w:type="pct"/>
            <w:vAlign w:val="center"/>
          </w:tcPr>
          <w:p w14:paraId="48036765">
            <w:pPr>
              <w:widowControl w:val="0"/>
              <w:adjustRightInd w:val="0"/>
              <w:snapToGrid w:val="0"/>
              <w:spacing w:before="0" w:beforeAutospacing="0" w:after="0" w:afterAutospacing="0" w:line="360" w:lineRule="auto"/>
              <w:jc w:val="both"/>
              <w:rPr>
                <w:rFonts w:hint="eastAsia" w:ascii="宋体" w:hAnsi="宋体" w:eastAsia="宋体" w:cs="@仿宋_GB2312"/>
                <w:b w:val="0"/>
                <w:bCs/>
                <w:color w:val="auto"/>
                <w:kern w:val="0"/>
                <w:sz w:val="24"/>
                <w:szCs w:val="24"/>
                <w:highlight w:val="none"/>
                <w:lang w:val="en-US" w:eastAsia="zh-CN" w:bidi="ar-SA"/>
              </w:rPr>
            </w:pPr>
            <w:r>
              <w:rPr>
                <w:rFonts w:hint="eastAsia" w:ascii="宋体" w:hAnsi="宋体" w:eastAsia="宋体" w:cs="@仿宋_GB2312"/>
                <w:b w:val="0"/>
                <w:bCs/>
                <w:color w:val="auto"/>
                <w:kern w:val="0"/>
                <w:sz w:val="24"/>
                <w:szCs w:val="24"/>
                <w:highlight w:val="none"/>
                <w:lang w:val="en-US" w:eastAsia="zh-CN" w:bidi="ar-SA"/>
              </w:rPr>
              <w:t>安徽职业技术大学，具体按采购人指定地点。</w:t>
            </w:r>
          </w:p>
        </w:tc>
      </w:tr>
      <w:tr w14:paraId="11729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F166756">
            <w:pPr>
              <w:widowControl w:val="0"/>
              <w:pBdr>
                <w:bottom w:val="none" w:color="auto" w:sz="0" w:space="0"/>
              </w:pBdr>
              <w:adjustRightInd w:val="0"/>
              <w:snapToGrid w:val="0"/>
              <w:spacing w:line="360" w:lineRule="auto"/>
              <w:jc w:val="center"/>
              <w:textAlignment w:val="auto"/>
              <w:rPr>
                <w:rFonts w:hint="eastAsia" w:ascii="宋体" w:hAnsi="宋体" w:eastAsia="宋体" w:cs="@仿宋_GB2312"/>
                <w:bCs/>
                <w:color w:val="auto"/>
                <w:kern w:val="2"/>
                <w:sz w:val="24"/>
                <w:szCs w:val="24"/>
                <w:highlight w:val="none"/>
                <w:lang w:val="en-US" w:eastAsia="zh-CN" w:bidi="ar-SA"/>
              </w:rPr>
            </w:pPr>
            <w:r>
              <w:rPr>
                <w:rFonts w:hint="eastAsia" w:ascii="宋体" w:hAnsi="宋体" w:eastAsia="宋体" w:cs="@仿宋_GB2312"/>
                <w:bCs/>
                <w:color w:val="auto"/>
                <w:kern w:val="2"/>
                <w:sz w:val="24"/>
                <w:szCs w:val="24"/>
                <w:highlight w:val="none"/>
                <w:lang w:val="en-US" w:eastAsia="zh-CN" w:bidi="ar-SA"/>
              </w:rPr>
              <w:t>3</w:t>
            </w:r>
          </w:p>
        </w:tc>
        <w:tc>
          <w:tcPr>
            <w:tcW w:w="1192" w:type="pct"/>
            <w:vAlign w:val="center"/>
          </w:tcPr>
          <w:p w14:paraId="5DA17F4A">
            <w:pPr>
              <w:widowControl w:val="0"/>
              <w:adjustRightInd w:val="0"/>
              <w:snapToGrid w:val="0"/>
              <w:spacing w:before="0" w:beforeAutospacing="0" w:after="0" w:afterAutospacing="0" w:line="360" w:lineRule="auto"/>
              <w:jc w:val="center"/>
              <w:rPr>
                <w:rFonts w:hint="eastAsia" w:ascii="宋体" w:hAnsi="宋体" w:eastAsia="宋体" w:cs="@仿宋_GB2312"/>
                <w:b w:val="0"/>
                <w:bCs/>
                <w:color w:val="auto"/>
                <w:kern w:val="0"/>
                <w:sz w:val="24"/>
                <w:szCs w:val="24"/>
                <w:highlight w:val="none"/>
                <w:lang w:val="en-US" w:eastAsia="zh-CN" w:bidi="ar-SA"/>
              </w:rPr>
            </w:pPr>
            <w:r>
              <w:rPr>
                <w:rFonts w:hint="eastAsia" w:ascii="宋体" w:hAnsi="宋体" w:eastAsia="宋体" w:cs="@仿宋_GB2312"/>
                <w:b w:val="0"/>
                <w:bCs/>
                <w:color w:val="auto"/>
                <w:kern w:val="0"/>
                <w:sz w:val="24"/>
                <w:szCs w:val="24"/>
                <w:highlight w:val="none"/>
                <w:lang w:val="en-US" w:eastAsia="zh-CN" w:bidi="ar-SA"/>
              </w:rPr>
              <w:t>供货及安装期限</w:t>
            </w:r>
          </w:p>
        </w:tc>
        <w:tc>
          <w:tcPr>
            <w:tcW w:w="3217" w:type="pct"/>
            <w:vAlign w:val="center"/>
          </w:tcPr>
          <w:p w14:paraId="2790A91B">
            <w:pPr>
              <w:widowControl w:val="0"/>
              <w:adjustRightInd w:val="0"/>
              <w:snapToGrid w:val="0"/>
              <w:spacing w:before="0" w:beforeAutospacing="0" w:after="0" w:afterAutospacing="0" w:line="360" w:lineRule="auto"/>
              <w:jc w:val="both"/>
              <w:rPr>
                <w:rFonts w:hint="eastAsia" w:ascii="宋体" w:hAnsi="宋体" w:eastAsia="宋体" w:cs="@仿宋_GB2312"/>
                <w:b w:val="0"/>
                <w:bCs/>
                <w:color w:val="auto"/>
                <w:kern w:val="0"/>
                <w:sz w:val="24"/>
                <w:szCs w:val="24"/>
                <w:highlight w:val="none"/>
                <w:lang w:val="en-US" w:eastAsia="zh-CN" w:bidi="ar-SA"/>
              </w:rPr>
            </w:pPr>
            <w:r>
              <w:rPr>
                <w:rFonts w:hint="eastAsia" w:ascii="宋体" w:hAnsi="宋体" w:eastAsia="宋体" w:cs="@仿宋_GB2312"/>
                <w:b w:val="0"/>
                <w:bCs/>
                <w:color w:val="auto"/>
                <w:kern w:val="0"/>
                <w:sz w:val="24"/>
                <w:szCs w:val="24"/>
                <w:highlight w:val="none"/>
                <w:lang w:val="en-US" w:eastAsia="zh-CN" w:bidi="ar-SA"/>
              </w:rPr>
              <w:t>合同生效之日起，45个日历日内完成供货、安装、调试、培训等所有工作内容</w:t>
            </w:r>
            <w:r>
              <w:rPr>
                <w:rFonts w:ascii="宋体" w:hAnsi="宋体" w:eastAsia="宋体" w:cs="@仿宋_GB2312"/>
                <w:b w:val="0"/>
                <w:bCs/>
                <w:color w:val="auto"/>
                <w:kern w:val="0"/>
                <w:sz w:val="24"/>
                <w:szCs w:val="24"/>
                <w:highlight w:val="none"/>
                <w:lang w:val="en-US" w:eastAsia="zh-CN" w:bidi="ar-SA"/>
              </w:rPr>
              <w:t>。</w:t>
            </w:r>
          </w:p>
        </w:tc>
      </w:tr>
      <w:tr w14:paraId="01ECA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213C147E">
            <w:pPr>
              <w:widowControl w:val="0"/>
              <w:pBdr>
                <w:bottom w:val="none" w:color="auto" w:sz="0" w:space="0"/>
              </w:pBdr>
              <w:adjustRightInd w:val="0"/>
              <w:snapToGrid w:val="0"/>
              <w:spacing w:line="360" w:lineRule="auto"/>
              <w:jc w:val="center"/>
              <w:textAlignment w:val="auto"/>
              <w:rPr>
                <w:rFonts w:hint="eastAsia" w:ascii="宋体" w:hAnsi="宋体" w:eastAsia="宋体" w:cs="@仿宋_GB2312"/>
                <w:bCs/>
                <w:color w:val="auto"/>
                <w:kern w:val="2"/>
                <w:sz w:val="24"/>
                <w:szCs w:val="24"/>
                <w:highlight w:val="none"/>
                <w:lang w:val="en-US" w:eastAsia="zh-CN" w:bidi="ar-SA"/>
              </w:rPr>
            </w:pPr>
            <w:r>
              <w:rPr>
                <w:rFonts w:hint="eastAsia" w:ascii="宋体" w:hAnsi="宋体" w:eastAsia="宋体" w:cs="@仿宋_GB2312"/>
                <w:bCs/>
                <w:color w:val="auto"/>
                <w:kern w:val="2"/>
                <w:sz w:val="24"/>
                <w:szCs w:val="24"/>
                <w:highlight w:val="none"/>
                <w:lang w:val="en-US" w:eastAsia="zh-CN" w:bidi="ar-SA"/>
              </w:rPr>
              <w:t>4</w:t>
            </w:r>
          </w:p>
        </w:tc>
        <w:tc>
          <w:tcPr>
            <w:tcW w:w="1192" w:type="pct"/>
            <w:vAlign w:val="center"/>
          </w:tcPr>
          <w:p w14:paraId="4064D37D">
            <w:pPr>
              <w:widowControl w:val="0"/>
              <w:adjustRightInd w:val="0"/>
              <w:snapToGrid w:val="0"/>
              <w:spacing w:before="0" w:beforeAutospacing="0" w:after="0" w:afterAutospacing="0" w:line="360" w:lineRule="auto"/>
              <w:jc w:val="center"/>
              <w:rPr>
                <w:rFonts w:hint="eastAsia" w:ascii="宋体" w:hAnsi="宋体" w:eastAsia="宋体" w:cs="@仿宋_GB2312"/>
                <w:b w:val="0"/>
                <w:bCs/>
                <w:color w:val="auto"/>
                <w:kern w:val="0"/>
                <w:sz w:val="24"/>
                <w:szCs w:val="24"/>
                <w:highlight w:val="none"/>
                <w:lang w:val="en-US" w:eastAsia="zh-CN" w:bidi="ar-SA"/>
              </w:rPr>
            </w:pPr>
            <w:r>
              <w:rPr>
                <w:rFonts w:hint="eastAsia" w:ascii="宋体" w:hAnsi="宋体" w:eastAsia="宋体" w:cs="@仿宋_GB2312"/>
                <w:b w:val="0"/>
                <w:bCs/>
                <w:color w:val="auto"/>
                <w:kern w:val="0"/>
                <w:sz w:val="24"/>
                <w:szCs w:val="24"/>
                <w:highlight w:val="none"/>
                <w:lang w:val="en-US" w:eastAsia="zh-CN" w:bidi="ar-SA"/>
              </w:rPr>
              <w:t>免费质保期</w:t>
            </w:r>
          </w:p>
        </w:tc>
        <w:tc>
          <w:tcPr>
            <w:tcW w:w="3217" w:type="pct"/>
            <w:vAlign w:val="center"/>
          </w:tcPr>
          <w:p w14:paraId="2C27D7A5">
            <w:pPr>
              <w:widowControl w:val="0"/>
              <w:adjustRightInd w:val="0"/>
              <w:snapToGrid w:val="0"/>
              <w:spacing w:before="0" w:beforeAutospacing="0" w:after="0" w:afterAutospacing="0" w:line="360" w:lineRule="auto"/>
              <w:jc w:val="both"/>
              <w:rPr>
                <w:rFonts w:hint="eastAsia" w:ascii="宋体" w:hAnsi="宋体" w:eastAsia="宋体" w:cs="@仿宋_GB2312"/>
                <w:b w:val="0"/>
                <w:bCs/>
                <w:color w:val="auto"/>
                <w:kern w:val="0"/>
                <w:sz w:val="24"/>
                <w:szCs w:val="24"/>
                <w:highlight w:val="none"/>
                <w:lang w:val="en-US" w:eastAsia="zh-CN" w:bidi="ar-SA"/>
              </w:rPr>
            </w:pPr>
            <w:r>
              <w:rPr>
                <w:rFonts w:hint="eastAsia" w:ascii="宋体" w:hAnsi="宋体" w:eastAsia="宋体" w:cs="@仿宋_GB2312"/>
                <w:b w:val="0"/>
                <w:bCs/>
                <w:color w:val="auto"/>
                <w:kern w:val="0"/>
                <w:sz w:val="24"/>
                <w:szCs w:val="24"/>
                <w:highlight w:val="none"/>
                <w:lang w:val="en-US" w:eastAsia="zh-CN" w:bidi="ar-SA"/>
              </w:rPr>
              <w:t>货物需求清单中未明确的，免费质保期为自验收合格之日起3年；货物需求清单中明确的，免费质保期按货物需求清单执行。</w:t>
            </w:r>
          </w:p>
        </w:tc>
      </w:tr>
    </w:tbl>
    <w:p w14:paraId="087ED046">
      <w:pPr>
        <w:spacing w:line="360" w:lineRule="auto"/>
        <w:ind w:firstLine="437"/>
        <w:outlineLvl w:val="1"/>
        <w:rPr>
          <w:rFonts w:hint="eastAsia" w:ascii="宋体" w:hAnsi="宋体" w:eastAsia="宋体"/>
          <w:b/>
          <w:bCs/>
          <w:color w:val="auto"/>
          <w:sz w:val="24"/>
          <w:szCs w:val="24"/>
          <w:highlight w:val="none"/>
        </w:rPr>
      </w:pPr>
      <w:bookmarkStart w:id="3" w:name="_Toc4578"/>
      <w:bookmarkStart w:id="4" w:name="_Toc7671"/>
      <w:bookmarkStart w:id="5" w:name="_Toc5944"/>
    </w:p>
    <w:p w14:paraId="1961C9C8">
      <w:pPr>
        <w:spacing w:line="360" w:lineRule="auto"/>
        <w:ind w:firstLine="437"/>
        <w:outlineLvl w:val="1"/>
        <w:rPr>
          <w:rFonts w:hint="eastAsia" w:ascii="宋体" w:hAnsi="宋体" w:eastAsia="宋体"/>
          <w:b/>
          <w:bCs/>
          <w:color w:val="auto"/>
          <w:sz w:val="24"/>
          <w:szCs w:val="24"/>
          <w:highlight w:val="none"/>
        </w:rPr>
      </w:pPr>
      <w:r>
        <w:rPr>
          <w:rFonts w:hint="eastAsia" w:ascii="宋体" w:hAnsi="宋体" w:eastAsia="宋体"/>
          <w:b/>
          <w:bCs/>
          <w:color w:val="auto"/>
          <w:sz w:val="24"/>
          <w:szCs w:val="24"/>
          <w:highlight w:val="none"/>
        </w:rPr>
        <w:t>二、</w:t>
      </w:r>
      <w:r>
        <w:rPr>
          <w:rFonts w:hint="eastAsia" w:ascii="宋体" w:hAnsi="宋体" w:eastAsia="宋体"/>
          <w:b/>
          <w:color w:val="auto"/>
          <w:sz w:val="24"/>
          <w:szCs w:val="24"/>
          <w:highlight w:val="none"/>
        </w:rPr>
        <w:t>货物</w:t>
      </w:r>
      <w:r>
        <w:rPr>
          <w:rFonts w:hint="eastAsia" w:ascii="宋体" w:hAnsi="宋体" w:eastAsia="宋体"/>
          <w:b/>
          <w:bCs/>
          <w:color w:val="auto"/>
          <w:sz w:val="24"/>
          <w:szCs w:val="24"/>
          <w:highlight w:val="none"/>
        </w:rPr>
        <w:t>需求</w:t>
      </w:r>
      <w:bookmarkEnd w:id="3"/>
      <w:bookmarkEnd w:id="4"/>
      <w:bookmarkEnd w:id="5"/>
    </w:p>
    <w:p w14:paraId="1AB64257">
      <w:pPr>
        <w:widowControl/>
        <w:spacing w:line="360" w:lineRule="auto"/>
        <w:ind w:firstLine="482" w:firstLineChars="200"/>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（一）标识符号</w:t>
      </w:r>
    </w:p>
    <w:tbl>
      <w:tblPr>
        <w:tblStyle w:val="7"/>
        <w:tblW w:w="87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4"/>
        <w:gridCol w:w="1365"/>
        <w:gridCol w:w="5632"/>
      </w:tblGrid>
      <w:tr w14:paraId="7DE96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4" w:type="dxa"/>
            <w:vAlign w:val="center"/>
          </w:tcPr>
          <w:p w14:paraId="795C43D9">
            <w:pPr>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标识类型</w:t>
            </w:r>
          </w:p>
        </w:tc>
        <w:tc>
          <w:tcPr>
            <w:tcW w:w="1365" w:type="dxa"/>
            <w:vAlign w:val="center"/>
          </w:tcPr>
          <w:p w14:paraId="7FF671BA">
            <w:pPr>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标识符号</w:t>
            </w:r>
          </w:p>
        </w:tc>
        <w:tc>
          <w:tcPr>
            <w:tcW w:w="5632" w:type="dxa"/>
            <w:vAlign w:val="center"/>
          </w:tcPr>
          <w:p w14:paraId="162609B0">
            <w:pPr>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标识符号含义</w:t>
            </w:r>
          </w:p>
        </w:tc>
      </w:tr>
      <w:tr w14:paraId="0C89B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794" w:type="dxa"/>
            <w:vAlign w:val="center"/>
          </w:tcPr>
          <w:p w14:paraId="622AF952">
            <w:pPr>
              <w:wordWrap w:val="0"/>
              <w:adjustRightInd w:val="0"/>
              <w:snapToGrid w:val="0"/>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关键性指标项</w:t>
            </w:r>
          </w:p>
        </w:tc>
        <w:tc>
          <w:tcPr>
            <w:tcW w:w="1365" w:type="dxa"/>
            <w:vAlign w:val="center"/>
          </w:tcPr>
          <w:p w14:paraId="7ED5DB9A">
            <w:pPr>
              <w:wordWrap w:val="0"/>
              <w:adjustRightInd w:val="0"/>
              <w:snapToGrid w:val="0"/>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p>
        </w:tc>
        <w:tc>
          <w:tcPr>
            <w:tcW w:w="5632" w:type="dxa"/>
            <w:vAlign w:val="center"/>
          </w:tcPr>
          <w:p w14:paraId="182E4940">
            <w:pPr>
              <w:wordWrap w:val="0"/>
              <w:adjustRightInd w:val="0"/>
              <w:snapToGrid w:val="0"/>
              <w:spacing w:line="360" w:lineRule="auto"/>
              <w:jc w:val="left"/>
              <w:rPr>
                <w:rFonts w:hint="eastAsia" w:ascii="宋体" w:hAnsi="宋体" w:eastAsia="宋体" w:cs="宋体"/>
                <w:color w:val="auto"/>
                <w:sz w:val="24"/>
                <w:szCs w:val="24"/>
                <w:highlight w:val="none"/>
                <w:lang w:bidi="ar"/>
              </w:rPr>
            </w:pPr>
            <w:r>
              <w:rPr>
                <w:rFonts w:hint="eastAsia" w:ascii="宋体" w:hAnsi="宋体" w:eastAsia="宋体" w:cs="宋体"/>
                <w:bCs/>
                <w:color w:val="auto"/>
                <w:sz w:val="24"/>
                <w:szCs w:val="24"/>
                <w:highlight w:val="none"/>
              </w:rPr>
              <w:t>符合性审查项，负偏离或不满足的，投标无效</w:t>
            </w:r>
            <w:r>
              <w:rPr>
                <w:rFonts w:hint="eastAsia" w:ascii="宋体" w:hAnsi="宋体" w:eastAsia="宋体" w:cs="宋体"/>
                <w:color w:val="auto"/>
                <w:sz w:val="24"/>
                <w:szCs w:val="24"/>
                <w:highlight w:val="none"/>
                <w:lang w:bidi="ar"/>
              </w:rPr>
              <w:t>。</w:t>
            </w:r>
          </w:p>
          <w:p w14:paraId="58B15011">
            <w:pPr>
              <w:wordWrap w:val="0"/>
              <w:adjustRightInd w:val="0"/>
              <w:snapToGrid w:val="0"/>
              <w:spacing w:line="360" w:lineRule="auto"/>
              <w:jc w:val="left"/>
              <w:rPr>
                <w:rFonts w:hint="eastAsia" w:ascii="宋体" w:hAnsi="宋体" w:eastAsia="宋体" w:cs="宋体"/>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bidi="ar"/>
              </w:rPr>
              <w:t>注：投标人须在投标文件中提供承诺：承诺所投产品完全满足采购文件中所有标记“★”的关键性指标项要求，中标后采购人有权进行功能检验。如所投产品不满足采购文件要求，采购人有权上报政府采购监督管理部门，中标人承担由此产生的一切后果及责任（承诺函格式详见投标文件文件格式）。投标文件中未提供相应承诺或承诺的内容不满足要求的，投标无效</w:t>
            </w:r>
            <w:r>
              <w:rPr>
                <w:rFonts w:hint="eastAsia" w:ascii="宋体" w:hAnsi="宋体" w:eastAsia="宋体" w:cs="宋体"/>
                <w:color w:val="auto"/>
                <w:sz w:val="24"/>
                <w:szCs w:val="24"/>
                <w:highlight w:val="none"/>
                <w:lang w:val="en-US" w:eastAsia="zh-CN" w:bidi="ar"/>
              </w:rPr>
              <w:t>。</w:t>
            </w:r>
          </w:p>
        </w:tc>
      </w:tr>
      <w:tr w14:paraId="2151A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794" w:type="dxa"/>
            <w:vAlign w:val="center"/>
          </w:tcPr>
          <w:p w14:paraId="62B976DB">
            <w:pPr>
              <w:wordWrap w:val="0"/>
              <w:adjustRightInd w:val="0"/>
              <w:snapToGrid w:val="0"/>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重要指标项</w:t>
            </w:r>
          </w:p>
        </w:tc>
        <w:tc>
          <w:tcPr>
            <w:tcW w:w="1365" w:type="dxa"/>
            <w:vAlign w:val="center"/>
          </w:tcPr>
          <w:p w14:paraId="0C5AAEC7">
            <w:pPr>
              <w:wordWrap w:val="0"/>
              <w:adjustRightInd w:val="0"/>
              <w:snapToGrid w:val="0"/>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p>
        </w:tc>
        <w:tc>
          <w:tcPr>
            <w:tcW w:w="5632" w:type="dxa"/>
            <w:vAlign w:val="center"/>
          </w:tcPr>
          <w:p w14:paraId="3BA31965">
            <w:pPr>
              <w:adjustRightInd w:val="0"/>
              <w:snapToGrid w:val="0"/>
              <w:spacing w:line="360" w:lineRule="auto"/>
              <w:jc w:val="left"/>
              <w:rPr>
                <w:rFonts w:hint="eastAsia" w:ascii="宋体" w:hAnsi="宋体" w:eastAsia="宋体" w:cs="宋体"/>
                <w:bCs/>
                <w:color w:val="auto"/>
                <w:sz w:val="24"/>
                <w:szCs w:val="24"/>
                <w:highlight w:val="none"/>
              </w:rPr>
            </w:pPr>
            <w:r>
              <w:rPr>
                <w:rFonts w:ascii="宋体" w:hAnsi="宋体" w:eastAsia="宋体" w:cs="宋体"/>
                <w:bCs/>
                <w:color w:val="auto"/>
                <w:sz w:val="24"/>
                <w:szCs w:val="24"/>
                <w:highlight w:val="none"/>
              </w:rPr>
              <w:t>评分项，详见评标办法和标准。</w:t>
            </w:r>
          </w:p>
        </w:tc>
      </w:tr>
      <w:tr w14:paraId="0E948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794" w:type="dxa"/>
            <w:vAlign w:val="center"/>
          </w:tcPr>
          <w:p w14:paraId="66C4C7B0">
            <w:pPr>
              <w:wordWrap w:val="0"/>
              <w:adjustRightInd w:val="0"/>
              <w:snapToGrid w:val="0"/>
              <w:spacing w:line="360"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无标识项</w:t>
            </w:r>
          </w:p>
        </w:tc>
        <w:tc>
          <w:tcPr>
            <w:tcW w:w="1365" w:type="dxa"/>
            <w:vAlign w:val="center"/>
          </w:tcPr>
          <w:p w14:paraId="37B4EB2C">
            <w:pPr>
              <w:wordWrap w:val="0"/>
              <w:adjustRightInd w:val="0"/>
              <w:snapToGrid w:val="0"/>
              <w:spacing w:line="360" w:lineRule="auto"/>
              <w:jc w:val="center"/>
              <w:rPr>
                <w:rFonts w:hint="eastAsia" w:ascii="宋体" w:hAnsi="宋体" w:eastAsia="宋体" w:cs="宋体"/>
                <w:bCs/>
                <w:color w:val="auto"/>
                <w:sz w:val="24"/>
                <w:szCs w:val="24"/>
                <w:highlight w:val="none"/>
              </w:rPr>
            </w:pPr>
          </w:p>
        </w:tc>
        <w:tc>
          <w:tcPr>
            <w:tcW w:w="5632" w:type="dxa"/>
            <w:vAlign w:val="center"/>
          </w:tcPr>
          <w:p w14:paraId="237E37A2">
            <w:pPr>
              <w:adjustRightInd w:val="0"/>
              <w:snapToGrid w:val="0"/>
              <w:spacing w:line="360" w:lineRule="auto"/>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符合性审查项，该指标项最大允许负偏离</w:t>
            </w:r>
            <w:r>
              <w:rPr>
                <w:rFonts w:hint="eastAsia" w:ascii="宋体" w:hAnsi="宋体" w:eastAsia="宋体" w:cs="宋体"/>
                <w:bCs/>
                <w:color w:val="auto"/>
                <w:sz w:val="24"/>
                <w:szCs w:val="24"/>
                <w:highlight w:val="none"/>
                <w:u w:val="single"/>
                <w:lang w:val="en-US" w:eastAsia="zh-CN"/>
              </w:rPr>
              <w:t>6</w:t>
            </w:r>
            <w:r>
              <w:rPr>
                <w:rFonts w:hint="eastAsia" w:ascii="宋体" w:hAnsi="宋体" w:eastAsia="宋体" w:cs="宋体"/>
                <w:bCs/>
                <w:color w:val="auto"/>
                <w:sz w:val="24"/>
                <w:szCs w:val="24"/>
                <w:highlight w:val="none"/>
              </w:rPr>
              <w:t>项，超过最大允许负偏离项数的，</w:t>
            </w:r>
            <w:r>
              <w:rPr>
                <w:rFonts w:hint="eastAsia" w:ascii="宋体" w:hAnsi="宋体" w:eastAsia="宋体" w:cs="宋体"/>
                <w:b/>
                <w:color w:val="auto"/>
                <w:sz w:val="24"/>
                <w:szCs w:val="24"/>
                <w:highlight w:val="none"/>
              </w:rPr>
              <w:t>投标无效</w:t>
            </w:r>
            <w:r>
              <w:rPr>
                <w:rFonts w:hint="eastAsia" w:ascii="宋体" w:hAnsi="宋体" w:eastAsia="宋体" w:cs="宋体"/>
                <w:bCs/>
                <w:color w:val="auto"/>
                <w:sz w:val="24"/>
                <w:szCs w:val="24"/>
                <w:highlight w:val="none"/>
              </w:rPr>
              <w:t>。</w:t>
            </w:r>
          </w:p>
        </w:tc>
      </w:tr>
      <w:tr w14:paraId="09497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8791" w:type="dxa"/>
            <w:gridSpan w:val="3"/>
            <w:vAlign w:val="center"/>
          </w:tcPr>
          <w:p w14:paraId="032EACED">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75CE1962">
            <w:pPr>
              <w:numPr>
                <w:ilvl w:val="0"/>
                <w:numId w:val="1"/>
              </w:num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货物指标要求清单中如某项标识中包含多条技术参数或要求，则该项标识所含内容均需满足或优于招标文件要求，否则不予认可。</w:t>
            </w:r>
          </w:p>
          <w:p w14:paraId="19B3D9DD">
            <w:pPr>
              <w:spacing w:line="360" w:lineRule="auto"/>
              <w:jc w:val="left"/>
              <w:rPr>
                <w:rFonts w:hint="eastAsia" w:ascii="宋体" w:hAnsi="宋体" w:eastAsia="宋体" w:cs="宋体"/>
                <w:b/>
                <w:bCs/>
                <w:color w:val="auto"/>
                <w:sz w:val="24"/>
                <w:szCs w:val="24"/>
                <w:highlight w:val="none"/>
                <w:lang w:eastAsia="zh-CN"/>
              </w:rPr>
            </w:pPr>
            <w:r>
              <w:rPr>
                <w:rFonts w:hint="eastAsia" w:ascii="宋体" w:hAnsi="宋体" w:eastAsia="宋体" w:cs="宋体"/>
                <w:b w:val="0"/>
                <w:bCs w:val="0"/>
                <w:color w:val="auto"/>
                <w:sz w:val="24"/>
                <w:szCs w:val="24"/>
                <w:highlight w:val="none"/>
              </w:rPr>
              <w:t>（2）</w:t>
            </w:r>
            <w:r>
              <w:rPr>
                <w:rFonts w:ascii="宋体" w:hAnsi="宋体" w:eastAsia="宋体" w:cs="宋体"/>
                <w:color w:val="auto"/>
                <w:sz w:val="24"/>
                <w:szCs w:val="24"/>
                <w:highlight w:val="none"/>
              </w:rPr>
              <w:t>“所属行业”栏标注为“/”的项为所投产品配套的服务，无需在《中小企业声明函》中列明。</w:t>
            </w:r>
          </w:p>
        </w:tc>
      </w:tr>
    </w:tbl>
    <w:p w14:paraId="2B71D5AE">
      <w:pPr>
        <w:widowControl/>
        <w:snapToGrid w:val="0"/>
        <w:spacing w:line="360" w:lineRule="auto"/>
        <w:ind w:firstLine="482" w:firstLineChars="200"/>
        <w:outlineLvl w:val="2"/>
        <w:rPr>
          <w:rFonts w:hint="eastAsia" w:ascii="宋体" w:hAnsi="宋体" w:eastAsia="宋体" w:cs="宋体"/>
          <w:b/>
          <w:bCs/>
          <w:color w:val="auto"/>
          <w:sz w:val="24"/>
          <w:szCs w:val="24"/>
          <w:highlight w:val="none"/>
        </w:rPr>
      </w:pPr>
    </w:p>
    <w:p w14:paraId="1E772F24">
      <w:pPr>
        <w:widowControl/>
        <w:snapToGrid w:val="0"/>
        <w:spacing w:line="360" w:lineRule="auto"/>
        <w:ind w:firstLine="482" w:firstLineChars="200"/>
        <w:outlineLvl w:val="2"/>
        <w:rPr>
          <w:rFonts w:hint="eastAsia" w:ascii="宋体" w:hAnsi="宋体" w:eastAsia="宋体"/>
          <w:b/>
          <w:bCs/>
          <w:color w:val="auto"/>
          <w:sz w:val="24"/>
          <w:szCs w:val="24"/>
          <w:highlight w:val="none"/>
        </w:rPr>
      </w:pP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rPr>
        <w:t>）货物清单</w:t>
      </w:r>
    </w:p>
    <w:p w14:paraId="3CA98BBA">
      <w:pPr>
        <w:adjustRightInd w:val="0"/>
        <w:snapToGrid w:val="0"/>
        <w:spacing w:line="360" w:lineRule="auto"/>
        <w:ind w:firstLine="480" w:firstLineChars="200"/>
        <w:jc w:val="left"/>
        <w:rPr>
          <w:rFonts w:ascii="Times New Roman" w:hAnsi="Times New Roman" w:eastAsia="宋体" w:cs="Times New Roman"/>
          <w:color w:val="auto"/>
          <w:highlight w:val="none"/>
        </w:rPr>
      </w:pPr>
      <w:r>
        <w:rPr>
          <w:rFonts w:hint="eastAsia" w:ascii="宋体" w:hAnsi="宋体" w:eastAsia="宋体" w:cs="宋体"/>
          <w:color w:val="auto"/>
          <w:sz w:val="24"/>
          <w:szCs w:val="24"/>
          <w:highlight w:val="none"/>
        </w:rPr>
        <w:t>本项目采购</w:t>
      </w:r>
      <w:r>
        <w:rPr>
          <w:rFonts w:hint="eastAsia" w:ascii="宋体" w:hAnsi="宋体" w:eastAsia="宋体" w:cs="宋体"/>
          <w:b/>
          <w:bCs/>
          <w:color w:val="auto"/>
          <w:sz w:val="24"/>
          <w:szCs w:val="24"/>
          <w:highlight w:val="none"/>
        </w:rPr>
        <w:t>2套</w:t>
      </w:r>
      <w:r>
        <w:rPr>
          <w:rFonts w:hint="eastAsia" w:ascii="宋体" w:hAnsi="宋体" w:eastAsia="宋体" w:cs="宋体"/>
          <w:color w:val="auto"/>
          <w:sz w:val="24"/>
          <w:szCs w:val="24"/>
          <w:highlight w:val="none"/>
        </w:rPr>
        <w:t>智能检测综合设计实训平台，</w:t>
      </w:r>
      <w:r>
        <w:rPr>
          <w:rFonts w:hint="eastAsia" w:ascii="宋体" w:hAnsi="宋体" w:eastAsia="宋体" w:cs="宋体"/>
          <w:b/>
          <w:bCs/>
          <w:color w:val="auto"/>
          <w:sz w:val="24"/>
          <w:szCs w:val="24"/>
          <w:highlight w:val="none"/>
        </w:rPr>
        <w:t>每套平台包括以下</w:t>
      </w:r>
      <w:r>
        <w:rPr>
          <w:rFonts w:hint="eastAsia" w:ascii="宋体" w:hAnsi="宋体" w:eastAsia="宋体" w:cs="宋体"/>
          <w:b/>
          <w:bCs/>
          <w:color w:val="auto"/>
          <w:sz w:val="24"/>
          <w:szCs w:val="24"/>
          <w:highlight w:val="none"/>
          <w:lang w:val="en-US" w:eastAsia="zh-CN"/>
        </w:rPr>
        <w:t>货物</w:t>
      </w:r>
      <w:r>
        <w:rPr>
          <w:rFonts w:hint="eastAsia" w:ascii="宋体" w:hAnsi="宋体" w:eastAsia="宋体" w:cs="宋体"/>
          <w:color w:val="auto"/>
          <w:sz w:val="24"/>
          <w:szCs w:val="24"/>
          <w:highlight w:val="none"/>
        </w:rPr>
        <w:t>：</w:t>
      </w:r>
    </w:p>
    <w:tbl>
      <w:tblPr>
        <w:tblStyle w:val="7"/>
        <w:tblW w:w="520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3"/>
        <w:gridCol w:w="950"/>
        <w:gridCol w:w="3966"/>
        <w:gridCol w:w="1167"/>
        <w:gridCol w:w="1491"/>
      </w:tblGrid>
      <w:tr w14:paraId="19B22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pct"/>
            <w:noWrap w:val="0"/>
            <w:vAlign w:val="center"/>
          </w:tcPr>
          <w:p w14:paraId="69E96229">
            <w:pPr>
              <w:spacing w:line="360" w:lineRule="auto"/>
              <w:jc w:val="center"/>
              <w:rPr>
                <w:rFonts w:hint="default" w:ascii="宋体" w:hAnsi="宋体" w:eastAsia="宋体" w:cs="Times New Roman"/>
                <w:bCs/>
                <w:color w:val="auto"/>
                <w:sz w:val="24"/>
                <w:szCs w:val="18"/>
                <w:highlight w:val="none"/>
                <w:lang w:val="en-US" w:eastAsia="zh-CN"/>
              </w:rPr>
            </w:pPr>
            <w:r>
              <w:rPr>
                <w:rFonts w:hint="eastAsia" w:ascii="宋体" w:hAnsi="宋体" w:eastAsia="宋体" w:cs="Times New Roman"/>
                <w:b/>
                <w:bCs w:val="0"/>
                <w:color w:val="auto"/>
                <w:sz w:val="24"/>
                <w:szCs w:val="18"/>
                <w:highlight w:val="none"/>
                <w:lang w:val="en-US" w:eastAsia="zh-CN"/>
              </w:rPr>
              <w:t>平台名称</w:t>
            </w:r>
          </w:p>
        </w:tc>
        <w:tc>
          <w:tcPr>
            <w:tcW w:w="535" w:type="pct"/>
            <w:noWrap w:val="0"/>
            <w:vAlign w:val="center"/>
          </w:tcPr>
          <w:p w14:paraId="3A25B908">
            <w:pPr>
              <w:spacing w:line="360" w:lineRule="auto"/>
              <w:jc w:val="center"/>
              <w:rPr>
                <w:rFonts w:ascii="宋体" w:hAnsi="宋体" w:eastAsia="宋体" w:cs="Times New Roman"/>
                <w:b/>
                <w:bCs w:val="0"/>
                <w:color w:val="auto"/>
                <w:sz w:val="24"/>
                <w:szCs w:val="18"/>
                <w:highlight w:val="none"/>
              </w:rPr>
            </w:pPr>
            <w:r>
              <w:rPr>
                <w:rFonts w:hint="eastAsia" w:ascii="宋体" w:hAnsi="宋体" w:eastAsia="宋体" w:cs="Times New Roman"/>
                <w:b/>
                <w:bCs w:val="0"/>
                <w:color w:val="auto"/>
                <w:sz w:val="24"/>
                <w:szCs w:val="18"/>
                <w:highlight w:val="none"/>
              </w:rPr>
              <w:t>序号</w:t>
            </w:r>
          </w:p>
        </w:tc>
        <w:tc>
          <w:tcPr>
            <w:tcW w:w="2233" w:type="pct"/>
            <w:noWrap w:val="0"/>
            <w:vAlign w:val="center"/>
          </w:tcPr>
          <w:p w14:paraId="353B0097">
            <w:pPr>
              <w:spacing w:line="360" w:lineRule="auto"/>
              <w:jc w:val="center"/>
              <w:rPr>
                <w:rFonts w:ascii="宋体" w:hAnsi="宋体" w:eastAsia="宋体" w:cs="Times New Roman"/>
                <w:b/>
                <w:bCs w:val="0"/>
                <w:color w:val="auto"/>
                <w:sz w:val="24"/>
                <w:szCs w:val="18"/>
                <w:highlight w:val="none"/>
              </w:rPr>
            </w:pPr>
            <w:r>
              <w:rPr>
                <w:rFonts w:hint="eastAsia" w:ascii="宋体" w:hAnsi="宋体" w:eastAsia="宋体" w:cs="Times New Roman"/>
                <w:b/>
                <w:bCs w:val="0"/>
                <w:color w:val="auto"/>
                <w:sz w:val="24"/>
                <w:szCs w:val="18"/>
                <w:highlight w:val="none"/>
                <w:lang w:val="en-US" w:eastAsia="zh-CN"/>
              </w:rPr>
              <w:t>货物</w:t>
            </w:r>
            <w:r>
              <w:rPr>
                <w:rFonts w:hint="eastAsia" w:ascii="宋体" w:hAnsi="宋体" w:eastAsia="宋体" w:cs="Times New Roman"/>
                <w:b/>
                <w:bCs w:val="0"/>
                <w:color w:val="auto"/>
                <w:sz w:val="24"/>
                <w:szCs w:val="18"/>
                <w:highlight w:val="none"/>
              </w:rPr>
              <w:t>名称</w:t>
            </w:r>
          </w:p>
        </w:tc>
        <w:tc>
          <w:tcPr>
            <w:tcW w:w="657" w:type="pct"/>
            <w:noWrap w:val="0"/>
            <w:vAlign w:val="center"/>
          </w:tcPr>
          <w:p w14:paraId="463511AB">
            <w:pPr>
              <w:spacing w:line="360" w:lineRule="auto"/>
              <w:jc w:val="center"/>
              <w:rPr>
                <w:rFonts w:hint="eastAsia" w:ascii="宋体" w:hAnsi="宋体" w:eastAsia="宋体" w:cs="Times New Roman"/>
                <w:b/>
                <w:bCs w:val="0"/>
                <w:color w:val="auto"/>
                <w:sz w:val="24"/>
                <w:szCs w:val="18"/>
                <w:highlight w:val="none"/>
              </w:rPr>
            </w:pPr>
            <w:r>
              <w:rPr>
                <w:rFonts w:hint="eastAsia" w:ascii="宋体" w:hAnsi="宋体" w:eastAsia="宋体" w:cs="Times New Roman"/>
                <w:b/>
                <w:bCs w:val="0"/>
                <w:color w:val="auto"/>
                <w:sz w:val="24"/>
                <w:szCs w:val="18"/>
                <w:highlight w:val="none"/>
              </w:rPr>
              <w:t>数量</w:t>
            </w:r>
          </w:p>
          <w:p w14:paraId="561D9645">
            <w:pPr>
              <w:spacing w:line="360" w:lineRule="auto"/>
              <w:jc w:val="center"/>
              <w:rPr>
                <w:rFonts w:ascii="宋体" w:hAnsi="宋体" w:eastAsia="宋体" w:cs="Times New Roman"/>
                <w:b/>
                <w:bCs w:val="0"/>
                <w:color w:val="auto"/>
                <w:sz w:val="24"/>
                <w:szCs w:val="18"/>
                <w:highlight w:val="none"/>
              </w:rPr>
            </w:pPr>
            <w:r>
              <w:rPr>
                <w:rFonts w:hint="eastAsia" w:ascii="宋体" w:hAnsi="宋体" w:eastAsia="宋体" w:cs="Times New Roman"/>
                <w:b/>
                <w:bCs w:val="0"/>
                <w:color w:val="auto"/>
                <w:sz w:val="24"/>
                <w:szCs w:val="18"/>
                <w:highlight w:val="none"/>
              </w:rPr>
              <w:t>（单位）</w:t>
            </w:r>
          </w:p>
        </w:tc>
        <w:tc>
          <w:tcPr>
            <w:tcW w:w="839" w:type="pct"/>
            <w:noWrap w:val="0"/>
            <w:vAlign w:val="center"/>
          </w:tcPr>
          <w:p w14:paraId="2815881B">
            <w:pPr>
              <w:spacing w:line="360" w:lineRule="auto"/>
              <w:jc w:val="center"/>
              <w:rPr>
                <w:rFonts w:ascii="宋体" w:hAnsi="宋体" w:eastAsia="宋体" w:cs="Times New Roman"/>
                <w:b/>
                <w:bCs w:val="0"/>
                <w:color w:val="auto"/>
                <w:sz w:val="24"/>
                <w:szCs w:val="18"/>
                <w:highlight w:val="none"/>
              </w:rPr>
            </w:pPr>
            <w:r>
              <w:rPr>
                <w:rFonts w:hint="eastAsia" w:ascii="宋体" w:hAnsi="宋体" w:eastAsia="宋体" w:cs="Times New Roman"/>
                <w:b/>
                <w:bCs w:val="0"/>
                <w:color w:val="auto"/>
                <w:sz w:val="24"/>
                <w:szCs w:val="18"/>
                <w:highlight w:val="none"/>
              </w:rPr>
              <w:t>所属行业</w:t>
            </w:r>
          </w:p>
        </w:tc>
      </w:tr>
      <w:tr w14:paraId="51EC8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pct"/>
            <w:vMerge w:val="restart"/>
            <w:noWrap w:val="0"/>
            <w:vAlign w:val="center"/>
          </w:tcPr>
          <w:p w14:paraId="6948C42D">
            <w:pPr>
              <w:spacing w:line="360" w:lineRule="auto"/>
              <w:jc w:val="center"/>
              <w:rPr>
                <w:rFonts w:hint="default" w:ascii="宋体" w:hAnsi="宋体" w:eastAsia="宋体" w:cs="Times New Roman"/>
                <w:bCs/>
                <w:color w:val="auto"/>
                <w:sz w:val="24"/>
                <w:szCs w:val="18"/>
                <w:highlight w:val="none"/>
                <w:lang w:val="en-US" w:eastAsia="zh-CN"/>
              </w:rPr>
            </w:pPr>
            <w:r>
              <w:rPr>
                <w:rFonts w:hint="default" w:ascii="宋体" w:hAnsi="宋体" w:eastAsia="宋体" w:cs="Times New Roman"/>
                <w:bCs/>
                <w:color w:val="auto"/>
                <w:sz w:val="24"/>
                <w:szCs w:val="18"/>
                <w:highlight w:val="none"/>
                <w:lang w:val="en-US" w:eastAsia="zh-CN"/>
              </w:rPr>
              <w:t>智能检测综合设计实训平台</w:t>
            </w:r>
          </w:p>
        </w:tc>
        <w:tc>
          <w:tcPr>
            <w:tcW w:w="535" w:type="pct"/>
            <w:noWrap w:val="0"/>
            <w:vAlign w:val="center"/>
          </w:tcPr>
          <w:p w14:paraId="1B01D8CE">
            <w:pPr>
              <w:numPr>
                <w:ilvl w:val="0"/>
                <w:numId w:val="0"/>
              </w:numPr>
              <w:spacing w:line="360" w:lineRule="auto"/>
              <w:ind w:left="425" w:leftChars="0" w:hanging="425" w:firstLineChars="0"/>
              <w:jc w:val="center"/>
              <w:rPr>
                <w:rFonts w:hint="eastAsia" w:ascii="宋体" w:hAnsi="宋体" w:eastAsia="宋体" w:cs="Times New Roman"/>
                <w:bCs/>
                <w:color w:val="auto"/>
                <w:sz w:val="24"/>
                <w:szCs w:val="18"/>
                <w:highlight w:val="none"/>
              </w:rPr>
            </w:pPr>
            <w:r>
              <w:rPr>
                <w:rFonts w:hint="default" w:ascii="宋体" w:hAnsi="宋体" w:eastAsia="宋体" w:cs="Times New Roman"/>
                <w:bCs/>
                <w:color w:val="auto"/>
                <w:kern w:val="2"/>
                <w:sz w:val="24"/>
                <w:szCs w:val="18"/>
                <w:highlight w:val="none"/>
                <w:lang w:val="en-US" w:eastAsia="zh-CN" w:bidi="ar-SA"/>
              </w:rPr>
              <w:t>1</w:t>
            </w:r>
          </w:p>
        </w:tc>
        <w:tc>
          <w:tcPr>
            <w:tcW w:w="2233" w:type="pct"/>
            <w:noWrap w:val="0"/>
            <w:vAlign w:val="center"/>
          </w:tcPr>
          <w:p w14:paraId="7958D320">
            <w:pPr>
              <w:spacing w:line="360" w:lineRule="auto"/>
              <w:jc w:val="center"/>
              <w:rPr>
                <w:rFonts w:hint="eastAsia" w:ascii="宋体" w:hAnsi="宋体" w:eastAsia="宋体" w:cs="Times New Roman"/>
                <w:bCs/>
                <w:color w:val="auto"/>
                <w:sz w:val="24"/>
                <w:szCs w:val="18"/>
                <w:highlight w:val="none"/>
              </w:rPr>
            </w:pPr>
            <w:r>
              <w:rPr>
                <w:rFonts w:hint="eastAsia" w:ascii="宋体" w:hAnsi="宋体" w:eastAsia="宋体" w:cs="Times New Roman"/>
                <w:bCs/>
                <w:color w:val="auto"/>
                <w:sz w:val="24"/>
                <w:szCs w:val="18"/>
                <w:highlight w:val="none"/>
              </w:rPr>
              <w:t>▲实训工作台模块</w:t>
            </w:r>
          </w:p>
        </w:tc>
        <w:tc>
          <w:tcPr>
            <w:tcW w:w="657" w:type="pct"/>
            <w:noWrap w:val="0"/>
            <w:vAlign w:val="center"/>
          </w:tcPr>
          <w:p w14:paraId="0093BBCB">
            <w:pPr>
              <w:spacing w:line="360" w:lineRule="auto"/>
              <w:jc w:val="center"/>
              <w:rPr>
                <w:rFonts w:hint="eastAsia" w:ascii="宋体" w:hAnsi="宋体" w:eastAsia="宋体" w:cs="Times New Roman"/>
                <w:bCs/>
                <w:color w:val="auto"/>
                <w:sz w:val="24"/>
                <w:szCs w:val="18"/>
                <w:highlight w:val="none"/>
              </w:rPr>
            </w:pPr>
            <w:r>
              <w:rPr>
                <w:rFonts w:ascii="宋体" w:hAnsi="宋体" w:eastAsia="宋体" w:cs="Times New Roman"/>
                <w:bCs/>
                <w:color w:val="auto"/>
                <w:sz w:val="24"/>
                <w:szCs w:val="18"/>
                <w:highlight w:val="none"/>
              </w:rPr>
              <w:t>1</w:t>
            </w:r>
            <w:r>
              <w:rPr>
                <w:rFonts w:hint="eastAsia" w:ascii="宋体" w:hAnsi="宋体" w:eastAsia="宋体" w:cs="Times New Roman"/>
                <w:bCs/>
                <w:color w:val="auto"/>
                <w:sz w:val="24"/>
                <w:szCs w:val="18"/>
                <w:highlight w:val="none"/>
              </w:rPr>
              <w:t>套</w:t>
            </w:r>
          </w:p>
        </w:tc>
        <w:tc>
          <w:tcPr>
            <w:tcW w:w="839" w:type="pct"/>
            <w:noWrap w:val="0"/>
            <w:vAlign w:val="center"/>
          </w:tcPr>
          <w:p w14:paraId="63C0662B">
            <w:pPr>
              <w:spacing w:line="360" w:lineRule="auto"/>
              <w:jc w:val="center"/>
              <w:rPr>
                <w:rFonts w:hint="eastAsia" w:ascii="宋体" w:hAnsi="宋体" w:eastAsia="宋体" w:cs="Times New Roman"/>
                <w:bCs/>
                <w:color w:val="auto"/>
                <w:sz w:val="24"/>
                <w:szCs w:val="18"/>
                <w:highlight w:val="none"/>
              </w:rPr>
            </w:pPr>
            <w:r>
              <w:rPr>
                <w:rFonts w:hint="eastAsia" w:ascii="宋体" w:hAnsi="宋体" w:eastAsia="宋体" w:cs="Times New Roman"/>
                <w:bCs/>
                <w:color w:val="auto"/>
                <w:sz w:val="24"/>
                <w:szCs w:val="18"/>
                <w:highlight w:val="none"/>
              </w:rPr>
              <w:t>工业</w:t>
            </w:r>
          </w:p>
        </w:tc>
      </w:tr>
      <w:tr w14:paraId="2B7B7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pct"/>
            <w:vMerge w:val="continue"/>
            <w:noWrap w:val="0"/>
            <w:vAlign w:val="center"/>
          </w:tcPr>
          <w:p w14:paraId="66FDE5E3">
            <w:pPr>
              <w:numPr>
                <w:ilvl w:val="0"/>
                <w:numId w:val="0"/>
              </w:numPr>
              <w:spacing w:line="360" w:lineRule="auto"/>
              <w:ind w:left="425" w:leftChars="0" w:hanging="425" w:firstLineChars="0"/>
              <w:jc w:val="center"/>
              <w:rPr>
                <w:rFonts w:hint="default" w:ascii="宋体" w:hAnsi="宋体" w:eastAsia="宋体" w:cs="Times New Roman"/>
                <w:bCs/>
                <w:color w:val="auto"/>
                <w:kern w:val="2"/>
                <w:sz w:val="24"/>
                <w:szCs w:val="18"/>
                <w:highlight w:val="none"/>
                <w:lang w:val="en-US" w:eastAsia="zh-CN" w:bidi="ar-SA"/>
              </w:rPr>
            </w:pPr>
          </w:p>
        </w:tc>
        <w:tc>
          <w:tcPr>
            <w:tcW w:w="535" w:type="pct"/>
            <w:noWrap w:val="0"/>
            <w:vAlign w:val="center"/>
          </w:tcPr>
          <w:p w14:paraId="67EF1A7A">
            <w:pPr>
              <w:numPr>
                <w:ilvl w:val="0"/>
                <w:numId w:val="0"/>
              </w:numPr>
              <w:spacing w:line="360" w:lineRule="auto"/>
              <w:ind w:left="425" w:leftChars="0" w:hanging="425" w:firstLineChars="0"/>
              <w:jc w:val="center"/>
              <w:rPr>
                <w:rFonts w:hint="eastAsia" w:ascii="宋体" w:hAnsi="宋体" w:eastAsia="宋体" w:cs="Times New Roman"/>
                <w:bCs/>
                <w:color w:val="auto"/>
                <w:sz w:val="24"/>
                <w:szCs w:val="18"/>
                <w:highlight w:val="none"/>
              </w:rPr>
            </w:pPr>
            <w:r>
              <w:rPr>
                <w:rFonts w:hint="default" w:ascii="宋体" w:hAnsi="宋体" w:eastAsia="宋体" w:cs="Times New Roman"/>
                <w:bCs/>
                <w:color w:val="auto"/>
                <w:kern w:val="2"/>
                <w:sz w:val="24"/>
                <w:szCs w:val="18"/>
                <w:highlight w:val="none"/>
                <w:lang w:val="en-US" w:eastAsia="zh-CN" w:bidi="ar-SA"/>
              </w:rPr>
              <w:t>2</w:t>
            </w:r>
          </w:p>
        </w:tc>
        <w:tc>
          <w:tcPr>
            <w:tcW w:w="2233" w:type="pct"/>
            <w:noWrap w:val="0"/>
            <w:vAlign w:val="center"/>
          </w:tcPr>
          <w:p w14:paraId="1DF8AB4A">
            <w:pPr>
              <w:spacing w:line="360" w:lineRule="auto"/>
              <w:jc w:val="center"/>
              <w:rPr>
                <w:rFonts w:hint="eastAsia" w:ascii="宋体" w:hAnsi="宋体" w:eastAsia="宋体" w:cs="Times New Roman"/>
                <w:bCs/>
                <w:color w:val="auto"/>
                <w:sz w:val="24"/>
                <w:szCs w:val="18"/>
                <w:highlight w:val="none"/>
              </w:rPr>
            </w:pPr>
            <w:r>
              <w:rPr>
                <w:rFonts w:hint="eastAsia" w:ascii="宋体" w:hAnsi="宋体" w:eastAsia="宋体" w:cs="Times New Roman"/>
                <w:bCs/>
                <w:color w:val="auto"/>
                <w:sz w:val="24"/>
                <w:szCs w:val="18"/>
                <w:highlight w:val="none"/>
              </w:rPr>
              <w:t>电气控制模块</w:t>
            </w:r>
          </w:p>
        </w:tc>
        <w:tc>
          <w:tcPr>
            <w:tcW w:w="657" w:type="pct"/>
            <w:noWrap w:val="0"/>
            <w:vAlign w:val="center"/>
          </w:tcPr>
          <w:p w14:paraId="59AEC5C3">
            <w:pPr>
              <w:spacing w:line="360" w:lineRule="auto"/>
              <w:jc w:val="center"/>
              <w:rPr>
                <w:rFonts w:hint="eastAsia" w:ascii="宋体" w:hAnsi="宋体" w:eastAsia="宋体" w:cs="Times New Roman"/>
                <w:bCs/>
                <w:color w:val="auto"/>
                <w:sz w:val="24"/>
                <w:szCs w:val="18"/>
                <w:highlight w:val="none"/>
              </w:rPr>
            </w:pPr>
            <w:r>
              <w:rPr>
                <w:rFonts w:ascii="宋体" w:hAnsi="宋体" w:eastAsia="宋体" w:cs="Times New Roman"/>
                <w:bCs/>
                <w:color w:val="auto"/>
                <w:sz w:val="24"/>
                <w:szCs w:val="18"/>
                <w:highlight w:val="none"/>
              </w:rPr>
              <w:t>1</w:t>
            </w:r>
            <w:r>
              <w:rPr>
                <w:rFonts w:hint="eastAsia" w:ascii="宋体" w:hAnsi="宋体" w:eastAsia="宋体" w:cs="Times New Roman"/>
                <w:bCs/>
                <w:color w:val="auto"/>
                <w:sz w:val="24"/>
                <w:szCs w:val="18"/>
                <w:highlight w:val="none"/>
              </w:rPr>
              <w:t>套</w:t>
            </w:r>
          </w:p>
        </w:tc>
        <w:tc>
          <w:tcPr>
            <w:tcW w:w="839" w:type="pct"/>
            <w:noWrap w:val="0"/>
            <w:vAlign w:val="center"/>
          </w:tcPr>
          <w:p w14:paraId="1F8F7240">
            <w:pPr>
              <w:spacing w:line="360" w:lineRule="auto"/>
              <w:jc w:val="center"/>
              <w:rPr>
                <w:rFonts w:hint="eastAsia" w:ascii="宋体" w:hAnsi="宋体" w:eastAsia="宋体" w:cs="Times New Roman"/>
                <w:bCs/>
                <w:color w:val="auto"/>
                <w:sz w:val="24"/>
                <w:szCs w:val="18"/>
                <w:highlight w:val="none"/>
              </w:rPr>
            </w:pPr>
            <w:r>
              <w:rPr>
                <w:rFonts w:hint="eastAsia" w:ascii="宋体" w:hAnsi="宋体" w:eastAsia="宋体" w:cs="Times New Roman"/>
                <w:bCs/>
                <w:color w:val="auto"/>
                <w:sz w:val="24"/>
                <w:szCs w:val="18"/>
                <w:highlight w:val="none"/>
              </w:rPr>
              <w:t>工业</w:t>
            </w:r>
          </w:p>
        </w:tc>
      </w:tr>
      <w:tr w14:paraId="434F6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pct"/>
            <w:vMerge w:val="continue"/>
            <w:noWrap w:val="0"/>
            <w:vAlign w:val="center"/>
          </w:tcPr>
          <w:p w14:paraId="6DD168B3">
            <w:pPr>
              <w:numPr>
                <w:ilvl w:val="0"/>
                <w:numId w:val="0"/>
              </w:numPr>
              <w:spacing w:line="360" w:lineRule="auto"/>
              <w:ind w:left="425" w:leftChars="0" w:hanging="425" w:firstLineChars="0"/>
              <w:jc w:val="center"/>
              <w:rPr>
                <w:rFonts w:hint="default" w:ascii="宋体" w:hAnsi="宋体" w:eastAsia="宋体" w:cs="Times New Roman"/>
                <w:bCs/>
                <w:color w:val="auto"/>
                <w:kern w:val="2"/>
                <w:sz w:val="24"/>
                <w:szCs w:val="18"/>
                <w:highlight w:val="none"/>
                <w:lang w:val="en-US" w:eastAsia="zh-CN" w:bidi="ar-SA"/>
              </w:rPr>
            </w:pPr>
          </w:p>
        </w:tc>
        <w:tc>
          <w:tcPr>
            <w:tcW w:w="535" w:type="pct"/>
            <w:noWrap w:val="0"/>
            <w:vAlign w:val="center"/>
          </w:tcPr>
          <w:p w14:paraId="619FD101">
            <w:pPr>
              <w:numPr>
                <w:ilvl w:val="0"/>
                <w:numId w:val="0"/>
              </w:numPr>
              <w:spacing w:line="360" w:lineRule="auto"/>
              <w:ind w:left="425" w:leftChars="0" w:hanging="425" w:firstLineChars="0"/>
              <w:jc w:val="center"/>
              <w:rPr>
                <w:rFonts w:hint="eastAsia" w:ascii="宋体" w:hAnsi="宋体" w:eastAsia="宋体" w:cs="Times New Roman"/>
                <w:bCs/>
                <w:color w:val="auto"/>
                <w:sz w:val="24"/>
                <w:szCs w:val="18"/>
                <w:highlight w:val="none"/>
              </w:rPr>
            </w:pPr>
            <w:r>
              <w:rPr>
                <w:rFonts w:hint="default" w:ascii="宋体" w:hAnsi="宋体" w:eastAsia="宋体" w:cs="Times New Roman"/>
                <w:bCs/>
                <w:color w:val="auto"/>
                <w:kern w:val="2"/>
                <w:sz w:val="24"/>
                <w:szCs w:val="18"/>
                <w:highlight w:val="none"/>
                <w:lang w:val="en-US" w:eastAsia="zh-CN" w:bidi="ar-SA"/>
              </w:rPr>
              <w:t>3</w:t>
            </w:r>
          </w:p>
        </w:tc>
        <w:tc>
          <w:tcPr>
            <w:tcW w:w="2233" w:type="pct"/>
            <w:noWrap w:val="0"/>
            <w:vAlign w:val="center"/>
          </w:tcPr>
          <w:p w14:paraId="6C4531FE">
            <w:pPr>
              <w:spacing w:line="360" w:lineRule="auto"/>
              <w:jc w:val="center"/>
              <w:rPr>
                <w:rFonts w:hint="eastAsia" w:ascii="宋体" w:hAnsi="宋体" w:eastAsia="宋体" w:cs="Times New Roman"/>
                <w:bCs/>
                <w:color w:val="auto"/>
                <w:sz w:val="24"/>
                <w:szCs w:val="18"/>
                <w:highlight w:val="none"/>
              </w:rPr>
            </w:pPr>
            <w:r>
              <w:rPr>
                <w:rFonts w:hint="eastAsia" w:ascii="宋体" w:hAnsi="宋体" w:eastAsia="宋体" w:cs="Times New Roman"/>
                <w:bCs/>
                <w:color w:val="auto"/>
                <w:sz w:val="24"/>
                <w:szCs w:val="18"/>
                <w:highlight w:val="none"/>
              </w:rPr>
              <w:t>机器人模块</w:t>
            </w:r>
          </w:p>
        </w:tc>
        <w:tc>
          <w:tcPr>
            <w:tcW w:w="657" w:type="pct"/>
            <w:noWrap w:val="0"/>
            <w:vAlign w:val="center"/>
          </w:tcPr>
          <w:p w14:paraId="05D39509">
            <w:pPr>
              <w:spacing w:line="360" w:lineRule="auto"/>
              <w:jc w:val="center"/>
              <w:rPr>
                <w:rFonts w:hint="eastAsia" w:ascii="宋体" w:hAnsi="宋体" w:eastAsia="宋体" w:cs="Times New Roman"/>
                <w:bCs/>
                <w:color w:val="auto"/>
                <w:sz w:val="24"/>
                <w:szCs w:val="18"/>
                <w:highlight w:val="none"/>
              </w:rPr>
            </w:pPr>
            <w:r>
              <w:rPr>
                <w:rFonts w:ascii="宋体" w:hAnsi="宋体" w:eastAsia="宋体" w:cs="Times New Roman"/>
                <w:bCs/>
                <w:color w:val="auto"/>
                <w:sz w:val="24"/>
                <w:szCs w:val="18"/>
                <w:highlight w:val="none"/>
              </w:rPr>
              <w:t>1</w:t>
            </w:r>
            <w:r>
              <w:rPr>
                <w:rFonts w:hint="eastAsia" w:ascii="宋体" w:hAnsi="宋体" w:eastAsia="宋体" w:cs="Times New Roman"/>
                <w:bCs/>
                <w:color w:val="auto"/>
                <w:sz w:val="24"/>
                <w:szCs w:val="18"/>
                <w:highlight w:val="none"/>
              </w:rPr>
              <w:t>套</w:t>
            </w:r>
          </w:p>
        </w:tc>
        <w:tc>
          <w:tcPr>
            <w:tcW w:w="839" w:type="pct"/>
            <w:noWrap w:val="0"/>
            <w:vAlign w:val="center"/>
          </w:tcPr>
          <w:p w14:paraId="625AD59B">
            <w:pPr>
              <w:spacing w:line="360" w:lineRule="auto"/>
              <w:jc w:val="center"/>
              <w:rPr>
                <w:rFonts w:hint="eastAsia" w:ascii="宋体" w:hAnsi="宋体" w:eastAsia="宋体" w:cs="Times New Roman"/>
                <w:bCs/>
                <w:color w:val="auto"/>
                <w:sz w:val="24"/>
                <w:szCs w:val="18"/>
                <w:highlight w:val="none"/>
              </w:rPr>
            </w:pPr>
            <w:r>
              <w:rPr>
                <w:rFonts w:hint="eastAsia" w:ascii="宋体" w:hAnsi="宋体" w:eastAsia="宋体" w:cs="Times New Roman"/>
                <w:bCs/>
                <w:color w:val="auto"/>
                <w:sz w:val="24"/>
                <w:szCs w:val="18"/>
                <w:highlight w:val="none"/>
              </w:rPr>
              <w:t>工业</w:t>
            </w:r>
          </w:p>
        </w:tc>
      </w:tr>
      <w:tr w14:paraId="5A111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pct"/>
            <w:vMerge w:val="continue"/>
            <w:noWrap w:val="0"/>
            <w:vAlign w:val="center"/>
          </w:tcPr>
          <w:p w14:paraId="004DA138">
            <w:pPr>
              <w:numPr>
                <w:ilvl w:val="0"/>
                <w:numId w:val="0"/>
              </w:numPr>
              <w:spacing w:line="360" w:lineRule="auto"/>
              <w:ind w:left="425" w:leftChars="0" w:hanging="425" w:firstLineChars="0"/>
              <w:jc w:val="center"/>
              <w:rPr>
                <w:rFonts w:hint="default" w:ascii="宋体" w:hAnsi="宋体" w:eastAsia="宋体" w:cs="Times New Roman"/>
                <w:bCs/>
                <w:color w:val="auto"/>
                <w:kern w:val="2"/>
                <w:sz w:val="24"/>
                <w:szCs w:val="18"/>
                <w:highlight w:val="none"/>
                <w:lang w:val="en-US" w:eastAsia="zh-CN" w:bidi="ar-SA"/>
              </w:rPr>
            </w:pPr>
          </w:p>
        </w:tc>
        <w:tc>
          <w:tcPr>
            <w:tcW w:w="535" w:type="pct"/>
            <w:noWrap w:val="0"/>
            <w:vAlign w:val="center"/>
          </w:tcPr>
          <w:p w14:paraId="20C0312B">
            <w:pPr>
              <w:numPr>
                <w:ilvl w:val="0"/>
                <w:numId w:val="0"/>
              </w:numPr>
              <w:spacing w:line="360" w:lineRule="auto"/>
              <w:ind w:left="425" w:leftChars="0" w:hanging="425" w:firstLineChars="0"/>
              <w:jc w:val="center"/>
              <w:rPr>
                <w:rFonts w:hint="eastAsia" w:ascii="宋体" w:hAnsi="宋体" w:eastAsia="宋体" w:cs="Times New Roman"/>
                <w:bCs/>
                <w:color w:val="auto"/>
                <w:sz w:val="24"/>
                <w:szCs w:val="18"/>
                <w:highlight w:val="none"/>
              </w:rPr>
            </w:pPr>
            <w:r>
              <w:rPr>
                <w:rFonts w:hint="default" w:ascii="宋体" w:hAnsi="宋体" w:eastAsia="宋体" w:cs="Times New Roman"/>
                <w:bCs/>
                <w:color w:val="auto"/>
                <w:kern w:val="2"/>
                <w:sz w:val="24"/>
                <w:szCs w:val="18"/>
                <w:highlight w:val="none"/>
                <w:lang w:val="en-US" w:eastAsia="zh-CN" w:bidi="ar-SA"/>
              </w:rPr>
              <w:t>4</w:t>
            </w:r>
          </w:p>
        </w:tc>
        <w:tc>
          <w:tcPr>
            <w:tcW w:w="2233" w:type="pct"/>
            <w:noWrap w:val="0"/>
            <w:vAlign w:val="center"/>
          </w:tcPr>
          <w:p w14:paraId="6346F2A4">
            <w:pPr>
              <w:spacing w:line="360" w:lineRule="auto"/>
              <w:jc w:val="center"/>
              <w:rPr>
                <w:rFonts w:hint="eastAsia" w:ascii="宋体" w:hAnsi="宋体" w:eastAsia="宋体" w:cs="Times New Roman"/>
                <w:bCs/>
                <w:color w:val="auto"/>
                <w:sz w:val="24"/>
                <w:szCs w:val="18"/>
                <w:highlight w:val="none"/>
              </w:rPr>
            </w:pPr>
            <w:r>
              <w:rPr>
                <w:rFonts w:hint="eastAsia" w:ascii="宋体" w:hAnsi="宋体" w:eastAsia="宋体" w:cs="Times New Roman"/>
                <w:bCs/>
                <w:color w:val="auto"/>
                <w:sz w:val="24"/>
                <w:szCs w:val="18"/>
                <w:highlight w:val="none"/>
              </w:rPr>
              <w:t>2D 视觉检测模块</w:t>
            </w:r>
          </w:p>
        </w:tc>
        <w:tc>
          <w:tcPr>
            <w:tcW w:w="657" w:type="pct"/>
            <w:noWrap w:val="0"/>
            <w:vAlign w:val="center"/>
          </w:tcPr>
          <w:p w14:paraId="0CE6D4E0">
            <w:pPr>
              <w:spacing w:line="360" w:lineRule="auto"/>
              <w:jc w:val="center"/>
              <w:rPr>
                <w:rFonts w:hint="eastAsia" w:ascii="宋体" w:hAnsi="宋体" w:eastAsia="宋体" w:cs="Times New Roman"/>
                <w:bCs/>
                <w:color w:val="auto"/>
                <w:sz w:val="24"/>
                <w:szCs w:val="18"/>
                <w:highlight w:val="none"/>
              </w:rPr>
            </w:pPr>
            <w:r>
              <w:rPr>
                <w:rFonts w:ascii="宋体" w:hAnsi="宋体" w:eastAsia="宋体" w:cs="Times New Roman"/>
                <w:bCs/>
                <w:color w:val="auto"/>
                <w:sz w:val="24"/>
                <w:szCs w:val="18"/>
                <w:highlight w:val="none"/>
              </w:rPr>
              <w:t>1</w:t>
            </w:r>
            <w:r>
              <w:rPr>
                <w:rFonts w:hint="eastAsia" w:ascii="宋体" w:hAnsi="宋体" w:eastAsia="宋体" w:cs="Times New Roman"/>
                <w:bCs/>
                <w:color w:val="auto"/>
                <w:sz w:val="24"/>
                <w:szCs w:val="18"/>
                <w:highlight w:val="none"/>
              </w:rPr>
              <w:t>套</w:t>
            </w:r>
          </w:p>
        </w:tc>
        <w:tc>
          <w:tcPr>
            <w:tcW w:w="839" w:type="pct"/>
            <w:noWrap w:val="0"/>
            <w:vAlign w:val="center"/>
          </w:tcPr>
          <w:p w14:paraId="7D91A8E3">
            <w:pPr>
              <w:spacing w:line="360" w:lineRule="auto"/>
              <w:jc w:val="center"/>
              <w:rPr>
                <w:rFonts w:hint="eastAsia" w:ascii="宋体" w:hAnsi="宋体" w:eastAsia="宋体" w:cs="Times New Roman"/>
                <w:bCs/>
                <w:color w:val="auto"/>
                <w:sz w:val="24"/>
                <w:szCs w:val="18"/>
                <w:highlight w:val="none"/>
              </w:rPr>
            </w:pPr>
            <w:r>
              <w:rPr>
                <w:rFonts w:hint="eastAsia" w:ascii="宋体" w:hAnsi="宋体" w:eastAsia="宋体" w:cs="Times New Roman"/>
                <w:bCs/>
                <w:color w:val="auto"/>
                <w:sz w:val="24"/>
                <w:szCs w:val="18"/>
                <w:highlight w:val="none"/>
              </w:rPr>
              <w:t>工业</w:t>
            </w:r>
          </w:p>
        </w:tc>
      </w:tr>
      <w:tr w14:paraId="1C15F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pct"/>
            <w:vMerge w:val="continue"/>
            <w:noWrap w:val="0"/>
            <w:vAlign w:val="center"/>
          </w:tcPr>
          <w:p w14:paraId="7A8921A9">
            <w:pPr>
              <w:numPr>
                <w:ilvl w:val="0"/>
                <w:numId w:val="0"/>
              </w:numPr>
              <w:spacing w:line="360" w:lineRule="auto"/>
              <w:ind w:left="425" w:leftChars="0" w:hanging="425" w:firstLineChars="0"/>
              <w:jc w:val="center"/>
              <w:rPr>
                <w:rFonts w:hint="default" w:ascii="宋体" w:hAnsi="宋体" w:eastAsia="宋体" w:cs="Times New Roman"/>
                <w:bCs/>
                <w:color w:val="auto"/>
                <w:kern w:val="2"/>
                <w:sz w:val="24"/>
                <w:szCs w:val="18"/>
                <w:highlight w:val="none"/>
                <w:lang w:val="en-US" w:eastAsia="zh-CN" w:bidi="ar-SA"/>
              </w:rPr>
            </w:pPr>
          </w:p>
        </w:tc>
        <w:tc>
          <w:tcPr>
            <w:tcW w:w="535" w:type="pct"/>
            <w:noWrap w:val="0"/>
            <w:vAlign w:val="center"/>
          </w:tcPr>
          <w:p w14:paraId="5C1989CF">
            <w:pPr>
              <w:numPr>
                <w:ilvl w:val="0"/>
                <w:numId w:val="0"/>
              </w:numPr>
              <w:spacing w:line="360" w:lineRule="auto"/>
              <w:ind w:left="425" w:leftChars="0" w:hanging="425" w:firstLineChars="0"/>
              <w:jc w:val="center"/>
              <w:rPr>
                <w:rFonts w:hint="eastAsia" w:ascii="宋体" w:hAnsi="宋体" w:eastAsia="宋体" w:cs="Times New Roman"/>
                <w:bCs/>
                <w:color w:val="auto"/>
                <w:sz w:val="24"/>
                <w:szCs w:val="18"/>
                <w:highlight w:val="none"/>
              </w:rPr>
            </w:pPr>
            <w:r>
              <w:rPr>
                <w:rFonts w:hint="default" w:ascii="宋体" w:hAnsi="宋体" w:eastAsia="宋体" w:cs="Times New Roman"/>
                <w:bCs/>
                <w:color w:val="auto"/>
                <w:kern w:val="2"/>
                <w:sz w:val="24"/>
                <w:szCs w:val="18"/>
                <w:highlight w:val="none"/>
                <w:lang w:val="en-US" w:eastAsia="zh-CN" w:bidi="ar-SA"/>
              </w:rPr>
              <w:t>5</w:t>
            </w:r>
          </w:p>
        </w:tc>
        <w:tc>
          <w:tcPr>
            <w:tcW w:w="2233" w:type="pct"/>
            <w:noWrap w:val="0"/>
            <w:vAlign w:val="center"/>
          </w:tcPr>
          <w:p w14:paraId="25D8AF91">
            <w:pPr>
              <w:spacing w:line="360" w:lineRule="auto"/>
              <w:jc w:val="center"/>
              <w:rPr>
                <w:rFonts w:hint="eastAsia" w:ascii="宋体" w:hAnsi="宋体" w:eastAsia="宋体" w:cs="Times New Roman"/>
                <w:bCs/>
                <w:color w:val="auto"/>
                <w:sz w:val="24"/>
                <w:szCs w:val="18"/>
                <w:highlight w:val="none"/>
              </w:rPr>
            </w:pPr>
            <w:r>
              <w:rPr>
                <w:rFonts w:hint="eastAsia" w:ascii="宋体" w:hAnsi="宋体" w:eastAsia="宋体" w:cs="Times New Roman"/>
                <w:bCs/>
                <w:color w:val="auto"/>
                <w:sz w:val="24"/>
                <w:szCs w:val="18"/>
                <w:highlight w:val="none"/>
              </w:rPr>
              <w:t>3D 视觉检测模块</w:t>
            </w:r>
          </w:p>
        </w:tc>
        <w:tc>
          <w:tcPr>
            <w:tcW w:w="657" w:type="pct"/>
            <w:noWrap w:val="0"/>
            <w:vAlign w:val="center"/>
          </w:tcPr>
          <w:p w14:paraId="62B49C02">
            <w:pPr>
              <w:spacing w:line="360" w:lineRule="auto"/>
              <w:jc w:val="center"/>
              <w:rPr>
                <w:rFonts w:hint="eastAsia" w:ascii="宋体" w:hAnsi="宋体" w:eastAsia="宋体" w:cs="Times New Roman"/>
                <w:bCs/>
                <w:color w:val="auto"/>
                <w:sz w:val="24"/>
                <w:szCs w:val="18"/>
                <w:highlight w:val="none"/>
              </w:rPr>
            </w:pPr>
            <w:r>
              <w:rPr>
                <w:rFonts w:ascii="宋体" w:hAnsi="宋体" w:eastAsia="宋体" w:cs="Times New Roman"/>
                <w:bCs/>
                <w:color w:val="auto"/>
                <w:sz w:val="24"/>
                <w:szCs w:val="18"/>
                <w:highlight w:val="none"/>
              </w:rPr>
              <w:t>1</w:t>
            </w:r>
            <w:r>
              <w:rPr>
                <w:rFonts w:hint="eastAsia" w:ascii="宋体" w:hAnsi="宋体" w:eastAsia="宋体" w:cs="Times New Roman"/>
                <w:bCs/>
                <w:color w:val="auto"/>
                <w:sz w:val="24"/>
                <w:szCs w:val="18"/>
                <w:highlight w:val="none"/>
              </w:rPr>
              <w:t>套</w:t>
            </w:r>
          </w:p>
        </w:tc>
        <w:tc>
          <w:tcPr>
            <w:tcW w:w="839" w:type="pct"/>
            <w:noWrap w:val="0"/>
            <w:vAlign w:val="center"/>
          </w:tcPr>
          <w:p w14:paraId="11607716">
            <w:pPr>
              <w:spacing w:line="360" w:lineRule="auto"/>
              <w:jc w:val="center"/>
              <w:rPr>
                <w:rFonts w:hint="eastAsia" w:ascii="宋体" w:hAnsi="宋体" w:eastAsia="宋体" w:cs="Times New Roman"/>
                <w:bCs/>
                <w:color w:val="auto"/>
                <w:sz w:val="24"/>
                <w:szCs w:val="18"/>
                <w:highlight w:val="none"/>
              </w:rPr>
            </w:pPr>
            <w:r>
              <w:rPr>
                <w:rFonts w:hint="eastAsia" w:ascii="宋体" w:hAnsi="宋体" w:eastAsia="宋体" w:cs="Times New Roman"/>
                <w:bCs/>
                <w:color w:val="auto"/>
                <w:sz w:val="24"/>
                <w:szCs w:val="18"/>
                <w:highlight w:val="none"/>
              </w:rPr>
              <w:t>工业</w:t>
            </w:r>
          </w:p>
        </w:tc>
      </w:tr>
      <w:tr w14:paraId="20C57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pct"/>
            <w:vMerge w:val="continue"/>
            <w:noWrap w:val="0"/>
            <w:vAlign w:val="center"/>
          </w:tcPr>
          <w:p w14:paraId="151D942B">
            <w:pPr>
              <w:numPr>
                <w:ilvl w:val="0"/>
                <w:numId w:val="0"/>
              </w:numPr>
              <w:spacing w:line="360" w:lineRule="auto"/>
              <w:ind w:left="425" w:leftChars="0" w:hanging="425" w:firstLineChars="0"/>
              <w:jc w:val="center"/>
              <w:rPr>
                <w:rFonts w:hint="default" w:ascii="宋体" w:hAnsi="宋体" w:eastAsia="宋体" w:cs="Times New Roman"/>
                <w:bCs/>
                <w:color w:val="auto"/>
                <w:kern w:val="2"/>
                <w:sz w:val="24"/>
                <w:szCs w:val="18"/>
                <w:highlight w:val="none"/>
                <w:lang w:val="en-US" w:eastAsia="zh-CN" w:bidi="ar-SA"/>
              </w:rPr>
            </w:pPr>
          </w:p>
        </w:tc>
        <w:tc>
          <w:tcPr>
            <w:tcW w:w="535" w:type="pct"/>
            <w:noWrap w:val="0"/>
            <w:vAlign w:val="center"/>
          </w:tcPr>
          <w:p w14:paraId="483DFDB7">
            <w:pPr>
              <w:numPr>
                <w:ilvl w:val="0"/>
                <w:numId w:val="0"/>
              </w:numPr>
              <w:spacing w:line="360" w:lineRule="auto"/>
              <w:ind w:left="425" w:leftChars="0" w:hanging="425" w:firstLineChars="0"/>
              <w:jc w:val="center"/>
              <w:rPr>
                <w:rFonts w:hint="eastAsia" w:ascii="宋体" w:hAnsi="宋体" w:eastAsia="宋体" w:cs="Times New Roman"/>
                <w:bCs/>
                <w:color w:val="auto"/>
                <w:sz w:val="24"/>
                <w:szCs w:val="18"/>
                <w:highlight w:val="none"/>
              </w:rPr>
            </w:pPr>
            <w:r>
              <w:rPr>
                <w:rFonts w:hint="default" w:ascii="宋体" w:hAnsi="宋体" w:eastAsia="宋体" w:cs="Times New Roman"/>
                <w:bCs/>
                <w:color w:val="auto"/>
                <w:kern w:val="2"/>
                <w:sz w:val="24"/>
                <w:szCs w:val="18"/>
                <w:highlight w:val="none"/>
                <w:lang w:val="en-US" w:eastAsia="zh-CN" w:bidi="ar-SA"/>
              </w:rPr>
              <w:t>6</w:t>
            </w:r>
          </w:p>
        </w:tc>
        <w:tc>
          <w:tcPr>
            <w:tcW w:w="2233" w:type="pct"/>
            <w:noWrap w:val="0"/>
            <w:vAlign w:val="center"/>
          </w:tcPr>
          <w:p w14:paraId="4A6A5FCD">
            <w:pPr>
              <w:spacing w:line="360" w:lineRule="auto"/>
              <w:jc w:val="center"/>
              <w:rPr>
                <w:rFonts w:hint="eastAsia" w:ascii="宋体" w:hAnsi="宋体" w:eastAsia="宋体" w:cs="Times New Roman"/>
                <w:bCs/>
                <w:color w:val="auto"/>
                <w:sz w:val="24"/>
                <w:szCs w:val="18"/>
                <w:highlight w:val="none"/>
              </w:rPr>
            </w:pPr>
            <w:r>
              <w:rPr>
                <w:rFonts w:hint="eastAsia" w:ascii="宋体" w:hAnsi="宋体" w:eastAsia="宋体" w:cs="Times New Roman"/>
                <w:bCs/>
                <w:color w:val="auto"/>
                <w:sz w:val="24"/>
                <w:szCs w:val="18"/>
                <w:highlight w:val="none"/>
              </w:rPr>
              <w:t>物料存储与上料单元模块</w:t>
            </w:r>
          </w:p>
        </w:tc>
        <w:tc>
          <w:tcPr>
            <w:tcW w:w="657" w:type="pct"/>
            <w:noWrap w:val="0"/>
            <w:vAlign w:val="center"/>
          </w:tcPr>
          <w:p w14:paraId="16EDBB89">
            <w:pPr>
              <w:spacing w:line="360" w:lineRule="auto"/>
              <w:jc w:val="center"/>
              <w:rPr>
                <w:rFonts w:hint="eastAsia" w:ascii="宋体" w:hAnsi="宋体" w:eastAsia="宋体" w:cs="Times New Roman"/>
                <w:bCs/>
                <w:color w:val="auto"/>
                <w:sz w:val="24"/>
                <w:szCs w:val="18"/>
                <w:highlight w:val="none"/>
              </w:rPr>
            </w:pPr>
            <w:r>
              <w:rPr>
                <w:rFonts w:ascii="宋体" w:hAnsi="宋体" w:eastAsia="宋体" w:cs="Times New Roman"/>
                <w:bCs/>
                <w:color w:val="auto"/>
                <w:sz w:val="24"/>
                <w:szCs w:val="18"/>
                <w:highlight w:val="none"/>
              </w:rPr>
              <w:t>1</w:t>
            </w:r>
            <w:r>
              <w:rPr>
                <w:rFonts w:hint="eastAsia" w:ascii="宋体" w:hAnsi="宋体" w:eastAsia="宋体" w:cs="Times New Roman"/>
                <w:bCs/>
                <w:color w:val="auto"/>
                <w:sz w:val="24"/>
                <w:szCs w:val="18"/>
                <w:highlight w:val="none"/>
              </w:rPr>
              <w:t>套</w:t>
            </w:r>
          </w:p>
        </w:tc>
        <w:tc>
          <w:tcPr>
            <w:tcW w:w="839" w:type="pct"/>
            <w:noWrap w:val="0"/>
            <w:vAlign w:val="center"/>
          </w:tcPr>
          <w:p w14:paraId="7519CC2F">
            <w:pPr>
              <w:spacing w:line="360" w:lineRule="auto"/>
              <w:jc w:val="center"/>
              <w:rPr>
                <w:rFonts w:hint="eastAsia" w:ascii="宋体" w:hAnsi="宋体" w:eastAsia="宋体" w:cs="Times New Roman"/>
                <w:bCs/>
                <w:color w:val="auto"/>
                <w:sz w:val="24"/>
                <w:szCs w:val="18"/>
                <w:highlight w:val="none"/>
              </w:rPr>
            </w:pPr>
            <w:r>
              <w:rPr>
                <w:rFonts w:hint="eastAsia" w:ascii="宋体" w:hAnsi="宋体" w:eastAsia="宋体" w:cs="Times New Roman"/>
                <w:bCs/>
                <w:color w:val="auto"/>
                <w:sz w:val="24"/>
                <w:szCs w:val="18"/>
                <w:highlight w:val="none"/>
              </w:rPr>
              <w:t>工业</w:t>
            </w:r>
          </w:p>
        </w:tc>
      </w:tr>
      <w:tr w14:paraId="5C1FA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pct"/>
            <w:vMerge w:val="continue"/>
            <w:noWrap w:val="0"/>
            <w:vAlign w:val="center"/>
          </w:tcPr>
          <w:p w14:paraId="52D9D99E">
            <w:pPr>
              <w:numPr>
                <w:ilvl w:val="0"/>
                <w:numId w:val="0"/>
              </w:numPr>
              <w:spacing w:line="360" w:lineRule="auto"/>
              <w:ind w:left="425" w:leftChars="0" w:hanging="425" w:firstLineChars="0"/>
              <w:jc w:val="center"/>
              <w:rPr>
                <w:rFonts w:hint="default" w:ascii="宋体" w:hAnsi="宋体" w:eastAsia="宋体" w:cs="Times New Roman"/>
                <w:bCs/>
                <w:color w:val="auto"/>
                <w:kern w:val="2"/>
                <w:sz w:val="24"/>
                <w:szCs w:val="18"/>
                <w:highlight w:val="none"/>
                <w:lang w:val="en-US" w:eastAsia="zh-CN" w:bidi="ar-SA"/>
              </w:rPr>
            </w:pPr>
          </w:p>
        </w:tc>
        <w:tc>
          <w:tcPr>
            <w:tcW w:w="535" w:type="pct"/>
            <w:noWrap w:val="0"/>
            <w:vAlign w:val="center"/>
          </w:tcPr>
          <w:p w14:paraId="294B1E5C">
            <w:pPr>
              <w:numPr>
                <w:ilvl w:val="0"/>
                <w:numId w:val="0"/>
              </w:numPr>
              <w:spacing w:line="360" w:lineRule="auto"/>
              <w:ind w:left="425" w:leftChars="0" w:hanging="425" w:firstLineChars="0"/>
              <w:jc w:val="center"/>
              <w:rPr>
                <w:rFonts w:hint="eastAsia" w:ascii="宋体" w:hAnsi="宋体" w:eastAsia="宋体" w:cs="Times New Roman"/>
                <w:bCs/>
                <w:color w:val="auto"/>
                <w:sz w:val="24"/>
                <w:szCs w:val="18"/>
                <w:highlight w:val="none"/>
              </w:rPr>
            </w:pPr>
            <w:r>
              <w:rPr>
                <w:rFonts w:hint="default" w:ascii="宋体" w:hAnsi="宋体" w:eastAsia="宋体" w:cs="Times New Roman"/>
                <w:bCs/>
                <w:color w:val="auto"/>
                <w:kern w:val="2"/>
                <w:sz w:val="24"/>
                <w:szCs w:val="18"/>
                <w:highlight w:val="none"/>
                <w:lang w:val="en-US" w:eastAsia="zh-CN" w:bidi="ar-SA"/>
              </w:rPr>
              <w:t>7</w:t>
            </w:r>
          </w:p>
        </w:tc>
        <w:tc>
          <w:tcPr>
            <w:tcW w:w="2233" w:type="pct"/>
            <w:noWrap w:val="0"/>
            <w:vAlign w:val="center"/>
          </w:tcPr>
          <w:p w14:paraId="544497A4">
            <w:pPr>
              <w:spacing w:line="360" w:lineRule="auto"/>
              <w:jc w:val="center"/>
              <w:rPr>
                <w:rFonts w:hint="eastAsia" w:ascii="宋体" w:hAnsi="宋体" w:eastAsia="宋体" w:cs="Times New Roman"/>
                <w:bCs/>
                <w:color w:val="auto"/>
                <w:sz w:val="24"/>
                <w:szCs w:val="18"/>
                <w:highlight w:val="none"/>
              </w:rPr>
            </w:pPr>
            <w:r>
              <w:rPr>
                <w:rFonts w:hint="eastAsia" w:ascii="宋体" w:hAnsi="宋体" w:eastAsia="宋体" w:cs="Times New Roman"/>
                <w:bCs/>
                <w:color w:val="auto"/>
                <w:sz w:val="24"/>
                <w:szCs w:val="18"/>
                <w:highlight w:val="none"/>
              </w:rPr>
              <w:t>尺寸、缺陷检测模块</w:t>
            </w:r>
          </w:p>
        </w:tc>
        <w:tc>
          <w:tcPr>
            <w:tcW w:w="657" w:type="pct"/>
            <w:noWrap w:val="0"/>
            <w:vAlign w:val="center"/>
          </w:tcPr>
          <w:p w14:paraId="0CCBF53F">
            <w:pPr>
              <w:spacing w:line="360" w:lineRule="auto"/>
              <w:jc w:val="center"/>
              <w:rPr>
                <w:rFonts w:hint="eastAsia" w:ascii="宋体" w:hAnsi="宋体" w:eastAsia="宋体" w:cs="Times New Roman"/>
                <w:bCs/>
                <w:color w:val="auto"/>
                <w:sz w:val="24"/>
                <w:szCs w:val="18"/>
                <w:highlight w:val="none"/>
              </w:rPr>
            </w:pPr>
            <w:r>
              <w:rPr>
                <w:rFonts w:ascii="宋体" w:hAnsi="宋体" w:eastAsia="宋体" w:cs="Times New Roman"/>
                <w:bCs/>
                <w:color w:val="auto"/>
                <w:sz w:val="24"/>
                <w:szCs w:val="18"/>
                <w:highlight w:val="none"/>
              </w:rPr>
              <w:t>1</w:t>
            </w:r>
            <w:r>
              <w:rPr>
                <w:rFonts w:hint="eastAsia" w:ascii="宋体" w:hAnsi="宋体" w:eastAsia="宋体" w:cs="Times New Roman"/>
                <w:bCs/>
                <w:color w:val="auto"/>
                <w:sz w:val="24"/>
                <w:szCs w:val="18"/>
                <w:highlight w:val="none"/>
              </w:rPr>
              <w:t>套</w:t>
            </w:r>
          </w:p>
        </w:tc>
        <w:tc>
          <w:tcPr>
            <w:tcW w:w="839" w:type="pct"/>
            <w:noWrap w:val="0"/>
            <w:vAlign w:val="center"/>
          </w:tcPr>
          <w:p w14:paraId="6BFAAEA5">
            <w:pPr>
              <w:spacing w:line="360" w:lineRule="auto"/>
              <w:jc w:val="center"/>
              <w:rPr>
                <w:rFonts w:hint="eastAsia" w:ascii="宋体" w:hAnsi="宋体" w:eastAsia="宋体" w:cs="Times New Roman"/>
                <w:bCs/>
                <w:color w:val="auto"/>
                <w:sz w:val="24"/>
                <w:szCs w:val="18"/>
                <w:highlight w:val="none"/>
              </w:rPr>
            </w:pPr>
            <w:r>
              <w:rPr>
                <w:rFonts w:hint="eastAsia" w:ascii="宋体" w:hAnsi="宋体" w:eastAsia="宋体" w:cs="Times New Roman"/>
                <w:bCs/>
                <w:color w:val="auto"/>
                <w:sz w:val="24"/>
                <w:szCs w:val="18"/>
                <w:highlight w:val="none"/>
              </w:rPr>
              <w:t>工业</w:t>
            </w:r>
          </w:p>
        </w:tc>
      </w:tr>
      <w:tr w14:paraId="7565D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pct"/>
            <w:vMerge w:val="continue"/>
            <w:noWrap w:val="0"/>
            <w:vAlign w:val="center"/>
          </w:tcPr>
          <w:p w14:paraId="3BCC1E58">
            <w:pPr>
              <w:numPr>
                <w:ilvl w:val="0"/>
                <w:numId w:val="0"/>
              </w:numPr>
              <w:spacing w:line="360" w:lineRule="auto"/>
              <w:ind w:left="425" w:leftChars="0" w:hanging="425" w:firstLineChars="0"/>
              <w:jc w:val="center"/>
              <w:rPr>
                <w:rFonts w:hint="default" w:ascii="宋体" w:hAnsi="宋体" w:eastAsia="宋体" w:cs="Times New Roman"/>
                <w:bCs/>
                <w:color w:val="auto"/>
                <w:kern w:val="2"/>
                <w:sz w:val="24"/>
                <w:szCs w:val="18"/>
                <w:highlight w:val="none"/>
                <w:lang w:val="en-US" w:eastAsia="zh-CN" w:bidi="ar-SA"/>
              </w:rPr>
            </w:pPr>
          </w:p>
        </w:tc>
        <w:tc>
          <w:tcPr>
            <w:tcW w:w="535" w:type="pct"/>
            <w:noWrap w:val="0"/>
            <w:vAlign w:val="center"/>
          </w:tcPr>
          <w:p w14:paraId="60E8F41D">
            <w:pPr>
              <w:numPr>
                <w:ilvl w:val="0"/>
                <w:numId w:val="0"/>
              </w:numPr>
              <w:spacing w:line="360" w:lineRule="auto"/>
              <w:ind w:left="425" w:leftChars="0" w:hanging="425" w:firstLineChars="0"/>
              <w:jc w:val="center"/>
              <w:rPr>
                <w:rFonts w:hint="eastAsia" w:ascii="宋体" w:hAnsi="宋体" w:eastAsia="宋体" w:cs="Times New Roman"/>
                <w:bCs/>
                <w:color w:val="auto"/>
                <w:sz w:val="24"/>
                <w:szCs w:val="18"/>
                <w:highlight w:val="none"/>
              </w:rPr>
            </w:pPr>
            <w:r>
              <w:rPr>
                <w:rFonts w:hint="default" w:ascii="宋体" w:hAnsi="宋体" w:eastAsia="宋体" w:cs="Times New Roman"/>
                <w:bCs/>
                <w:color w:val="auto"/>
                <w:kern w:val="2"/>
                <w:sz w:val="24"/>
                <w:szCs w:val="18"/>
                <w:highlight w:val="none"/>
                <w:lang w:val="en-US" w:eastAsia="zh-CN" w:bidi="ar-SA"/>
              </w:rPr>
              <w:t>8</w:t>
            </w:r>
          </w:p>
        </w:tc>
        <w:tc>
          <w:tcPr>
            <w:tcW w:w="2233" w:type="pct"/>
            <w:noWrap w:val="0"/>
            <w:vAlign w:val="center"/>
          </w:tcPr>
          <w:p w14:paraId="5D7A4A38">
            <w:pPr>
              <w:spacing w:line="360" w:lineRule="auto"/>
              <w:jc w:val="center"/>
              <w:rPr>
                <w:rFonts w:hint="eastAsia" w:ascii="宋体" w:hAnsi="宋体" w:eastAsia="宋体" w:cs="Times New Roman"/>
                <w:bCs/>
                <w:color w:val="auto"/>
                <w:sz w:val="24"/>
                <w:szCs w:val="18"/>
                <w:highlight w:val="none"/>
              </w:rPr>
            </w:pPr>
            <w:r>
              <w:rPr>
                <w:rFonts w:hint="eastAsia" w:ascii="宋体" w:hAnsi="宋体" w:eastAsia="宋体" w:cs="Times New Roman"/>
                <w:bCs/>
                <w:color w:val="auto"/>
                <w:sz w:val="24"/>
                <w:szCs w:val="18"/>
                <w:highlight w:val="none"/>
              </w:rPr>
              <w:t>智能码垛、扫码、搬运模块</w:t>
            </w:r>
          </w:p>
        </w:tc>
        <w:tc>
          <w:tcPr>
            <w:tcW w:w="657" w:type="pct"/>
            <w:noWrap w:val="0"/>
            <w:vAlign w:val="center"/>
          </w:tcPr>
          <w:p w14:paraId="27793FFE">
            <w:pPr>
              <w:spacing w:line="360" w:lineRule="auto"/>
              <w:jc w:val="center"/>
              <w:rPr>
                <w:rFonts w:hint="eastAsia" w:ascii="宋体" w:hAnsi="宋体" w:eastAsia="宋体" w:cs="Times New Roman"/>
                <w:bCs/>
                <w:color w:val="auto"/>
                <w:sz w:val="24"/>
                <w:szCs w:val="18"/>
                <w:highlight w:val="none"/>
              </w:rPr>
            </w:pPr>
            <w:r>
              <w:rPr>
                <w:rFonts w:ascii="宋体" w:hAnsi="宋体" w:eastAsia="宋体" w:cs="Times New Roman"/>
                <w:bCs/>
                <w:color w:val="auto"/>
                <w:sz w:val="24"/>
                <w:szCs w:val="18"/>
                <w:highlight w:val="none"/>
              </w:rPr>
              <w:t>1</w:t>
            </w:r>
            <w:r>
              <w:rPr>
                <w:rFonts w:hint="eastAsia" w:ascii="宋体" w:hAnsi="宋体" w:eastAsia="宋体" w:cs="Times New Roman"/>
                <w:bCs/>
                <w:color w:val="auto"/>
                <w:sz w:val="24"/>
                <w:szCs w:val="18"/>
                <w:highlight w:val="none"/>
              </w:rPr>
              <w:t>套</w:t>
            </w:r>
          </w:p>
        </w:tc>
        <w:tc>
          <w:tcPr>
            <w:tcW w:w="839" w:type="pct"/>
            <w:noWrap w:val="0"/>
            <w:vAlign w:val="center"/>
          </w:tcPr>
          <w:p w14:paraId="18C7C13D">
            <w:pPr>
              <w:spacing w:line="360" w:lineRule="auto"/>
              <w:jc w:val="center"/>
              <w:rPr>
                <w:rFonts w:hint="eastAsia" w:ascii="宋体" w:hAnsi="宋体" w:eastAsia="宋体" w:cs="Times New Roman"/>
                <w:bCs/>
                <w:color w:val="auto"/>
                <w:sz w:val="24"/>
                <w:szCs w:val="18"/>
                <w:highlight w:val="none"/>
              </w:rPr>
            </w:pPr>
            <w:r>
              <w:rPr>
                <w:rFonts w:hint="eastAsia" w:ascii="宋体" w:hAnsi="宋体" w:eastAsia="宋体" w:cs="Times New Roman"/>
                <w:bCs/>
                <w:color w:val="auto"/>
                <w:sz w:val="24"/>
                <w:szCs w:val="18"/>
                <w:highlight w:val="none"/>
              </w:rPr>
              <w:t>工业</w:t>
            </w:r>
          </w:p>
        </w:tc>
      </w:tr>
      <w:tr w14:paraId="43837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pct"/>
            <w:vMerge w:val="continue"/>
            <w:noWrap w:val="0"/>
            <w:vAlign w:val="center"/>
          </w:tcPr>
          <w:p w14:paraId="2BC7C868">
            <w:pPr>
              <w:numPr>
                <w:ilvl w:val="0"/>
                <w:numId w:val="0"/>
              </w:numPr>
              <w:spacing w:line="360" w:lineRule="auto"/>
              <w:ind w:left="425" w:leftChars="0" w:hanging="425" w:firstLineChars="0"/>
              <w:jc w:val="center"/>
              <w:rPr>
                <w:rFonts w:hint="default" w:ascii="宋体" w:hAnsi="宋体" w:eastAsia="宋体" w:cs="Times New Roman"/>
                <w:bCs/>
                <w:color w:val="auto"/>
                <w:kern w:val="2"/>
                <w:sz w:val="24"/>
                <w:szCs w:val="18"/>
                <w:highlight w:val="none"/>
                <w:lang w:val="en-US" w:eastAsia="zh-CN" w:bidi="ar-SA"/>
              </w:rPr>
            </w:pPr>
          </w:p>
        </w:tc>
        <w:tc>
          <w:tcPr>
            <w:tcW w:w="535" w:type="pct"/>
            <w:noWrap w:val="0"/>
            <w:vAlign w:val="center"/>
          </w:tcPr>
          <w:p w14:paraId="6CBB141D">
            <w:pPr>
              <w:numPr>
                <w:ilvl w:val="0"/>
                <w:numId w:val="0"/>
              </w:numPr>
              <w:spacing w:line="360" w:lineRule="auto"/>
              <w:ind w:left="425" w:leftChars="0" w:hanging="425" w:firstLineChars="0"/>
              <w:jc w:val="center"/>
              <w:rPr>
                <w:rFonts w:hint="eastAsia" w:ascii="宋体" w:hAnsi="宋体" w:eastAsia="宋体" w:cs="Times New Roman"/>
                <w:bCs/>
                <w:color w:val="auto"/>
                <w:sz w:val="24"/>
                <w:szCs w:val="18"/>
                <w:highlight w:val="none"/>
              </w:rPr>
            </w:pPr>
            <w:r>
              <w:rPr>
                <w:rFonts w:hint="default" w:ascii="宋体" w:hAnsi="宋体" w:eastAsia="宋体" w:cs="Times New Roman"/>
                <w:bCs/>
                <w:color w:val="auto"/>
                <w:kern w:val="2"/>
                <w:sz w:val="24"/>
                <w:szCs w:val="18"/>
                <w:highlight w:val="none"/>
                <w:lang w:val="en-US" w:eastAsia="zh-CN" w:bidi="ar-SA"/>
              </w:rPr>
              <w:t>9</w:t>
            </w:r>
          </w:p>
        </w:tc>
        <w:tc>
          <w:tcPr>
            <w:tcW w:w="2233" w:type="pct"/>
            <w:noWrap w:val="0"/>
            <w:vAlign w:val="center"/>
          </w:tcPr>
          <w:p w14:paraId="23B79724">
            <w:pPr>
              <w:spacing w:line="360" w:lineRule="auto"/>
              <w:jc w:val="center"/>
              <w:rPr>
                <w:rFonts w:hint="eastAsia" w:ascii="宋体" w:hAnsi="宋体" w:eastAsia="宋体" w:cs="Times New Roman"/>
                <w:bCs/>
                <w:color w:val="auto"/>
                <w:sz w:val="24"/>
                <w:szCs w:val="18"/>
                <w:highlight w:val="none"/>
              </w:rPr>
            </w:pPr>
            <w:r>
              <w:rPr>
                <w:rFonts w:hint="eastAsia" w:ascii="宋体" w:hAnsi="宋体" w:eastAsia="宋体" w:cs="Times New Roman"/>
                <w:bCs/>
                <w:color w:val="auto"/>
                <w:sz w:val="24"/>
                <w:szCs w:val="18"/>
                <w:highlight w:val="none"/>
              </w:rPr>
              <w:t>工控终端模块</w:t>
            </w:r>
          </w:p>
        </w:tc>
        <w:tc>
          <w:tcPr>
            <w:tcW w:w="657" w:type="pct"/>
            <w:noWrap w:val="0"/>
            <w:vAlign w:val="center"/>
          </w:tcPr>
          <w:p w14:paraId="0E33B4C2">
            <w:pPr>
              <w:spacing w:line="360" w:lineRule="auto"/>
              <w:jc w:val="center"/>
              <w:rPr>
                <w:rFonts w:hint="eastAsia" w:ascii="宋体" w:hAnsi="宋体" w:eastAsia="宋体" w:cs="Times New Roman"/>
                <w:bCs/>
                <w:color w:val="auto"/>
                <w:sz w:val="24"/>
                <w:szCs w:val="18"/>
                <w:highlight w:val="none"/>
              </w:rPr>
            </w:pPr>
            <w:r>
              <w:rPr>
                <w:rFonts w:ascii="宋体" w:hAnsi="宋体" w:eastAsia="宋体" w:cs="Times New Roman"/>
                <w:bCs/>
                <w:color w:val="auto"/>
                <w:sz w:val="24"/>
                <w:szCs w:val="18"/>
                <w:highlight w:val="none"/>
              </w:rPr>
              <w:t>1</w:t>
            </w:r>
            <w:r>
              <w:rPr>
                <w:rFonts w:hint="eastAsia" w:ascii="宋体" w:hAnsi="宋体" w:eastAsia="宋体" w:cs="Times New Roman"/>
                <w:bCs/>
                <w:color w:val="auto"/>
                <w:sz w:val="24"/>
                <w:szCs w:val="18"/>
                <w:highlight w:val="none"/>
              </w:rPr>
              <w:t>套</w:t>
            </w:r>
          </w:p>
        </w:tc>
        <w:tc>
          <w:tcPr>
            <w:tcW w:w="839" w:type="pct"/>
            <w:noWrap w:val="0"/>
            <w:vAlign w:val="center"/>
          </w:tcPr>
          <w:p w14:paraId="4EF6BFDE">
            <w:pPr>
              <w:spacing w:line="360" w:lineRule="auto"/>
              <w:jc w:val="center"/>
              <w:rPr>
                <w:rFonts w:hint="eastAsia" w:ascii="宋体" w:hAnsi="宋体" w:eastAsia="宋体" w:cs="Times New Roman"/>
                <w:bCs/>
                <w:color w:val="auto"/>
                <w:sz w:val="24"/>
                <w:szCs w:val="18"/>
                <w:highlight w:val="none"/>
              </w:rPr>
            </w:pPr>
            <w:r>
              <w:rPr>
                <w:rFonts w:hint="eastAsia" w:ascii="宋体" w:hAnsi="宋体" w:eastAsia="宋体" w:cs="Times New Roman"/>
                <w:bCs/>
                <w:color w:val="auto"/>
                <w:sz w:val="24"/>
                <w:szCs w:val="18"/>
                <w:highlight w:val="none"/>
              </w:rPr>
              <w:t>工业</w:t>
            </w:r>
          </w:p>
        </w:tc>
      </w:tr>
      <w:tr w14:paraId="3A912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pct"/>
            <w:vMerge w:val="continue"/>
            <w:noWrap w:val="0"/>
            <w:vAlign w:val="center"/>
          </w:tcPr>
          <w:p w14:paraId="403931B6">
            <w:pPr>
              <w:numPr>
                <w:ilvl w:val="0"/>
                <w:numId w:val="0"/>
              </w:numPr>
              <w:spacing w:line="360" w:lineRule="auto"/>
              <w:ind w:left="425" w:leftChars="0" w:hanging="425" w:firstLineChars="0"/>
              <w:jc w:val="center"/>
              <w:rPr>
                <w:rFonts w:hint="default" w:ascii="宋体" w:hAnsi="宋体" w:eastAsia="宋体" w:cs="Times New Roman"/>
                <w:bCs/>
                <w:color w:val="auto"/>
                <w:kern w:val="2"/>
                <w:sz w:val="24"/>
                <w:szCs w:val="18"/>
                <w:highlight w:val="none"/>
                <w:lang w:val="en-US" w:eastAsia="zh-CN" w:bidi="ar-SA"/>
              </w:rPr>
            </w:pPr>
          </w:p>
        </w:tc>
        <w:tc>
          <w:tcPr>
            <w:tcW w:w="535" w:type="pct"/>
            <w:noWrap w:val="0"/>
            <w:vAlign w:val="center"/>
          </w:tcPr>
          <w:p w14:paraId="0AE9ABCC">
            <w:pPr>
              <w:numPr>
                <w:ilvl w:val="0"/>
                <w:numId w:val="0"/>
              </w:numPr>
              <w:spacing w:line="360" w:lineRule="auto"/>
              <w:ind w:left="425" w:leftChars="0" w:hanging="425" w:firstLineChars="0"/>
              <w:jc w:val="center"/>
              <w:rPr>
                <w:rFonts w:hint="eastAsia" w:ascii="宋体" w:hAnsi="宋体" w:eastAsia="宋体" w:cs="Times New Roman"/>
                <w:bCs/>
                <w:color w:val="auto"/>
                <w:sz w:val="24"/>
                <w:szCs w:val="18"/>
                <w:highlight w:val="none"/>
              </w:rPr>
            </w:pPr>
            <w:r>
              <w:rPr>
                <w:rFonts w:hint="default" w:ascii="宋体" w:hAnsi="宋体" w:eastAsia="宋体" w:cs="Times New Roman"/>
                <w:bCs/>
                <w:color w:val="auto"/>
                <w:kern w:val="2"/>
                <w:sz w:val="24"/>
                <w:szCs w:val="18"/>
                <w:highlight w:val="none"/>
                <w:lang w:val="en-US" w:eastAsia="zh-CN" w:bidi="ar-SA"/>
              </w:rPr>
              <w:t>10</w:t>
            </w:r>
          </w:p>
        </w:tc>
        <w:tc>
          <w:tcPr>
            <w:tcW w:w="2233" w:type="pct"/>
            <w:noWrap w:val="0"/>
            <w:vAlign w:val="center"/>
          </w:tcPr>
          <w:p w14:paraId="14D83FDB">
            <w:pPr>
              <w:spacing w:line="360" w:lineRule="auto"/>
              <w:jc w:val="center"/>
              <w:rPr>
                <w:rFonts w:hint="eastAsia" w:ascii="宋体" w:hAnsi="宋体" w:eastAsia="宋体" w:cs="Times New Roman"/>
                <w:bCs/>
                <w:color w:val="auto"/>
                <w:sz w:val="24"/>
                <w:szCs w:val="18"/>
                <w:highlight w:val="none"/>
              </w:rPr>
            </w:pPr>
            <w:r>
              <w:rPr>
                <w:rFonts w:hint="eastAsia" w:ascii="宋体" w:hAnsi="宋体" w:eastAsia="宋体" w:cs="Times New Roman"/>
                <w:bCs/>
                <w:color w:val="auto"/>
                <w:sz w:val="24"/>
                <w:szCs w:val="18"/>
                <w:highlight w:val="none"/>
              </w:rPr>
              <w:t>工具快换单元模块</w:t>
            </w:r>
          </w:p>
        </w:tc>
        <w:tc>
          <w:tcPr>
            <w:tcW w:w="657" w:type="pct"/>
            <w:noWrap w:val="0"/>
            <w:vAlign w:val="center"/>
          </w:tcPr>
          <w:p w14:paraId="73907207">
            <w:pPr>
              <w:spacing w:line="360" w:lineRule="auto"/>
              <w:jc w:val="center"/>
              <w:rPr>
                <w:rFonts w:hint="eastAsia" w:ascii="宋体" w:hAnsi="宋体" w:eastAsia="宋体" w:cs="Times New Roman"/>
                <w:bCs/>
                <w:color w:val="auto"/>
                <w:sz w:val="24"/>
                <w:szCs w:val="18"/>
                <w:highlight w:val="none"/>
              </w:rPr>
            </w:pPr>
            <w:r>
              <w:rPr>
                <w:rFonts w:ascii="宋体" w:hAnsi="宋体" w:eastAsia="宋体" w:cs="Times New Roman"/>
                <w:bCs/>
                <w:color w:val="auto"/>
                <w:sz w:val="24"/>
                <w:szCs w:val="18"/>
                <w:highlight w:val="none"/>
              </w:rPr>
              <w:t>1</w:t>
            </w:r>
            <w:r>
              <w:rPr>
                <w:rFonts w:hint="eastAsia" w:ascii="宋体" w:hAnsi="宋体" w:eastAsia="宋体" w:cs="Times New Roman"/>
                <w:bCs/>
                <w:color w:val="auto"/>
                <w:sz w:val="24"/>
                <w:szCs w:val="18"/>
                <w:highlight w:val="none"/>
              </w:rPr>
              <w:t>套</w:t>
            </w:r>
          </w:p>
        </w:tc>
        <w:tc>
          <w:tcPr>
            <w:tcW w:w="839" w:type="pct"/>
            <w:noWrap w:val="0"/>
            <w:vAlign w:val="center"/>
          </w:tcPr>
          <w:p w14:paraId="233B17C4">
            <w:pPr>
              <w:spacing w:line="360" w:lineRule="auto"/>
              <w:jc w:val="center"/>
              <w:rPr>
                <w:rFonts w:hint="eastAsia" w:ascii="宋体" w:hAnsi="宋体" w:eastAsia="宋体" w:cs="Times New Roman"/>
                <w:bCs/>
                <w:color w:val="auto"/>
                <w:sz w:val="24"/>
                <w:szCs w:val="18"/>
                <w:highlight w:val="none"/>
              </w:rPr>
            </w:pPr>
            <w:r>
              <w:rPr>
                <w:rFonts w:hint="eastAsia" w:ascii="宋体" w:hAnsi="宋体" w:eastAsia="宋体" w:cs="Times New Roman"/>
                <w:bCs/>
                <w:color w:val="auto"/>
                <w:sz w:val="24"/>
                <w:szCs w:val="18"/>
                <w:highlight w:val="none"/>
              </w:rPr>
              <w:t>工业</w:t>
            </w:r>
          </w:p>
        </w:tc>
      </w:tr>
      <w:tr w14:paraId="555B1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pct"/>
            <w:vMerge w:val="continue"/>
            <w:noWrap w:val="0"/>
            <w:vAlign w:val="center"/>
          </w:tcPr>
          <w:p w14:paraId="0167690B">
            <w:pPr>
              <w:numPr>
                <w:ilvl w:val="0"/>
                <w:numId w:val="0"/>
              </w:numPr>
              <w:spacing w:line="360" w:lineRule="auto"/>
              <w:ind w:left="425" w:leftChars="0" w:hanging="425" w:firstLineChars="0"/>
              <w:jc w:val="center"/>
              <w:rPr>
                <w:rFonts w:hint="default" w:ascii="宋体" w:hAnsi="宋体" w:eastAsia="宋体" w:cs="Times New Roman"/>
                <w:bCs/>
                <w:color w:val="auto"/>
                <w:kern w:val="2"/>
                <w:sz w:val="24"/>
                <w:szCs w:val="18"/>
                <w:highlight w:val="none"/>
                <w:lang w:val="en-US" w:eastAsia="zh-CN" w:bidi="ar-SA"/>
              </w:rPr>
            </w:pPr>
          </w:p>
        </w:tc>
        <w:tc>
          <w:tcPr>
            <w:tcW w:w="535" w:type="pct"/>
            <w:noWrap w:val="0"/>
            <w:vAlign w:val="center"/>
          </w:tcPr>
          <w:p w14:paraId="795E138B">
            <w:pPr>
              <w:numPr>
                <w:ilvl w:val="0"/>
                <w:numId w:val="0"/>
              </w:numPr>
              <w:spacing w:line="360" w:lineRule="auto"/>
              <w:ind w:left="425" w:leftChars="0" w:hanging="425" w:firstLineChars="0"/>
              <w:jc w:val="center"/>
              <w:rPr>
                <w:rFonts w:hint="eastAsia" w:ascii="宋体" w:hAnsi="宋体" w:eastAsia="宋体" w:cs="Times New Roman"/>
                <w:bCs/>
                <w:color w:val="auto"/>
                <w:sz w:val="24"/>
                <w:szCs w:val="18"/>
                <w:highlight w:val="none"/>
              </w:rPr>
            </w:pPr>
            <w:r>
              <w:rPr>
                <w:rFonts w:hint="default" w:ascii="宋体" w:hAnsi="宋体" w:eastAsia="宋体" w:cs="Times New Roman"/>
                <w:bCs/>
                <w:color w:val="auto"/>
                <w:kern w:val="2"/>
                <w:sz w:val="24"/>
                <w:szCs w:val="18"/>
                <w:highlight w:val="none"/>
                <w:lang w:val="en-US" w:eastAsia="zh-CN" w:bidi="ar-SA"/>
              </w:rPr>
              <w:t>11</w:t>
            </w:r>
          </w:p>
        </w:tc>
        <w:tc>
          <w:tcPr>
            <w:tcW w:w="2233" w:type="pct"/>
            <w:noWrap w:val="0"/>
            <w:vAlign w:val="center"/>
          </w:tcPr>
          <w:p w14:paraId="6ABF8246">
            <w:pPr>
              <w:spacing w:line="360" w:lineRule="auto"/>
              <w:jc w:val="center"/>
              <w:rPr>
                <w:rFonts w:hint="eastAsia" w:ascii="宋体" w:hAnsi="宋体" w:eastAsia="宋体" w:cs="Times New Roman"/>
                <w:bCs/>
                <w:color w:val="auto"/>
                <w:sz w:val="24"/>
                <w:szCs w:val="18"/>
                <w:highlight w:val="none"/>
              </w:rPr>
            </w:pPr>
            <w:r>
              <w:rPr>
                <w:rFonts w:hint="eastAsia" w:ascii="宋体" w:hAnsi="宋体" w:eastAsia="宋体" w:cs="Times New Roman"/>
                <w:bCs/>
                <w:color w:val="auto"/>
                <w:sz w:val="24"/>
                <w:szCs w:val="18"/>
                <w:highlight w:val="none"/>
              </w:rPr>
              <w:t>虚拟仿真实训教学系统（15节点）</w:t>
            </w:r>
          </w:p>
        </w:tc>
        <w:tc>
          <w:tcPr>
            <w:tcW w:w="657" w:type="pct"/>
            <w:noWrap w:val="0"/>
            <w:vAlign w:val="center"/>
          </w:tcPr>
          <w:p w14:paraId="587C48D9">
            <w:pPr>
              <w:spacing w:line="360" w:lineRule="auto"/>
              <w:jc w:val="center"/>
              <w:rPr>
                <w:rFonts w:hint="eastAsia" w:ascii="宋体" w:hAnsi="宋体" w:eastAsia="宋体" w:cs="Times New Roman"/>
                <w:bCs/>
                <w:color w:val="auto"/>
                <w:sz w:val="24"/>
                <w:szCs w:val="18"/>
                <w:highlight w:val="none"/>
              </w:rPr>
            </w:pPr>
            <w:r>
              <w:rPr>
                <w:rFonts w:ascii="宋体" w:hAnsi="宋体" w:eastAsia="宋体" w:cs="Times New Roman"/>
                <w:bCs/>
                <w:color w:val="auto"/>
                <w:sz w:val="24"/>
                <w:szCs w:val="18"/>
                <w:highlight w:val="none"/>
              </w:rPr>
              <w:t>1</w:t>
            </w:r>
            <w:r>
              <w:rPr>
                <w:rFonts w:hint="eastAsia" w:ascii="宋体" w:hAnsi="宋体" w:eastAsia="宋体" w:cs="Times New Roman"/>
                <w:bCs/>
                <w:color w:val="auto"/>
                <w:sz w:val="24"/>
                <w:szCs w:val="18"/>
                <w:highlight w:val="none"/>
              </w:rPr>
              <w:t>套</w:t>
            </w:r>
          </w:p>
        </w:tc>
        <w:tc>
          <w:tcPr>
            <w:tcW w:w="839" w:type="pct"/>
            <w:noWrap w:val="0"/>
            <w:vAlign w:val="center"/>
          </w:tcPr>
          <w:p w14:paraId="064C0030">
            <w:pPr>
              <w:spacing w:line="360" w:lineRule="auto"/>
              <w:jc w:val="center"/>
              <w:rPr>
                <w:rFonts w:hint="eastAsia" w:ascii="宋体" w:hAnsi="宋体" w:eastAsia="宋体" w:cs="Times New Roman"/>
                <w:bCs/>
                <w:color w:val="auto"/>
                <w:sz w:val="24"/>
                <w:szCs w:val="18"/>
                <w:highlight w:val="none"/>
              </w:rPr>
            </w:pPr>
            <w:r>
              <w:rPr>
                <w:rFonts w:hint="eastAsia" w:ascii="宋体" w:hAnsi="宋体" w:eastAsia="宋体" w:cs="Times New Roman"/>
                <w:bCs/>
                <w:color w:val="auto"/>
                <w:sz w:val="24"/>
                <w:szCs w:val="18"/>
                <w:highlight w:val="none"/>
              </w:rPr>
              <w:t>软件和信息技术服务业</w:t>
            </w:r>
          </w:p>
        </w:tc>
      </w:tr>
      <w:tr w14:paraId="1E7DC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pct"/>
            <w:vMerge w:val="continue"/>
            <w:noWrap w:val="0"/>
            <w:vAlign w:val="center"/>
          </w:tcPr>
          <w:p w14:paraId="58AC78A1">
            <w:pPr>
              <w:numPr>
                <w:ilvl w:val="0"/>
                <w:numId w:val="0"/>
              </w:numPr>
              <w:spacing w:line="360" w:lineRule="auto"/>
              <w:ind w:left="425" w:leftChars="0" w:hanging="425" w:firstLineChars="0"/>
              <w:jc w:val="center"/>
              <w:rPr>
                <w:rFonts w:hint="default" w:ascii="宋体" w:hAnsi="宋体" w:eastAsia="宋体" w:cs="Times New Roman"/>
                <w:bCs/>
                <w:color w:val="auto"/>
                <w:kern w:val="2"/>
                <w:sz w:val="24"/>
                <w:szCs w:val="18"/>
                <w:highlight w:val="none"/>
                <w:lang w:val="en-US" w:eastAsia="zh-CN" w:bidi="ar-SA"/>
              </w:rPr>
            </w:pPr>
          </w:p>
        </w:tc>
        <w:tc>
          <w:tcPr>
            <w:tcW w:w="535" w:type="pct"/>
            <w:noWrap w:val="0"/>
            <w:vAlign w:val="center"/>
          </w:tcPr>
          <w:p w14:paraId="6E3A9F16">
            <w:pPr>
              <w:numPr>
                <w:ilvl w:val="0"/>
                <w:numId w:val="0"/>
              </w:numPr>
              <w:spacing w:line="360" w:lineRule="auto"/>
              <w:ind w:left="425" w:leftChars="0" w:hanging="425" w:firstLineChars="0"/>
              <w:jc w:val="center"/>
              <w:rPr>
                <w:rFonts w:hint="eastAsia" w:ascii="宋体" w:hAnsi="宋体" w:eastAsia="宋体" w:cs="Times New Roman"/>
                <w:bCs/>
                <w:color w:val="auto"/>
                <w:sz w:val="24"/>
                <w:szCs w:val="18"/>
                <w:highlight w:val="none"/>
              </w:rPr>
            </w:pPr>
            <w:r>
              <w:rPr>
                <w:rFonts w:hint="default" w:ascii="宋体" w:hAnsi="宋体" w:eastAsia="宋体" w:cs="Times New Roman"/>
                <w:bCs/>
                <w:color w:val="auto"/>
                <w:kern w:val="2"/>
                <w:sz w:val="24"/>
                <w:szCs w:val="18"/>
                <w:highlight w:val="none"/>
                <w:lang w:val="en-US" w:eastAsia="zh-CN" w:bidi="ar-SA"/>
              </w:rPr>
              <w:t>12</w:t>
            </w:r>
          </w:p>
        </w:tc>
        <w:tc>
          <w:tcPr>
            <w:tcW w:w="2233" w:type="pct"/>
            <w:noWrap w:val="0"/>
            <w:vAlign w:val="center"/>
          </w:tcPr>
          <w:p w14:paraId="29A235F9">
            <w:pPr>
              <w:spacing w:line="360" w:lineRule="auto"/>
              <w:jc w:val="center"/>
              <w:rPr>
                <w:rFonts w:hint="eastAsia" w:ascii="宋体" w:hAnsi="宋体" w:eastAsia="宋体" w:cs="Times New Roman"/>
                <w:bCs/>
                <w:color w:val="auto"/>
                <w:sz w:val="24"/>
                <w:szCs w:val="18"/>
                <w:highlight w:val="none"/>
              </w:rPr>
            </w:pPr>
            <w:r>
              <w:rPr>
                <w:rFonts w:hint="eastAsia" w:ascii="宋体" w:hAnsi="宋体" w:eastAsia="宋体" w:cs="Times New Roman"/>
                <w:bCs/>
                <w:color w:val="auto"/>
                <w:sz w:val="24"/>
                <w:szCs w:val="18"/>
                <w:highlight w:val="none"/>
              </w:rPr>
              <w:t>工业机器人认知虚拟仿真系统（15节点）</w:t>
            </w:r>
          </w:p>
        </w:tc>
        <w:tc>
          <w:tcPr>
            <w:tcW w:w="657" w:type="pct"/>
            <w:noWrap w:val="0"/>
            <w:vAlign w:val="center"/>
          </w:tcPr>
          <w:p w14:paraId="7939F7E5">
            <w:pPr>
              <w:spacing w:line="360" w:lineRule="auto"/>
              <w:jc w:val="center"/>
              <w:rPr>
                <w:rFonts w:hint="eastAsia" w:ascii="宋体" w:hAnsi="宋体" w:eastAsia="宋体" w:cs="Times New Roman"/>
                <w:bCs/>
                <w:color w:val="auto"/>
                <w:sz w:val="24"/>
                <w:szCs w:val="18"/>
                <w:highlight w:val="none"/>
              </w:rPr>
            </w:pPr>
            <w:r>
              <w:rPr>
                <w:rFonts w:ascii="宋体" w:hAnsi="宋体" w:eastAsia="宋体" w:cs="Times New Roman"/>
                <w:bCs/>
                <w:color w:val="auto"/>
                <w:sz w:val="24"/>
                <w:szCs w:val="18"/>
                <w:highlight w:val="none"/>
              </w:rPr>
              <w:t>1</w:t>
            </w:r>
            <w:r>
              <w:rPr>
                <w:rFonts w:hint="eastAsia" w:ascii="宋体" w:hAnsi="宋体" w:eastAsia="宋体" w:cs="Times New Roman"/>
                <w:bCs/>
                <w:color w:val="auto"/>
                <w:sz w:val="24"/>
                <w:szCs w:val="18"/>
                <w:highlight w:val="none"/>
              </w:rPr>
              <w:t>套</w:t>
            </w:r>
          </w:p>
        </w:tc>
        <w:tc>
          <w:tcPr>
            <w:tcW w:w="839" w:type="pct"/>
            <w:noWrap w:val="0"/>
            <w:vAlign w:val="center"/>
          </w:tcPr>
          <w:p w14:paraId="133E329D">
            <w:pPr>
              <w:spacing w:line="360" w:lineRule="auto"/>
              <w:jc w:val="center"/>
              <w:rPr>
                <w:rFonts w:hint="eastAsia" w:ascii="宋体" w:hAnsi="宋体" w:eastAsia="宋体" w:cs="Times New Roman"/>
                <w:bCs/>
                <w:color w:val="auto"/>
                <w:sz w:val="24"/>
                <w:szCs w:val="18"/>
                <w:highlight w:val="none"/>
              </w:rPr>
            </w:pPr>
            <w:r>
              <w:rPr>
                <w:rFonts w:hint="eastAsia" w:ascii="宋体" w:hAnsi="宋体" w:eastAsia="宋体" w:cs="Times New Roman"/>
                <w:bCs/>
                <w:color w:val="auto"/>
                <w:sz w:val="24"/>
                <w:szCs w:val="18"/>
                <w:highlight w:val="none"/>
              </w:rPr>
              <w:t>软件和信息技术服务业</w:t>
            </w:r>
          </w:p>
        </w:tc>
      </w:tr>
      <w:tr w14:paraId="678B2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pct"/>
            <w:vMerge w:val="continue"/>
            <w:noWrap w:val="0"/>
            <w:vAlign w:val="center"/>
          </w:tcPr>
          <w:p w14:paraId="7CCFC3EE">
            <w:pPr>
              <w:numPr>
                <w:ilvl w:val="0"/>
                <w:numId w:val="0"/>
              </w:numPr>
              <w:spacing w:line="360" w:lineRule="auto"/>
              <w:ind w:left="425" w:leftChars="0" w:hanging="425" w:firstLineChars="0"/>
              <w:jc w:val="center"/>
              <w:rPr>
                <w:rFonts w:hint="default" w:ascii="宋体" w:hAnsi="宋体" w:eastAsia="宋体" w:cs="Times New Roman"/>
                <w:bCs/>
                <w:color w:val="auto"/>
                <w:kern w:val="2"/>
                <w:sz w:val="24"/>
                <w:szCs w:val="18"/>
                <w:highlight w:val="none"/>
                <w:lang w:val="en-US" w:eastAsia="zh-CN" w:bidi="ar-SA"/>
              </w:rPr>
            </w:pPr>
          </w:p>
        </w:tc>
        <w:tc>
          <w:tcPr>
            <w:tcW w:w="535" w:type="pct"/>
            <w:noWrap w:val="0"/>
            <w:vAlign w:val="center"/>
          </w:tcPr>
          <w:p w14:paraId="5E695E5F">
            <w:pPr>
              <w:numPr>
                <w:ilvl w:val="0"/>
                <w:numId w:val="0"/>
              </w:numPr>
              <w:spacing w:line="360" w:lineRule="auto"/>
              <w:ind w:left="425" w:leftChars="0" w:hanging="425" w:firstLineChars="0"/>
              <w:jc w:val="center"/>
              <w:rPr>
                <w:rFonts w:hint="eastAsia" w:ascii="宋体" w:hAnsi="宋体" w:eastAsia="宋体" w:cs="Times New Roman"/>
                <w:bCs/>
                <w:color w:val="auto"/>
                <w:sz w:val="24"/>
                <w:szCs w:val="18"/>
                <w:highlight w:val="none"/>
              </w:rPr>
            </w:pPr>
            <w:r>
              <w:rPr>
                <w:rFonts w:hint="default" w:ascii="宋体" w:hAnsi="宋体" w:eastAsia="宋体" w:cs="Times New Roman"/>
                <w:bCs/>
                <w:color w:val="auto"/>
                <w:kern w:val="2"/>
                <w:sz w:val="24"/>
                <w:szCs w:val="18"/>
                <w:highlight w:val="none"/>
                <w:lang w:val="en-US" w:eastAsia="zh-CN" w:bidi="ar-SA"/>
              </w:rPr>
              <w:t>13</w:t>
            </w:r>
          </w:p>
        </w:tc>
        <w:tc>
          <w:tcPr>
            <w:tcW w:w="2233" w:type="pct"/>
            <w:noWrap w:val="0"/>
            <w:vAlign w:val="center"/>
          </w:tcPr>
          <w:p w14:paraId="09BF415F">
            <w:pPr>
              <w:spacing w:line="360" w:lineRule="auto"/>
              <w:jc w:val="center"/>
              <w:rPr>
                <w:rFonts w:hint="eastAsia" w:ascii="宋体" w:hAnsi="宋体" w:eastAsia="宋体" w:cs="Times New Roman"/>
                <w:bCs/>
                <w:color w:val="auto"/>
                <w:sz w:val="24"/>
                <w:szCs w:val="18"/>
                <w:highlight w:val="none"/>
              </w:rPr>
            </w:pPr>
            <w:r>
              <w:rPr>
                <w:rFonts w:hint="eastAsia" w:ascii="宋体" w:hAnsi="宋体" w:eastAsia="宋体" w:cs="Times New Roman"/>
                <w:bCs/>
                <w:color w:val="auto"/>
                <w:sz w:val="24"/>
                <w:szCs w:val="18"/>
                <w:highlight w:val="none"/>
              </w:rPr>
              <w:t>智能制造元宇宙场景搭建系统（15节点）</w:t>
            </w:r>
          </w:p>
        </w:tc>
        <w:tc>
          <w:tcPr>
            <w:tcW w:w="657" w:type="pct"/>
            <w:noWrap w:val="0"/>
            <w:vAlign w:val="center"/>
          </w:tcPr>
          <w:p w14:paraId="50A0E20B">
            <w:pPr>
              <w:spacing w:line="360" w:lineRule="auto"/>
              <w:jc w:val="center"/>
              <w:rPr>
                <w:rFonts w:hint="eastAsia" w:ascii="宋体" w:hAnsi="宋体" w:eastAsia="宋体" w:cs="Times New Roman"/>
                <w:bCs/>
                <w:color w:val="auto"/>
                <w:sz w:val="24"/>
                <w:szCs w:val="18"/>
                <w:highlight w:val="none"/>
              </w:rPr>
            </w:pPr>
            <w:r>
              <w:rPr>
                <w:rFonts w:ascii="宋体" w:hAnsi="宋体" w:eastAsia="宋体" w:cs="Times New Roman"/>
                <w:bCs/>
                <w:color w:val="auto"/>
                <w:sz w:val="24"/>
                <w:szCs w:val="18"/>
                <w:highlight w:val="none"/>
              </w:rPr>
              <w:t>1</w:t>
            </w:r>
            <w:r>
              <w:rPr>
                <w:rFonts w:hint="eastAsia" w:ascii="宋体" w:hAnsi="宋体" w:eastAsia="宋体" w:cs="Times New Roman"/>
                <w:bCs/>
                <w:color w:val="auto"/>
                <w:sz w:val="24"/>
                <w:szCs w:val="18"/>
                <w:highlight w:val="none"/>
              </w:rPr>
              <w:t>套</w:t>
            </w:r>
          </w:p>
        </w:tc>
        <w:tc>
          <w:tcPr>
            <w:tcW w:w="839" w:type="pct"/>
            <w:noWrap w:val="0"/>
            <w:vAlign w:val="center"/>
          </w:tcPr>
          <w:p w14:paraId="3FF0DF3A">
            <w:pPr>
              <w:spacing w:line="360" w:lineRule="auto"/>
              <w:jc w:val="center"/>
              <w:rPr>
                <w:rFonts w:hint="eastAsia" w:ascii="宋体" w:hAnsi="宋体" w:eastAsia="宋体" w:cs="Times New Roman"/>
                <w:bCs/>
                <w:color w:val="auto"/>
                <w:sz w:val="24"/>
                <w:szCs w:val="18"/>
                <w:highlight w:val="none"/>
              </w:rPr>
            </w:pPr>
            <w:r>
              <w:rPr>
                <w:rFonts w:hint="eastAsia" w:ascii="宋体" w:hAnsi="宋体" w:eastAsia="宋体" w:cs="Times New Roman"/>
                <w:bCs/>
                <w:color w:val="auto"/>
                <w:sz w:val="24"/>
                <w:szCs w:val="18"/>
                <w:highlight w:val="none"/>
              </w:rPr>
              <w:t>软件和信息技术服务业</w:t>
            </w:r>
          </w:p>
        </w:tc>
      </w:tr>
      <w:tr w14:paraId="6C352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pct"/>
            <w:vMerge w:val="continue"/>
            <w:noWrap w:val="0"/>
            <w:vAlign w:val="center"/>
          </w:tcPr>
          <w:p w14:paraId="54C1F597">
            <w:pPr>
              <w:numPr>
                <w:ilvl w:val="0"/>
                <w:numId w:val="0"/>
              </w:numPr>
              <w:spacing w:line="360" w:lineRule="auto"/>
              <w:ind w:left="425" w:leftChars="0" w:hanging="425" w:firstLineChars="0"/>
              <w:jc w:val="center"/>
              <w:rPr>
                <w:rFonts w:hint="default" w:ascii="宋体" w:hAnsi="宋体" w:eastAsia="宋体" w:cs="Times New Roman"/>
                <w:bCs/>
                <w:color w:val="auto"/>
                <w:kern w:val="2"/>
                <w:sz w:val="24"/>
                <w:szCs w:val="18"/>
                <w:highlight w:val="none"/>
                <w:lang w:val="en-US" w:eastAsia="zh-CN" w:bidi="ar-SA"/>
              </w:rPr>
            </w:pPr>
          </w:p>
        </w:tc>
        <w:tc>
          <w:tcPr>
            <w:tcW w:w="535" w:type="pct"/>
            <w:noWrap w:val="0"/>
            <w:vAlign w:val="center"/>
          </w:tcPr>
          <w:p w14:paraId="11C79684">
            <w:pPr>
              <w:numPr>
                <w:ilvl w:val="0"/>
                <w:numId w:val="0"/>
              </w:numPr>
              <w:spacing w:line="360" w:lineRule="auto"/>
              <w:ind w:left="425" w:leftChars="0" w:hanging="425" w:firstLineChars="0"/>
              <w:jc w:val="center"/>
              <w:rPr>
                <w:rFonts w:hint="eastAsia" w:ascii="宋体" w:hAnsi="宋体" w:eastAsia="宋体" w:cs="Times New Roman"/>
                <w:bCs/>
                <w:color w:val="auto"/>
                <w:sz w:val="24"/>
                <w:szCs w:val="18"/>
                <w:highlight w:val="none"/>
              </w:rPr>
            </w:pPr>
            <w:r>
              <w:rPr>
                <w:rFonts w:hint="default" w:ascii="宋体" w:hAnsi="宋体" w:eastAsia="宋体" w:cs="Times New Roman"/>
                <w:bCs/>
                <w:color w:val="auto"/>
                <w:kern w:val="2"/>
                <w:sz w:val="24"/>
                <w:szCs w:val="18"/>
                <w:highlight w:val="none"/>
                <w:lang w:val="en-US" w:eastAsia="zh-CN" w:bidi="ar-SA"/>
              </w:rPr>
              <w:t>14</w:t>
            </w:r>
          </w:p>
        </w:tc>
        <w:tc>
          <w:tcPr>
            <w:tcW w:w="2233" w:type="pct"/>
            <w:noWrap w:val="0"/>
            <w:vAlign w:val="center"/>
          </w:tcPr>
          <w:p w14:paraId="3C18559D">
            <w:pPr>
              <w:spacing w:line="360" w:lineRule="auto"/>
              <w:jc w:val="center"/>
              <w:rPr>
                <w:rFonts w:hint="eastAsia" w:ascii="宋体" w:hAnsi="宋体" w:eastAsia="宋体" w:cs="Times New Roman"/>
                <w:bCs/>
                <w:color w:val="auto"/>
                <w:sz w:val="24"/>
                <w:szCs w:val="18"/>
                <w:highlight w:val="none"/>
              </w:rPr>
            </w:pPr>
            <w:r>
              <w:rPr>
                <w:rFonts w:hint="eastAsia" w:ascii="宋体" w:hAnsi="宋体" w:eastAsia="宋体" w:cs="Times New Roman"/>
                <w:bCs/>
                <w:color w:val="auto"/>
                <w:sz w:val="24"/>
                <w:szCs w:val="18"/>
                <w:highlight w:val="none"/>
              </w:rPr>
              <w:t>视觉及深度学习软件</w:t>
            </w:r>
          </w:p>
        </w:tc>
        <w:tc>
          <w:tcPr>
            <w:tcW w:w="657" w:type="pct"/>
            <w:noWrap w:val="0"/>
            <w:vAlign w:val="center"/>
          </w:tcPr>
          <w:p w14:paraId="031338BE">
            <w:pPr>
              <w:spacing w:line="360" w:lineRule="auto"/>
              <w:jc w:val="center"/>
              <w:rPr>
                <w:rFonts w:hint="eastAsia" w:ascii="宋体" w:hAnsi="宋体" w:eastAsia="宋体" w:cs="Times New Roman"/>
                <w:bCs/>
                <w:color w:val="auto"/>
                <w:sz w:val="24"/>
                <w:szCs w:val="18"/>
                <w:highlight w:val="none"/>
              </w:rPr>
            </w:pPr>
            <w:r>
              <w:rPr>
                <w:rFonts w:ascii="宋体" w:hAnsi="宋体" w:eastAsia="宋体" w:cs="Times New Roman"/>
                <w:bCs/>
                <w:color w:val="auto"/>
                <w:sz w:val="24"/>
                <w:szCs w:val="18"/>
                <w:highlight w:val="none"/>
              </w:rPr>
              <w:t>1</w:t>
            </w:r>
            <w:r>
              <w:rPr>
                <w:rFonts w:hint="eastAsia" w:ascii="宋体" w:hAnsi="宋体" w:eastAsia="宋体" w:cs="Times New Roman"/>
                <w:bCs/>
                <w:color w:val="auto"/>
                <w:sz w:val="24"/>
                <w:szCs w:val="18"/>
                <w:highlight w:val="none"/>
              </w:rPr>
              <w:t>套</w:t>
            </w:r>
          </w:p>
        </w:tc>
        <w:tc>
          <w:tcPr>
            <w:tcW w:w="839" w:type="pct"/>
            <w:noWrap w:val="0"/>
            <w:vAlign w:val="center"/>
          </w:tcPr>
          <w:p w14:paraId="00EDBE44">
            <w:pPr>
              <w:spacing w:line="360" w:lineRule="auto"/>
              <w:jc w:val="center"/>
              <w:rPr>
                <w:rFonts w:hint="eastAsia" w:ascii="宋体" w:hAnsi="宋体" w:eastAsia="宋体" w:cs="Times New Roman"/>
                <w:bCs/>
                <w:color w:val="auto"/>
                <w:sz w:val="24"/>
                <w:szCs w:val="18"/>
                <w:highlight w:val="none"/>
              </w:rPr>
            </w:pPr>
            <w:r>
              <w:rPr>
                <w:rFonts w:hint="eastAsia" w:ascii="宋体" w:hAnsi="宋体" w:eastAsia="宋体" w:cs="Times New Roman"/>
                <w:bCs/>
                <w:color w:val="auto"/>
                <w:sz w:val="24"/>
                <w:szCs w:val="18"/>
                <w:highlight w:val="none"/>
              </w:rPr>
              <w:t>软件和信息技术服务业</w:t>
            </w:r>
          </w:p>
        </w:tc>
      </w:tr>
      <w:tr w14:paraId="417DA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pct"/>
            <w:vMerge w:val="continue"/>
            <w:noWrap w:val="0"/>
            <w:vAlign w:val="center"/>
          </w:tcPr>
          <w:p w14:paraId="4E4ECDBF">
            <w:pPr>
              <w:numPr>
                <w:ilvl w:val="0"/>
                <w:numId w:val="0"/>
              </w:numPr>
              <w:spacing w:line="360" w:lineRule="auto"/>
              <w:ind w:left="425" w:leftChars="0" w:hanging="425" w:firstLineChars="0"/>
              <w:jc w:val="center"/>
              <w:rPr>
                <w:rFonts w:hint="default" w:ascii="宋体" w:hAnsi="宋体" w:eastAsia="宋体" w:cs="Times New Roman"/>
                <w:bCs/>
                <w:color w:val="auto"/>
                <w:kern w:val="2"/>
                <w:sz w:val="24"/>
                <w:szCs w:val="18"/>
                <w:highlight w:val="none"/>
                <w:lang w:val="en-US" w:eastAsia="zh-CN" w:bidi="ar-SA"/>
              </w:rPr>
            </w:pPr>
          </w:p>
        </w:tc>
        <w:tc>
          <w:tcPr>
            <w:tcW w:w="535" w:type="pct"/>
            <w:noWrap w:val="0"/>
            <w:vAlign w:val="center"/>
          </w:tcPr>
          <w:p w14:paraId="75017ED6">
            <w:pPr>
              <w:numPr>
                <w:ilvl w:val="0"/>
                <w:numId w:val="0"/>
              </w:numPr>
              <w:spacing w:line="360" w:lineRule="auto"/>
              <w:ind w:left="425" w:leftChars="0" w:hanging="425" w:firstLineChars="0"/>
              <w:jc w:val="center"/>
              <w:rPr>
                <w:rFonts w:hint="eastAsia" w:ascii="宋体" w:hAnsi="宋体" w:eastAsia="宋体" w:cs="Times New Roman"/>
                <w:bCs/>
                <w:color w:val="auto"/>
                <w:sz w:val="24"/>
                <w:szCs w:val="18"/>
                <w:highlight w:val="none"/>
              </w:rPr>
            </w:pPr>
            <w:r>
              <w:rPr>
                <w:rFonts w:hint="default" w:ascii="宋体" w:hAnsi="宋体" w:eastAsia="宋体" w:cs="Times New Roman"/>
                <w:bCs/>
                <w:color w:val="auto"/>
                <w:kern w:val="2"/>
                <w:sz w:val="24"/>
                <w:szCs w:val="18"/>
                <w:highlight w:val="none"/>
                <w:lang w:val="en-US" w:eastAsia="zh-CN" w:bidi="ar-SA"/>
              </w:rPr>
              <w:t>15</w:t>
            </w:r>
          </w:p>
        </w:tc>
        <w:tc>
          <w:tcPr>
            <w:tcW w:w="2233" w:type="pct"/>
            <w:noWrap w:val="0"/>
            <w:vAlign w:val="center"/>
          </w:tcPr>
          <w:p w14:paraId="0EF3EAB6">
            <w:pPr>
              <w:spacing w:line="360" w:lineRule="auto"/>
              <w:jc w:val="center"/>
              <w:rPr>
                <w:rFonts w:hint="eastAsia" w:ascii="宋体" w:hAnsi="宋体" w:eastAsia="宋体" w:cs="Times New Roman"/>
                <w:bCs/>
                <w:color w:val="auto"/>
                <w:sz w:val="24"/>
                <w:szCs w:val="18"/>
                <w:highlight w:val="none"/>
              </w:rPr>
            </w:pPr>
            <w:r>
              <w:rPr>
                <w:rFonts w:hint="eastAsia" w:ascii="宋体" w:hAnsi="宋体" w:eastAsia="宋体" w:cs="Times New Roman"/>
                <w:bCs/>
                <w:color w:val="auto"/>
                <w:sz w:val="24"/>
                <w:szCs w:val="18"/>
                <w:highlight w:val="none"/>
              </w:rPr>
              <w:t>数字孪生平台（15节点）</w:t>
            </w:r>
          </w:p>
        </w:tc>
        <w:tc>
          <w:tcPr>
            <w:tcW w:w="657" w:type="pct"/>
            <w:noWrap w:val="0"/>
            <w:vAlign w:val="center"/>
          </w:tcPr>
          <w:p w14:paraId="7029972E">
            <w:pPr>
              <w:spacing w:line="360" w:lineRule="auto"/>
              <w:jc w:val="center"/>
              <w:rPr>
                <w:rFonts w:hint="eastAsia" w:ascii="宋体" w:hAnsi="宋体" w:eastAsia="宋体" w:cs="Times New Roman"/>
                <w:bCs/>
                <w:color w:val="auto"/>
                <w:sz w:val="24"/>
                <w:szCs w:val="18"/>
                <w:highlight w:val="none"/>
              </w:rPr>
            </w:pPr>
            <w:r>
              <w:rPr>
                <w:rFonts w:ascii="宋体" w:hAnsi="宋体" w:eastAsia="宋体" w:cs="Times New Roman"/>
                <w:bCs/>
                <w:color w:val="auto"/>
                <w:sz w:val="24"/>
                <w:szCs w:val="18"/>
                <w:highlight w:val="none"/>
              </w:rPr>
              <w:t>1</w:t>
            </w:r>
            <w:r>
              <w:rPr>
                <w:rFonts w:hint="eastAsia" w:ascii="宋体" w:hAnsi="宋体" w:eastAsia="宋体" w:cs="Times New Roman"/>
                <w:bCs/>
                <w:color w:val="auto"/>
                <w:sz w:val="24"/>
                <w:szCs w:val="18"/>
                <w:highlight w:val="none"/>
              </w:rPr>
              <w:t>套</w:t>
            </w:r>
          </w:p>
        </w:tc>
        <w:tc>
          <w:tcPr>
            <w:tcW w:w="839" w:type="pct"/>
            <w:noWrap w:val="0"/>
            <w:vAlign w:val="center"/>
          </w:tcPr>
          <w:p w14:paraId="778E2561">
            <w:pPr>
              <w:spacing w:line="360" w:lineRule="auto"/>
              <w:jc w:val="center"/>
              <w:rPr>
                <w:rFonts w:hint="eastAsia" w:ascii="宋体" w:hAnsi="宋体" w:eastAsia="宋体" w:cs="Times New Roman"/>
                <w:bCs/>
                <w:color w:val="auto"/>
                <w:sz w:val="24"/>
                <w:szCs w:val="18"/>
                <w:highlight w:val="none"/>
              </w:rPr>
            </w:pPr>
            <w:r>
              <w:rPr>
                <w:rFonts w:hint="eastAsia" w:ascii="宋体" w:hAnsi="宋体" w:eastAsia="宋体" w:cs="Times New Roman"/>
                <w:bCs/>
                <w:color w:val="auto"/>
                <w:sz w:val="24"/>
                <w:szCs w:val="18"/>
                <w:highlight w:val="none"/>
              </w:rPr>
              <w:t>软件和信息技术服务业</w:t>
            </w:r>
          </w:p>
        </w:tc>
      </w:tr>
      <w:tr w14:paraId="56CF2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pct"/>
            <w:vMerge w:val="continue"/>
            <w:noWrap w:val="0"/>
            <w:vAlign w:val="center"/>
          </w:tcPr>
          <w:p w14:paraId="1F3B8564">
            <w:pPr>
              <w:numPr>
                <w:ilvl w:val="0"/>
                <w:numId w:val="0"/>
              </w:numPr>
              <w:spacing w:line="360" w:lineRule="auto"/>
              <w:ind w:left="425" w:leftChars="0" w:hanging="425" w:firstLineChars="0"/>
              <w:jc w:val="center"/>
              <w:rPr>
                <w:rFonts w:hint="default" w:ascii="宋体" w:hAnsi="宋体" w:eastAsia="宋体" w:cs="Times New Roman"/>
                <w:bCs/>
                <w:color w:val="auto"/>
                <w:kern w:val="2"/>
                <w:sz w:val="24"/>
                <w:szCs w:val="18"/>
                <w:highlight w:val="none"/>
                <w:lang w:val="en-US" w:eastAsia="zh-CN" w:bidi="ar-SA"/>
              </w:rPr>
            </w:pPr>
          </w:p>
        </w:tc>
        <w:tc>
          <w:tcPr>
            <w:tcW w:w="535" w:type="pct"/>
            <w:noWrap w:val="0"/>
            <w:vAlign w:val="center"/>
          </w:tcPr>
          <w:p w14:paraId="44A064CA">
            <w:pPr>
              <w:numPr>
                <w:ilvl w:val="0"/>
                <w:numId w:val="0"/>
              </w:numPr>
              <w:spacing w:line="360" w:lineRule="auto"/>
              <w:ind w:left="425" w:leftChars="0" w:hanging="425" w:firstLineChars="0"/>
              <w:jc w:val="center"/>
              <w:rPr>
                <w:rFonts w:hint="eastAsia" w:ascii="宋体" w:hAnsi="宋体" w:eastAsia="宋体" w:cs="Times New Roman"/>
                <w:bCs/>
                <w:color w:val="auto"/>
                <w:sz w:val="24"/>
                <w:szCs w:val="18"/>
                <w:highlight w:val="none"/>
              </w:rPr>
            </w:pPr>
            <w:r>
              <w:rPr>
                <w:rFonts w:hint="default" w:ascii="宋体" w:hAnsi="宋体" w:eastAsia="宋体" w:cs="Times New Roman"/>
                <w:bCs/>
                <w:color w:val="auto"/>
                <w:kern w:val="2"/>
                <w:sz w:val="24"/>
                <w:szCs w:val="18"/>
                <w:highlight w:val="none"/>
                <w:lang w:val="en-US" w:eastAsia="zh-CN" w:bidi="ar-SA"/>
              </w:rPr>
              <w:t>16</w:t>
            </w:r>
          </w:p>
        </w:tc>
        <w:tc>
          <w:tcPr>
            <w:tcW w:w="2233" w:type="pct"/>
            <w:noWrap w:val="0"/>
            <w:vAlign w:val="center"/>
          </w:tcPr>
          <w:p w14:paraId="26104F83">
            <w:pPr>
              <w:spacing w:line="360" w:lineRule="auto"/>
              <w:jc w:val="center"/>
              <w:rPr>
                <w:rFonts w:hint="eastAsia" w:ascii="宋体" w:hAnsi="宋体" w:eastAsia="宋体" w:cs="Times New Roman"/>
                <w:bCs/>
                <w:color w:val="auto"/>
                <w:sz w:val="24"/>
                <w:szCs w:val="18"/>
                <w:highlight w:val="none"/>
              </w:rPr>
            </w:pPr>
            <w:r>
              <w:rPr>
                <w:rFonts w:hint="eastAsia" w:ascii="宋体" w:hAnsi="宋体" w:eastAsia="宋体" w:cs="Times New Roman"/>
                <w:bCs/>
                <w:color w:val="auto"/>
                <w:sz w:val="24"/>
                <w:szCs w:val="18"/>
                <w:highlight w:val="none"/>
              </w:rPr>
              <w:t>配套教学资源</w:t>
            </w:r>
          </w:p>
        </w:tc>
        <w:tc>
          <w:tcPr>
            <w:tcW w:w="657" w:type="pct"/>
            <w:noWrap w:val="0"/>
            <w:vAlign w:val="center"/>
          </w:tcPr>
          <w:p w14:paraId="05AFC5CA">
            <w:pPr>
              <w:spacing w:line="360" w:lineRule="auto"/>
              <w:jc w:val="center"/>
              <w:rPr>
                <w:rFonts w:hint="eastAsia" w:ascii="宋体" w:hAnsi="宋体" w:eastAsia="宋体" w:cs="Times New Roman"/>
                <w:bCs/>
                <w:color w:val="auto"/>
                <w:sz w:val="24"/>
                <w:szCs w:val="18"/>
                <w:highlight w:val="none"/>
              </w:rPr>
            </w:pPr>
            <w:r>
              <w:rPr>
                <w:rFonts w:ascii="宋体" w:hAnsi="宋体" w:eastAsia="宋体" w:cs="Times New Roman"/>
                <w:bCs/>
                <w:color w:val="auto"/>
                <w:sz w:val="24"/>
                <w:szCs w:val="18"/>
                <w:highlight w:val="none"/>
              </w:rPr>
              <w:t>1</w:t>
            </w:r>
            <w:r>
              <w:rPr>
                <w:rFonts w:hint="eastAsia" w:ascii="宋体" w:hAnsi="宋体" w:eastAsia="宋体" w:cs="Times New Roman"/>
                <w:bCs/>
                <w:color w:val="auto"/>
                <w:sz w:val="24"/>
                <w:szCs w:val="18"/>
                <w:highlight w:val="none"/>
              </w:rPr>
              <w:t>套</w:t>
            </w:r>
          </w:p>
        </w:tc>
        <w:tc>
          <w:tcPr>
            <w:tcW w:w="839" w:type="pct"/>
            <w:noWrap w:val="0"/>
            <w:vAlign w:val="center"/>
          </w:tcPr>
          <w:p w14:paraId="3A049BC4">
            <w:pPr>
              <w:spacing w:line="360" w:lineRule="auto"/>
              <w:jc w:val="center"/>
              <w:rPr>
                <w:rFonts w:hint="eastAsia" w:ascii="宋体" w:hAnsi="宋体" w:eastAsia="宋体" w:cs="Times New Roman"/>
                <w:bCs/>
                <w:color w:val="auto"/>
                <w:sz w:val="24"/>
                <w:szCs w:val="18"/>
                <w:highlight w:val="none"/>
              </w:rPr>
            </w:pPr>
            <w:r>
              <w:rPr>
                <w:rFonts w:hint="eastAsia" w:ascii="宋体" w:hAnsi="宋体" w:eastAsia="宋体" w:cs="Times New Roman"/>
                <w:bCs/>
                <w:color w:val="auto"/>
                <w:sz w:val="24"/>
                <w:szCs w:val="18"/>
                <w:highlight w:val="none"/>
              </w:rPr>
              <w:t>软件和信息技术服务业</w:t>
            </w:r>
          </w:p>
        </w:tc>
      </w:tr>
      <w:tr w14:paraId="792DB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pct"/>
            <w:vMerge w:val="continue"/>
            <w:noWrap w:val="0"/>
            <w:vAlign w:val="center"/>
          </w:tcPr>
          <w:p w14:paraId="279223D4">
            <w:pPr>
              <w:numPr>
                <w:ilvl w:val="0"/>
                <w:numId w:val="0"/>
              </w:numPr>
              <w:spacing w:line="360" w:lineRule="auto"/>
              <w:ind w:left="425" w:leftChars="0" w:hanging="425" w:firstLineChars="0"/>
              <w:jc w:val="center"/>
              <w:rPr>
                <w:rFonts w:hint="default" w:ascii="宋体" w:hAnsi="宋体" w:eastAsia="宋体" w:cs="Times New Roman"/>
                <w:bCs/>
                <w:color w:val="auto"/>
                <w:kern w:val="2"/>
                <w:sz w:val="24"/>
                <w:szCs w:val="18"/>
                <w:highlight w:val="none"/>
                <w:lang w:val="en-US" w:eastAsia="zh-CN" w:bidi="ar-SA"/>
              </w:rPr>
            </w:pPr>
          </w:p>
        </w:tc>
        <w:tc>
          <w:tcPr>
            <w:tcW w:w="535" w:type="pct"/>
            <w:noWrap w:val="0"/>
            <w:vAlign w:val="center"/>
          </w:tcPr>
          <w:p w14:paraId="4104CBA3">
            <w:pPr>
              <w:numPr>
                <w:ilvl w:val="0"/>
                <w:numId w:val="0"/>
              </w:numPr>
              <w:spacing w:line="360" w:lineRule="auto"/>
              <w:ind w:left="425" w:leftChars="0" w:hanging="425" w:firstLineChars="0"/>
              <w:jc w:val="center"/>
              <w:rPr>
                <w:rFonts w:hint="eastAsia" w:ascii="宋体" w:hAnsi="宋体" w:eastAsia="宋体" w:cs="Times New Roman"/>
                <w:bCs/>
                <w:color w:val="auto"/>
                <w:sz w:val="24"/>
                <w:szCs w:val="18"/>
                <w:highlight w:val="none"/>
              </w:rPr>
            </w:pPr>
            <w:r>
              <w:rPr>
                <w:rFonts w:hint="default" w:ascii="宋体" w:hAnsi="宋体" w:eastAsia="宋体" w:cs="Times New Roman"/>
                <w:bCs/>
                <w:color w:val="auto"/>
                <w:kern w:val="2"/>
                <w:sz w:val="24"/>
                <w:szCs w:val="18"/>
                <w:highlight w:val="none"/>
                <w:lang w:val="en-US" w:eastAsia="zh-CN" w:bidi="ar-SA"/>
              </w:rPr>
              <w:t>17</w:t>
            </w:r>
          </w:p>
        </w:tc>
        <w:tc>
          <w:tcPr>
            <w:tcW w:w="2233" w:type="pct"/>
            <w:noWrap w:val="0"/>
            <w:vAlign w:val="center"/>
          </w:tcPr>
          <w:p w14:paraId="5CEE3750">
            <w:pPr>
              <w:spacing w:line="360" w:lineRule="auto"/>
              <w:jc w:val="center"/>
              <w:rPr>
                <w:rFonts w:hint="eastAsia" w:ascii="宋体" w:hAnsi="宋体" w:eastAsia="宋体" w:cs="Times New Roman"/>
                <w:bCs/>
                <w:color w:val="auto"/>
                <w:sz w:val="24"/>
                <w:szCs w:val="18"/>
                <w:highlight w:val="none"/>
              </w:rPr>
            </w:pPr>
            <w:r>
              <w:rPr>
                <w:rFonts w:hint="eastAsia" w:ascii="宋体" w:hAnsi="宋体" w:eastAsia="宋体" w:cs="Times New Roman"/>
                <w:bCs/>
                <w:color w:val="auto"/>
                <w:sz w:val="24"/>
                <w:szCs w:val="18"/>
                <w:highlight w:val="none"/>
              </w:rPr>
              <w:t>配套教学一体机</w:t>
            </w:r>
          </w:p>
        </w:tc>
        <w:tc>
          <w:tcPr>
            <w:tcW w:w="657" w:type="pct"/>
            <w:noWrap w:val="0"/>
            <w:vAlign w:val="center"/>
          </w:tcPr>
          <w:p w14:paraId="4C827CF8">
            <w:pPr>
              <w:spacing w:line="360" w:lineRule="auto"/>
              <w:jc w:val="center"/>
              <w:rPr>
                <w:rFonts w:hint="eastAsia" w:ascii="宋体" w:hAnsi="宋体" w:eastAsia="宋体" w:cs="Times New Roman"/>
                <w:bCs/>
                <w:color w:val="auto"/>
                <w:sz w:val="24"/>
                <w:szCs w:val="18"/>
                <w:highlight w:val="none"/>
              </w:rPr>
            </w:pPr>
            <w:r>
              <w:rPr>
                <w:rFonts w:ascii="宋体" w:hAnsi="宋体" w:eastAsia="宋体" w:cs="Times New Roman"/>
                <w:bCs/>
                <w:color w:val="auto"/>
                <w:sz w:val="24"/>
                <w:szCs w:val="18"/>
                <w:highlight w:val="none"/>
              </w:rPr>
              <w:t>1</w:t>
            </w:r>
            <w:r>
              <w:rPr>
                <w:rFonts w:hint="eastAsia" w:ascii="宋体" w:hAnsi="宋体" w:eastAsia="宋体" w:cs="Times New Roman"/>
                <w:bCs/>
                <w:color w:val="auto"/>
                <w:sz w:val="24"/>
                <w:szCs w:val="18"/>
                <w:highlight w:val="none"/>
              </w:rPr>
              <w:t>套</w:t>
            </w:r>
          </w:p>
        </w:tc>
        <w:tc>
          <w:tcPr>
            <w:tcW w:w="839" w:type="pct"/>
            <w:noWrap w:val="0"/>
            <w:vAlign w:val="center"/>
          </w:tcPr>
          <w:p w14:paraId="68AEFBE9">
            <w:pPr>
              <w:spacing w:line="360" w:lineRule="auto"/>
              <w:jc w:val="center"/>
              <w:rPr>
                <w:rFonts w:hint="eastAsia" w:ascii="宋体" w:hAnsi="宋体" w:eastAsia="宋体" w:cs="Times New Roman"/>
                <w:bCs/>
                <w:color w:val="auto"/>
                <w:sz w:val="24"/>
                <w:szCs w:val="18"/>
                <w:highlight w:val="none"/>
              </w:rPr>
            </w:pPr>
            <w:r>
              <w:rPr>
                <w:rFonts w:hint="eastAsia" w:ascii="宋体" w:hAnsi="宋体" w:eastAsia="宋体" w:cs="Times New Roman"/>
                <w:bCs/>
                <w:color w:val="auto"/>
                <w:sz w:val="24"/>
                <w:szCs w:val="18"/>
                <w:highlight w:val="none"/>
              </w:rPr>
              <w:t>工业</w:t>
            </w:r>
          </w:p>
        </w:tc>
      </w:tr>
      <w:tr w14:paraId="4E602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pct"/>
            <w:vMerge w:val="continue"/>
            <w:noWrap w:val="0"/>
            <w:vAlign w:val="center"/>
          </w:tcPr>
          <w:p w14:paraId="37054DF1">
            <w:pPr>
              <w:numPr>
                <w:ilvl w:val="0"/>
                <w:numId w:val="0"/>
              </w:numPr>
              <w:spacing w:line="360" w:lineRule="auto"/>
              <w:ind w:left="425" w:leftChars="0" w:hanging="425" w:firstLineChars="0"/>
              <w:jc w:val="center"/>
              <w:rPr>
                <w:rFonts w:hint="default" w:ascii="宋体" w:hAnsi="宋体" w:eastAsia="宋体" w:cs="Times New Roman"/>
                <w:bCs/>
                <w:color w:val="auto"/>
                <w:kern w:val="2"/>
                <w:sz w:val="24"/>
                <w:szCs w:val="18"/>
                <w:highlight w:val="none"/>
                <w:lang w:val="en-US" w:eastAsia="zh-CN" w:bidi="ar-SA"/>
              </w:rPr>
            </w:pPr>
          </w:p>
        </w:tc>
        <w:tc>
          <w:tcPr>
            <w:tcW w:w="535" w:type="pct"/>
            <w:noWrap w:val="0"/>
            <w:vAlign w:val="center"/>
          </w:tcPr>
          <w:p w14:paraId="6D7B6E64">
            <w:pPr>
              <w:numPr>
                <w:ilvl w:val="0"/>
                <w:numId w:val="0"/>
              </w:numPr>
              <w:spacing w:line="360" w:lineRule="auto"/>
              <w:ind w:left="425" w:leftChars="0" w:hanging="425" w:firstLineChars="0"/>
              <w:jc w:val="center"/>
              <w:rPr>
                <w:rFonts w:hint="eastAsia" w:ascii="宋体" w:hAnsi="宋体" w:eastAsia="宋体" w:cs="Times New Roman"/>
                <w:bCs/>
                <w:color w:val="auto"/>
                <w:sz w:val="24"/>
                <w:szCs w:val="18"/>
                <w:highlight w:val="none"/>
              </w:rPr>
            </w:pPr>
            <w:r>
              <w:rPr>
                <w:rFonts w:hint="default" w:ascii="宋体" w:hAnsi="宋体" w:eastAsia="宋体" w:cs="Times New Roman"/>
                <w:bCs/>
                <w:color w:val="auto"/>
                <w:kern w:val="2"/>
                <w:sz w:val="24"/>
                <w:szCs w:val="18"/>
                <w:highlight w:val="none"/>
                <w:lang w:val="en-US" w:eastAsia="zh-CN" w:bidi="ar-SA"/>
              </w:rPr>
              <w:t>18</w:t>
            </w:r>
          </w:p>
        </w:tc>
        <w:tc>
          <w:tcPr>
            <w:tcW w:w="2233" w:type="pct"/>
            <w:noWrap w:val="0"/>
            <w:vAlign w:val="center"/>
          </w:tcPr>
          <w:p w14:paraId="332BF13C">
            <w:pPr>
              <w:spacing w:line="360" w:lineRule="auto"/>
              <w:jc w:val="center"/>
              <w:rPr>
                <w:rFonts w:hint="eastAsia" w:ascii="宋体" w:hAnsi="宋体" w:eastAsia="宋体" w:cs="Times New Roman"/>
                <w:bCs/>
                <w:color w:val="auto"/>
                <w:sz w:val="24"/>
                <w:szCs w:val="18"/>
                <w:highlight w:val="none"/>
              </w:rPr>
            </w:pPr>
            <w:r>
              <w:rPr>
                <w:rFonts w:hint="eastAsia" w:ascii="宋体" w:hAnsi="宋体" w:eastAsia="宋体" w:cs="Times New Roman"/>
                <w:bCs/>
                <w:color w:val="auto"/>
                <w:sz w:val="24"/>
                <w:szCs w:val="18"/>
                <w:highlight w:val="none"/>
              </w:rPr>
              <w:t>配套教学音响</w:t>
            </w:r>
          </w:p>
        </w:tc>
        <w:tc>
          <w:tcPr>
            <w:tcW w:w="657" w:type="pct"/>
            <w:noWrap w:val="0"/>
            <w:vAlign w:val="center"/>
          </w:tcPr>
          <w:p w14:paraId="737458FC">
            <w:pPr>
              <w:spacing w:line="360" w:lineRule="auto"/>
              <w:jc w:val="center"/>
              <w:rPr>
                <w:rFonts w:hint="eastAsia" w:ascii="宋体" w:hAnsi="宋体" w:eastAsia="宋体" w:cs="Times New Roman"/>
                <w:bCs/>
                <w:color w:val="auto"/>
                <w:sz w:val="24"/>
                <w:szCs w:val="18"/>
                <w:highlight w:val="none"/>
              </w:rPr>
            </w:pPr>
            <w:r>
              <w:rPr>
                <w:rFonts w:ascii="宋体" w:hAnsi="宋体" w:eastAsia="宋体" w:cs="Times New Roman"/>
                <w:bCs/>
                <w:color w:val="auto"/>
                <w:sz w:val="24"/>
                <w:szCs w:val="18"/>
                <w:highlight w:val="none"/>
              </w:rPr>
              <w:t>1</w:t>
            </w:r>
            <w:r>
              <w:rPr>
                <w:rFonts w:hint="eastAsia" w:ascii="宋体" w:hAnsi="宋体" w:eastAsia="宋体" w:cs="Times New Roman"/>
                <w:bCs/>
                <w:color w:val="auto"/>
                <w:sz w:val="24"/>
                <w:szCs w:val="18"/>
                <w:highlight w:val="none"/>
              </w:rPr>
              <w:t>套</w:t>
            </w:r>
          </w:p>
        </w:tc>
        <w:tc>
          <w:tcPr>
            <w:tcW w:w="839" w:type="pct"/>
            <w:noWrap w:val="0"/>
            <w:vAlign w:val="center"/>
          </w:tcPr>
          <w:p w14:paraId="57A4CF51">
            <w:pPr>
              <w:spacing w:line="360" w:lineRule="auto"/>
              <w:jc w:val="center"/>
              <w:rPr>
                <w:rFonts w:hint="eastAsia" w:ascii="宋体" w:hAnsi="宋体" w:eastAsia="宋体" w:cs="Times New Roman"/>
                <w:bCs/>
                <w:color w:val="auto"/>
                <w:sz w:val="24"/>
                <w:szCs w:val="18"/>
                <w:highlight w:val="none"/>
              </w:rPr>
            </w:pPr>
            <w:r>
              <w:rPr>
                <w:rFonts w:hint="eastAsia" w:ascii="宋体" w:hAnsi="宋体" w:eastAsia="宋体" w:cs="Times New Roman"/>
                <w:bCs/>
                <w:color w:val="auto"/>
                <w:sz w:val="24"/>
                <w:szCs w:val="18"/>
                <w:highlight w:val="none"/>
              </w:rPr>
              <w:t>工业</w:t>
            </w:r>
          </w:p>
        </w:tc>
      </w:tr>
      <w:tr w14:paraId="49C19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pct"/>
            <w:vMerge w:val="continue"/>
            <w:noWrap w:val="0"/>
            <w:vAlign w:val="center"/>
          </w:tcPr>
          <w:p w14:paraId="496D0168">
            <w:pPr>
              <w:numPr>
                <w:ilvl w:val="0"/>
                <w:numId w:val="0"/>
              </w:numPr>
              <w:spacing w:line="360" w:lineRule="auto"/>
              <w:ind w:left="425" w:leftChars="0" w:hanging="425" w:firstLineChars="0"/>
              <w:jc w:val="center"/>
              <w:rPr>
                <w:rFonts w:hint="default" w:ascii="宋体" w:hAnsi="宋体" w:eastAsia="宋体" w:cs="Times New Roman"/>
                <w:bCs/>
                <w:color w:val="auto"/>
                <w:kern w:val="2"/>
                <w:sz w:val="24"/>
                <w:szCs w:val="18"/>
                <w:highlight w:val="none"/>
                <w:lang w:val="en-US" w:eastAsia="zh-CN" w:bidi="ar-SA"/>
              </w:rPr>
            </w:pPr>
          </w:p>
        </w:tc>
        <w:tc>
          <w:tcPr>
            <w:tcW w:w="535" w:type="pct"/>
            <w:noWrap w:val="0"/>
            <w:vAlign w:val="center"/>
          </w:tcPr>
          <w:p w14:paraId="05509109">
            <w:pPr>
              <w:numPr>
                <w:ilvl w:val="0"/>
                <w:numId w:val="0"/>
              </w:numPr>
              <w:spacing w:line="360" w:lineRule="auto"/>
              <w:ind w:left="425" w:leftChars="0" w:hanging="425" w:firstLineChars="0"/>
              <w:jc w:val="center"/>
              <w:rPr>
                <w:rFonts w:hint="eastAsia" w:ascii="宋体" w:hAnsi="宋体" w:eastAsia="宋体" w:cs="Times New Roman"/>
                <w:bCs/>
                <w:color w:val="auto"/>
                <w:sz w:val="24"/>
                <w:szCs w:val="18"/>
                <w:highlight w:val="none"/>
              </w:rPr>
            </w:pPr>
            <w:r>
              <w:rPr>
                <w:rFonts w:hint="default" w:ascii="宋体" w:hAnsi="宋体" w:eastAsia="宋体" w:cs="Times New Roman"/>
                <w:bCs/>
                <w:color w:val="auto"/>
                <w:kern w:val="2"/>
                <w:sz w:val="24"/>
                <w:szCs w:val="18"/>
                <w:highlight w:val="none"/>
                <w:lang w:val="en-US" w:eastAsia="zh-CN" w:bidi="ar-SA"/>
              </w:rPr>
              <w:t>19</w:t>
            </w:r>
          </w:p>
        </w:tc>
        <w:tc>
          <w:tcPr>
            <w:tcW w:w="2233" w:type="pct"/>
            <w:noWrap w:val="0"/>
            <w:vAlign w:val="center"/>
          </w:tcPr>
          <w:p w14:paraId="24636CA3">
            <w:pPr>
              <w:spacing w:line="360" w:lineRule="auto"/>
              <w:jc w:val="center"/>
              <w:rPr>
                <w:rFonts w:hint="eastAsia" w:ascii="宋体" w:hAnsi="宋体" w:eastAsia="宋体" w:cs="Times New Roman"/>
                <w:bCs/>
                <w:color w:val="auto"/>
                <w:sz w:val="24"/>
                <w:szCs w:val="18"/>
                <w:highlight w:val="none"/>
              </w:rPr>
            </w:pPr>
            <w:r>
              <w:rPr>
                <w:rFonts w:hint="eastAsia" w:ascii="宋体" w:hAnsi="宋体" w:eastAsia="宋体" w:cs="Times New Roman"/>
                <w:bCs/>
                <w:color w:val="auto"/>
                <w:sz w:val="24"/>
                <w:szCs w:val="18"/>
                <w:highlight w:val="none"/>
              </w:rPr>
              <w:t>配套四足机器人</w:t>
            </w:r>
          </w:p>
        </w:tc>
        <w:tc>
          <w:tcPr>
            <w:tcW w:w="657" w:type="pct"/>
            <w:noWrap w:val="0"/>
            <w:vAlign w:val="center"/>
          </w:tcPr>
          <w:p w14:paraId="2ECBA485">
            <w:pPr>
              <w:spacing w:line="360" w:lineRule="auto"/>
              <w:jc w:val="center"/>
              <w:rPr>
                <w:rFonts w:hint="eastAsia" w:ascii="宋体" w:hAnsi="宋体" w:eastAsia="宋体" w:cs="Times New Roman"/>
                <w:bCs/>
                <w:color w:val="auto"/>
                <w:sz w:val="24"/>
                <w:szCs w:val="18"/>
                <w:highlight w:val="none"/>
              </w:rPr>
            </w:pPr>
            <w:r>
              <w:rPr>
                <w:rFonts w:ascii="宋体" w:hAnsi="宋体" w:eastAsia="宋体" w:cs="Times New Roman"/>
                <w:bCs/>
                <w:color w:val="auto"/>
                <w:sz w:val="24"/>
                <w:szCs w:val="18"/>
                <w:highlight w:val="none"/>
              </w:rPr>
              <w:t>1</w:t>
            </w:r>
            <w:r>
              <w:rPr>
                <w:rFonts w:hint="eastAsia" w:ascii="宋体" w:hAnsi="宋体" w:eastAsia="宋体" w:cs="Times New Roman"/>
                <w:bCs/>
                <w:color w:val="auto"/>
                <w:sz w:val="24"/>
                <w:szCs w:val="18"/>
                <w:highlight w:val="none"/>
              </w:rPr>
              <w:t>套</w:t>
            </w:r>
          </w:p>
        </w:tc>
        <w:tc>
          <w:tcPr>
            <w:tcW w:w="839" w:type="pct"/>
            <w:noWrap w:val="0"/>
            <w:vAlign w:val="center"/>
          </w:tcPr>
          <w:p w14:paraId="7E2A86A1">
            <w:pPr>
              <w:spacing w:line="360" w:lineRule="auto"/>
              <w:jc w:val="center"/>
              <w:rPr>
                <w:rFonts w:hint="eastAsia" w:ascii="宋体" w:hAnsi="宋体" w:eastAsia="宋体" w:cs="Times New Roman"/>
                <w:bCs/>
                <w:color w:val="auto"/>
                <w:sz w:val="24"/>
                <w:szCs w:val="18"/>
                <w:highlight w:val="none"/>
              </w:rPr>
            </w:pPr>
            <w:r>
              <w:rPr>
                <w:rFonts w:hint="eastAsia" w:ascii="宋体" w:hAnsi="宋体" w:eastAsia="宋体" w:cs="Times New Roman"/>
                <w:bCs/>
                <w:color w:val="auto"/>
                <w:sz w:val="24"/>
                <w:szCs w:val="18"/>
                <w:highlight w:val="none"/>
              </w:rPr>
              <w:t>工业</w:t>
            </w:r>
          </w:p>
        </w:tc>
      </w:tr>
      <w:tr w14:paraId="0BBC7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pct"/>
            <w:vMerge w:val="continue"/>
            <w:noWrap w:val="0"/>
            <w:vAlign w:val="center"/>
          </w:tcPr>
          <w:p w14:paraId="5815B9A3">
            <w:pPr>
              <w:numPr>
                <w:ilvl w:val="0"/>
                <w:numId w:val="0"/>
              </w:numPr>
              <w:spacing w:line="360" w:lineRule="auto"/>
              <w:ind w:left="425" w:leftChars="0" w:hanging="425" w:firstLineChars="0"/>
              <w:jc w:val="center"/>
              <w:rPr>
                <w:rFonts w:hint="default" w:ascii="宋体" w:hAnsi="宋体" w:eastAsia="宋体" w:cs="Times New Roman"/>
                <w:bCs/>
                <w:color w:val="auto"/>
                <w:kern w:val="2"/>
                <w:sz w:val="24"/>
                <w:szCs w:val="18"/>
                <w:highlight w:val="none"/>
                <w:lang w:val="en-US" w:eastAsia="zh-CN" w:bidi="ar-SA"/>
              </w:rPr>
            </w:pPr>
          </w:p>
        </w:tc>
        <w:tc>
          <w:tcPr>
            <w:tcW w:w="535" w:type="pct"/>
            <w:noWrap w:val="0"/>
            <w:vAlign w:val="center"/>
          </w:tcPr>
          <w:p w14:paraId="06255D9F">
            <w:pPr>
              <w:numPr>
                <w:ilvl w:val="0"/>
                <w:numId w:val="0"/>
              </w:numPr>
              <w:spacing w:line="360" w:lineRule="auto"/>
              <w:ind w:left="425" w:leftChars="0" w:hanging="425" w:firstLineChars="0"/>
              <w:jc w:val="center"/>
              <w:rPr>
                <w:rFonts w:hint="eastAsia" w:ascii="宋体" w:hAnsi="宋体" w:eastAsia="宋体" w:cs="Times New Roman"/>
                <w:bCs/>
                <w:color w:val="auto"/>
                <w:sz w:val="24"/>
                <w:szCs w:val="18"/>
                <w:highlight w:val="none"/>
              </w:rPr>
            </w:pPr>
            <w:r>
              <w:rPr>
                <w:rFonts w:hint="default" w:ascii="宋体" w:hAnsi="宋体" w:eastAsia="宋体" w:cs="Times New Roman"/>
                <w:bCs/>
                <w:color w:val="auto"/>
                <w:kern w:val="2"/>
                <w:sz w:val="24"/>
                <w:szCs w:val="18"/>
                <w:highlight w:val="none"/>
                <w:lang w:val="en-US" w:eastAsia="zh-CN" w:bidi="ar-SA"/>
              </w:rPr>
              <w:t>20</w:t>
            </w:r>
          </w:p>
        </w:tc>
        <w:tc>
          <w:tcPr>
            <w:tcW w:w="2233" w:type="pct"/>
            <w:noWrap w:val="0"/>
            <w:vAlign w:val="center"/>
          </w:tcPr>
          <w:p w14:paraId="5F5F2520">
            <w:pPr>
              <w:spacing w:line="360" w:lineRule="auto"/>
              <w:jc w:val="center"/>
              <w:rPr>
                <w:rFonts w:hint="eastAsia" w:ascii="宋体" w:hAnsi="宋体" w:eastAsia="宋体" w:cs="Times New Roman"/>
                <w:bCs/>
                <w:color w:val="auto"/>
                <w:sz w:val="24"/>
                <w:szCs w:val="18"/>
                <w:highlight w:val="none"/>
              </w:rPr>
            </w:pPr>
            <w:r>
              <w:rPr>
                <w:rFonts w:hint="eastAsia" w:ascii="宋体" w:hAnsi="宋体" w:eastAsia="宋体" w:cs="Times New Roman"/>
                <w:bCs/>
                <w:color w:val="auto"/>
                <w:sz w:val="24"/>
                <w:szCs w:val="18"/>
                <w:highlight w:val="none"/>
              </w:rPr>
              <w:t>配套工具</w:t>
            </w:r>
          </w:p>
        </w:tc>
        <w:tc>
          <w:tcPr>
            <w:tcW w:w="657" w:type="pct"/>
            <w:noWrap w:val="0"/>
            <w:vAlign w:val="center"/>
          </w:tcPr>
          <w:p w14:paraId="3876CEA0">
            <w:pPr>
              <w:spacing w:line="360" w:lineRule="auto"/>
              <w:jc w:val="center"/>
              <w:rPr>
                <w:rFonts w:hint="eastAsia" w:ascii="宋体" w:hAnsi="宋体" w:eastAsia="宋体" w:cs="Times New Roman"/>
                <w:bCs/>
                <w:color w:val="auto"/>
                <w:sz w:val="24"/>
                <w:szCs w:val="18"/>
                <w:highlight w:val="none"/>
              </w:rPr>
            </w:pPr>
            <w:r>
              <w:rPr>
                <w:rFonts w:ascii="宋体" w:hAnsi="宋体" w:eastAsia="宋体" w:cs="Times New Roman"/>
                <w:bCs/>
                <w:color w:val="auto"/>
                <w:sz w:val="24"/>
                <w:szCs w:val="18"/>
                <w:highlight w:val="none"/>
              </w:rPr>
              <w:t>1</w:t>
            </w:r>
            <w:r>
              <w:rPr>
                <w:rFonts w:hint="eastAsia" w:ascii="宋体" w:hAnsi="宋体" w:eastAsia="宋体" w:cs="Times New Roman"/>
                <w:bCs/>
                <w:color w:val="auto"/>
                <w:sz w:val="24"/>
                <w:szCs w:val="18"/>
                <w:highlight w:val="none"/>
              </w:rPr>
              <w:t>套</w:t>
            </w:r>
          </w:p>
        </w:tc>
        <w:tc>
          <w:tcPr>
            <w:tcW w:w="839" w:type="pct"/>
            <w:noWrap w:val="0"/>
            <w:vAlign w:val="center"/>
          </w:tcPr>
          <w:p w14:paraId="4920C69F">
            <w:pPr>
              <w:spacing w:line="360" w:lineRule="auto"/>
              <w:jc w:val="center"/>
              <w:rPr>
                <w:rFonts w:hint="eastAsia" w:ascii="宋体" w:hAnsi="宋体" w:eastAsia="宋体" w:cs="Times New Roman"/>
                <w:bCs/>
                <w:color w:val="auto"/>
                <w:sz w:val="24"/>
                <w:szCs w:val="18"/>
                <w:highlight w:val="none"/>
              </w:rPr>
            </w:pPr>
            <w:r>
              <w:rPr>
                <w:rFonts w:hint="eastAsia" w:ascii="宋体" w:hAnsi="宋体" w:eastAsia="宋体" w:cs="Times New Roman"/>
                <w:bCs/>
                <w:color w:val="auto"/>
                <w:sz w:val="24"/>
                <w:szCs w:val="18"/>
                <w:highlight w:val="none"/>
              </w:rPr>
              <w:t>工业</w:t>
            </w:r>
          </w:p>
        </w:tc>
      </w:tr>
      <w:tr w14:paraId="5A4B6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pct"/>
            <w:vMerge w:val="continue"/>
            <w:noWrap w:val="0"/>
            <w:vAlign w:val="center"/>
          </w:tcPr>
          <w:p w14:paraId="42F26221">
            <w:pPr>
              <w:numPr>
                <w:ilvl w:val="0"/>
                <w:numId w:val="0"/>
              </w:numPr>
              <w:spacing w:line="360" w:lineRule="auto"/>
              <w:ind w:leftChars="0"/>
              <w:jc w:val="center"/>
              <w:rPr>
                <w:rFonts w:hint="eastAsia" w:ascii="宋体" w:hAnsi="宋体" w:eastAsia="宋体" w:cs="Times New Roman"/>
                <w:bCs/>
                <w:color w:val="auto"/>
                <w:sz w:val="24"/>
                <w:szCs w:val="18"/>
                <w:highlight w:val="none"/>
                <w:lang w:val="en-US" w:eastAsia="zh-CN"/>
              </w:rPr>
            </w:pPr>
          </w:p>
        </w:tc>
        <w:tc>
          <w:tcPr>
            <w:tcW w:w="535" w:type="pct"/>
            <w:noWrap w:val="0"/>
            <w:vAlign w:val="center"/>
          </w:tcPr>
          <w:p w14:paraId="1EAB83AC">
            <w:pPr>
              <w:numPr>
                <w:ilvl w:val="0"/>
                <w:numId w:val="0"/>
              </w:numPr>
              <w:spacing w:line="360" w:lineRule="auto"/>
              <w:ind w:leftChars="0"/>
              <w:jc w:val="center"/>
              <w:rPr>
                <w:rFonts w:hint="default" w:ascii="宋体" w:hAnsi="宋体" w:eastAsia="宋体" w:cs="Times New Roman"/>
                <w:bCs/>
                <w:color w:val="auto"/>
                <w:sz w:val="24"/>
                <w:szCs w:val="18"/>
                <w:highlight w:val="none"/>
                <w:lang w:val="en-US" w:eastAsia="zh-CN"/>
              </w:rPr>
            </w:pPr>
            <w:r>
              <w:rPr>
                <w:rFonts w:hint="eastAsia" w:ascii="宋体" w:hAnsi="宋体" w:eastAsia="宋体" w:cs="Times New Roman"/>
                <w:bCs/>
                <w:color w:val="auto"/>
                <w:sz w:val="24"/>
                <w:szCs w:val="18"/>
                <w:highlight w:val="none"/>
                <w:lang w:val="en-US" w:eastAsia="zh-CN"/>
              </w:rPr>
              <w:t>21</w:t>
            </w:r>
          </w:p>
        </w:tc>
        <w:tc>
          <w:tcPr>
            <w:tcW w:w="2233" w:type="pct"/>
            <w:noWrap w:val="0"/>
            <w:vAlign w:val="center"/>
          </w:tcPr>
          <w:p w14:paraId="11F5457B">
            <w:pPr>
              <w:spacing w:line="360" w:lineRule="auto"/>
              <w:jc w:val="center"/>
              <w:rPr>
                <w:rFonts w:hint="eastAsia" w:ascii="宋体" w:hAnsi="宋体" w:eastAsia="宋体" w:cs="Times New Roman"/>
                <w:bCs/>
                <w:color w:val="auto"/>
                <w:sz w:val="24"/>
                <w:szCs w:val="18"/>
                <w:highlight w:val="none"/>
              </w:rPr>
            </w:pPr>
            <w:r>
              <w:rPr>
                <w:rFonts w:hint="eastAsia" w:ascii="宋体" w:hAnsi="宋体" w:eastAsia="宋体" w:cs="Times New Roman"/>
                <w:bCs/>
                <w:color w:val="auto"/>
                <w:sz w:val="24"/>
                <w:szCs w:val="18"/>
                <w:highlight w:val="none"/>
              </w:rPr>
              <w:t>配套工作台</w:t>
            </w:r>
          </w:p>
        </w:tc>
        <w:tc>
          <w:tcPr>
            <w:tcW w:w="657" w:type="pct"/>
            <w:noWrap w:val="0"/>
            <w:vAlign w:val="center"/>
          </w:tcPr>
          <w:p w14:paraId="29C3D5BA">
            <w:pPr>
              <w:spacing w:line="360" w:lineRule="auto"/>
              <w:jc w:val="center"/>
              <w:rPr>
                <w:rFonts w:hint="eastAsia" w:ascii="宋体" w:hAnsi="宋体" w:eastAsia="宋体" w:cs="Times New Roman"/>
                <w:bCs/>
                <w:color w:val="auto"/>
                <w:sz w:val="24"/>
                <w:szCs w:val="18"/>
                <w:highlight w:val="none"/>
              </w:rPr>
            </w:pPr>
            <w:r>
              <w:rPr>
                <w:rFonts w:ascii="宋体" w:hAnsi="宋体" w:eastAsia="宋体" w:cs="Times New Roman"/>
                <w:bCs/>
                <w:color w:val="auto"/>
                <w:sz w:val="24"/>
                <w:szCs w:val="18"/>
                <w:highlight w:val="none"/>
              </w:rPr>
              <w:t>1</w:t>
            </w:r>
            <w:r>
              <w:rPr>
                <w:rFonts w:hint="eastAsia" w:ascii="宋体" w:hAnsi="宋体" w:eastAsia="宋体" w:cs="Times New Roman"/>
                <w:bCs/>
                <w:color w:val="auto"/>
                <w:sz w:val="24"/>
                <w:szCs w:val="18"/>
                <w:highlight w:val="none"/>
              </w:rPr>
              <w:t>套</w:t>
            </w:r>
          </w:p>
        </w:tc>
        <w:tc>
          <w:tcPr>
            <w:tcW w:w="839" w:type="pct"/>
            <w:noWrap w:val="0"/>
            <w:vAlign w:val="center"/>
          </w:tcPr>
          <w:p w14:paraId="18699426">
            <w:pPr>
              <w:spacing w:line="360" w:lineRule="auto"/>
              <w:jc w:val="center"/>
              <w:rPr>
                <w:rFonts w:hint="eastAsia" w:ascii="宋体" w:hAnsi="宋体" w:eastAsia="宋体" w:cs="Times New Roman"/>
                <w:bCs/>
                <w:color w:val="auto"/>
                <w:sz w:val="24"/>
                <w:szCs w:val="18"/>
                <w:highlight w:val="none"/>
              </w:rPr>
            </w:pPr>
            <w:r>
              <w:rPr>
                <w:rFonts w:hint="eastAsia" w:ascii="宋体" w:hAnsi="宋体" w:eastAsia="宋体" w:cs="Times New Roman"/>
                <w:bCs/>
                <w:color w:val="auto"/>
                <w:sz w:val="24"/>
                <w:szCs w:val="18"/>
                <w:highlight w:val="none"/>
              </w:rPr>
              <w:t>工业</w:t>
            </w:r>
          </w:p>
        </w:tc>
      </w:tr>
    </w:tbl>
    <w:p w14:paraId="6EB3A61A">
      <w:pPr>
        <w:widowControl w:val="0"/>
        <w:spacing w:after="120"/>
        <w:ind w:left="420" w:leftChars="200" w:firstLine="482" w:firstLineChars="200"/>
        <w:jc w:val="both"/>
        <w:rPr>
          <w:rFonts w:hint="eastAsia" w:ascii="宋体" w:hAnsi="宋体" w:eastAsia="宋体" w:cs="宋体"/>
          <w:b/>
          <w:bCs/>
          <w:color w:val="auto"/>
          <w:kern w:val="2"/>
          <w:sz w:val="24"/>
          <w:szCs w:val="24"/>
          <w:highlight w:val="none"/>
          <w:lang w:val="en-US" w:eastAsia="zh-CN" w:bidi="ar-SA"/>
        </w:rPr>
      </w:pPr>
    </w:p>
    <w:p w14:paraId="516C96A9">
      <w:pPr>
        <w:widowControl/>
        <w:snapToGrid w:val="0"/>
        <w:spacing w:line="360" w:lineRule="auto"/>
        <w:ind w:firstLine="482" w:firstLineChars="200"/>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rPr>
        <w:t>）技术参数及要求</w:t>
      </w:r>
    </w:p>
    <w:tbl>
      <w:tblPr>
        <w:tblStyle w:val="7"/>
        <w:tblW w:w="516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4"/>
        <w:gridCol w:w="7494"/>
      </w:tblGrid>
      <w:tr w14:paraId="6C891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46" w:type="pct"/>
            <w:noWrap w:val="0"/>
            <w:vAlign w:val="center"/>
          </w:tcPr>
          <w:p w14:paraId="0BC3B952">
            <w:pPr>
              <w:spacing w:line="360" w:lineRule="auto"/>
              <w:jc w:val="center"/>
              <w:rPr>
                <w:rFonts w:ascii="宋体" w:hAnsi="宋体" w:eastAsia="宋体" w:cs="Times New Roman"/>
                <w:b/>
                <w:bCs w:val="0"/>
                <w:color w:val="auto"/>
                <w:sz w:val="24"/>
                <w:szCs w:val="18"/>
                <w:highlight w:val="none"/>
              </w:rPr>
            </w:pPr>
            <w:r>
              <w:rPr>
                <w:rFonts w:hint="eastAsia" w:ascii="宋体" w:hAnsi="宋体" w:eastAsia="宋体" w:cs="Times New Roman"/>
                <w:b/>
                <w:bCs w:val="0"/>
                <w:color w:val="auto"/>
                <w:sz w:val="24"/>
                <w:szCs w:val="18"/>
                <w:highlight w:val="none"/>
                <w:lang w:val="en-US" w:eastAsia="zh-CN"/>
              </w:rPr>
              <w:t>平台</w:t>
            </w:r>
            <w:r>
              <w:rPr>
                <w:rFonts w:hint="eastAsia" w:ascii="宋体" w:hAnsi="宋体" w:eastAsia="宋体" w:cs="Times New Roman"/>
                <w:b/>
                <w:bCs w:val="0"/>
                <w:color w:val="auto"/>
                <w:sz w:val="24"/>
                <w:szCs w:val="18"/>
                <w:highlight w:val="none"/>
              </w:rPr>
              <w:t>名称</w:t>
            </w:r>
          </w:p>
        </w:tc>
        <w:tc>
          <w:tcPr>
            <w:tcW w:w="4253" w:type="pct"/>
            <w:noWrap w:val="0"/>
            <w:vAlign w:val="center"/>
          </w:tcPr>
          <w:p w14:paraId="53A8FE81">
            <w:pPr>
              <w:spacing w:line="360" w:lineRule="auto"/>
              <w:jc w:val="center"/>
              <w:rPr>
                <w:rFonts w:hint="eastAsia" w:ascii="宋体" w:hAnsi="宋体" w:eastAsia="宋体" w:cs="Times New Roman"/>
                <w:b/>
                <w:bCs w:val="0"/>
                <w:color w:val="auto"/>
                <w:sz w:val="24"/>
                <w:szCs w:val="18"/>
                <w:highlight w:val="none"/>
              </w:rPr>
            </w:pPr>
            <w:r>
              <w:rPr>
                <w:rFonts w:hint="eastAsia" w:ascii="宋体" w:hAnsi="宋体" w:eastAsia="宋体" w:cs="Times New Roman"/>
                <w:b/>
                <w:bCs w:val="0"/>
                <w:color w:val="auto"/>
                <w:sz w:val="24"/>
                <w:szCs w:val="18"/>
                <w:highlight w:val="none"/>
              </w:rPr>
              <w:t>技术参数及要求</w:t>
            </w:r>
          </w:p>
        </w:tc>
      </w:tr>
      <w:tr w14:paraId="17762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46" w:type="pct"/>
            <w:noWrap w:val="0"/>
            <w:vAlign w:val="center"/>
          </w:tcPr>
          <w:p w14:paraId="4E362230">
            <w:pPr>
              <w:spacing w:line="360" w:lineRule="auto"/>
              <w:jc w:val="center"/>
              <w:rPr>
                <w:rFonts w:ascii="宋体" w:hAnsi="宋体" w:eastAsia="宋体" w:cs="Times New Roman"/>
                <w:bCs/>
                <w:color w:val="auto"/>
                <w:sz w:val="24"/>
                <w:szCs w:val="18"/>
                <w:highlight w:val="none"/>
              </w:rPr>
            </w:pPr>
            <w:r>
              <w:rPr>
                <w:rFonts w:hint="eastAsia" w:ascii="宋体" w:hAnsi="宋体" w:eastAsia="宋体" w:cs="Times New Roman"/>
                <w:bCs/>
                <w:color w:val="auto"/>
                <w:sz w:val="24"/>
                <w:szCs w:val="18"/>
                <w:highlight w:val="none"/>
              </w:rPr>
              <w:t>智能检测综合设计实训平台</w:t>
            </w:r>
          </w:p>
        </w:tc>
        <w:tc>
          <w:tcPr>
            <w:tcW w:w="4253" w:type="pct"/>
            <w:noWrap w:val="0"/>
            <w:vAlign w:val="top"/>
          </w:tcPr>
          <w:p w14:paraId="3F2EFA72">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一、技术要求</w:t>
            </w:r>
          </w:p>
          <w:p w14:paraId="3AA1AC76">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（一）产品要求：智能检测综合设计实训平台由实训工作台模块、电气控制模块、机器人模块、2D 视觉检测模块、3D 视觉检测模块、物料存储与上料单元模块、尺寸缺陷检测模块、智能码垛扫码搬运模块、工控终端模块、工具快换单元模块等部分组成，同时配有相应的PLC虚拟仿真系统、机器人认知虚拟仿真系统、视觉及深度学习软件、在线教学系统及配套教学资源包等。</w:t>
            </w:r>
          </w:p>
          <w:p w14:paraId="41945E16">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（二）功能要求</w:t>
            </w:r>
          </w:p>
          <w:p w14:paraId="01F5EA4E">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平台可完整复现智能制造车间上料 — 定位 — 尺寸检测 — 3D 缺陷检测 — 分拣 — 码垛全流程作业场景。基于工业真实应用场景，具备内置木箱（扫码 + 码垛）、法兰（尺寸检测）、曲柄（缺陷检测）三类典型实训物料，覆盖物流仓储、机械加工、质量检测三大主流工业场景。</w:t>
            </w:r>
          </w:p>
          <w:p w14:paraId="6B42FF69">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（三）具体配置参数要求</w:t>
            </w:r>
          </w:p>
          <w:p w14:paraId="4AC3238C">
            <w:pPr>
              <w:spacing w:line="360" w:lineRule="auto"/>
              <w:rPr>
                <w:rFonts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1.实训工作台模块</w:t>
            </w:r>
          </w:p>
          <w:p w14:paraId="3F14CBC0">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（1）外形尺寸≥1</w:t>
            </w:r>
            <w:r>
              <w:rPr>
                <w:rFonts w:ascii="宋体" w:hAnsi="宋体" w:eastAsia="宋体" w:cs="宋体"/>
                <w:color w:val="auto"/>
                <w:kern w:val="0"/>
                <w:sz w:val="24"/>
                <w:szCs w:val="24"/>
                <w:highlight w:val="none"/>
              </w:rPr>
              <w:t>800</w:t>
            </w:r>
            <w:r>
              <w:rPr>
                <w:rFonts w:hint="eastAsia" w:ascii="宋体" w:hAnsi="宋体" w:eastAsia="宋体" w:cs="宋体"/>
                <w:color w:val="auto"/>
                <w:kern w:val="0"/>
                <w:sz w:val="24"/>
                <w:szCs w:val="24"/>
                <w:highlight w:val="none"/>
              </w:rPr>
              <w:t>mm×12</w:t>
            </w:r>
            <w:r>
              <w:rPr>
                <w:rFonts w:ascii="宋体" w:hAnsi="宋体" w:eastAsia="宋体" w:cs="宋体"/>
                <w:color w:val="auto"/>
                <w:kern w:val="0"/>
                <w:sz w:val="24"/>
                <w:szCs w:val="24"/>
                <w:highlight w:val="none"/>
              </w:rPr>
              <w:t>00</w:t>
            </w:r>
            <w:r>
              <w:rPr>
                <w:rFonts w:hint="eastAsia" w:ascii="宋体" w:hAnsi="宋体" w:eastAsia="宋体" w:cs="宋体"/>
                <w:color w:val="auto"/>
                <w:kern w:val="0"/>
                <w:sz w:val="24"/>
                <w:szCs w:val="24"/>
                <w:highlight w:val="none"/>
              </w:rPr>
              <w:t>mm×12</w:t>
            </w:r>
            <w:r>
              <w:rPr>
                <w:rFonts w:ascii="宋体" w:hAnsi="宋体" w:eastAsia="宋体" w:cs="宋体"/>
                <w:color w:val="auto"/>
                <w:kern w:val="0"/>
                <w:sz w:val="24"/>
                <w:szCs w:val="24"/>
                <w:highlight w:val="none"/>
              </w:rPr>
              <w:t>0</w:t>
            </w:r>
            <w:r>
              <w:rPr>
                <w:rFonts w:hint="eastAsia" w:ascii="宋体" w:hAnsi="宋体" w:eastAsia="宋体" w:cs="宋体"/>
                <w:color w:val="auto"/>
                <w:kern w:val="0"/>
                <w:sz w:val="24"/>
                <w:szCs w:val="24"/>
                <w:highlight w:val="none"/>
              </w:rPr>
              <w:t>0mm。</w:t>
            </w:r>
          </w:p>
          <w:p w14:paraId="51DDAF94">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（2）核心组成：至少包含铝型材框架、外观钣金、台面、空压机、气源处理器、脚轮。</w:t>
            </w:r>
          </w:p>
          <w:p w14:paraId="512B37A1">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（3）主要功能：要求能够满足设备承载、结构支撑、气源供给、气路分配、电气集成、设备移动与固定。</w:t>
            </w:r>
          </w:p>
          <w:p w14:paraId="563ECF40">
            <w:pPr>
              <w:spacing w:line="360" w:lineRule="auto"/>
              <w:rPr>
                <w:rFonts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2.电气控制模块</w:t>
            </w:r>
          </w:p>
          <w:p w14:paraId="667E0962">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2.1 PLC</w:t>
            </w:r>
          </w:p>
          <w:p w14:paraId="082E08E6">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（1）要求至少满足输入点数 14，输出点数 10。</w:t>
            </w:r>
          </w:p>
          <w:p w14:paraId="3EC4D74E">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（2）通信协议：要求至少支持PROFINET、Modbus RTU。</w:t>
            </w:r>
          </w:p>
          <w:p w14:paraId="10671358">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（3）电源电压：额定值 DC24V，允许范围 (DC) 为 20.4V~28.8V。</w:t>
            </w:r>
          </w:p>
          <w:p w14:paraId="5822BF5C">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（4）工作存储器：≥150KB。</w:t>
            </w:r>
          </w:p>
          <w:p w14:paraId="5EB1F87B">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（5）装载存储器：≥4MB。</w:t>
            </w:r>
          </w:p>
          <w:p w14:paraId="4BECBD9E">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（6）保持性存储器：≥14KB。</w:t>
            </w:r>
          </w:p>
          <w:p w14:paraId="5631D311">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（7）位存储器（M）：≥8192 个字节。</w:t>
            </w:r>
          </w:p>
          <w:p w14:paraId="3EDC7506">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（8）用户存储器：要求至少满足150KB（故障安全型 200KB）/ 4MB 装载存储器（可用专用 SD 卡扩展）/14KB 保持性存储器。</w:t>
            </w:r>
          </w:p>
          <w:p w14:paraId="2EA29CD9">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2.2 HMI</w:t>
            </w:r>
          </w:p>
          <w:p w14:paraId="1DFADD6C">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（1）显示单元：不低于7 英寸四线电阻式 HMI。</w:t>
            </w:r>
          </w:p>
          <w:p w14:paraId="76AA4E35">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（2）防护等级：不低于IP65。</w:t>
            </w:r>
          </w:p>
          <w:p w14:paraId="1369D60D">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（3）操作方式：要求支持触摸操作 + 物理按键。</w:t>
            </w:r>
          </w:p>
          <w:p w14:paraId="5456CACE">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（4）物理按键：手自动切换、启动、停止、复位、急停。</w:t>
            </w:r>
          </w:p>
          <w:p w14:paraId="0C6EA3DB">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2.3电位计</w:t>
            </w:r>
          </w:p>
          <w:p w14:paraId="3AD410BE">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（1）可输出0-10V模拟量电压。</w:t>
            </w:r>
          </w:p>
          <w:p w14:paraId="3B0C0427">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（2）供电电压：≤DC7V-28V。</w:t>
            </w:r>
          </w:p>
          <w:p w14:paraId="5C222799">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2.4温湿度传感器</w:t>
            </w:r>
          </w:p>
          <w:p w14:paraId="2DDB6672">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（1）电压：9-36DC。</w:t>
            </w:r>
          </w:p>
          <w:p w14:paraId="75F1EE80">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（2）最大功耗：≥0.4W。</w:t>
            </w:r>
          </w:p>
          <w:p w14:paraId="6BBC5C36">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（3）精度：湿度≥±2%RH，温度≥±0.2℃。</w:t>
            </w:r>
          </w:p>
          <w:p w14:paraId="3E4AB37E">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（4）输出信号：至少包含485信号。</w:t>
            </w:r>
          </w:p>
          <w:p w14:paraId="67DB6E0F">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2.5安全防护模块</w:t>
            </w:r>
          </w:p>
          <w:p w14:paraId="4D4F2550">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（1）状态指示：红、黄、绿三色指示灯。</w:t>
            </w:r>
          </w:p>
          <w:p w14:paraId="69218752">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（2）组成部件：至少包含光幕、不锈钢安装支架。</w:t>
            </w:r>
          </w:p>
          <w:p w14:paraId="5328AAA0">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（3）分辨率：≥20mm。</w:t>
            </w:r>
          </w:p>
          <w:p w14:paraId="023F209A">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（4）反应速度：≥15ms。</w:t>
            </w:r>
          </w:p>
          <w:p w14:paraId="3B646F71">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（5）外形尺寸：≥30mm×30mm。</w:t>
            </w:r>
          </w:p>
          <w:p w14:paraId="5C446694">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（6）防护等级：不低于IP65。</w:t>
            </w:r>
          </w:p>
          <w:p w14:paraId="42CFD888">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（7）输出方式：要求满足PNP/NPN 双路输出。</w:t>
            </w:r>
          </w:p>
          <w:p w14:paraId="0FE9667A">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（8）适配对接：至少包含安全光幕控制器、安全继电器、PLC、PC、外挂继电器。</w:t>
            </w:r>
          </w:p>
          <w:p w14:paraId="6B663FC5">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2.6总线阀岛模块</w:t>
            </w:r>
          </w:p>
          <w:p w14:paraId="42D40F07">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（1）结构形式：集成式总线阀岛。</w:t>
            </w:r>
          </w:p>
          <w:p w14:paraId="5B950789">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（2）阀岛总数：≤12 位。</w:t>
            </w:r>
          </w:p>
          <w:p w14:paraId="34670313">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（3）电磁阀配置：双电控阀≤4 片，单电控阀≤8 片。</w:t>
            </w:r>
          </w:p>
          <w:p w14:paraId="2EBC5E09">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（4）控制电压：DC 12-24V。</w:t>
            </w:r>
          </w:p>
          <w:p w14:paraId="394CECAB">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（5）通信方式：总线通信（与 PLC 联动控制）。</w:t>
            </w:r>
          </w:p>
          <w:p w14:paraId="4A3CD1E3">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（6）工作介质：压缩空气；适用压力：标准气动工作压力。</w:t>
            </w:r>
          </w:p>
          <w:p w14:paraId="27C5B6C0">
            <w:pPr>
              <w:spacing w:line="360" w:lineRule="auto"/>
              <w:rPr>
                <w:rFonts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3.机器人模块</w:t>
            </w:r>
          </w:p>
          <w:p w14:paraId="5C51A8E4">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（1）轴数：6 轴。</w:t>
            </w:r>
          </w:p>
          <w:p w14:paraId="028C409D">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（2）额定负载：≥3kg。</w:t>
            </w:r>
          </w:p>
          <w:p w14:paraId="428945C5">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■（3）工作半径：≥625mm。</w:t>
            </w:r>
            <w:r>
              <w:rPr>
                <w:rFonts w:hint="eastAsia" w:ascii="宋体" w:hAnsi="宋体" w:eastAsia="宋体" w:cs="宋体"/>
                <w:b/>
                <w:bCs/>
                <w:color w:val="auto"/>
                <w:kern w:val="0"/>
                <w:sz w:val="24"/>
                <w:szCs w:val="24"/>
                <w:highlight w:val="none"/>
              </w:rPr>
              <w:t>投标文件中需提供相关证明材料（</w:t>
            </w:r>
            <w:r>
              <w:rPr>
                <w:rFonts w:hint="eastAsia" w:ascii="宋体" w:hAnsi="宋体" w:eastAsia="宋体" w:cs="宋体"/>
                <w:b/>
                <w:bCs/>
                <w:color w:val="auto"/>
                <w:kern w:val="0"/>
                <w:sz w:val="24"/>
                <w:szCs w:val="24"/>
                <w:highlight w:val="none"/>
                <w:lang w:eastAsia="zh-CN"/>
              </w:rPr>
              <w:t>包括但不限于</w:t>
            </w:r>
            <w:r>
              <w:rPr>
                <w:rFonts w:hint="eastAsia" w:ascii="宋体" w:hAnsi="宋体" w:eastAsia="宋体" w:cs="宋体"/>
                <w:b/>
                <w:bCs/>
                <w:color w:val="auto"/>
                <w:kern w:val="0"/>
                <w:sz w:val="24"/>
                <w:szCs w:val="24"/>
                <w:highlight w:val="none"/>
              </w:rPr>
              <w:t>检测报告或功能截图或产品说明书或技术确认函等，</w:t>
            </w:r>
            <w:r>
              <w:rPr>
                <w:rFonts w:hint="eastAsia" w:ascii="宋体" w:hAnsi="宋体" w:eastAsia="宋体" w:cs="宋体"/>
                <w:b/>
                <w:bCs/>
                <w:color w:val="auto"/>
                <w:kern w:val="0"/>
                <w:sz w:val="24"/>
                <w:szCs w:val="24"/>
                <w:highlight w:val="none"/>
                <w:lang w:val="en-US" w:eastAsia="zh-CN"/>
              </w:rPr>
              <w:t>中标</w:t>
            </w:r>
            <w:r>
              <w:rPr>
                <w:rFonts w:hint="eastAsia" w:ascii="宋体" w:hAnsi="宋体" w:eastAsia="宋体" w:cs="宋体"/>
                <w:b/>
                <w:bCs/>
                <w:color w:val="auto"/>
                <w:kern w:val="0"/>
                <w:sz w:val="24"/>
                <w:szCs w:val="24"/>
                <w:highlight w:val="none"/>
              </w:rPr>
              <w:t>后</w:t>
            </w:r>
            <w:r>
              <w:rPr>
                <w:rFonts w:hint="eastAsia" w:ascii="宋体" w:hAnsi="宋体" w:eastAsia="宋体" w:cs="宋体"/>
                <w:b/>
                <w:bCs/>
                <w:color w:val="auto"/>
                <w:kern w:val="0"/>
                <w:sz w:val="24"/>
                <w:szCs w:val="24"/>
                <w:highlight w:val="none"/>
                <w:lang w:eastAsia="zh-CN"/>
              </w:rPr>
              <w:t>采购人</w:t>
            </w:r>
            <w:r>
              <w:rPr>
                <w:rFonts w:hint="eastAsia" w:ascii="宋体" w:hAnsi="宋体" w:eastAsia="宋体" w:cs="宋体"/>
                <w:b/>
                <w:bCs/>
                <w:color w:val="auto"/>
                <w:kern w:val="0"/>
                <w:sz w:val="24"/>
                <w:szCs w:val="24"/>
                <w:highlight w:val="none"/>
              </w:rPr>
              <w:t>有权进行功能检验。）</w:t>
            </w:r>
          </w:p>
          <w:p w14:paraId="103476D9">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■（4）重复定位精度：≤±0.02mm。</w:t>
            </w:r>
            <w:r>
              <w:rPr>
                <w:rFonts w:hint="eastAsia" w:ascii="宋体" w:hAnsi="宋体" w:eastAsia="宋体" w:cs="宋体"/>
                <w:b/>
                <w:bCs/>
                <w:color w:val="auto"/>
                <w:kern w:val="0"/>
                <w:sz w:val="24"/>
                <w:szCs w:val="24"/>
                <w:highlight w:val="none"/>
              </w:rPr>
              <w:t>投标文件中需提供相关证明材料（</w:t>
            </w:r>
            <w:r>
              <w:rPr>
                <w:rFonts w:hint="eastAsia" w:ascii="宋体" w:hAnsi="宋体" w:eastAsia="宋体" w:cs="宋体"/>
                <w:b/>
                <w:bCs/>
                <w:color w:val="auto"/>
                <w:kern w:val="0"/>
                <w:sz w:val="24"/>
                <w:szCs w:val="24"/>
                <w:highlight w:val="none"/>
                <w:lang w:eastAsia="zh-CN"/>
              </w:rPr>
              <w:t>包括但不限于</w:t>
            </w:r>
            <w:r>
              <w:rPr>
                <w:rFonts w:hint="eastAsia" w:ascii="宋体" w:hAnsi="宋体" w:eastAsia="宋体" w:cs="宋体"/>
                <w:b/>
                <w:bCs/>
                <w:color w:val="auto"/>
                <w:kern w:val="0"/>
                <w:sz w:val="24"/>
                <w:szCs w:val="24"/>
                <w:highlight w:val="none"/>
              </w:rPr>
              <w:t>检测报告或功能截图或产品说明书或技术确认函等，</w:t>
            </w:r>
            <w:r>
              <w:rPr>
                <w:rFonts w:hint="eastAsia" w:ascii="宋体" w:hAnsi="宋体" w:eastAsia="宋体" w:cs="宋体"/>
                <w:b/>
                <w:bCs/>
                <w:color w:val="auto"/>
                <w:kern w:val="0"/>
                <w:sz w:val="24"/>
                <w:szCs w:val="24"/>
                <w:highlight w:val="none"/>
                <w:lang w:val="en-US" w:eastAsia="zh-CN"/>
              </w:rPr>
              <w:t>中标</w:t>
            </w:r>
            <w:r>
              <w:rPr>
                <w:rFonts w:hint="eastAsia" w:ascii="宋体" w:hAnsi="宋体" w:eastAsia="宋体" w:cs="宋体"/>
                <w:b/>
                <w:bCs/>
                <w:color w:val="auto"/>
                <w:kern w:val="0"/>
                <w:sz w:val="24"/>
                <w:szCs w:val="24"/>
                <w:highlight w:val="none"/>
              </w:rPr>
              <w:t>后</w:t>
            </w:r>
            <w:r>
              <w:rPr>
                <w:rFonts w:hint="eastAsia" w:ascii="宋体" w:hAnsi="宋体" w:eastAsia="宋体" w:cs="宋体"/>
                <w:b/>
                <w:bCs/>
                <w:color w:val="auto"/>
                <w:kern w:val="0"/>
                <w:sz w:val="24"/>
                <w:szCs w:val="24"/>
                <w:highlight w:val="none"/>
                <w:lang w:eastAsia="zh-CN"/>
              </w:rPr>
              <w:t>采购人</w:t>
            </w:r>
            <w:r>
              <w:rPr>
                <w:rFonts w:hint="eastAsia" w:ascii="宋体" w:hAnsi="宋体" w:eastAsia="宋体" w:cs="宋体"/>
                <w:b/>
                <w:bCs/>
                <w:color w:val="auto"/>
                <w:kern w:val="0"/>
                <w:sz w:val="24"/>
                <w:szCs w:val="24"/>
                <w:highlight w:val="none"/>
              </w:rPr>
              <w:t>有权进行功能检验。）</w:t>
            </w:r>
          </w:p>
          <w:p w14:paraId="3752A1DE">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（5）防护等级：不低于IP54。</w:t>
            </w:r>
          </w:p>
          <w:p w14:paraId="1B650104">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（6）安装方式：桌面 / 支架安装。</w:t>
            </w:r>
          </w:p>
          <w:p w14:paraId="3AF30A1F">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（7）安全：要求具备碰撞检测、拖拽示教、安全停止。</w:t>
            </w:r>
          </w:p>
          <w:p w14:paraId="653F6BD9">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（8）温度：0–45℃。</w:t>
            </w:r>
          </w:p>
          <w:p w14:paraId="7777E3D9">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（9）通讯：要求至少支持以太网、Profinet、Modbus TCP。</w:t>
            </w:r>
          </w:p>
          <w:p w14:paraId="62655B47">
            <w:pPr>
              <w:spacing w:line="360" w:lineRule="auto"/>
              <w:rPr>
                <w:rFonts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4. 2D 视觉检测模块</w:t>
            </w:r>
          </w:p>
          <w:p w14:paraId="02E9FD34">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（1）分辨率：不低于3072×2048（600 万）。</w:t>
            </w:r>
          </w:p>
          <w:p w14:paraId="488835E1">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（2）接口：至少包含GigE 千兆以太网。</w:t>
            </w:r>
          </w:p>
          <w:p w14:paraId="0F4D56FB">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（3）镜头：25-100mm 工业定焦。</w:t>
            </w:r>
          </w:p>
          <w:p w14:paraId="04849DBE">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（4）光源：采用LED 高亮均匀光源。</w:t>
            </w:r>
          </w:p>
          <w:p w14:paraId="22FE1D7F">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（5）功能：至少支持标定、尺寸测量、条码识别、缺陷检测。</w:t>
            </w:r>
          </w:p>
          <w:p w14:paraId="2B60E2A4">
            <w:pPr>
              <w:spacing w:line="360" w:lineRule="auto"/>
              <w:rPr>
                <w:rFonts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5. 3D 视觉检测模块</w:t>
            </w:r>
          </w:p>
          <w:p w14:paraId="70B4F635">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（1）IP 防护等级：不低于IP65。</w:t>
            </w:r>
          </w:p>
          <w:p w14:paraId="4C6D86F8">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（2）点云精度：≤±0.05mm。</w:t>
            </w:r>
          </w:p>
          <w:p w14:paraId="2D5FB76C">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（3）采集时间</w:t>
            </w:r>
            <w:r>
              <w:rPr>
                <w:rFonts w:hint="eastAsia" w:ascii="宋体" w:hAnsi="宋体" w:eastAsia="宋体" w:cs="宋体"/>
                <w:color w:val="auto"/>
                <w:kern w:val="0"/>
                <w:sz w:val="24"/>
                <w:szCs w:val="24"/>
                <w:highlight w:val="none"/>
                <w:lang w:val="en-US" w:eastAsia="zh-CN"/>
              </w:rPr>
              <w:t>可覆盖</w:t>
            </w:r>
            <w:r>
              <w:rPr>
                <w:rFonts w:hint="eastAsia" w:ascii="宋体" w:hAnsi="宋体" w:eastAsia="宋体" w:cs="宋体"/>
                <w:color w:val="auto"/>
                <w:kern w:val="0"/>
                <w:sz w:val="24"/>
                <w:szCs w:val="24"/>
                <w:highlight w:val="none"/>
              </w:rPr>
              <w:t>：0.5–0.9s。</w:t>
            </w:r>
          </w:p>
          <w:p w14:paraId="1EBA6FE9">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（4）要求支持点云采集、无序识别、位姿估计、码垛定位、手眼标定。</w:t>
            </w:r>
          </w:p>
          <w:p w14:paraId="694F249E">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（5）近端视场：≥400 × 270mm @ 0.4m 。</w:t>
            </w:r>
          </w:p>
          <w:p w14:paraId="625C829B">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（6）远端视场：≤770 × 550mm @ 0.8m 。</w:t>
            </w:r>
          </w:p>
          <w:p w14:paraId="605690B5">
            <w:pPr>
              <w:spacing w:line="360" w:lineRule="auto"/>
              <w:rPr>
                <w:rFonts w:ascii="宋体" w:hAnsi="宋体" w:eastAsia="宋体" w:cs="宋体"/>
                <w:b/>
                <w:bCs/>
                <w:color w:val="auto"/>
                <w:kern w:val="0"/>
                <w:sz w:val="24"/>
                <w:szCs w:val="24"/>
                <w:highlight w:val="none"/>
              </w:rPr>
            </w:pPr>
            <w:r>
              <w:rPr>
                <w:rFonts w:hint="eastAsia" w:ascii="宋体" w:hAnsi="宋体" w:eastAsia="宋体" w:cs="宋体"/>
                <w:color w:val="auto"/>
                <w:kern w:val="0"/>
                <w:sz w:val="24"/>
                <w:szCs w:val="24"/>
                <w:highlight w:val="none"/>
              </w:rPr>
              <w:t>■（7）工作距离要求</w:t>
            </w:r>
            <w:r>
              <w:rPr>
                <w:rFonts w:hint="eastAsia" w:ascii="宋体" w:hAnsi="宋体" w:eastAsia="宋体" w:cs="宋体"/>
                <w:color w:val="auto"/>
                <w:kern w:val="0"/>
                <w:sz w:val="24"/>
                <w:szCs w:val="24"/>
                <w:highlight w:val="none"/>
                <w:lang w:val="en-US" w:eastAsia="zh-CN"/>
              </w:rPr>
              <w:t>覆盖</w:t>
            </w:r>
            <w:r>
              <w:rPr>
                <w:rFonts w:hint="eastAsia" w:ascii="宋体" w:hAnsi="宋体" w:eastAsia="宋体" w:cs="宋体"/>
                <w:color w:val="auto"/>
                <w:kern w:val="0"/>
                <w:sz w:val="24"/>
                <w:szCs w:val="24"/>
                <w:highlight w:val="none"/>
              </w:rPr>
              <w:t>400~1000mm 。</w:t>
            </w:r>
            <w:r>
              <w:rPr>
                <w:rFonts w:hint="eastAsia" w:ascii="宋体" w:hAnsi="宋体" w:eastAsia="宋体" w:cs="宋体"/>
                <w:b/>
                <w:bCs/>
                <w:color w:val="auto"/>
                <w:kern w:val="0"/>
                <w:sz w:val="24"/>
                <w:szCs w:val="24"/>
                <w:highlight w:val="none"/>
              </w:rPr>
              <w:t>投标文件中需提供相关证明材料（</w:t>
            </w:r>
            <w:r>
              <w:rPr>
                <w:rFonts w:hint="eastAsia" w:ascii="宋体" w:hAnsi="宋体" w:eastAsia="宋体" w:cs="宋体"/>
                <w:b/>
                <w:bCs/>
                <w:color w:val="auto"/>
                <w:kern w:val="0"/>
                <w:sz w:val="24"/>
                <w:szCs w:val="24"/>
                <w:highlight w:val="none"/>
                <w:lang w:eastAsia="zh-CN"/>
              </w:rPr>
              <w:t>包括但不限于</w:t>
            </w:r>
            <w:r>
              <w:rPr>
                <w:rFonts w:hint="eastAsia" w:ascii="宋体" w:hAnsi="宋体" w:eastAsia="宋体" w:cs="宋体"/>
                <w:b/>
                <w:bCs/>
                <w:color w:val="auto"/>
                <w:kern w:val="0"/>
                <w:sz w:val="24"/>
                <w:szCs w:val="24"/>
                <w:highlight w:val="none"/>
              </w:rPr>
              <w:t>检测报告或功能截图或产品说明书或技术确认函等，</w:t>
            </w:r>
            <w:r>
              <w:rPr>
                <w:rFonts w:hint="eastAsia" w:ascii="宋体" w:hAnsi="宋体" w:eastAsia="宋体" w:cs="宋体"/>
                <w:b/>
                <w:bCs/>
                <w:color w:val="auto"/>
                <w:kern w:val="0"/>
                <w:sz w:val="24"/>
                <w:szCs w:val="24"/>
                <w:highlight w:val="none"/>
                <w:lang w:val="en-US" w:eastAsia="zh-CN"/>
              </w:rPr>
              <w:t>中标</w:t>
            </w:r>
            <w:r>
              <w:rPr>
                <w:rFonts w:hint="eastAsia" w:ascii="宋体" w:hAnsi="宋体" w:eastAsia="宋体" w:cs="宋体"/>
                <w:b/>
                <w:bCs/>
                <w:color w:val="auto"/>
                <w:kern w:val="0"/>
                <w:sz w:val="24"/>
                <w:szCs w:val="24"/>
                <w:highlight w:val="none"/>
              </w:rPr>
              <w:t>后</w:t>
            </w:r>
            <w:r>
              <w:rPr>
                <w:rFonts w:hint="eastAsia" w:ascii="宋体" w:hAnsi="宋体" w:eastAsia="宋体" w:cs="宋体"/>
                <w:b/>
                <w:bCs/>
                <w:color w:val="auto"/>
                <w:kern w:val="0"/>
                <w:sz w:val="24"/>
                <w:szCs w:val="24"/>
                <w:highlight w:val="none"/>
                <w:lang w:eastAsia="zh-CN"/>
              </w:rPr>
              <w:t>采购人</w:t>
            </w:r>
            <w:r>
              <w:rPr>
                <w:rFonts w:hint="eastAsia" w:ascii="宋体" w:hAnsi="宋体" w:eastAsia="宋体" w:cs="宋体"/>
                <w:b/>
                <w:bCs/>
                <w:color w:val="auto"/>
                <w:kern w:val="0"/>
                <w:sz w:val="24"/>
                <w:szCs w:val="24"/>
                <w:highlight w:val="none"/>
              </w:rPr>
              <w:t>有权进行功能检验。）</w:t>
            </w:r>
          </w:p>
          <w:p w14:paraId="36FBD88E">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（8）分辨率：不低于2400 × 1800（根据物距变化）。</w:t>
            </w:r>
          </w:p>
          <w:p w14:paraId="7439F38A">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（9）像素数：至少满足4.3MP。</w:t>
            </w:r>
          </w:p>
          <w:p w14:paraId="10109D08">
            <w:pPr>
              <w:spacing w:line="360" w:lineRule="auto"/>
              <w:rPr>
                <w:rFonts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6.物料存储与上料单元模块</w:t>
            </w:r>
          </w:p>
          <w:p w14:paraId="08EC9EFE">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6.1 物料储存</w:t>
            </w:r>
          </w:p>
          <w:p w14:paraId="465A9941">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（1）不低于双排 6 工位结构化料仓。</w:t>
            </w:r>
          </w:p>
          <w:p w14:paraId="580CB7E8">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（2）检测：光电到位传感器。</w:t>
            </w:r>
          </w:p>
          <w:p w14:paraId="4E032968">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（3）保护：防卡料、物料不足报警。</w:t>
            </w:r>
          </w:p>
          <w:p w14:paraId="035CF71C">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（4）适配：木箱、法兰、曲柄（物料盒）。</w:t>
            </w:r>
          </w:p>
          <w:p w14:paraId="1947E831">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（5）外形尺寸≥300mm×150mm×160mm（合同签订后进场前按需调整）。</w:t>
            </w:r>
          </w:p>
          <w:p w14:paraId="2D445745">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6.2 上料单元</w:t>
            </w:r>
          </w:p>
          <w:p w14:paraId="704A6F33">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（1）检测：光电到位传感器。</w:t>
            </w:r>
          </w:p>
          <w:p w14:paraId="5769E2A4">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（2）保护：防卡料、物料不足报警。</w:t>
            </w:r>
          </w:p>
          <w:p w14:paraId="52560D9F">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（3）适配：木箱、法兰、曲柄。</w:t>
            </w:r>
          </w:p>
          <w:p w14:paraId="12ABAE28">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（4）外形尺寸≥160mm×10</w:t>
            </w:r>
            <w:r>
              <w:rPr>
                <w:rFonts w:hint="eastAsia" w:ascii="宋体" w:hAnsi="宋体" w:eastAsia="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mm×16</w:t>
            </w:r>
            <w:r>
              <w:rPr>
                <w:rFonts w:hint="eastAsia" w:ascii="宋体" w:hAnsi="宋体" w:eastAsia="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mm（合同签订后进场前按需调整）。</w:t>
            </w:r>
          </w:p>
          <w:p w14:paraId="491975E4">
            <w:pPr>
              <w:spacing w:line="360" w:lineRule="auto"/>
              <w:rPr>
                <w:rFonts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7.尺寸、缺陷检测模块</w:t>
            </w:r>
          </w:p>
          <w:p w14:paraId="5F56753B">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（1）平台：检测基准平台。</w:t>
            </w:r>
          </w:p>
          <w:p w14:paraId="4882494A">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（2）夹具：可调节快速定位工装。</w:t>
            </w:r>
          </w:p>
          <w:p w14:paraId="500DD4A3">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（3）2D检测内容：法兰尺寸（外径、内径、孔距、厚度）、曲柄缺陷（划痕、变形、缺料、毛刺）。</w:t>
            </w:r>
          </w:p>
          <w:p w14:paraId="6C27301C">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（4）判定：OK/NG 自动输出、分类分拣。</w:t>
            </w:r>
          </w:p>
          <w:p w14:paraId="54C4C935">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（5）托盘：标准工业托盘。</w:t>
            </w:r>
          </w:p>
          <w:p w14:paraId="4234C388">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（6）结构尺寸：整体外形尺寸≥300mm×150mm×16</w:t>
            </w:r>
            <w:r>
              <w:rPr>
                <w:rFonts w:ascii="宋体" w:hAnsi="宋体" w:eastAsia="宋体" w:cs="宋体"/>
                <w:color w:val="auto"/>
                <w:kern w:val="0"/>
                <w:sz w:val="24"/>
                <w:szCs w:val="24"/>
                <w:highlight w:val="none"/>
              </w:rPr>
              <w:t>0</w:t>
            </w:r>
            <w:r>
              <w:rPr>
                <w:rFonts w:hint="eastAsia" w:ascii="宋体" w:hAnsi="宋体" w:eastAsia="宋体" w:cs="宋体"/>
                <w:color w:val="auto"/>
                <w:kern w:val="0"/>
                <w:sz w:val="24"/>
                <w:szCs w:val="24"/>
                <w:highlight w:val="none"/>
              </w:rPr>
              <w:t>mm（合同签订后进场前按需调整）。</w:t>
            </w:r>
          </w:p>
          <w:p w14:paraId="457B6E57">
            <w:pPr>
              <w:spacing w:line="360" w:lineRule="auto"/>
              <w:rPr>
                <w:rFonts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8.智能码垛、扫码、搬运模块</w:t>
            </w:r>
          </w:p>
          <w:p w14:paraId="113AE452">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8.1 码垛工位</w:t>
            </w:r>
          </w:p>
          <w:p w14:paraId="4516F752">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（1）平台：检测基准平台。</w:t>
            </w:r>
          </w:p>
          <w:p w14:paraId="017C5980">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（2）垛型：至少包含顺向垛、五花垛、十字垛。</w:t>
            </w:r>
          </w:p>
          <w:p w14:paraId="21233071">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（3）定位：3D 视觉引导、托盘定位、层数检测。</w:t>
            </w:r>
          </w:p>
          <w:p w14:paraId="4309ADB2">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（4）功能：自动码垛、拆垛、路径规划、计数统计。</w:t>
            </w:r>
          </w:p>
          <w:p w14:paraId="2A011372">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（5）结构尺寸：整体外形尺寸≥300mm×150mm×160mm（合同签订后进场前按需调整）。</w:t>
            </w:r>
          </w:p>
          <w:p w14:paraId="521C9913">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8.2 搬运</w:t>
            </w:r>
          </w:p>
          <w:p w14:paraId="1ACB7ACC">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（1）外形尺寸：≥600mm×240mm×150mm（合同签订后进场前按需调整）。</w:t>
            </w:r>
          </w:p>
          <w:p w14:paraId="3E2F662C">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（2）核心组成：至少包含同步轮、同步带、平皮带、调速电机。</w:t>
            </w:r>
          </w:p>
          <w:p w14:paraId="25722D53">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（3）主要材质：铝合金表面喷砂氧化。</w:t>
            </w:r>
          </w:p>
          <w:p w14:paraId="204A9132">
            <w:pPr>
              <w:spacing w:line="360" w:lineRule="auto"/>
              <w:rPr>
                <w:rFonts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9.工控终端模块</w:t>
            </w:r>
          </w:p>
          <w:p w14:paraId="22F78421">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（1）内存：≥16GB DDR4。</w:t>
            </w:r>
          </w:p>
          <w:p w14:paraId="16E7A6C5">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（2）硬盘：≥</w:t>
            </w:r>
            <w:r>
              <w:rPr>
                <w:rFonts w:ascii="宋体" w:hAnsi="宋体" w:eastAsia="宋体" w:cs="宋体"/>
                <w:color w:val="auto"/>
                <w:kern w:val="0"/>
                <w:sz w:val="24"/>
                <w:szCs w:val="24"/>
                <w:highlight w:val="none"/>
              </w:rPr>
              <w:t>500GB</w:t>
            </w:r>
            <w:r>
              <w:rPr>
                <w:rFonts w:hint="eastAsia" w:ascii="宋体" w:hAnsi="宋体" w:eastAsia="宋体" w:cs="宋体"/>
                <w:color w:val="auto"/>
                <w:kern w:val="0"/>
                <w:sz w:val="24"/>
                <w:szCs w:val="24"/>
                <w:highlight w:val="none"/>
              </w:rPr>
              <w:t xml:space="preserve"> SSD。</w:t>
            </w:r>
          </w:p>
          <w:p w14:paraId="4F5489D9">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（3）显卡：≥8GB，独显。</w:t>
            </w:r>
          </w:p>
          <w:p w14:paraId="5BF25051">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（4）显示器：≥27英寸。</w:t>
            </w:r>
          </w:p>
          <w:p w14:paraId="6D89D5C1">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ascii="宋体" w:hAnsi="宋体" w:eastAsia="宋体" w:cs="宋体"/>
                <w:color w:val="auto"/>
                <w:kern w:val="0"/>
                <w:sz w:val="24"/>
                <w:szCs w:val="24"/>
                <w:highlight w:val="none"/>
              </w:rPr>
              <w:t>5</w:t>
            </w:r>
            <w:r>
              <w:rPr>
                <w:rFonts w:hint="eastAsia" w:ascii="宋体" w:hAnsi="宋体" w:eastAsia="宋体" w:cs="宋体"/>
                <w:color w:val="auto"/>
                <w:kern w:val="0"/>
                <w:sz w:val="24"/>
                <w:szCs w:val="24"/>
                <w:highlight w:val="none"/>
              </w:rPr>
              <w:t>）C</w:t>
            </w:r>
            <w:r>
              <w:rPr>
                <w:rFonts w:ascii="宋体" w:hAnsi="宋体" w:eastAsia="宋体" w:cs="宋体"/>
                <w:color w:val="auto"/>
                <w:kern w:val="0"/>
                <w:sz w:val="24"/>
                <w:szCs w:val="24"/>
                <w:highlight w:val="none"/>
              </w:rPr>
              <w:t>PU:</w:t>
            </w:r>
            <w:r>
              <w:rPr>
                <w:rFonts w:hint="eastAsia" w:ascii="宋体" w:hAnsi="宋体" w:eastAsia="宋体" w:cs="宋体"/>
                <w:color w:val="auto"/>
                <w:kern w:val="0"/>
                <w:sz w:val="24"/>
                <w:szCs w:val="24"/>
                <w:highlight w:val="none"/>
              </w:rPr>
              <w:t xml:space="preserve"> 12 核 20 线程或以上</w:t>
            </w:r>
          </w:p>
          <w:p w14:paraId="4D2919A2">
            <w:pPr>
              <w:spacing w:line="360" w:lineRule="auto"/>
              <w:rPr>
                <w:rFonts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10.工具快换单元模块</w:t>
            </w:r>
          </w:p>
          <w:p w14:paraId="052D3545">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（1）集成工具：要求包含一体化集成物料盒夹爪工具、曲柄夹爪工具、法兰吸盘工具、木箱吸盘工具。</w:t>
            </w:r>
          </w:p>
          <w:p w14:paraId="5DBAB649">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（2）结构尺寸：整体外形尺寸≥250mm×320mm×180mm（合同签订后进场前按需调整）。</w:t>
            </w:r>
          </w:p>
          <w:p w14:paraId="39C75DE6">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（3）切换性能：要求具备一键快速切换功能，切换响应迅速。</w:t>
            </w:r>
          </w:p>
          <w:p w14:paraId="2752C590">
            <w:pPr>
              <w:spacing w:line="360" w:lineRule="auto"/>
              <w:rPr>
                <w:rFonts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11. 虚拟仿真实训教学系统（1</w:t>
            </w:r>
            <w:r>
              <w:rPr>
                <w:rFonts w:ascii="宋体" w:hAnsi="宋体" w:eastAsia="宋体" w:cs="宋体"/>
                <w:b/>
                <w:bCs/>
                <w:color w:val="auto"/>
                <w:kern w:val="0"/>
                <w:sz w:val="24"/>
                <w:szCs w:val="24"/>
                <w:highlight w:val="none"/>
              </w:rPr>
              <w:t>5</w:t>
            </w:r>
            <w:r>
              <w:rPr>
                <w:rFonts w:hint="eastAsia" w:ascii="宋体" w:hAnsi="宋体" w:eastAsia="宋体" w:cs="宋体"/>
                <w:b/>
                <w:bCs/>
                <w:color w:val="auto"/>
                <w:kern w:val="0"/>
                <w:sz w:val="24"/>
                <w:szCs w:val="24"/>
                <w:highlight w:val="none"/>
              </w:rPr>
              <w:t>节点）</w:t>
            </w:r>
          </w:p>
          <w:p w14:paraId="0B26B1B6">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11.1 3D模型操作</w:t>
            </w:r>
          </w:p>
          <w:p w14:paraId="43D4997C">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要求提供一套PLC控制对象模型帮助学生深入理解工业自动化控制系统中常用的设备和技术原理，初始模型的设备组件至少包含：控制系统单元（CPU功能模块、IO功能模块、EtherCAT通信功能模块、EtherNet/IP通信功能模块）、RS485通信板、模拟量通信板、触摸屏、伺服驱动器、伺服电机模块、变频器、三相异步电机、温湿度传感器、RFID读卡器、物联网关、工业交换机、网孔板仿真墙、双轴直线模组和三相异步电机直线模组。</w:t>
            </w:r>
            <w:r>
              <w:rPr>
                <w:rFonts w:hint="eastAsia" w:ascii="宋体" w:hAnsi="宋体" w:eastAsia="宋体" w:cs="宋体"/>
                <w:b/>
                <w:bCs/>
                <w:color w:val="auto"/>
                <w:kern w:val="0"/>
                <w:sz w:val="24"/>
                <w:szCs w:val="24"/>
                <w:highlight w:val="none"/>
              </w:rPr>
              <w:t>投标文件中需提供相关证明材料（</w:t>
            </w:r>
            <w:r>
              <w:rPr>
                <w:rFonts w:hint="eastAsia" w:ascii="宋体" w:hAnsi="宋体" w:eastAsia="宋体" w:cs="宋体"/>
                <w:b/>
                <w:bCs/>
                <w:color w:val="auto"/>
                <w:kern w:val="0"/>
                <w:sz w:val="24"/>
                <w:szCs w:val="24"/>
                <w:highlight w:val="none"/>
                <w:lang w:eastAsia="zh-CN"/>
              </w:rPr>
              <w:t>包括但不限于</w:t>
            </w:r>
            <w:r>
              <w:rPr>
                <w:rFonts w:hint="eastAsia" w:ascii="宋体" w:hAnsi="宋体" w:eastAsia="宋体" w:cs="宋体"/>
                <w:b/>
                <w:bCs/>
                <w:color w:val="auto"/>
                <w:kern w:val="0"/>
                <w:sz w:val="24"/>
                <w:szCs w:val="24"/>
                <w:highlight w:val="none"/>
              </w:rPr>
              <w:t>检测报告或功能截图或产品说明书或技术确认函等，</w:t>
            </w:r>
            <w:r>
              <w:rPr>
                <w:rFonts w:hint="eastAsia" w:ascii="宋体" w:hAnsi="宋体" w:eastAsia="宋体" w:cs="宋体"/>
                <w:b/>
                <w:bCs/>
                <w:color w:val="auto"/>
                <w:kern w:val="0"/>
                <w:sz w:val="24"/>
                <w:szCs w:val="24"/>
                <w:highlight w:val="none"/>
                <w:lang w:val="en-US" w:eastAsia="zh-CN"/>
              </w:rPr>
              <w:t>中标</w:t>
            </w:r>
            <w:r>
              <w:rPr>
                <w:rFonts w:hint="eastAsia" w:ascii="宋体" w:hAnsi="宋体" w:eastAsia="宋体" w:cs="宋体"/>
                <w:b/>
                <w:bCs/>
                <w:color w:val="auto"/>
                <w:kern w:val="0"/>
                <w:sz w:val="24"/>
                <w:szCs w:val="24"/>
                <w:highlight w:val="none"/>
              </w:rPr>
              <w:t>后</w:t>
            </w:r>
            <w:r>
              <w:rPr>
                <w:rFonts w:hint="eastAsia" w:ascii="宋体" w:hAnsi="宋体" w:eastAsia="宋体" w:cs="宋体"/>
                <w:b/>
                <w:bCs/>
                <w:color w:val="auto"/>
                <w:kern w:val="0"/>
                <w:sz w:val="24"/>
                <w:szCs w:val="24"/>
                <w:highlight w:val="none"/>
                <w:lang w:eastAsia="zh-CN"/>
              </w:rPr>
              <w:t>采购人</w:t>
            </w:r>
            <w:r>
              <w:rPr>
                <w:rFonts w:hint="eastAsia" w:ascii="宋体" w:hAnsi="宋体" w:eastAsia="宋体" w:cs="宋体"/>
                <w:b/>
                <w:bCs/>
                <w:color w:val="auto"/>
                <w:kern w:val="0"/>
                <w:sz w:val="24"/>
                <w:szCs w:val="24"/>
                <w:highlight w:val="none"/>
              </w:rPr>
              <w:t>有权进行功能检验。）</w:t>
            </w:r>
          </w:p>
          <w:p w14:paraId="0BBB1771">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（2）支持模型3D视角旋转、比例缩放等操作。</w:t>
            </w:r>
          </w:p>
          <w:p w14:paraId="18466571">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（3）支持自主对模型添加各种组件，如刚体（用于物理模拟）、碰撞器、脚本等。</w:t>
            </w:r>
          </w:p>
          <w:p w14:paraId="48D9BBFA">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（4）支持3D模型进行智能制造综合实训资源管理标识。</w:t>
            </w:r>
          </w:p>
          <w:p w14:paraId="01CC81EA">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11.2虚拟场景切换</w:t>
            </w:r>
          </w:p>
          <w:p w14:paraId="5CB8173B">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（1）支持真实工业实际应用场景呈现。</w:t>
            </w:r>
          </w:p>
          <w:p w14:paraId="5A17E651">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■（2）要求提供不少于3个默认虚拟场景，可以在不同虚拟场景中进行切换。</w:t>
            </w:r>
            <w:r>
              <w:rPr>
                <w:rFonts w:hint="eastAsia" w:ascii="宋体" w:hAnsi="宋体" w:eastAsia="宋体" w:cs="宋体"/>
                <w:b/>
                <w:bCs/>
                <w:color w:val="auto"/>
                <w:kern w:val="0"/>
                <w:sz w:val="24"/>
                <w:szCs w:val="24"/>
                <w:highlight w:val="none"/>
              </w:rPr>
              <w:t>投标文件中需提供相关证明材料（包括但不限于检测报告或功能截图或产品说明书或技术确认函等，</w:t>
            </w:r>
            <w:r>
              <w:rPr>
                <w:rFonts w:hint="eastAsia" w:ascii="宋体" w:hAnsi="宋体" w:eastAsia="宋体" w:cs="宋体"/>
                <w:b/>
                <w:bCs/>
                <w:color w:val="auto"/>
                <w:kern w:val="0"/>
                <w:sz w:val="24"/>
                <w:szCs w:val="24"/>
                <w:highlight w:val="none"/>
                <w:lang w:val="en-US" w:eastAsia="zh-CN"/>
              </w:rPr>
              <w:t>中标</w:t>
            </w:r>
            <w:r>
              <w:rPr>
                <w:rFonts w:hint="eastAsia" w:ascii="宋体" w:hAnsi="宋体" w:eastAsia="宋体" w:cs="宋体"/>
                <w:b/>
                <w:bCs/>
                <w:color w:val="auto"/>
                <w:kern w:val="0"/>
                <w:sz w:val="24"/>
                <w:szCs w:val="24"/>
                <w:highlight w:val="none"/>
              </w:rPr>
              <w:t>后</w:t>
            </w:r>
            <w:r>
              <w:rPr>
                <w:rFonts w:hint="eastAsia" w:ascii="宋体" w:hAnsi="宋体" w:eastAsia="宋体" w:cs="宋体"/>
                <w:b/>
                <w:bCs/>
                <w:color w:val="auto"/>
                <w:kern w:val="0"/>
                <w:sz w:val="24"/>
                <w:szCs w:val="24"/>
                <w:highlight w:val="none"/>
                <w:lang w:eastAsia="zh-CN"/>
              </w:rPr>
              <w:t>采购人</w:t>
            </w:r>
            <w:r>
              <w:rPr>
                <w:rFonts w:hint="eastAsia" w:ascii="宋体" w:hAnsi="宋体" w:eastAsia="宋体" w:cs="宋体"/>
                <w:b/>
                <w:bCs/>
                <w:color w:val="auto"/>
                <w:kern w:val="0"/>
                <w:sz w:val="24"/>
                <w:szCs w:val="24"/>
                <w:highlight w:val="none"/>
              </w:rPr>
              <w:t>有权进行功能检验。）</w:t>
            </w:r>
          </w:p>
          <w:p w14:paraId="37A91EC2">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（3）支持虚拟场景的定制加载。</w:t>
            </w:r>
          </w:p>
          <w:p w14:paraId="02C7889F">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11.3虚实数据交互</w:t>
            </w:r>
          </w:p>
          <w:p w14:paraId="0C376869">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（1）支持场景化模型与实体PLC部件的数据实时交互，使得模型可以实时接收所编写的程序指令。</w:t>
            </w:r>
          </w:p>
          <w:p w14:paraId="2872EAF7">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（2）支持根据指令进行模型各部件驱动，在虚拟环境中感受到设备的运动、工作特性、传感器数据以及设备机构运动的实时变化、实际的数据监测与运行分析过程等。</w:t>
            </w:r>
          </w:p>
          <w:p w14:paraId="19E9A7A0">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（3）支持实验数据日志的生成和导出。</w:t>
            </w:r>
          </w:p>
          <w:p w14:paraId="349BE103">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（4）支持实验数据被数据采集工具软件获取。</w:t>
            </w:r>
          </w:p>
          <w:p w14:paraId="78F56DDE">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11.4仿真程序验证</w:t>
            </w:r>
          </w:p>
          <w:p w14:paraId="120AE9CC">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（1）支持编写程序来仿真驱动模型设备。</w:t>
            </w:r>
          </w:p>
          <w:p w14:paraId="2D14D27C">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（2）要求支持通过观察设备的运动结果，验证程序编写的正确性。</w:t>
            </w:r>
          </w:p>
          <w:p w14:paraId="39DEDBB4">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（3）要求验证反应时间不大于5秒。</w:t>
            </w:r>
          </w:p>
          <w:p w14:paraId="5D8EDCDA">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11.5手动控制验证</w:t>
            </w:r>
          </w:p>
          <w:p w14:paraId="30175C4D">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（1）支持在虚拟场景中，通过操作虚拟触控屏进行设备运行状态监控及手动控制，通过设备运行结果，验证对应功能的正确性。</w:t>
            </w:r>
          </w:p>
          <w:p w14:paraId="7188B0EC">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（2）支持手动单点式控制设备运行，至少包括：直接控制传感器或执行器的工作情况，通过拖动操作移动工件的位置，自由移动摄像头或锁定追踪指定工作部件以进行比较验证。</w:t>
            </w:r>
          </w:p>
          <w:p w14:paraId="7A05B282">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11.6支撑实验实训</w:t>
            </w:r>
          </w:p>
          <w:p w14:paraId="04D8BC03">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支持不少于以下PLC典型实验项目，包括但不仅限于：初始环境搭建实验、模型信号与动作映射表实验、变频器滑台手动正反转实验、变频器滑台循环内正反转实验、变频器滑台暂停再启动实验、变频器滑台运行速度改变实验、变频器滑台运行状态指示灯实验、交通信号灯实验、伺服电机使能与运动控制实验、伺服的回零定位与速度控制实验、RFID读卡实验、HMI仿真操作、界面设计实验和HMI仿真、信号通信实验。</w:t>
            </w:r>
            <w:r>
              <w:rPr>
                <w:rFonts w:hint="eastAsia" w:ascii="宋体" w:hAnsi="宋体" w:eastAsia="宋体" w:cs="宋体"/>
                <w:b/>
                <w:bCs/>
                <w:color w:val="auto"/>
                <w:kern w:val="0"/>
                <w:sz w:val="24"/>
                <w:szCs w:val="24"/>
                <w:highlight w:val="none"/>
              </w:rPr>
              <w:t>投标文件中需提供相关证明材料（包括但不限于检测报告或功能截图或产品说明书或技术确认函等，</w:t>
            </w:r>
            <w:r>
              <w:rPr>
                <w:rFonts w:hint="eastAsia" w:ascii="宋体" w:hAnsi="宋体" w:eastAsia="宋体" w:cs="宋体"/>
                <w:b/>
                <w:bCs/>
                <w:color w:val="auto"/>
                <w:kern w:val="0"/>
                <w:sz w:val="24"/>
                <w:szCs w:val="24"/>
                <w:highlight w:val="none"/>
                <w:lang w:val="en-US" w:eastAsia="zh-CN"/>
              </w:rPr>
              <w:t>中标</w:t>
            </w:r>
            <w:r>
              <w:rPr>
                <w:rFonts w:hint="eastAsia" w:ascii="宋体" w:hAnsi="宋体" w:eastAsia="宋体" w:cs="宋体"/>
                <w:b/>
                <w:bCs/>
                <w:color w:val="auto"/>
                <w:kern w:val="0"/>
                <w:sz w:val="24"/>
                <w:szCs w:val="24"/>
                <w:highlight w:val="none"/>
              </w:rPr>
              <w:t>后</w:t>
            </w:r>
            <w:r>
              <w:rPr>
                <w:rFonts w:hint="eastAsia" w:ascii="宋体" w:hAnsi="宋体" w:eastAsia="宋体" w:cs="宋体"/>
                <w:b/>
                <w:bCs/>
                <w:color w:val="auto"/>
                <w:kern w:val="0"/>
                <w:sz w:val="24"/>
                <w:szCs w:val="24"/>
                <w:highlight w:val="none"/>
                <w:lang w:eastAsia="zh-CN"/>
              </w:rPr>
              <w:t>采购人</w:t>
            </w:r>
            <w:r>
              <w:rPr>
                <w:rFonts w:hint="eastAsia" w:ascii="宋体" w:hAnsi="宋体" w:eastAsia="宋体" w:cs="宋体"/>
                <w:b/>
                <w:bCs/>
                <w:color w:val="auto"/>
                <w:kern w:val="0"/>
                <w:sz w:val="24"/>
                <w:szCs w:val="24"/>
                <w:highlight w:val="none"/>
              </w:rPr>
              <w:t>有权进行功能检验。）</w:t>
            </w:r>
          </w:p>
          <w:p w14:paraId="64FFB64A">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（2）实验项目的自主选择和切换。</w:t>
            </w:r>
          </w:p>
          <w:p w14:paraId="42F94F2D">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11.7二次应用开发</w:t>
            </w:r>
          </w:p>
          <w:p w14:paraId="36F755A8">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（1）内置通用的虚实交互通信基础组件。</w:t>
            </w:r>
          </w:p>
          <w:p w14:paraId="124144BE">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（2）支持在初始模型的基础上，进行自主构建自定义设备模型，开展二次开发应用。</w:t>
            </w:r>
          </w:p>
          <w:p w14:paraId="025D4587">
            <w:pPr>
              <w:spacing w:line="360" w:lineRule="auto"/>
              <w:rPr>
                <w:rFonts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12.工业机器人认知虚拟仿真系统（1</w:t>
            </w:r>
            <w:r>
              <w:rPr>
                <w:rFonts w:ascii="宋体" w:hAnsi="宋体" w:eastAsia="宋体" w:cs="宋体"/>
                <w:b/>
                <w:bCs/>
                <w:color w:val="auto"/>
                <w:kern w:val="0"/>
                <w:sz w:val="24"/>
                <w:szCs w:val="24"/>
                <w:highlight w:val="none"/>
              </w:rPr>
              <w:t>5</w:t>
            </w:r>
            <w:r>
              <w:rPr>
                <w:rFonts w:hint="eastAsia" w:ascii="宋体" w:hAnsi="宋体" w:eastAsia="宋体" w:cs="宋体"/>
                <w:b/>
                <w:bCs/>
                <w:color w:val="auto"/>
                <w:kern w:val="0"/>
                <w:sz w:val="24"/>
                <w:szCs w:val="24"/>
                <w:highlight w:val="none"/>
              </w:rPr>
              <w:t>节点）</w:t>
            </w:r>
          </w:p>
          <w:p w14:paraId="56A3A326">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（1）在虚拟仿真环境中，拖动鼠标可完成工业机器人本体核心零部件的三维模型进行操作，支持模型的缩放、视角旋转、视角平移、显示和隐藏等功能；</w:t>
            </w:r>
          </w:p>
          <w:p w14:paraId="71EC9294">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（2）系统支持三维模型的标注设置，至少要具有文字批注、</w:t>
            </w:r>
            <w:r>
              <w:rPr>
                <w:rFonts w:ascii="宋体" w:hAnsi="宋体" w:eastAsia="宋体" w:cs="宋体"/>
                <w:color w:val="auto"/>
                <w:kern w:val="0"/>
                <w:sz w:val="24"/>
                <w:szCs w:val="24"/>
                <w:highlight w:val="none"/>
              </w:rPr>
              <w:t xml:space="preserve"> 3D 批注、绘图批注等</w:t>
            </w:r>
            <w:r>
              <w:rPr>
                <w:rFonts w:hint="eastAsia" w:ascii="宋体" w:hAnsi="宋体" w:eastAsia="宋体" w:cs="宋体"/>
                <w:color w:val="auto"/>
                <w:kern w:val="0"/>
                <w:sz w:val="24"/>
                <w:szCs w:val="24"/>
                <w:highlight w:val="none"/>
              </w:rPr>
              <w:t>批注功能。</w:t>
            </w:r>
          </w:p>
          <w:p w14:paraId="2FC7623F">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■（3）系统提供对三维模型的测量功能，支持边长、面到面角度、面到面距离、点到点距离、三维尺寸等多种测量方式。</w:t>
            </w:r>
            <w:r>
              <w:rPr>
                <w:rFonts w:hint="eastAsia" w:ascii="宋体" w:hAnsi="宋体" w:eastAsia="宋体" w:cs="宋体"/>
                <w:b/>
                <w:bCs/>
                <w:color w:val="auto"/>
                <w:kern w:val="0"/>
                <w:sz w:val="24"/>
                <w:szCs w:val="24"/>
                <w:highlight w:val="none"/>
              </w:rPr>
              <w:t>投标文件中需提供相关证明材料（包括但不限于检测报告或功能截图或产品说明书或技术确认函等，</w:t>
            </w:r>
            <w:r>
              <w:rPr>
                <w:rFonts w:hint="eastAsia" w:ascii="宋体" w:hAnsi="宋体" w:eastAsia="宋体" w:cs="宋体"/>
                <w:b/>
                <w:bCs/>
                <w:color w:val="auto"/>
                <w:kern w:val="0"/>
                <w:sz w:val="24"/>
                <w:szCs w:val="24"/>
                <w:highlight w:val="none"/>
                <w:lang w:val="en-US" w:eastAsia="zh-CN"/>
              </w:rPr>
              <w:t>中标</w:t>
            </w:r>
            <w:r>
              <w:rPr>
                <w:rFonts w:hint="eastAsia" w:ascii="宋体" w:hAnsi="宋体" w:eastAsia="宋体" w:cs="宋体"/>
                <w:b/>
                <w:bCs/>
                <w:color w:val="auto"/>
                <w:kern w:val="0"/>
                <w:sz w:val="24"/>
                <w:szCs w:val="24"/>
                <w:highlight w:val="none"/>
              </w:rPr>
              <w:t>后</w:t>
            </w:r>
            <w:r>
              <w:rPr>
                <w:rFonts w:hint="eastAsia" w:ascii="宋体" w:hAnsi="宋体" w:eastAsia="宋体" w:cs="宋体"/>
                <w:b/>
                <w:bCs/>
                <w:color w:val="auto"/>
                <w:kern w:val="0"/>
                <w:sz w:val="24"/>
                <w:szCs w:val="24"/>
                <w:highlight w:val="none"/>
                <w:lang w:eastAsia="zh-CN"/>
              </w:rPr>
              <w:t>采购人</w:t>
            </w:r>
            <w:r>
              <w:rPr>
                <w:rFonts w:hint="eastAsia" w:ascii="宋体" w:hAnsi="宋体" w:eastAsia="宋体" w:cs="宋体"/>
                <w:b/>
                <w:bCs/>
                <w:color w:val="auto"/>
                <w:kern w:val="0"/>
                <w:sz w:val="24"/>
                <w:szCs w:val="24"/>
                <w:highlight w:val="none"/>
              </w:rPr>
              <w:t>有权进行功能检验。）</w:t>
            </w:r>
          </w:p>
          <w:p w14:paraId="09DD18B9">
            <w:pPr>
              <w:spacing w:line="360" w:lineRule="auto"/>
              <w:rPr>
                <w:rFonts w:ascii="宋体" w:hAnsi="宋体" w:eastAsia="宋体" w:cs="宋体"/>
                <w:b/>
                <w:bCs/>
                <w:color w:val="auto"/>
                <w:kern w:val="0"/>
                <w:sz w:val="24"/>
                <w:szCs w:val="24"/>
                <w:highlight w:val="none"/>
              </w:rPr>
            </w:pPr>
            <w:r>
              <w:rPr>
                <w:rFonts w:hint="eastAsia" w:ascii="宋体" w:hAnsi="宋体" w:eastAsia="宋体" w:cs="宋体"/>
                <w:color w:val="auto"/>
                <w:kern w:val="0"/>
                <w:sz w:val="24"/>
                <w:szCs w:val="24"/>
                <w:highlight w:val="none"/>
              </w:rPr>
              <w:t>■（4）系统支持工业机器人本体核心零部件三维模型爆炸图来演示产品原理。通过两个视图的配合，系统将展现产品爆炸的动画效果。</w:t>
            </w:r>
            <w:r>
              <w:rPr>
                <w:rFonts w:hint="eastAsia" w:ascii="宋体" w:hAnsi="宋体" w:eastAsia="宋体" w:cs="宋体"/>
                <w:b/>
                <w:bCs/>
                <w:color w:val="auto"/>
                <w:kern w:val="0"/>
                <w:sz w:val="24"/>
                <w:szCs w:val="24"/>
                <w:highlight w:val="none"/>
              </w:rPr>
              <w:t>投标文件中需提供相关证明材料（包括但不限于检测报告或功能截图或产品说明书或技术确认函等，</w:t>
            </w:r>
            <w:r>
              <w:rPr>
                <w:rFonts w:hint="eastAsia" w:ascii="宋体" w:hAnsi="宋体" w:eastAsia="宋体" w:cs="宋体"/>
                <w:b/>
                <w:bCs/>
                <w:color w:val="auto"/>
                <w:kern w:val="0"/>
                <w:sz w:val="24"/>
                <w:szCs w:val="24"/>
                <w:highlight w:val="none"/>
                <w:lang w:val="en-US" w:eastAsia="zh-CN"/>
              </w:rPr>
              <w:t>中标</w:t>
            </w:r>
            <w:r>
              <w:rPr>
                <w:rFonts w:hint="eastAsia" w:ascii="宋体" w:hAnsi="宋体" w:eastAsia="宋体" w:cs="宋体"/>
                <w:b/>
                <w:bCs/>
                <w:color w:val="auto"/>
                <w:kern w:val="0"/>
                <w:sz w:val="24"/>
                <w:szCs w:val="24"/>
                <w:highlight w:val="none"/>
              </w:rPr>
              <w:t>后</w:t>
            </w:r>
            <w:r>
              <w:rPr>
                <w:rFonts w:hint="eastAsia" w:ascii="宋体" w:hAnsi="宋体" w:eastAsia="宋体" w:cs="宋体"/>
                <w:b/>
                <w:bCs/>
                <w:color w:val="auto"/>
                <w:kern w:val="0"/>
                <w:sz w:val="24"/>
                <w:szCs w:val="24"/>
                <w:highlight w:val="none"/>
                <w:lang w:eastAsia="zh-CN"/>
              </w:rPr>
              <w:t>采购人</w:t>
            </w:r>
            <w:r>
              <w:rPr>
                <w:rFonts w:hint="eastAsia" w:ascii="宋体" w:hAnsi="宋体" w:eastAsia="宋体" w:cs="宋体"/>
                <w:b/>
                <w:bCs/>
                <w:color w:val="auto"/>
                <w:kern w:val="0"/>
                <w:sz w:val="24"/>
                <w:szCs w:val="24"/>
                <w:highlight w:val="none"/>
              </w:rPr>
              <w:t>有权进行功能检验。）</w:t>
            </w:r>
          </w:p>
          <w:p w14:paraId="32D22430">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（5）系统支持工业机器人本体拆装工艺操作指示动画,包括安装步骤指示、拆卸步骤指示。</w:t>
            </w:r>
          </w:p>
          <w:p w14:paraId="0F1DD5D1">
            <w:pPr>
              <w:spacing w:line="360" w:lineRule="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★（6）以上12.工业机器人认知虚拟仿真系统（15节点）</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1）-（5）项</w:t>
            </w:r>
            <w:r>
              <w:rPr>
                <w:rFonts w:hint="eastAsia" w:ascii="宋体" w:hAnsi="宋体" w:eastAsia="宋体" w:cs="宋体"/>
                <w:color w:val="auto"/>
                <w:kern w:val="0"/>
                <w:sz w:val="24"/>
                <w:szCs w:val="24"/>
                <w:highlight w:val="none"/>
              </w:rPr>
              <w:t>所有子功能均在一个系统中实现，一次性安装完成，不需要使用其他系统来完成以上功能。</w:t>
            </w:r>
          </w:p>
          <w:p w14:paraId="4657C4BF">
            <w:pPr>
              <w:spacing w:line="360" w:lineRule="auto"/>
              <w:rPr>
                <w:rFonts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13.智能制造元宇宙场景搭建系统（1</w:t>
            </w:r>
            <w:r>
              <w:rPr>
                <w:rFonts w:ascii="宋体" w:hAnsi="宋体" w:eastAsia="宋体" w:cs="宋体"/>
                <w:b/>
                <w:bCs/>
                <w:color w:val="auto"/>
                <w:kern w:val="0"/>
                <w:sz w:val="24"/>
                <w:szCs w:val="24"/>
                <w:highlight w:val="none"/>
              </w:rPr>
              <w:t>5</w:t>
            </w:r>
            <w:r>
              <w:rPr>
                <w:rFonts w:hint="eastAsia" w:ascii="宋体" w:hAnsi="宋体" w:eastAsia="宋体" w:cs="宋体"/>
                <w:b/>
                <w:bCs/>
                <w:color w:val="auto"/>
                <w:kern w:val="0"/>
                <w:sz w:val="24"/>
                <w:szCs w:val="24"/>
                <w:highlight w:val="none"/>
              </w:rPr>
              <w:t>节点）</w:t>
            </w:r>
          </w:p>
          <w:p w14:paraId="4FA2910A">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13.1自定义拖动式元宇宙场景搭建及仿真系统</w:t>
            </w:r>
          </w:p>
          <w:p w14:paraId="350261C5">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（1）要求系统支持选择不同功能和目的的模型从实体模型目录中拖拽到场景中。</w:t>
            </w:r>
          </w:p>
          <w:p w14:paraId="52724B6F">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■（2）动态货架创建：支持从实体模型库目录中选择动态货架模型摆放在场景中；点击需要调整的动态货架，打开属性窗口，修改和设置货架用于仿真计算的容量参数。</w:t>
            </w:r>
            <w:r>
              <w:rPr>
                <w:rFonts w:hint="eastAsia" w:ascii="宋体" w:hAnsi="宋体" w:eastAsia="宋体" w:cs="宋体"/>
                <w:b/>
                <w:bCs/>
                <w:color w:val="auto"/>
                <w:kern w:val="0"/>
                <w:sz w:val="24"/>
                <w:szCs w:val="24"/>
                <w:highlight w:val="none"/>
              </w:rPr>
              <w:t>投标文件中需提供相关证明材料（包括但不限于检测报告或功能截图或产品说明书或技术确认函等，</w:t>
            </w:r>
            <w:r>
              <w:rPr>
                <w:rFonts w:hint="eastAsia" w:ascii="宋体" w:hAnsi="宋体" w:eastAsia="宋体" w:cs="宋体"/>
                <w:b/>
                <w:bCs/>
                <w:color w:val="auto"/>
                <w:kern w:val="0"/>
                <w:sz w:val="24"/>
                <w:szCs w:val="24"/>
                <w:highlight w:val="none"/>
                <w:lang w:eastAsia="zh-CN"/>
              </w:rPr>
              <w:t>中标后采购人</w:t>
            </w:r>
            <w:r>
              <w:rPr>
                <w:rFonts w:hint="eastAsia" w:ascii="宋体" w:hAnsi="宋体" w:eastAsia="宋体" w:cs="宋体"/>
                <w:b/>
                <w:bCs/>
                <w:color w:val="auto"/>
                <w:kern w:val="0"/>
                <w:sz w:val="24"/>
                <w:szCs w:val="24"/>
                <w:highlight w:val="none"/>
              </w:rPr>
              <w:t>有权进行功能检验。）</w:t>
            </w:r>
          </w:p>
          <w:p w14:paraId="07C7C48E">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（3）AGV路径创建与编辑：从实体模型库目录中选择AGV模型摆放在场景中；点击需要调整的AGV模型，打开属性窗口可编辑AGV行驶速度，点击设置路径按钮即可在场景中画出行驶路线。</w:t>
            </w:r>
          </w:p>
          <w:p w14:paraId="59C4254D">
            <w:pPr>
              <w:spacing w:line="360" w:lineRule="auto"/>
              <w:rPr>
                <w:rFonts w:ascii="宋体" w:hAnsi="宋体" w:eastAsia="宋体" w:cs="宋体"/>
                <w:b/>
                <w:bCs/>
                <w:color w:val="auto"/>
                <w:kern w:val="0"/>
                <w:sz w:val="24"/>
                <w:szCs w:val="24"/>
                <w:highlight w:val="none"/>
              </w:rPr>
            </w:pPr>
            <w:r>
              <w:rPr>
                <w:rFonts w:hint="eastAsia" w:ascii="宋体" w:hAnsi="宋体" w:eastAsia="宋体" w:cs="宋体"/>
                <w:color w:val="auto"/>
                <w:kern w:val="0"/>
                <w:sz w:val="24"/>
                <w:szCs w:val="24"/>
                <w:highlight w:val="none"/>
              </w:rPr>
              <w:t>■（4）设置设备参数：要求系统支持通过添加或编辑的方式更改不同设备类型在产线仿真中的不同属性内容，主要有发生器、暂存区、处理器类、AGV、货架、吸收器、执行器类。</w:t>
            </w:r>
            <w:r>
              <w:rPr>
                <w:rFonts w:hint="eastAsia" w:ascii="宋体" w:hAnsi="宋体" w:eastAsia="宋体" w:cs="宋体"/>
                <w:b/>
                <w:bCs/>
                <w:color w:val="auto"/>
                <w:kern w:val="0"/>
                <w:sz w:val="24"/>
                <w:szCs w:val="24"/>
                <w:highlight w:val="none"/>
              </w:rPr>
              <w:t>投标文件中需提供相关证明材料（包括但不限于检测报告或功能截图或产品说明书或技术确认函等，</w:t>
            </w:r>
            <w:r>
              <w:rPr>
                <w:rFonts w:hint="eastAsia" w:ascii="宋体" w:hAnsi="宋体" w:eastAsia="宋体" w:cs="宋体"/>
                <w:b/>
                <w:bCs/>
                <w:color w:val="auto"/>
                <w:kern w:val="0"/>
                <w:sz w:val="24"/>
                <w:szCs w:val="24"/>
                <w:highlight w:val="none"/>
                <w:lang w:eastAsia="zh-CN"/>
              </w:rPr>
              <w:t>中标后采购人</w:t>
            </w:r>
            <w:r>
              <w:rPr>
                <w:rFonts w:hint="eastAsia" w:ascii="宋体" w:hAnsi="宋体" w:eastAsia="宋体" w:cs="宋体"/>
                <w:b/>
                <w:bCs/>
                <w:color w:val="auto"/>
                <w:kern w:val="0"/>
                <w:sz w:val="24"/>
                <w:szCs w:val="24"/>
                <w:highlight w:val="none"/>
              </w:rPr>
              <w:t>有权进行功能检验。）</w:t>
            </w:r>
          </w:p>
          <w:p w14:paraId="5AE5E012">
            <w:pPr>
              <w:spacing w:line="360" w:lineRule="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★（5）设置设备仿真关系：支持在生产线布局过程中设备可根据需要自由组合设置相互关系，在系统中采用连接和断开连接的方式设置各设备之间的关系。</w:t>
            </w:r>
          </w:p>
          <w:p w14:paraId="6008CA9D">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（6）基础功能：要求对现有场景仿真能够进行保存、移动、旋转、吸附、删除等功能。</w:t>
            </w:r>
          </w:p>
          <w:p w14:paraId="2C61494A">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■（7）产线仿真控制：要求产线根据生产过程的定义和对各类模型仿真属性的定义，点击开始仿真或者结束仿真即可调整系统的工作状态。</w:t>
            </w:r>
            <w:r>
              <w:rPr>
                <w:rFonts w:hint="eastAsia" w:ascii="宋体" w:hAnsi="宋体" w:eastAsia="宋体" w:cs="宋体"/>
                <w:b/>
                <w:bCs/>
                <w:color w:val="auto"/>
                <w:kern w:val="0"/>
                <w:sz w:val="24"/>
                <w:szCs w:val="24"/>
                <w:highlight w:val="none"/>
              </w:rPr>
              <w:t>投标文件中需提供相关证明材料（包括但不限于检测报告或功能截图或产品说明书或技术确认函等，</w:t>
            </w:r>
            <w:r>
              <w:rPr>
                <w:rFonts w:hint="eastAsia" w:ascii="宋体" w:hAnsi="宋体" w:eastAsia="宋体" w:cs="宋体"/>
                <w:b/>
                <w:bCs/>
                <w:color w:val="auto"/>
                <w:kern w:val="0"/>
                <w:sz w:val="24"/>
                <w:szCs w:val="24"/>
                <w:highlight w:val="none"/>
                <w:lang w:eastAsia="zh-CN"/>
              </w:rPr>
              <w:t>中标后采购人</w:t>
            </w:r>
            <w:r>
              <w:rPr>
                <w:rFonts w:hint="eastAsia" w:ascii="宋体" w:hAnsi="宋体" w:eastAsia="宋体" w:cs="宋体"/>
                <w:b/>
                <w:bCs/>
                <w:color w:val="auto"/>
                <w:kern w:val="0"/>
                <w:sz w:val="24"/>
                <w:szCs w:val="24"/>
                <w:highlight w:val="none"/>
              </w:rPr>
              <w:t>有权进行功能检验。）</w:t>
            </w:r>
          </w:p>
          <w:p w14:paraId="22CFC4A3">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（8）仿真重置：产线仿真停止后，根据需要点击仿真重置按钮可以对仿真过程清零，重新开始仿真。</w:t>
            </w:r>
          </w:p>
          <w:p w14:paraId="2A86FDED">
            <w:pPr>
              <w:spacing w:line="360" w:lineRule="auto"/>
              <w:rPr>
                <w:rFonts w:ascii="宋体" w:hAnsi="宋体" w:eastAsia="宋体" w:cs="宋体"/>
                <w:b/>
                <w:bCs/>
                <w:color w:val="auto"/>
                <w:kern w:val="0"/>
                <w:sz w:val="24"/>
                <w:szCs w:val="24"/>
                <w:highlight w:val="none"/>
              </w:rPr>
            </w:pPr>
            <w:r>
              <w:rPr>
                <w:rFonts w:hint="eastAsia" w:ascii="宋体" w:hAnsi="宋体" w:eastAsia="宋体" w:cs="宋体"/>
                <w:color w:val="auto"/>
                <w:kern w:val="0"/>
                <w:sz w:val="24"/>
                <w:szCs w:val="24"/>
                <w:highlight w:val="none"/>
              </w:rPr>
              <w:t>■（9）仿真步进及速度调节：要求支持单一（模型）事件运行逐个进行或连续进行；要求可控制产线仿真的运行速度。倍速范围至少包含100、200、300等固定倍数。</w:t>
            </w:r>
            <w:r>
              <w:rPr>
                <w:rFonts w:hint="eastAsia" w:ascii="宋体" w:hAnsi="宋体" w:eastAsia="宋体" w:cs="宋体"/>
                <w:b/>
                <w:bCs/>
                <w:color w:val="auto"/>
                <w:kern w:val="0"/>
                <w:sz w:val="24"/>
                <w:szCs w:val="24"/>
                <w:highlight w:val="none"/>
              </w:rPr>
              <w:t>投标文件中需提供相关证明材料（包括但不限于检测报告或功能截图或产品说明书或技术确认函等，</w:t>
            </w:r>
            <w:r>
              <w:rPr>
                <w:rFonts w:hint="eastAsia" w:ascii="宋体" w:hAnsi="宋体" w:eastAsia="宋体" w:cs="宋体"/>
                <w:b/>
                <w:bCs/>
                <w:color w:val="auto"/>
                <w:kern w:val="0"/>
                <w:sz w:val="24"/>
                <w:szCs w:val="24"/>
                <w:highlight w:val="none"/>
                <w:lang w:eastAsia="zh-CN"/>
              </w:rPr>
              <w:t>中标后采购人</w:t>
            </w:r>
            <w:r>
              <w:rPr>
                <w:rFonts w:hint="eastAsia" w:ascii="宋体" w:hAnsi="宋体" w:eastAsia="宋体" w:cs="宋体"/>
                <w:b/>
                <w:bCs/>
                <w:color w:val="auto"/>
                <w:kern w:val="0"/>
                <w:sz w:val="24"/>
                <w:szCs w:val="24"/>
                <w:highlight w:val="none"/>
              </w:rPr>
              <w:t>有权进行功能检验。）</w:t>
            </w:r>
          </w:p>
          <w:p w14:paraId="7CC8CEAE">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13.2智能识别生成式元宇宙场景搭建系统</w:t>
            </w:r>
          </w:p>
          <w:p w14:paraId="5E61D229">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■（1）二维文件解析与加载：系统支持通过文件浏览器选择本地 DXF 图纸，基于DXFConvert 库解析 CAD 图纸文件结构，提取图层、几何实体等信息，构建统一数据结构 DXFStructure。支持多图层、多实体类型的结构解析。</w:t>
            </w:r>
            <w:r>
              <w:rPr>
                <w:rFonts w:hint="eastAsia" w:ascii="宋体" w:hAnsi="宋体" w:eastAsia="宋体" w:cs="宋体"/>
                <w:b/>
                <w:bCs/>
                <w:color w:val="auto"/>
                <w:kern w:val="0"/>
                <w:sz w:val="24"/>
                <w:szCs w:val="24"/>
                <w:highlight w:val="none"/>
              </w:rPr>
              <w:t>投标文件中需提供相关证明材料（包括但不限于检测报告或功能截图或产品说明书或技术确认函等，</w:t>
            </w:r>
            <w:r>
              <w:rPr>
                <w:rFonts w:hint="eastAsia" w:ascii="宋体" w:hAnsi="宋体" w:eastAsia="宋体" w:cs="宋体"/>
                <w:b/>
                <w:bCs/>
                <w:color w:val="auto"/>
                <w:kern w:val="0"/>
                <w:sz w:val="24"/>
                <w:szCs w:val="24"/>
                <w:highlight w:val="none"/>
                <w:lang w:eastAsia="zh-CN"/>
              </w:rPr>
              <w:t>中标后采购人</w:t>
            </w:r>
            <w:r>
              <w:rPr>
                <w:rFonts w:hint="eastAsia" w:ascii="宋体" w:hAnsi="宋体" w:eastAsia="宋体" w:cs="宋体"/>
                <w:b/>
                <w:bCs/>
                <w:color w:val="auto"/>
                <w:kern w:val="0"/>
                <w:sz w:val="24"/>
                <w:szCs w:val="24"/>
                <w:highlight w:val="none"/>
              </w:rPr>
              <w:t>有权进行功能检验。）</w:t>
            </w:r>
          </w:p>
          <w:p w14:paraId="2CBE4005">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（2）二维图纸可视化：系统支持将解析后的 DXF 图纸以 2D 形式可视化渲染，图层数据一一对应生成 Unity GameObject，支持用户对图纸进行缩放、平移等交互操作。所有图层通过字典结构管理，具备图层独立控制、动态重绘能力。</w:t>
            </w:r>
          </w:p>
          <w:p w14:paraId="47BAE49F">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（3）三维场景构建:系统支持基于DXF 中图纸信息自动构建对应三维场景元素，至少包括地板模型、墙体模型、设备模型等。三维生成模块支持批量生成、清除、重建操作。</w:t>
            </w:r>
          </w:p>
          <w:p w14:paraId="6CBD3E27">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工业场景搭建：除智能识别生成外，要求系统支持通过预设的工业模型，使用拖拉拽等方式，进一步完善搭建工业场景。支持的模型包括但不局限于数控机床、工业机器人、AGV、传送带、实训平台、电机柜、物料箱、包装单元、成品库等。</w:t>
            </w:r>
            <w:r>
              <w:rPr>
                <w:rFonts w:hint="eastAsia" w:ascii="宋体" w:hAnsi="宋体" w:eastAsia="宋体" w:cs="宋体"/>
                <w:b/>
                <w:bCs/>
                <w:color w:val="auto"/>
                <w:kern w:val="0"/>
                <w:sz w:val="24"/>
                <w:szCs w:val="24"/>
                <w:highlight w:val="none"/>
              </w:rPr>
              <w:t>投标文件中需提供相关证明材料（包括但不限于检测报告或功能截图或产品说明书或技术确认函等，</w:t>
            </w:r>
            <w:r>
              <w:rPr>
                <w:rFonts w:hint="eastAsia" w:ascii="宋体" w:hAnsi="宋体" w:eastAsia="宋体" w:cs="宋体"/>
                <w:b/>
                <w:bCs/>
                <w:color w:val="auto"/>
                <w:kern w:val="0"/>
                <w:sz w:val="24"/>
                <w:szCs w:val="24"/>
                <w:highlight w:val="none"/>
                <w:lang w:eastAsia="zh-CN"/>
              </w:rPr>
              <w:t>中标后采购人</w:t>
            </w:r>
            <w:r>
              <w:rPr>
                <w:rFonts w:hint="eastAsia" w:ascii="宋体" w:hAnsi="宋体" w:eastAsia="宋体" w:cs="宋体"/>
                <w:b/>
                <w:bCs/>
                <w:color w:val="auto"/>
                <w:kern w:val="0"/>
                <w:sz w:val="24"/>
                <w:szCs w:val="24"/>
                <w:highlight w:val="none"/>
              </w:rPr>
              <w:t>有权进行功能检验。）</w:t>
            </w:r>
          </w:p>
          <w:p w14:paraId="32CE6AAB">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13.3元宇宙场景内交互形象生成系统</w:t>
            </w:r>
          </w:p>
          <w:p w14:paraId="45366951">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（1）支持3D建模与渲染，通过高精度的建模技术，可以创建出具有逼真外观和细腻表情的数字人形象。</w:t>
            </w:r>
          </w:p>
          <w:p w14:paraId="0A4A96DE">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（2）支持服装与场景适配，可以根据不同的场景支持不同服饰的更换。</w:t>
            </w:r>
          </w:p>
          <w:p w14:paraId="3D6FC831">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（3）支持脸部重建和形象克隆，可以通过对脸部五官外貌特征的局部调整，实现自定义捏脸的功能。</w:t>
            </w:r>
          </w:p>
          <w:p w14:paraId="2C957F11">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■（4）数字人行为动作与动画驱动：根据不同的行为动作绑定不同的骨骼动画驱动数字人模型，用户可以根据角色模型的不同行为动作，如行走、奔跑、跳跃、攻击等，绑定相应的骨骼动画。</w:t>
            </w:r>
            <w:r>
              <w:rPr>
                <w:rFonts w:hint="eastAsia" w:ascii="宋体" w:hAnsi="宋体" w:eastAsia="宋体" w:cs="宋体"/>
                <w:b/>
                <w:bCs/>
                <w:color w:val="auto"/>
                <w:kern w:val="0"/>
                <w:sz w:val="24"/>
                <w:szCs w:val="24"/>
                <w:highlight w:val="none"/>
              </w:rPr>
              <w:t>投标文件中需提供相关证明材料（包括但不限于检测报告或功能截图或产品说明书或技术确认函等，</w:t>
            </w:r>
            <w:r>
              <w:rPr>
                <w:rFonts w:hint="eastAsia" w:ascii="宋体" w:hAnsi="宋体" w:eastAsia="宋体" w:cs="宋体"/>
                <w:b/>
                <w:bCs/>
                <w:color w:val="auto"/>
                <w:kern w:val="0"/>
                <w:sz w:val="24"/>
                <w:szCs w:val="24"/>
                <w:highlight w:val="none"/>
                <w:lang w:eastAsia="zh-CN"/>
              </w:rPr>
              <w:t>中标后采购人</w:t>
            </w:r>
            <w:r>
              <w:rPr>
                <w:rFonts w:hint="eastAsia" w:ascii="宋体" w:hAnsi="宋体" w:eastAsia="宋体" w:cs="宋体"/>
                <w:b/>
                <w:bCs/>
                <w:color w:val="auto"/>
                <w:kern w:val="0"/>
                <w:sz w:val="24"/>
                <w:szCs w:val="24"/>
                <w:highlight w:val="none"/>
              </w:rPr>
              <w:t>有权进行功能检验。）</w:t>
            </w:r>
          </w:p>
          <w:p w14:paraId="53207536">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13.4 AI大模型赋能虚拟数控加工教学系统</w:t>
            </w:r>
          </w:p>
          <w:p w14:paraId="7829A75F">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（1）要求支持机床基本设置，至少支持：机床刀具设置：支持机床刀具设置、加工毛坯设置、机床操作设置等。</w:t>
            </w:r>
          </w:p>
          <w:p w14:paraId="153BBCF1">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■（2）AI生成NC代码：要求系统接入AI大模型（如DeepSeek</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豆包</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千帆</w:t>
            </w:r>
            <w:r>
              <w:rPr>
                <w:rFonts w:hint="eastAsia" w:ascii="宋体" w:hAnsi="宋体" w:eastAsia="宋体" w:cs="宋体"/>
                <w:color w:val="auto"/>
                <w:kern w:val="0"/>
                <w:sz w:val="24"/>
                <w:szCs w:val="24"/>
                <w:highlight w:val="none"/>
              </w:rPr>
              <w:t>等），通过提问框可以将问题发给AI，并获取AI回答内容。对AI回答内容进行数据筛选过滤，提取需要的NC代码内容，并将筛选后的内容保存到本地，以方便机床调用。</w:t>
            </w:r>
            <w:r>
              <w:rPr>
                <w:rFonts w:hint="eastAsia" w:ascii="宋体" w:hAnsi="宋体" w:eastAsia="宋体" w:cs="宋体"/>
                <w:b/>
                <w:bCs/>
                <w:color w:val="auto"/>
                <w:kern w:val="0"/>
                <w:sz w:val="24"/>
                <w:szCs w:val="24"/>
                <w:highlight w:val="none"/>
              </w:rPr>
              <w:t>投标文件中需提供相关证明材料（包括但不限于检测报告或功能截图或产品说明书或技术确认函等，</w:t>
            </w:r>
            <w:r>
              <w:rPr>
                <w:rFonts w:hint="eastAsia" w:ascii="宋体" w:hAnsi="宋体" w:eastAsia="宋体" w:cs="宋体"/>
                <w:b/>
                <w:bCs/>
                <w:color w:val="auto"/>
                <w:kern w:val="0"/>
                <w:sz w:val="24"/>
                <w:szCs w:val="24"/>
                <w:highlight w:val="none"/>
                <w:lang w:eastAsia="zh-CN"/>
              </w:rPr>
              <w:t>中标后采购人</w:t>
            </w:r>
            <w:r>
              <w:rPr>
                <w:rFonts w:hint="eastAsia" w:ascii="宋体" w:hAnsi="宋体" w:eastAsia="宋体" w:cs="宋体"/>
                <w:b/>
                <w:bCs/>
                <w:color w:val="auto"/>
                <w:kern w:val="0"/>
                <w:sz w:val="24"/>
                <w:szCs w:val="24"/>
                <w:highlight w:val="none"/>
              </w:rPr>
              <w:t>有权进行功能检验。）</w:t>
            </w:r>
          </w:p>
          <w:p w14:paraId="00230F86">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■（3）NC代码识别与路径解析：系统可读取本地存储的NC代码，并根据数控加工代码通用标准进行解析，控制机床各轴移动，根据刀具移动绘制刀路并显示，以观察刀具运动轨迹。</w:t>
            </w:r>
            <w:r>
              <w:rPr>
                <w:rFonts w:hint="eastAsia" w:ascii="宋体" w:hAnsi="宋体" w:eastAsia="宋体" w:cs="宋体"/>
                <w:b/>
                <w:bCs/>
                <w:color w:val="auto"/>
                <w:kern w:val="0"/>
                <w:sz w:val="24"/>
                <w:szCs w:val="24"/>
                <w:highlight w:val="none"/>
              </w:rPr>
              <w:t>投标文件中需提供相关证明材料（包括但不限于检测报告或功能截图或产品说明书或技术确认函等，</w:t>
            </w:r>
            <w:r>
              <w:rPr>
                <w:rFonts w:hint="eastAsia" w:ascii="宋体" w:hAnsi="宋体" w:eastAsia="宋体" w:cs="宋体"/>
                <w:b/>
                <w:bCs/>
                <w:color w:val="auto"/>
                <w:kern w:val="0"/>
                <w:sz w:val="24"/>
                <w:szCs w:val="24"/>
                <w:highlight w:val="none"/>
                <w:lang w:eastAsia="zh-CN"/>
              </w:rPr>
              <w:t>中标后采购人</w:t>
            </w:r>
            <w:r>
              <w:rPr>
                <w:rFonts w:hint="eastAsia" w:ascii="宋体" w:hAnsi="宋体" w:eastAsia="宋体" w:cs="宋体"/>
                <w:b/>
                <w:bCs/>
                <w:color w:val="auto"/>
                <w:kern w:val="0"/>
                <w:sz w:val="24"/>
                <w:szCs w:val="24"/>
                <w:highlight w:val="none"/>
              </w:rPr>
              <w:t>有权进行功能检验。）</w:t>
            </w:r>
          </w:p>
          <w:p w14:paraId="37B37ACB">
            <w:pPr>
              <w:spacing w:line="360" w:lineRule="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4）模拟加工与刀具切削模型：支持操作者根据刀具长度和毛坯位置和大小自动对刀，设置毛坯的对刀原点，并根据真实机床的操作方式，更改机床加工模式和选择需要加工的NC代码，循环启动，启动机床，接入mesh切削库，根据刀具形状，实时更新和刀具接触的部分毛坯mesh，并实时更新毛坯。</w:t>
            </w:r>
          </w:p>
          <w:p w14:paraId="7C724FCD">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工业设备认知：要求支持对工业机器人、数控机床等工业设备进行旋转、放大、爆炸图分解等讲解，支持对工业设备进行一键爆炸和一键复位。提供预定义爆炸分解模板，可以自动分解设备的核心组件，在爆炸视图中高亮显示所选组件并提供文字讲解。</w:t>
            </w:r>
            <w:r>
              <w:rPr>
                <w:rFonts w:hint="eastAsia" w:ascii="宋体" w:hAnsi="宋体" w:eastAsia="宋体" w:cs="宋体"/>
                <w:b/>
                <w:bCs/>
                <w:color w:val="auto"/>
                <w:kern w:val="0"/>
                <w:sz w:val="24"/>
                <w:szCs w:val="24"/>
                <w:highlight w:val="none"/>
              </w:rPr>
              <w:t>投标文件中需提供相关证明材料（包括但不限于检测报告或功能截图或产品说明书或技术确认函等，</w:t>
            </w:r>
            <w:r>
              <w:rPr>
                <w:rFonts w:hint="eastAsia" w:ascii="宋体" w:hAnsi="宋体" w:eastAsia="宋体" w:cs="宋体"/>
                <w:b/>
                <w:bCs/>
                <w:color w:val="auto"/>
                <w:kern w:val="0"/>
                <w:sz w:val="24"/>
                <w:szCs w:val="24"/>
                <w:highlight w:val="none"/>
                <w:lang w:eastAsia="zh-CN"/>
              </w:rPr>
              <w:t>中标后采购人</w:t>
            </w:r>
            <w:r>
              <w:rPr>
                <w:rFonts w:hint="eastAsia" w:ascii="宋体" w:hAnsi="宋体" w:eastAsia="宋体" w:cs="宋体"/>
                <w:b/>
                <w:bCs/>
                <w:color w:val="auto"/>
                <w:kern w:val="0"/>
                <w:sz w:val="24"/>
                <w:szCs w:val="24"/>
                <w:highlight w:val="none"/>
              </w:rPr>
              <w:t>有权进行功能检验。）</w:t>
            </w:r>
          </w:p>
          <w:p w14:paraId="32C16881">
            <w:pPr>
              <w:spacing w:line="360" w:lineRule="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w:t>
            </w:r>
            <w:r>
              <w:rPr>
                <w:rFonts w:ascii="宋体" w:hAnsi="宋体" w:eastAsia="宋体" w:cs="宋体"/>
                <w:color w:val="auto"/>
                <w:kern w:val="0"/>
                <w:sz w:val="24"/>
                <w:szCs w:val="24"/>
                <w:highlight w:val="none"/>
              </w:rPr>
              <w:t>13.5</w:t>
            </w:r>
            <w:r>
              <w:rPr>
                <w:rFonts w:hint="eastAsia" w:ascii="宋体" w:hAnsi="宋体" w:eastAsia="宋体" w:cs="宋体"/>
                <w:color w:val="auto"/>
                <w:kern w:val="0"/>
                <w:sz w:val="24"/>
                <w:szCs w:val="24"/>
                <w:highlight w:val="none"/>
              </w:rPr>
              <w:t>以上13.智能制造元宇宙场景搭建系统（15节点）</w:t>
            </w:r>
            <w:r>
              <w:rPr>
                <w:rFonts w:hint="eastAsia" w:ascii="宋体" w:hAnsi="宋体" w:eastAsia="宋体" w:cs="宋体"/>
                <w:color w:val="auto"/>
                <w:kern w:val="0"/>
                <w:sz w:val="24"/>
                <w:szCs w:val="24"/>
                <w:highlight w:val="none"/>
                <w:lang w:val="en-US" w:eastAsia="zh-CN"/>
              </w:rPr>
              <w:t>13.1-13.4</w:t>
            </w:r>
            <w:r>
              <w:rPr>
                <w:rFonts w:hint="eastAsia" w:ascii="宋体" w:hAnsi="宋体" w:eastAsia="宋体" w:cs="宋体"/>
                <w:color w:val="auto"/>
                <w:kern w:val="0"/>
                <w:sz w:val="24"/>
                <w:szCs w:val="24"/>
                <w:highlight w:val="none"/>
              </w:rPr>
              <w:t>下所有子功能均在智能制造元宇宙场景搭建一个系统中实现，一次性安装完成，不需要使用其他系统来完成以上功能。</w:t>
            </w:r>
          </w:p>
          <w:p w14:paraId="1EE8075B">
            <w:pPr>
              <w:spacing w:line="360" w:lineRule="auto"/>
              <w:rPr>
                <w:rFonts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14.视觉及深度学习软件</w:t>
            </w:r>
          </w:p>
          <w:p w14:paraId="3F5E7129">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14.1</w:t>
            </w:r>
            <w:r>
              <w:rPr>
                <w:rFonts w:ascii="宋体" w:hAnsi="宋体" w:eastAsia="宋体" w:cs="宋体"/>
                <w:color w:val="auto"/>
                <w:kern w:val="0"/>
                <w:sz w:val="24"/>
                <w:szCs w:val="24"/>
                <w:highlight w:val="none"/>
              </w:rPr>
              <w:t>视觉软件</w:t>
            </w:r>
          </w:p>
          <w:p w14:paraId="41CB81EB">
            <w:pPr>
              <w:spacing w:line="360" w:lineRule="auto"/>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（1）场景搭建：机器人场景搭建、相机场景搭建、末端工具场景搭建、工件场景搭建。</w:t>
            </w:r>
          </w:p>
          <w:p w14:paraId="1898C1A9">
            <w:pPr>
              <w:spacing w:line="360" w:lineRule="auto"/>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（2）通讯配置：支持TCP、ModBus、S7格式的通讯协议。</w:t>
            </w:r>
          </w:p>
          <w:p w14:paraId="3F2EBDE1">
            <w:pPr>
              <w:spacing w:line="360" w:lineRule="auto"/>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（3）任务流程搭建及配置：接受数据、分支、触发视觉流程、获取视觉结果、视觉排序、位姿转欧拉角、协议解析、协议封装、发送数据。</w:t>
            </w:r>
          </w:p>
          <w:p w14:paraId="03086DB7">
            <w:pPr>
              <w:spacing w:line="360" w:lineRule="auto"/>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（4）视觉定位、尺寸测量、缺陷检测以及信息识别等人工智能机器人与视觉功能应用。</w:t>
            </w:r>
          </w:p>
          <w:p w14:paraId="402C39A8">
            <w:pPr>
              <w:spacing w:line="360" w:lineRule="auto"/>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（5）定位与测量工具：精确高效定位图像中的任意几何体元素。</w:t>
            </w:r>
          </w:p>
          <w:p w14:paraId="66DD6C0F">
            <w:pPr>
              <w:spacing w:line="360" w:lineRule="auto"/>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（6）识别工具：快速准确地进行数字信息码读取。</w:t>
            </w:r>
          </w:p>
          <w:p w14:paraId="136112AA">
            <w:pPr>
              <w:spacing w:line="360" w:lineRule="auto"/>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（7）缺陷检测工具：准确识别工件表面、形状、轮廓的缺陷。</w:t>
            </w:r>
          </w:p>
          <w:p w14:paraId="2ABA869F">
            <w:pPr>
              <w:spacing w:line="360" w:lineRule="auto"/>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（8）深度学习工具：适应复杂工业环境，保证算法效果。</w:t>
            </w:r>
          </w:p>
          <w:p w14:paraId="64EA72C8">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14.2</w:t>
            </w:r>
            <w:r>
              <w:rPr>
                <w:rFonts w:ascii="宋体" w:hAnsi="宋体" w:eastAsia="宋体" w:cs="宋体"/>
                <w:color w:val="auto"/>
                <w:kern w:val="0"/>
                <w:sz w:val="24"/>
                <w:szCs w:val="24"/>
                <w:highlight w:val="none"/>
              </w:rPr>
              <w:t>深度学习训练软件</w:t>
            </w:r>
          </w:p>
          <w:p w14:paraId="5FB4DD62">
            <w:pPr>
              <w:spacing w:line="360" w:lineRule="auto"/>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（1）内置深度学习算法：实例分割、目标检测、图像分类、缺陷分割、快速定位、文本检测、文本识别。</w:t>
            </w:r>
          </w:p>
          <w:p w14:paraId="61E1316D">
            <w:pPr>
              <w:spacing w:line="360" w:lineRule="auto"/>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（2）支持图形化操作界面。</w:t>
            </w:r>
          </w:p>
          <w:p w14:paraId="51C76F78">
            <w:pPr>
              <w:spacing w:line="360" w:lineRule="auto"/>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（3）支持本地数据标注、模型训练。</w:t>
            </w:r>
          </w:p>
          <w:p w14:paraId="4E3FF15C">
            <w:pPr>
              <w:spacing w:line="360" w:lineRule="auto"/>
              <w:rPr>
                <w:rFonts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15.数字孪生平台（1</w:t>
            </w:r>
            <w:r>
              <w:rPr>
                <w:rFonts w:ascii="宋体" w:hAnsi="宋体" w:eastAsia="宋体" w:cs="宋体"/>
                <w:b/>
                <w:bCs/>
                <w:color w:val="auto"/>
                <w:kern w:val="0"/>
                <w:sz w:val="24"/>
                <w:szCs w:val="24"/>
                <w:highlight w:val="none"/>
              </w:rPr>
              <w:t>5</w:t>
            </w:r>
            <w:r>
              <w:rPr>
                <w:rFonts w:hint="eastAsia" w:ascii="宋体" w:hAnsi="宋体" w:eastAsia="宋体" w:cs="宋体"/>
                <w:b/>
                <w:bCs/>
                <w:color w:val="auto"/>
                <w:kern w:val="0"/>
                <w:sz w:val="24"/>
                <w:szCs w:val="24"/>
                <w:highlight w:val="none"/>
              </w:rPr>
              <w:t>节点）</w:t>
            </w:r>
          </w:p>
          <w:p w14:paraId="1BC9126A">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（1）正版平台，可提供持续的中文技术支持服务，平台可使用所有功能模块，界面没有试用版字样；</w:t>
            </w:r>
          </w:p>
          <w:p w14:paraId="44E328C9">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（2）具备快速搭建智能制造产线、智能装配产线以及物流产线的仿真模拟，进行工艺规划与工厂规划，逻辑与程序验证，实现生产流程高效、可靠；</w:t>
            </w:r>
          </w:p>
          <w:p w14:paraId="50CE4BDD">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（3）支持根据生产工艺要求，结合零件点线面特征进行工作路径自动规划，并与其他自动化设备进行仿真验证，自动生成机器人程序，支持ABB、KUKA、Fanuc等90个以上品牌机器人；</w:t>
            </w:r>
          </w:p>
          <w:p w14:paraId="720E270C">
            <w:pPr>
              <w:spacing w:line="360" w:lineRule="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4）可基于CAD数据生成机器人加工轨迹，简化轨迹生成过程，提高精度，可利用实体模型、曲面或曲线直接生成机器人加工轨迹；在平台中全面支持和全面兼容多种格式的文件，可直接导入或直接打开扩展名为step 、robp、stl、robt、robc、igs、pq3d等格式的文件，可以用三维展示机器人实训设备，并实现教学实训任务的三维运动仿真；</w:t>
            </w:r>
          </w:p>
          <w:p w14:paraId="21B16D36">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★（5）平台可以直接打开或直接导入学校原有机器人离线编程平台生成的 robx 格式文件,可以用三维展示学校原有的机器人教学实训设备，并实现教学实训任务的三维运动仿真；</w:t>
            </w:r>
            <w:r>
              <w:rPr>
                <w:rFonts w:hint="eastAsia" w:ascii="宋体" w:hAnsi="宋体" w:eastAsia="宋体" w:cs="宋体"/>
                <w:b/>
                <w:bCs/>
                <w:color w:val="auto"/>
                <w:kern w:val="0"/>
                <w:sz w:val="24"/>
                <w:szCs w:val="24"/>
                <w:highlight w:val="none"/>
              </w:rPr>
              <w:t xml:space="preserve"> </w:t>
            </w:r>
          </w:p>
          <w:p w14:paraId="26AE0AFB">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（6）可为人和AGV小车，生成导航路径；</w:t>
            </w:r>
          </w:p>
          <w:p w14:paraId="52CC3B50">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（7）仿真与调试支持VR沉浸式体验。在VR环境中进行漫游，还可查看整条产线的仿真流程；</w:t>
            </w:r>
          </w:p>
          <w:p w14:paraId="507BEF83">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■（8）提供多种的智能制造工作单元和设备资源，支持智能产线中各种主流设备的仿真与虚拟调试，包括PLC、机器人、传感器、变位机、导轨等，可实现规划与设计车间布局，自由调整；</w:t>
            </w:r>
            <w:r>
              <w:rPr>
                <w:rFonts w:hint="eastAsia" w:ascii="宋体" w:hAnsi="宋体" w:eastAsia="宋体" w:cs="宋体"/>
                <w:b/>
                <w:bCs/>
                <w:color w:val="auto"/>
                <w:kern w:val="0"/>
                <w:sz w:val="24"/>
                <w:szCs w:val="24"/>
                <w:highlight w:val="none"/>
              </w:rPr>
              <w:t>投标文件中需提供相关证明材料（包括但不限于检测报告或功能截图或产品说明书或技术确认函等，</w:t>
            </w:r>
            <w:r>
              <w:rPr>
                <w:rFonts w:hint="eastAsia" w:ascii="宋体" w:hAnsi="宋体" w:eastAsia="宋体" w:cs="宋体"/>
                <w:b/>
                <w:bCs/>
                <w:color w:val="auto"/>
                <w:kern w:val="0"/>
                <w:sz w:val="24"/>
                <w:szCs w:val="24"/>
                <w:highlight w:val="none"/>
                <w:lang w:eastAsia="zh-CN"/>
              </w:rPr>
              <w:t>中标后采购人</w:t>
            </w:r>
            <w:r>
              <w:rPr>
                <w:rFonts w:hint="eastAsia" w:ascii="宋体" w:hAnsi="宋体" w:eastAsia="宋体" w:cs="宋体"/>
                <w:b/>
                <w:bCs/>
                <w:color w:val="auto"/>
                <w:kern w:val="0"/>
                <w:sz w:val="24"/>
                <w:szCs w:val="24"/>
                <w:highlight w:val="none"/>
              </w:rPr>
              <w:t>有权进行功能检验。）</w:t>
            </w:r>
          </w:p>
          <w:p w14:paraId="4283A667">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可以直接从云端设备库中选择机器人、物流等设备模块进行仿真调试，选择过程中支持搜索、筛选和排序，并推荐相似参数的模块设备，组成与实际设备一致的3D数字模型，自定义模块属性，生成与实际设备一致的业务路径；</w:t>
            </w:r>
          </w:p>
          <w:p w14:paraId="74FFF36C">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（10）支持智能制造数字孪生功能，利用基于事件且由信号驱动的仿真技术实现生产的虚拟调试，虚拟调试可用在完全虚拟环节中进行，也可是实物控制设备和虚拟工作设备互联实现半实物调试；</w:t>
            </w:r>
          </w:p>
          <w:p w14:paraId="36F50910">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（11）支持多种三维格式模型的自由导入，平台可通过导入不同格式的三维模型进行自动化或制造车间的规划、仿真；</w:t>
            </w:r>
          </w:p>
          <w:p w14:paraId="74EA4C98">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■（12）通过仿真机器人可执行代码，模拟机器人在平台环境中的运动状态，并支持循环指令（如For）控制机器人重复运动；</w:t>
            </w:r>
            <w:r>
              <w:rPr>
                <w:rFonts w:hint="eastAsia" w:ascii="宋体" w:hAnsi="宋体" w:eastAsia="宋体" w:cs="宋体"/>
                <w:b/>
                <w:bCs/>
                <w:color w:val="auto"/>
                <w:kern w:val="0"/>
                <w:sz w:val="24"/>
                <w:szCs w:val="24"/>
                <w:highlight w:val="none"/>
              </w:rPr>
              <w:t xml:space="preserve"> 投标文件中需提供相关证明材料（包括但不限于检测报告或功能截图或产品说明书或技术确认函等，中标后</w:t>
            </w:r>
            <w:r>
              <w:rPr>
                <w:rFonts w:hint="eastAsia" w:ascii="宋体" w:hAnsi="宋体" w:eastAsia="宋体" w:cs="宋体"/>
                <w:b/>
                <w:bCs/>
                <w:color w:val="auto"/>
                <w:kern w:val="0"/>
                <w:sz w:val="24"/>
                <w:szCs w:val="24"/>
                <w:highlight w:val="none"/>
                <w:lang w:eastAsia="zh-CN"/>
              </w:rPr>
              <w:t>采购人</w:t>
            </w:r>
            <w:r>
              <w:rPr>
                <w:rFonts w:hint="eastAsia" w:ascii="宋体" w:hAnsi="宋体" w:eastAsia="宋体" w:cs="宋体"/>
                <w:b/>
                <w:bCs/>
                <w:color w:val="auto"/>
                <w:kern w:val="0"/>
                <w:sz w:val="24"/>
                <w:szCs w:val="24"/>
                <w:highlight w:val="none"/>
              </w:rPr>
              <w:t>有权进行功能检验。）</w:t>
            </w:r>
          </w:p>
          <w:p w14:paraId="4468EE1C">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（13）具备专业的后置代码编辑器。后置代码编辑器可以显示代码的行号，数字、注释和指令等关键字以不同颜色显示；函数在编辑过程中有参数提示；函数和注释可折叠隐藏；</w:t>
            </w:r>
          </w:p>
          <w:p w14:paraId="08A11789">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（14）支持场景设备的自由定义，用户可通过设计的三维模型以及技术参数自由定义机器人、工具、零件、传感器等设备；</w:t>
            </w:r>
          </w:p>
          <w:p w14:paraId="1B7534A1">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（15）支持定义零件生成器，通过时间和信号的控制方式模拟物料重复生成和消失的过程；</w:t>
            </w:r>
          </w:p>
          <w:p w14:paraId="17DD4446">
            <w:pPr>
              <w:spacing w:line="360" w:lineRule="auto"/>
              <w:rPr>
                <w:rFonts w:ascii="宋体" w:hAnsi="宋体" w:eastAsia="宋体" w:cs="宋体"/>
                <w:b/>
                <w:bCs/>
                <w:color w:val="auto"/>
                <w:kern w:val="0"/>
                <w:sz w:val="24"/>
                <w:szCs w:val="24"/>
                <w:highlight w:val="none"/>
              </w:rPr>
            </w:pPr>
            <w:r>
              <w:rPr>
                <w:rFonts w:hint="eastAsia" w:ascii="宋体" w:hAnsi="宋体" w:eastAsia="宋体" w:cs="宋体"/>
                <w:color w:val="auto"/>
                <w:kern w:val="0"/>
                <w:sz w:val="24"/>
                <w:szCs w:val="24"/>
                <w:highlight w:val="none"/>
              </w:rPr>
              <w:t>（16）支持贴图功能，可通过贴图代替或简化离线编程平台虚拟场景中复杂的模型搭建，可减小模型的大小；可加快绘图区的刷新帧速率；</w:t>
            </w:r>
          </w:p>
          <w:p w14:paraId="0461F612">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（17）平台支持绘图区的全屏显示，在程序设计或仿真过程中，可通过按F11快捷键突出显示设计环境的绘图区内的模型；</w:t>
            </w:r>
          </w:p>
          <w:p w14:paraId="0071B82A">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（18）支持和多种品牌的PLC设备进行信号的联调，包括西门子、三菱、欧姆龙等品牌；</w:t>
            </w:r>
          </w:p>
          <w:p w14:paraId="360D8FC3">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（19）支持信号调试面板的显示，平台在虚拟仿真过程中，可通过信号调试面板实时观测相关信号的状态；</w:t>
            </w:r>
          </w:p>
          <w:p w14:paraId="439441FC">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（20）支持虚拟PLC的调试，用户可通过自行编写Python和SCL虚拟PLC程序，实现平台中的设备和虚拟PLC之间的信号调试；</w:t>
            </w:r>
          </w:p>
          <w:p w14:paraId="607B2AE6">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■（21）利用云服务平台，实时把控前端平台考试活动进度；考试结果通过云端智能算法自动进行打分评判；考试全程远程、自动化运行；</w:t>
            </w:r>
            <w:r>
              <w:rPr>
                <w:rFonts w:hint="eastAsia" w:ascii="宋体" w:hAnsi="宋体" w:eastAsia="宋体" w:cs="宋体"/>
                <w:b/>
                <w:bCs/>
                <w:color w:val="auto"/>
                <w:kern w:val="0"/>
                <w:sz w:val="24"/>
                <w:szCs w:val="24"/>
                <w:highlight w:val="none"/>
              </w:rPr>
              <w:t xml:space="preserve"> 投标文件中需提供相关证明材料（包括但不限于检测报告或功能截图或产品说明书或技术确认函等，中标后</w:t>
            </w:r>
            <w:r>
              <w:rPr>
                <w:rFonts w:hint="eastAsia" w:ascii="宋体" w:hAnsi="宋体" w:eastAsia="宋体" w:cs="宋体"/>
                <w:b/>
                <w:bCs/>
                <w:color w:val="auto"/>
                <w:kern w:val="0"/>
                <w:sz w:val="24"/>
                <w:szCs w:val="24"/>
                <w:highlight w:val="none"/>
                <w:lang w:eastAsia="zh-CN"/>
              </w:rPr>
              <w:t>采购人</w:t>
            </w:r>
            <w:r>
              <w:rPr>
                <w:rFonts w:hint="eastAsia" w:ascii="宋体" w:hAnsi="宋体" w:eastAsia="宋体" w:cs="宋体"/>
                <w:b/>
                <w:bCs/>
                <w:color w:val="auto"/>
                <w:kern w:val="0"/>
                <w:sz w:val="24"/>
                <w:szCs w:val="24"/>
                <w:highlight w:val="none"/>
              </w:rPr>
              <w:t>有权进行功能检验。）</w:t>
            </w:r>
          </w:p>
          <w:p w14:paraId="67AAA641">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（22）实现平台技术手册、问题交流的在线化，相关在线资源的实时化更新；</w:t>
            </w:r>
          </w:p>
          <w:p w14:paraId="4C4F1ED4">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（23）提供多种智能制造和智能装配产线的时序仿真、虚拟调试的学习案例，帮助用户快速掌握平台功能的使用；</w:t>
            </w:r>
          </w:p>
          <w:p w14:paraId="7987A485">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（24）连接真实PLC设备，支持多种品牌网关的连接，包含组态王、炫思及MQTT网关等；</w:t>
            </w:r>
          </w:p>
          <w:p w14:paraId="1C7F9BEC">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（25）支持PLC编程平台中变量表的导入，包含robport、csv以及xlsx等格式；</w:t>
            </w:r>
          </w:p>
          <w:p w14:paraId="4B6D06AC">
            <w:pPr>
              <w:spacing w:line="360" w:lineRule="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★（26）以上15.数字孪生平台（15节点）下</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1）-（25）</w:t>
            </w:r>
            <w:r>
              <w:rPr>
                <w:rFonts w:hint="eastAsia" w:ascii="宋体" w:hAnsi="宋体" w:eastAsia="宋体" w:cs="宋体"/>
                <w:color w:val="auto"/>
                <w:kern w:val="0"/>
                <w:sz w:val="24"/>
                <w:szCs w:val="24"/>
                <w:highlight w:val="none"/>
              </w:rPr>
              <w:t>所有子功能均在数字孪生一个平台中实现，一次性安装完成，不需要使用其他平台来完成以上功能。</w:t>
            </w:r>
          </w:p>
          <w:p w14:paraId="0B1F3AAB">
            <w:pPr>
              <w:spacing w:line="360" w:lineRule="auto"/>
              <w:rPr>
                <w:rFonts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ascii="宋体" w:hAnsi="宋体" w:eastAsia="宋体" w:cs="宋体"/>
                <w:b/>
                <w:bCs/>
                <w:color w:val="auto"/>
                <w:kern w:val="0"/>
                <w:sz w:val="24"/>
                <w:szCs w:val="24"/>
                <w:highlight w:val="none"/>
              </w:rPr>
              <w:t>6</w:t>
            </w:r>
            <w:r>
              <w:rPr>
                <w:rFonts w:hint="eastAsia" w:ascii="宋体" w:hAnsi="宋体" w:eastAsia="宋体" w:cs="宋体"/>
                <w:b/>
                <w:bCs/>
                <w:color w:val="auto"/>
                <w:kern w:val="0"/>
                <w:sz w:val="24"/>
                <w:szCs w:val="24"/>
                <w:highlight w:val="none"/>
              </w:rPr>
              <w:t>.配套教学资源</w:t>
            </w:r>
          </w:p>
          <w:p w14:paraId="3D1C4D58">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ascii="宋体" w:hAnsi="宋体" w:eastAsia="宋体" w:cs="宋体"/>
                <w:color w:val="auto"/>
                <w:kern w:val="0"/>
                <w:sz w:val="24"/>
                <w:szCs w:val="24"/>
                <w:highlight w:val="none"/>
              </w:rPr>
              <w:t>6</w:t>
            </w:r>
            <w:r>
              <w:rPr>
                <w:rFonts w:hint="eastAsia" w:ascii="宋体" w:hAnsi="宋体" w:eastAsia="宋体" w:cs="宋体"/>
                <w:color w:val="auto"/>
                <w:kern w:val="0"/>
                <w:sz w:val="24"/>
                <w:szCs w:val="24"/>
                <w:highlight w:val="none"/>
              </w:rPr>
              <w:t>.1 提供配套的实训指导书、课件等教学资源。</w:t>
            </w:r>
          </w:p>
          <w:p w14:paraId="69E3DE83">
            <w:pPr>
              <w:spacing w:line="360" w:lineRule="auto"/>
              <w:rPr>
                <w:rFonts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ascii="宋体" w:hAnsi="宋体" w:eastAsia="宋体" w:cs="宋体"/>
                <w:b/>
                <w:bCs/>
                <w:color w:val="auto"/>
                <w:kern w:val="0"/>
                <w:sz w:val="24"/>
                <w:szCs w:val="24"/>
                <w:highlight w:val="none"/>
              </w:rPr>
              <w:t>7</w:t>
            </w:r>
            <w:r>
              <w:rPr>
                <w:rFonts w:hint="eastAsia" w:ascii="宋体" w:hAnsi="宋体" w:eastAsia="宋体" w:cs="宋体"/>
                <w:b/>
                <w:bCs/>
                <w:color w:val="auto"/>
                <w:kern w:val="0"/>
                <w:sz w:val="24"/>
                <w:szCs w:val="24"/>
                <w:highlight w:val="none"/>
              </w:rPr>
              <w:t>.配套教学一体机</w:t>
            </w:r>
          </w:p>
          <w:p w14:paraId="612E94D8">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ascii="宋体" w:hAnsi="宋体" w:eastAsia="宋体" w:cs="宋体"/>
                <w:color w:val="auto"/>
                <w:kern w:val="0"/>
                <w:sz w:val="24"/>
                <w:szCs w:val="24"/>
                <w:highlight w:val="none"/>
              </w:rPr>
              <w:t>7.1</w:t>
            </w:r>
            <w:r>
              <w:rPr>
                <w:rFonts w:hint="eastAsia" w:ascii="宋体" w:hAnsi="宋体" w:eastAsia="宋体" w:cs="宋体"/>
                <w:color w:val="auto"/>
                <w:kern w:val="0"/>
                <w:sz w:val="24"/>
                <w:szCs w:val="24"/>
                <w:highlight w:val="none"/>
              </w:rPr>
              <w:t>整体要求</w:t>
            </w:r>
          </w:p>
          <w:p w14:paraId="51492940">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（1）液晶显示屏≥86吋，显示比例：16:9，分辨率不小于3840×2160，4KUHD超高清。屏幕亮度：≥350cd/㎡；</w:t>
            </w:r>
          </w:p>
          <w:p w14:paraId="0F779824">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（2）采用红外触控技术，手指、触控笔轻触、实现多点互动、多人同时流畅书写，并支持≥40点触控；</w:t>
            </w:r>
          </w:p>
          <w:p w14:paraId="52D4AE4D">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（3）前置端口采用前出式设计：≥3路双通道计算机操作系统/移动操作系统共享USB接口、≥1路Touch-USB、≥1路HDMI输入接口、≥1路TYPE-C输入接口，方便用户拓展使用； </w:t>
            </w:r>
          </w:p>
          <w:p w14:paraId="575474A7">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（4）前置物理按键至少包含：开关机、信号源、菜单、音量+、音量-、主页、电脑，并具有电脑一键还原按钮；</w:t>
            </w:r>
            <w:r>
              <w:rPr>
                <w:rFonts w:ascii="宋体" w:hAnsi="宋体" w:eastAsia="宋体" w:cs="宋体"/>
                <w:color w:val="auto"/>
                <w:kern w:val="0"/>
                <w:sz w:val="24"/>
                <w:szCs w:val="24"/>
                <w:highlight w:val="none"/>
              </w:rPr>
              <w:t xml:space="preserve"> </w:t>
            </w:r>
          </w:p>
          <w:p w14:paraId="0078653D">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（5）设备自带两支可磁吸式触控笔，并可吸附在设备上方便使用及收纳； </w:t>
            </w:r>
          </w:p>
          <w:p w14:paraId="0882E9AE">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（6）内置高性能移动操作系统平台，RAM≥4GB，ROM≥32GB； </w:t>
            </w:r>
          </w:p>
          <w:p w14:paraId="7516A680">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（7）支持同时四画面无线传屏，并支持反向控制，双向控制，支持扫码传屏，支持手机、PAD和电脑多终端平台使用；</w:t>
            </w:r>
          </w:p>
          <w:p w14:paraId="539BEB53">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（8）智能护眼：设备具有全通道减滤蓝光护眼功能，具有检测到用户触摸屏幕时，自动调节屏幕亮度以减小对眼睛的刺激，并具有纸质护眼功能，全通道实现多种不同类型纸质护眼效果；</w:t>
            </w:r>
            <w:r>
              <w:rPr>
                <w:rFonts w:hint="eastAsia" w:ascii="宋体" w:hAnsi="宋体" w:eastAsia="宋体" w:cs="宋体"/>
                <w:b/>
                <w:bCs/>
                <w:color w:val="auto"/>
                <w:kern w:val="0"/>
                <w:sz w:val="24"/>
                <w:szCs w:val="24"/>
                <w:highlight w:val="none"/>
              </w:rPr>
              <w:t xml:space="preserve"> </w:t>
            </w:r>
          </w:p>
          <w:p w14:paraId="5F1CA920">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信号源：支持支持用户自定义开机后直接进入对应通道画面，支持自定义设置移动操作系统、内置电脑（OPS）、HDMI、上一次通道等、如果HDMI/VGA等有信号时可自动开机、并支持接入信号源时，可自动跳转到对应通道，并可在任意通道下将画面冻结；</w:t>
            </w:r>
          </w:p>
          <w:p w14:paraId="3752F714">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ascii="宋体" w:hAnsi="宋体" w:eastAsia="宋体" w:cs="宋体"/>
                <w:color w:val="auto"/>
                <w:kern w:val="0"/>
                <w:sz w:val="24"/>
                <w:szCs w:val="24"/>
                <w:highlight w:val="none"/>
              </w:rPr>
              <w:t>0</w:t>
            </w:r>
            <w:r>
              <w:rPr>
                <w:rFonts w:hint="eastAsia" w:ascii="宋体" w:hAnsi="宋体" w:eastAsia="宋体" w:cs="宋体"/>
                <w:color w:val="auto"/>
                <w:kern w:val="0"/>
                <w:sz w:val="24"/>
                <w:szCs w:val="24"/>
                <w:highlight w:val="none"/>
              </w:rPr>
              <w:t>）支持可以任意场景下截取屏幕内容，可调节大小部分截取、或者全屏截取，并具有支持一个按键将屏幕下移，方便老师操作，并具有全通道录屏功能，录屏的同时，可录制MIC输入声音、系统声音、可将屏幕UI、通道信号内容一起录制下来；</w:t>
            </w:r>
          </w:p>
          <w:p w14:paraId="1B53A090">
            <w:pPr>
              <w:spacing w:line="360" w:lineRule="auto"/>
              <w:rPr>
                <w:rFonts w:ascii="Times New Roman" w:hAnsi="Times New Roman" w:eastAsia="宋体" w:cs="Times New Roman"/>
                <w:color w:val="auto"/>
                <w:sz w:val="24"/>
                <w:szCs w:val="24"/>
                <w:highlight w:val="none"/>
              </w:rPr>
            </w:pPr>
            <w:r>
              <w:rPr>
                <w:rFonts w:hint="eastAsia" w:ascii="宋体" w:hAnsi="宋体" w:eastAsia="宋体" w:cs="宋体"/>
                <w:color w:val="auto"/>
                <w:kern w:val="0"/>
                <w:sz w:val="24"/>
                <w:szCs w:val="24"/>
                <w:highlight w:val="none"/>
              </w:rPr>
              <w:t>（1</w:t>
            </w:r>
            <w:r>
              <w:rPr>
                <w:rFonts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rPr>
              <w:t>）支持手势快捷功能设定，可设置五指上滑、下滑、左滑、右滑可分别对应不同快捷功能，例如息屏、降屏、打开批注、切换到OPS、降屏等，此功能可单独开启和关闭；</w:t>
            </w:r>
          </w:p>
          <w:p w14:paraId="3D52C247">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rPr>
              <w:t>）配备移动支架，移动式安装。</w:t>
            </w:r>
          </w:p>
          <w:p w14:paraId="0D1667EA">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ascii="宋体" w:hAnsi="宋体" w:eastAsia="宋体" w:cs="宋体"/>
                <w:color w:val="auto"/>
                <w:kern w:val="0"/>
                <w:sz w:val="24"/>
                <w:szCs w:val="24"/>
                <w:highlight w:val="none"/>
              </w:rPr>
              <w:t xml:space="preserve">7.2 </w:t>
            </w:r>
            <w:r>
              <w:rPr>
                <w:rFonts w:hint="eastAsia" w:ascii="宋体" w:hAnsi="宋体" w:eastAsia="宋体" w:cs="宋体"/>
                <w:color w:val="auto"/>
                <w:kern w:val="0"/>
                <w:sz w:val="24"/>
                <w:szCs w:val="24"/>
                <w:highlight w:val="none"/>
              </w:rPr>
              <w:t>OPS配置要求</w:t>
            </w:r>
          </w:p>
          <w:p w14:paraId="73C32621">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（1）插拔式OPS微型PC设计，CPU：≥</w:t>
            </w:r>
            <w:r>
              <w:rPr>
                <w:rFonts w:ascii="宋体" w:hAnsi="宋体" w:eastAsia="宋体" w:cs="宋体"/>
                <w:color w:val="auto"/>
                <w:kern w:val="0"/>
                <w:sz w:val="24"/>
                <w:szCs w:val="24"/>
                <w:highlight w:val="none"/>
              </w:rPr>
              <w:t>6</w:t>
            </w:r>
            <w:r>
              <w:rPr>
                <w:rFonts w:hint="eastAsia" w:ascii="宋体" w:hAnsi="宋体" w:eastAsia="宋体" w:cs="宋体"/>
                <w:color w:val="auto"/>
                <w:kern w:val="0"/>
                <w:sz w:val="24"/>
                <w:szCs w:val="24"/>
                <w:highlight w:val="none"/>
              </w:rPr>
              <w:t xml:space="preserve"> 核 1</w:t>
            </w:r>
            <w:r>
              <w:rPr>
                <w:rFonts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rPr>
              <w:t xml:space="preserve"> 线程；内存：≥8GB；硬盘：≥256G固态；开放式可插接规范接口（OPS接口），双面合计80针；</w:t>
            </w:r>
          </w:p>
          <w:p w14:paraId="6B5052A4">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（2）支持WIFI无线网络，带双天线，带RJ45接口100M/1000Mbs。</w:t>
            </w:r>
          </w:p>
          <w:p w14:paraId="4ECEC329">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ascii="宋体" w:hAnsi="宋体" w:eastAsia="宋体" w:cs="宋体"/>
                <w:color w:val="auto"/>
                <w:kern w:val="0"/>
                <w:sz w:val="24"/>
                <w:szCs w:val="24"/>
                <w:highlight w:val="none"/>
              </w:rPr>
              <w:t>7.3</w:t>
            </w:r>
            <w:r>
              <w:rPr>
                <w:rFonts w:hint="eastAsia" w:ascii="宋体" w:hAnsi="宋体" w:eastAsia="宋体" w:cs="宋体"/>
                <w:color w:val="auto"/>
                <w:kern w:val="0"/>
                <w:sz w:val="24"/>
                <w:szCs w:val="24"/>
                <w:highlight w:val="none"/>
              </w:rPr>
              <w:t>软件功能</w:t>
            </w:r>
          </w:p>
          <w:p w14:paraId="52B7BBD9">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（1）基于手势操作开发，手指单点或使用触控笔就能一键快速调取教学软件及工具；</w:t>
            </w:r>
          </w:p>
          <w:p w14:paraId="602056DE">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（2）教学系统为教师提供易于学校管理，安全可靠的云存储空间，根据每名教师使用时长与教学资料制作频率提供个人云空间；</w:t>
            </w:r>
          </w:p>
          <w:p w14:paraId="7FAB924D">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（3）软件内嵌AI人工智能平台，可一键访问AI平台，方便用户使用； </w:t>
            </w:r>
          </w:p>
          <w:p w14:paraId="35C11EFE">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（4）移动端控制电脑，支持远程控制电脑关机、重启、锁定、睡眠、倒计时关机、定时任务；</w:t>
            </w:r>
            <w:r>
              <w:rPr>
                <w:rFonts w:hint="eastAsia" w:ascii="宋体" w:hAnsi="宋体" w:eastAsia="宋体" w:cs="宋体"/>
                <w:b/>
                <w:bCs/>
                <w:color w:val="auto"/>
                <w:kern w:val="0"/>
                <w:sz w:val="24"/>
                <w:szCs w:val="24"/>
                <w:highlight w:val="none"/>
              </w:rPr>
              <w:t xml:space="preserve"> </w:t>
            </w:r>
          </w:p>
          <w:p w14:paraId="5C279CAF">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（5）应用管理，不用远程控制桌面，也能掌握电脑中所有应用的开启与关闭，实时监控应用状态；</w:t>
            </w:r>
          </w:p>
          <w:p w14:paraId="23EABE05">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6）PPT助手：把手机变成PPT翻页笔，支持PPT的播放、退出、翻页功能，且能锁定操作、触感震动反馈等；</w:t>
            </w:r>
            <w:r>
              <w:rPr>
                <w:rFonts w:hint="eastAsia" w:ascii="宋体" w:hAnsi="宋体" w:eastAsia="宋体" w:cs="宋体"/>
                <w:b/>
                <w:bCs/>
                <w:color w:val="auto"/>
                <w:kern w:val="0"/>
                <w:sz w:val="24"/>
                <w:szCs w:val="24"/>
                <w:highlight w:val="none"/>
              </w:rPr>
              <w:t xml:space="preserve"> </w:t>
            </w:r>
          </w:p>
          <w:p w14:paraId="0FD06060">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（7）设备支持反馈二维码，用户使用微信扫描进入小程序反馈平台，提交上传异常问题，异常现象等图片或视频，一键上报售后。</w:t>
            </w:r>
          </w:p>
          <w:p w14:paraId="7CF2301E">
            <w:pPr>
              <w:spacing w:line="360" w:lineRule="auto"/>
              <w:rPr>
                <w:rFonts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ascii="宋体" w:hAnsi="宋体" w:eastAsia="宋体" w:cs="宋体"/>
                <w:b/>
                <w:bCs/>
                <w:color w:val="auto"/>
                <w:kern w:val="0"/>
                <w:sz w:val="24"/>
                <w:szCs w:val="24"/>
                <w:highlight w:val="none"/>
              </w:rPr>
              <w:t>8</w:t>
            </w:r>
            <w:r>
              <w:rPr>
                <w:rFonts w:hint="eastAsia" w:ascii="宋体" w:hAnsi="宋体" w:eastAsia="宋体" w:cs="宋体"/>
                <w:b/>
                <w:bCs/>
                <w:color w:val="auto"/>
                <w:kern w:val="0"/>
                <w:sz w:val="24"/>
                <w:szCs w:val="24"/>
                <w:highlight w:val="none"/>
              </w:rPr>
              <w:t>.配套教学音响</w:t>
            </w:r>
          </w:p>
          <w:p w14:paraId="6ADEBE3C">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ascii="宋体" w:hAnsi="宋体" w:eastAsia="宋体" w:cs="宋体"/>
                <w:color w:val="auto"/>
                <w:kern w:val="0"/>
                <w:sz w:val="24"/>
                <w:szCs w:val="24"/>
                <w:highlight w:val="none"/>
              </w:rPr>
              <w:t>8.1</w:t>
            </w:r>
            <w:r>
              <w:rPr>
                <w:rFonts w:hint="eastAsia" w:ascii="宋体" w:hAnsi="宋体" w:eastAsia="宋体" w:cs="宋体"/>
                <w:color w:val="auto"/>
                <w:kern w:val="0"/>
                <w:sz w:val="24"/>
                <w:szCs w:val="24"/>
                <w:highlight w:val="none"/>
              </w:rPr>
              <w:t>音响</w:t>
            </w:r>
          </w:p>
          <w:p w14:paraId="0497B2D0">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（1）集成数字功放，红外无线接收模块，反馈抑制模块，DSP数字音频处理模块，扬声器于一体。</w:t>
            </w:r>
          </w:p>
          <w:p w14:paraId="571B470B">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（2）采用红外光线进行音频传输，可在室外阳光环境下工作，不串频，无干扰。</w:t>
            </w:r>
          </w:p>
          <w:p w14:paraId="32B75653">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（3）频道组数≥3通道，支持两支红外无线话筒（具备红外技术PPT翻页功能）和一支红外翻页笔同时使用。</w:t>
            </w:r>
          </w:p>
          <w:p w14:paraId="50FD4CFF">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（4）内嵌超广角多阵列式红外线接收管≥24颗。</w:t>
            </w:r>
          </w:p>
          <w:p w14:paraId="4F9FCA70">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（5）内嵌至少2个4"扬声器。</w:t>
            </w:r>
          </w:p>
          <w:p w14:paraId="35FE5435">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（6）接口：红外传输扩展口RJ45网口1个；线路输入接口1个；USB数字声卡接口1个；混音输出接口1个；话筒独立输出1个。</w:t>
            </w:r>
          </w:p>
          <w:p w14:paraId="1A9A2619">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（7）支持RS232中控，实现每路音量调节，高低音调节，参数储存/恢复，电源开关的中控控制。</w:t>
            </w:r>
          </w:p>
          <w:p w14:paraId="4D6E2DC3">
            <w:pPr>
              <w:spacing w:line="360" w:lineRule="auto"/>
              <w:rPr>
                <w:rFonts w:ascii="Times New Roman" w:hAnsi="Times New Roman" w:eastAsia="宋体" w:cs="Times New Roman"/>
                <w:color w:val="auto"/>
                <w:sz w:val="24"/>
                <w:szCs w:val="24"/>
                <w:highlight w:val="none"/>
              </w:rPr>
            </w:pPr>
            <w:r>
              <w:rPr>
                <w:rFonts w:hint="eastAsia" w:ascii="宋体" w:hAnsi="宋体" w:eastAsia="宋体" w:cs="宋体"/>
                <w:color w:val="auto"/>
                <w:kern w:val="0"/>
                <w:sz w:val="24"/>
                <w:szCs w:val="24"/>
                <w:highlight w:val="none"/>
              </w:rPr>
              <w:t>（8）前面板配置中文液晶屏，及时反馈设备状态。</w:t>
            </w:r>
          </w:p>
          <w:p w14:paraId="002D5B65">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ascii="宋体" w:hAnsi="宋体" w:eastAsia="宋体" w:cs="宋体"/>
                <w:color w:val="auto"/>
                <w:kern w:val="0"/>
                <w:sz w:val="24"/>
                <w:szCs w:val="24"/>
                <w:highlight w:val="none"/>
              </w:rPr>
              <w:t>9</w:t>
            </w:r>
            <w:r>
              <w:rPr>
                <w:rFonts w:hint="eastAsia" w:ascii="宋体" w:hAnsi="宋体" w:eastAsia="宋体" w:cs="宋体"/>
                <w:color w:val="auto"/>
                <w:kern w:val="0"/>
                <w:sz w:val="24"/>
                <w:szCs w:val="24"/>
                <w:highlight w:val="none"/>
              </w:rPr>
              <w:t>）标配挂墙支架。</w:t>
            </w:r>
          </w:p>
          <w:p w14:paraId="56CCA272">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ascii="宋体" w:hAnsi="宋体" w:eastAsia="宋体" w:cs="宋体"/>
                <w:color w:val="auto"/>
                <w:kern w:val="0"/>
                <w:sz w:val="24"/>
                <w:szCs w:val="24"/>
                <w:highlight w:val="none"/>
              </w:rPr>
              <w:t>8.2</w:t>
            </w:r>
            <w:r>
              <w:rPr>
                <w:rFonts w:hint="eastAsia" w:ascii="宋体" w:hAnsi="宋体" w:eastAsia="宋体" w:cs="宋体"/>
                <w:color w:val="auto"/>
                <w:kern w:val="0"/>
                <w:sz w:val="24"/>
                <w:szCs w:val="24"/>
                <w:highlight w:val="none"/>
              </w:rPr>
              <w:t>话筒</w:t>
            </w:r>
          </w:p>
          <w:p w14:paraId="66634DF5">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（1）无线传输制式：红外线，高灵敏度红外线发射管≥6颗，分布在前后左右四面，不易遮挡。</w:t>
            </w:r>
          </w:p>
          <w:p w14:paraId="0B963355">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（2）拾音传感器：电容式驻极体音头ECM。</w:t>
            </w:r>
          </w:p>
          <w:p w14:paraId="3317F6D8">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（3）有效传输距离：与配套主机实现不小于25米（室内直线无遮挡）稳定传输。</w:t>
            </w:r>
          </w:p>
          <w:p w14:paraId="74B0F911">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（4）通道调节：双通道设计，可自主调节红外通道。</w:t>
            </w:r>
          </w:p>
          <w:p w14:paraId="3D65D58E">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（5）功率调节：可自主设定高低两档发射功率。</w:t>
            </w:r>
          </w:p>
          <w:p w14:paraId="151B67A6">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（6）电池：内置不小于1300mAh锂电池，工作时间≥8小时。</w:t>
            </w:r>
          </w:p>
          <w:p w14:paraId="3E210E45">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（7）充电方式：支持磁吸座充(即话筒尾部安装环形充电磁铁，正反方向都能充电)和磁吸线充。</w:t>
            </w:r>
          </w:p>
          <w:p w14:paraId="5AF9A3A0">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（8）话筒具备PPT翻页功能。</w:t>
            </w:r>
          </w:p>
          <w:p w14:paraId="09482BDE">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（9）话筒具备绿色激光教鞭功能。</w:t>
            </w:r>
          </w:p>
          <w:p w14:paraId="1C1C6A60">
            <w:pPr>
              <w:spacing w:line="360" w:lineRule="auto"/>
              <w:rPr>
                <w:rFonts w:ascii="Times New Roman" w:hAnsi="Times New Roman" w:eastAsia="宋体" w:cs="Times New Roman"/>
                <w:color w:val="auto"/>
                <w:sz w:val="24"/>
                <w:szCs w:val="24"/>
                <w:highlight w:val="none"/>
              </w:rPr>
            </w:pPr>
            <w:r>
              <w:rPr>
                <w:rFonts w:hint="eastAsia" w:ascii="宋体" w:hAnsi="宋体" w:eastAsia="宋体" w:cs="宋体"/>
                <w:color w:val="auto"/>
                <w:kern w:val="0"/>
                <w:sz w:val="24"/>
                <w:szCs w:val="24"/>
                <w:highlight w:val="none"/>
              </w:rPr>
              <w:t>（1</w:t>
            </w:r>
            <w:r>
              <w:rPr>
                <w:rFonts w:ascii="宋体" w:hAnsi="宋体" w:eastAsia="宋体" w:cs="宋体"/>
                <w:color w:val="auto"/>
                <w:kern w:val="0"/>
                <w:sz w:val="24"/>
                <w:szCs w:val="24"/>
                <w:highlight w:val="none"/>
              </w:rPr>
              <w:t>0</w:t>
            </w:r>
            <w:r>
              <w:rPr>
                <w:rFonts w:hint="eastAsia" w:ascii="宋体" w:hAnsi="宋体" w:eastAsia="宋体" w:cs="宋体"/>
                <w:color w:val="auto"/>
                <w:kern w:val="0"/>
                <w:sz w:val="24"/>
                <w:szCs w:val="24"/>
                <w:highlight w:val="none"/>
              </w:rPr>
              <w:t>）智能电源管理：话筒静置1秒后自动休眠，拿取时瞬间自动正常工作。</w:t>
            </w:r>
          </w:p>
          <w:p w14:paraId="663946DE">
            <w:pPr>
              <w:spacing w:line="360" w:lineRule="auto"/>
              <w:rPr>
                <w:rFonts w:ascii="宋体" w:hAnsi="宋体" w:eastAsia="宋体" w:cs="宋体"/>
                <w:color w:val="auto"/>
                <w:kern w:val="0"/>
                <w:sz w:val="24"/>
                <w:szCs w:val="24"/>
                <w:highlight w:val="none"/>
              </w:rPr>
            </w:pPr>
            <w:r>
              <w:rPr>
                <w:rFonts w:ascii="宋体" w:hAnsi="宋体" w:eastAsia="宋体" w:cs="宋体"/>
                <w:color w:val="auto"/>
                <w:kern w:val="0"/>
                <w:sz w:val="24"/>
                <w:szCs w:val="24"/>
                <w:highlight w:val="none"/>
              </w:rPr>
              <w:t>18.3</w:t>
            </w:r>
            <w:r>
              <w:rPr>
                <w:rFonts w:hint="eastAsia" w:ascii="宋体" w:hAnsi="宋体" w:eastAsia="宋体" w:cs="宋体"/>
                <w:color w:val="auto"/>
                <w:kern w:val="0"/>
                <w:sz w:val="24"/>
                <w:szCs w:val="24"/>
                <w:highlight w:val="none"/>
              </w:rPr>
              <w:t>充电底座</w:t>
            </w:r>
          </w:p>
          <w:p w14:paraId="2C4D2C42">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（1）标配一个充电位，支持不同形状话筒（颈挂式、手持式）和智能翻页笔充电。同时支持桌面放置、嵌入式、壁挂式三种安装方式（壁挂支架选配）。</w:t>
            </w:r>
          </w:p>
          <w:p w14:paraId="7BA01CFA">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（2）充电保护：对不关话筒的情况下可以自动断开内部电路并进行充电。</w:t>
            </w:r>
          </w:p>
          <w:p w14:paraId="297D12A2">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（3）充电指示：可根据充电指示灯判断充电情况。</w:t>
            </w:r>
          </w:p>
          <w:p w14:paraId="3A06B0A5">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（4）电池识别保护：能自动识别是否是充电电池，检测到非充电电池会自动断电保护。</w:t>
            </w:r>
          </w:p>
          <w:p w14:paraId="761921EB">
            <w:pPr>
              <w:spacing w:line="360" w:lineRule="auto"/>
              <w:rPr>
                <w:rFonts w:ascii="Times New Roman" w:hAnsi="Times New Roman" w:eastAsia="宋体" w:cs="Times New Roman"/>
                <w:color w:val="auto"/>
                <w:sz w:val="24"/>
                <w:szCs w:val="24"/>
                <w:highlight w:val="none"/>
              </w:rPr>
            </w:pPr>
            <w:r>
              <w:rPr>
                <w:rFonts w:hint="eastAsia" w:ascii="宋体" w:hAnsi="宋体" w:eastAsia="宋体" w:cs="宋体"/>
                <w:color w:val="auto"/>
                <w:kern w:val="0"/>
                <w:sz w:val="24"/>
                <w:szCs w:val="24"/>
                <w:highlight w:val="none"/>
              </w:rPr>
              <w:t>（5）同时具备Type-C接口和4P凤凰插口，且都支持供电和RS-232控制协议，通过中控接口反馈充电状态，发送控制指令。</w:t>
            </w:r>
          </w:p>
          <w:p w14:paraId="155A3C81">
            <w:pPr>
              <w:spacing w:line="360" w:lineRule="auto"/>
              <w:rPr>
                <w:rFonts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ascii="宋体" w:hAnsi="宋体" w:eastAsia="宋体" w:cs="宋体"/>
                <w:b/>
                <w:bCs/>
                <w:color w:val="auto"/>
                <w:kern w:val="0"/>
                <w:sz w:val="24"/>
                <w:szCs w:val="24"/>
                <w:highlight w:val="none"/>
              </w:rPr>
              <w:t>9</w:t>
            </w:r>
            <w:r>
              <w:rPr>
                <w:rFonts w:hint="eastAsia" w:ascii="宋体" w:hAnsi="宋体" w:eastAsia="宋体" w:cs="宋体"/>
                <w:b/>
                <w:bCs/>
                <w:color w:val="auto"/>
                <w:kern w:val="0"/>
                <w:sz w:val="24"/>
                <w:szCs w:val="24"/>
                <w:highlight w:val="none"/>
              </w:rPr>
              <w:t>.配套四足机器人</w:t>
            </w:r>
          </w:p>
          <w:p w14:paraId="37BA079A">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ascii="宋体" w:hAnsi="宋体" w:eastAsia="宋体" w:cs="宋体"/>
                <w:color w:val="auto"/>
                <w:kern w:val="0"/>
                <w:sz w:val="24"/>
                <w:szCs w:val="24"/>
                <w:highlight w:val="none"/>
              </w:rPr>
              <w:t>9.1</w:t>
            </w:r>
            <w:r>
              <w:rPr>
                <w:rFonts w:hint="eastAsia" w:ascii="宋体" w:hAnsi="宋体" w:eastAsia="宋体" w:cs="宋体"/>
                <w:color w:val="auto"/>
                <w:kern w:val="0"/>
                <w:sz w:val="24"/>
                <w:szCs w:val="24"/>
                <w:highlight w:val="none"/>
              </w:rPr>
              <w:t>整机技术指标</w:t>
            </w:r>
          </w:p>
          <w:p w14:paraId="6E313A7C">
            <w:pPr>
              <w:spacing w:line="360" w:lineRule="auto"/>
              <w:rPr>
                <w:rFonts w:hint="eastAsia" w:ascii="宋体" w:hAnsi="宋体" w:eastAsia="宋体" w:cs="宋体"/>
                <w:b/>
                <w:bCs/>
                <w:color w:val="auto"/>
                <w:kern w:val="0"/>
                <w:sz w:val="24"/>
                <w:szCs w:val="24"/>
                <w:highlight w:val="none"/>
                <w:lang w:eastAsia="zh-CN"/>
              </w:rPr>
            </w:pPr>
            <w:r>
              <w:rPr>
                <w:rFonts w:hint="eastAsia" w:ascii="Times New Roman" w:hAnsi="Times New Roman" w:eastAsia="宋体" w:cs="Times New Roman"/>
                <w:color w:val="auto"/>
                <w:sz w:val="24"/>
                <w:szCs w:val="24"/>
                <w:highlight w:val="none"/>
              </w:rPr>
              <w:t>★</w:t>
            </w:r>
            <w:r>
              <w:rPr>
                <w:rFonts w:hint="eastAsia" w:ascii="宋体" w:hAnsi="宋体" w:eastAsia="宋体" w:cs="宋体"/>
                <w:color w:val="auto"/>
                <w:kern w:val="0"/>
                <w:sz w:val="24"/>
                <w:szCs w:val="24"/>
                <w:highlight w:val="none"/>
              </w:rPr>
              <w:t>（1）站立尺寸(长×宽×高)：≥610mm×370mm×436mm；</w:t>
            </w:r>
          </w:p>
          <w:p w14:paraId="1F65F09C">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（2）整机重量（含电池）≥12kg；</w:t>
            </w:r>
          </w:p>
          <w:p w14:paraId="1AD5D19B">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（3）有效负载≥4.5kg，极限负载≥7kg；</w:t>
            </w:r>
          </w:p>
          <w:p w14:paraId="0D55A597">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（4）最大运动速度≥2.5m/s；</w:t>
            </w:r>
          </w:p>
          <w:p w14:paraId="5829582E">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（5）最大攀爬斜坡角度≥40°，连续楼梯高度≥15cm；</w:t>
            </w:r>
          </w:p>
          <w:p w14:paraId="4753B09B">
            <w:pPr>
              <w:spacing w:line="360" w:lineRule="auto"/>
              <w:rPr>
                <w:rFonts w:hint="eastAsia" w:ascii="宋体" w:hAnsi="宋体" w:eastAsia="宋体" w:cs="宋体"/>
                <w:color w:val="auto"/>
                <w:kern w:val="0"/>
                <w:sz w:val="24"/>
                <w:szCs w:val="24"/>
                <w:highlight w:val="none"/>
                <w:lang w:eastAsia="zh-CN"/>
              </w:rPr>
            </w:pPr>
            <w:r>
              <w:rPr>
                <w:rFonts w:hint="eastAsia" w:ascii="Times New Roman" w:hAnsi="Times New Roman" w:eastAsia="宋体" w:cs="Times New Roman"/>
                <w:color w:val="auto"/>
                <w:sz w:val="24"/>
                <w:szCs w:val="24"/>
                <w:highlight w:val="none"/>
              </w:rPr>
              <w:t>★</w:t>
            </w:r>
            <w:r>
              <w:rPr>
                <w:rFonts w:hint="eastAsia" w:ascii="宋体" w:hAnsi="宋体" w:eastAsia="宋体" w:cs="宋体"/>
                <w:color w:val="auto"/>
                <w:kern w:val="0"/>
                <w:sz w:val="24"/>
                <w:szCs w:val="24"/>
                <w:highlight w:val="none"/>
              </w:rPr>
              <w:t>（6）电池能量：≥12</w:t>
            </w:r>
            <w:r>
              <w:rPr>
                <w:rFonts w:ascii="宋体" w:hAnsi="宋体" w:eastAsia="宋体" w:cs="宋体"/>
                <w:color w:val="auto"/>
                <w:kern w:val="0"/>
                <w:sz w:val="24"/>
                <w:szCs w:val="24"/>
                <w:highlight w:val="none"/>
              </w:rPr>
              <w:t>5</w:t>
            </w:r>
            <w:r>
              <w:rPr>
                <w:rFonts w:hint="eastAsia" w:ascii="宋体" w:hAnsi="宋体" w:eastAsia="宋体" w:cs="宋体"/>
                <w:color w:val="auto"/>
                <w:kern w:val="0"/>
                <w:sz w:val="24"/>
                <w:szCs w:val="24"/>
                <w:highlight w:val="none"/>
              </w:rPr>
              <w:t>Wh，电池容量：≥4</w:t>
            </w:r>
            <w:r>
              <w:rPr>
                <w:rFonts w:ascii="宋体" w:hAnsi="宋体" w:eastAsia="宋体" w:cs="宋体"/>
                <w:color w:val="auto"/>
                <w:kern w:val="0"/>
                <w:sz w:val="24"/>
                <w:szCs w:val="24"/>
                <w:highlight w:val="none"/>
              </w:rPr>
              <w:t>0</w:t>
            </w:r>
            <w:r>
              <w:rPr>
                <w:rFonts w:hint="eastAsia" w:ascii="宋体" w:hAnsi="宋体" w:eastAsia="宋体" w:cs="宋体"/>
                <w:color w:val="auto"/>
                <w:kern w:val="0"/>
                <w:sz w:val="24"/>
                <w:szCs w:val="24"/>
                <w:highlight w:val="none"/>
              </w:rPr>
              <w:t>00mAh，空载运动续航时间：≥1.5h；</w:t>
            </w:r>
          </w:p>
          <w:p w14:paraId="4C7F4035">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（7）整机自由度≥12</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单腿自由度≥3；</w:t>
            </w:r>
          </w:p>
          <w:p w14:paraId="301E21EA">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（8）支持平底、越障步态，支持切换机器狗身体高度为正常、匍匐档位；</w:t>
            </w:r>
          </w:p>
          <w:p w14:paraId="20D84964">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ascii="宋体" w:hAnsi="宋体" w:eastAsia="宋体" w:cs="宋体"/>
                <w:color w:val="auto"/>
                <w:kern w:val="0"/>
                <w:sz w:val="24"/>
                <w:szCs w:val="24"/>
                <w:highlight w:val="none"/>
              </w:rPr>
              <w:t>9</w:t>
            </w:r>
            <w:r>
              <w:rPr>
                <w:rFonts w:hint="eastAsia" w:ascii="宋体" w:hAnsi="宋体" w:eastAsia="宋体" w:cs="宋体"/>
                <w:color w:val="auto"/>
                <w:kern w:val="0"/>
                <w:sz w:val="24"/>
                <w:szCs w:val="24"/>
                <w:highlight w:val="none"/>
              </w:rPr>
              <w:t>）机器人的平衡算法采用全力控算法，无需安装足底压力传感器，即可实现360°无盲区感测足底三维力；</w:t>
            </w:r>
          </w:p>
          <w:p w14:paraId="7595A2D3">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ascii="宋体" w:hAnsi="宋体" w:eastAsia="宋体" w:cs="宋体"/>
                <w:color w:val="auto"/>
                <w:kern w:val="0"/>
                <w:sz w:val="24"/>
                <w:szCs w:val="24"/>
                <w:highlight w:val="none"/>
              </w:rPr>
              <w:t>0</w:t>
            </w:r>
            <w:r>
              <w:rPr>
                <w:rFonts w:hint="eastAsia" w:ascii="宋体" w:hAnsi="宋体" w:eastAsia="宋体" w:cs="宋体"/>
                <w:color w:val="auto"/>
                <w:kern w:val="0"/>
                <w:sz w:val="24"/>
                <w:szCs w:val="24"/>
                <w:highlight w:val="none"/>
              </w:rPr>
              <w:t>）超声波雷达×2：配备前后停障功能，支持距离检测和停障算法开发；</w:t>
            </w:r>
          </w:p>
          <w:p w14:paraId="5DE56E3B">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rPr>
              <w:t>）广角相机×1：水平视角≥130°；分辨率：≥1920×1080@30fps；可逆光、无畸变，支持人体识别跟踪算法开发</w:t>
            </w:r>
          </w:p>
          <w:p w14:paraId="7177848B">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（12）支持灯语交互，支持不同灯光状态展示机器狗状态如开机自检、连接状态、运动状态、低电量、关节过温、断连等设备状态；</w:t>
            </w:r>
          </w:p>
          <w:p w14:paraId="0C68A3AB">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（13）提供不少于5种展示动作，如打招呼、扭身体、太空步、向前跳、扭身跳等动作；</w:t>
            </w:r>
          </w:p>
          <w:p w14:paraId="35CA9A59">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（14）支持AI运动模式步态，AI步态情况下，支持攀爬≥18cm楼梯；</w:t>
            </w:r>
          </w:p>
          <w:p w14:paraId="2F5D0987">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（15）AI步态情况下，未下发轴指令时支持牵引控制；</w:t>
            </w:r>
          </w:p>
          <w:p w14:paraId="32F94703">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ascii="宋体" w:hAnsi="宋体" w:eastAsia="宋体" w:cs="宋体"/>
                <w:color w:val="auto"/>
                <w:kern w:val="0"/>
                <w:sz w:val="24"/>
                <w:szCs w:val="24"/>
                <w:highlight w:val="none"/>
              </w:rPr>
              <w:t>6</w:t>
            </w:r>
            <w:r>
              <w:rPr>
                <w:rFonts w:hint="eastAsia" w:ascii="宋体" w:hAnsi="宋体" w:eastAsia="宋体" w:cs="宋体"/>
                <w:color w:val="auto"/>
                <w:kern w:val="0"/>
                <w:sz w:val="24"/>
                <w:szCs w:val="24"/>
                <w:highlight w:val="none"/>
              </w:rPr>
              <w:t>）支持开启视觉跟随功能，跟随对象选取成功后，机器狗在起立状态下会自主跟随框中的对象；</w:t>
            </w:r>
          </w:p>
          <w:p w14:paraId="7C67487D">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ascii="宋体" w:hAnsi="宋体" w:eastAsia="宋体" w:cs="宋体"/>
                <w:color w:val="auto"/>
                <w:kern w:val="0"/>
                <w:sz w:val="24"/>
                <w:szCs w:val="24"/>
                <w:highlight w:val="none"/>
              </w:rPr>
              <w:t>7</w:t>
            </w:r>
            <w:r>
              <w:rPr>
                <w:rFonts w:hint="eastAsia" w:ascii="宋体" w:hAnsi="宋体" w:eastAsia="宋体" w:cs="宋体"/>
                <w:color w:val="auto"/>
                <w:kern w:val="0"/>
                <w:sz w:val="24"/>
                <w:szCs w:val="24"/>
                <w:highlight w:val="none"/>
              </w:rPr>
              <w:t>）支持中英文语音指令，点击app页面语音按键说出内置口令后，机器狗将执行相应动作如起立、趴下、前后左右移动、停止、转向等语音指令执行；</w:t>
            </w:r>
          </w:p>
          <w:p w14:paraId="1394E7A9">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ascii="宋体" w:hAnsi="宋体" w:eastAsia="宋体" w:cs="宋体"/>
                <w:color w:val="auto"/>
                <w:kern w:val="0"/>
                <w:sz w:val="24"/>
                <w:szCs w:val="24"/>
                <w:highlight w:val="none"/>
              </w:rPr>
              <w:t>8</w:t>
            </w:r>
            <w:r>
              <w:rPr>
                <w:rFonts w:hint="eastAsia" w:ascii="宋体" w:hAnsi="宋体" w:eastAsia="宋体" w:cs="宋体"/>
                <w:color w:val="auto"/>
                <w:kern w:val="0"/>
                <w:sz w:val="24"/>
                <w:szCs w:val="24"/>
                <w:highlight w:val="none"/>
              </w:rPr>
              <w:t>）机器人意外摔倒时，支持手动选择爬起方向；</w:t>
            </w:r>
          </w:p>
          <w:p w14:paraId="2E91A498">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ascii="宋体" w:hAnsi="宋体" w:eastAsia="宋体" w:cs="宋体"/>
                <w:color w:val="auto"/>
                <w:kern w:val="0"/>
                <w:sz w:val="24"/>
                <w:szCs w:val="24"/>
                <w:highlight w:val="none"/>
              </w:rPr>
              <w:t>9</w:t>
            </w:r>
            <w:r>
              <w:rPr>
                <w:rFonts w:hint="eastAsia" w:ascii="宋体" w:hAnsi="宋体" w:eastAsia="宋体" w:cs="宋体"/>
                <w:color w:val="auto"/>
                <w:kern w:val="0"/>
                <w:sz w:val="24"/>
                <w:szCs w:val="24"/>
                <w:highlight w:val="none"/>
              </w:rPr>
              <w:t>）具备急停保护、低电量保护、关节过热保护等保护措施；</w:t>
            </w:r>
          </w:p>
          <w:p w14:paraId="796410BE">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ascii="宋体" w:hAnsi="宋体" w:eastAsia="宋体" w:cs="宋体"/>
                <w:color w:val="auto"/>
                <w:kern w:val="0"/>
                <w:sz w:val="24"/>
                <w:szCs w:val="24"/>
                <w:highlight w:val="none"/>
              </w:rPr>
              <w:t>0</w:t>
            </w:r>
            <w:r>
              <w:rPr>
                <w:rFonts w:hint="eastAsia" w:ascii="宋体" w:hAnsi="宋体" w:eastAsia="宋体" w:cs="宋体"/>
                <w:color w:val="auto"/>
                <w:kern w:val="0"/>
                <w:sz w:val="24"/>
                <w:szCs w:val="24"/>
                <w:highlight w:val="none"/>
              </w:rPr>
              <w:t>）机器人自带多路可输出内置电源，电源接口5V/12V/24V，机器人自带多路可扩展接口，包括Ethernet/WiFi，方便二次开发具备外部接口；</w:t>
            </w:r>
          </w:p>
          <w:p w14:paraId="463F926B">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rPr>
              <w:t>）支持停障辅助功能，检测前后障碍物可自动减速至原地踏步；</w:t>
            </w:r>
          </w:p>
          <w:p w14:paraId="05262373">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rPr>
              <w:t>）提供详细的使用文档和开发手册，提供机器人运动模型供运动仿真，提供运动控制算法开发SDK和API、运动开发Demo，提供运动二次开发手册；</w:t>
            </w:r>
          </w:p>
          <w:p w14:paraId="5E92D6F6">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ascii="宋体" w:hAnsi="宋体" w:eastAsia="宋体" w:cs="宋体"/>
                <w:color w:val="auto"/>
                <w:kern w:val="0"/>
                <w:sz w:val="24"/>
                <w:szCs w:val="24"/>
                <w:highlight w:val="none"/>
              </w:rPr>
              <w:t>3</w:t>
            </w:r>
            <w:r>
              <w:rPr>
                <w:rFonts w:hint="eastAsia" w:ascii="宋体" w:hAnsi="宋体" w:eastAsia="宋体" w:cs="宋体"/>
                <w:color w:val="auto"/>
                <w:kern w:val="0"/>
                <w:sz w:val="24"/>
                <w:szCs w:val="24"/>
                <w:highlight w:val="none"/>
              </w:rPr>
              <w:t>）配套拆卸安装工具、标零工装、双关节、易损件包。易损件包：髋关节*1、膝关节*1、连杆*4、足底橡胶*4、长髋膝连接线*1、短髋侧连接线*1、机身上盖*1、侧摆关节组件*4、右解锁弹片*1、左解锁弹片*1、后梁*1、右大腿防护垫*1、左大腿防护垫</w:t>
            </w:r>
            <w:r>
              <w:rPr>
                <w:rFonts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rPr>
              <w:t>1。</w:t>
            </w:r>
          </w:p>
          <w:p w14:paraId="1D54A7A0">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ascii="宋体" w:hAnsi="宋体" w:eastAsia="宋体" w:cs="宋体"/>
                <w:color w:val="auto"/>
                <w:kern w:val="0"/>
                <w:sz w:val="24"/>
                <w:szCs w:val="24"/>
                <w:highlight w:val="none"/>
              </w:rPr>
              <w:t>4</w:t>
            </w:r>
            <w:r>
              <w:rPr>
                <w:rFonts w:hint="eastAsia" w:ascii="宋体" w:hAnsi="宋体" w:eastAsia="宋体" w:cs="宋体"/>
                <w:color w:val="auto"/>
                <w:kern w:val="0"/>
                <w:sz w:val="24"/>
                <w:szCs w:val="24"/>
                <w:highlight w:val="none"/>
              </w:rPr>
              <w:t xml:space="preserve">）配套拆卸安装课程、拆卸安装教材、产品手册等； </w:t>
            </w:r>
          </w:p>
          <w:p w14:paraId="3F9B1A61">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ascii="宋体" w:hAnsi="宋体" w:eastAsia="宋体" w:cs="宋体"/>
                <w:color w:val="auto"/>
                <w:kern w:val="0"/>
                <w:sz w:val="24"/>
                <w:szCs w:val="24"/>
                <w:highlight w:val="none"/>
              </w:rPr>
              <w:t>9.2</w:t>
            </w:r>
            <w:r>
              <w:rPr>
                <w:rFonts w:hint="eastAsia" w:ascii="宋体" w:hAnsi="宋体" w:eastAsia="宋体" w:cs="宋体"/>
                <w:color w:val="auto"/>
                <w:kern w:val="0"/>
                <w:sz w:val="24"/>
                <w:szCs w:val="24"/>
                <w:highlight w:val="none"/>
              </w:rPr>
              <w:t>深度相机套件</w:t>
            </w:r>
          </w:p>
          <w:p w14:paraId="6FABED81">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（1）深度相机分辨率：≥1280 × 720 @ 30fps，像素尺寸：≥3µm × 3µm，视场角：≥ 85° × 58°；</w:t>
            </w:r>
          </w:p>
          <w:p w14:paraId="0A19EE55">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（2）RGB分辨率：≥1920 × 1080 @ 30fps，像素尺寸：≥1.4µm × 1.4µm，视场角：≥ 69°× 42°，深度工作范围：≥</w:t>
            </w:r>
            <w:r>
              <w:rPr>
                <w:rFonts w:ascii="宋体" w:hAnsi="宋体" w:eastAsia="宋体" w:cs="宋体"/>
                <w:color w:val="auto"/>
                <w:kern w:val="0"/>
                <w:sz w:val="24"/>
                <w:szCs w:val="24"/>
                <w:highlight w:val="none"/>
              </w:rPr>
              <w:t>10</w:t>
            </w:r>
            <w:r>
              <w:rPr>
                <w:rFonts w:hint="eastAsia" w:ascii="宋体" w:hAnsi="宋体" w:eastAsia="宋体" w:cs="宋体"/>
                <w:color w:val="auto"/>
                <w:kern w:val="0"/>
                <w:sz w:val="24"/>
                <w:szCs w:val="24"/>
                <w:highlight w:val="none"/>
              </w:rPr>
              <w:t>cm - 10m，深度误差≤ 2%，基线距离≥50mm，含配套结构件及线束。</w:t>
            </w:r>
          </w:p>
          <w:p w14:paraId="7B5921B6">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ascii="宋体" w:hAnsi="宋体" w:eastAsia="宋体" w:cs="宋体"/>
                <w:color w:val="auto"/>
                <w:kern w:val="0"/>
                <w:sz w:val="24"/>
                <w:szCs w:val="24"/>
                <w:highlight w:val="none"/>
              </w:rPr>
              <w:t>9.3</w:t>
            </w:r>
            <w:r>
              <w:rPr>
                <w:rFonts w:hint="eastAsia" w:ascii="宋体" w:hAnsi="宋体" w:eastAsia="宋体" w:cs="宋体"/>
                <w:color w:val="auto"/>
                <w:kern w:val="0"/>
                <w:sz w:val="24"/>
                <w:szCs w:val="24"/>
                <w:highlight w:val="none"/>
              </w:rPr>
              <w:t xml:space="preserve"> AI主机套件</w:t>
            </w:r>
          </w:p>
          <w:p w14:paraId="0AD1539E">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（1）算力: ≥21TOPS；</w:t>
            </w:r>
          </w:p>
          <w:p w14:paraId="14FA63E0">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（2）GPU: ≥384核；</w:t>
            </w:r>
          </w:p>
          <w:p w14:paraId="0BCB3FD3">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（3）CPU: ≥6核；</w:t>
            </w:r>
          </w:p>
          <w:p w14:paraId="7D61C436">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（4）内存: ≥8GB；</w:t>
            </w:r>
          </w:p>
          <w:p w14:paraId="30D641AD">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w:t>
            </w:r>
            <w:r>
              <w:rPr>
                <w:rFonts w:hint="eastAsia" w:ascii="宋体" w:hAnsi="宋体" w:eastAsia="宋体" w:cs="宋体"/>
                <w:color w:val="auto"/>
                <w:kern w:val="0"/>
                <w:sz w:val="24"/>
                <w:szCs w:val="24"/>
                <w:highlight w:val="none"/>
                <w:lang w:val="en-US" w:eastAsia="zh-CN"/>
              </w:rPr>
              <w:t>板载</w:t>
            </w:r>
            <w:r>
              <w:rPr>
                <w:rFonts w:hint="eastAsia" w:ascii="宋体" w:hAnsi="宋体" w:eastAsia="宋体" w:cs="宋体"/>
                <w:color w:val="auto"/>
                <w:kern w:val="0"/>
                <w:sz w:val="24"/>
                <w:szCs w:val="24"/>
                <w:highlight w:val="none"/>
              </w:rPr>
              <w:t>存储: ≥16GB；</w:t>
            </w:r>
          </w:p>
          <w:p w14:paraId="1B741454">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（6）含配套结构件及线束。</w:t>
            </w:r>
          </w:p>
          <w:p w14:paraId="682964CA">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ascii="宋体" w:hAnsi="宋体" w:eastAsia="宋体" w:cs="宋体"/>
                <w:color w:val="auto"/>
                <w:kern w:val="0"/>
                <w:sz w:val="24"/>
                <w:szCs w:val="24"/>
                <w:highlight w:val="none"/>
              </w:rPr>
              <w:t>9.4</w:t>
            </w:r>
            <w:r>
              <w:rPr>
                <w:rFonts w:hint="eastAsia" w:ascii="宋体" w:hAnsi="宋体" w:eastAsia="宋体" w:cs="宋体"/>
                <w:color w:val="auto"/>
                <w:kern w:val="0"/>
                <w:sz w:val="24"/>
                <w:szCs w:val="24"/>
                <w:highlight w:val="none"/>
              </w:rPr>
              <w:t>激光雷达套件</w:t>
            </w:r>
          </w:p>
          <w:p w14:paraId="4C37E981">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（1）激光波长：≥905 nm；</w:t>
            </w:r>
          </w:p>
          <w:p w14:paraId="748D6864">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（2）人眼安全级别：Class 1； </w:t>
            </w:r>
          </w:p>
          <w:p w14:paraId="569273A7">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（3）近处盲区：≤0.1 m；</w:t>
            </w:r>
          </w:p>
          <w:p w14:paraId="55583040">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（4）FOV：水平 ≥360°, 竖直 ≥-7°</w:t>
            </w:r>
            <w:r>
              <w:rPr>
                <w:rFonts w:hint="eastAsia" w:ascii="宋体" w:hAnsi="宋体" w:eastAsia="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rPr>
              <w:t>5</w:t>
            </w:r>
            <w:r>
              <w:rPr>
                <w:rFonts w:ascii="宋体" w:hAnsi="宋体" w:eastAsia="宋体" w:cs="宋体"/>
                <w:color w:val="auto"/>
                <w:kern w:val="0"/>
                <w:sz w:val="24"/>
                <w:szCs w:val="24"/>
                <w:highlight w:val="none"/>
              </w:rPr>
              <w:t>0</w:t>
            </w:r>
            <w:r>
              <w:rPr>
                <w:rFonts w:hint="eastAsia" w:ascii="宋体" w:hAnsi="宋体" w:eastAsia="宋体" w:cs="宋体"/>
                <w:color w:val="auto"/>
                <w:kern w:val="0"/>
                <w:sz w:val="24"/>
                <w:szCs w:val="24"/>
                <w:highlight w:val="none"/>
              </w:rPr>
              <w:t>°；</w:t>
            </w:r>
          </w:p>
          <w:p w14:paraId="34F397C8">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ascii="宋体" w:hAnsi="宋体" w:eastAsia="宋体" w:cs="宋体"/>
                <w:color w:val="auto"/>
                <w:kern w:val="0"/>
                <w:sz w:val="24"/>
                <w:szCs w:val="24"/>
                <w:highlight w:val="none"/>
              </w:rPr>
              <w:t>5</w:t>
            </w:r>
            <w:r>
              <w:rPr>
                <w:rFonts w:hint="eastAsia" w:ascii="宋体" w:hAnsi="宋体" w:eastAsia="宋体" w:cs="宋体"/>
                <w:color w:val="auto"/>
                <w:kern w:val="0"/>
                <w:sz w:val="24"/>
                <w:szCs w:val="24"/>
                <w:highlight w:val="none"/>
              </w:rPr>
              <w:t>）角度随机误差（1σ ）：≤ 0.15º；</w:t>
            </w:r>
          </w:p>
          <w:p w14:paraId="757352A9">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ascii="宋体" w:hAnsi="宋体" w:eastAsia="宋体" w:cs="宋体"/>
                <w:color w:val="auto"/>
                <w:kern w:val="0"/>
                <w:sz w:val="24"/>
                <w:szCs w:val="24"/>
                <w:highlight w:val="none"/>
              </w:rPr>
              <w:t>6</w:t>
            </w:r>
            <w:r>
              <w:rPr>
                <w:rFonts w:hint="eastAsia" w:ascii="宋体" w:hAnsi="宋体" w:eastAsia="宋体" w:cs="宋体"/>
                <w:color w:val="auto"/>
                <w:kern w:val="0"/>
                <w:sz w:val="24"/>
                <w:szCs w:val="24"/>
                <w:highlight w:val="none"/>
              </w:rPr>
              <w:t xml:space="preserve">）点云输出：≥200000 点/秒； </w:t>
            </w:r>
          </w:p>
          <w:p w14:paraId="266549E7">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ascii="宋体" w:hAnsi="宋体" w:eastAsia="宋体" w:cs="宋体"/>
                <w:color w:val="auto"/>
                <w:kern w:val="0"/>
                <w:sz w:val="24"/>
                <w:szCs w:val="24"/>
                <w:highlight w:val="none"/>
              </w:rPr>
              <w:t>7</w:t>
            </w:r>
            <w:r>
              <w:rPr>
                <w:rFonts w:hint="eastAsia" w:ascii="宋体" w:hAnsi="宋体" w:eastAsia="宋体" w:cs="宋体"/>
                <w:color w:val="auto"/>
                <w:kern w:val="0"/>
                <w:sz w:val="24"/>
                <w:szCs w:val="24"/>
                <w:highlight w:val="none"/>
              </w:rPr>
              <w:t xml:space="preserve">）点云帧率：≥10 Hz； </w:t>
            </w:r>
          </w:p>
          <w:p w14:paraId="45AA10AD">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ascii="宋体" w:hAnsi="宋体" w:eastAsia="宋体" w:cs="宋体"/>
                <w:color w:val="auto"/>
                <w:kern w:val="0"/>
                <w:sz w:val="24"/>
                <w:szCs w:val="24"/>
                <w:highlight w:val="none"/>
              </w:rPr>
              <w:t>8</w:t>
            </w:r>
            <w:r>
              <w:rPr>
                <w:rFonts w:hint="eastAsia" w:ascii="宋体" w:hAnsi="宋体" w:eastAsia="宋体" w:cs="宋体"/>
                <w:color w:val="auto"/>
                <w:kern w:val="0"/>
                <w:sz w:val="24"/>
                <w:szCs w:val="24"/>
                <w:highlight w:val="none"/>
              </w:rPr>
              <w:t>）数据网口：≥100 BASE-TX 以太网；</w:t>
            </w:r>
          </w:p>
          <w:p w14:paraId="647DE429">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ascii="宋体" w:hAnsi="宋体" w:eastAsia="宋体" w:cs="宋体"/>
                <w:color w:val="auto"/>
                <w:kern w:val="0"/>
                <w:sz w:val="24"/>
                <w:szCs w:val="24"/>
                <w:highlight w:val="none"/>
              </w:rPr>
              <w:t>9</w:t>
            </w:r>
            <w:r>
              <w:rPr>
                <w:rFonts w:hint="eastAsia" w:ascii="宋体" w:hAnsi="宋体" w:eastAsia="宋体" w:cs="宋体"/>
                <w:color w:val="auto"/>
                <w:kern w:val="0"/>
                <w:sz w:val="24"/>
                <w:szCs w:val="24"/>
                <w:highlight w:val="none"/>
              </w:rPr>
              <w:t>）有抗串扰功能；</w:t>
            </w:r>
          </w:p>
          <w:p w14:paraId="0C842A48">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ascii="宋体" w:hAnsi="宋体" w:eastAsia="宋体" w:cs="宋体"/>
                <w:color w:val="auto"/>
                <w:kern w:val="0"/>
                <w:sz w:val="24"/>
                <w:szCs w:val="24"/>
                <w:highlight w:val="none"/>
              </w:rPr>
              <w:t>10</w:t>
            </w:r>
            <w:r>
              <w:rPr>
                <w:rFonts w:hint="eastAsia" w:ascii="宋体" w:hAnsi="宋体" w:eastAsia="宋体" w:cs="宋体"/>
                <w:color w:val="auto"/>
                <w:kern w:val="0"/>
                <w:sz w:val="24"/>
                <w:szCs w:val="24"/>
                <w:highlight w:val="none"/>
              </w:rPr>
              <w:t>）虚警率 (@ 100 klx) ：≤ 0.01%；</w:t>
            </w:r>
          </w:p>
          <w:p w14:paraId="3E021AD4">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rPr>
              <w:t>）功率：≥6.5 W；</w:t>
            </w:r>
          </w:p>
          <w:p w14:paraId="1BA0EC9A">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rPr>
              <w:t>）供电电压范围：9 ~ 27 V DC，含配套结构件及线束。</w:t>
            </w:r>
          </w:p>
          <w:p w14:paraId="2A4E3B08">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★19.</w:t>
            </w:r>
            <w:r>
              <w:rPr>
                <w:rFonts w:ascii="宋体" w:hAnsi="宋体" w:eastAsia="宋体" w:cs="宋体"/>
                <w:color w:val="auto"/>
                <w:kern w:val="0"/>
                <w:sz w:val="24"/>
                <w:szCs w:val="24"/>
                <w:highlight w:val="none"/>
              </w:rPr>
              <w:t>5</w:t>
            </w:r>
            <w:r>
              <w:rPr>
                <w:rFonts w:hint="eastAsia" w:ascii="宋体" w:hAnsi="宋体" w:eastAsia="宋体" w:cs="宋体"/>
                <w:color w:val="auto"/>
                <w:kern w:val="0"/>
                <w:sz w:val="24"/>
                <w:szCs w:val="24"/>
                <w:highlight w:val="none"/>
              </w:rPr>
              <w:t>部署服务及培训服务</w:t>
            </w:r>
          </w:p>
          <w:p w14:paraId="0AD311CA">
            <w:pPr>
              <w:spacing w:line="360" w:lineRule="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要求提供产品加装部署、完成机器人调测和部署的技术支持服务和针对产品使用、二次开发入门进行针对性师资培训。</w:t>
            </w:r>
          </w:p>
          <w:p w14:paraId="1801B340">
            <w:pPr>
              <w:spacing w:line="360" w:lineRule="auto"/>
              <w:rPr>
                <w:rFonts w:ascii="宋体" w:hAnsi="宋体" w:eastAsia="宋体" w:cs="宋体"/>
                <w:color w:val="auto"/>
                <w:kern w:val="0"/>
                <w:sz w:val="24"/>
                <w:szCs w:val="24"/>
                <w:highlight w:val="none"/>
              </w:rPr>
            </w:pPr>
            <w:r>
              <w:rPr>
                <w:rFonts w:ascii="宋体" w:hAnsi="宋体" w:eastAsia="宋体" w:cs="宋体"/>
                <w:b/>
                <w:bCs/>
                <w:color w:val="auto"/>
                <w:kern w:val="0"/>
                <w:sz w:val="24"/>
                <w:szCs w:val="24"/>
                <w:highlight w:val="none"/>
              </w:rPr>
              <w:t>20</w:t>
            </w:r>
            <w:r>
              <w:rPr>
                <w:rFonts w:hint="eastAsia" w:ascii="宋体" w:hAnsi="宋体" w:eastAsia="宋体" w:cs="宋体"/>
                <w:b/>
                <w:bCs/>
                <w:color w:val="auto"/>
                <w:kern w:val="0"/>
                <w:sz w:val="24"/>
                <w:szCs w:val="24"/>
                <w:highlight w:val="none"/>
              </w:rPr>
              <w:t>.配套工具</w:t>
            </w:r>
          </w:p>
          <w:p w14:paraId="467F6B33">
            <w:pPr>
              <w:spacing w:line="360" w:lineRule="auto"/>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9件套内六角套组×1；斜口钳×1；十字形螺丝批×1；一字螺丝刀×1；两用扳手7mm×1；两用扳手8mm×1；万用表×1；活动扳手开口扳手8寸×1；卷尺10M×1；美工刀×1。</w:t>
            </w:r>
          </w:p>
          <w:p w14:paraId="1F4D9A5E">
            <w:pPr>
              <w:spacing w:line="360" w:lineRule="auto"/>
              <w:rPr>
                <w:rFonts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21.配套工作台（9套）</w:t>
            </w:r>
          </w:p>
          <w:p w14:paraId="507AB752">
            <w:pPr>
              <w:spacing w:line="360" w:lineRule="auto"/>
              <w:rPr>
                <w:rFonts w:ascii="宋体" w:hAnsi="宋体" w:eastAsia="宋体" w:cs="Times New Roman"/>
                <w:bCs/>
                <w:color w:val="auto"/>
                <w:sz w:val="24"/>
                <w:szCs w:val="24"/>
                <w:highlight w:val="none"/>
              </w:rPr>
            </w:pPr>
            <w:r>
              <w:rPr>
                <w:rFonts w:hint="eastAsia" w:ascii="宋体" w:hAnsi="宋体" w:eastAsia="宋体" w:cs="宋体"/>
                <w:color w:val="auto"/>
                <w:kern w:val="0"/>
                <w:sz w:val="24"/>
                <w:szCs w:val="24"/>
                <w:highlight w:val="none"/>
              </w:rPr>
              <w:t>工作台尺寸不小于1200×600×750mm，坚固稳实，防潮耐腐蚀，板面采用三聚氰胺环保板材，面板厚度≥</w:t>
            </w:r>
            <w:r>
              <w:rPr>
                <w:rFonts w:ascii="宋体" w:hAnsi="宋体" w:eastAsia="宋体" w:cs="宋体"/>
                <w:color w:val="auto"/>
                <w:kern w:val="0"/>
                <w:sz w:val="24"/>
                <w:szCs w:val="24"/>
                <w:highlight w:val="none"/>
              </w:rPr>
              <w:t>25</w:t>
            </w:r>
            <w:r>
              <w:rPr>
                <w:rFonts w:hint="eastAsia" w:ascii="宋体" w:hAnsi="宋体" w:eastAsia="宋体" w:cs="宋体"/>
                <w:color w:val="auto"/>
                <w:kern w:val="0"/>
                <w:sz w:val="24"/>
                <w:szCs w:val="24"/>
                <w:highlight w:val="none"/>
              </w:rPr>
              <w:t>mm，桌面下部为五金钢架，壁厚≥</w:t>
            </w:r>
            <w:r>
              <w:rPr>
                <w:rFonts w:ascii="宋体" w:hAnsi="宋体" w:eastAsia="宋体" w:cs="宋体"/>
                <w:color w:val="auto"/>
                <w:kern w:val="0"/>
                <w:sz w:val="24"/>
                <w:szCs w:val="24"/>
                <w:highlight w:val="none"/>
              </w:rPr>
              <w:t>0</w:t>
            </w:r>
            <w:r>
              <w:rPr>
                <w:rFonts w:hint="eastAsia" w:ascii="宋体" w:hAnsi="宋体" w:eastAsia="宋体" w:cs="宋体"/>
                <w:color w:val="auto"/>
                <w:kern w:val="0"/>
                <w:sz w:val="24"/>
                <w:szCs w:val="24"/>
                <w:highlight w:val="none"/>
              </w:rPr>
              <w:t>.</w:t>
            </w:r>
            <w:r>
              <w:rPr>
                <w:rFonts w:ascii="宋体" w:hAnsi="宋体" w:eastAsia="宋体" w:cs="宋体"/>
                <w:color w:val="auto"/>
                <w:kern w:val="0"/>
                <w:sz w:val="24"/>
                <w:szCs w:val="24"/>
                <w:highlight w:val="none"/>
              </w:rPr>
              <w:t>8</w:t>
            </w:r>
            <w:r>
              <w:rPr>
                <w:rFonts w:hint="eastAsia" w:ascii="宋体" w:hAnsi="宋体" w:eastAsia="宋体" w:cs="宋体"/>
                <w:color w:val="auto"/>
                <w:kern w:val="0"/>
                <w:sz w:val="24"/>
                <w:szCs w:val="24"/>
                <w:highlight w:val="none"/>
              </w:rPr>
              <w:t>mm；钢管焊接。工作椅（1个工作台配2个椅子）：坚固稳实，防潮耐腐蚀，板面采用三聚氰胺环保板材，下部为五金钢架。</w:t>
            </w:r>
          </w:p>
        </w:tc>
      </w:tr>
    </w:tbl>
    <w:p w14:paraId="7CB04AFA">
      <w:pPr>
        <w:widowControl w:val="0"/>
        <w:spacing w:after="120"/>
        <w:ind w:left="420" w:leftChars="200" w:firstLine="482" w:firstLineChars="200"/>
        <w:jc w:val="both"/>
        <w:rPr>
          <w:rFonts w:hint="eastAsia" w:ascii="宋体" w:hAnsi="宋体" w:eastAsia="宋体" w:cs="Times New Roman"/>
          <w:b/>
          <w:color w:val="auto"/>
          <w:kern w:val="2"/>
          <w:sz w:val="24"/>
          <w:szCs w:val="24"/>
          <w:highlight w:val="none"/>
          <w:lang w:val="en-US" w:eastAsia="zh-CN" w:bidi="ar-SA"/>
        </w:rPr>
      </w:pPr>
    </w:p>
    <w:p w14:paraId="4AEA453C">
      <w:pPr>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auto"/>
        <w:outlineLvl w:val="1"/>
        <w:rPr>
          <w:rFonts w:hint="eastAsia" w:ascii="宋体" w:hAnsi="宋体" w:eastAsia="宋体"/>
          <w:b/>
          <w:color w:val="auto"/>
          <w:sz w:val="24"/>
          <w:szCs w:val="24"/>
          <w:highlight w:val="none"/>
          <w:lang w:val="en-US" w:eastAsia="zh-CN"/>
        </w:rPr>
      </w:pPr>
      <w:r>
        <w:rPr>
          <w:rFonts w:hint="eastAsia" w:ascii="宋体" w:hAnsi="宋体" w:eastAsia="宋体"/>
          <w:b/>
          <w:color w:val="auto"/>
          <w:sz w:val="24"/>
          <w:szCs w:val="24"/>
          <w:highlight w:val="none"/>
          <w:lang w:val="en-US" w:eastAsia="zh-CN"/>
        </w:rPr>
        <w:t>三、安装调试、质保及售后服务要求（如有）</w:t>
      </w:r>
    </w:p>
    <w:p w14:paraId="4AF40F6C">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1、中标人免费安装、调试、培训且提供具体的培训方案。所有设备均应按出厂标准及国家有关要求进行包装及运输，送货至采购人指定的交货地点，由中标人负责派人负责设备的现场安装和调试。</w:t>
      </w:r>
    </w:p>
    <w:p w14:paraId="70BF3921">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2、所有设备物品为全新产品。</w:t>
      </w:r>
    </w:p>
    <w:p w14:paraId="35551DB5">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所有设备验收时必须现场操作所列功能，可以正常使用，涉及到耗材等由中标人提供，验收时中标人要保证交付的所有硬件设备均为原厂全新的产品，未经使用、维修、翻新；配套软件、教学资源均需取得原厂商完整正版永久授权，授权无时间期限，采购人可永久合规使用全部软件功能，中标人负责保障软件版权合法有效，无侵权、限时收费、功能受限情形等，提供相关证明材料。</w:t>
      </w:r>
    </w:p>
    <w:p w14:paraId="4394F1CF">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维修响应：中标人在保修期内接到用户电话后，在1小时内响应，12小时内到达现场，24小时以内解决问题，不能修复的必须采取无偿更换设备措施，以保证用户的正常使用。保修期外中标人终生提供零配件及维修保养，可收取维修成本。</w:t>
      </w:r>
    </w:p>
    <w:p w14:paraId="53D8C676">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5、质保期内免费提供系统维护、版本升级等技术支持服务。保修期后应提供系统维护、扩充、升级等方面的技术支持服务。</w:t>
      </w:r>
    </w:p>
    <w:p w14:paraId="6CE18140">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6、项目验收后，根据采购人的要求，中标人应当为采购人指定的人员提供免费的培训，培训人数不限，培训时长不少于5天，并向采购人提供培训相关资料。</w:t>
      </w:r>
    </w:p>
    <w:p w14:paraId="46895CCA">
      <w:pPr>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auto"/>
        <w:outlineLvl w:val="1"/>
        <w:rPr>
          <w:rFonts w:hint="eastAsia" w:ascii="宋体" w:hAnsi="宋体" w:eastAsia="宋体"/>
          <w:b/>
          <w:color w:val="auto"/>
          <w:sz w:val="24"/>
          <w:szCs w:val="24"/>
          <w:highlight w:val="none"/>
        </w:rPr>
      </w:pPr>
      <w:r>
        <w:rPr>
          <w:rFonts w:hint="eastAsia" w:ascii="宋体" w:hAnsi="宋体" w:eastAsia="宋体"/>
          <w:b/>
          <w:color w:val="auto"/>
          <w:sz w:val="24"/>
          <w:szCs w:val="24"/>
          <w:highlight w:val="none"/>
          <w:lang w:val="en-US" w:eastAsia="zh-CN"/>
        </w:rPr>
        <w:t>四</w:t>
      </w:r>
      <w:r>
        <w:rPr>
          <w:rFonts w:hint="eastAsia" w:ascii="宋体" w:hAnsi="宋体" w:eastAsia="宋体"/>
          <w:b/>
          <w:color w:val="auto"/>
          <w:sz w:val="24"/>
          <w:szCs w:val="24"/>
          <w:highlight w:val="none"/>
        </w:rPr>
        <w:t>、报价要求</w:t>
      </w:r>
    </w:p>
    <w:p w14:paraId="60FF6512">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本项目报总价，投标报价包括本项目需求的全部货物及所需附件购置费、包装费、运输费、人工费、保险费、安装调试费、各种税费、资料费、售后服务费及完成项目应有的全部费用。</w:t>
      </w:r>
    </w:p>
    <w:p w14:paraId="05B042F2">
      <w:pPr>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auto"/>
        <w:outlineLvl w:val="1"/>
        <w:rPr>
          <w:rFonts w:hint="eastAsia" w:ascii="宋体" w:hAnsi="宋体" w:eastAsia="宋体"/>
          <w:b/>
          <w:color w:val="auto"/>
          <w:sz w:val="24"/>
          <w:szCs w:val="24"/>
          <w:highlight w:val="none"/>
        </w:rPr>
      </w:pPr>
      <w:bookmarkStart w:id="6" w:name="_Toc532199625"/>
      <w:bookmarkStart w:id="7" w:name="_Toc445554753"/>
      <w:bookmarkStart w:id="8" w:name="_Toc455587278"/>
      <w:bookmarkStart w:id="9" w:name="_Toc455587094"/>
      <w:r>
        <w:rPr>
          <w:rFonts w:hint="eastAsia" w:ascii="宋体" w:hAnsi="宋体" w:eastAsia="宋体"/>
          <w:b/>
          <w:color w:val="auto"/>
          <w:sz w:val="24"/>
          <w:szCs w:val="24"/>
          <w:highlight w:val="none"/>
        </w:rPr>
        <w:t>五、</w:t>
      </w:r>
      <w:bookmarkEnd w:id="6"/>
      <w:r>
        <w:rPr>
          <w:rFonts w:hint="eastAsia" w:ascii="宋体" w:hAnsi="宋体" w:eastAsia="宋体"/>
          <w:b/>
          <w:color w:val="auto"/>
          <w:sz w:val="24"/>
          <w:szCs w:val="24"/>
          <w:highlight w:val="none"/>
        </w:rPr>
        <w:t>其他要求</w:t>
      </w:r>
    </w:p>
    <w:bookmarkEnd w:id="7"/>
    <w:bookmarkEnd w:id="8"/>
    <w:bookmarkEnd w:id="9"/>
    <w:p w14:paraId="051FC0D6">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中标后</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有权对标注“★”“■”各项功能进行功能检验，如与投标文件中响应的各项功能不符，</w:t>
      </w:r>
      <w:r>
        <w:rPr>
          <w:rFonts w:hint="eastAsia" w:ascii="宋体" w:hAnsi="宋体" w:eastAsia="宋体" w:cs="宋体"/>
          <w:color w:val="auto"/>
          <w:sz w:val="24"/>
          <w:szCs w:val="24"/>
          <w:highlight w:val="none"/>
          <w:lang w:val="en-US" w:eastAsia="zh-CN"/>
        </w:rPr>
        <w:t>采购人将</w:t>
      </w:r>
      <w:r>
        <w:rPr>
          <w:rFonts w:hint="eastAsia" w:ascii="宋体" w:hAnsi="宋体" w:eastAsia="宋体" w:cs="宋体"/>
          <w:color w:val="auto"/>
          <w:sz w:val="24"/>
          <w:szCs w:val="24"/>
          <w:highlight w:val="none"/>
        </w:rPr>
        <w:t>上报政府采购监管部门进行</w:t>
      </w:r>
      <w:r>
        <w:rPr>
          <w:rFonts w:hint="eastAsia" w:ascii="宋体" w:hAnsi="宋体" w:eastAsia="宋体" w:cs="宋体"/>
          <w:color w:val="auto"/>
          <w:sz w:val="24"/>
          <w:szCs w:val="24"/>
          <w:highlight w:val="none"/>
          <w:lang w:val="en-US" w:eastAsia="zh-CN"/>
        </w:rPr>
        <w:t>处理</w:t>
      </w:r>
      <w:r>
        <w:rPr>
          <w:rFonts w:hint="eastAsia" w:ascii="宋体" w:hAnsi="宋体" w:eastAsia="宋体" w:cs="宋体"/>
          <w:color w:val="auto"/>
          <w:sz w:val="24"/>
          <w:szCs w:val="24"/>
          <w:highlight w:val="none"/>
        </w:rPr>
        <w:t>。</w:t>
      </w:r>
    </w:p>
    <w:p w14:paraId="57C3C59F">
      <w:pPr>
        <w:rPr>
          <w:rFonts w:hint="eastAsia"/>
          <w:color w:val="auto"/>
          <w:sz w:val="24"/>
          <w:szCs w:val="24"/>
          <w:highlight w:val="none"/>
        </w:rPr>
      </w:pPr>
    </w:p>
    <w:p w14:paraId="3160D0C9">
      <w:pPr>
        <w:snapToGrid/>
        <w:spacing w:after="0" w:line="240" w:lineRule="auto"/>
        <w:ind w:firstLine="0" w:firstLineChars="0"/>
        <w:jc w:val="left"/>
        <w:outlineLvl w:val="9"/>
      </w:pPr>
      <w:bookmarkStart w:id="10" w:name="_GoBack"/>
      <w:bookmarkEnd w:id="1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116F11"/>
    <w:multiLevelType w:val="singleLevel"/>
    <w:tmpl w:val="23116F11"/>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286160"/>
    <w:rsid w:val="1A2861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3"/>
    <w:basedOn w:val="1"/>
    <w:next w:val="1"/>
    <w:semiHidden/>
    <w:unhideWhenUsed/>
    <w:qFormat/>
    <w:uiPriority w:val="9"/>
    <w:pPr>
      <w:keepNext/>
      <w:keepLines/>
      <w:spacing w:before="260" w:after="260" w:line="416" w:lineRule="auto"/>
      <w:outlineLvl w:val="2"/>
    </w:pPr>
    <w:rPr>
      <w:b/>
      <w:bCs/>
      <w:sz w:val="32"/>
      <w:szCs w:val="32"/>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99"/>
    <w:pPr>
      <w:snapToGrid w:val="0"/>
    </w:pPr>
    <w:rPr>
      <w:rFonts w:ascii="Arial" w:hAnsi="Arial" w:cs="Arial"/>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Body Text First Indent 2"/>
    <w:basedOn w:val="3"/>
    <w:unhideWhenUsed/>
    <w:qFormat/>
    <w:uiPriority w:val="99"/>
    <w:pPr>
      <w:ind w:firstLine="420" w:firstLineChars="200"/>
    </w:pPr>
    <w:rPr>
      <w:rFonts w:ascii="Times New Roman" w:cs="Times New Roman"/>
    </w:rPr>
  </w:style>
  <w:style w:type="paragraph" w:customStyle="1" w:styleId="9">
    <w:name w:val="D&amp;L"/>
    <w:basedOn w:val="5"/>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10">
    <w:name w:val="xl31"/>
    <w:basedOn w:val="1"/>
    <w:autoRedefine/>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2026-08-03T12:42:00Z</dcterms:created>
  <dc:creator>审阅</dc:creator>
  <cp:lastModifiedBy>审阅</cp:lastModifiedBy>
  <dcterms:modified xsi:type="dcterms:W3CDTF">2026-08-03T12:42:27Z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C47DCE355605435BB70551D77F65AF26_11</vt:lpwstr>
  </property>
  <property fmtid="{D5CDD505-2E9C-101B-9397-08002B2CF9AE}" pid="4" name="KSOTemplateDocerSaveRecord">
    <vt:lpwstr>eyJoZGlkIjoiZWJjNjZmNTVkZTA2MzRiMTE5NTEwNzk1MzVhYWVkYTQiLCJ1c2VySWQiOiIzMjQ4MTEwODkifQ==</vt:lpwstr>
  </property>
</Properties>
</file>