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55A271">
      <w:pPr>
        <w:spacing w:line="360" w:lineRule="auto"/>
        <w:jc w:val="center"/>
        <w:outlineLvl w:val="0"/>
        <w:rPr>
          <w:rFonts w:hint="eastAsia" w:ascii="宋体" w:hAnsi="宋体" w:eastAsia="宋体"/>
          <w:b/>
          <w:color w:val="auto"/>
          <w:sz w:val="28"/>
          <w:highlight w:val="none"/>
          <w:lang w:eastAsia="zh-CN"/>
        </w:rPr>
      </w:pPr>
      <w:bookmarkStart w:id="0" w:name="_Toc23357"/>
      <w:bookmarkStart w:id="50" w:name="_GoBack"/>
      <w:r>
        <w:rPr>
          <w:rFonts w:hint="eastAsia" w:ascii="宋体" w:hAnsi="宋体" w:eastAsia="宋体"/>
          <w:b/>
          <w:color w:val="auto"/>
          <w:sz w:val="28"/>
          <w:highlight w:val="none"/>
        </w:rPr>
        <w:t>采购需求</w:t>
      </w:r>
      <w:bookmarkEnd w:id="0"/>
    </w:p>
    <w:p w14:paraId="17325A0E">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eastAsia="宋体"/>
          <w:b/>
          <w:color w:val="auto"/>
          <w:sz w:val="21"/>
          <w:szCs w:val="21"/>
          <w:highlight w:val="none"/>
        </w:rPr>
      </w:pPr>
      <w:r>
        <w:rPr>
          <w:rFonts w:hint="eastAsia" w:ascii="宋体" w:hAnsi="宋体" w:eastAsia="宋体"/>
          <w:b/>
          <w:color w:val="auto"/>
          <w:sz w:val="21"/>
          <w:szCs w:val="21"/>
          <w:highlight w:val="none"/>
        </w:rPr>
        <w:t>前注：</w:t>
      </w:r>
    </w:p>
    <w:p w14:paraId="3EDDB5FF">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1.</w:t>
      </w:r>
      <w:r>
        <w:rPr>
          <w:rFonts w:ascii="宋体" w:hAnsi="宋体" w:eastAsia="宋体"/>
          <w:color w:val="auto"/>
          <w:sz w:val="21"/>
          <w:szCs w:val="21"/>
          <w:highlight w:val="none"/>
        </w:rPr>
        <w:t>根据《</w:t>
      </w:r>
      <w:r>
        <w:rPr>
          <w:rFonts w:hint="eastAsia" w:ascii="宋体" w:hAnsi="宋体" w:eastAsia="宋体"/>
          <w:color w:val="auto"/>
          <w:sz w:val="21"/>
          <w:szCs w:val="21"/>
          <w:highlight w:val="none"/>
        </w:rPr>
        <w:t>政府采购进口产品管理办法</w:t>
      </w:r>
      <w:r>
        <w:rPr>
          <w:rFonts w:ascii="宋体" w:hAnsi="宋体" w:eastAsia="宋体"/>
          <w:color w:val="auto"/>
          <w:sz w:val="21"/>
          <w:szCs w:val="21"/>
          <w:highlight w:val="none"/>
        </w:rPr>
        <w:t>》及政府采购管理部门的相关规定，下列采购需求中</w:t>
      </w:r>
      <w:r>
        <w:rPr>
          <w:rFonts w:hint="eastAsia" w:ascii="宋体" w:hAnsi="宋体" w:eastAsia="宋体"/>
          <w:color w:val="auto"/>
          <w:sz w:val="21"/>
          <w:szCs w:val="21"/>
          <w:highlight w:val="none"/>
        </w:rPr>
        <w:t>标注进口产品的货物均</w:t>
      </w:r>
      <w:r>
        <w:rPr>
          <w:rFonts w:ascii="宋体" w:hAnsi="宋体" w:eastAsia="宋体"/>
          <w:color w:val="auto"/>
          <w:sz w:val="21"/>
          <w:szCs w:val="21"/>
          <w:highlight w:val="none"/>
        </w:rPr>
        <w:t>已履行相关论证手续，经核准采购进口</w:t>
      </w:r>
      <w:r>
        <w:rPr>
          <w:rFonts w:hint="eastAsia" w:ascii="宋体" w:hAnsi="宋体" w:eastAsia="宋体"/>
          <w:color w:val="auto"/>
          <w:sz w:val="21"/>
          <w:szCs w:val="21"/>
          <w:highlight w:val="none"/>
        </w:rPr>
        <w:t>产品</w:t>
      </w:r>
      <w:r>
        <w:rPr>
          <w:rFonts w:ascii="宋体" w:hAnsi="宋体" w:eastAsia="宋体"/>
          <w:color w:val="auto"/>
          <w:sz w:val="21"/>
          <w:szCs w:val="21"/>
          <w:highlight w:val="none"/>
        </w:rPr>
        <w:t>，但不限制满足招标文件要求的国内产品参与竞争</w:t>
      </w:r>
      <w:r>
        <w:rPr>
          <w:rFonts w:hint="eastAsia" w:ascii="宋体" w:hAnsi="宋体" w:eastAsia="宋体"/>
          <w:color w:val="auto"/>
          <w:sz w:val="21"/>
          <w:szCs w:val="21"/>
          <w:highlight w:val="none"/>
        </w:rPr>
        <w:t>。未标注进口产品的货物均</w:t>
      </w:r>
      <w:r>
        <w:rPr>
          <w:rFonts w:ascii="宋体" w:hAnsi="宋体" w:eastAsia="宋体"/>
          <w:color w:val="auto"/>
          <w:sz w:val="21"/>
          <w:szCs w:val="21"/>
          <w:highlight w:val="none"/>
        </w:rPr>
        <w:t>为拒绝采购进口产品</w:t>
      </w:r>
      <w:r>
        <w:rPr>
          <w:rFonts w:hint="eastAsia" w:ascii="宋体" w:hAnsi="宋体" w:eastAsia="宋体"/>
          <w:color w:val="auto"/>
          <w:sz w:val="21"/>
          <w:szCs w:val="21"/>
          <w:highlight w:val="none"/>
        </w:rPr>
        <w:t>。</w:t>
      </w:r>
    </w:p>
    <w:p w14:paraId="2638BCC7">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w:t>
      </w:r>
      <w:r>
        <w:rPr>
          <w:rFonts w:hint="eastAsia" w:ascii="宋体" w:hAnsi="宋体" w:eastAsia="宋体"/>
          <w:color w:val="auto"/>
          <w:sz w:val="21"/>
          <w:szCs w:val="21"/>
          <w:highlight w:val="none"/>
          <w:lang w:eastAsia="zh-CN"/>
        </w:rPr>
        <w:t>.</w:t>
      </w:r>
      <w:r>
        <w:rPr>
          <w:rFonts w:ascii="宋体" w:hAnsi="宋体" w:eastAsia="宋体" w:cs="宋体"/>
          <w:color w:val="auto"/>
          <w:sz w:val="21"/>
          <w:szCs w:val="21"/>
          <w:highlight w:val="none"/>
        </w:rPr>
        <w:t>政府采购政策（包括但不限于下列具体政策要求</w:t>
      </w:r>
      <w:r>
        <w:rPr>
          <w:rFonts w:hint="eastAsia" w:ascii="宋体" w:hAnsi="宋体" w:eastAsia="宋体" w:cs="宋体"/>
          <w:color w:val="auto"/>
          <w:sz w:val="21"/>
          <w:szCs w:val="21"/>
          <w:highlight w:val="none"/>
          <w:lang w:eastAsia="zh-CN"/>
        </w:rPr>
        <w:t>）</w:t>
      </w:r>
      <w:r>
        <w:rPr>
          <w:rFonts w:hint="eastAsia" w:ascii="宋体" w:hAnsi="宋体" w:eastAsia="宋体"/>
          <w:color w:val="auto"/>
          <w:sz w:val="21"/>
          <w:szCs w:val="21"/>
          <w:highlight w:val="none"/>
        </w:rPr>
        <w:t>：</w:t>
      </w:r>
    </w:p>
    <w:p w14:paraId="4A84E6BF">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0B195BF8">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4491E60C">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olor w:val="auto"/>
          <w:sz w:val="21"/>
          <w:szCs w:val="21"/>
          <w:highlight w:val="none"/>
        </w:rPr>
        <w:t>如采购人允许采用分包方式履行合同的，应当明确可以分包履行的相关内容。</w:t>
      </w:r>
    </w:p>
    <w:p w14:paraId="3977A153">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4.下列采购需求中：标注▲的产品为核心产品（主要中标标的）。</w:t>
      </w:r>
    </w:p>
    <w:p w14:paraId="1AE54FAD">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
          <w:color w:val="auto"/>
          <w:sz w:val="21"/>
          <w:szCs w:val="21"/>
          <w:highlight w:val="none"/>
        </w:rPr>
      </w:pPr>
      <w:bookmarkStart w:id="1" w:name="_Toc9011"/>
      <w:bookmarkStart w:id="2" w:name="_Toc2554"/>
      <w:bookmarkStart w:id="3" w:name="_Toc32151"/>
      <w:r>
        <w:rPr>
          <w:rFonts w:hint="eastAsia" w:ascii="宋体" w:hAnsi="宋体" w:eastAsia="宋体"/>
          <w:b/>
          <w:color w:val="auto"/>
          <w:sz w:val="21"/>
          <w:szCs w:val="21"/>
          <w:highlight w:val="none"/>
        </w:rPr>
        <w:t>一、采购需求前附表</w:t>
      </w:r>
      <w:bookmarkEnd w:id="1"/>
      <w:bookmarkEnd w:id="2"/>
      <w:bookmarkEnd w:id="3"/>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3F3C6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979C0DA">
            <w:pPr>
              <w:keepNext w:val="0"/>
              <w:keepLines w:val="0"/>
              <w:pageBreakBefore w:val="0"/>
              <w:widowControl w:val="0"/>
              <w:suppressLineNumbers w:val="0"/>
              <w:pBdr>
                <w:bottom w:val="none" w:color="auto" w:sz="0" w:space="0"/>
              </w:pBdr>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default" w:ascii="宋体" w:hAnsi="宋体" w:eastAsia="宋体" w:cs="@仿宋_GB2312"/>
                <w:b/>
                <w:color w:val="auto"/>
                <w:kern w:val="2"/>
                <w:sz w:val="21"/>
                <w:szCs w:val="21"/>
                <w:highlight w:val="none"/>
                <w:lang w:val="en-US" w:eastAsia="zh-CN" w:bidi="ar-SA"/>
              </w:rPr>
            </w:pPr>
            <w:r>
              <w:rPr>
                <w:rFonts w:hint="eastAsia" w:ascii="宋体" w:hAnsi="宋体" w:eastAsia="宋体" w:cs="@仿宋_GB2312"/>
                <w:b/>
                <w:color w:val="auto"/>
                <w:kern w:val="2"/>
                <w:sz w:val="21"/>
                <w:szCs w:val="21"/>
                <w:highlight w:val="none"/>
                <w:lang w:val="en-US" w:eastAsia="zh-CN" w:bidi="ar-SA"/>
              </w:rPr>
              <w:t>序号</w:t>
            </w:r>
          </w:p>
        </w:tc>
        <w:tc>
          <w:tcPr>
            <w:tcW w:w="1192" w:type="pct"/>
            <w:vAlign w:val="center"/>
          </w:tcPr>
          <w:p w14:paraId="50D9BB9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default" w:ascii="宋体" w:hAnsi="宋体" w:eastAsia="宋体" w:cs="@仿宋_GB2312"/>
                <w:b/>
                <w:bCs w:val="0"/>
                <w:color w:val="auto"/>
                <w:kern w:val="0"/>
                <w:sz w:val="21"/>
                <w:szCs w:val="21"/>
                <w:highlight w:val="none"/>
                <w:lang w:val="en-US" w:eastAsia="zh-CN" w:bidi="ar-SA"/>
              </w:rPr>
            </w:pPr>
            <w:r>
              <w:rPr>
                <w:rFonts w:hint="eastAsia" w:ascii="宋体" w:hAnsi="宋体" w:eastAsia="宋体" w:cs="@仿宋_GB2312"/>
                <w:b/>
                <w:bCs w:val="0"/>
                <w:color w:val="auto"/>
                <w:kern w:val="0"/>
                <w:sz w:val="21"/>
                <w:szCs w:val="21"/>
                <w:highlight w:val="none"/>
                <w:lang w:val="en-US" w:eastAsia="zh-CN" w:bidi="ar-SA"/>
              </w:rPr>
              <w:t>条款名称</w:t>
            </w:r>
          </w:p>
        </w:tc>
        <w:tc>
          <w:tcPr>
            <w:tcW w:w="3217" w:type="pct"/>
            <w:vAlign w:val="center"/>
          </w:tcPr>
          <w:p w14:paraId="5D7A376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default" w:ascii="宋体" w:hAnsi="宋体" w:eastAsia="宋体" w:cs="@仿宋_GB2312"/>
                <w:b/>
                <w:bCs w:val="0"/>
                <w:color w:val="auto"/>
                <w:kern w:val="0"/>
                <w:sz w:val="21"/>
                <w:szCs w:val="21"/>
                <w:highlight w:val="none"/>
                <w:lang w:val="en-US" w:eastAsia="zh-CN" w:bidi="ar-SA"/>
              </w:rPr>
            </w:pPr>
            <w:r>
              <w:rPr>
                <w:rFonts w:hint="eastAsia" w:ascii="宋体" w:hAnsi="宋体" w:eastAsia="宋体" w:cs="@仿宋_GB2312"/>
                <w:b/>
                <w:bCs w:val="0"/>
                <w:color w:val="auto"/>
                <w:kern w:val="0"/>
                <w:sz w:val="21"/>
                <w:szCs w:val="21"/>
                <w:highlight w:val="none"/>
                <w:lang w:val="en-US" w:eastAsia="zh-CN" w:bidi="ar-SA"/>
              </w:rPr>
              <w:t>内容、说明与要求</w:t>
            </w:r>
          </w:p>
        </w:tc>
      </w:tr>
      <w:tr w14:paraId="51EA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8483EA7">
            <w:pPr>
              <w:keepNext w:val="0"/>
              <w:keepLines w:val="0"/>
              <w:pageBreakBefore w:val="0"/>
              <w:widowControl w:val="0"/>
              <w:suppressLineNumbers w:val="0"/>
              <w:pBdr>
                <w:bottom w:val="none" w:color="auto" w:sz="0" w:space="0"/>
              </w:pBdr>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default" w:ascii="宋体" w:hAnsi="宋体" w:eastAsia="宋体" w:cs="@仿宋_GB2312"/>
                <w:bCs/>
                <w:color w:val="auto"/>
                <w:kern w:val="2"/>
                <w:sz w:val="21"/>
                <w:szCs w:val="21"/>
                <w:highlight w:val="none"/>
                <w:lang w:val="en-US" w:eastAsia="zh-CN" w:bidi="ar-SA"/>
              </w:rPr>
            </w:pPr>
            <w:r>
              <w:rPr>
                <w:rFonts w:hint="eastAsia" w:ascii="宋体" w:hAnsi="宋体" w:eastAsia="宋体" w:cs="@仿宋_GB2312"/>
                <w:bCs/>
                <w:color w:val="auto"/>
                <w:kern w:val="2"/>
                <w:sz w:val="21"/>
                <w:szCs w:val="21"/>
                <w:highlight w:val="none"/>
                <w:lang w:val="en-US" w:eastAsia="zh-CN" w:bidi="ar-SA"/>
              </w:rPr>
              <w:t>1</w:t>
            </w:r>
          </w:p>
        </w:tc>
        <w:tc>
          <w:tcPr>
            <w:tcW w:w="1192" w:type="pct"/>
            <w:vAlign w:val="center"/>
          </w:tcPr>
          <w:p w14:paraId="3227C3D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default" w:ascii="宋体" w:hAnsi="宋体" w:eastAsia="宋体" w:cs="@仿宋_GB2312"/>
                <w:b w:val="0"/>
                <w:bCs/>
                <w:color w:val="auto"/>
                <w:kern w:val="0"/>
                <w:sz w:val="21"/>
                <w:szCs w:val="21"/>
                <w:highlight w:val="none"/>
                <w:lang w:val="en-US" w:eastAsia="zh-CN" w:bidi="ar-SA"/>
              </w:rPr>
            </w:pPr>
            <w:r>
              <w:rPr>
                <w:rFonts w:hint="eastAsia" w:ascii="宋体" w:hAnsi="宋体" w:eastAsia="宋体" w:cs="@仿宋_GB2312"/>
                <w:b w:val="0"/>
                <w:bCs/>
                <w:color w:val="auto"/>
                <w:kern w:val="0"/>
                <w:sz w:val="21"/>
                <w:szCs w:val="21"/>
                <w:highlight w:val="none"/>
                <w:lang w:val="en-US" w:eastAsia="zh-CN" w:bidi="ar-SA"/>
              </w:rPr>
              <w:t>付款方式</w:t>
            </w:r>
          </w:p>
        </w:tc>
        <w:tc>
          <w:tcPr>
            <w:tcW w:w="3217" w:type="pct"/>
            <w:vAlign w:val="center"/>
          </w:tcPr>
          <w:p w14:paraId="210594C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both"/>
              <w:textAlignment w:val="auto"/>
              <w:rPr>
                <w:rFonts w:hint="eastAsia" w:ascii="宋体" w:hAnsi="宋体" w:eastAsia="宋体" w:cs="@仿宋_GB2312"/>
                <w:b w:val="0"/>
                <w:bCs/>
                <w:color w:val="auto"/>
                <w:kern w:val="0"/>
                <w:sz w:val="21"/>
                <w:szCs w:val="21"/>
                <w:highlight w:val="none"/>
                <w:u w:val="none"/>
                <w:lang w:val="en-US" w:eastAsia="zh-CN" w:bidi="ar-SA"/>
              </w:rPr>
            </w:pPr>
            <w:r>
              <w:rPr>
                <w:rFonts w:hint="eastAsia" w:ascii="宋体" w:hAnsi="宋体" w:eastAsia="宋体" w:cs="@仿宋_GB2312"/>
                <w:b w:val="0"/>
                <w:bCs/>
                <w:color w:val="auto"/>
                <w:kern w:val="0"/>
                <w:sz w:val="21"/>
                <w:szCs w:val="21"/>
                <w:highlight w:val="none"/>
                <w:u w:val="none"/>
                <w:lang w:val="en-US" w:eastAsia="zh-CN" w:bidi="ar-SA"/>
              </w:rPr>
              <w:t>合同生效后，采购人付至合同价的 40%（中标人须提供等额预付款担保），项目经验收合格且相关资料齐备己移交后，一次性付清合同价款。</w:t>
            </w:r>
          </w:p>
          <w:p w14:paraId="23C8B2B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both"/>
              <w:textAlignment w:val="auto"/>
              <w:rPr>
                <w:rFonts w:hint="eastAsia" w:ascii="宋体" w:hAnsi="宋体" w:eastAsia="宋体" w:cs="@仿宋_GB2312"/>
                <w:b w:val="0"/>
                <w:bCs/>
                <w:color w:val="auto"/>
                <w:kern w:val="0"/>
                <w:sz w:val="21"/>
                <w:szCs w:val="21"/>
                <w:highlight w:val="none"/>
                <w:u w:val="none"/>
                <w:lang w:val="en-US" w:eastAsia="zh-CN" w:bidi="ar-SA"/>
              </w:rPr>
            </w:pPr>
            <w:r>
              <w:rPr>
                <w:rFonts w:hint="eastAsia" w:ascii="宋体" w:hAnsi="宋体" w:eastAsia="宋体" w:cs="@仿宋_GB2312"/>
                <w:b w:val="0"/>
                <w:bCs/>
                <w:color w:val="auto"/>
                <w:kern w:val="0"/>
                <w:sz w:val="21"/>
                <w:szCs w:val="21"/>
                <w:highlight w:val="none"/>
                <w:u w:val="none"/>
                <w:lang w:val="en-US" w:eastAsia="zh-CN" w:bidi="ar-SA"/>
              </w:rPr>
              <w:t>注：</w:t>
            </w:r>
          </w:p>
          <w:p w14:paraId="0541780F">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00" w:lineRule="auto"/>
              <w:ind w:left="0" w:right="0"/>
              <w:jc w:val="both"/>
              <w:textAlignment w:val="auto"/>
              <w:rPr>
                <w:rFonts w:hint="eastAsia" w:ascii="宋体" w:hAnsi="宋体" w:eastAsia="宋体" w:cs="@仿宋_GB2312"/>
                <w:b w:val="0"/>
                <w:bCs/>
                <w:color w:val="auto"/>
                <w:kern w:val="0"/>
                <w:sz w:val="21"/>
                <w:szCs w:val="21"/>
                <w:highlight w:val="none"/>
                <w:u w:val="none"/>
                <w:lang w:val="en-US" w:eastAsia="zh-CN" w:bidi="ar-SA"/>
              </w:rPr>
            </w:pPr>
            <w:r>
              <w:rPr>
                <w:rFonts w:hint="eastAsia" w:ascii="宋体" w:hAnsi="宋体" w:eastAsia="宋体" w:cs="@仿宋_GB2312"/>
                <w:b w:val="0"/>
                <w:bCs/>
                <w:color w:val="auto"/>
                <w:kern w:val="0"/>
                <w:sz w:val="21"/>
                <w:szCs w:val="21"/>
                <w:lang w:val="en-US" w:eastAsia="zh-CN" w:bidi="ar-SA"/>
              </w:rPr>
              <w:t>（1）</w:t>
            </w:r>
            <w:r>
              <w:rPr>
                <w:rFonts w:hint="eastAsia" w:ascii="宋体" w:hAnsi="宋体" w:eastAsia="宋体" w:cs="@仿宋_GB2312"/>
                <w:b w:val="0"/>
                <w:bCs/>
                <w:color w:val="auto"/>
                <w:kern w:val="0"/>
                <w:sz w:val="21"/>
                <w:szCs w:val="21"/>
                <w:highlight w:val="none"/>
                <w:u w:val="none"/>
                <w:lang w:val="en-US" w:eastAsia="zh-CN" w:bidi="ar-SA"/>
              </w:rPr>
              <w:t>中标人未按规定提供预付款担保的，视为放弃预付款；</w:t>
            </w:r>
          </w:p>
          <w:p w14:paraId="1FC7C6D8">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00" w:lineRule="auto"/>
              <w:ind w:left="0" w:right="0"/>
              <w:jc w:val="both"/>
              <w:textAlignment w:val="auto"/>
              <w:rPr>
                <w:rFonts w:hint="default" w:ascii="宋体" w:hAnsi="宋体" w:eastAsia="宋体" w:cs="@仿宋_GB2312"/>
                <w:b w:val="0"/>
                <w:bCs/>
                <w:color w:val="auto"/>
                <w:kern w:val="0"/>
                <w:sz w:val="21"/>
                <w:szCs w:val="21"/>
                <w:highlight w:val="none"/>
                <w:u w:val="none"/>
                <w:lang w:val="en-US" w:eastAsia="zh-CN" w:bidi="ar-SA"/>
              </w:rPr>
            </w:pPr>
            <w:r>
              <w:rPr>
                <w:rFonts w:hint="eastAsia" w:ascii="宋体" w:hAnsi="宋体" w:eastAsia="宋体" w:cs="@仿宋_GB2312"/>
                <w:b w:val="0"/>
                <w:bCs/>
                <w:color w:val="auto"/>
                <w:kern w:val="0"/>
                <w:sz w:val="21"/>
                <w:szCs w:val="21"/>
                <w:highlight w:val="none"/>
                <w:u w:val="none"/>
                <w:lang w:val="en-US" w:eastAsia="zh-CN" w:bidi="ar-SA"/>
              </w:rPr>
              <w:t>（2）预付款担保要求：如采用银行保函、担保机构出具的保函（担保机构担保）均须满足无条件见索即付条件。</w:t>
            </w:r>
          </w:p>
        </w:tc>
      </w:tr>
      <w:tr w14:paraId="5EE48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B728121">
            <w:pPr>
              <w:keepNext w:val="0"/>
              <w:keepLines w:val="0"/>
              <w:pageBreakBefore w:val="0"/>
              <w:widowControl w:val="0"/>
              <w:suppressLineNumbers w:val="0"/>
              <w:pBdr>
                <w:bottom w:val="none" w:color="auto" w:sz="0" w:space="0"/>
              </w:pBdr>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default" w:ascii="宋体" w:hAnsi="宋体" w:eastAsia="宋体" w:cs="@仿宋_GB2312"/>
                <w:bCs/>
                <w:color w:val="auto"/>
                <w:kern w:val="2"/>
                <w:sz w:val="21"/>
                <w:szCs w:val="21"/>
                <w:highlight w:val="none"/>
                <w:lang w:val="en-US" w:eastAsia="zh-CN" w:bidi="ar-SA"/>
              </w:rPr>
            </w:pPr>
            <w:r>
              <w:rPr>
                <w:rFonts w:hint="eastAsia" w:ascii="宋体" w:hAnsi="宋体" w:eastAsia="宋体" w:cs="@仿宋_GB2312"/>
                <w:bCs/>
                <w:color w:val="auto"/>
                <w:kern w:val="2"/>
                <w:sz w:val="21"/>
                <w:szCs w:val="21"/>
                <w:highlight w:val="none"/>
                <w:lang w:val="en-US" w:eastAsia="zh-CN" w:bidi="ar-SA"/>
              </w:rPr>
              <w:t>2</w:t>
            </w:r>
          </w:p>
        </w:tc>
        <w:tc>
          <w:tcPr>
            <w:tcW w:w="1192" w:type="pct"/>
            <w:vAlign w:val="center"/>
          </w:tcPr>
          <w:p w14:paraId="5D97EC2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default" w:ascii="宋体" w:hAnsi="宋体" w:eastAsia="宋体" w:cs="@仿宋_GB2312"/>
                <w:b w:val="0"/>
                <w:bCs/>
                <w:color w:val="auto"/>
                <w:kern w:val="0"/>
                <w:sz w:val="21"/>
                <w:szCs w:val="21"/>
                <w:highlight w:val="none"/>
                <w:lang w:val="en-US" w:eastAsia="zh-CN" w:bidi="ar-SA"/>
              </w:rPr>
            </w:pPr>
            <w:r>
              <w:rPr>
                <w:rFonts w:hint="eastAsia" w:ascii="宋体" w:hAnsi="宋体" w:eastAsia="宋体" w:cs="@仿宋_GB2312"/>
                <w:b w:val="0"/>
                <w:bCs/>
                <w:color w:val="auto"/>
                <w:kern w:val="0"/>
                <w:sz w:val="21"/>
                <w:szCs w:val="21"/>
                <w:highlight w:val="none"/>
                <w:lang w:val="en-US" w:eastAsia="zh-CN" w:bidi="ar-SA"/>
              </w:rPr>
              <w:t>供货及安装地点</w:t>
            </w:r>
          </w:p>
        </w:tc>
        <w:tc>
          <w:tcPr>
            <w:tcW w:w="3217" w:type="pct"/>
            <w:vAlign w:val="center"/>
          </w:tcPr>
          <w:p w14:paraId="79EF6B5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both"/>
              <w:textAlignment w:val="auto"/>
              <w:rPr>
                <w:rFonts w:hint="default" w:ascii="宋体" w:hAnsi="宋体" w:eastAsia="宋体" w:cs="@仿宋_GB2312"/>
                <w:b w:val="0"/>
                <w:bCs/>
                <w:color w:val="auto"/>
                <w:kern w:val="0"/>
                <w:sz w:val="21"/>
                <w:szCs w:val="21"/>
                <w:highlight w:val="none"/>
                <w:u w:val="none"/>
                <w:lang w:val="en-US" w:eastAsia="zh-CN" w:bidi="ar-SA"/>
              </w:rPr>
            </w:pPr>
            <w:r>
              <w:rPr>
                <w:rFonts w:hint="eastAsia" w:ascii="宋体" w:hAnsi="宋体" w:eastAsia="宋体" w:cs="@仿宋_GB2312"/>
                <w:b w:val="0"/>
                <w:bCs/>
                <w:color w:val="auto"/>
                <w:kern w:val="0"/>
                <w:sz w:val="21"/>
                <w:szCs w:val="21"/>
                <w:highlight w:val="none"/>
                <w:u w:val="none"/>
                <w:lang w:val="en-US" w:eastAsia="zh-CN" w:bidi="ar-SA"/>
              </w:rPr>
              <w:t>安徽省产品质量监督检验研究院，具体按采购人指定地点。</w:t>
            </w:r>
          </w:p>
        </w:tc>
      </w:tr>
      <w:tr w14:paraId="62685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F64EAC0">
            <w:pPr>
              <w:keepNext w:val="0"/>
              <w:keepLines w:val="0"/>
              <w:pageBreakBefore w:val="0"/>
              <w:widowControl w:val="0"/>
              <w:suppressLineNumbers w:val="0"/>
              <w:pBdr>
                <w:bottom w:val="none" w:color="auto" w:sz="0" w:space="0"/>
              </w:pBdr>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default" w:ascii="宋体" w:hAnsi="宋体" w:eastAsia="宋体" w:cs="@仿宋_GB2312"/>
                <w:bCs/>
                <w:color w:val="auto"/>
                <w:kern w:val="2"/>
                <w:sz w:val="21"/>
                <w:szCs w:val="21"/>
                <w:highlight w:val="none"/>
                <w:lang w:val="en-US" w:eastAsia="zh-CN" w:bidi="ar-SA"/>
              </w:rPr>
            </w:pPr>
            <w:r>
              <w:rPr>
                <w:rFonts w:hint="eastAsia" w:ascii="宋体" w:hAnsi="宋体" w:eastAsia="宋体" w:cs="@仿宋_GB2312"/>
                <w:bCs/>
                <w:color w:val="auto"/>
                <w:kern w:val="2"/>
                <w:sz w:val="21"/>
                <w:szCs w:val="21"/>
                <w:highlight w:val="none"/>
                <w:lang w:val="en-US" w:eastAsia="zh-CN" w:bidi="ar-SA"/>
              </w:rPr>
              <w:t>3</w:t>
            </w:r>
          </w:p>
        </w:tc>
        <w:tc>
          <w:tcPr>
            <w:tcW w:w="1192" w:type="pct"/>
            <w:vAlign w:val="center"/>
          </w:tcPr>
          <w:p w14:paraId="35AAA4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default" w:ascii="宋体" w:hAnsi="宋体" w:eastAsia="宋体" w:cs="@仿宋_GB2312"/>
                <w:b w:val="0"/>
                <w:bCs/>
                <w:color w:val="auto"/>
                <w:kern w:val="0"/>
                <w:sz w:val="21"/>
                <w:szCs w:val="21"/>
                <w:highlight w:val="none"/>
                <w:lang w:val="en-US" w:eastAsia="zh-CN" w:bidi="ar-SA"/>
              </w:rPr>
            </w:pPr>
            <w:r>
              <w:rPr>
                <w:rFonts w:hint="eastAsia" w:ascii="宋体" w:hAnsi="宋体" w:eastAsia="宋体" w:cs="@仿宋_GB2312"/>
                <w:b w:val="0"/>
                <w:bCs/>
                <w:color w:val="auto"/>
                <w:kern w:val="0"/>
                <w:sz w:val="21"/>
                <w:szCs w:val="21"/>
                <w:highlight w:val="none"/>
                <w:lang w:val="en-US" w:eastAsia="zh-CN" w:bidi="ar-SA"/>
              </w:rPr>
              <w:t>供货及安装期限</w:t>
            </w:r>
          </w:p>
        </w:tc>
        <w:tc>
          <w:tcPr>
            <w:tcW w:w="3217" w:type="pct"/>
            <w:vAlign w:val="center"/>
          </w:tcPr>
          <w:p w14:paraId="18222E0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both"/>
              <w:textAlignment w:val="auto"/>
              <w:rPr>
                <w:rFonts w:hint="default" w:ascii="宋体" w:hAnsi="宋体" w:eastAsia="宋体" w:cs="@仿宋_GB2312"/>
                <w:b w:val="0"/>
                <w:bCs/>
                <w:color w:val="auto"/>
                <w:kern w:val="0"/>
                <w:sz w:val="21"/>
                <w:szCs w:val="21"/>
                <w:highlight w:val="none"/>
                <w:u w:val="none"/>
                <w:lang w:val="en-US" w:eastAsia="zh-CN" w:bidi="ar-SA"/>
              </w:rPr>
            </w:pPr>
            <w:r>
              <w:rPr>
                <w:rFonts w:hint="eastAsia" w:ascii="宋体" w:hAnsi="宋体" w:eastAsia="宋体" w:cs="@仿宋_GB2312"/>
                <w:b w:val="0"/>
                <w:bCs/>
                <w:color w:val="auto"/>
                <w:kern w:val="0"/>
                <w:sz w:val="21"/>
                <w:szCs w:val="21"/>
                <w:highlight w:val="none"/>
                <w:u w:val="none"/>
                <w:lang w:val="en-US" w:eastAsia="zh-CN" w:bidi="ar-SA"/>
              </w:rPr>
              <w:t>合同生效之日起，3个月内完成供货、安装、调试、培训、检定或校准等所有工作内容。</w:t>
            </w:r>
          </w:p>
        </w:tc>
      </w:tr>
      <w:tr w14:paraId="5E63E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61FF815">
            <w:pPr>
              <w:keepNext w:val="0"/>
              <w:keepLines w:val="0"/>
              <w:pageBreakBefore w:val="0"/>
              <w:widowControl w:val="0"/>
              <w:suppressLineNumbers w:val="0"/>
              <w:pBdr>
                <w:bottom w:val="none" w:color="auto" w:sz="0" w:space="0"/>
              </w:pBdr>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default" w:ascii="宋体" w:hAnsi="宋体" w:eastAsia="宋体" w:cs="@仿宋_GB2312"/>
                <w:bCs/>
                <w:color w:val="auto"/>
                <w:kern w:val="2"/>
                <w:sz w:val="21"/>
                <w:szCs w:val="21"/>
                <w:highlight w:val="none"/>
                <w:lang w:val="en-US" w:eastAsia="zh-CN" w:bidi="ar-SA"/>
              </w:rPr>
            </w:pPr>
            <w:r>
              <w:rPr>
                <w:rFonts w:hint="eastAsia" w:ascii="宋体" w:hAnsi="宋体" w:eastAsia="宋体" w:cs="@仿宋_GB2312"/>
                <w:bCs/>
                <w:color w:val="auto"/>
                <w:kern w:val="2"/>
                <w:sz w:val="21"/>
                <w:szCs w:val="21"/>
                <w:highlight w:val="none"/>
                <w:lang w:val="en-US" w:eastAsia="zh-CN" w:bidi="ar-SA"/>
              </w:rPr>
              <w:t>4</w:t>
            </w:r>
          </w:p>
        </w:tc>
        <w:tc>
          <w:tcPr>
            <w:tcW w:w="1192" w:type="pct"/>
            <w:vAlign w:val="center"/>
          </w:tcPr>
          <w:p w14:paraId="74462C3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default" w:ascii="宋体" w:hAnsi="宋体" w:eastAsia="宋体" w:cs="@仿宋_GB2312"/>
                <w:b w:val="0"/>
                <w:bCs/>
                <w:color w:val="auto"/>
                <w:kern w:val="0"/>
                <w:sz w:val="21"/>
                <w:szCs w:val="21"/>
                <w:highlight w:val="none"/>
                <w:lang w:val="en-US" w:eastAsia="zh-CN" w:bidi="ar-SA"/>
              </w:rPr>
            </w:pPr>
            <w:r>
              <w:rPr>
                <w:rFonts w:hint="eastAsia" w:ascii="宋体" w:hAnsi="宋体" w:eastAsia="宋体" w:cs="@仿宋_GB2312"/>
                <w:b w:val="0"/>
                <w:bCs/>
                <w:color w:val="auto"/>
                <w:kern w:val="0"/>
                <w:sz w:val="21"/>
                <w:szCs w:val="21"/>
                <w:highlight w:val="none"/>
                <w:lang w:val="en-US" w:eastAsia="zh-CN" w:bidi="ar-SA"/>
              </w:rPr>
              <w:t>免费质保期</w:t>
            </w:r>
          </w:p>
        </w:tc>
        <w:tc>
          <w:tcPr>
            <w:tcW w:w="3217" w:type="pct"/>
            <w:vAlign w:val="center"/>
          </w:tcPr>
          <w:p w14:paraId="657E24B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both"/>
              <w:textAlignment w:val="auto"/>
              <w:rPr>
                <w:rFonts w:hint="default" w:ascii="宋体" w:hAnsi="宋体" w:eastAsia="宋体" w:cs="@仿宋_GB2312"/>
                <w:b w:val="0"/>
                <w:bCs/>
                <w:color w:val="auto"/>
                <w:kern w:val="0"/>
                <w:sz w:val="21"/>
                <w:szCs w:val="21"/>
                <w:highlight w:val="none"/>
                <w:u w:val="none"/>
                <w:lang w:val="en-US" w:eastAsia="zh-CN" w:bidi="ar-SA"/>
              </w:rPr>
            </w:pPr>
            <w:r>
              <w:rPr>
                <w:rFonts w:hint="eastAsia" w:ascii="宋体" w:hAnsi="宋体" w:eastAsia="宋体" w:cs="@仿宋_GB2312"/>
                <w:b w:val="0"/>
                <w:bCs/>
                <w:color w:val="auto"/>
                <w:kern w:val="0"/>
                <w:sz w:val="21"/>
                <w:szCs w:val="21"/>
                <w:highlight w:val="none"/>
                <w:u w:val="none"/>
                <w:lang w:val="en-US" w:eastAsia="zh-CN" w:bidi="ar-SA"/>
              </w:rPr>
              <w:t>货物需求清单中未明确的，免费质保期为自验收合格之日起3年；货物需求清单中明确的，免费质保期按货物需求清单执行。</w:t>
            </w:r>
          </w:p>
        </w:tc>
      </w:tr>
    </w:tbl>
    <w:p w14:paraId="64B00C60">
      <w:pPr>
        <w:spacing w:line="360" w:lineRule="auto"/>
        <w:ind w:firstLine="437"/>
        <w:outlineLvl w:val="1"/>
        <w:rPr>
          <w:rFonts w:hint="eastAsia" w:ascii="宋体" w:hAnsi="宋体" w:eastAsia="宋体"/>
          <w:b/>
          <w:bCs/>
          <w:color w:val="auto"/>
          <w:sz w:val="21"/>
          <w:szCs w:val="21"/>
          <w:highlight w:val="none"/>
        </w:rPr>
      </w:pPr>
      <w:bookmarkStart w:id="4" w:name="_Toc5944"/>
      <w:bookmarkStart w:id="5" w:name="_Toc7671"/>
    </w:p>
    <w:p w14:paraId="056B9D95">
      <w:pPr>
        <w:spacing w:line="360" w:lineRule="auto"/>
        <w:ind w:firstLine="437"/>
        <w:outlineLvl w:val="1"/>
        <w:rPr>
          <w:rFonts w:hint="eastAsia" w:ascii="宋体" w:hAnsi="宋体" w:eastAsia="宋体"/>
          <w:b/>
          <w:bCs/>
          <w:color w:val="auto"/>
          <w:sz w:val="21"/>
          <w:szCs w:val="21"/>
          <w:highlight w:val="none"/>
        </w:rPr>
      </w:pPr>
      <w:bookmarkStart w:id="6" w:name="_Toc4578"/>
      <w:r>
        <w:rPr>
          <w:rFonts w:hint="eastAsia" w:ascii="宋体" w:hAnsi="宋体" w:eastAsia="宋体"/>
          <w:b/>
          <w:bCs/>
          <w:color w:val="auto"/>
          <w:sz w:val="21"/>
          <w:szCs w:val="21"/>
          <w:highlight w:val="none"/>
        </w:rPr>
        <w:t>二、</w:t>
      </w:r>
      <w:r>
        <w:rPr>
          <w:rFonts w:hint="eastAsia" w:ascii="宋体" w:hAnsi="宋体" w:eastAsia="宋体"/>
          <w:b/>
          <w:color w:val="auto"/>
          <w:sz w:val="21"/>
          <w:szCs w:val="21"/>
          <w:highlight w:val="none"/>
        </w:rPr>
        <w:t>货物</w:t>
      </w:r>
      <w:r>
        <w:rPr>
          <w:rFonts w:hint="eastAsia" w:ascii="宋体" w:hAnsi="宋体" w:eastAsia="宋体"/>
          <w:b/>
          <w:bCs/>
          <w:color w:val="auto"/>
          <w:sz w:val="21"/>
          <w:szCs w:val="21"/>
          <w:highlight w:val="none"/>
        </w:rPr>
        <w:t>需求</w:t>
      </w:r>
      <w:bookmarkEnd w:id="4"/>
      <w:bookmarkEnd w:id="5"/>
      <w:bookmarkEnd w:id="6"/>
    </w:p>
    <w:p w14:paraId="7B92C127">
      <w:pPr>
        <w:widowControl/>
        <w:wordWrap/>
        <w:ind w:firstLine="422" w:firstLineChars="200"/>
        <w:outlineLvl w:val="2"/>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标识符号</w:t>
      </w:r>
    </w:p>
    <w:tbl>
      <w:tblPr>
        <w:tblStyle w:val="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1D6A3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noWrap w:val="0"/>
            <w:vAlign w:val="center"/>
          </w:tcPr>
          <w:p w14:paraId="3DC365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标识类型</w:t>
            </w:r>
          </w:p>
        </w:tc>
        <w:tc>
          <w:tcPr>
            <w:tcW w:w="1365" w:type="dxa"/>
            <w:noWrap w:val="0"/>
            <w:vAlign w:val="center"/>
          </w:tcPr>
          <w:p w14:paraId="4378CF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标识符号</w:t>
            </w:r>
          </w:p>
        </w:tc>
        <w:tc>
          <w:tcPr>
            <w:tcW w:w="5363" w:type="dxa"/>
            <w:noWrap w:val="0"/>
            <w:vAlign w:val="center"/>
          </w:tcPr>
          <w:p w14:paraId="607E6A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标识符号含义</w:t>
            </w:r>
          </w:p>
        </w:tc>
      </w:tr>
      <w:tr w14:paraId="78487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noWrap w:val="0"/>
            <w:vAlign w:val="center"/>
          </w:tcPr>
          <w:p w14:paraId="28B556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重要指标项</w:t>
            </w:r>
          </w:p>
        </w:tc>
        <w:tc>
          <w:tcPr>
            <w:tcW w:w="1365" w:type="dxa"/>
            <w:noWrap w:val="0"/>
            <w:vAlign w:val="center"/>
          </w:tcPr>
          <w:p w14:paraId="714A4E83">
            <w:pPr>
              <w:keepNext w:val="0"/>
              <w:keepLines w:val="0"/>
              <w:suppressLineNumbers w:val="0"/>
              <w:spacing w:before="0" w:beforeAutospacing="0" w:after="0" w:afterAutospacing="0" w:line="360" w:lineRule="auto"/>
              <w:ind w:left="0" w:right="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color w:val="auto"/>
                <w:sz w:val="21"/>
                <w:szCs w:val="21"/>
                <w:highlight w:val="none"/>
              </w:rPr>
              <w:t>★</w:t>
            </w:r>
          </w:p>
        </w:tc>
        <w:tc>
          <w:tcPr>
            <w:tcW w:w="5363" w:type="dxa"/>
            <w:noWrap w:val="0"/>
            <w:vAlign w:val="center"/>
          </w:tcPr>
          <w:p w14:paraId="2C6F5C52">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left"/>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评分项，</w:t>
            </w:r>
            <w:r>
              <w:rPr>
                <w:rFonts w:hint="eastAsia" w:ascii="宋体" w:hAnsi="宋体" w:eastAsia="宋体" w:cs="宋体"/>
                <w:color w:val="auto"/>
                <w:kern w:val="2"/>
                <w:sz w:val="21"/>
                <w:szCs w:val="21"/>
                <w:highlight w:val="none"/>
                <w:lang w:val="en-US" w:eastAsia="zh-CN" w:bidi="ar"/>
              </w:rPr>
              <w:t>详见评标办法和标准。</w:t>
            </w:r>
          </w:p>
        </w:tc>
      </w:tr>
      <w:tr w14:paraId="0B1C4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shd w:val="clear" w:color="auto" w:fill="auto"/>
            <w:noWrap w:val="0"/>
            <w:vAlign w:val="center"/>
          </w:tcPr>
          <w:p w14:paraId="2985C0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一般指标项</w:t>
            </w:r>
          </w:p>
        </w:tc>
        <w:tc>
          <w:tcPr>
            <w:tcW w:w="1365" w:type="dxa"/>
            <w:shd w:val="clear" w:color="auto" w:fill="auto"/>
            <w:noWrap w:val="0"/>
            <w:vAlign w:val="center"/>
          </w:tcPr>
          <w:p w14:paraId="78908FF0">
            <w:pPr>
              <w:keepNext w:val="0"/>
              <w:keepLines w:val="0"/>
              <w:suppressLineNumbers w:val="0"/>
              <w:spacing w:before="0" w:beforeAutospacing="0" w:after="0" w:afterAutospacing="0" w:line="360" w:lineRule="auto"/>
              <w:ind w:left="0" w:right="0"/>
              <w:jc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color w:val="auto"/>
                <w:sz w:val="21"/>
                <w:szCs w:val="21"/>
                <w:highlight w:val="none"/>
              </w:rPr>
              <w:t>●</w:t>
            </w:r>
          </w:p>
        </w:tc>
        <w:tc>
          <w:tcPr>
            <w:tcW w:w="5363" w:type="dxa"/>
            <w:shd w:val="clear" w:color="auto" w:fill="auto"/>
            <w:noWrap w:val="0"/>
            <w:vAlign w:val="center"/>
          </w:tcPr>
          <w:p w14:paraId="4CD30EA5">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left"/>
              <w:textAlignment w:val="auto"/>
              <w:rPr>
                <w:rFonts w:hint="default"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rPr>
              <w:t>评分项，</w:t>
            </w:r>
            <w:r>
              <w:rPr>
                <w:rFonts w:hint="eastAsia" w:ascii="宋体" w:hAnsi="宋体" w:eastAsia="宋体" w:cs="宋体"/>
                <w:color w:val="auto"/>
                <w:kern w:val="2"/>
                <w:sz w:val="21"/>
                <w:szCs w:val="21"/>
                <w:highlight w:val="none"/>
                <w:lang w:val="en-US" w:eastAsia="zh-CN" w:bidi="ar"/>
              </w:rPr>
              <w:t>详见评标办法和标准。</w:t>
            </w:r>
          </w:p>
        </w:tc>
      </w:tr>
      <w:tr w14:paraId="620EF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noWrap w:val="0"/>
            <w:vAlign w:val="center"/>
          </w:tcPr>
          <w:p w14:paraId="45BCBF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无标识项</w:t>
            </w:r>
          </w:p>
        </w:tc>
        <w:tc>
          <w:tcPr>
            <w:tcW w:w="1365" w:type="dxa"/>
            <w:noWrap w:val="0"/>
            <w:vAlign w:val="center"/>
          </w:tcPr>
          <w:p w14:paraId="5B0AA474">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right="0" w:firstLine="0" w:firstLineChars="0"/>
              <w:jc w:val="center"/>
              <w:textAlignment w:val="auto"/>
              <w:rPr>
                <w:rFonts w:hint="eastAsia" w:ascii="宋体" w:hAnsi="宋体" w:eastAsia="宋体" w:cs="宋体"/>
                <w:bCs/>
                <w:color w:val="auto"/>
                <w:sz w:val="21"/>
                <w:szCs w:val="21"/>
                <w:highlight w:val="none"/>
              </w:rPr>
            </w:pPr>
          </w:p>
        </w:tc>
        <w:tc>
          <w:tcPr>
            <w:tcW w:w="5363" w:type="dxa"/>
            <w:noWrap w:val="0"/>
            <w:vAlign w:val="center"/>
          </w:tcPr>
          <w:p w14:paraId="31E54109">
            <w:pPr>
              <w:keepNext w:val="0"/>
              <w:keepLines w:val="0"/>
              <w:suppressLineNumbers w:val="0"/>
              <w:adjustRightInd w:val="0"/>
              <w:snapToGrid w:val="0"/>
              <w:spacing w:before="0" w:beforeAutospacing="0" w:after="0" w:afterAutospacing="0" w:line="300" w:lineRule="auto"/>
              <w:ind w:left="0" w:leftChars="0" w:right="0" w:firstLine="0" w:firstLineChars="0"/>
              <w:jc w:val="left"/>
              <w:rPr>
                <w:rFonts w:hint="default"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符合性审查项，该指标项最大允许负偏离</w:t>
            </w:r>
            <w:r>
              <w:rPr>
                <w:rFonts w:hint="eastAsia" w:ascii="宋体" w:hAnsi="宋体" w:eastAsia="宋体" w:cs="宋体"/>
                <w:bCs/>
                <w:color w:val="auto"/>
                <w:kern w:val="2"/>
                <w:sz w:val="21"/>
                <w:szCs w:val="21"/>
                <w:highlight w:val="none"/>
                <w:u w:val="single"/>
                <w:lang w:val="en-US" w:eastAsia="zh-CN" w:bidi="ar-SA"/>
              </w:rPr>
              <w:t>0</w:t>
            </w:r>
            <w:r>
              <w:rPr>
                <w:rFonts w:hint="eastAsia" w:ascii="宋体" w:hAnsi="宋体" w:eastAsia="宋体" w:cs="宋体"/>
                <w:bCs/>
                <w:color w:val="auto"/>
                <w:kern w:val="2"/>
                <w:sz w:val="21"/>
                <w:szCs w:val="21"/>
                <w:highlight w:val="none"/>
                <w:lang w:val="en-US" w:eastAsia="zh-CN" w:bidi="ar-SA"/>
              </w:rPr>
              <w:t>项，超过最大允许负偏离项数的，</w:t>
            </w:r>
            <w:r>
              <w:rPr>
                <w:rFonts w:hint="eastAsia" w:ascii="宋体" w:hAnsi="宋体" w:eastAsia="宋体" w:cs="宋体"/>
                <w:b/>
                <w:bCs w:val="0"/>
                <w:color w:val="auto"/>
                <w:kern w:val="2"/>
                <w:sz w:val="21"/>
                <w:szCs w:val="21"/>
                <w:highlight w:val="none"/>
                <w:lang w:val="en-US" w:eastAsia="zh-CN" w:bidi="ar-SA"/>
              </w:rPr>
              <w:t>投标无效</w:t>
            </w:r>
            <w:r>
              <w:rPr>
                <w:rFonts w:hint="eastAsia" w:ascii="宋体" w:hAnsi="宋体" w:eastAsia="宋体" w:cs="宋体"/>
                <w:bCs/>
                <w:color w:val="auto"/>
                <w:kern w:val="2"/>
                <w:sz w:val="21"/>
                <w:szCs w:val="21"/>
                <w:highlight w:val="none"/>
                <w:lang w:val="en-US" w:eastAsia="zh-CN" w:bidi="ar-SA"/>
              </w:rPr>
              <w:t>。</w:t>
            </w:r>
          </w:p>
        </w:tc>
      </w:tr>
      <w:tr w14:paraId="7236D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noWrap w:val="0"/>
            <w:vAlign w:val="center"/>
          </w:tcPr>
          <w:p w14:paraId="6A025F1C">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firstLine="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495C49BE">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标识条款中如包含多条子项技术参数或要求，则需满足或优于该标识条款内所有子项技术参数或要求方能得分。</w:t>
            </w:r>
          </w:p>
          <w:p w14:paraId="0156FC0C">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kern w:val="0"/>
                <w:sz w:val="21"/>
                <w:szCs w:val="21"/>
                <w:highlight w:val="none"/>
              </w:rPr>
              <w:t>下述技术参数所涉及的具体物理尺寸</w:t>
            </w:r>
            <w:r>
              <w:rPr>
                <w:rFonts w:hint="eastAsia" w:ascii="宋体" w:hAnsi="宋体" w:eastAsia="宋体" w:cs="宋体"/>
                <w:color w:val="auto"/>
                <w:kern w:val="0"/>
                <w:sz w:val="21"/>
                <w:szCs w:val="21"/>
                <w:highlight w:val="none"/>
                <w:lang w:eastAsia="zh-CN"/>
              </w:rPr>
              <w:t>：货物需求清单</w:t>
            </w:r>
            <w:r>
              <w:rPr>
                <w:rFonts w:hint="eastAsia" w:ascii="宋体" w:hAnsi="宋体" w:eastAsia="宋体" w:cs="宋体"/>
                <w:color w:val="auto"/>
                <w:kern w:val="0"/>
                <w:sz w:val="21"/>
                <w:szCs w:val="21"/>
                <w:highlight w:val="none"/>
                <w:lang w:val="en-US" w:eastAsia="zh-CN"/>
              </w:rPr>
              <w:t>中明确允许偏离范围的，按货物需求清单</w:t>
            </w:r>
            <w:r>
              <w:rPr>
                <w:rFonts w:hint="eastAsia" w:ascii="宋体" w:hAnsi="宋体" w:eastAsia="宋体" w:cs="宋体"/>
                <w:color w:val="auto"/>
                <w:sz w:val="21"/>
                <w:szCs w:val="21"/>
                <w:highlight w:val="none"/>
                <w:lang w:val="en-US" w:eastAsia="zh-CN"/>
              </w:rPr>
              <w:t>要求</w:t>
            </w:r>
            <w:r>
              <w:rPr>
                <w:rFonts w:hint="eastAsia" w:ascii="宋体" w:hAnsi="宋体" w:eastAsia="宋体" w:cs="宋体"/>
                <w:color w:val="auto"/>
                <w:kern w:val="0"/>
                <w:sz w:val="21"/>
                <w:szCs w:val="21"/>
                <w:highlight w:val="none"/>
                <w:lang w:val="en-US" w:eastAsia="zh-CN"/>
              </w:rPr>
              <w:t>执行；货物需求清单中未明确允许偏离范围的，</w:t>
            </w:r>
            <w:r>
              <w:rPr>
                <w:rFonts w:hint="eastAsia" w:ascii="宋体" w:hAnsi="宋体" w:eastAsia="宋体" w:cs="宋体"/>
                <w:color w:val="auto"/>
                <w:kern w:val="0"/>
                <w:sz w:val="21"/>
                <w:szCs w:val="21"/>
                <w:highlight w:val="none"/>
              </w:rPr>
              <w:t>允许±5%偏离</w:t>
            </w:r>
            <w:r>
              <w:rPr>
                <w:rFonts w:hint="eastAsia" w:ascii="宋体" w:hAnsi="宋体" w:eastAsia="宋体" w:cs="宋体"/>
                <w:color w:val="auto"/>
                <w:sz w:val="21"/>
                <w:szCs w:val="21"/>
                <w:highlight w:val="none"/>
              </w:rPr>
              <w:t>。</w:t>
            </w:r>
          </w:p>
        </w:tc>
      </w:tr>
    </w:tbl>
    <w:p w14:paraId="2A023A8F">
      <w:pPr>
        <w:keepNext w:val="0"/>
        <w:keepLines w:val="0"/>
        <w:pageBreakBefore w:val="0"/>
        <w:widowControl/>
        <w:kinsoku/>
        <w:wordWrap/>
        <w:overflowPunct/>
        <w:topLinePunct w:val="0"/>
        <w:autoSpaceDE/>
        <w:autoSpaceDN/>
        <w:bidi w:val="0"/>
        <w:adjustRightInd/>
        <w:snapToGrid w:val="0"/>
        <w:spacing w:line="360" w:lineRule="auto"/>
        <w:ind w:firstLine="422" w:firstLineChars="200"/>
        <w:textAlignment w:val="auto"/>
        <w:outlineLvl w:val="2"/>
        <w:rPr>
          <w:rFonts w:hint="eastAsia" w:ascii="宋体" w:hAnsi="宋体" w:eastAsia="宋体"/>
          <w:b/>
          <w:bCs/>
          <w:color w:val="auto"/>
          <w:sz w:val="21"/>
          <w:szCs w:val="21"/>
          <w:highlight w:val="none"/>
        </w:rPr>
      </w:pPr>
      <w:r>
        <w:rPr>
          <w:rFonts w:hint="eastAsia" w:ascii="宋体" w:hAnsi="宋体" w:eastAsia="宋体" w:cs="宋体"/>
          <w:b/>
          <w:bCs/>
          <w:color w:val="auto"/>
          <w:sz w:val="21"/>
          <w:szCs w:val="21"/>
          <w:highlight w:val="none"/>
          <w:lang w:eastAsia="zh-CN"/>
        </w:rPr>
        <w:t>（二）</w:t>
      </w:r>
      <w:r>
        <w:rPr>
          <w:rFonts w:hint="eastAsia" w:ascii="宋体" w:hAnsi="宋体" w:eastAsia="宋体" w:cs="宋体"/>
          <w:b/>
          <w:bCs/>
          <w:color w:val="auto"/>
          <w:sz w:val="21"/>
          <w:szCs w:val="21"/>
          <w:highlight w:val="none"/>
          <w:lang w:val="en-US" w:eastAsia="zh-CN"/>
        </w:rPr>
        <w:t>货物需求</w:t>
      </w:r>
      <w:r>
        <w:rPr>
          <w:rFonts w:hint="eastAsia" w:ascii="宋体" w:hAnsi="宋体" w:eastAsia="宋体" w:cs="宋体"/>
          <w:b/>
          <w:bCs/>
          <w:color w:val="auto"/>
          <w:sz w:val="21"/>
          <w:szCs w:val="21"/>
          <w:highlight w:val="none"/>
        </w:rPr>
        <w:t>清单</w:t>
      </w:r>
    </w:p>
    <w:tbl>
      <w:tblPr>
        <w:tblStyle w:val="4"/>
        <w:tblW w:w="50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093"/>
        <w:gridCol w:w="4970"/>
        <w:gridCol w:w="1083"/>
        <w:gridCol w:w="814"/>
      </w:tblGrid>
      <w:tr w14:paraId="5ACAE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46" w:type="pct"/>
            <w:shd w:val="clear" w:color="auto" w:fill="auto"/>
            <w:vAlign w:val="center"/>
          </w:tcPr>
          <w:p w14:paraId="109808F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firstLine="0"/>
              <w:jc w:val="center"/>
              <w:textAlignment w:val="auto"/>
              <w:rPr>
                <w:rFonts w:hint="default" w:ascii="宋体" w:hAnsi="宋体" w:eastAsia="宋体" w:cs="@仿宋_GB2312"/>
                <w:b/>
                <w:bCs/>
                <w:color w:val="auto"/>
                <w:kern w:val="2"/>
                <w:sz w:val="21"/>
                <w:szCs w:val="21"/>
                <w:highlight w:val="none"/>
                <w:lang w:val="en-US" w:eastAsia="zh-CN" w:bidi="ar-SA"/>
              </w:rPr>
            </w:pPr>
            <w:r>
              <w:rPr>
                <w:rFonts w:hint="eastAsia" w:ascii="宋体" w:hAnsi="宋体" w:eastAsia="宋体"/>
                <w:b/>
                <w:bCs/>
                <w:color w:val="auto"/>
                <w:sz w:val="21"/>
                <w:szCs w:val="21"/>
                <w:highlight w:val="none"/>
              </w:rPr>
              <w:t>序号</w:t>
            </w:r>
          </w:p>
        </w:tc>
        <w:tc>
          <w:tcPr>
            <w:tcW w:w="638" w:type="pct"/>
            <w:shd w:val="clear" w:color="auto" w:fill="auto"/>
            <w:vAlign w:val="center"/>
          </w:tcPr>
          <w:p w14:paraId="7280C78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center"/>
              <w:textAlignment w:val="auto"/>
              <w:rPr>
                <w:rFonts w:hint="default" w:ascii="宋体" w:hAnsi="宋体" w:eastAsia="宋体" w:cs="@仿宋_GB2312"/>
                <w:b/>
                <w:bCs/>
                <w:color w:val="auto"/>
                <w:kern w:val="2"/>
                <w:sz w:val="21"/>
                <w:szCs w:val="21"/>
                <w:highlight w:val="none"/>
                <w:lang w:val="en-US" w:eastAsia="zh-CN" w:bidi="ar-SA"/>
              </w:rPr>
            </w:pPr>
            <w:r>
              <w:rPr>
                <w:rFonts w:hint="eastAsia" w:ascii="宋体" w:hAnsi="宋体" w:eastAsia="宋体"/>
                <w:b/>
                <w:bCs/>
                <w:color w:val="auto"/>
                <w:sz w:val="21"/>
                <w:szCs w:val="21"/>
                <w:highlight w:val="none"/>
              </w:rPr>
              <w:t>货物名称</w:t>
            </w:r>
          </w:p>
        </w:tc>
        <w:tc>
          <w:tcPr>
            <w:tcW w:w="2905" w:type="pct"/>
            <w:shd w:val="clear" w:color="auto" w:fill="auto"/>
            <w:vAlign w:val="center"/>
          </w:tcPr>
          <w:p w14:paraId="7F856C36">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center"/>
              <w:textAlignment w:val="auto"/>
              <w:rPr>
                <w:rFonts w:hint="default" w:ascii="宋体" w:hAnsi="宋体" w:eastAsia="宋体" w:cs="@仿宋_GB2312"/>
                <w:b/>
                <w:bCs/>
                <w:color w:val="auto"/>
                <w:kern w:val="2"/>
                <w:sz w:val="21"/>
                <w:szCs w:val="21"/>
                <w:highlight w:val="none"/>
                <w:lang w:val="en-US" w:eastAsia="zh-CN" w:bidi="ar-SA"/>
              </w:rPr>
            </w:pPr>
            <w:r>
              <w:rPr>
                <w:rFonts w:hint="eastAsia" w:ascii="宋体" w:hAnsi="宋体" w:eastAsia="宋体"/>
                <w:b/>
                <w:bCs/>
                <w:color w:val="auto"/>
                <w:sz w:val="21"/>
                <w:szCs w:val="21"/>
                <w:highlight w:val="none"/>
              </w:rPr>
              <w:t>技术参数及要求</w:t>
            </w:r>
          </w:p>
        </w:tc>
        <w:tc>
          <w:tcPr>
            <w:tcW w:w="633" w:type="pct"/>
            <w:shd w:val="clear" w:color="auto" w:fill="auto"/>
            <w:vAlign w:val="center"/>
          </w:tcPr>
          <w:p w14:paraId="4D538C1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b/>
                <w:bCs/>
                <w:color w:val="auto"/>
                <w:sz w:val="21"/>
                <w:szCs w:val="21"/>
                <w:highlight w:val="none"/>
              </w:rPr>
            </w:pPr>
            <w:r>
              <w:rPr>
                <w:rFonts w:hint="eastAsia" w:ascii="宋体" w:hAnsi="宋体" w:eastAsia="宋体"/>
                <w:b/>
                <w:bCs/>
                <w:color w:val="auto"/>
                <w:sz w:val="21"/>
                <w:szCs w:val="21"/>
                <w:highlight w:val="none"/>
              </w:rPr>
              <w:t>数量</w:t>
            </w:r>
          </w:p>
          <w:p w14:paraId="1A93D58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center"/>
              <w:textAlignment w:val="auto"/>
              <w:rPr>
                <w:rFonts w:hint="default" w:ascii="宋体" w:hAnsi="宋体" w:eastAsia="宋体" w:cs="@仿宋_GB2312"/>
                <w:b/>
                <w:bCs/>
                <w:color w:val="auto"/>
                <w:kern w:val="2"/>
                <w:sz w:val="21"/>
                <w:szCs w:val="21"/>
                <w:highlight w:val="none"/>
                <w:lang w:val="en-US" w:eastAsia="zh-CN" w:bidi="ar-SA"/>
              </w:rPr>
            </w:pPr>
            <w:r>
              <w:rPr>
                <w:rFonts w:hint="eastAsia" w:ascii="宋体" w:hAnsi="宋体" w:eastAsia="宋体"/>
                <w:b/>
                <w:bCs/>
                <w:color w:val="auto"/>
                <w:sz w:val="21"/>
                <w:szCs w:val="21"/>
                <w:highlight w:val="none"/>
              </w:rPr>
              <w:t>（单位）</w:t>
            </w:r>
          </w:p>
        </w:tc>
        <w:tc>
          <w:tcPr>
            <w:tcW w:w="475" w:type="pct"/>
            <w:shd w:val="clear" w:color="auto" w:fill="auto"/>
            <w:vAlign w:val="center"/>
          </w:tcPr>
          <w:p w14:paraId="68DC0909">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b/>
                <w:bCs/>
                <w:color w:val="auto"/>
                <w:sz w:val="21"/>
                <w:szCs w:val="21"/>
                <w:highlight w:val="none"/>
              </w:rPr>
            </w:pPr>
            <w:r>
              <w:rPr>
                <w:rFonts w:hint="eastAsia" w:ascii="宋体" w:hAnsi="宋体" w:eastAsia="宋体"/>
                <w:b/>
                <w:bCs/>
                <w:color w:val="auto"/>
                <w:sz w:val="21"/>
                <w:szCs w:val="21"/>
                <w:highlight w:val="none"/>
              </w:rPr>
              <w:t>所属</w:t>
            </w:r>
          </w:p>
          <w:p w14:paraId="599250B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center"/>
              <w:textAlignment w:val="auto"/>
              <w:rPr>
                <w:rFonts w:hint="default" w:ascii="宋体" w:hAnsi="宋体" w:eastAsia="宋体" w:cs="@仿宋_GB2312"/>
                <w:b/>
                <w:bCs/>
                <w:color w:val="auto"/>
                <w:kern w:val="2"/>
                <w:sz w:val="21"/>
                <w:szCs w:val="21"/>
                <w:highlight w:val="none"/>
                <w:lang w:val="en-US" w:eastAsia="zh-CN" w:bidi="ar-SA"/>
              </w:rPr>
            </w:pPr>
            <w:r>
              <w:rPr>
                <w:rFonts w:hint="eastAsia" w:ascii="宋体" w:hAnsi="宋体" w:eastAsia="宋体"/>
                <w:b/>
                <w:bCs/>
                <w:color w:val="auto"/>
                <w:sz w:val="21"/>
                <w:szCs w:val="21"/>
                <w:highlight w:val="none"/>
              </w:rPr>
              <w:t>行业</w:t>
            </w:r>
          </w:p>
        </w:tc>
      </w:tr>
      <w:tr w14:paraId="12379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46" w:type="pct"/>
            <w:shd w:val="clear" w:color="auto" w:fill="auto"/>
            <w:vAlign w:val="center"/>
          </w:tcPr>
          <w:p w14:paraId="56DC9BD5">
            <w:pPr>
              <w:keepNext w:val="0"/>
              <w:keepLines w:val="0"/>
              <w:pageBreakBefore w:val="0"/>
              <w:numPr>
                <w:ilvl w:val="0"/>
                <w:numId w:val="1"/>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firstLine="0" w:firstLineChars="0"/>
              <w:jc w:val="center"/>
              <w:textAlignment w:val="auto"/>
              <w:rPr>
                <w:rFonts w:hint="default" w:ascii="宋体" w:hAnsi="宋体" w:eastAsia="宋体" w:cs="宋体"/>
                <w:b w:val="0"/>
                <w:bCs w:val="0"/>
                <w:color w:val="auto"/>
                <w:kern w:val="2"/>
                <w:sz w:val="21"/>
                <w:szCs w:val="21"/>
                <w:highlight w:val="none"/>
                <w:lang w:val="en-US" w:eastAsia="zh-CN" w:bidi="ar-SA"/>
              </w:rPr>
            </w:pPr>
          </w:p>
        </w:tc>
        <w:tc>
          <w:tcPr>
            <w:tcW w:w="638" w:type="pct"/>
            <w:vAlign w:val="center"/>
          </w:tcPr>
          <w:p w14:paraId="0DC65012">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center"/>
              <w:textAlignment w:val="auto"/>
              <w:rPr>
                <w:rFonts w:hint="eastAsia" w:ascii="宋体" w:hAnsi="宋体" w:eastAsia="宋体"/>
                <w:b w:val="0"/>
                <w:bCs w:val="0"/>
                <w:color w:val="auto"/>
                <w:sz w:val="21"/>
                <w:szCs w:val="21"/>
                <w:highlight w:val="none"/>
              </w:rPr>
            </w:pPr>
            <w:r>
              <w:rPr>
                <w:rFonts w:hint="eastAsia" w:ascii="宋体" w:hAnsi="宋体" w:eastAsia="宋体"/>
                <w:b w:val="0"/>
                <w:bCs w:val="0"/>
                <w:color w:val="auto"/>
                <w:sz w:val="21"/>
                <w:szCs w:val="21"/>
                <w:highlight w:val="none"/>
              </w:rPr>
              <w:t>气密性试验机</w:t>
            </w:r>
          </w:p>
        </w:tc>
        <w:tc>
          <w:tcPr>
            <w:tcW w:w="2905" w:type="pct"/>
            <w:vAlign w:val="center"/>
          </w:tcPr>
          <w:p w14:paraId="3EA19DF1">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firstLine="0" w:firstLineChars="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一、主要用途：主要用于金属管材管件气密性试验</w:t>
            </w:r>
          </w:p>
          <w:p w14:paraId="0DBACF21">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firstLine="0" w:firstLineChars="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二、依据标准：</w:t>
            </w:r>
            <w:r>
              <w:rPr>
                <w:rFonts w:hint="eastAsia" w:ascii="宋体" w:hAnsi="宋体" w:eastAsia="宋体" w:cs="宋体"/>
                <w:bCs/>
                <w:color w:val="auto"/>
                <w:kern w:val="2"/>
                <w:sz w:val="21"/>
                <w:szCs w:val="21"/>
                <w:highlight w:val="none"/>
                <w:lang w:val="en-US" w:eastAsia="zh-CN" w:bidi="ar-SA"/>
              </w:rPr>
              <w:t>符合</w:t>
            </w:r>
            <w:r>
              <w:rPr>
                <w:rFonts w:hint="eastAsia" w:ascii="宋体" w:hAnsi="宋体" w:eastAsia="宋体" w:cs="宋体"/>
                <w:bCs/>
                <w:color w:val="auto"/>
                <w:kern w:val="2"/>
                <w:sz w:val="21"/>
                <w:szCs w:val="21"/>
                <w:highlight w:val="none"/>
                <w:lang w:val="zh-CN" w:eastAsia="zh-CN" w:bidi="ar-SA"/>
              </w:rPr>
              <w:t>AS 3688：2016中4.2条、4.11条、4.12条，GB/T 19228.1-2024中6.5.3条，GB/T 19228.2-2011中6.5.4条标准中对设备的要求</w:t>
            </w:r>
          </w:p>
          <w:p w14:paraId="109D4829">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firstLine="0" w:firstLineChars="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三、技术指标</w:t>
            </w:r>
          </w:p>
          <w:p w14:paraId="27806D43">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firstLine="0" w:firstLineChars="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1、压力范围：</w:t>
            </w:r>
            <w:r>
              <w:rPr>
                <w:rFonts w:hint="eastAsia" w:ascii="宋体" w:hAnsi="宋体" w:eastAsia="宋体" w:cs="宋体"/>
                <w:bCs/>
                <w:color w:val="auto"/>
                <w:kern w:val="2"/>
                <w:sz w:val="21"/>
                <w:szCs w:val="21"/>
                <w:highlight w:val="none"/>
                <w:lang w:val="en-US" w:eastAsia="zh-CN" w:bidi="ar-SA"/>
              </w:rPr>
              <w:t>至少覆盖</w:t>
            </w:r>
            <w:r>
              <w:rPr>
                <w:rFonts w:hint="eastAsia" w:ascii="宋体" w:hAnsi="宋体" w:eastAsia="宋体" w:cs="宋体"/>
                <w:bCs/>
                <w:color w:val="auto"/>
                <w:kern w:val="2"/>
                <w:sz w:val="21"/>
                <w:szCs w:val="21"/>
                <w:highlight w:val="none"/>
                <w:lang w:val="zh-CN" w:eastAsia="zh-CN" w:bidi="ar-SA"/>
              </w:rPr>
              <w:t>(0～3)MPa，能实现2.2kPa、11kPa等低压下的气密性试验；</w:t>
            </w:r>
          </w:p>
          <w:p w14:paraId="7DB9EB59">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firstLine="0" w:firstLineChars="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2、试验介质：压缩空气；</w:t>
            </w:r>
          </w:p>
          <w:p w14:paraId="66D758D5">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firstLine="0" w:firstLineChars="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3、工位：</w:t>
            </w:r>
            <w:r>
              <w:rPr>
                <w:rFonts w:hint="eastAsia" w:ascii="宋体" w:hAnsi="宋体" w:eastAsia="宋体" w:cs="宋体"/>
                <w:bCs/>
                <w:color w:val="auto"/>
                <w:kern w:val="2"/>
                <w:sz w:val="21"/>
                <w:szCs w:val="21"/>
                <w:highlight w:val="none"/>
                <w:lang w:val="en-US" w:eastAsia="zh-CN" w:bidi="ar-SA"/>
              </w:rPr>
              <w:t>≥</w:t>
            </w:r>
            <w:r>
              <w:rPr>
                <w:rFonts w:hint="eastAsia" w:ascii="宋体" w:hAnsi="宋体" w:eastAsia="宋体" w:cs="宋体"/>
                <w:bCs/>
                <w:color w:val="auto"/>
                <w:kern w:val="2"/>
                <w:sz w:val="21"/>
                <w:szCs w:val="21"/>
                <w:highlight w:val="none"/>
                <w:lang w:val="zh-CN" w:eastAsia="zh-CN" w:bidi="ar-SA"/>
              </w:rPr>
              <w:t>4工位；</w:t>
            </w:r>
          </w:p>
          <w:p w14:paraId="2604B7BF">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firstLine="0" w:firstLineChars="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4、压力控制精度：-1%～+2%；</w:t>
            </w:r>
          </w:p>
          <w:p w14:paraId="665B508C">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firstLine="0" w:firstLineChars="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5、计时误差：±0.1%；</w:t>
            </w:r>
          </w:p>
          <w:p w14:paraId="54502EC5">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firstLine="0" w:firstLineChars="0"/>
              <w:jc w:val="both"/>
              <w:textAlignment w:val="auto"/>
              <w:rPr>
                <w:rFonts w:hint="eastAsia" w:ascii="宋体" w:hAnsi="宋体" w:eastAsia="宋体" w:cs="宋体"/>
                <w:b/>
                <w:bCs w:val="0"/>
                <w:color w:val="auto"/>
                <w:kern w:val="2"/>
                <w:sz w:val="21"/>
                <w:szCs w:val="21"/>
                <w:highlight w:val="none"/>
                <w:lang w:val="zh-CN" w:eastAsia="zh-CN" w:bidi="ar-SA"/>
              </w:rPr>
            </w:pPr>
            <w:r>
              <w:rPr>
                <w:rFonts w:hint="eastAsia" w:ascii="宋体" w:hAnsi="宋体" w:eastAsia="@微软简标宋" w:cs="宋体"/>
                <w:color w:val="auto"/>
                <w:kern w:val="2"/>
                <w:sz w:val="21"/>
                <w:szCs w:val="21"/>
                <w:highlight w:val="none"/>
                <w:lang w:val="zh-CN" w:eastAsia="zh-CN" w:bidi="ar-SA"/>
              </w:rPr>
              <w:t>●</w:t>
            </w:r>
            <w:r>
              <w:rPr>
                <w:rFonts w:hint="eastAsia" w:ascii="宋体" w:hAnsi="宋体" w:eastAsia="宋体" w:cs="宋体"/>
                <w:bCs/>
                <w:color w:val="auto"/>
                <w:kern w:val="2"/>
                <w:sz w:val="21"/>
                <w:szCs w:val="21"/>
                <w:highlight w:val="none"/>
                <w:lang w:val="zh-CN" w:eastAsia="zh-CN" w:bidi="ar-SA"/>
              </w:rPr>
              <w:t>6、设备</w:t>
            </w:r>
            <w:r>
              <w:rPr>
                <w:rFonts w:hint="eastAsia" w:ascii="宋体" w:hAnsi="宋体" w:eastAsia="宋体" w:cs="宋体"/>
                <w:bCs/>
                <w:color w:val="auto"/>
                <w:kern w:val="2"/>
                <w:sz w:val="21"/>
                <w:szCs w:val="21"/>
                <w:highlight w:val="none"/>
                <w:lang w:val="en-US" w:eastAsia="zh-CN" w:bidi="ar-SA"/>
              </w:rPr>
              <w:t>具备高</w:t>
            </w:r>
            <w:r>
              <w:rPr>
                <w:rFonts w:hint="eastAsia" w:ascii="宋体" w:hAnsi="宋体" w:eastAsia="宋体" w:cs="宋体"/>
                <w:bCs/>
                <w:color w:val="auto"/>
                <w:kern w:val="2"/>
                <w:sz w:val="21"/>
                <w:szCs w:val="21"/>
                <w:highlight w:val="none"/>
                <w:lang w:val="zh-CN" w:eastAsia="zh-CN" w:bidi="ar-SA"/>
              </w:rPr>
              <w:t>防护装置</w:t>
            </w:r>
            <w:r>
              <w:rPr>
                <w:rFonts w:hint="eastAsia" w:ascii="宋体" w:hAnsi="宋体" w:eastAsia="宋体" w:cs="宋体"/>
                <w:b/>
                <w:bCs w:val="0"/>
                <w:color w:val="auto"/>
                <w:kern w:val="2"/>
                <w:sz w:val="21"/>
                <w:szCs w:val="21"/>
                <w:highlight w:val="none"/>
                <w:lang w:val="zh-CN" w:eastAsia="zh-CN" w:bidi="ar-SA"/>
              </w:rPr>
              <w:t>（</w:t>
            </w:r>
            <w:r>
              <w:rPr>
                <w:rFonts w:hint="eastAsia" w:ascii="宋体" w:hAnsi="宋体" w:eastAsia="宋体" w:cs="宋体"/>
                <w:b/>
                <w:bCs w:val="0"/>
                <w:color w:val="auto"/>
                <w:kern w:val="2"/>
                <w:sz w:val="21"/>
                <w:szCs w:val="21"/>
                <w:highlight w:val="none"/>
                <w:lang w:val="en-US" w:eastAsia="zh-CN" w:bidi="ar-SA"/>
              </w:rPr>
              <w:t>投标文件中提供实物图片，佐证具备防护装置</w:t>
            </w:r>
            <w:r>
              <w:rPr>
                <w:rFonts w:hint="eastAsia" w:ascii="宋体" w:hAnsi="宋体" w:eastAsia="宋体" w:cs="宋体"/>
                <w:b/>
                <w:bCs w:val="0"/>
                <w:color w:val="auto"/>
                <w:kern w:val="2"/>
                <w:sz w:val="21"/>
                <w:szCs w:val="21"/>
                <w:highlight w:val="none"/>
                <w:lang w:val="zh-CN" w:eastAsia="zh-CN" w:bidi="ar-SA"/>
              </w:rPr>
              <w:t>）；</w:t>
            </w:r>
          </w:p>
          <w:p w14:paraId="504AEFB4">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firstLine="0" w:firstLineChars="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w:t>
            </w:r>
            <w:r>
              <w:rPr>
                <w:rFonts w:hint="eastAsia" w:ascii="宋体" w:hAnsi="宋体" w:eastAsia="宋体" w:cs="宋体"/>
                <w:bCs/>
                <w:color w:val="auto"/>
                <w:kern w:val="2"/>
                <w:sz w:val="21"/>
                <w:szCs w:val="21"/>
                <w:highlight w:val="none"/>
                <w:lang w:val="en-US" w:eastAsia="zh-CN" w:bidi="ar-SA"/>
              </w:rPr>
              <w:t>7、</w:t>
            </w:r>
            <w:r>
              <w:rPr>
                <w:rFonts w:hint="eastAsia" w:ascii="宋体" w:hAnsi="宋体" w:eastAsia="宋体" w:cs="宋体"/>
                <w:bCs/>
                <w:color w:val="auto"/>
                <w:kern w:val="2"/>
                <w:sz w:val="21"/>
                <w:szCs w:val="21"/>
                <w:highlight w:val="none"/>
                <w:lang w:val="zh-CN" w:eastAsia="zh-CN" w:bidi="ar-SA"/>
              </w:rPr>
              <w:t>自动侵入式渗漏检测，设置检漏浴槽，可直观、快速识别渗漏</w:t>
            </w:r>
            <w:r>
              <w:rPr>
                <w:rFonts w:hint="eastAsia" w:ascii="宋体" w:hAnsi="宋体" w:eastAsia="宋体" w:cs="宋体"/>
                <w:b/>
                <w:bCs w:val="0"/>
                <w:color w:val="auto"/>
                <w:kern w:val="2"/>
                <w:sz w:val="21"/>
                <w:szCs w:val="21"/>
                <w:highlight w:val="none"/>
                <w:lang w:val="zh-CN" w:eastAsia="zh-CN" w:bidi="ar-SA"/>
              </w:rPr>
              <w:t>（</w:t>
            </w:r>
            <w:r>
              <w:rPr>
                <w:rFonts w:hint="eastAsia" w:ascii="宋体" w:hAnsi="宋体" w:eastAsia="宋体" w:cs="宋体"/>
                <w:b/>
                <w:bCs w:val="0"/>
                <w:color w:val="auto"/>
                <w:kern w:val="2"/>
                <w:sz w:val="21"/>
                <w:szCs w:val="21"/>
                <w:highlight w:val="none"/>
                <w:lang w:val="en-US" w:eastAsia="zh-CN" w:bidi="ar-SA"/>
              </w:rPr>
              <w:t>投标文件中提供彩页或官网截图，佐证</w:t>
            </w:r>
            <w:r>
              <w:rPr>
                <w:rFonts w:hint="eastAsia" w:ascii="宋体" w:hAnsi="宋体" w:eastAsia="宋体" w:cs="宋体"/>
                <w:b/>
                <w:bCs w:val="0"/>
                <w:color w:val="auto"/>
                <w:kern w:val="2"/>
                <w:sz w:val="21"/>
                <w:szCs w:val="21"/>
                <w:highlight w:val="none"/>
                <w:lang w:val="zh-CN" w:eastAsia="zh-CN" w:bidi="ar-SA"/>
              </w:rPr>
              <w:t>自动侵入式渗漏检测）</w:t>
            </w:r>
            <w:r>
              <w:rPr>
                <w:rFonts w:hint="eastAsia" w:ascii="宋体" w:hAnsi="宋体" w:eastAsia="宋体" w:cs="宋体"/>
                <w:b w:val="0"/>
                <w:bCs/>
                <w:color w:val="auto"/>
                <w:kern w:val="2"/>
                <w:sz w:val="21"/>
                <w:szCs w:val="21"/>
                <w:highlight w:val="none"/>
                <w:lang w:val="zh-CN" w:eastAsia="zh-CN" w:bidi="ar-SA"/>
              </w:rPr>
              <w:t>。</w:t>
            </w:r>
          </w:p>
          <w:p w14:paraId="41BB6966">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firstLine="0" w:firstLineChars="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四、主要配置</w:t>
            </w:r>
          </w:p>
          <w:p w14:paraId="3A6BAA23">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firstLine="0" w:firstLineChars="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1、气密性试验机主机1台；</w:t>
            </w:r>
          </w:p>
          <w:p w14:paraId="65DDC9BA">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firstLine="0" w:firstLineChars="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2、空气压缩机1台；</w:t>
            </w:r>
          </w:p>
          <w:p w14:paraId="2951C72D">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firstLine="0" w:firstLineChars="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3、增压泵1台。</w:t>
            </w:r>
          </w:p>
        </w:tc>
        <w:tc>
          <w:tcPr>
            <w:tcW w:w="633" w:type="pct"/>
            <w:vAlign w:val="center"/>
          </w:tcPr>
          <w:p w14:paraId="0F000407">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jc w:val="center"/>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1套</w:t>
            </w:r>
          </w:p>
        </w:tc>
        <w:tc>
          <w:tcPr>
            <w:tcW w:w="475" w:type="pct"/>
            <w:vAlign w:val="center"/>
          </w:tcPr>
          <w:p w14:paraId="28B289A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工业</w:t>
            </w:r>
          </w:p>
        </w:tc>
      </w:tr>
      <w:tr w14:paraId="5026E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46" w:type="pct"/>
            <w:shd w:val="clear" w:color="auto" w:fill="auto"/>
            <w:vAlign w:val="center"/>
          </w:tcPr>
          <w:p w14:paraId="23BE3380">
            <w:pPr>
              <w:keepNext w:val="0"/>
              <w:keepLines w:val="0"/>
              <w:pageBreakBefore w:val="0"/>
              <w:numPr>
                <w:ilvl w:val="0"/>
                <w:numId w:val="1"/>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firstLine="0" w:firstLineChars="0"/>
              <w:jc w:val="center"/>
              <w:textAlignment w:val="auto"/>
              <w:rPr>
                <w:rFonts w:hint="default" w:ascii="宋体" w:hAnsi="宋体" w:eastAsia="宋体" w:cs="宋体"/>
                <w:b w:val="0"/>
                <w:bCs w:val="0"/>
                <w:color w:val="auto"/>
                <w:kern w:val="2"/>
                <w:sz w:val="21"/>
                <w:szCs w:val="21"/>
                <w:highlight w:val="none"/>
                <w:lang w:val="en-US" w:eastAsia="zh-CN" w:bidi="ar-SA"/>
              </w:rPr>
            </w:pPr>
          </w:p>
        </w:tc>
        <w:tc>
          <w:tcPr>
            <w:tcW w:w="638" w:type="pct"/>
            <w:vAlign w:val="center"/>
          </w:tcPr>
          <w:p w14:paraId="5C0B78C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center"/>
              <w:textAlignment w:val="auto"/>
              <w:rPr>
                <w:rFonts w:hint="eastAsia" w:ascii="宋体" w:hAnsi="宋体" w:eastAsia="宋体"/>
                <w:b w:val="0"/>
                <w:bCs w:val="0"/>
                <w:color w:val="auto"/>
                <w:sz w:val="21"/>
                <w:szCs w:val="21"/>
                <w:highlight w:val="none"/>
              </w:rPr>
            </w:pPr>
            <w:r>
              <w:rPr>
                <w:rFonts w:hint="eastAsia" w:ascii="宋体" w:hAnsi="宋体" w:eastAsia="宋体"/>
                <w:b w:val="0"/>
                <w:bCs w:val="0"/>
                <w:color w:val="auto"/>
                <w:sz w:val="21"/>
                <w:szCs w:val="21"/>
                <w:highlight w:val="none"/>
              </w:rPr>
              <w:t>金属管材压力脉冲综合试验机</w:t>
            </w:r>
          </w:p>
        </w:tc>
        <w:tc>
          <w:tcPr>
            <w:tcW w:w="2905" w:type="pct"/>
            <w:vAlign w:val="center"/>
          </w:tcPr>
          <w:p w14:paraId="3DC1D65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一、主要用途：主要用于金属管材管件抗压力冲击性能试验</w:t>
            </w:r>
          </w:p>
          <w:p w14:paraId="1F512C8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二、</w:t>
            </w:r>
            <w:r>
              <w:rPr>
                <w:rFonts w:hint="eastAsia" w:ascii="宋体" w:hAnsi="宋体" w:eastAsia="宋体" w:cs="宋体"/>
                <w:bCs/>
                <w:color w:val="auto"/>
                <w:kern w:val="2"/>
                <w:sz w:val="21"/>
                <w:szCs w:val="21"/>
                <w:highlight w:val="none"/>
                <w:lang w:val="en-US" w:eastAsia="zh-CN" w:bidi="ar-SA"/>
              </w:rPr>
              <w:t>符合</w:t>
            </w:r>
            <w:r>
              <w:rPr>
                <w:rFonts w:hint="eastAsia" w:ascii="宋体" w:hAnsi="宋体" w:eastAsia="宋体" w:cs="宋体"/>
                <w:bCs/>
                <w:color w:val="auto"/>
                <w:kern w:val="2"/>
                <w:sz w:val="21"/>
                <w:szCs w:val="21"/>
                <w:highlight w:val="none"/>
                <w:lang w:val="zh-CN" w:eastAsia="zh-CN" w:bidi="ar-SA"/>
              </w:rPr>
              <w:t>依据标准：AS 3688：2016中4.4条、4.8条、4.9条，GB/T 19228.1-2024中6.5.4.7条，IAPMO PS 117-2021中5.3条、5.7条标准中对设备的要求</w:t>
            </w:r>
          </w:p>
          <w:p w14:paraId="6C83EFD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三、技术指标</w:t>
            </w:r>
          </w:p>
          <w:p w14:paraId="678A164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1、脉冲压力：</w:t>
            </w:r>
            <w:r>
              <w:rPr>
                <w:rFonts w:hint="eastAsia" w:ascii="宋体" w:hAnsi="宋体" w:eastAsia="宋体" w:cs="宋体"/>
                <w:bCs/>
                <w:color w:val="auto"/>
                <w:kern w:val="2"/>
                <w:sz w:val="21"/>
                <w:szCs w:val="21"/>
                <w:highlight w:val="none"/>
                <w:lang w:val="en-US" w:eastAsia="zh-CN" w:bidi="ar-SA"/>
              </w:rPr>
              <w:t>至少覆盖</w:t>
            </w:r>
            <w:r>
              <w:rPr>
                <w:rFonts w:hint="eastAsia" w:ascii="宋体" w:hAnsi="宋体" w:eastAsia="宋体" w:cs="宋体"/>
                <w:bCs/>
                <w:color w:val="auto"/>
                <w:kern w:val="2"/>
                <w:sz w:val="21"/>
                <w:szCs w:val="21"/>
                <w:highlight w:val="none"/>
                <w:lang w:val="zh-CN" w:eastAsia="zh-CN" w:bidi="ar-SA"/>
              </w:rPr>
              <w:t>0MPa～4MPa；</w:t>
            </w:r>
          </w:p>
          <w:p w14:paraId="2ED2A03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2、脉冲循环次数：</w:t>
            </w:r>
            <w:r>
              <w:rPr>
                <w:rFonts w:hint="eastAsia" w:ascii="宋体" w:hAnsi="宋体" w:eastAsia="宋体" w:cs="宋体"/>
                <w:bCs/>
                <w:color w:val="auto"/>
                <w:kern w:val="2"/>
                <w:sz w:val="21"/>
                <w:szCs w:val="21"/>
                <w:highlight w:val="none"/>
                <w:lang w:val="en-US" w:eastAsia="zh-CN" w:bidi="ar-SA"/>
              </w:rPr>
              <w:t>≥</w:t>
            </w:r>
            <w:r>
              <w:rPr>
                <w:rFonts w:hint="eastAsia" w:ascii="宋体" w:hAnsi="宋体" w:eastAsia="宋体" w:cs="宋体"/>
                <w:bCs/>
                <w:color w:val="auto"/>
                <w:kern w:val="2"/>
                <w:sz w:val="21"/>
                <w:szCs w:val="21"/>
                <w:highlight w:val="none"/>
                <w:lang w:val="zh-CN" w:eastAsia="zh-CN" w:bidi="ar-SA"/>
              </w:rPr>
              <w:t>500000次，可任意设定，并能实现</w:t>
            </w:r>
            <w:r>
              <w:rPr>
                <w:rFonts w:hint="eastAsia" w:ascii="宋体" w:hAnsi="宋体" w:eastAsia="宋体" w:cs="宋体"/>
                <w:bCs/>
                <w:color w:val="auto"/>
                <w:kern w:val="2"/>
                <w:sz w:val="21"/>
                <w:szCs w:val="21"/>
                <w:highlight w:val="none"/>
                <w:lang w:val="en-US" w:eastAsia="zh-CN" w:bidi="ar-SA"/>
              </w:rPr>
              <w:t>≥</w:t>
            </w:r>
            <w:r>
              <w:rPr>
                <w:rFonts w:hint="eastAsia" w:ascii="宋体" w:hAnsi="宋体" w:eastAsia="宋体" w:cs="宋体"/>
                <w:bCs/>
                <w:color w:val="auto"/>
                <w:kern w:val="2"/>
                <w:sz w:val="21"/>
                <w:szCs w:val="21"/>
                <w:highlight w:val="none"/>
                <w:lang w:val="zh-CN" w:eastAsia="zh-CN" w:bidi="ar-SA"/>
              </w:rPr>
              <w:t>10工位的管材静液压试验；</w:t>
            </w:r>
          </w:p>
          <w:p w14:paraId="602FA8E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3、脉冲工位：</w:t>
            </w:r>
            <w:r>
              <w:rPr>
                <w:rFonts w:hint="eastAsia" w:ascii="宋体" w:hAnsi="宋体" w:eastAsia="宋体" w:cs="宋体"/>
                <w:bCs/>
                <w:color w:val="auto"/>
                <w:kern w:val="2"/>
                <w:sz w:val="21"/>
                <w:szCs w:val="21"/>
                <w:highlight w:val="none"/>
                <w:lang w:val="en-US" w:eastAsia="zh-CN" w:bidi="ar-SA"/>
              </w:rPr>
              <w:t>≥</w:t>
            </w:r>
            <w:r>
              <w:rPr>
                <w:rFonts w:hint="eastAsia" w:ascii="宋体" w:hAnsi="宋体" w:eastAsia="宋体" w:cs="宋体"/>
                <w:bCs/>
                <w:color w:val="auto"/>
                <w:kern w:val="2"/>
                <w:sz w:val="21"/>
                <w:szCs w:val="21"/>
                <w:highlight w:val="none"/>
                <w:lang w:val="zh-CN" w:eastAsia="zh-CN" w:bidi="ar-SA"/>
              </w:rPr>
              <w:t>3工位；</w:t>
            </w:r>
          </w:p>
          <w:p w14:paraId="741B246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4、适用最大管径：DN168.3；</w:t>
            </w:r>
          </w:p>
          <w:p w14:paraId="3FFCEC1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
                <w:bCs w:val="0"/>
                <w:color w:val="auto"/>
                <w:kern w:val="2"/>
                <w:sz w:val="21"/>
                <w:szCs w:val="21"/>
                <w:highlight w:val="none"/>
                <w:lang w:val="zh-CN" w:eastAsia="zh-CN" w:bidi="ar-SA"/>
              </w:rPr>
              <w:t>★</w:t>
            </w:r>
            <w:r>
              <w:rPr>
                <w:rFonts w:hint="eastAsia" w:ascii="宋体" w:hAnsi="宋体" w:eastAsia="宋体" w:cs="宋体"/>
                <w:bCs/>
                <w:color w:val="auto"/>
                <w:kern w:val="2"/>
                <w:sz w:val="21"/>
                <w:szCs w:val="21"/>
                <w:highlight w:val="none"/>
                <w:lang w:val="zh-CN" w:eastAsia="zh-CN" w:bidi="ar-SA"/>
              </w:rPr>
              <w:t>5、可实现脉冲升压降压速度控制（可快速升降压、慢速升降压，支持保压时间设定），操作界面配备脉冲图谱功能</w:t>
            </w:r>
            <w:r>
              <w:rPr>
                <w:rFonts w:hint="eastAsia" w:ascii="宋体" w:hAnsi="宋体" w:eastAsia="宋体" w:cs="宋体"/>
                <w:b/>
                <w:bCs w:val="0"/>
                <w:color w:val="auto"/>
                <w:kern w:val="2"/>
                <w:sz w:val="21"/>
                <w:szCs w:val="21"/>
                <w:highlight w:val="none"/>
                <w:lang w:val="zh-CN" w:eastAsia="zh-CN" w:bidi="ar-SA"/>
              </w:rPr>
              <w:t>（</w:t>
            </w:r>
            <w:r>
              <w:rPr>
                <w:rFonts w:hint="eastAsia" w:ascii="宋体" w:hAnsi="宋体" w:eastAsia="宋体" w:cs="宋体"/>
                <w:b/>
                <w:bCs w:val="0"/>
                <w:color w:val="auto"/>
                <w:kern w:val="2"/>
                <w:sz w:val="21"/>
                <w:szCs w:val="21"/>
                <w:highlight w:val="none"/>
                <w:lang w:val="en-US" w:eastAsia="zh-CN" w:bidi="ar-SA"/>
              </w:rPr>
              <w:t>投标文件中提供操作界面截图，佐证具备脉冲图谱功能</w:t>
            </w:r>
            <w:r>
              <w:rPr>
                <w:rFonts w:hint="eastAsia" w:ascii="宋体" w:hAnsi="宋体" w:eastAsia="宋体" w:cs="宋体"/>
                <w:b/>
                <w:bCs w:val="0"/>
                <w:color w:val="auto"/>
                <w:kern w:val="2"/>
                <w:sz w:val="21"/>
                <w:szCs w:val="21"/>
                <w:highlight w:val="none"/>
                <w:lang w:val="zh-CN" w:eastAsia="zh-CN" w:bidi="ar-SA"/>
              </w:rPr>
              <w:t>）；</w:t>
            </w:r>
          </w:p>
          <w:p w14:paraId="6DC4701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6、耐压压力波动度：-1%～2%；</w:t>
            </w:r>
          </w:p>
          <w:p w14:paraId="781086C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7、耐压压力分辨率：0.001MPa；</w:t>
            </w:r>
          </w:p>
          <w:p w14:paraId="27DB76F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8、耐压计时器工作时间：0～10000小时；</w:t>
            </w:r>
          </w:p>
          <w:p w14:paraId="5B703B0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9、耐压计时误差：±0.1%；</w:t>
            </w:r>
          </w:p>
          <w:p w14:paraId="644E468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10、恒温介质箱内胆尺寸（长×宽×水深）</w:t>
            </w:r>
            <w:r>
              <w:rPr>
                <w:rFonts w:hint="eastAsia" w:ascii="宋体" w:hAnsi="宋体" w:eastAsia="宋体" w:cs="宋体"/>
                <w:bCs/>
                <w:color w:val="auto"/>
                <w:kern w:val="2"/>
                <w:sz w:val="21"/>
                <w:szCs w:val="21"/>
                <w:highlight w:val="none"/>
                <w:lang w:val="en-US" w:eastAsia="zh-CN" w:bidi="ar-SA"/>
              </w:rPr>
              <w:t>≥</w:t>
            </w:r>
            <w:r>
              <w:rPr>
                <w:rFonts w:hint="eastAsia" w:ascii="宋体" w:hAnsi="宋体" w:eastAsia="宋体" w:cs="宋体"/>
                <w:bCs/>
                <w:color w:val="auto"/>
                <w:kern w:val="2"/>
                <w:sz w:val="21"/>
                <w:szCs w:val="21"/>
                <w:highlight w:val="none"/>
                <w:lang w:val="zh-CN" w:eastAsia="zh-CN" w:bidi="ar-SA"/>
              </w:rPr>
              <w:t>2000mm×1000mm×800mm；</w:t>
            </w:r>
          </w:p>
          <w:p w14:paraId="58EA9F8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11、恒温介质箱温度范围：</w:t>
            </w:r>
            <w:r>
              <w:rPr>
                <w:rFonts w:hint="eastAsia" w:ascii="宋体" w:hAnsi="宋体" w:eastAsia="宋体" w:cs="宋体"/>
                <w:bCs/>
                <w:color w:val="auto"/>
                <w:kern w:val="2"/>
                <w:sz w:val="21"/>
                <w:szCs w:val="21"/>
                <w:highlight w:val="none"/>
                <w:lang w:val="en-US" w:eastAsia="zh-CN" w:bidi="ar-SA"/>
              </w:rPr>
              <w:t>至少覆盖</w:t>
            </w:r>
            <w:r>
              <w:rPr>
                <w:rFonts w:hint="eastAsia" w:ascii="宋体" w:hAnsi="宋体" w:eastAsia="宋体" w:cs="宋体"/>
                <w:bCs/>
                <w:color w:val="auto"/>
                <w:kern w:val="2"/>
                <w:sz w:val="21"/>
                <w:szCs w:val="21"/>
                <w:highlight w:val="none"/>
                <w:lang w:val="zh-CN" w:eastAsia="zh-CN" w:bidi="ar-SA"/>
              </w:rPr>
              <w:t>15℃～95℃；12、恒温介质箱水温控制精度：±0.5℃；</w:t>
            </w:r>
          </w:p>
          <w:p w14:paraId="104D091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13、恒温介质箱全箱体温场均匀度：±1℃；</w:t>
            </w:r>
          </w:p>
          <w:p w14:paraId="01FA813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14、恒温介质箱智能补水波动度：</w:t>
            </w:r>
            <w:r>
              <w:rPr>
                <w:rFonts w:hint="eastAsia" w:ascii="宋体" w:hAnsi="宋体" w:eastAsia="宋体" w:cs="宋体"/>
                <w:bCs/>
                <w:color w:val="auto"/>
                <w:kern w:val="2"/>
                <w:sz w:val="21"/>
                <w:szCs w:val="21"/>
                <w:highlight w:val="none"/>
                <w:lang w:val="en-US" w:eastAsia="zh-CN" w:bidi="ar-SA"/>
              </w:rPr>
              <w:t>≤</w:t>
            </w:r>
            <w:r>
              <w:rPr>
                <w:rFonts w:hint="eastAsia" w:ascii="宋体" w:hAnsi="宋体" w:eastAsia="宋体" w:cs="宋体"/>
                <w:bCs/>
                <w:color w:val="auto"/>
                <w:kern w:val="2"/>
                <w:sz w:val="21"/>
                <w:szCs w:val="21"/>
                <w:highlight w:val="none"/>
                <w:lang w:val="zh-CN" w:eastAsia="zh-CN" w:bidi="ar-SA"/>
              </w:rPr>
              <w:t>0.5℃；</w:t>
            </w:r>
          </w:p>
          <w:p w14:paraId="7A45237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15、恒温介质箱水接触部分（管路、阀门、泵体等）为全304不锈钢材质；</w:t>
            </w:r>
          </w:p>
          <w:p w14:paraId="71EDB80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16、恒温介质箱采用气动箱盖开启方式；</w:t>
            </w:r>
          </w:p>
          <w:p w14:paraId="7CEB4FF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17、恒温介质箱支持智能自动补水。</w:t>
            </w:r>
          </w:p>
          <w:p w14:paraId="25960A2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
                <w:bCs w:val="0"/>
                <w:color w:val="auto"/>
                <w:kern w:val="2"/>
                <w:sz w:val="21"/>
                <w:szCs w:val="21"/>
                <w:highlight w:val="none"/>
                <w:lang w:val="zh-CN" w:eastAsia="zh-CN" w:bidi="ar-SA"/>
              </w:rPr>
            </w:pPr>
            <w:r>
              <w:rPr>
                <w:rFonts w:hint="eastAsia" w:ascii="宋体" w:hAnsi="宋体" w:eastAsia="宋体" w:cs="宋体"/>
                <w:b/>
                <w:bCs w:val="0"/>
                <w:color w:val="auto"/>
                <w:kern w:val="2"/>
                <w:sz w:val="21"/>
                <w:szCs w:val="21"/>
                <w:highlight w:val="none"/>
                <w:lang w:val="zh-CN" w:eastAsia="zh-CN" w:bidi="ar-SA"/>
              </w:rPr>
              <w:t>四、主要配置</w:t>
            </w:r>
          </w:p>
          <w:p w14:paraId="1189D39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1、</w:t>
            </w:r>
            <w:r>
              <w:rPr>
                <w:rFonts w:hint="eastAsia" w:ascii="宋体" w:hAnsi="宋体" w:eastAsia="宋体" w:cs="宋体"/>
                <w:bCs/>
                <w:color w:val="auto"/>
                <w:kern w:val="2"/>
                <w:sz w:val="21"/>
                <w:szCs w:val="21"/>
                <w:highlight w:val="none"/>
                <w:lang w:val="en-US" w:eastAsia="zh-CN" w:bidi="ar-SA"/>
              </w:rPr>
              <w:t>≥</w:t>
            </w:r>
            <w:r>
              <w:rPr>
                <w:rFonts w:hint="eastAsia" w:ascii="宋体" w:hAnsi="宋体" w:eastAsia="宋体" w:cs="宋体"/>
                <w:bCs/>
                <w:color w:val="auto"/>
                <w:kern w:val="2"/>
                <w:sz w:val="21"/>
                <w:szCs w:val="21"/>
                <w:highlight w:val="none"/>
                <w:lang w:val="zh-CN" w:eastAsia="zh-CN" w:bidi="ar-SA"/>
              </w:rPr>
              <w:t>3工位压力脉冲试验主机1台；</w:t>
            </w:r>
          </w:p>
          <w:p w14:paraId="487D9E8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2、</w:t>
            </w:r>
            <w:r>
              <w:rPr>
                <w:rFonts w:hint="eastAsia" w:ascii="宋体" w:hAnsi="宋体" w:eastAsia="宋体" w:cs="宋体"/>
                <w:bCs/>
                <w:color w:val="auto"/>
                <w:kern w:val="2"/>
                <w:sz w:val="21"/>
                <w:szCs w:val="21"/>
                <w:highlight w:val="none"/>
                <w:lang w:val="en-US" w:eastAsia="zh-CN" w:bidi="ar-SA"/>
              </w:rPr>
              <w:t>≥</w:t>
            </w:r>
            <w:r>
              <w:rPr>
                <w:rFonts w:hint="eastAsia" w:ascii="宋体" w:hAnsi="宋体" w:eastAsia="宋体" w:cs="宋体"/>
                <w:bCs/>
                <w:color w:val="auto"/>
                <w:kern w:val="2"/>
                <w:sz w:val="21"/>
                <w:szCs w:val="21"/>
                <w:highlight w:val="none"/>
                <w:lang w:val="zh-CN" w:eastAsia="zh-CN" w:bidi="ar-SA"/>
              </w:rPr>
              <w:t>10工位静液压试验主机1台；</w:t>
            </w:r>
          </w:p>
          <w:p w14:paraId="506C4A7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3、冷却机1台；</w:t>
            </w:r>
          </w:p>
          <w:p w14:paraId="169DBAD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4、恒温介质箱1台；</w:t>
            </w:r>
          </w:p>
          <w:p w14:paraId="5E38DE7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5、压力站1台。</w:t>
            </w:r>
          </w:p>
        </w:tc>
        <w:tc>
          <w:tcPr>
            <w:tcW w:w="633" w:type="pct"/>
            <w:vAlign w:val="center"/>
          </w:tcPr>
          <w:p w14:paraId="4C310418">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1套</w:t>
            </w:r>
          </w:p>
        </w:tc>
        <w:tc>
          <w:tcPr>
            <w:tcW w:w="475" w:type="pct"/>
            <w:vAlign w:val="center"/>
          </w:tcPr>
          <w:p w14:paraId="0D612CC6">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工业</w:t>
            </w:r>
          </w:p>
        </w:tc>
      </w:tr>
      <w:tr w14:paraId="22C22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46" w:type="pct"/>
            <w:shd w:val="clear" w:color="auto" w:fill="auto"/>
            <w:vAlign w:val="center"/>
          </w:tcPr>
          <w:p w14:paraId="5AE402CC">
            <w:pPr>
              <w:keepNext w:val="0"/>
              <w:keepLines w:val="0"/>
              <w:pageBreakBefore w:val="0"/>
              <w:numPr>
                <w:ilvl w:val="0"/>
                <w:numId w:val="1"/>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firstLine="0" w:firstLineChars="0"/>
              <w:jc w:val="center"/>
              <w:textAlignment w:val="auto"/>
              <w:rPr>
                <w:rFonts w:hint="default" w:ascii="宋体" w:hAnsi="宋体" w:eastAsia="宋体" w:cs="宋体"/>
                <w:b w:val="0"/>
                <w:bCs w:val="0"/>
                <w:color w:val="auto"/>
                <w:kern w:val="2"/>
                <w:sz w:val="21"/>
                <w:szCs w:val="21"/>
                <w:highlight w:val="none"/>
                <w:lang w:val="en-US" w:eastAsia="zh-CN" w:bidi="ar-SA"/>
              </w:rPr>
            </w:pPr>
            <w:bookmarkStart w:id="7" w:name="_Toc4843"/>
            <w:bookmarkStart w:id="8" w:name="_Toc7421"/>
          </w:p>
        </w:tc>
        <w:tc>
          <w:tcPr>
            <w:tcW w:w="638" w:type="pct"/>
            <w:vAlign w:val="center"/>
          </w:tcPr>
          <w:p w14:paraId="20A41DC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center"/>
              <w:textAlignment w:val="auto"/>
              <w:rPr>
                <w:rFonts w:hint="eastAsia" w:ascii="宋体" w:hAnsi="宋体" w:eastAsia="宋体"/>
                <w:b w:val="0"/>
                <w:bCs w:val="0"/>
                <w:color w:val="auto"/>
                <w:sz w:val="21"/>
                <w:szCs w:val="21"/>
                <w:highlight w:val="none"/>
              </w:rPr>
            </w:pPr>
            <w:r>
              <w:rPr>
                <w:rFonts w:hint="eastAsia" w:ascii="宋体" w:hAnsi="宋体" w:eastAsia="宋体"/>
                <w:b w:val="0"/>
                <w:bCs w:val="0"/>
                <w:color w:val="auto"/>
                <w:sz w:val="21"/>
                <w:szCs w:val="21"/>
                <w:highlight w:val="none"/>
              </w:rPr>
              <w:t>拉拔试验机</w:t>
            </w:r>
          </w:p>
        </w:tc>
        <w:tc>
          <w:tcPr>
            <w:tcW w:w="2905" w:type="pct"/>
            <w:vAlign w:val="center"/>
          </w:tcPr>
          <w:p w14:paraId="50CC601B">
            <w:pPr>
              <w:keepNext w:val="0"/>
              <w:keepLines w:val="0"/>
              <w:pageBreakBefore w:val="0"/>
              <w:widowControl w:val="0"/>
              <w:numPr>
                <w:ilvl w:val="0"/>
                <w:numId w:val="2"/>
              </w:numPr>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主要用途：主要用于金属管材管件拉拔试验</w:t>
            </w:r>
          </w:p>
          <w:p w14:paraId="77414F46">
            <w:pPr>
              <w:keepNext w:val="0"/>
              <w:keepLines w:val="0"/>
              <w:pageBreakBefore w:val="0"/>
              <w:widowControl w:val="0"/>
              <w:numPr>
                <w:ilvl w:val="0"/>
                <w:numId w:val="2"/>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firstLine="0" w:firstLineChars="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依据标准：</w:t>
            </w:r>
            <w:r>
              <w:rPr>
                <w:rFonts w:hint="eastAsia" w:ascii="宋体" w:hAnsi="宋体" w:eastAsia="宋体" w:cs="宋体"/>
                <w:bCs/>
                <w:color w:val="auto"/>
                <w:kern w:val="2"/>
                <w:sz w:val="21"/>
                <w:szCs w:val="21"/>
                <w:highlight w:val="none"/>
                <w:lang w:val="en-US" w:eastAsia="zh-CN" w:bidi="ar-SA"/>
              </w:rPr>
              <w:t>符合</w:t>
            </w:r>
            <w:r>
              <w:rPr>
                <w:rFonts w:hint="eastAsia" w:ascii="宋体" w:hAnsi="宋体" w:eastAsia="宋体" w:cs="宋体"/>
                <w:bCs/>
                <w:color w:val="auto"/>
                <w:kern w:val="2"/>
                <w:sz w:val="21"/>
                <w:szCs w:val="21"/>
                <w:highlight w:val="none"/>
                <w:lang w:val="zh-CN" w:eastAsia="zh-CN" w:bidi="ar-SA"/>
              </w:rPr>
              <w:t>AS 3688：2016中4.5条、GB/T 19228.1-2024中6.5.4.3条标准中对设备的要求</w:t>
            </w:r>
          </w:p>
          <w:p w14:paraId="45C8B4EA">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三、技术指标</w:t>
            </w:r>
          </w:p>
          <w:p w14:paraId="788645C0">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1、最大试验力：</w:t>
            </w:r>
            <w:r>
              <w:rPr>
                <w:rFonts w:hint="eastAsia" w:ascii="宋体" w:hAnsi="宋体" w:eastAsia="宋体" w:cs="宋体"/>
                <w:bCs/>
                <w:color w:val="auto"/>
                <w:kern w:val="2"/>
                <w:sz w:val="21"/>
                <w:szCs w:val="21"/>
                <w:highlight w:val="none"/>
                <w:lang w:val="en-US" w:eastAsia="zh-CN" w:bidi="ar-SA"/>
              </w:rPr>
              <w:t>≥</w:t>
            </w:r>
            <w:r>
              <w:rPr>
                <w:rFonts w:hint="eastAsia" w:ascii="宋体" w:hAnsi="宋体" w:eastAsia="宋体" w:cs="宋体"/>
                <w:bCs/>
                <w:color w:val="auto"/>
                <w:kern w:val="2"/>
                <w:sz w:val="21"/>
                <w:szCs w:val="21"/>
                <w:highlight w:val="none"/>
                <w:lang w:val="zh-CN" w:eastAsia="zh-CN" w:bidi="ar-SA"/>
              </w:rPr>
              <w:t>300kN</w:t>
            </w:r>
          </w:p>
          <w:p w14:paraId="0007AA6D">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2、精度：0.5级</w:t>
            </w:r>
          </w:p>
          <w:p w14:paraId="07F99CF7">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3、压力测量范围：</w:t>
            </w:r>
            <w:r>
              <w:rPr>
                <w:rFonts w:hint="eastAsia" w:ascii="宋体" w:hAnsi="宋体" w:eastAsia="宋体" w:cs="宋体"/>
                <w:bCs/>
                <w:color w:val="auto"/>
                <w:kern w:val="2"/>
                <w:sz w:val="21"/>
                <w:szCs w:val="21"/>
                <w:highlight w:val="none"/>
                <w:lang w:val="en-US" w:eastAsia="zh-CN" w:bidi="ar-SA"/>
              </w:rPr>
              <w:t>至少覆盖</w:t>
            </w:r>
            <w:r>
              <w:rPr>
                <w:rFonts w:hint="eastAsia" w:ascii="宋体" w:hAnsi="宋体" w:eastAsia="宋体" w:cs="宋体"/>
                <w:bCs/>
                <w:color w:val="auto"/>
                <w:kern w:val="2"/>
                <w:sz w:val="21"/>
                <w:szCs w:val="21"/>
                <w:highlight w:val="none"/>
                <w:lang w:val="zh-CN" w:eastAsia="zh-CN" w:bidi="ar-SA"/>
              </w:rPr>
              <w:t>气压（0～3）MPa、水压</w:t>
            </w:r>
            <w:r>
              <w:rPr>
                <w:rFonts w:hint="eastAsia" w:ascii="宋体" w:hAnsi="宋体" w:eastAsia="宋体" w:cs="宋体"/>
                <w:bCs/>
                <w:color w:val="auto"/>
                <w:kern w:val="2"/>
                <w:sz w:val="21"/>
                <w:szCs w:val="21"/>
                <w:highlight w:val="none"/>
                <w:lang w:val="en-US" w:eastAsia="zh-CN" w:bidi="ar-SA"/>
              </w:rPr>
              <w:t>至少覆盖</w:t>
            </w:r>
            <w:r>
              <w:rPr>
                <w:rFonts w:hint="eastAsia" w:ascii="宋体" w:hAnsi="宋体" w:eastAsia="宋体" w:cs="宋体"/>
                <w:bCs/>
                <w:color w:val="auto"/>
                <w:kern w:val="2"/>
                <w:sz w:val="21"/>
                <w:szCs w:val="21"/>
                <w:highlight w:val="none"/>
                <w:lang w:val="zh-CN" w:eastAsia="zh-CN" w:bidi="ar-SA"/>
              </w:rPr>
              <w:t>（0～4）MPa</w:t>
            </w:r>
          </w:p>
          <w:p w14:paraId="5BB0C5CA">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4、速度范围：</w:t>
            </w:r>
            <w:r>
              <w:rPr>
                <w:rFonts w:hint="eastAsia" w:ascii="宋体" w:hAnsi="宋体" w:eastAsia="宋体" w:cs="宋体"/>
                <w:bCs/>
                <w:color w:val="auto"/>
                <w:kern w:val="2"/>
                <w:sz w:val="21"/>
                <w:szCs w:val="21"/>
                <w:highlight w:val="none"/>
                <w:lang w:val="en-US" w:eastAsia="zh-CN" w:bidi="ar-SA"/>
              </w:rPr>
              <w:t>至少覆盖</w:t>
            </w:r>
            <w:r>
              <w:rPr>
                <w:rFonts w:hint="eastAsia" w:ascii="宋体" w:hAnsi="宋体" w:eastAsia="宋体" w:cs="宋体"/>
                <w:bCs/>
                <w:color w:val="auto"/>
                <w:kern w:val="2"/>
                <w:sz w:val="21"/>
                <w:szCs w:val="21"/>
                <w:highlight w:val="none"/>
                <w:lang w:val="zh-CN" w:eastAsia="zh-CN" w:bidi="ar-SA"/>
              </w:rPr>
              <w:t>0.5mm/min～300mm/min，可任意设定</w:t>
            </w:r>
          </w:p>
          <w:p w14:paraId="534DE881">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微软简标宋" w:cs="宋体"/>
                <w:color w:val="auto"/>
                <w:kern w:val="2"/>
                <w:sz w:val="21"/>
                <w:szCs w:val="21"/>
                <w:highlight w:val="none"/>
                <w:lang w:val="zh-CN" w:eastAsia="zh-CN" w:bidi="ar-SA"/>
              </w:rPr>
              <w:t>●</w:t>
            </w:r>
            <w:r>
              <w:rPr>
                <w:rFonts w:hint="eastAsia" w:ascii="宋体" w:hAnsi="宋体" w:eastAsia="宋体" w:cs="宋体"/>
                <w:bCs/>
                <w:color w:val="auto"/>
                <w:kern w:val="2"/>
                <w:sz w:val="21"/>
                <w:szCs w:val="21"/>
                <w:highlight w:val="none"/>
                <w:lang w:val="zh-CN" w:eastAsia="zh-CN" w:bidi="ar-SA"/>
              </w:rPr>
              <w:t>5、设备具备防水排水功能及安全防护功能</w:t>
            </w:r>
            <w:r>
              <w:rPr>
                <w:rFonts w:hint="eastAsia" w:ascii="宋体" w:hAnsi="宋体" w:eastAsia="宋体" w:cs="宋体"/>
                <w:b/>
                <w:bCs w:val="0"/>
                <w:color w:val="auto"/>
                <w:kern w:val="2"/>
                <w:sz w:val="21"/>
                <w:szCs w:val="21"/>
                <w:highlight w:val="none"/>
                <w:lang w:val="zh-CN" w:eastAsia="zh-CN" w:bidi="ar-SA"/>
              </w:rPr>
              <w:t>（</w:t>
            </w:r>
            <w:r>
              <w:rPr>
                <w:rFonts w:hint="eastAsia" w:ascii="宋体" w:hAnsi="宋体" w:eastAsia="宋体" w:cs="宋体"/>
                <w:b/>
                <w:bCs w:val="0"/>
                <w:color w:val="auto"/>
                <w:kern w:val="2"/>
                <w:sz w:val="21"/>
                <w:szCs w:val="21"/>
                <w:highlight w:val="none"/>
                <w:lang w:val="en-US" w:eastAsia="zh-CN" w:bidi="ar-SA"/>
              </w:rPr>
              <w:t>投标文件中提供实物图片，佐证具备防水排水功能及安全防护功能</w:t>
            </w:r>
            <w:r>
              <w:rPr>
                <w:rFonts w:hint="eastAsia" w:ascii="宋体" w:hAnsi="宋体" w:eastAsia="宋体" w:cs="宋体"/>
                <w:b/>
                <w:bCs w:val="0"/>
                <w:color w:val="auto"/>
                <w:kern w:val="2"/>
                <w:sz w:val="21"/>
                <w:szCs w:val="21"/>
                <w:highlight w:val="none"/>
                <w:lang w:val="zh-CN" w:eastAsia="zh-CN" w:bidi="ar-SA"/>
              </w:rPr>
              <w:t>）</w:t>
            </w:r>
          </w:p>
          <w:p w14:paraId="171F5B95">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四、主要配置</w:t>
            </w:r>
          </w:p>
          <w:p w14:paraId="700AB1D4">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1、拉拔试验机主机1台；</w:t>
            </w:r>
          </w:p>
          <w:p w14:paraId="37956715">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2、DN12～DN168.3专用夹具1套；</w:t>
            </w:r>
          </w:p>
          <w:p w14:paraId="74A7925D">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3、气压连接管线1根；</w:t>
            </w:r>
          </w:p>
          <w:p w14:paraId="3D091D89">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4、水压连接管线1根。</w:t>
            </w:r>
          </w:p>
        </w:tc>
        <w:tc>
          <w:tcPr>
            <w:tcW w:w="633" w:type="pct"/>
            <w:vAlign w:val="center"/>
          </w:tcPr>
          <w:p w14:paraId="5515B68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1套</w:t>
            </w:r>
          </w:p>
        </w:tc>
        <w:tc>
          <w:tcPr>
            <w:tcW w:w="475" w:type="pct"/>
            <w:vAlign w:val="center"/>
          </w:tcPr>
          <w:p w14:paraId="123B4E3B">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工业</w:t>
            </w:r>
          </w:p>
        </w:tc>
      </w:tr>
      <w:tr w14:paraId="0D4C2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46" w:type="pct"/>
            <w:shd w:val="clear" w:color="auto" w:fill="auto"/>
            <w:vAlign w:val="center"/>
          </w:tcPr>
          <w:p w14:paraId="24922074">
            <w:pPr>
              <w:keepNext w:val="0"/>
              <w:keepLines w:val="0"/>
              <w:pageBreakBefore w:val="0"/>
              <w:numPr>
                <w:ilvl w:val="0"/>
                <w:numId w:val="1"/>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firstLine="0" w:firstLineChars="0"/>
              <w:jc w:val="center"/>
              <w:textAlignment w:val="auto"/>
              <w:rPr>
                <w:rFonts w:hint="default" w:ascii="宋体" w:hAnsi="宋体" w:eastAsia="宋体" w:cs="宋体"/>
                <w:b w:val="0"/>
                <w:bCs w:val="0"/>
                <w:color w:val="auto"/>
                <w:kern w:val="2"/>
                <w:sz w:val="21"/>
                <w:szCs w:val="21"/>
                <w:highlight w:val="none"/>
                <w:lang w:val="en-US" w:eastAsia="zh-CN" w:bidi="ar-SA"/>
              </w:rPr>
            </w:pPr>
          </w:p>
        </w:tc>
        <w:tc>
          <w:tcPr>
            <w:tcW w:w="638" w:type="pct"/>
            <w:vAlign w:val="center"/>
          </w:tcPr>
          <w:p w14:paraId="71E5BF55">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center"/>
              <w:textAlignment w:val="auto"/>
              <w:rPr>
                <w:rFonts w:hint="eastAsia" w:ascii="宋体" w:hAnsi="宋体" w:eastAsia="宋体"/>
                <w:b w:val="0"/>
                <w:bCs w:val="0"/>
                <w:color w:val="auto"/>
                <w:sz w:val="21"/>
                <w:szCs w:val="21"/>
                <w:highlight w:val="none"/>
              </w:rPr>
            </w:pPr>
            <w:r>
              <w:rPr>
                <w:rFonts w:hint="eastAsia" w:ascii="宋体" w:hAnsi="宋体" w:eastAsia="宋体"/>
                <w:b w:val="0"/>
                <w:bCs w:val="0"/>
                <w:color w:val="auto"/>
                <w:sz w:val="21"/>
                <w:szCs w:val="21"/>
                <w:highlight w:val="none"/>
              </w:rPr>
              <w:t>金属管弯曲扰角试验机</w:t>
            </w:r>
          </w:p>
        </w:tc>
        <w:tc>
          <w:tcPr>
            <w:tcW w:w="2905" w:type="pct"/>
            <w:vAlign w:val="center"/>
          </w:tcPr>
          <w:p w14:paraId="0920438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一、主要用途：主要用于金属管材管件水压弯曲挠角试验</w:t>
            </w:r>
          </w:p>
          <w:p w14:paraId="26C9AA8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二、依据标准：</w:t>
            </w:r>
            <w:r>
              <w:rPr>
                <w:rFonts w:hint="eastAsia" w:ascii="宋体" w:hAnsi="宋体" w:eastAsia="宋体" w:cs="宋体"/>
                <w:bCs/>
                <w:color w:val="auto"/>
                <w:kern w:val="2"/>
                <w:sz w:val="21"/>
                <w:szCs w:val="21"/>
                <w:highlight w:val="none"/>
                <w:lang w:val="en-US" w:eastAsia="zh-CN" w:bidi="ar-SA"/>
              </w:rPr>
              <w:t>符合</w:t>
            </w:r>
            <w:r>
              <w:rPr>
                <w:rFonts w:hint="eastAsia" w:ascii="宋体" w:hAnsi="宋体" w:eastAsia="宋体" w:cs="宋体"/>
                <w:bCs/>
                <w:color w:val="auto"/>
                <w:kern w:val="2"/>
                <w:sz w:val="21"/>
                <w:szCs w:val="21"/>
                <w:highlight w:val="none"/>
                <w:lang w:val="zh-CN" w:eastAsia="zh-CN" w:bidi="ar-SA"/>
              </w:rPr>
              <w:t>AS 3688：2016中4.3条、4.6条、4.7条，GB/T 19228.1-2024中6.5.4.5条、IAPMO PS 117-2021中5.5条标准中对设备的要求</w:t>
            </w:r>
          </w:p>
          <w:p w14:paraId="38A97C3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三、技术指标</w:t>
            </w:r>
          </w:p>
          <w:p w14:paraId="68C21CC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1、压力范围：</w:t>
            </w:r>
            <w:r>
              <w:rPr>
                <w:rFonts w:hint="eastAsia" w:ascii="宋体" w:hAnsi="宋体" w:eastAsia="宋体" w:cs="宋体"/>
                <w:bCs/>
                <w:color w:val="auto"/>
                <w:kern w:val="2"/>
                <w:sz w:val="21"/>
                <w:szCs w:val="21"/>
                <w:highlight w:val="none"/>
                <w:lang w:val="en-US" w:eastAsia="zh-CN" w:bidi="ar-SA"/>
              </w:rPr>
              <w:t>至少覆盖</w:t>
            </w:r>
            <w:r>
              <w:rPr>
                <w:rFonts w:hint="eastAsia" w:ascii="宋体" w:hAnsi="宋体" w:eastAsia="宋体" w:cs="宋体"/>
                <w:bCs/>
                <w:color w:val="auto"/>
                <w:kern w:val="2"/>
                <w:sz w:val="21"/>
                <w:szCs w:val="21"/>
                <w:highlight w:val="none"/>
                <w:lang w:val="zh-CN" w:eastAsia="zh-CN" w:bidi="ar-SA"/>
              </w:rPr>
              <w:t>（0～4）MPa；</w:t>
            </w:r>
          </w:p>
          <w:p w14:paraId="42E1A5E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2、压力精度：±1%；</w:t>
            </w:r>
          </w:p>
          <w:p w14:paraId="76BD806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3、管径适用范围：DN12～DN125；</w:t>
            </w:r>
          </w:p>
          <w:p w14:paraId="66CF14C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4、支撑点距离：</w:t>
            </w:r>
            <w:r>
              <w:rPr>
                <w:rFonts w:hint="eastAsia" w:ascii="宋体" w:hAnsi="宋体" w:eastAsia="宋体" w:cs="宋体"/>
                <w:bCs/>
                <w:color w:val="auto"/>
                <w:kern w:val="2"/>
                <w:sz w:val="21"/>
                <w:szCs w:val="21"/>
                <w:highlight w:val="none"/>
                <w:lang w:val="en-US" w:eastAsia="zh-CN" w:bidi="ar-SA"/>
              </w:rPr>
              <w:t>至少覆盖</w:t>
            </w:r>
            <w:r>
              <w:rPr>
                <w:rFonts w:hint="eastAsia" w:ascii="宋体" w:hAnsi="宋体" w:eastAsia="宋体" w:cs="宋体"/>
                <w:bCs/>
                <w:color w:val="auto"/>
                <w:kern w:val="2"/>
                <w:sz w:val="21"/>
                <w:szCs w:val="21"/>
                <w:highlight w:val="none"/>
                <w:lang w:val="zh-CN" w:eastAsia="zh-CN" w:bidi="ar-SA"/>
              </w:rPr>
              <w:t>0.9m～3m；</w:t>
            </w:r>
          </w:p>
          <w:p w14:paraId="7717D91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5、折弯角度：0°～30°，可调；</w:t>
            </w:r>
          </w:p>
          <w:p w14:paraId="67101E3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6、固定弯曲位移行程：0～50mm，可调；</w:t>
            </w:r>
          </w:p>
          <w:p w14:paraId="33049A1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7、工位：</w:t>
            </w:r>
            <w:r>
              <w:rPr>
                <w:rFonts w:hint="eastAsia" w:ascii="宋体" w:hAnsi="宋体" w:eastAsia="宋体" w:cs="宋体"/>
                <w:bCs/>
                <w:color w:val="auto"/>
                <w:kern w:val="2"/>
                <w:sz w:val="21"/>
                <w:szCs w:val="21"/>
                <w:highlight w:val="none"/>
                <w:lang w:val="en-US" w:eastAsia="zh-CN" w:bidi="ar-SA"/>
              </w:rPr>
              <w:t>≥</w:t>
            </w:r>
            <w:r>
              <w:rPr>
                <w:rFonts w:hint="eastAsia" w:ascii="宋体" w:hAnsi="宋体" w:eastAsia="宋体" w:cs="宋体"/>
                <w:bCs/>
                <w:color w:val="auto"/>
                <w:kern w:val="2"/>
                <w:sz w:val="21"/>
                <w:szCs w:val="21"/>
                <w:highlight w:val="none"/>
                <w:lang w:val="zh-CN" w:eastAsia="zh-CN" w:bidi="ar-SA"/>
              </w:rPr>
              <w:t>1工位；</w:t>
            </w:r>
          </w:p>
          <w:p w14:paraId="51FEBCE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8、设备具备安全防护功能；</w:t>
            </w:r>
          </w:p>
          <w:p w14:paraId="6C5B987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9、扭矩试验机最大扭矩：</w:t>
            </w:r>
            <w:r>
              <w:rPr>
                <w:rFonts w:hint="eastAsia" w:ascii="宋体" w:hAnsi="宋体" w:eastAsia="宋体" w:cs="宋体"/>
                <w:bCs/>
                <w:color w:val="auto"/>
                <w:kern w:val="2"/>
                <w:sz w:val="21"/>
                <w:szCs w:val="21"/>
                <w:highlight w:val="none"/>
                <w:lang w:val="en-US" w:eastAsia="zh-CN" w:bidi="ar-SA"/>
              </w:rPr>
              <w:t>≥</w:t>
            </w:r>
            <w:r>
              <w:rPr>
                <w:rFonts w:hint="eastAsia" w:ascii="宋体" w:hAnsi="宋体" w:eastAsia="宋体" w:cs="宋体"/>
                <w:bCs/>
                <w:color w:val="auto"/>
                <w:kern w:val="2"/>
                <w:sz w:val="21"/>
                <w:szCs w:val="21"/>
                <w:highlight w:val="none"/>
                <w:lang w:val="zh-CN" w:eastAsia="zh-CN" w:bidi="ar-SA"/>
              </w:rPr>
              <w:t>500Nm；</w:t>
            </w:r>
          </w:p>
          <w:p w14:paraId="09A05FA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10、扭矩精度‌：±1％；</w:t>
            </w:r>
          </w:p>
          <w:p w14:paraId="2ECE065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11、扭矩试验机试验工位：</w:t>
            </w:r>
            <w:r>
              <w:rPr>
                <w:rFonts w:hint="eastAsia" w:ascii="宋体" w:hAnsi="宋体" w:eastAsia="宋体" w:cs="宋体"/>
                <w:bCs/>
                <w:color w:val="auto"/>
                <w:kern w:val="2"/>
                <w:sz w:val="21"/>
                <w:szCs w:val="21"/>
                <w:highlight w:val="none"/>
                <w:lang w:val="en-US" w:eastAsia="zh-CN" w:bidi="ar-SA"/>
              </w:rPr>
              <w:t>≥</w:t>
            </w:r>
            <w:r>
              <w:rPr>
                <w:rFonts w:hint="eastAsia" w:ascii="宋体" w:hAnsi="宋体" w:eastAsia="宋体" w:cs="宋体"/>
                <w:bCs/>
                <w:color w:val="auto"/>
                <w:kern w:val="2"/>
                <w:sz w:val="21"/>
                <w:szCs w:val="21"/>
                <w:highlight w:val="none"/>
                <w:lang w:val="zh-CN" w:eastAsia="zh-CN" w:bidi="ar-SA"/>
              </w:rPr>
              <w:t>1工位</w:t>
            </w:r>
            <w:r>
              <w:rPr>
                <w:rFonts w:hint="eastAsia" w:ascii="宋体" w:hAnsi="宋体" w:eastAsia="宋体" w:cs="宋体"/>
                <w:color w:val="auto"/>
                <w:kern w:val="2"/>
                <w:sz w:val="21"/>
                <w:szCs w:val="24"/>
                <w:highlight w:val="none"/>
                <w:lang w:val="zh-CN" w:eastAsia="zh-CN" w:bidi="ar-SA"/>
              </w:rPr>
              <w:t>；</w:t>
            </w:r>
          </w:p>
          <w:p w14:paraId="7BD1356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12、扭矩试验机管径适用范围：</w:t>
            </w:r>
            <w:r>
              <w:rPr>
                <w:rFonts w:hint="eastAsia" w:ascii="宋体" w:hAnsi="宋体" w:eastAsia="宋体" w:cs="宋体"/>
                <w:bCs/>
                <w:color w:val="auto"/>
                <w:kern w:val="2"/>
                <w:sz w:val="21"/>
                <w:szCs w:val="21"/>
                <w:highlight w:val="none"/>
                <w:lang w:val="en-US" w:eastAsia="zh-CN" w:bidi="ar-SA"/>
              </w:rPr>
              <w:t>至少覆盖</w:t>
            </w:r>
            <w:r>
              <w:rPr>
                <w:rFonts w:hint="eastAsia" w:ascii="宋体" w:hAnsi="宋体" w:eastAsia="宋体" w:cs="宋体"/>
                <w:bCs/>
                <w:color w:val="auto"/>
                <w:kern w:val="2"/>
                <w:sz w:val="21"/>
                <w:szCs w:val="21"/>
                <w:highlight w:val="none"/>
                <w:lang w:val="zh-CN" w:eastAsia="zh-CN" w:bidi="ar-SA"/>
              </w:rPr>
              <w:t>DN6～DN168；</w:t>
            </w:r>
          </w:p>
          <w:p w14:paraId="3937341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
                <w:bCs w:val="0"/>
                <w:color w:val="auto"/>
                <w:kern w:val="2"/>
                <w:sz w:val="21"/>
                <w:szCs w:val="21"/>
                <w:highlight w:val="none"/>
                <w:lang w:val="zh-CN" w:eastAsia="zh-CN" w:bidi="ar-SA"/>
              </w:rPr>
              <w:t>★</w:t>
            </w:r>
            <w:r>
              <w:rPr>
                <w:rFonts w:hint="eastAsia" w:ascii="宋体" w:hAnsi="宋体" w:eastAsia="宋体" w:cs="宋体"/>
                <w:bCs/>
                <w:color w:val="auto"/>
                <w:kern w:val="2"/>
                <w:sz w:val="21"/>
                <w:szCs w:val="21"/>
                <w:highlight w:val="none"/>
                <w:lang w:val="en-US" w:eastAsia="zh-CN" w:bidi="ar-SA"/>
              </w:rPr>
              <w:t>13</w:t>
            </w:r>
            <w:r>
              <w:rPr>
                <w:rFonts w:hint="eastAsia" w:ascii="宋体" w:hAnsi="宋体" w:eastAsia="宋体" w:cs="宋体"/>
                <w:bCs/>
                <w:color w:val="auto"/>
                <w:kern w:val="2"/>
                <w:sz w:val="21"/>
                <w:szCs w:val="21"/>
                <w:highlight w:val="none"/>
                <w:lang w:val="zh-CN" w:eastAsia="zh-CN" w:bidi="ar-SA"/>
              </w:rPr>
              <w:t>采用高精度倾角传感器、自动执行机构、实现倾角和位移的自动精准控制</w:t>
            </w:r>
            <w:r>
              <w:rPr>
                <w:rFonts w:hint="eastAsia" w:ascii="宋体" w:hAnsi="宋体" w:eastAsia="宋体" w:cs="宋体"/>
                <w:b/>
                <w:bCs w:val="0"/>
                <w:color w:val="auto"/>
                <w:kern w:val="2"/>
                <w:sz w:val="21"/>
                <w:szCs w:val="21"/>
                <w:highlight w:val="none"/>
                <w:lang w:val="zh-CN" w:eastAsia="zh-CN" w:bidi="ar-SA"/>
              </w:rPr>
              <w:t>（</w:t>
            </w:r>
            <w:r>
              <w:rPr>
                <w:rFonts w:hint="eastAsia" w:ascii="宋体" w:hAnsi="宋体" w:eastAsia="宋体" w:cs="宋体"/>
                <w:b/>
                <w:bCs w:val="0"/>
                <w:color w:val="auto"/>
                <w:kern w:val="2"/>
                <w:sz w:val="21"/>
                <w:szCs w:val="21"/>
                <w:highlight w:val="none"/>
                <w:lang w:val="en-US" w:eastAsia="zh-CN" w:bidi="ar-SA"/>
              </w:rPr>
              <w:t>投标文件中提供实物图片，佐证具备倾角传感器</w:t>
            </w:r>
            <w:r>
              <w:rPr>
                <w:rFonts w:hint="eastAsia" w:ascii="宋体" w:hAnsi="宋体" w:eastAsia="宋体" w:cs="宋体"/>
                <w:b/>
                <w:bCs w:val="0"/>
                <w:color w:val="auto"/>
                <w:kern w:val="2"/>
                <w:sz w:val="21"/>
                <w:szCs w:val="21"/>
                <w:highlight w:val="none"/>
                <w:lang w:val="zh-CN" w:eastAsia="zh-CN" w:bidi="ar-SA"/>
              </w:rPr>
              <w:t>）。</w:t>
            </w:r>
          </w:p>
          <w:p w14:paraId="2AB7123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四、主要配置</w:t>
            </w:r>
          </w:p>
          <w:p w14:paraId="7C8E34C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1、金属管弯曲扰角试验机1台；</w:t>
            </w:r>
          </w:p>
          <w:p w14:paraId="374DDB9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2、试样转接头1套；</w:t>
            </w:r>
          </w:p>
          <w:p w14:paraId="6467B9D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3、高压水线总成1根；</w:t>
            </w:r>
          </w:p>
          <w:p w14:paraId="164A14F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4、水平测量支块1个；</w:t>
            </w:r>
          </w:p>
          <w:p w14:paraId="03DCFB0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5、加长压块1件；</w:t>
            </w:r>
          </w:p>
          <w:p w14:paraId="0FB5406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6、扭矩试验台1台；</w:t>
            </w:r>
          </w:p>
          <w:p w14:paraId="7A997E4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7、工装夹具1套；</w:t>
            </w:r>
          </w:p>
          <w:p w14:paraId="1D2F7D4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8、60Nm、150Nm活动开口扭矩扳手各1套。</w:t>
            </w:r>
          </w:p>
        </w:tc>
        <w:tc>
          <w:tcPr>
            <w:tcW w:w="633" w:type="pct"/>
            <w:vAlign w:val="center"/>
          </w:tcPr>
          <w:p w14:paraId="7091B14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1套</w:t>
            </w:r>
          </w:p>
        </w:tc>
        <w:tc>
          <w:tcPr>
            <w:tcW w:w="475" w:type="pct"/>
            <w:vAlign w:val="center"/>
          </w:tcPr>
          <w:p w14:paraId="68D5A301">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工业</w:t>
            </w:r>
          </w:p>
        </w:tc>
      </w:tr>
      <w:tr w14:paraId="6E9CE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46" w:type="pct"/>
            <w:shd w:val="clear" w:color="auto" w:fill="auto"/>
            <w:vAlign w:val="center"/>
          </w:tcPr>
          <w:p w14:paraId="2DEE4F37">
            <w:pPr>
              <w:keepNext w:val="0"/>
              <w:keepLines w:val="0"/>
              <w:pageBreakBefore w:val="0"/>
              <w:numPr>
                <w:ilvl w:val="0"/>
                <w:numId w:val="1"/>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firstLine="0" w:firstLineChars="0"/>
              <w:jc w:val="center"/>
              <w:textAlignment w:val="auto"/>
              <w:rPr>
                <w:rFonts w:hint="default" w:ascii="宋体" w:hAnsi="宋体" w:eastAsia="宋体" w:cs="宋体"/>
                <w:b w:val="0"/>
                <w:bCs w:val="0"/>
                <w:color w:val="auto"/>
                <w:kern w:val="2"/>
                <w:sz w:val="21"/>
                <w:szCs w:val="21"/>
                <w:highlight w:val="none"/>
                <w:lang w:val="en-US" w:eastAsia="zh-CN" w:bidi="ar-SA"/>
              </w:rPr>
            </w:pPr>
          </w:p>
        </w:tc>
        <w:tc>
          <w:tcPr>
            <w:tcW w:w="638" w:type="pct"/>
            <w:vAlign w:val="center"/>
          </w:tcPr>
          <w:p w14:paraId="13D867A3">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耐高温气密性能试验机</w:t>
            </w:r>
          </w:p>
        </w:tc>
        <w:tc>
          <w:tcPr>
            <w:tcW w:w="2905" w:type="pct"/>
            <w:vAlign w:val="center"/>
          </w:tcPr>
          <w:p w14:paraId="483BD57F">
            <w:pPr>
              <w:keepNext w:val="0"/>
              <w:keepLines w:val="0"/>
              <w:pageBreakBefore w:val="0"/>
              <w:widowControl/>
              <w:suppressLineNumbers w:val="0"/>
              <w:kinsoku/>
              <w:overflowPunct/>
              <w:topLinePunct w:val="0"/>
              <w:autoSpaceDE/>
              <w:autoSpaceDN/>
              <w:bidi w:val="0"/>
              <w:adjustRightInd/>
              <w:spacing w:before="0" w:beforeAutospacing="0" w:after="0" w:afterAutospacing="0" w:line="300" w:lineRule="auto"/>
              <w:ind w:left="0" w:right="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一、主要用途：主要用于金属管材管件耐高温气密性能试验</w:t>
            </w:r>
          </w:p>
          <w:p w14:paraId="3B7594A7">
            <w:pPr>
              <w:keepNext w:val="0"/>
              <w:keepLines w:val="0"/>
              <w:pageBreakBefore w:val="0"/>
              <w:widowControl/>
              <w:suppressLineNumbers w:val="0"/>
              <w:kinsoku/>
              <w:overflowPunct/>
              <w:topLinePunct w:val="0"/>
              <w:autoSpaceDE/>
              <w:autoSpaceDN/>
              <w:bidi w:val="0"/>
              <w:adjustRightInd/>
              <w:spacing w:before="0" w:beforeAutospacing="0" w:after="0" w:afterAutospacing="0" w:line="300" w:lineRule="auto"/>
              <w:ind w:left="0" w:right="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二、依据标准：符合AS 3688：2016中4.14条、CJ/T 152-2016中7.4.4.10条</w:t>
            </w:r>
            <w:r>
              <w:rPr>
                <w:rFonts w:hint="eastAsia" w:ascii="宋体" w:hAnsi="宋体" w:eastAsia="宋体" w:cs="宋体"/>
                <w:bCs/>
                <w:color w:val="auto"/>
                <w:sz w:val="21"/>
                <w:szCs w:val="21"/>
                <w:highlight w:val="none"/>
              </w:rPr>
              <w:t>标准中对设备的要求</w:t>
            </w:r>
          </w:p>
          <w:p w14:paraId="1B75D981">
            <w:pPr>
              <w:keepNext w:val="0"/>
              <w:keepLines w:val="0"/>
              <w:pageBreakBefore w:val="0"/>
              <w:widowControl/>
              <w:suppressLineNumbers w:val="0"/>
              <w:kinsoku/>
              <w:overflowPunct/>
              <w:topLinePunct w:val="0"/>
              <w:autoSpaceDE/>
              <w:autoSpaceDN/>
              <w:bidi w:val="0"/>
              <w:adjustRightInd/>
              <w:spacing w:before="0" w:beforeAutospacing="0" w:after="0" w:afterAutospacing="0" w:line="300" w:lineRule="auto"/>
              <w:ind w:left="0" w:right="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三、技术指标</w:t>
            </w:r>
          </w:p>
          <w:p w14:paraId="07407E43">
            <w:pPr>
              <w:keepNext w:val="0"/>
              <w:keepLines w:val="0"/>
              <w:pageBreakBefore w:val="0"/>
              <w:widowControl/>
              <w:suppressLineNumbers w:val="0"/>
              <w:kinsoku/>
              <w:overflowPunct/>
              <w:topLinePunct w:val="0"/>
              <w:autoSpaceDE/>
              <w:autoSpaceDN/>
              <w:bidi w:val="0"/>
              <w:adjustRightInd/>
              <w:spacing w:before="0" w:beforeAutospacing="0" w:after="0" w:afterAutospacing="0" w:line="300" w:lineRule="auto"/>
              <w:ind w:left="0" w:right="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lang w:val="en-US" w:eastAsia="zh-CN" w:bidi="ar"/>
              </w:rPr>
              <w:t>1、最高温度：</w:t>
            </w:r>
            <w:r>
              <w:rPr>
                <w:rFonts w:hint="eastAsia" w:ascii="宋体" w:hAnsi="宋体" w:eastAsia="宋体" w:cs="宋体"/>
                <w:color w:val="auto"/>
                <w:kern w:val="0"/>
                <w:sz w:val="21"/>
                <w:szCs w:val="21"/>
                <w:highlight w:val="none"/>
                <w:lang w:val="en-US" w:eastAsia="zh-CN" w:bidi="ar"/>
              </w:rPr>
              <w:t>≥700℃；</w:t>
            </w:r>
          </w:p>
          <w:p w14:paraId="66B86C3C">
            <w:pPr>
              <w:keepNext w:val="0"/>
              <w:keepLines w:val="0"/>
              <w:pageBreakBefore w:val="0"/>
              <w:widowControl/>
              <w:suppressLineNumbers w:val="0"/>
              <w:kinsoku/>
              <w:overflowPunct/>
              <w:topLinePunct w:val="0"/>
              <w:autoSpaceDE/>
              <w:autoSpaceDN/>
              <w:bidi w:val="0"/>
              <w:adjustRightInd/>
              <w:spacing w:before="0" w:beforeAutospacing="0" w:after="0" w:afterAutospacing="0" w:line="300" w:lineRule="auto"/>
              <w:ind w:left="0" w:right="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2、控温精度：±1℃；</w:t>
            </w:r>
          </w:p>
          <w:p w14:paraId="00CC5139">
            <w:pPr>
              <w:keepNext w:val="0"/>
              <w:keepLines w:val="0"/>
              <w:pageBreakBefore w:val="0"/>
              <w:widowControl/>
              <w:suppressLineNumbers w:val="0"/>
              <w:kinsoku/>
              <w:overflowPunct/>
              <w:topLinePunct w:val="0"/>
              <w:autoSpaceDE/>
              <w:autoSpaceDN/>
              <w:bidi w:val="0"/>
              <w:adjustRightInd/>
              <w:spacing w:before="0" w:beforeAutospacing="0" w:after="0" w:afterAutospacing="0" w:line="300" w:lineRule="auto"/>
              <w:ind w:left="0" w:right="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3、压力：100±10kPa，压力精度±2%；</w:t>
            </w:r>
          </w:p>
          <w:p w14:paraId="7EE47ADB">
            <w:pPr>
              <w:keepNext w:val="0"/>
              <w:keepLines w:val="0"/>
              <w:pageBreakBefore w:val="0"/>
              <w:widowControl/>
              <w:suppressLineNumbers w:val="0"/>
              <w:kinsoku/>
              <w:overflowPunct/>
              <w:topLinePunct w:val="0"/>
              <w:autoSpaceDE/>
              <w:autoSpaceDN/>
              <w:bidi w:val="0"/>
              <w:adjustRightInd/>
              <w:spacing w:before="0" w:beforeAutospacing="0" w:after="0" w:afterAutospacing="0" w:line="300" w:lineRule="auto"/>
              <w:ind w:left="0" w:right="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4、试验工位：≥1工位；</w:t>
            </w:r>
          </w:p>
          <w:p w14:paraId="2D349E99">
            <w:pPr>
              <w:keepNext w:val="0"/>
              <w:keepLines w:val="0"/>
              <w:pageBreakBefore w:val="0"/>
              <w:widowControl/>
              <w:suppressLineNumbers w:val="0"/>
              <w:kinsoku/>
              <w:overflowPunct/>
              <w:topLinePunct w:val="0"/>
              <w:autoSpaceDE/>
              <w:autoSpaceDN/>
              <w:bidi w:val="0"/>
              <w:adjustRightInd/>
              <w:spacing w:before="0" w:beforeAutospacing="0" w:after="0" w:afterAutospacing="0" w:line="300" w:lineRule="auto"/>
              <w:ind w:left="0" w:right="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5、满足试样最小长度500mm，加热装置内部空间≥300mm；</w:t>
            </w:r>
          </w:p>
          <w:p w14:paraId="3AE7F9E0">
            <w:pPr>
              <w:keepNext w:val="0"/>
              <w:keepLines w:val="0"/>
              <w:pageBreakBefore w:val="0"/>
              <w:widowControl/>
              <w:suppressLineNumbers w:val="0"/>
              <w:kinsoku/>
              <w:overflowPunct/>
              <w:topLinePunct w:val="0"/>
              <w:autoSpaceDE/>
              <w:autoSpaceDN/>
              <w:bidi w:val="0"/>
              <w:adjustRightInd/>
              <w:spacing w:before="0" w:beforeAutospacing="0" w:after="0" w:afterAutospacing="0" w:line="300" w:lineRule="auto"/>
              <w:ind w:left="0" w:right="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6、管径适用范围：至少覆盖DN10～DN100；</w:t>
            </w:r>
          </w:p>
          <w:p w14:paraId="0839D3DD">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微软简标宋" w:cs="宋体"/>
                <w:color w:val="auto"/>
                <w:kern w:val="2"/>
                <w:sz w:val="21"/>
                <w:szCs w:val="21"/>
                <w:highlight w:val="none"/>
                <w:lang w:val="zh-CN" w:eastAsia="zh-CN" w:bidi="ar-SA"/>
              </w:rPr>
              <w:t>●</w:t>
            </w:r>
            <w:r>
              <w:rPr>
                <w:rFonts w:hint="eastAsia" w:ascii="宋体" w:hAnsi="宋体" w:eastAsia="宋体" w:cs="宋体"/>
                <w:color w:val="auto"/>
                <w:kern w:val="0"/>
                <w:sz w:val="21"/>
                <w:szCs w:val="21"/>
                <w:highlight w:val="none"/>
                <w:lang w:val="en-US" w:eastAsia="zh-CN" w:bidi="ar"/>
              </w:rPr>
              <w:t>7、设备具备安全防护功能</w:t>
            </w:r>
            <w:r>
              <w:rPr>
                <w:rFonts w:hint="eastAsia" w:ascii="宋体" w:hAnsi="宋体" w:eastAsia="宋体" w:cs="宋体"/>
                <w:b/>
                <w:bCs w:val="0"/>
                <w:color w:val="auto"/>
                <w:kern w:val="2"/>
                <w:sz w:val="21"/>
                <w:szCs w:val="21"/>
                <w:highlight w:val="none"/>
                <w:lang w:val="zh-CN" w:eastAsia="zh-CN" w:bidi="ar-SA"/>
              </w:rPr>
              <w:t>（</w:t>
            </w:r>
            <w:r>
              <w:rPr>
                <w:rFonts w:hint="eastAsia" w:ascii="宋体" w:hAnsi="宋体" w:eastAsia="宋体" w:cs="宋体"/>
                <w:b/>
                <w:bCs w:val="0"/>
                <w:color w:val="auto"/>
                <w:kern w:val="2"/>
                <w:sz w:val="21"/>
                <w:szCs w:val="21"/>
                <w:highlight w:val="none"/>
                <w:lang w:val="en-US" w:eastAsia="zh-CN" w:bidi="ar-SA"/>
              </w:rPr>
              <w:t>投标文件中提供实物图片，佐证具备安全防护功能</w:t>
            </w:r>
            <w:r>
              <w:rPr>
                <w:rFonts w:hint="eastAsia" w:ascii="宋体" w:hAnsi="宋体" w:eastAsia="宋体" w:cs="宋体"/>
                <w:b/>
                <w:bCs w:val="0"/>
                <w:color w:val="auto"/>
                <w:kern w:val="2"/>
                <w:sz w:val="21"/>
                <w:szCs w:val="21"/>
                <w:highlight w:val="none"/>
                <w:lang w:val="zh-CN" w:eastAsia="zh-CN" w:bidi="ar-SA"/>
              </w:rPr>
              <w:t>）；</w:t>
            </w:r>
          </w:p>
          <w:p w14:paraId="036FEB27">
            <w:pPr>
              <w:keepNext w:val="0"/>
              <w:keepLines w:val="0"/>
              <w:pageBreakBefore w:val="0"/>
              <w:widowControl/>
              <w:suppressLineNumbers w:val="0"/>
              <w:kinsoku/>
              <w:overflowPunct/>
              <w:topLinePunct w:val="0"/>
              <w:autoSpaceDE/>
              <w:autoSpaceDN/>
              <w:bidi w:val="0"/>
              <w:adjustRightInd/>
              <w:spacing w:before="0" w:beforeAutospacing="0" w:after="0" w:afterAutospacing="0" w:line="300" w:lineRule="auto"/>
              <w:ind w:left="0" w:right="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四、主要配置</w:t>
            </w:r>
          </w:p>
          <w:p w14:paraId="20C5B58D">
            <w:pPr>
              <w:keepNext w:val="0"/>
              <w:keepLines w:val="0"/>
              <w:pageBreakBefore w:val="0"/>
              <w:widowControl/>
              <w:suppressLineNumbers w:val="0"/>
              <w:kinsoku/>
              <w:overflowPunct/>
              <w:topLinePunct w:val="0"/>
              <w:autoSpaceDE/>
              <w:autoSpaceDN/>
              <w:bidi w:val="0"/>
              <w:adjustRightInd/>
              <w:spacing w:before="0" w:beforeAutospacing="0" w:after="0" w:afterAutospacing="0" w:line="300" w:lineRule="auto"/>
              <w:ind w:left="0" w:right="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1、耐高温气密性能试验机主机1台；</w:t>
            </w:r>
          </w:p>
          <w:p w14:paraId="3FB87ABA">
            <w:pPr>
              <w:keepNext w:val="0"/>
              <w:keepLines w:val="0"/>
              <w:pageBreakBefore w:val="0"/>
              <w:widowControl/>
              <w:suppressLineNumbers w:val="0"/>
              <w:kinsoku/>
              <w:overflowPunct/>
              <w:topLinePunct w:val="0"/>
              <w:autoSpaceDE/>
              <w:autoSpaceDN/>
              <w:bidi w:val="0"/>
              <w:adjustRightInd/>
              <w:spacing w:before="0" w:beforeAutospacing="0" w:after="0" w:afterAutospacing="0" w:line="300" w:lineRule="auto"/>
              <w:ind w:left="0" w:right="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2、连接管1套；</w:t>
            </w:r>
          </w:p>
          <w:p w14:paraId="5BB98211">
            <w:pPr>
              <w:keepNext w:val="0"/>
              <w:keepLines w:val="0"/>
              <w:pageBreakBefore w:val="0"/>
              <w:widowControl/>
              <w:suppressLineNumbers w:val="0"/>
              <w:kinsoku/>
              <w:overflowPunct/>
              <w:topLinePunct w:val="0"/>
              <w:autoSpaceDE/>
              <w:autoSpaceDN/>
              <w:bidi w:val="0"/>
              <w:adjustRightInd/>
              <w:spacing w:before="0" w:beforeAutospacing="0" w:after="0" w:afterAutospacing="0" w:line="300" w:lineRule="auto"/>
              <w:ind w:left="0" w:right="0"/>
              <w:jc w:val="left"/>
              <w:textAlignment w:val="auto"/>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lang w:val="en-US" w:eastAsia="zh-CN" w:bidi="ar"/>
              </w:rPr>
              <w:t>3、氮气装置1套。</w:t>
            </w:r>
          </w:p>
        </w:tc>
        <w:tc>
          <w:tcPr>
            <w:tcW w:w="633" w:type="pct"/>
            <w:vAlign w:val="center"/>
          </w:tcPr>
          <w:p w14:paraId="4F18D299">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1套</w:t>
            </w:r>
          </w:p>
        </w:tc>
        <w:tc>
          <w:tcPr>
            <w:tcW w:w="475" w:type="pct"/>
            <w:vAlign w:val="center"/>
          </w:tcPr>
          <w:p w14:paraId="76DC742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工业</w:t>
            </w:r>
          </w:p>
        </w:tc>
      </w:tr>
      <w:tr w14:paraId="43C37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46" w:type="pct"/>
            <w:shd w:val="clear" w:color="auto" w:fill="auto"/>
            <w:vAlign w:val="center"/>
          </w:tcPr>
          <w:p w14:paraId="43791CC1">
            <w:pPr>
              <w:keepNext w:val="0"/>
              <w:keepLines w:val="0"/>
              <w:pageBreakBefore w:val="0"/>
              <w:numPr>
                <w:ilvl w:val="0"/>
                <w:numId w:val="1"/>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firstLine="0" w:firstLineChars="0"/>
              <w:jc w:val="center"/>
              <w:textAlignment w:val="auto"/>
              <w:rPr>
                <w:rFonts w:hint="default" w:ascii="宋体" w:hAnsi="宋体" w:eastAsia="宋体" w:cs="宋体"/>
                <w:b w:val="0"/>
                <w:bCs w:val="0"/>
                <w:color w:val="auto"/>
                <w:kern w:val="2"/>
                <w:sz w:val="21"/>
                <w:szCs w:val="21"/>
                <w:highlight w:val="none"/>
                <w:lang w:val="en-US" w:eastAsia="zh-CN" w:bidi="ar-SA"/>
              </w:rPr>
            </w:pPr>
          </w:p>
        </w:tc>
        <w:tc>
          <w:tcPr>
            <w:tcW w:w="638" w:type="pct"/>
            <w:vAlign w:val="center"/>
          </w:tcPr>
          <w:p w14:paraId="53FAAFD0">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center"/>
              <w:textAlignment w:val="auto"/>
              <w:rPr>
                <w:rFonts w:hint="eastAsia" w:ascii="宋体" w:hAnsi="宋体" w:eastAsia="宋体"/>
                <w:b w:val="0"/>
                <w:bCs w:val="0"/>
                <w:color w:val="auto"/>
                <w:sz w:val="21"/>
                <w:szCs w:val="21"/>
                <w:highlight w:val="none"/>
              </w:rPr>
            </w:pPr>
            <w:r>
              <w:rPr>
                <w:rFonts w:hint="eastAsia" w:ascii="宋体" w:hAnsi="宋体" w:eastAsia="宋体"/>
                <w:b w:val="0"/>
                <w:bCs w:val="0"/>
                <w:color w:val="auto"/>
                <w:sz w:val="21"/>
                <w:szCs w:val="21"/>
                <w:highlight w:val="none"/>
              </w:rPr>
              <w:t>水压振动试验机</w:t>
            </w:r>
          </w:p>
        </w:tc>
        <w:tc>
          <w:tcPr>
            <w:tcW w:w="2905" w:type="pct"/>
            <w:vAlign w:val="center"/>
          </w:tcPr>
          <w:p w14:paraId="125B4E8E">
            <w:pPr>
              <w:keepNext w:val="0"/>
              <w:keepLines w:val="0"/>
              <w:pageBreakBefore w:val="0"/>
              <w:widowControl/>
              <w:suppressLineNumbers w:val="0"/>
              <w:kinsoku/>
              <w:overflowPunct/>
              <w:topLinePunct w:val="0"/>
              <w:autoSpaceDE/>
              <w:autoSpaceDN/>
              <w:bidi w:val="0"/>
              <w:adjustRightInd/>
              <w:spacing w:before="0" w:beforeAutospacing="0" w:after="0" w:afterAutospacing="0" w:line="300" w:lineRule="auto"/>
              <w:ind w:left="0" w:right="0"/>
              <w:jc w:val="left"/>
              <w:textAlignment w:val="auto"/>
              <w:rPr>
                <w:rFonts w:hint="default" w:ascii="宋体" w:hAnsi="宋体" w:eastAsia="宋体" w:cs="宋体"/>
                <w:color w:val="auto"/>
                <w:kern w:val="0"/>
                <w:sz w:val="21"/>
                <w:szCs w:val="21"/>
                <w:lang w:val="en-US" w:eastAsia="zh-CN" w:bidi="ar"/>
              </w:rPr>
            </w:pPr>
            <w:r>
              <w:rPr>
                <w:rFonts w:hint="default" w:ascii="宋体" w:hAnsi="宋体" w:eastAsia="宋体" w:cs="宋体"/>
                <w:color w:val="auto"/>
                <w:kern w:val="0"/>
                <w:sz w:val="21"/>
                <w:szCs w:val="21"/>
                <w:lang w:val="en-US" w:eastAsia="zh-CN" w:bidi="ar"/>
              </w:rPr>
              <w:t>一、主要用途：主要用于金属管材管件水压振动试验</w:t>
            </w:r>
          </w:p>
          <w:p w14:paraId="2C4028F0">
            <w:pPr>
              <w:keepNext w:val="0"/>
              <w:keepLines w:val="0"/>
              <w:pageBreakBefore w:val="0"/>
              <w:widowControl/>
              <w:suppressLineNumbers w:val="0"/>
              <w:kinsoku/>
              <w:overflowPunct/>
              <w:topLinePunct w:val="0"/>
              <w:autoSpaceDE/>
              <w:autoSpaceDN/>
              <w:bidi w:val="0"/>
              <w:adjustRightInd/>
              <w:spacing w:before="0" w:beforeAutospacing="0" w:after="0" w:afterAutospacing="0" w:line="300" w:lineRule="auto"/>
              <w:ind w:left="0" w:right="0"/>
              <w:jc w:val="left"/>
              <w:textAlignment w:val="auto"/>
              <w:rPr>
                <w:rFonts w:hint="default" w:ascii="宋体" w:hAnsi="宋体" w:eastAsia="宋体" w:cs="宋体"/>
                <w:color w:val="auto"/>
                <w:kern w:val="0"/>
                <w:sz w:val="21"/>
                <w:szCs w:val="21"/>
                <w:lang w:val="en-US" w:eastAsia="zh-CN" w:bidi="ar"/>
              </w:rPr>
            </w:pPr>
            <w:r>
              <w:rPr>
                <w:rFonts w:hint="default" w:ascii="宋体" w:hAnsi="宋体" w:eastAsia="宋体" w:cs="宋体"/>
                <w:color w:val="auto"/>
                <w:kern w:val="0"/>
                <w:sz w:val="21"/>
                <w:szCs w:val="21"/>
                <w:lang w:val="en-US" w:eastAsia="zh-CN" w:bidi="ar"/>
              </w:rPr>
              <w:t>二、依据标准：</w:t>
            </w:r>
            <w:r>
              <w:rPr>
                <w:rFonts w:hint="eastAsia" w:ascii="宋体" w:hAnsi="宋体" w:eastAsia="宋体" w:cs="宋体"/>
                <w:color w:val="auto"/>
                <w:kern w:val="0"/>
                <w:sz w:val="21"/>
                <w:szCs w:val="21"/>
                <w:lang w:val="en-US" w:eastAsia="zh-CN" w:bidi="ar"/>
              </w:rPr>
              <w:t>符合</w:t>
            </w:r>
            <w:r>
              <w:rPr>
                <w:rFonts w:hint="default" w:ascii="宋体" w:hAnsi="宋体" w:eastAsia="宋体" w:cs="宋体"/>
                <w:color w:val="auto"/>
                <w:kern w:val="0"/>
                <w:sz w:val="21"/>
                <w:szCs w:val="21"/>
                <w:lang w:val="en-US" w:eastAsia="zh-CN" w:bidi="ar"/>
              </w:rPr>
              <w:t>GB/T 19228.1-2024中7.6.6条</w:t>
            </w:r>
            <w:r>
              <w:rPr>
                <w:rFonts w:hint="eastAsia" w:ascii="宋体" w:hAnsi="宋体" w:eastAsia="宋体" w:cs="宋体"/>
                <w:bCs/>
                <w:color w:val="auto"/>
                <w:sz w:val="21"/>
                <w:szCs w:val="21"/>
                <w:highlight w:val="none"/>
              </w:rPr>
              <w:t>标准中对设备的要求</w:t>
            </w:r>
          </w:p>
          <w:p w14:paraId="3F940447">
            <w:pPr>
              <w:keepNext w:val="0"/>
              <w:keepLines w:val="0"/>
              <w:pageBreakBefore w:val="0"/>
              <w:widowControl/>
              <w:suppressLineNumbers w:val="0"/>
              <w:kinsoku/>
              <w:overflowPunct/>
              <w:topLinePunct w:val="0"/>
              <w:autoSpaceDE/>
              <w:autoSpaceDN/>
              <w:bidi w:val="0"/>
              <w:adjustRightInd/>
              <w:spacing w:before="0" w:beforeAutospacing="0" w:after="0" w:afterAutospacing="0" w:line="300" w:lineRule="auto"/>
              <w:ind w:left="0" w:right="0"/>
              <w:jc w:val="left"/>
              <w:textAlignment w:val="auto"/>
              <w:rPr>
                <w:rFonts w:hint="default" w:ascii="宋体" w:hAnsi="宋体" w:eastAsia="宋体" w:cs="宋体"/>
                <w:color w:val="auto"/>
                <w:kern w:val="0"/>
                <w:sz w:val="21"/>
                <w:szCs w:val="21"/>
                <w:lang w:val="en-US" w:eastAsia="zh-CN" w:bidi="ar"/>
              </w:rPr>
            </w:pPr>
            <w:r>
              <w:rPr>
                <w:rFonts w:hint="default" w:ascii="宋体" w:hAnsi="宋体" w:eastAsia="宋体" w:cs="宋体"/>
                <w:color w:val="auto"/>
                <w:kern w:val="0"/>
                <w:sz w:val="21"/>
                <w:szCs w:val="21"/>
                <w:lang w:val="en-US" w:eastAsia="zh-CN" w:bidi="ar"/>
              </w:rPr>
              <w:t>三、技术指标</w:t>
            </w:r>
          </w:p>
          <w:p w14:paraId="2C36818B">
            <w:pPr>
              <w:keepNext w:val="0"/>
              <w:keepLines w:val="0"/>
              <w:pageBreakBefore w:val="0"/>
              <w:widowControl/>
              <w:suppressLineNumbers w:val="0"/>
              <w:kinsoku/>
              <w:overflowPunct/>
              <w:topLinePunct w:val="0"/>
              <w:autoSpaceDE/>
              <w:autoSpaceDN/>
              <w:bidi w:val="0"/>
              <w:adjustRightInd/>
              <w:spacing w:before="0" w:beforeAutospacing="0" w:after="0" w:afterAutospacing="0" w:line="300" w:lineRule="auto"/>
              <w:ind w:left="0" w:right="0"/>
              <w:jc w:val="left"/>
              <w:textAlignment w:val="auto"/>
              <w:rPr>
                <w:rFonts w:hint="default" w:ascii="宋体" w:hAnsi="宋体" w:eastAsia="宋体" w:cs="宋体"/>
                <w:color w:val="auto"/>
                <w:kern w:val="0"/>
                <w:sz w:val="21"/>
                <w:szCs w:val="21"/>
                <w:lang w:val="en-US" w:eastAsia="zh-CN" w:bidi="ar"/>
              </w:rPr>
            </w:pPr>
            <w:r>
              <w:rPr>
                <w:rFonts w:hint="default" w:ascii="宋体" w:hAnsi="宋体" w:eastAsia="宋体" w:cs="宋体"/>
                <w:color w:val="auto"/>
                <w:kern w:val="0"/>
                <w:sz w:val="21"/>
                <w:szCs w:val="21"/>
                <w:lang w:val="en-US" w:eastAsia="zh-CN" w:bidi="ar"/>
              </w:rPr>
              <w:t>1、工位：</w:t>
            </w:r>
            <w:r>
              <w:rPr>
                <w:rFonts w:hint="eastAsia" w:ascii="宋体" w:hAnsi="宋体" w:eastAsia="宋体" w:cs="宋体"/>
                <w:color w:val="auto"/>
                <w:kern w:val="0"/>
                <w:sz w:val="21"/>
                <w:szCs w:val="21"/>
                <w:lang w:val="en-US" w:eastAsia="zh-CN" w:bidi="ar"/>
              </w:rPr>
              <w:t>≥</w:t>
            </w:r>
            <w:r>
              <w:rPr>
                <w:rFonts w:hint="default" w:ascii="宋体" w:hAnsi="宋体" w:eastAsia="宋体" w:cs="宋体"/>
                <w:color w:val="auto"/>
                <w:kern w:val="0"/>
                <w:sz w:val="21"/>
                <w:szCs w:val="21"/>
                <w:lang w:val="en-US" w:eastAsia="zh-CN" w:bidi="ar"/>
              </w:rPr>
              <w:t>1工位</w:t>
            </w:r>
            <w:r>
              <w:rPr>
                <w:rFonts w:hint="eastAsia" w:ascii="宋体" w:hAnsi="宋体" w:eastAsia="宋体" w:cs="宋体"/>
                <w:color w:val="auto"/>
                <w:kern w:val="0"/>
                <w:sz w:val="21"/>
                <w:szCs w:val="21"/>
                <w:lang w:val="en-US" w:eastAsia="zh-CN" w:bidi="ar"/>
              </w:rPr>
              <w:t>；</w:t>
            </w:r>
          </w:p>
          <w:p w14:paraId="210D823D">
            <w:pPr>
              <w:keepNext w:val="0"/>
              <w:keepLines w:val="0"/>
              <w:pageBreakBefore w:val="0"/>
              <w:widowControl/>
              <w:suppressLineNumbers w:val="0"/>
              <w:kinsoku/>
              <w:overflowPunct/>
              <w:topLinePunct w:val="0"/>
              <w:autoSpaceDE/>
              <w:autoSpaceDN/>
              <w:bidi w:val="0"/>
              <w:adjustRightInd/>
              <w:spacing w:before="0" w:beforeAutospacing="0" w:after="0" w:afterAutospacing="0" w:line="300" w:lineRule="auto"/>
              <w:ind w:left="0" w:right="0"/>
              <w:jc w:val="left"/>
              <w:textAlignment w:val="auto"/>
              <w:rPr>
                <w:rFonts w:hint="default" w:ascii="宋体" w:hAnsi="宋体" w:eastAsia="宋体" w:cs="宋体"/>
                <w:color w:val="auto"/>
                <w:kern w:val="0"/>
                <w:sz w:val="21"/>
                <w:szCs w:val="21"/>
                <w:lang w:val="en-US" w:eastAsia="zh-CN" w:bidi="ar"/>
              </w:rPr>
            </w:pPr>
            <w:r>
              <w:rPr>
                <w:rFonts w:hint="default" w:ascii="宋体" w:hAnsi="宋体" w:eastAsia="宋体" w:cs="宋体"/>
                <w:color w:val="auto"/>
                <w:kern w:val="0"/>
                <w:sz w:val="21"/>
                <w:szCs w:val="21"/>
                <w:lang w:val="en-US" w:eastAsia="zh-CN" w:bidi="ar"/>
              </w:rPr>
              <w:t>2、压力：</w:t>
            </w:r>
            <w:r>
              <w:rPr>
                <w:rFonts w:hint="eastAsia" w:ascii="宋体" w:hAnsi="宋体" w:eastAsia="宋体" w:cs="宋体"/>
                <w:color w:val="auto"/>
                <w:kern w:val="0"/>
                <w:sz w:val="21"/>
                <w:szCs w:val="21"/>
                <w:lang w:val="en-US" w:eastAsia="zh-CN" w:bidi="ar"/>
              </w:rPr>
              <w:t>至少覆盖</w:t>
            </w:r>
            <w:r>
              <w:rPr>
                <w:rFonts w:hint="default" w:ascii="宋体" w:hAnsi="宋体" w:eastAsia="宋体" w:cs="宋体"/>
                <w:color w:val="auto"/>
                <w:kern w:val="0"/>
                <w:sz w:val="21"/>
                <w:szCs w:val="21"/>
                <w:lang w:val="en-US" w:eastAsia="zh-CN" w:bidi="ar"/>
              </w:rPr>
              <w:t>(0～4)MPa</w:t>
            </w:r>
            <w:r>
              <w:rPr>
                <w:rFonts w:hint="eastAsia" w:ascii="宋体" w:hAnsi="宋体" w:eastAsia="宋体" w:cs="宋体"/>
                <w:color w:val="auto"/>
                <w:kern w:val="0"/>
                <w:sz w:val="21"/>
                <w:szCs w:val="21"/>
                <w:lang w:val="en-US" w:eastAsia="zh-CN" w:bidi="ar"/>
              </w:rPr>
              <w:t>；</w:t>
            </w:r>
          </w:p>
          <w:p w14:paraId="1138DB21">
            <w:pPr>
              <w:keepNext w:val="0"/>
              <w:keepLines w:val="0"/>
              <w:pageBreakBefore w:val="0"/>
              <w:widowControl/>
              <w:suppressLineNumbers w:val="0"/>
              <w:kinsoku/>
              <w:overflowPunct/>
              <w:topLinePunct w:val="0"/>
              <w:autoSpaceDE/>
              <w:autoSpaceDN/>
              <w:bidi w:val="0"/>
              <w:adjustRightInd/>
              <w:spacing w:before="0" w:beforeAutospacing="0" w:after="0" w:afterAutospacing="0" w:line="300" w:lineRule="auto"/>
              <w:ind w:left="0" w:right="0"/>
              <w:jc w:val="left"/>
              <w:textAlignment w:val="auto"/>
              <w:rPr>
                <w:rFonts w:hint="default" w:ascii="宋体" w:hAnsi="宋体" w:eastAsia="宋体" w:cs="宋体"/>
                <w:color w:val="auto"/>
                <w:kern w:val="0"/>
                <w:sz w:val="21"/>
                <w:szCs w:val="21"/>
                <w:lang w:val="en-US" w:eastAsia="zh-CN" w:bidi="ar"/>
              </w:rPr>
            </w:pPr>
            <w:r>
              <w:rPr>
                <w:rFonts w:hint="default" w:ascii="宋体" w:hAnsi="宋体" w:eastAsia="宋体" w:cs="宋体"/>
                <w:color w:val="auto"/>
                <w:kern w:val="0"/>
                <w:sz w:val="21"/>
                <w:szCs w:val="21"/>
                <w:lang w:val="en-US" w:eastAsia="zh-CN" w:bidi="ar"/>
              </w:rPr>
              <w:t>3、压力误差：±1%</w:t>
            </w:r>
            <w:r>
              <w:rPr>
                <w:rFonts w:hint="eastAsia" w:ascii="宋体" w:hAnsi="宋体" w:eastAsia="宋体" w:cs="宋体"/>
                <w:color w:val="auto"/>
                <w:kern w:val="0"/>
                <w:sz w:val="21"/>
                <w:szCs w:val="21"/>
                <w:lang w:val="en-US" w:eastAsia="zh-CN" w:bidi="ar"/>
              </w:rPr>
              <w:t>；</w:t>
            </w:r>
          </w:p>
          <w:p w14:paraId="011D65FD">
            <w:pPr>
              <w:keepNext w:val="0"/>
              <w:keepLines w:val="0"/>
              <w:pageBreakBefore w:val="0"/>
              <w:widowControl/>
              <w:suppressLineNumbers w:val="0"/>
              <w:kinsoku/>
              <w:overflowPunct/>
              <w:topLinePunct w:val="0"/>
              <w:autoSpaceDE/>
              <w:autoSpaceDN/>
              <w:bidi w:val="0"/>
              <w:adjustRightInd/>
              <w:spacing w:before="0" w:beforeAutospacing="0" w:after="0" w:afterAutospacing="0" w:line="300" w:lineRule="auto"/>
              <w:ind w:left="0" w:right="0"/>
              <w:jc w:val="left"/>
              <w:textAlignment w:val="auto"/>
              <w:rPr>
                <w:rFonts w:hint="default" w:ascii="宋体" w:hAnsi="宋体" w:eastAsia="宋体" w:cs="宋体"/>
                <w:color w:val="auto"/>
                <w:kern w:val="0"/>
                <w:sz w:val="21"/>
                <w:szCs w:val="21"/>
                <w:lang w:val="en-US" w:eastAsia="zh-CN" w:bidi="ar"/>
              </w:rPr>
            </w:pPr>
            <w:r>
              <w:rPr>
                <w:rFonts w:hint="default" w:ascii="宋体" w:hAnsi="宋体" w:eastAsia="宋体" w:cs="宋体"/>
                <w:color w:val="auto"/>
                <w:kern w:val="0"/>
                <w:sz w:val="21"/>
                <w:szCs w:val="21"/>
                <w:lang w:val="en-US" w:eastAsia="zh-CN" w:bidi="ar"/>
              </w:rPr>
              <w:t>4、振动频率控制范围：</w:t>
            </w:r>
            <w:r>
              <w:rPr>
                <w:rFonts w:hint="eastAsia" w:ascii="宋体" w:hAnsi="宋体" w:eastAsia="宋体" w:cs="宋体"/>
                <w:color w:val="auto"/>
                <w:kern w:val="0"/>
                <w:sz w:val="21"/>
                <w:szCs w:val="21"/>
                <w:lang w:val="en-US" w:eastAsia="zh-CN" w:bidi="ar"/>
              </w:rPr>
              <w:t>至少覆盖</w:t>
            </w:r>
            <w:r>
              <w:rPr>
                <w:rFonts w:hint="default" w:ascii="宋体" w:hAnsi="宋体" w:eastAsia="宋体" w:cs="宋体"/>
                <w:color w:val="auto"/>
                <w:kern w:val="0"/>
                <w:sz w:val="21"/>
                <w:szCs w:val="21"/>
                <w:lang w:val="en-US" w:eastAsia="zh-CN" w:bidi="ar"/>
              </w:rPr>
              <w:t>1Hz～10Hz</w:t>
            </w:r>
            <w:r>
              <w:rPr>
                <w:rFonts w:hint="eastAsia" w:ascii="宋体" w:hAnsi="宋体" w:eastAsia="宋体" w:cs="宋体"/>
                <w:color w:val="auto"/>
                <w:kern w:val="0"/>
                <w:sz w:val="21"/>
                <w:szCs w:val="21"/>
                <w:lang w:val="en-US" w:eastAsia="zh-CN" w:bidi="ar"/>
              </w:rPr>
              <w:t>；</w:t>
            </w:r>
          </w:p>
          <w:p w14:paraId="5B841767">
            <w:pPr>
              <w:keepNext w:val="0"/>
              <w:keepLines w:val="0"/>
              <w:pageBreakBefore w:val="0"/>
              <w:widowControl/>
              <w:suppressLineNumbers w:val="0"/>
              <w:kinsoku/>
              <w:overflowPunct/>
              <w:topLinePunct w:val="0"/>
              <w:autoSpaceDE/>
              <w:autoSpaceDN/>
              <w:bidi w:val="0"/>
              <w:adjustRightInd/>
              <w:spacing w:before="0" w:beforeAutospacing="0" w:after="0" w:afterAutospacing="0" w:line="300" w:lineRule="auto"/>
              <w:ind w:left="0" w:right="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5、振动频率：60次/min、200次/min、600次/min</w:t>
            </w:r>
            <w:r>
              <w:rPr>
                <w:rFonts w:hint="eastAsia" w:ascii="宋体" w:hAnsi="宋体" w:eastAsia="宋体" w:cs="宋体"/>
                <w:color w:val="auto"/>
                <w:szCs w:val="20"/>
                <w:lang w:eastAsia="zh-CN"/>
              </w:rPr>
              <w:t>；</w:t>
            </w:r>
          </w:p>
          <w:p w14:paraId="44323213">
            <w:pPr>
              <w:keepNext w:val="0"/>
              <w:keepLines w:val="0"/>
              <w:pageBreakBefore w:val="0"/>
              <w:widowControl/>
              <w:suppressLineNumbers w:val="0"/>
              <w:kinsoku/>
              <w:overflowPunct/>
              <w:topLinePunct w:val="0"/>
              <w:autoSpaceDE/>
              <w:autoSpaceDN/>
              <w:bidi w:val="0"/>
              <w:adjustRightInd/>
              <w:spacing w:before="0" w:beforeAutospacing="0" w:after="0" w:afterAutospacing="0" w:line="300" w:lineRule="auto"/>
              <w:ind w:left="0" w:right="0"/>
              <w:jc w:val="left"/>
              <w:textAlignment w:val="auto"/>
              <w:rPr>
                <w:rFonts w:hint="default" w:ascii="宋体" w:hAnsi="宋体" w:eastAsia="宋体" w:cs="宋体"/>
                <w:color w:val="auto"/>
                <w:kern w:val="0"/>
                <w:sz w:val="21"/>
                <w:szCs w:val="21"/>
                <w:lang w:val="en-US" w:eastAsia="zh-CN" w:bidi="ar"/>
              </w:rPr>
            </w:pPr>
            <w:r>
              <w:rPr>
                <w:rFonts w:hint="default" w:ascii="宋体" w:hAnsi="宋体" w:eastAsia="宋体" w:cs="宋体"/>
                <w:color w:val="auto"/>
                <w:kern w:val="0"/>
                <w:sz w:val="21"/>
                <w:szCs w:val="21"/>
                <w:lang w:val="en-US" w:eastAsia="zh-CN" w:bidi="ar"/>
              </w:rPr>
              <w:t>6、振幅：±2.5mm，可调节</w:t>
            </w:r>
            <w:r>
              <w:rPr>
                <w:rFonts w:hint="eastAsia" w:ascii="宋体" w:hAnsi="宋体" w:eastAsia="宋体" w:cs="宋体"/>
                <w:color w:val="auto"/>
                <w:kern w:val="0"/>
                <w:sz w:val="21"/>
                <w:szCs w:val="21"/>
                <w:lang w:val="en-US" w:eastAsia="zh-CN" w:bidi="ar"/>
              </w:rPr>
              <w:t>；</w:t>
            </w:r>
          </w:p>
          <w:p w14:paraId="47EC5906">
            <w:pPr>
              <w:keepNext w:val="0"/>
              <w:keepLines w:val="0"/>
              <w:pageBreakBefore w:val="0"/>
              <w:widowControl/>
              <w:suppressLineNumbers w:val="0"/>
              <w:kinsoku/>
              <w:overflowPunct/>
              <w:topLinePunct w:val="0"/>
              <w:autoSpaceDE/>
              <w:autoSpaceDN/>
              <w:bidi w:val="0"/>
              <w:adjustRightInd/>
              <w:spacing w:before="0" w:beforeAutospacing="0" w:after="0" w:afterAutospacing="0" w:line="300" w:lineRule="auto"/>
              <w:ind w:left="0" w:right="0"/>
              <w:jc w:val="left"/>
              <w:textAlignment w:val="auto"/>
              <w:rPr>
                <w:rFonts w:hint="default" w:ascii="宋体" w:hAnsi="宋体" w:eastAsia="宋体" w:cs="宋体"/>
                <w:color w:val="auto"/>
                <w:kern w:val="0"/>
                <w:sz w:val="21"/>
                <w:szCs w:val="21"/>
                <w:lang w:val="en-US" w:eastAsia="zh-CN" w:bidi="ar"/>
              </w:rPr>
            </w:pPr>
            <w:r>
              <w:rPr>
                <w:rFonts w:hint="default" w:ascii="宋体" w:hAnsi="宋体" w:eastAsia="宋体" w:cs="宋体"/>
                <w:color w:val="auto"/>
                <w:kern w:val="0"/>
                <w:sz w:val="21"/>
                <w:szCs w:val="21"/>
                <w:lang w:val="en-US" w:eastAsia="zh-CN" w:bidi="ar"/>
              </w:rPr>
              <w:t>7、管径适用范围</w:t>
            </w:r>
            <w:r>
              <w:rPr>
                <w:rFonts w:hint="eastAsia" w:ascii="宋体" w:hAnsi="宋体" w:eastAsia="宋体" w:cs="宋体"/>
                <w:color w:val="auto"/>
                <w:kern w:val="0"/>
                <w:sz w:val="21"/>
                <w:szCs w:val="21"/>
                <w:lang w:val="en-US" w:eastAsia="zh-CN" w:bidi="ar"/>
              </w:rPr>
              <w:t>至少覆</w:t>
            </w:r>
            <w:r>
              <w:rPr>
                <w:rFonts w:hint="default" w:ascii="宋体" w:hAnsi="宋体" w:eastAsia="宋体" w:cs="宋体"/>
                <w:color w:val="auto"/>
                <w:kern w:val="0"/>
                <w:sz w:val="21"/>
                <w:szCs w:val="21"/>
                <w:lang w:val="en-US" w:eastAsia="zh-CN" w:bidi="ar"/>
              </w:rPr>
              <w:t>：DN15～DN100</w:t>
            </w:r>
            <w:r>
              <w:rPr>
                <w:rFonts w:hint="eastAsia" w:ascii="宋体" w:hAnsi="宋体" w:eastAsia="宋体" w:cs="宋体"/>
                <w:color w:val="auto"/>
                <w:kern w:val="0"/>
                <w:sz w:val="21"/>
                <w:szCs w:val="21"/>
                <w:lang w:val="en-US" w:eastAsia="zh-CN" w:bidi="ar"/>
              </w:rPr>
              <w:t>；</w:t>
            </w:r>
          </w:p>
          <w:p w14:paraId="240713B6">
            <w:pPr>
              <w:keepNext w:val="0"/>
              <w:keepLines w:val="0"/>
              <w:pageBreakBefore w:val="0"/>
              <w:widowControl/>
              <w:suppressLineNumbers w:val="0"/>
              <w:kinsoku/>
              <w:overflowPunct/>
              <w:topLinePunct w:val="0"/>
              <w:autoSpaceDE/>
              <w:autoSpaceDN/>
              <w:bidi w:val="0"/>
              <w:adjustRightInd/>
              <w:spacing w:before="0" w:beforeAutospacing="0" w:after="0" w:afterAutospacing="0" w:line="300" w:lineRule="auto"/>
              <w:ind w:left="0" w:right="0"/>
              <w:jc w:val="left"/>
              <w:textAlignment w:val="auto"/>
              <w:rPr>
                <w:rFonts w:hint="default" w:ascii="宋体" w:hAnsi="宋体" w:eastAsia="宋体" w:cs="宋体"/>
                <w:color w:val="auto"/>
                <w:kern w:val="0"/>
                <w:sz w:val="21"/>
                <w:szCs w:val="21"/>
                <w:lang w:val="en-US" w:eastAsia="zh-CN" w:bidi="ar"/>
              </w:rPr>
            </w:pPr>
            <w:r>
              <w:rPr>
                <w:rFonts w:hint="default" w:ascii="宋体" w:hAnsi="宋体" w:eastAsia="宋体" w:cs="宋体"/>
                <w:color w:val="auto"/>
                <w:kern w:val="0"/>
                <w:sz w:val="21"/>
                <w:szCs w:val="21"/>
                <w:lang w:val="en-US" w:eastAsia="zh-CN" w:bidi="ar"/>
              </w:rPr>
              <w:t>8、振动次数：</w:t>
            </w:r>
            <w:r>
              <w:rPr>
                <w:rFonts w:hint="eastAsia" w:ascii="宋体" w:hAnsi="宋体" w:eastAsia="宋体" w:cs="宋体"/>
                <w:color w:val="auto"/>
                <w:kern w:val="0"/>
                <w:sz w:val="21"/>
                <w:szCs w:val="21"/>
                <w:lang w:val="en-US" w:eastAsia="zh-CN" w:bidi="ar"/>
              </w:rPr>
              <w:t>≥</w:t>
            </w:r>
            <w:r>
              <w:rPr>
                <w:rFonts w:hint="default" w:ascii="宋体" w:hAnsi="宋体" w:eastAsia="宋体" w:cs="宋体"/>
                <w:color w:val="auto"/>
                <w:kern w:val="0"/>
                <w:sz w:val="21"/>
                <w:szCs w:val="21"/>
                <w:lang w:val="en-US" w:eastAsia="zh-CN" w:bidi="ar"/>
              </w:rPr>
              <w:t>100万次</w:t>
            </w:r>
            <w:r>
              <w:rPr>
                <w:rFonts w:hint="eastAsia" w:ascii="宋体" w:hAnsi="宋体" w:eastAsia="宋体" w:cs="宋体"/>
                <w:color w:val="auto"/>
                <w:kern w:val="0"/>
                <w:sz w:val="21"/>
                <w:szCs w:val="21"/>
                <w:lang w:val="en-US" w:eastAsia="zh-CN" w:bidi="ar"/>
              </w:rPr>
              <w:t>；</w:t>
            </w:r>
          </w:p>
          <w:p w14:paraId="1CD31D97">
            <w:pPr>
              <w:keepNext w:val="0"/>
              <w:keepLines w:val="0"/>
              <w:pageBreakBefore w:val="0"/>
              <w:widowControl/>
              <w:suppressLineNumbers w:val="0"/>
              <w:kinsoku/>
              <w:overflowPunct/>
              <w:topLinePunct w:val="0"/>
              <w:autoSpaceDE/>
              <w:autoSpaceDN/>
              <w:bidi w:val="0"/>
              <w:adjustRightInd/>
              <w:spacing w:before="0" w:beforeAutospacing="0" w:after="0" w:afterAutospacing="0" w:line="300" w:lineRule="auto"/>
              <w:ind w:left="0" w:right="0"/>
              <w:jc w:val="left"/>
              <w:textAlignment w:val="auto"/>
              <w:rPr>
                <w:rFonts w:hint="default" w:ascii="宋体" w:hAnsi="宋体" w:eastAsia="宋体" w:cs="宋体"/>
                <w:color w:val="auto"/>
                <w:kern w:val="0"/>
                <w:sz w:val="21"/>
                <w:szCs w:val="21"/>
                <w:lang w:val="en-US" w:eastAsia="zh-CN" w:bidi="ar"/>
              </w:rPr>
            </w:pPr>
            <w:r>
              <w:rPr>
                <w:rFonts w:hint="default" w:ascii="宋体" w:hAnsi="宋体" w:eastAsia="宋体" w:cs="宋体"/>
                <w:color w:val="auto"/>
                <w:kern w:val="0"/>
                <w:sz w:val="21"/>
                <w:szCs w:val="21"/>
                <w:lang w:val="en-US" w:eastAsia="zh-CN" w:bidi="ar"/>
              </w:rPr>
              <w:t>四、主要配置</w:t>
            </w:r>
          </w:p>
          <w:p w14:paraId="53F23F2E">
            <w:pPr>
              <w:keepNext w:val="0"/>
              <w:keepLines w:val="0"/>
              <w:pageBreakBefore w:val="0"/>
              <w:widowControl/>
              <w:suppressLineNumbers w:val="0"/>
              <w:kinsoku/>
              <w:overflowPunct/>
              <w:topLinePunct w:val="0"/>
              <w:autoSpaceDE/>
              <w:autoSpaceDN/>
              <w:bidi w:val="0"/>
              <w:adjustRightInd/>
              <w:spacing w:before="0" w:beforeAutospacing="0" w:after="0" w:afterAutospacing="0" w:line="300" w:lineRule="auto"/>
              <w:ind w:left="0" w:right="0"/>
              <w:jc w:val="left"/>
              <w:textAlignment w:val="auto"/>
              <w:rPr>
                <w:rFonts w:hint="default" w:ascii="宋体" w:hAnsi="宋体" w:eastAsia="宋体" w:cs="宋体"/>
                <w:color w:val="auto"/>
                <w:kern w:val="0"/>
                <w:sz w:val="21"/>
                <w:szCs w:val="21"/>
                <w:lang w:val="en-US" w:eastAsia="zh-CN" w:bidi="ar"/>
              </w:rPr>
            </w:pPr>
            <w:r>
              <w:rPr>
                <w:rFonts w:hint="default" w:ascii="宋体" w:hAnsi="宋体" w:eastAsia="宋体" w:cs="宋体"/>
                <w:color w:val="auto"/>
                <w:kern w:val="0"/>
                <w:sz w:val="21"/>
                <w:szCs w:val="21"/>
                <w:lang w:val="en-US" w:eastAsia="zh-CN" w:bidi="ar"/>
              </w:rPr>
              <w:t>1、水压振动试验机试验台主机1台</w:t>
            </w:r>
            <w:r>
              <w:rPr>
                <w:rFonts w:hint="eastAsia" w:ascii="宋体" w:hAnsi="宋体" w:eastAsia="宋体" w:cs="宋体"/>
                <w:color w:val="auto"/>
                <w:kern w:val="0"/>
                <w:sz w:val="21"/>
                <w:szCs w:val="21"/>
                <w:lang w:val="en-US" w:eastAsia="zh-CN" w:bidi="ar"/>
              </w:rPr>
              <w:t>；</w:t>
            </w:r>
          </w:p>
          <w:p w14:paraId="754AEB9B">
            <w:pPr>
              <w:keepNext w:val="0"/>
              <w:keepLines w:val="0"/>
              <w:pageBreakBefore w:val="0"/>
              <w:widowControl/>
              <w:suppressLineNumbers w:val="0"/>
              <w:kinsoku/>
              <w:overflowPunct/>
              <w:topLinePunct w:val="0"/>
              <w:autoSpaceDE/>
              <w:autoSpaceDN/>
              <w:bidi w:val="0"/>
              <w:adjustRightInd/>
              <w:spacing w:before="0" w:beforeAutospacing="0" w:after="0" w:afterAutospacing="0" w:line="300" w:lineRule="auto"/>
              <w:ind w:left="0" w:right="0"/>
              <w:jc w:val="left"/>
              <w:textAlignment w:val="auto"/>
              <w:rPr>
                <w:rFonts w:hint="default" w:ascii="宋体" w:hAnsi="宋体" w:eastAsia="宋体" w:cs="宋体"/>
                <w:color w:val="auto"/>
                <w:kern w:val="0"/>
                <w:sz w:val="21"/>
                <w:szCs w:val="21"/>
                <w:lang w:val="en-US" w:eastAsia="zh-CN" w:bidi="ar"/>
              </w:rPr>
            </w:pPr>
            <w:r>
              <w:rPr>
                <w:rFonts w:hint="default" w:ascii="宋体" w:hAnsi="宋体" w:eastAsia="宋体" w:cs="宋体"/>
                <w:color w:val="auto"/>
                <w:kern w:val="0"/>
                <w:sz w:val="21"/>
                <w:szCs w:val="21"/>
                <w:lang w:val="en-US" w:eastAsia="zh-CN" w:bidi="ar"/>
              </w:rPr>
              <w:t>2、试样转接头1套</w:t>
            </w:r>
            <w:r>
              <w:rPr>
                <w:rFonts w:hint="eastAsia" w:ascii="宋体" w:hAnsi="宋体" w:eastAsia="宋体" w:cs="宋体"/>
                <w:color w:val="auto"/>
                <w:kern w:val="0"/>
                <w:sz w:val="21"/>
                <w:szCs w:val="21"/>
                <w:lang w:val="en-US" w:eastAsia="zh-CN" w:bidi="ar"/>
              </w:rPr>
              <w:t>；</w:t>
            </w:r>
          </w:p>
          <w:p w14:paraId="16AF3C34">
            <w:pPr>
              <w:keepNext w:val="0"/>
              <w:keepLines w:val="0"/>
              <w:pageBreakBefore w:val="0"/>
              <w:widowControl/>
              <w:suppressLineNumbers w:val="0"/>
              <w:kinsoku/>
              <w:overflowPunct/>
              <w:topLinePunct w:val="0"/>
              <w:autoSpaceDE/>
              <w:autoSpaceDN/>
              <w:bidi w:val="0"/>
              <w:adjustRightInd/>
              <w:spacing w:before="0" w:beforeAutospacing="0" w:after="0" w:afterAutospacing="0" w:line="300" w:lineRule="auto"/>
              <w:ind w:left="0" w:right="0"/>
              <w:jc w:val="left"/>
              <w:textAlignment w:val="auto"/>
              <w:rPr>
                <w:rFonts w:hint="default" w:ascii="宋体" w:hAnsi="宋体" w:eastAsia="宋体" w:cs="宋体"/>
                <w:color w:val="auto"/>
                <w:kern w:val="0"/>
                <w:sz w:val="21"/>
                <w:szCs w:val="21"/>
                <w:lang w:val="en-US" w:eastAsia="zh-CN" w:bidi="ar"/>
              </w:rPr>
            </w:pPr>
            <w:r>
              <w:rPr>
                <w:rFonts w:hint="default" w:ascii="宋体" w:hAnsi="宋体" w:eastAsia="宋体" w:cs="宋体"/>
                <w:color w:val="auto"/>
                <w:kern w:val="0"/>
                <w:sz w:val="21"/>
                <w:szCs w:val="21"/>
                <w:lang w:val="en-US" w:eastAsia="zh-CN" w:bidi="ar"/>
              </w:rPr>
              <w:t>3、高压水线总成1根</w:t>
            </w:r>
            <w:r>
              <w:rPr>
                <w:rFonts w:hint="eastAsia" w:ascii="宋体" w:hAnsi="宋体" w:eastAsia="宋体" w:cs="宋体"/>
                <w:color w:val="auto"/>
                <w:kern w:val="0"/>
                <w:sz w:val="21"/>
                <w:szCs w:val="21"/>
                <w:lang w:val="en-US" w:eastAsia="zh-CN" w:bidi="ar"/>
              </w:rPr>
              <w:t>；</w:t>
            </w:r>
          </w:p>
          <w:p w14:paraId="74CA40B1">
            <w:pPr>
              <w:keepNext w:val="0"/>
              <w:keepLines w:val="0"/>
              <w:pageBreakBefore w:val="0"/>
              <w:widowControl/>
              <w:suppressLineNumbers w:val="0"/>
              <w:kinsoku/>
              <w:overflowPunct/>
              <w:topLinePunct w:val="0"/>
              <w:autoSpaceDE/>
              <w:autoSpaceDN/>
              <w:bidi w:val="0"/>
              <w:adjustRightInd/>
              <w:spacing w:before="0" w:beforeAutospacing="0" w:after="0" w:afterAutospacing="0" w:line="300" w:lineRule="auto"/>
              <w:ind w:left="0" w:right="0"/>
              <w:jc w:val="left"/>
              <w:textAlignment w:val="auto"/>
              <w:rPr>
                <w:rFonts w:hint="eastAsia" w:ascii="宋体" w:hAnsi="宋体" w:eastAsia="宋体" w:cs="宋体"/>
                <w:bCs/>
                <w:color w:val="auto"/>
                <w:sz w:val="21"/>
                <w:szCs w:val="21"/>
                <w:highlight w:val="none"/>
              </w:rPr>
            </w:pPr>
            <w:r>
              <w:rPr>
                <w:rFonts w:hint="default" w:ascii="宋体" w:hAnsi="宋体" w:eastAsia="宋体" w:cs="宋体"/>
                <w:color w:val="auto"/>
                <w:kern w:val="0"/>
                <w:sz w:val="21"/>
                <w:szCs w:val="21"/>
                <w:lang w:val="en-US" w:eastAsia="zh-CN" w:bidi="ar"/>
              </w:rPr>
              <w:t>4、试样固定装置1套</w:t>
            </w:r>
            <w:r>
              <w:rPr>
                <w:rFonts w:hint="eastAsia" w:ascii="宋体" w:hAnsi="宋体" w:eastAsia="宋体" w:cs="宋体"/>
                <w:color w:val="auto"/>
                <w:kern w:val="0"/>
                <w:sz w:val="21"/>
                <w:szCs w:val="21"/>
                <w:lang w:val="en-US" w:eastAsia="zh-CN" w:bidi="ar"/>
              </w:rPr>
              <w:t>。</w:t>
            </w:r>
          </w:p>
        </w:tc>
        <w:tc>
          <w:tcPr>
            <w:tcW w:w="633" w:type="pct"/>
            <w:vAlign w:val="center"/>
          </w:tcPr>
          <w:p w14:paraId="530DDB20">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1套</w:t>
            </w:r>
          </w:p>
        </w:tc>
        <w:tc>
          <w:tcPr>
            <w:tcW w:w="475" w:type="pct"/>
            <w:vAlign w:val="center"/>
          </w:tcPr>
          <w:p w14:paraId="0DFA498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工业</w:t>
            </w:r>
          </w:p>
        </w:tc>
      </w:tr>
      <w:tr w14:paraId="6A2AA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46" w:type="pct"/>
            <w:shd w:val="clear" w:color="auto" w:fill="auto"/>
            <w:vAlign w:val="center"/>
          </w:tcPr>
          <w:p w14:paraId="60271A7D">
            <w:pPr>
              <w:keepNext w:val="0"/>
              <w:keepLines w:val="0"/>
              <w:pageBreakBefore w:val="0"/>
              <w:numPr>
                <w:ilvl w:val="0"/>
                <w:numId w:val="1"/>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p>
        </w:tc>
        <w:tc>
          <w:tcPr>
            <w:tcW w:w="638" w:type="pct"/>
            <w:vAlign w:val="center"/>
          </w:tcPr>
          <w:p w14:paraId="196F054B">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center"/>
              <w:textAlignment w:val="auto"/>
              <w:rPr>
                <w:rFonts w:hint="eastAsia" w:ascii="宋体" w:hAnsi="宋体" w:eastAsia="宋体"/>
                <w:b w:val="0"/>
                <w:bCs w:val="0"/>
                <w:color w:val="auto"/>
                <w:sz w:val="21"/>
                <w:szCs w:val="21"/>
                <w:highlight w:val="none"/>
              </w:rPr>
            </w:pPr>
            <w:r>
              <w:rPr>
                <w:rFonts w:hint="eastAsia" w:ascii="宋体" w:hAnsi="宋体" w:eastAsia="宋体"/>
                <w:b w:val="0"/>
                <w:bCs w:val="0"/>
                <w:color w:val="auto"/>
                <w:sz w:val="21"/>
                <w:szCs w:val="21"/>
                <w:highlight w:val="none"/>
              </w:rPr>
              <w:t>螺纹规</w:t>
            </w:r>
          </w:p>
        </w:tc>
        <w:tc>
          <w:tcPr>
            <w:tcW w:w="2905" w:type="pct"/>
            <w:vAlign w:val="center"/>
          </w:tcPr>
          <w:p w14:paraId="5983961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一、主要用途：金属管材管件螺纹尺寸测量</w:t>
            </w:r>
          </w:p>
          <w:p w14:paraId="3B3DCD3F">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二、依据标准：</w:t>
            </w:r>
            <w:r>
              <w:rPr>
                <w:rFonts w:hint="eastAsia" w:ascii="宋体" w:hAnsi="宋体" w:eastAsia="宋体" w:cs="宋体"/>
                <w:bCs/>
                <w:color w:val="auto"/>
                <w:kern w:val="2"/>
                <w:sz w:val="21"/>
                <w:szCs w:val="21"/>
                <w:highlight w:val="none"/>
                <w:lang w:val="en-US" w:eastAsia="zh-CN" w:bidi="ar-SA"/>
              </w:rPr>
              <w:t>符合</w:t>
            </w:r>
            <w:r>
              <w:rPr>
                <w:rFonts w:hint="eastAsia" w:ascii="宋体" w:hAnsi="宋体" w:eastAsia="宋体" w:cs="宋体"/>
                <w:bCs/>
                <w:color w:val="auto"/>
                <w:kern w:val="2"/>
                <w:sz w:val="21"/>
                <w:szCs w:val="21"/>
                <w:highlight w:val="none"/>
                <w:lang w:val="zh-CN" w:eastAsia="zh-CN" w:bidi="ar-SA"/>
              </w:rPr>
              <w:t>AS 3688：2016、ASME A112.18.1-2024、CSA B125.1-24、ASME A112.18.6-2017、CSA B125.6-17、ISO 228-1-2000、ISO 7-1-1994、ASME B1.20.1-2013(R2018)、ISO 1502：1996、GB/T 10922-20</w:t>
            </w:r>
            <w:r>
              <w:rPr>
                <w:rFonts w:hint="eastAsia" w:ascii="宋体" w:hAnsi="宋体" w:eastAsia="宋体" w:cs="宋体"/>
                <w:bCs/>
                <w:color w:val="auto"/>
                <w:kern w:val="2"/>
                <w:sz w:val="21"/>
                <w:szCs w:val="21"/>
                <w:highlight w:val="none"/>
                <w:lang w:val="en-US" w:eastAsia="zh-CN" w:bidi="ar-SA"/>
              </w:rPr>
              <w:t>25</w:t>
            </w:r>
            <w:r>
              <w:rPr>
                <w:rFonts w:hint="eastAsia" w:ascii="宋体" w:hAnsi="宋体" w:eastAsia="宋体" w:cs="宋体"/>
                <w:bCs/>
                <w:color w:val="auto"/>
                <w:kern w:val="2"/>
                <w:sz w:val="21"/>
                <w:szCs w:val="21"/>
                <w:highlight w:val="none"/>
                <w:lang w:val="zh-CN" w:eastAsia="zh-CN" w:bidi="ar-SA"/>
              </w:rPr>
              <w:t>、GB/T 7306-2000、GB/T 12716-2011、GB/T 3934-20</w:t>
            </w:r>
            <w:r>
              <w:rPr>
                <w:rFonts w:hint="eastAsia" w:ascii="宋体" w:hAnsi="宋体" w:eastAsia="宋体" w:cs="宋体"/>
                <w:bCs/>
                <w:color w:val="auto"/>
                <w:kern w:val="2"/>
                <w:sz w:val="21"/>
                <w:szCs w:val="21"/>
                <w:highlight w:val="none"/>
                <w:lang w:val="en-US" w:eastAsia="zh-CN" w:bidi="ar-SA"/>
              </w:rPr>
              <w:t>25</w:t>
            </w:r>
            <w:r>
              <w:rPr>
                <w:rFonts w:hint="eastAsia" w:ascii="宋体" w:hAnsi="宋体" w:eastAsia="宋体" w:cs="宋体"/>
                <w:bCs/>
                <w:color w:val="auto"/>
                <w:kern w:val="2"/>
                <w:sz w:val="21"/>
                <w:szCs w:val="21"/>
                <w:highlight w:val="none"/>
                <w:lang w:val="zh-CN" w:eastAsia="zh-CN" w:bidi="ar-SA"/>
              </w:rPr>
              <w:t>标准中对设备的要求</w:t>
            </w:r>
          </w:p>
          <w:p w14:paraId="009ECB1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三、技术指标</w:t>
            </w:r>
          </w:p>
          <w:p w14:paraId="1F4E260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1、G螺纹塞规：G1/16、G1/8、G1/4、G3/8、G1/2、G5/8、G3/4、G7/8、G1、G1 1/4、G1 1/2、G2、G2 1/2、G3、G4（符合ISO 228-1-2000标准）</w:t>
            </w:r>
          </w:p>
          <w:p w14:paraId="4CABBBF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2、G螺纹环规：G1/16、G1/8、G1/4、G3/8、G1/2、G5/8、G3/4、G7/8、G1、G1 1/4、G1 1/2、G2、G2 1/2、G3、G4（符合ISO 228-1-2000止端B级标准）</w:t>
            </w:r>
          </w:p>
          <w:p w14:paraId="505DDBB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3、R螺纹规：R1/8、R1/4、R3/8、R1/2、R3/4、R1、R1 1/4、R1 1/2、R2、R2 1/2、R3、R4（符合ISO 7-1-1994标准）</w:t>
            </w:r>
          </w:p>
          <w:p w14:paraId="05CFAC0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4、Rc螺纹规：Rc1/8、Rc1/4、Rc3/8、Rc1/2、Rc3/4、Rc1、Rc1 1/4、Rc1 1/2、Rc2、Rc2 1/2、Rc3、Rc4（符合ISO 7-1-1994标准）</w:t>
            </w:r>
          </w:p>
          <w:p w14:paraId="3CD69FD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5、Rp螺纹规：Rp1/8、Rp1/4、Rp3/8、Rp1/2、Rp3/4、Rp1、Rp1 1/4、Rp1 1/2、Rp2、Rp2 1/2、Rp3、Rp4（符合ISO 7-1-1994标准）</w:t>
            </w:r>
          </w:p>
          <w:p w14:paraId="60FCC00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6、NPT螺纹塞规：NPT 1/8-27、NPT 1/4-18、NPT 3/8-18、NPT 1/2-14、NPT 3/4-14、NPT 1-11.5、NPT 1 1/4-11.5、NPT 1 1/2-11.5、NPT 2-11.5、NPT 2 1/2-8、NPT 3-8、NPT 4-8（符合ASME B1.20.1-2013(R2018)标准）</w:t>
            </w:r>
          </w:p>
          <w:p w14:paraId="3776C8A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7、NPT螺纹环规：NPT 1/8-27、NPT 1/4-18、NPT 3/8-18、NPT 1/2-14、NPT 3/4-14、NPT 1-11.5、NPT 1 1/4-11.5、NPT 1 1/2-11.5、NPT 2-11.5、NPT 2 1/2-8、NPT 3-8、NPT 4-8（符合ASME B1.20.1-2013(R2018)标准）</w:t>
            </w:r>
          </w:p>
          <w:p w14:paraId="7DCE105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8、NPSM螺纹塞规：NPSM 1/8-27、NPSM 1/4-18、NPSM 3/8-18、NPSM 1/2-14、NPSM 3/4-14、NPSM 1-11.5、NPSM 1 1/4-11.5、NPSM 1 1/2-11.5、NPSM 2-11.5、NPSM 2 1/2-8、NPSM 3-8、NPSM 4-8（符合ASME B1.20.1-2013(R2018)标准）</w:t>
            </w:r>
          </w:p>
          <w:p w14:paraId="49F9DBB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9、NPSM螺纹环规：NPSM 1/8-27、NPSM 1/4-18、NPSM 3/8-18、NPSM 1/2-14、NPSM 3/4-14、NPSM 1-11.5、NPSM 1 1/4-11.5、NPSM 1 1/2-11.5、NPSM 2-11.5、NPSM 2 1/2-8、NPSM 3-8、NPSM 4-8（符合ASME B1.20.1-2013(R2018)标准）</w:t>
            </w:r>
          </w:p>
          <w:p w14:paraId="4A2C764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10、公制M螺纹塞规：M6-6H、M6×1-6H、M8-6H、M8×1-6H、M10-6H、M10×1-6H、M12-6H、M12×1-6H、M15-6H、M15×1-6H（符合ISO 1502:1996标准）</w:t>
            </w:r>
          </w:p>
          <w:p w14:paraId="0F5E9AE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11、公制M螺纹环规：M6-6g、M6×1-6g、M8-6g、M8×1-6g、M10-6g、M10×1-6g、M12-6g、M12×1-6g、M15-6g、M15×1-6g（符合ISO 1502:1996标准）</w:t>
            </w:r>
          </w:p>
          <w:p w14:paraId="4DB2AF4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
                <w:bCs w:val="0"/>
                <w:color w:val="auto"/>
                <w:kern w:val="2"/>
                <w:sz w:val="21"/>
                <w:szCs w:val="21"/>
                <w:highlight w:val="none"/>
                <w:lang w:val="zh-CN" w:eastAsia="zh-CN" w:bidi="ar-SA"/>
              </w:rPr>
              <w:t>★</w:t>
            </w:r>
            <w:r>
              <w:rPr>
                <w:rFonts w:hint="eastAsia" w:ascii="宋体" w:hAnsi="宋体" w:eastAsia="宋体" w:cs="宋体"/>
                <w:b/>
                <w:bCs w:val="0"/>
                <w:color w:val="auto"/>
                <w:kern w:val="2"/>
                <w:sz w:val="21"/>
                <w:szCs w:val="21"/>
                <w:highlight w:val="none"/>
                <w:lang w:val="en-US" w:eastAsia="zh-CN" w:bidi="ar-SA"/>
              </w:rPr>
              <w:t>12、合同签订后、验收前提供符合以上所有标准要求的量值溯源方案（投标文件中提供书面承诺，格式自拟）。</w:t>
            </w:r>
          </w:p>
          <w:p w14:paraId="7DFBB0E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四、主要配置</w:t>
            </w:r>
          </w:p>
          <w:p w14:paraId="54FF3C0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1、G螺纹塞规1套（15付）；</w:t>
            </w:r>
          </w:p>
          <w:p w14:paraId="79C0FBB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2、G螺纹环规1套（15付）；</w:t>
            </w:r>
          </w:p>
          <w:p w14:paraId="7276E18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3、R螺纹规1套（12付）；</w:t>
            </w:r>
          </w:p>
          <w:p w14:paraId="14B7310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4、Rc螺纹规1套（12付）；</w:t>
            </w:r>
          </w:p>
          <w:p w14:paraId="47BBE2D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5、Rp螺纹规1套（12付）；</w:t>
            </w:r>
          </w:p>
          <w:p w14:paraId="55685FF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6、NPT螺纹塞规1套（12付）；</w:t>
            </w:r>
          </w:p>
          <w:p w14:paraId="42DF673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7、NPT螺纹环规1套（12付）；</w:t>
            </w:r>
          </w:p>
          <w:p w14:paraId="2C45621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8、NPSM螺纹塞规1套（12付）；</w:t>
            </w:r>
          </w:p>
          <w:p w14:paraId="0B92B0A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9、NPSM螺纹环规1套（12付）；</w:t>
            </w:r>
          </w:p>
          <w:p w14:paraId="1F6FCB2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10、公制 M 螺纹塞规1套（10付）；</w:t>
            </w:r>
          </w:p>
          <w:p w14:paraId="04F3F99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kern w:val="2"/>
                <w:sz w:val="21"/>
                <w:szCs w:val="21"/>
                <w:highlight w:val="none"/>
                <w:lang w:val="zh-CN" w:eastAsia="zh-CN" w:bidi="ar-SA"/>
              </w:rPr>
              <w:t>11、公制 M 螺纹环规1套（10付）。</w:t>
            </w:r>
          </w:p>
        </w:tc>
        <w:tc>
          <w:tcPr>
            <w:tcW w:w="633" w:type="pct"/>
            <w:vAlign w:val="center"/>
          </w:tcPr>
          <w:p w14:paraId="684DC435">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jc w:val="center"/>
              <w:textAlignment w:val="auto"/>
              <w:rPr>
                <w:rFonts w:hint="default"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eastAsia="zh-CN"/>
              </w:rPr>
              <w:t xml:space="preserve">1套 </w:t>
            </w:r>
          </w:p>
        </w:tc>
        <w:tc>
          <w:tcPr>
            <w:tcW w:w="475" w:type="pct"/>
            <w:vAlign w:val="center"/>
          </w:tcPr>
          <w:p w14:paraId="4DE5F4FC">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工业</w:t>
            </w:r>
          </w:p>
        </w:tc>
      </w:tr>
      <w:tr w14:paraId="0B23B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46" w:type="pct"/>
            <w:shd w:val="clear" w:color="auto" w:fill="auto"/>
            <w:vAlign w:val="center"/>
          </w:tcPr>
          <w:p w14:paraId="005F9525">
            <w:pPr>
              <w:keepNext w:val="0"/>
              <w:keepLines w:val="0"/>
              <w:pageBreakBefore w:val="0"/>
              <w:numPr>
                <w:ilvl w:val="0"/>
                <w:numId w:val="1"/>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p>
        </w:tc>
        <w:tc>
          <w:tcPr>
            <w:tcW w:w="638" w:type="pct"/>
            <w:vAlign w:val="center"/>
          </w:tcPr>
          <w:p w14:paraId="0BAA6078">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center"/>
              <w:textAlignment w:val="auto"/>
              <w:rPr>
                <w:rFonts w:hint="eastAsia" w:ascii="宋体" w:hAnsi="宋体" w:eastAsia="宋体"/>
                <w:b w:val="0"/>
                <w:bCs w:val="0"/>
                <w:color w:val="auto"/>
                <w:sz w:val="21"/>
                <w:szCs w:val="21"/>
                <w:highlight w:val="none"/>
              </w:rPr>
            </w:pPr>
            <w:r>
              <w:rPr>
                <w:rFonts w:hint="eastAsia" w:ascii="宋体" w:hAnsi="宋体" w:eastAsia="宋体" w:cs="宋体"/>
                <w:b w:val="0"/>
                <w:bCs w:val="0"/>
                <w:color w:val="auto"/>
                <w:sz w:val="21"/>
                <w:szCs w:val="21"/>
                <w:highlight w:val="none"/>
              </w:rPr>
              <w:t>▲总有机碳分析仪</w:t>
            </w:r>
          </w:p>
        </w:tc>
        <w:tc>
          <w:tcPr>
            <w:tcW w:w="2905" w:type="pct"/>
            <w:vAlign w:val="center"/>
          </w:tcPr>
          <w:p w14:paraId="477BBF2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一、主要用途：用于超纯水、生活饮用水等水样中总有机碳含量的测定</w:t>
            </w:r>
          </w:p>
          <w:p w14:paraId="5A4BF41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二、依据标准：符合GB/T 5750.7-2023</w:t>
            </w:r>
            <w:r>
              <w:rPr>
                <w:rFonts w:hint="eastAsia" w:ascii="宋体" w:hAnsi="宋体" w:eastAsia="宋体" w:cs="宋体"/>
                <w:bCs/>
                <w:color w:val="auto"/>
                <w:kern w:val="2"/>
                <w:sz w:val="21"/>
                <w:szCs w:val="21"/>
                <w:highlight w:val="none"/>
                <w:lang w:val="zh-CN" w:eastAsia="zh-CN" w:bidi="ar-SA"/>
              </w:rPr>
              <w:t>标准中对设备的要求</w:t>
            </w:r>
          </w:p>
          <w:p w14:paraId="6CA219F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三、技术指标：</w:t>
            </w:r>
          </w:p>
          <w:p w14:paraId="14D4327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微软简标宋"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总有机碳（TOC）分析仪包括下列单元：反应单元、NDIR检测器系统、电子气路控制系统、软件及控制系统</w:t>
            </w:r>
            <w:r>
              <w:rPr>
                <w:rFonts w:hint="eastAsia" w:ascii="宋体" w:hAnsi="宋体" w:eastAsia="宋体" w:cs="宋体"/>
                <w:color w:val="auto"/>
                <w:kern w:val="2"/>
                <w:sz w:val="21"/>
                <w:szCs w:val="24"/>
                <w:lang w:val="zh-CN" w:eastAsia="zh-CN" w:bidi="ar-SA"/>
              </w:rPr>
              <w:t>；</w:t>
            </w:r>
          </w:p>
          <w:p w14:paraId="5CE40F5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★1、氧化方式为双波长（254nm和185nm）紫外和过硫酸盐双重氧化。</w:t>
            </w:r>
            <w:r>
              <w:rPr>
                <w:rFonts w:hint="eastAsia" w:ascii="宋体" w:hAnsi="宋体" w:eastAsia="宋体" w:cs="宋体"/>
                <w:b/>
                <w:bCs/>
                <w:color w:val="auto"/>
                <w:kern w:val="2"/>
                <w:sz w:val="21"/>
                <w:szCs w:val="21"/>
                <w:highlight w:val="none"/>
                <w:lang w:val="en-US" w:eastAsia="zh-CN" w:bidi="ar-SA"/>
              </w:rPr>
              <w:t>投标文件中提供紫外反应池实物图片；</w:t>
            </w:r>
          </w:p>
          <w:p w14:paraId="67645CE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2、催化单元：实际加热温度≥80℃；</w:t>
            </w:r>
          </w:p>
          <w:p w14:paraId="404CC11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3、检测器系统：</w:t>
            </w:r>
          </w:p>
          <w:p w14:paraId="56E71210">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firstLine="0" w:firstLineChars="0"/>
              <w:jc w:val="both"/>
              <w:textAlignment w:val="auto"/>
              <w:rPr>
                <w:rFonts w:hint="eastAsia"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lang w:val="en-US" w:eastAsia="zh-CN" w:bidi="ar-SA"/>
              </w:rPr>
              <w:t>(1)</w:t>
            </w:r>
            <w:r>
              <w:rPr>
                <w:rFonts w:hint="eastAsia" w:ascii="宋体" w:hAnsi="宋体" w:eastAsia="宋体" w:cs="宋体"/>
                <w:color w:val="auto"/>
                <w:kern w:val="2"/>
                <w:sz w:val="21"/>
                <w:szCs w:val="21"/>
                <w:highlight w:val="none"/>
                <w:lang w:val="en-US" w:eastAsia="zh-CN" w:bidi="ar-SA"/>
              </w:rPr>
              <w:t>非色散红外检测器（NDIR）；</w:t>
            </w:r>
          </w:p>
          <w:p w14:paraId="67734E8F">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firstLine="0" w:firstLineChars="0"/>
              <w:jc w:val="both"/>
              <w:textAlignment w:val="auto"/>
              <w:rPr>
                <w:rFonts w:hint="eastAsia"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eastAsia="zh-CN" w:bidi="ar-SA"/>
              </w:rPr>
              <w:t>重现性：TOC≤1%；</w:t>
            </w:r>
          </w:p>
          <w:p w14:paraId="711524CF">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firstLine="0" w:firstLineChars="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★（3）设备分析精度要求：可实现同一浓度不同体积绘制标准曲线，以500ppb的标准样品为基准液，设备测量0mL、0.2mL、0.4mL、0.6mL、0.8mL和1.0mL基准液得出标准曲线，要求相关线性系数＞0.999</w:t>
            </w:r>
            <w:r>
              <w:rPr>
                <w:rFonts w:hint="eastAsia" w:ascii="宋体" w:hAnsi="宋体" w:eastAsia="宋体" w:cs="宋体"/>
                <w:b/>
                <w:bCs/>
                <w:color w:val="auto"/>
                <w:kern w:val="2"/>
                <w:sz w:val="21"/>
                <w:szCs w:val="21"/>
                <w:highlight w:val="none"/>
                <w:lang w:val="en-US" w:eastAsia="zh-CN" w:bidi="ar-SA"/>
              </w:rPr>
              <w:t>（投标文件中提供实验软件结果截图证明，佐证相关线性系数＞0.999）；</w:t>
            </w:r>
          </w:p>
          <w:p w14:paraId="7514D0D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eastAsia="zh-CN" w:bidi="ar-SA"/>
              </w:rPr>
              <w:t>采用Peliter电子干燥装置</w:t>
            </w:r>
            <w:r>
              <w:rPr>
                <w:rFonts w:hint="eastAsia" w:ascii="宋体" w:hAnsi="宋体" w:eastAsia="宋体" w:cs="宋体"/>
                <w:b/>
                <w:bCs/>
                <w:color w:val="auto"/>
                <w:kern w:val="2"/>
                <w:sz w:val="21"/>
                <w:szCs w:val="21"/>
                <w:highlight w:val="none"/>
                <w:lang w:val="en-US" w:eastAsia="zh-CN" w:bidi="ar-SA"/>
              </w:rPr>
              <w:t>（投标文件中提供实物图片）</w:t>
            </w:r>
            <w:r>
              <w:rPr>
                <w:rFonts w:hint="eastAsia" w:ascii="宋体" w:hAnsi="宋体" w:eastAsia="宋体" w:cs="宋体"/>
                <w:color w:val="auto"/>
                <w:kern w:val="2"/>
                <w:sz w:val="21"/>
                <w:szCs w:val="21"/>
                <w:highlight w:val="none"/>
                <w:lang w:val="en-US" w:eastAsia="zh-CN" w:bidi="ar-SA"/>
              </w:rPr>
              <w:t>，非化学干燥方式；</w:t>
            </w:r>
          </w:p>
          <w:p w14:paraId="6BE6F8E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5、自动进样器：</w:t>
            </w:r>
          </w:p>
          <w:p w14:paraId="2D465AF2">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firstLine="0" w:firstLineChars="0"/>
              <w:jc w:val="both"/>
              <w:textAlignment w:val="auto"/>
              <w:rPr>
                <w:rFonts w:hint="eastAsia"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lang w:val="en-US" w:eastAsia="zh-CN" w:bidi="ar-SA"/>
              </w:rPr>
              <w:t>(1)</w:t>
            </w:r>
            <w:r>
              <w:rPr>
                <w:rFonts w:hint="eastAsia" w:ascii="宋体" w:hAnsi="宋体" w:eastAsia="宋体" w:cs="宋体"/>
                <w:color w:val="auto"/>
                <w:kern w:val="2"/>
                <w:sz w:val="21"/>
                <w:szCs w:val="21"/>
                <w:highlight w:val="none"/>
                <w:lang w:val="en-US" w:eastAsia="zh-CN" w:bidi="ar-SA"/>
              </w:rPr>
              <w:t>21位自动进样器，样品进样顺序可按程序软件控制；</w:t>
            </w:r>
          </w:p>
          <w:p w14:paraId="17BD0831">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firstLine="0" w:firstLineChars="0"/>
              <w:jc w:val="both"/>
              <w:textAlignment w:val="auto"/>
              <w:rPr>
                <w:rFonts w:hint="eastAsia"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lang w:val="en-US" w:eastAsia="zh-CN" w:bidi="ar-SA"/>
              </w:rPr>
              <w:t>(2)</w:t>
            </w:r>
            <w:r>
              <w:rPr>
                <w:rFonts w:hint="eastAsia" w:ascii="宋体" w:hAnsi="宋体" w:eastAsia="宋体" w:cs="宋体"/>
                <w:color w:val="auto"/>
                <w:kern w:val="2"/>
                <w:sz w:val="21"/>
                <w:szCs w:val="21"/>
                <w:highlight w:val="none"/>
                <w:lang w:val="en-US" w:eastAsia="zh-CN" w:bidi="ar-SA"/>
              </w:rPr>
              <w:t>具有自动清洗功能；</w:t>
            </w:r>
          </w:p>
          <w:p w14:paraId="2D0CB3A4">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firstLine="0" w:firstLineChars="0"/>
              <w:jc w:val="both"/>
              <w:textAlignment w:val="auto"/>
              <w:rPr>
                <w:rFonts w:hint="eastAsia"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lang w:val="en-US" w:eastAsia="zh-CN" w:bidi="ar-SA"/>
              </w:rPr>
              <w:t>(3)</w:t>
            </w:r>
            <w:r>
              <w:rPr>
                <w:rFonts w:hint="eastAsia" w:ascii="宋体" w:hAnsi="宋体" w:eastAsia="宋体" w:cs="宋体"/>
                <w:color w:val="auto"/>
                <w:kern w:val="2"/>
                <w:sz w:val="21"/>
                <w:szCs w:val="21"/>
                <w:highlight w:val="none"/>
                <w:lang w:val="en-US" w:eastAsia="zh-CN" w:bidi="ar-SA"/>
              </w:rPr>
              <w:t>所有样品位带自动搅拌功能；</w:t>
            </w:r>
          </w:p>
          <w:p w14:paraId="28512256">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firstLine="0" w:firstLineChars="0"/>
              <w:jc w:val="both"/>
              <w:textAlignment w:val="auto"/>
              <w:rPr>
                <w:rFonts w:hint="eastAsia"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lang w:val="en-US" w:eastAsia="zh-CN" w:bidi="ar-SA"/>
              </w:rPr>
              <w:t>(4)</w:t>
            </w:r>
            <w:r>
              <w:rPr>
                <w:rFonts w:hint="eastAsia" w:ascii="宋体" w:hAnsi="宋体" w:eastAsia="宋体" w:cs="宋体"/>
                <w:color w:val="auto"/>
                <w:kern w:val="2"/>
                <w:sz w:val="21"/>
                <w:szCs w:val="21"/>
                <w:highlight w:val="none"/>
                <w:lang w:val="en-US" w:eastAsia="zh-CN" w:bidi="ar-SA"/>
              </w:rPr>
              <w:t>所有样品位带自动酸化功能；</w:t>
            </w:r>
          </w:p>
          <w:p w14:paraId="01FD7BA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6、软件系统：</w:t>
            </w:r>
          </w:p>
          <w:p w14:paraId="50A6B6EF">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425" w:leftChars="0" w:right="0" w:rightChars="0" w:hanging="425" w:firstLineChars="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kern w:val="2"/>
                <w:sz w:val="21"/>
                <w:szCs w:val="21"/>
                <w:highlight w:val="none"/>
                <w:lang w:val="en-US" w:eastAsia="zh-CN" w:bidi="ar-SA"/>
              </w:rPr>
              <w:t>具有方法开发和储存功能；</w:t>
            </w:r>
          </w:p>
          <w:p w14:paraId="45DF0871">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425" w:leftChars="0" w:right="0" w:rightChars="0" w:hanging="425" w:firstLineChars="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(2)</w:t>
            </w:r>
            <w:r>
              <w:rPr>
                <w:rFonts w:hint="eastAsia" w:ascii="宋体" w:hAnsi="宋体" w:eastAsia="宋体" w:cs="宋体"/>
                <w:color w:val="auto"/>
                <w:kern w:val="2"/>
                <w:sz w:val="21"/>
                <w:szCs w:val="21"/>
                <w:highlight w:val="none"/>
                <w:lang w:val="en-US" w:eastAsia="zh-CN" w:bidi="ar-SA"/>
              </w:rPr>
              <w:t>能显示系统状态和参数设定；</w:t>
            </w:r>
          </w:p>
          <w:p w14:paraId="42B4156A">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425" w:leftChars="0" w:right="0" w:rightChars="0" w:hanging="425" w:firstLineChars="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(3)</w:t>
            </w:r>
            <w:r>
              <w:rPr>
                <w:rFonts w:hint="eastAsia" w:ascii="宋体" w:hAnsi="宋体" w:eastAsia="宋体" w:cs="宋体"/>
                <w:color w:val="auto"/>
                <w:kern w:val="2"/>
                <w:sz w:val="21"/>
                <w:szCs w:val="21"/>
                <w:highlight w:val="none"/>
                <w:lang w:val="en-US" w:eastAsia="zh-CN" w:bidi="ar-SA"/>
              </w:rPr>
              <w:t>具有1次方或2次方线性回归校正曲线；</w:t>
            </w:r>
          </w:p>
          <w:p w14:paraId="5CD0C7DD">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425" w:leftChars="0" w:right="0" w:rightChars="0" w:hanging="425" w:firstLineChars="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(4)</w:t>
            </w:r>
            <w:r>
              <w:rPr>
                <w:rFonts w:hint="eastAsia" w:ascii="宋体" w:hAnsi="宋体" w:eastAsia="宋体" w:cs="宋体"/>
                <w:color w:val="auto"/>
                <w:kern w:val="2"/>
                <w:sz w:val="21"/>
                <w:szCs w:val="21"/>
                <w:highlight w:val="none"/>
                <w:lang w:val="en-US" w:eastAsia="zh-CN" w:bidi="ar-SA"/>
              </w:rPr>
              <w:t>可以通过接口输出及打印实验结果；</w:t>
            </w:r>
          </w:p>
          <w:p w14:paraId="721F09C8">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425" w:leftChars="0" w:right="0" w:rightChars="0" w:hanging="425" w:firstLineChars="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(5)</w:t>
            </w:r>
            <w:r>
              <w:rPr>
                <w:rFonts w:hint="eastAsia" w:ascii="宋体" w:hAnsi="宋体" w:eastAsia="宋体" w:cs="宋体"/>
                <w:color w:val="auto"/>
                <w:kern w:val="2"/>
                <w:sz w:val="21"/>
                <w:szCs w:val="21"/>
                <w:highlight w:val="none"/>
                <w:lang w:val="en-US" w:eastAsia="zh-CN" w:bidi="ar-SA"/>
              </w:rPr>
              <w:t>操作软件为全中文界面；</w:t>
            </w:r>
          </w:p>
          <w:p w14:paraId="4EBA4DCF">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firstLine="0" w:firstLineChars="0"/>
              <w:jc w:val="both"/>
              <w:textAlignment w:val="auto"/>
              <w:rPr>
                <w:rFonts w:hint="eastAsia"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lang w:val="en-US" w:eastAsia="zh-CN" w:bidi="ar-SA"/>
              </w:rPr>
              <w:t>(</w:t>
            </w:r>
            <w:r>
              <w:rPr>
                <w:rFonts w:hint="eastAsia" w:ascii="宋体" w:hAnsi="宋体" w:eastAsia="宋体" w:cs="宋体"/>
                <w:color w:val="auto"/>
                <w:kern w:val="2"/>
                <w:sz w:val="21"/>
                <w:szCs w:val="21"/>
                <w:lang w:val="en-US" w:eastAsia="zh-CN" w:bidi="ar-SA"/>
              </w:rPr>
              <w:t>6</w:t>
            </w:r>
            <w:r>
              <w:rPr>
                <w:rFonts w:hint="default" w:ascii="宋体" w:hAnsi="宋体" w:eastAsia="宋体" w:cs="宋体"/>
                <w:color w:val="auto"/>
                <w:kern w:val="2"/>
                <w:sz w:val="21"/>
                <w:szCs w:val="21"/>
                <w:lang w:val="en-US" w:eastAsia="zh-CN" w:bidi="ar-SA"/>
              </w:rPr>
              <w:t>)</w:t>
            </w:r>
            <w:r>
              <w:rPr>
                <w:rFonts w:hint="eastAsia" w:ascii="宋体" w:hAnsi="宋体" w:eastAsia="宋体" w:cs="宋体"/>
                <w:color w:val="auto"/>
                <w:kern w:val="2"/>
                <w:sz w:val="21"/>
                <w:szCs w:val="21"/>
                <w:highlight w:val="none"/>
                <w:lang w:val="en-US" w:eastAsia="zh-CN" w:bidi="ar-SA"/>
              </w:rPr>
              <w:t>数据处理单元：内存RAM≥4G、CPU≥2GHz、硬盘≥200G、两个以上空余的USB2.0以上的接口</w:t>
            </w:r>
            <w:r>
              <w:rPr>
                <w:rFonts w:hint="eastAsia" w:ascii="宋体" w:hAnsi="宋体" w:eastAsia="宋体" w:cs="宋体"/>
                <w:color w:val="auto"/>
                <w:kern w:val="2"/>
                <w:sz w:val="21"/>
                <w:szCs w:val="24"/>
                <w:lang w:val="zh-CN" w:eastAsia="zh-CN" w:bidi="ar-SA"/>
              </w:rPr>
              <w:t>；</w:t>
            </w:r>
          </w:p>
          <w:p w14:paraId="13DF305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四、主要配置</w:t>
            </w:r>
          </w:p>
          <w:p w14:paraId="1256AF1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1、总有机碳分析仪主机1台；</w:t>
            </w:r>
          </w:p>
          <w:p w14:paraId="0111C2D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2、中英文专用分析软件1套；</w:t>
            </w:r>
          </w:p>
          <w:p w14:paraId="493AD22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3、自动进样器1套；</w:t>
            </w:r>
          </w:p>
          <w:p w14:paraId="05CCFC1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4、分析耗材包1套；</w:t>
            </w:r>
          </w:p>
          <w:p w14:paraId="69AE151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5、数据处理单元1套；</w:t>
            </w:r>
          </w:p>
          <w:p w14:paraId="009574D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6、纸质版说明书1套；</w:t>
            </w:r>
          </w:p>
          <w:p w14:paraId="19193EB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color w:val="auto"/>
                <w:kern w:val="2"/>
                <w:sz w:val="21"/>
                <w:szCs w:val="21"/>
                <w:highlight w:val="none"/>
                <w:lang w:val="en-US" w:eastAsia="zh-CN" w:bidi="ar-SA"/>
              </w:rPr>
              <w:t>7、电子版说明书1套。</w:t>
            </w:r>
          </w:p>
        </w:tc>
        <w:tc>
          <w:tcPr>
            <w:tcW w:w="633" w:type="pct"/>
            <w:vAlign w:val="center"/>
          </w:tcPr>
          <w:p w14:paraId="2C48943C">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1台</w:t>
            </w:r>
          </w:p>
        </w:tc>
        <w:tc>
          <w:tcPr>
            <w:tcW w:w="475" w:type="pct"/>
            <w:vAlign w:val="center"/>
          </w:tcPr>
          <w:p w14:paraId="5C9101F5">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工业</w:t>
            </w:r>
          </w:p>
        </w:tc>
      </w:tr>
      <w:tr w14:paraId="7215D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46" w:type="pct"/>
            <w:shd w:val="clear" w:color="auto" w:fill="auto"/>
            <w:vAlign w:val="center"/>
          </w:tcPr>
          <w:p w14:paraId="3DE64D59">
            <w:pPr>
              <w:keepNext w:val="0"/>
              <w:keepLines w:val="0"/>
              <w:pageBreakBefore w:val="0"/>
              <w:numPr>
                <w:ilvl w:val="0"/>
                <w:numId w:val="1"/>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p>
        </w:tc>
        <w:tc>
          <w:tcPr>
            <w:tcW w:w="638" w:type="pct"/>
            <w:vAlign w:val="center"/>
          </w:tcPr>
          <w:p w14:paraId="1C3DAB5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center"/>
              <w:textAlignment w:val="auto"/>
              <w:rPr>
                <w:rFonts w:hint="eastAsia" w:ascii="宋体" w:hAnsi="宋体" w:eastAsia="宋体"/>
                <w:b w:val="0"/>
                <w:bCs w:val="0"/>
                <w:color w:val="auto"/>
                <w:sz w:val="21"/>
                <w:szCs w:val="21"/>
                <w:highlight w:val="none"/>
              </w:rPr>
            </w:pPr>
            <w:r>
              <w:rPr>
                <w:rFonts w:hint="eastAsia" w:ascii="宋体" w:hAnsi="宋体" w:eastAsia="宋体" w:cs="宋体"/>
                <w:b w:val="0"/>
                <w:bCs w:val="0"/>
                <w:color w:val="auto"/>
                <w:sz w:val="21"/>
                <w:szCs w:val="21"/>
                <w:highlight w:val="none"/>
              </w:rPr>
              <w:t>水浴锅</w:t>
            </w:r>
          </w:p>
        </w:tc>
        <w:tc>
          <w:tcPr>
            <w:tcW w:w="2905" w:type="pct"/>
            <w:vAlign w:val="center"/>
          </w:tcPr>
          <w:p w14:paraId="7B51586E">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一、主要用途：主要用于样品的恒温加热、试剂预热、干燥浓缩等需要精确控温的场景</w:t>
            </w:r>
          </w:p>
          <w:p w14:paraId="0266D2FB">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二、依据标准：符合GB/T 5750.4-2023、GB/T 5750.7-2023</w:t>
            </w:r>
            <w:r>
              <w:rPr>
                <w:rFonts w:hint="eastAsia" w:ascii="宋体" w:hAnsi="宋体" w:eastAsia="宋体" w:cs="宋体"/>
                <w:bCs/>
                <w:color w:val="auto"/>
                <w:sz w:val="21"/>
                <w:szCs w:val="21"/>
                <w:highlight w:val="none"/>
              </w:rPr>
              <w:t>标准中对设备的要求</w:t>
            </w:r>
          </w:p>
          <w:p w14:paraId="2DD86D70">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三、技术指标：</w:t>
            </w:r>
          </w:p>
          <w:p w14:paraId="386DE505">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1、外壳：采用优质冷轧钢板，表面进行喷塑处理</w:t>
            </w:r>
          </w:p>
          <w:p w14:paraId="50696E23">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内胆与上盖：采用304不锈钢材质；</w:t>
            </w:r>
          </w:p>
          <w:p w14:paraId="3B24D056">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加热元件：U型不锈钢管状加热器，具备防干烧功能</w:t>
            </w:r>
          </w:p>
          <w:p w14:paraId="61E39F59">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2、恒温范围：至少覆盖室温～100℃，控温精度：±0.5℃；</w:t>
            </w:r>
          </w:p>
          <w:p w14:paraId="2AAF1736">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3、孔数：6孔（双列）；</w:t>
            </w:r>
          </w:p>
          <w:p w14:paraId="3EA46ACF">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四、主要配置</w:t>
            </w:r>
          </w:p>
          <w:p w14:paraId="4128A68D">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default" w:ascii="宋体" w:hAnsi="宋体" w:eastAsia="宋体" w:cs="宋体"/>
                <w:color w:val="auto"/>
                <w:sz w:val="21"/>
                <w:szCs w:val="21"/>
                <w:highlight w:val="none"/>
                <w:lang w:val="en-US" w:eastAsia="zh-CN"/>
              </w:rPr>
              <w:t>恒温水浴锅1台</w:t>
            </w:r>
            <w:r>
              <w:rPr>
                <w:rFonts w:hint="eastAsia" w:ascii="宋体" w:hAnsi="宋体" w:eastAsia="宋体" w:cs="宋体"/>
                <w:color w:val="auto"/>
                <w:sz w:val="21"/>
                <w:szCs w:val="21"/>
                <w:highlight w:val="none"/>
                <w:lang w:val="en-US" w:eastAsia="zh-CN"/>
              </w:rPr>
              <w:t>；</w:t>
            </w:r>
          </w:p>
          <w:p w14:paraId="1F2A96AA">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firstLine="0" w:firstLineChars="0"/>
              <w:jc w:val="both"/>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2、</w:t>
            </w:r>
            <w:r>
              <w:rPr>
                <w:rFonts w:hint="default" w:ascii="宋体" w:hAnsi="宋体" w:eastAsia="宋体" w:cs="宋体"/>
                <w:color w:val="auto"/>
                <w:sz w:val="21"/>
                <w:szCs w:val="21"/>
                <w:highlight w:val="none"/>
                <w:lang w:val="en-US" w:eastAsia="zh-CN"/>
              </w:rPr>
              <w:t>纸质版说明书1套</w:t>
            </w:r>
            <w:r>
              <w:rPr>
                <w:rFonts w:hint="eastAsia" w:ascii="宋体" w:hAnsi="宋体" w:eastAsia="宋体" w:cs="宋体"/>
                <w:color w:val="auto"/>
                <w:sz w:val="21"/>
                <w:szCs w:val="21"/>
                <w:highlight w:val="none"/>
                <w:lang w:val="en-US" w:eastAsia="zh-CN"/>
              </w:rPr>
              <w:t>。</w:t>
            </w:r>
          </w:p>
        </w:tc>
        <w:tc>
          <w:tcPr>
            <w:tcW w:w="633" w:type="pct"/>
            <w:vAlign w:val="center"/>
          </w:tcPr>
          <w:p w14:paraId="5D783825">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1个</w:t>
            </w:r>
          </w:p>
        </w:tc>
        <w:tc>
          <w:tcPr>
            <w:tcW w:w="475" w:type="pct"/>
            <w:vAlign w:val="center"/>
          </w:tcPr>
          <w:p w14:paraId="2FE90292">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工业</w:t>
            </w:r>
          </w:p>
        </w:tc>
      </w:tr>
      <w:tr w14:paraId="08BAA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46" w:type="pct"/>
            <w:shd w:val="clear" w:color="auto" w:fill="auto"/>
            <w:vAlign w:val="center"/>
          </w:tcPr>
          <w:p w14:paraId="71CF6FC1">
            <w:pPr>
              <w:keepNext w:val="0"/>
              <w:keepLines w:val="0"/>
              <w:pageBreakBefore w:val="0"/>
              <w:numPr>
                <w:ilvl w:val="0"/>
                <w:numId w:val="1"/>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p>
        </w:tc>
        <w:tc>
          <w:tcPr>
            <w:tcW w:w="638" w:type="pct"/>
            <w:vAlign w:val="center"/>
          </w:tcPr>
          <w:p w14:paraId="3B670013">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center"/>
              <w:textAlignment w:val="auto"/>
              <w:rPr>
                <w:rFonts w:hint="eastAsia" w:ascii="宋体" w:hAnsi="宋体" w:eastAsia="宋体"/>
                <w:b w:val="0"/>
                <w:bCs w:val="0"/>
                <w:color w:val="auto"/>
                <w:sz w:val="21"/>
                <w:szCs w:val="21"/>
                <w:highlight w:val="none"/>
              </w:rPr>
            </w:pPr>
            <w:r>
              <w:rPr>
                <w:rFonts w:hint="eastAsia" w:ascii="宋体" w:hAnsi="宋体" w:eastAsia="宋体" w:cs="宋体"/>
                <w:b w:val="0"/>
                <w:bCs w:val="0"/>
                <w:color w:val="auto"/>
                <w:sz w:val="21"/>
                <w:szCs w:val="21"/>
                <w:highlight w:val="none"/>
              </w:rPr>
              <w:t>电热鼓风干燥箱</w:t>
            </w:r>
          </w:p>
        </w:tc>
        <w:tc>
          <w:tcPr>
            <w:tcW w:w="2905" w:type="pct"/>
            <w:vAlign w:val="center"/>
          </w:tcPr>
          <w:p w14:paraId="04CF6154">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一、主要用途：通过强制循环热风实现样品的干燥和恒温热处理</w:t>
            </w:r>
          </w:p>
          <w:p w14:paraId="4BE6FFC5">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二、依据标准：符合GB/T 5750.4-2023、AS/NZS 4020:2018+Amd 1:2022</w:t>
            </w:r>
            <w:r>
              <w:rPr>
                <w:rFonts w:hint="eastAsia" w:ascii="宋体" w:hAnsi="宋体" w:eastAsia="宋体" w:cs="宋体"/>
                <w:bCs/>
                <w:color w:val="auto"/>
                <w:sz w:val="21"/>
                <w:szCs w:val="21"/>
                <w:highlight w:val="none"/>
              </w:rPr>
              <w:t>标准中对设备的要求</w:t>
            </w:r>
          </w:p>
          <w:p w14:paraId="714D78FC">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三、技术指标：</w:t>
            </w:r>
          </w:p>
          <w:p w14:paraId="65582B5B">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1、控温范围：至少覆盖室温～200℃，温度波动度：≤1℃，温度均匀度：≤2℃，温度偏差：±2℃，控制器：高精度温度控制仪，采用数字显示，可显示、设定试验参数；</w:t>
            </w:r>
          </w:p>
          <w:p w14:paraId="378DCAB3">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2、载物托盘：4个；</w:t>
            </w:r>
          </w:p>
          <w:p w14:paraId="31BE4B04">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3、定时范围：1～9999min；</w:t>
            </w:r>
          </w:p>
          <w:p w14:paraId="6A4C7533">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4、内容积：≥1000L；</w:t>
            </w:r>
          </w:p>
          <w:p w14:paraId="3E4D5FE5">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四、主要配置</w:t>
            </w:r>
          </w:p>
          <w:p w14:paraId="2AFE6F62">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1、电</w:t>
            </w:r>
            <w:r>
              <w:rPr>
                <w:rFonts w:hint="default" w:ascii="宋体" w:hAnsi="宋体" w:eastAsia="宋体" w:cs="宋体"/>
                <w:color w:val="auto"/>
                <w:sz w:val="21"/>
                <w:szCs w:val="21"/>
                <w:highlight w:val="none"/>
                <w:lang w:val="en-US" w:eastAsia="zh-CN"/>
              </w:rPr>
              <w:t>热鼓风干燥箱主机</w:t>
            </w:r>
            <w:r>
              <w:rPr>
                <w:rFonts w:hint="eastAsia" w:ascii="宋体" w:hAnsi="宋体" w:eastAsia="宋体" w:cs="宋体"/>
                <w:color w:val="auto"/>
                <w:sz w:val="21"/>
                <w:szCs w:val="21"/>
                <w:highlight w:val="none"/>
                <w:lang w:val="en-US" w:eastAsia="zh-CN"/>
              </w:rPr>
              <w:t>1</w:t>
            </w:r>
            <w:r>
              <w:rPr>
                <w:rFonts w:hint="default" w:ascii="宋体" w:hAnsi="宋体" w:eastAsia="宋体" w:cs="宋体"/>
                <w:color w:val="auto"/>
                <w:sz w:val="21"/>
                <w:szCs w:val="21"/>
                <w:highlight w:val="none"/>
                <w:lang w:val="en-US" w:eastAsia="zh-CN"/>
              </w:rPr>
              <w:t>台</w:t>
            </w:r>
            <w:r>
              <w:rPr>
                <w:rFonts w:hint="eastAsia" w:ascii="宋体" w:hAnsi="宋体" w:eastAsia="宋体" w:cs="宋体"/>
                <w:color w:val="auto"/>
                <w:sz w:val="21"/>
                <w:szCs w:val="21"/>
                <w:highlight w:val="none"/>
                <w:lang w:val="en-US" w:eastAsia="zh-CN"/>
              </w:rPr>
              <w:t>；</w:t>
            </w:r>
          </w:p>
          <w:p w14:paraId="7F267E4B">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default" w:ascii="宋体" w:hAnsi="宋体" w:eastAsia="宋体" w:cs="宋体"/>
                <w:color w:val="auto"/>
                <w:sz w:val="21"/>
                <w:szCs w:val="21"/>
                <w:highlight w:val="none"/>
                <w:lang w:val="en-US" w:eastAsia="zh-CN"/>
              </w:rPr>
              <w:t>纸质版说明书2</w:t>
            </w:r>
            <w:r>
              <w:rPr>
                <w:rFonts w:hint="eastAsia" w:ascii="宋体" w:hAnsi="宋体" w:eastAsia="宋体" w:cs="宋体"/>
                <w:color w:val="auto"/>
                <w:sz w:val="21"/>
                <w:szCs w:val="21"/>
                <w:highlight w:val="none"/>
                <w:lang w:val="en-US" w:eastAsia="zh-CN"/>
              </w:rPr>
              <w:t>套；</w:t>
            </w:r>
          </w:p>
          <w:p w14:paraId="29F9AC6F">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en-US" w:eastAsia="zh-CN"/>
              </w:rPr>
              <w:t>3、</w:t>
            </w:r>
            <w:r>
              <w:rPr>
                <w:rFonts w:hint="default" w:ascii="宋体" w:hAnsi="宋体" w:eastAsia="宋体" w:cs="宋体"/>
                <w:color w:val="auto"/>
                <w:sz w:val="21"/>
                <w:szCs w:val="21"/>
                <w:highlight w:val="none"/>
                <w:lang w:val="en-US" w:eastAsia="zh-CN"/>
              </w:rPr>
              <w:t>电源线2</w:t>
            </w:r>
            <w:r>
              <w:rPr>
                <w:rFonts w:hint="eastAsia" w:ascii="宋体" w:hAnsi="宋体" w:eastAsia="宋体" w:cs="宋体"/>
                <w:color w:val="auto"/>
                <w:sz w:val="21"/>
                <w:szCs w:val="21"/>
                <w:highlight w:val="none"/>
                <w:lang w:val="en-US" w:eastAsia="zh-CN"/>
              </w:rPr>
              <w:t>套。</w:t>
            </w:r>
          </w:p>
        </w:tc>
        <w:tc>
          <w:tcPr>
            <w:tcW w:w="633" w:type="pct"/>
            <w:vAlign w:val="center"/>
          </w:tcPr>
          <w:p w14:paraId="115BF838">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2台</w:t>
            </w:r>
          </w:p>
        </w:tc>
        <w:tc>
          <w:tcPr>
            <w:tcW w:w="475" w:type="pct"/>
            <w:vAlign w:val="center"/>
          </w:tcPr>
          <w:p w14:paraId="5EA2E35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工业</w:t>
            </w:r>
          </w:p>
        </w:tc>
      </w:tr>
      <w:tr w14:paraId="58CE3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46" w:type="pct"/>
            <w:shd w:val="clear" w:color="auto" w:fill="auto"/>
            <w:vAlign w:val="center"/>
          </w:tcPr>
          <w:p w14:paraId="03F86D84">
            <w:pPr>
              <w:keepNext w:val="0"/>
              <w:keepLines w:val="0"/>
              <w:pageBreakBefore w:val="0"/>
              <w:numPr>
                <w:ilvl w:val="0"/>
                <w:numId w:val="1"/>
              </w:numPr>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firstLine="0" w:firstLineChars="0"/>
              <w:jc w:val="center"/>
              <w:textAlignment w:val="auto"/>
              <w:rPr>
                <w:rFonts w:hint="eastAsia" w:ascii="宋体" w:hAnsi="宋体" w:eastAsia="宋体" w:cs="宋体"/>
                <w:b w:val="0"/>
                <w:bCs w:val="0"/>
                <w:color w:val="auto"/>
                <w:kern w:val="2"/>
                <w:sz w:val="21"/>
                <w:szCs w:val="21"/>
                <w:highlight w:val="none"/>
                <w:lang w:val="en-US" w:eastAsia="zh-CN" w:bidi="ar-SA"/>
              </w:rPr>
            </w:pPr>
          </w:p>
        </w:tc>
        <w:tc>
          <w:tcPr>
            <w:tcW w:w="638" w:type="pct"/>
            <w:shd w:val="clear" w:color="auto" w:fill="auto"/>
            <w:vAlign w:val="center"/>
          </w:tcPr>
          <w:p w14:paraId="2AE25ED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卫浴</w:t>
            </w:r>
            <w:r>
              <w:rPr>
                <w:rFonts w:hint="eastAsia" w:ascii="宋体" w:hAnsi="宋体" w:eastAsia="宋体" w:cs="宋体"/>
                <w:bCs/>
                <w:color w:val="auto"/>
                <w:sz w:val="21"/>
                <w:szCs w:val="21"/>
                <w:highlight w:val="none"/>
              </w:rPr>
              <w:t>产品适老化综合试验机</w:t>
            </w:r>
          </w:p>
        </w:tc>
        <w:tc>
          <w:tcPr>
            <w:tcW w:w="2905" w:type="pct"/>
            <w:shd w:val="clear" w:color="auto" w:fill="auto"/>
            <w:vAlign w:val="center"/>
          </w:tcPr>
          <w:p w14:paraId="358EE8AC">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一、主要用途：适老化厨卫产品性能试验</w:t>
            </w:r>
          </w:p>
          <w:p w14:paraId="36D1D553">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二、依据标准：符合QB/T 8093-2024、T/CNLIC 0058-2022、GB/T 22752-2021、JC/T 2120-2012、MZ/T 119-2018、GB/T 34549-2024、GB/T 23131-2019</w:t>
            </w:r>
            <w:r>
              <w:rPr>
                <w:rFonts w:hint="eastAsia" w:ascii="宋体" w:hAnsi="宋体" w:eastAsia="宋体" w:cs="宋体"/>
                <w:bCs/>
                <w:color w:val="auto"/>
                <w:sz w:val="21"/>
                <w:szCs w:val="21"/>
                <w:highlight w:val="none"/>
              </w:rPr>
              <w:t>标准中对设备的要求</w:t>
            </w:r>
          </w:p>
          <w:p w14:paraId="40644B0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三、技术指标：</w:t>
            </w:r>
          </w:p>
          <w:p w14:paraId="2AA0852D">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1、工位：≥4个；</w:t>
            </w:r>
          </w:p>
          <w:p w14:paraId="42B2488B">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2、垂直方向加载力至少覆盖（0～2500）N，准确度0.5级，运行行程至少覆盖（0～300）mm；</w:t>
            </w:r>
          </w:p>
          <w:p w14:paraId="1745F017">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3、水平加载机构4组，加载力至少覆盖（0～1500）N，准确度0.5级，运行行程至少覆盖（0～200）mm</w:t>
            </w:r>
          </w:p>
          <w:p w14:paraId="025E66D1">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4、次数：0～500000次，可设置；</w:t>
            </w:r>
          </w:p>
          <w:p w14:paraId="18D3421B">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5、时间：（0～100）分钟，分辨率0.1s，可设置；</w:t>
            </w:r>
          </w:p>
          <w:p w14:paraId="3A19FF2D">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6、旋转角度：至少覆盖（0～110）°，可设置；开合频率（0～30）次/min，可设置；</w:t>
            </w:r>
          </w:p>
          <w:p w14:paraId="3BDCA8B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7、重锤：(50±1)kg，沙袋：(50±1)kg；</w:t>
            </w:r>
          </w:p>
          <w:p w14:paraId="64829E6F">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8、冲击沙袋：底面直径为300mm的帆布袋中填充质量为（25±0.5）kg的干沙；底面直径200mm重量20kg土0.5kg的圆柱形沙袋；直径约为250mm的帆布袋中填充质量为（25±0.5）kg的干沙；</w:t>
            </w:r>
          </w:p>
          <w:p w14:paraId="48F82CF7">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9、供液系统：</w:t>
            </w:r>
          </w:p>
          <w:p w14:paraId="7F4FC5E7">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（1）试验装置由菌液箱、废液收集箱、动力系统、管路、控制系统等部分组成，试验装置中与试验介质接触的部分应保证清洁、不腐蚀、无杂物；</w:t>
            </w:r>
          </w:p>
          <w:p w14:paraId="1EFC4159">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（2）高度集成化、可移动，样品放置平台、水泵、控制系统、菌液箱、废液收集箱应合理布置，使得整体尺寸不超过长600mm×宽800mm×高1500mm；</w:t>
            </w:r>
          </w:p>
          <w:p w14:paraId="43225241">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（3）动力系统为试验提供介质循环及试验要求的压力条件，静压力输出范围至少覆盖（0～0.5）MPa，采用不锈钢离心泵和防爆电机；</w:t>
            </w:r>
          </w:p>
          <w:p w14:paraId="49460AC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（4）压力传感器量程至少覆盖（0～1.0）MPa，准确度等级应≥1.0级；</w:t>
            </w:r>
          </w:p>
          <w:p w14:paraId="7C80069E">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10、噪音反射底板：≥长5000mm×宽5000mm，可移动拼接板，上表面为瓷砖，中间板下方附带储水槽；</w:t>
            </w:r>
          </w:p>
          <w:p w14:paraId="63BD58A7">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四、主要配置</w:t>
            </w:r>
          </w:p>
          <w:p w14:paraId="1160E64E">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w:t>
            </w:r>
            <w:r>
              <w:rPr>
                <w:rFonts w:hint="default" w:ascii="宋体" w:hAnsi="宋体" w:eastAsia="宋体" w:cs="宋体"/>
                <w:color w:val="auto"/>
                <w:sz w:val="21"/>
                <w:szCs w:val="21"/>
                <w:highlight w:val="none"/>
                <w:lang w:val="en-US" w:eastAsia="zh-CN"/>
              </w:rPr>
              <w:t>10寸触摸屏</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Cs w:val="20"/>
                <w:lang w:val="en-US" w:eastAsia="zh-CN"/>
              </w:rPr>
              <w:t>个；</w:t>
            </w:r>
          </w:p>
          <w:p w14:paraId="26B6D8BC">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2、PLC模块1套；</w:t>
            </w:r>
          </w:p>
          <w:p w14:paraId="7C6E0F5F">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3、伺服加载装置5台；</w:t>
            </w:r>
          </w:p>
          <w:p w14:paraId="61F9D5A4">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4、荷载传感器5套；</w:t>
            </w:r>
          </w:p>
          <w:p w14:paraId="40C23340">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5、直线气缸1套；</w:t>
            </w:r>
          </w:p>
          <w:p w14:paraId="2B3DF13D">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6、旋转气缸1套；</w:t>
            </w:r>
          </w:p>
          <w:p w14:paraId="6EC12DA7">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7、伺服旋转运动机构1台；</w:t>
            </w:r>
          </w:p>
          <w:p w14:paraId="5E5A109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8、控制柜1套；</w:t>
            </w:r>
          </w:p>
          <w:p w14:paraId="450484C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9、机架1套；</w:t>
            </w:r>
          </w:p>
          <w:p w14:paraId="3A8B14CE">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10、(50±1)kg的沙袋和重锤各1个</w:t>
            </w:r>
            <w:r>
              <w:rPr>
                <w:rFonts w:hint="eastAsia" w:ascii="宋体" w:hAnsi="宋体" w:eastAsia="宋体" w:cs="宋体"/>
                <w:color w:val="auto"/>
                <w:sz w:val="21"/>
                <w:szCs w:val="21"/>
                <w:highlight w:val="none"/>
                <w:lang w:val="en-US" w:eastAsia="zh-CN"/>
              </w:rPr>
              <w:t>；</w:t>
            </w:r>
          </w:p>
          <w:p w14:paraId="1C1CD258">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11、20kg挂盘1个</w:t>
            </w:r>
            <w:r>
              <w:rPr>
                <w:rFonts w:hint="eastAsia" w:ascii="宋体" w:hAnsi="宋体" w:eastAsia="宋体" w:cs="宋体"/>
                <w:color w:val="auto"/>
                <w:sz w:val="21"/>
                <w:szCs w:val="21"/>
                <w:highlight w:val="none"/>
                <w:lang w:val="en-US" w:eastAsia="zh-CN"/>
              </w:rPr>
              <w:t>；</w:t>
            </w:r>
          </w:p>
          <w:p w14:paraId="642182E9">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12、5kg的C型砝码1个</w:t>
            </w:r>
            <w:r>
              <w:rPr>
                <w:rFonts w:hint="eastAsia" w:ascii="宋体" w:hAnsi="宋体" w:eastAsia="宋体" w:cs="宋体"/>
                <w:color w:val="auto"/>
                <w:sz w:val="21"/>
                <w:szCs w:val="21"/>
                <w:highlight w:val="none"/>
                <w:lang w:val="en-US" w:eastAsia="zh-CN"/>
              </w:rPr>
              <w:t>；</w:t>
            </w:r>
          </w:p>
          <w:p w14:paraId="552964BC">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13、10kg的C型砝码1个</w:t>
            </w:r>
            <w:r>
              <w:rPr>
                <w:rFonts w:hint="eastAsia" w:ascii="宋体" w:hAnsi="宋体" w:eastAsia="宋体" w:cs="宋体"/>
                <w:color w:val="auto"/>
                <w:sz w:val="21"/>
                <w:szCs w:val="21"/>
                <w:highlight w:val="none"/>
                <w:lang w:val="en-US" w:eastAsia="zh-CN"/>
              </w:rPr>
              <w:t>；</w:t>
            </w:r>
          </w:p>
          <w:p w14:paraId="4C4A8009">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14、20kg的C型砝码4个</w:t>
            </w:r>
            <w:r>
              <w:rPr>
                <w:rFonts w:hint="eastAsia" w:ascii="宋体" w:hAnsi="宋体" w:eastAsia="宋体" w:cs="宋体"/>
                <w:color w:val="auto"/>
                <w:sz w:val="21"/>
                <w:szCs w:val="21"/>
                <w:highlight w:val="none"/>
                <w:lang w:val="en-US" w:eastAsia="zh-CN"/>
              </w:rPr>
              <w:t>；</w:t>
            </w:r>
          </w:p>
          <w:p w14:paraId="6937F3C0">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15、工装夹具1套</w:t>
            </w:r>
            <w:r>
              <w:rPr>
                <w:rFonts w:hint="eastAsia" w:ascii="宋体" w:hAnsi="宋体" w:eastAsia="宋体" w:cs="宋体"/>
                <w:color w:val="auto"/>
                <w:sz w:val="21"/>
                <w:szCs w:val="21"/>
                <w:highlight w:val="none"/>
                <w:lang w:val="en-US" w:eastAsia="zh-CN"/>
              </w:rPr>
              <w:t>；</w:t>
            </w:r>
          </w:p>
          <w:p w14:paraId="5527FA9F">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16、底面直径为300mm、质量为（25±0.5）kg的砂袋1个</w:t>
            </w:r>
            <w:r>
              <w:rPr>
                <w:rFonts w:hint="eastAsia" w:ascii="宋体" w:hAnsi="宋体" w:eastAsia="宋体" w:cs="宋体"/>
                <w:color w:val="auto"/>
                <w:sz w:val="21"/>
                <w:szCs w:val="21"/>
                <w:highlight w:val="none"/>
                <w:lang w:val="en-US" w:eastAsia="zh-CN"/>
              </w:rPr>
              <w:t>；</w:t>
            </w:r>
          </w:p>
          <w:p w14:paraId="2903DBD3">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17、底面直径200mm，重（20±0.5）kg的圆柱形沙袋1个</w:t>
            </w:r>
            <w:r>
              <w:rPr>
                <w:rFonts w:hint="eastAsia" w:ascii="宋体" w:hAnsi="宋体" w:eastAsia="宋体" w:cs="宋体"/>
                <w:color w:val="auto"/>
                <w:sz w:val="21"/>
                <w:szCs w:val="21"/>
                <w:highlight w:val="none"/>
                <w:lang w:val="en-US" w:eastAsia="zh-CN"/>
              </w:rPr>
              <w:t>；</w:t>
            </w:r>
          </w:p>
          <w:p w14:paraId="5863448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18、直径约为250mm的帆布袋中填充质量为（25±0.5）kg的干沙1个</w:t>
            </w:r>
            <w:r>
              <w:rPr>
                <w:rFonts w:hint="eastAsia" w:ascii="宋体" w:hAnsi="宋体" w:eastAsia="宋体" w:cs="宋体"/>
                <w:color w:val="auto"/>
                <w:sz w:val="21"/>
                <w:szCs w:val="21"/>
                <w:highlight w:val="none"/>
                <w:lang w:val="en-US" w:eastAsia="zh-CN"/>
              </w:rPr>
              <w:t>；</w:t>
            </w:r>
          </w:p>
          <w:p w14:paraId="6669587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19、供液系统1套</w:t>
            </w:r>
            <w:r>
              <w:rPr>
                <w:rFonts w:hint="eastAsia" w:ascii="宋体" w:hAnsi="宋体" w:eastAsia="宋体" w:cs="宋体"/>
                <w:color w:val="auto"/>
                <w:sz w:val="21"/>
                <w:szCs w:val="21"/>
                <w:highlight w:val="none"/>
                <w:lang w:val="en-US" w:eastAsia="zh-CN"/>
              </w:rPr>
              <w:t>；</w:t>
            </w:r>
          </w:p>
          <w:p w14:paraId="1F32B90C">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20、噪音反射底板1套</w:t>
            </w:r>
            <w:r>
              <w:rPr>
                <w:rFonts w:hint="eastAsia" w:ascii="宋体" w:hAnsi="宋体" w:eastAsia="宋体" w:cs="宋体"/>
                <w:color w:val="auto"/>
                <w:sz w:val="21"/>
                <w:szCs w:val="21"/>
                <w:highlight w:val="none"/>
                <w:lang w:val="en-US" w:eastAsia="zh-CN"/>
              </w:rPr>
              <w:t>；</w:t>
            </w:r>
          </w:p>
          <w:p w14:paraId="59D9B675">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21、纸质版说明书2套</w:t>
            </w:r>
            <w:r>
              <w:rPr>
                <w:rFonts w:hint="eastAsia" w:ascii="宋体" w:hAnsi="宋体" w:eastAsia="宋体" w:cs="宋体"/>
                <w:color w:val="auto"/>
                <w:sz w:val="21"/>
                <w:szCs w:val="21"/>
                <w:highlight w:val="none"/>
                <w:lang w:val="en-US" w:eastAsia="zh-CN"/>
              </w:rPr>
              <w:t>；</w:t>
            </w:r>
          </w:p>
          <w:p w14:paraId="27E3BCF6">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both"/>
              <w:textAlignment w:val="auto"/>
              <w:rPr>
                <w:rFonts w:hint="eastAsia" w:ascii="宋体" w:hAnsi="宋体" w:eastAsia="宋体" w:cs="宋体"/>
                <w:color w:val="auto"/>
                <w:kern w:val="2"/>
                <w:sz w:val="21"/>
                <w:szCs w:val="21"/>
                <w:highlight w:val="none"/>
                <w:lang w:val="en-US" w:eastAsia="zh-CN" w:bidi="ar-SA"/>
              </w:rPr>
            </w:pPr>
            <w:r>
              <w:rPr>
                <w:rFonts w:hint="default" w:ascii="宋体" w:hAnsi="宋体" w:eastAsia="宋体" w:cs="宋体"/>
                <w:color w:val="auto"/>
                <w:sz w:val="21"/>
                <w:szCs w:val="21"/>
                <w:highlight w:val="none"/>
                <w:lang w:val="en-US" w:eastAsia="zh-CN"/>
              </w:rPr>
              <w:t>22、电子版说明书1套</w:t>
            </w:r>
            <w:r>
              <w:rPr>
                <w:rFonts w:hint="eastAsia" w:ascii="宋体" w:hAnsi="宋体" w:eastAsia="宋体" w:cs="宋体"/>
                <w:color w:val="auto"/>
                <w:sz w:val="21"/>
                <w:szCs w:val="21"/>
                <w:highlight w:val="none"/>
                <w:lang w:val="en-US" w:eastAsia="zh-CN"/>
              </w:rPr>
              <w:t>。</w:t>
            </w:r>
          </w:p>
        </w:tc>
        <w:tc>
          <w:tcPr>
            <w:tcW w:w="633" w:type="pct"/>
            <w:shd w:val="clear" w:color="auto" w:fill="auto"/>
            <w:vAlign w:val="center"/>
          </w:tcPr>
          <w:p w14:paraId="5137BD3E">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rPr>
              <w:t>1</w:t>
            </w:r>
            <w:r>
              <w:rPr>
                <w:rFonts w:hint="eastAsia" w:ascii="宋体" w:hAnsi="宋体" w:eastAsia="宋体" w:cs="宋体"/>
                <w:bCs/>
                <w:color w:val="auto"/>
                <w:sz w:val="21"/>
                <w:szCs w:val="21"/>
                <w:lang w:val="en-US" w:eastAsia="zh-CN"/>
              </w:rPr>
              <w:t>套</w:t>
            </w:r>
          </w:p>
        </w:tc>
        <w:tc>
          <w:tcPr>
            <w:tcW w:w="475" w:type="pct"/>
            <w:shd w:val="clear" w:color="auto" w:fill="auto"/>
            <w:vAlign w:val="center"/>
          </w:tcPr>
          <w:p w14:paraId="1778F6B8">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00" w:lineRule="auto"/>
              <w:ind w:left="0" w:right="0"/>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rPr>
              <w:t>工业</w:t>
            </w:r>
          </w:p>
        </w:tc>
      </w:tr>
    </w:tbl>
    <w:p w14:paraId="4B2365C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37" w:firstLineChars="0"/>
        <w:textAlignment w:val="auto"/>
        <w:outlineLvl w:val="1"/>
        <w:rPr>
          <w:rFonts w:ascii="宋体" w:hAnsi="宋体" w:eastAsia="宋体"/>
          <w:b/>
          <w:bCs/>
          <w:color w:val="auto"/>
          <w:sz w:val="21"/>
          <w:szCs w:val="15"/>
          <w:highlight w:val="none"/>
        </w:rPr>
      </w:pPr>
      <w:bookmarkStart w:id="9" w:name="_Toc12179"/>
      <w:r>
        <w:rPr>
          <w:rFonts w:hint="eastAsia" w:ascii="宋体" w:hAnsi="宋体" w:eastAsia="宋体" w:cs="@仿宋_GB2312"/>
          <w:b/>
          <w:bCs/>
          <w:color w:val="auto"/>
          <w:kern w:val="2"/>
          <w:sz w:val="21"/>
          <w:szCs w:val="15"/>
          <w:lang w:val="en-US" w:eastAsia="zh-CN" w:bidi="ar-SA"/>
        </w:rPr>
        <w:t>三、</w:t>
      </w:r>
      <w:r>
        <w:rPr>
          <w:rFonts w:hint="eastAsia" w:ascii="宋体" w:hAnsi="宋体" w:eastAsia="宋体"/>
          <w:b/>
          <w:bCs/>
          <w:color w:val="auto"/>
          <w:sz w:val="21"/>
          <w:szCs w:val="15"/>
          <w:highlight w:val="none"/>
          <w:lang w:val="en-US" w:eastAsia="zh-CN"/>
        </w:rPr>
        <w:t>其他要求</w:t>
      </w:r>
      <w:bookmarkEnd w:id="9"/>
    </w:p>
    <w:p w14:paraId="4C40810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37" w:firstLineChars="0"/>
        <w:textAlignment w:val="auto"/>
        <w:rPr>
          <w:rFonts w:hint="eastAsia" w:ascii="宋体" w:hAnsi="宋体" w:eastAsia="宋体"/>
          <w:bCs/>
          <w:color w:val="auto"/>
          <w:sz w:val="21"/>
          <w:szCs w:val="15"/>
          <w:highlight w:val="none"/>
        </w:rPr>
      </w:pPr>
      <w:r>
        <w:rPr>
          <w:rFonts w:hint="eastAsia" w:ascii="宋体" w:hAnsi="宋体" w:eastAsia="宋体" w:cs="@仿宋_GB2312"/>
          <w:bCs/>
          <w:color w:val="auto"/>
          <w:kern w:val="2"/>
          <w:sz w:val="21"/>
          <w:szCs w:val="15"/>
          <w:lang w:val="en-US" w:eastAsia="zh-CN" w:bidi="ar-SA"/>
        </w:rPr>
        <w:t>1.</w:t>
      </w:r>
      <w:r>
        <w:rPr>
          <w:rFonts w:hint="eastAsia" w:ascii="宋体" w:hAnsi="宋体" w:eastAsia="宋体"/>
          <w:bCs/>
          <w:color w:val="auto"/>
          <w:sz w:val="21"/>
          <w:szCs w:val="15"/>
          <w:highlight w:val="none"/>
        </w:rPr>
        <w:t xml:space="preserve">中标人提供软、硬件设备的现场安装、调试和开通，并保证整个系统的正常运行；保证不同时期提供的同类设备（软件、硬件）兼容，所供设备在使用之前，必须提供现场培训。 </w:t>
      </w:r>
    </w:p>
    <w:p w14:paraId="39F2682D">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37" w:firstLineChars="0"/>
        <w:textAlignment w:val="auto"/>
        <w:rPr>
          <w:rFonts w:hint="eastAsia" w:ascii="宋体" w:hAnsi="宋体" w:eastAsia="宋体"/>
          <w:bCs/>
          <w:color w:val="auto"/>
          <w:sz w:val="21"/>
          <w:szCs w:val="15"/>
          <w:highlight w:val="none"/>
        </w:rPr>
      </w:pPr>
      <w:r>
        <w:rPr>
          <w:rFonts w:hint="eastAsia" w:ascii="宋体" w:hAnsi="宋体" w:eastAsia="宋体" w:cs="@仿宋_GB2312"/>
          <w:bCs/>
          <w:color w:val="auto"/>
          <w:kern w:val="2"/>
          <w:sz w:val="21"/>
          <w:szCs w:val="15"/>
          <w:lang w:val="en-US" w:eastAsia="zh-CN" w:bidi="ar-SA"/>
        </w:rPr>
        <w:t>2.</w:t>
      </w:r>
      <w:r>
        <w:rPr>
          <w:rFonts w:hint="eastAsia" w:ascii="宋体" w:hAnsi="宋体" w:eastAsia="宋体"/>
          <w:bCs/>
          <w:color w:val="auto"/>
          <w:sz w:val="21"/>
          <w:szCs w:val="15"/>
          <w:highlight w:val="none"/>
        </w:rPr>
        <w:t xml:space="preserve">质保期内设备的软件升级、硬件保修由中标人承担。普通国产设备，质保期内，原生产厂提供全机免费保修。所有费用均包含在投标人的投标报价中，中标后采购人不再另行支付任何费用。 </w:t>
      </w:r>
    </w:p>
    <w:p w14:paraId="276BAF3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37" w:firstLineChars="0"/>
        <w:textAlignment w:val="auto"/>
        <w:rPr>
          <w:rFonts w:hint="eastAsia" w:ascii="宋体" w:hAnsi="宋体" w:eastAsia="宋体"/>
          <w:bCs/>
          <w:color w:val="auto"/>
          <w:sz w:val="21"/>
          <w:szCs w:val="15"/>
          <w:highlight w:val="none"/>
        </w:rPr>
      </w:pPr>
      <w:r>
        <w:rPr>
          <w:rFonts w:hint="eastAsia" w:ascii="宋体" w:hAnsi="宋体" w:eastAsia="宋体"/>
          <w:bCs/>
          <w:color w:val="auto"/>
          <w:sz w:val="21"/>
          <w:szCs w:val="15"/>
          <w:highlight w:val="none"/>
        </w:rPr>
        <w:t xml:space="preserve">3.任何出具检测数据的仪器设备在安装调试阶段或仪器设备验收前，中标人（供应商）应需免费提供一份委托方为采购人（安徽省产品质量监督检验研究院）名义的检定/校准合格证书一份，且计量参数指标为采购人确认合格。需在本地安装或移动后影响计量性能的仪器设备，应提供本地量值溯源机构的检定/校准合格证书一份（本地机构不具备量值溯源能力的除外）。 </w:t>
      </w:r>
    </w:p>
    <w:p w14:paraId="11B5722D">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37" w:firstLineChars="0"/>
        <w:textAlignment w:val="auto"/>
        <w:rPr>
          <w:rFonts w:hint="eastAsia" w:ascii="宋体" w:hAnsi="宋体" w:eastAsia="宋体"/>
          <w:bCs/>
          <w:color w:val="auto"/>
          <w:sz w:val="21"/>
          <w:szCs w:val="15"/>
          <w:highlight w:val="none"/>
        </w:rPr>
      </w:pPr>
      <w:r>
        <w:rPr>
          <w:rFonts w:hint="eastAsia" w:ascii="宋体" w:hAnsi="宋体" w:eastAsia="宋体"/>
          <w:bCs/>
          <w:color w:val="auto"/>
          <w:sz w:val="21"/>
          <w:szCs w:val="15"/>
          <w:highlight w:val="none"/>
        </w:rPr>
        <w:t>4.根据设备安装的复杂程度，需现场装配、安装的大型设备，以及设备本身所需水、电、气安装条件超过实验室原有的基本配置，设备供应商应通过现场勘察，并与相关实验室进行沟通，该部分费用包含在投标报价中，由中标人负责实施。</w:t>
      </w:r>
    </w:p>
    <w:p w14:paraId="65DDB67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37" w:firstLineChars="0"/>
        <w:textAlignment w:val="auto"/>
        <w:outlineLvl w:val="1"/>
        <w:rPr>
          <w:rFonts w:ascii="宋体" w:hAnsi="宋体" w:eastAsia="宋体"/>
          <w:b/>
          <w:bCs/>
          <w:color w:val="auto"/>
          <w:sz w:val="21"/>
          <w:szCs w:val="15"/>
          <w:highlight w:val="none"/>
        </w:rPr>
      </w:pPr>
      <w:bookmarkStart w:id="10" w:name="_Toc8438"/>
      <w:r>
        <w:rPr>
          <w:rFonts w:hint="eastAsia" w:ascii="宋体" w:hAnsi="宋体" w:eastAsia="宋体" w:cs="@仿宋_GB2312"/>
          <w:b/>
          <w:bCs/>
          <w:color w:val="auto"/>
          <w:kern w:val="2"/>
          <w:sz w:val="21"/>
          <w:szCs w:val="15"/>
          <w:lang w:val="en-US" w:eastAsia="zh-CN" w:bidi="ar-SA"/>
        </w:rPr>
        <w:t>四、</w:t>
      </w:r>
      <w:r>
        <w:rPr>
          <w:rFonts w:hint="eastAsia" w:ascii="宋体" w:hAnsi="宋体" w:eastAsia="宋体"/>
          <w:b/>
          <w:bCs/>
          <w:color w:val="auto"/>
          <w:sz w:val="21"/>
          <w:szCs w:val="15"/>
          <w:highlight w:val="none"/>
        </w:rPr>
        <w:t>报价要求</w:t>
      </w:r>
      <w:bookmarkEnd w:id="7"/>
      <w:bookmarkEnd w:id="8"/>
      <w:bookmarkEnd w:id="10"/>
    </w:p>
    <w:p w14:paraId="5E0F7599">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rPr>
          <w:rFonts w:ascii="宋体" w:hAnsi="宋体" w:eastAsia="宋体"/>
          <w:bCs/>
          <w:color w:val="auto"/>
          <w:sz w:val="21"/>
          <w:szCs w:val="15"/>
          <w:highlight w:val="none"/>
        </w:rPr>
      </w:pPr>
      <w:r>
        <w:rPr>
          <w:rFonts w:hint="eastAsia" w:ascii="宋体" w:hAnsi="宋体" w:eastAsia="宋体"/>
          <w:bCs/>
          <w:color w:val="auto"/>
          <w:sz w:val="21"/>
          <w:szCs w:val="15"/>
          <w:highlight w:val="none"/>
        </w:rPr>
        <w:t>本项目报总价，投标报价</w:t>
      </w:r>
      <w:r>
        <w:rPr>
          <w:rFonts w:ascii="宋体" w:hAnsi="宋体" w:eastAsia="宋体"/>
          <w:bCs/>
          <w:color w:val="auto"/>
          <w:sz w:val="21"/>
          <w:szCs w:val="15"/>
          <w:highlight w:val="none"/>
        </w:rPr>
        <w:t>包括</w:t>
      </w:r>
      <w:r>
        <w:rPr>
          <w:rFonts w:hint="eastAsia" w:ascii="宋体" w:hAnsi="宋体" w:eastAsia="宋体"/>
          <w:bCs/>
          <w:color w:val="auto"/>
          <w:sz w:val="21"/>
          <w:szCs w:val="15"/>
          <w:highlight w:val="none"/>
        </w:rPr>
        <w:t>本项目需求的全部货物及所需附件购置费、包装费、运输费、人工费、保险费</w:t>
      </w:r>
      <w:r>
        <w:rPr>
          <w:rFonts w:hint="eastAsia" w:ascii="宋体" w:hAnsi="宋体" w:eastAsia="宋体"/>
          <w:bCs/>
          <w:color w:val="auto"/>
          <w:sz w:val="21"/>
          <w:szCs w:val="15"/>
          <w:highlight w:val="none"/>
          <w:lang w:eastAsia="zh-CN"/>
        </w:rPr>
        <w:t>（</w:t>
      </w:r>
      <w:r>
        <w:rPr>
          <w:rFonts w:hint="eastAsia" w:ascii="宋体" w:hAnsi="宋体" w:eastAsia="宋体"/>
          <w:bCs/>
          <w:color w:val="auto"/>
          <w:sz w:val="21"/>
          <w:szCs w:val="15"/>
          <w:highlight w:val="none"/>
          <w:lang w:val="en-US" w:eastAsia="zh-CN"/>
        </w:rPr>
        <w:t>如有</w:t>
      </w:r>
      <w:r>
        <w:rPr>
          <w:rFonts w:hint="eastAsia" w:ascii="宋体" w:hAnsi="宋体" w:eastAsia="宋体"/>
          <w:bCs/>
          <w:color w:val="auto"/>
          <w:sz w:val="21"/>
          <w:szCs w:val="15"/>
          <w:highlight w:val="none"/>
          <w:lang w:eastAsia="zh-CN"/>
        </w:rPr>
        <w:t>）</w:t>
      </w:r>
      <w:r>
        <w:rPr>
          <w:rFonts w:hint="eastAsia" w:ascii="宋体" w:hAnsi="宋体" w:eastAsia="宋体"/>
          <w:bCs/>
          <w:color w:val="auto"/>
          <w:sz w:val="21"/>
          <w:szCs w:val="15"/>
          <w:highlight w:val="none"/>
        </w:rPr>
        <w:t>、安装调试费、各种税费、资料费、售后服务费及完成项目应有的全部费用。</w:t>
      </w:r>
    </w:p>
    <w:p w14:paraId="586FCA29">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b/>
          <w:bCs/>
          <w:color w:val="auto"/>
          <w:sz w:val="21"/>
          <w:szCs w:val="15"/>
          <w:highlight w:val="none"/>
        </w:rPr>
      </w:pPr>
      <w:bookmarkStart w:id="11" w:name="_Toc5724"/>
      <w:r>
        <w:rPr>
          <w:rFonts w:hint="eastAsia" w:ascii="宋体" w:hAnsi="宋体" w:eastAsia="宋体"/>
          <w:b/>
          <w:bCs/>
          <w:color w:val="auto"/>
          <w:sz w:val="21"/>
          <w:szCs w:val="15"/>
          <w:highlight w:val="none"/>
          <w:lang w:val="en-US" w:eastAsia="zh-CN"/>
        </w:rPr>
        <w:t>五</w:t>
      </w:r>
      <w:r>
        <w:rPr>
          <w:rFonts w:hint="eastAsia" w:ascii="宋体" w:hAnsi="宋体" w:eastAsia="宋体"/>
          <w:b/>
          <w:bCs/>
          <w:color w:val="auto"/>
          <w:sz w:val="21"/>
          <w:szCs w:val="15"/>
          <w:highlight w:val="none"/>
        </w:rPr>
        <w:t>、备品备件及专用工具</w:t>
      </w:r>
      <w:bookmarkEnd w:id="11"/>
    </w:p>
    <w:p w14:paraId="4CB33564">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12" w:name="_Toc7851"/>
      <w:bookmarkStart w:id="13" w:name="_Toc455587093"/>
      <w:bookmarkStart w:id="14" w:name="_Toc445554752"/>
      <w:bookmarkStart w:id="15" w:name="_Toc455587277"/>
      <w:r>
        <w:rPr>
          <w:rFonts w:ascii="宋体" w:hAnsi="宋体" w:eastAsia="宋体"/>
          <w:bCs/>
          <w:color w:val="auto"/>
          <w:sz w:val="21"/>
          <w:szCs w:val="15"/>
          <w:highlight w:val="none"/>
        </w:rPr>
        <w:t>1</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备品备件：中标人提供能够满足质量保证期内的设备维修要求的备品备件，备品备件应是新品。</w:t>
      </w:r>
      <w:bookmarkEnd w:id="12"/>
    </w:p>
    <w:p w14:paraId="48E56941">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16" w:name="_Toc15530"/>
      <w:r>
        <w:rPr>
          <w:rFonts w:ascii="宋体" w:hAnsi="宋体" w:eastAsia="宋体"/>
          <w:bCs/>
          <w:color w:val="auto"/>
          <w:sz w:val="21"/>
          <w:szCs w:val="15"/>
          <w:highlight w:val="none"/>
        </w:rPr>
        <w:t>2</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专用工具：中标人提供设备安装、调试、验收、维修、保养所必要的专用工具、仪器、仪表等工具。</w:t>
      </w:r>
      <w:bookmarkEnd w:id="16"/>
    </w:p>
    <w:bookmarkEnd w:id="13"/>
    <w:bookmarkEnd w:id="14"/>
    <w:bookmarkEnd w:id="15"/>
    <w:p w14:paraId="0CCA841F">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b/>
          <w:bCs/>
          <w:color w:val="auto"/>
          <w:sz w:val="21"/>
          <w:szCs w:val="15"/>
          <w:highlight w:val="none"/>
        </w:rPr>
      </w:pPr>
      <w:bookmarkStart w:id="17" w:name="_Toc532199625"/>
      <w:bookmarkStart w:id="18" w:name="_Toc11418"/>
      <w:bookmarkStart w:id="19" w:name="_Toc455587278"/>
      <w:bookmarkStart w:id="20" w:name="_Toc445554753"/>
      <w:bookmarkStart w:id="21" w:name="_Toc455587094"/>
      <w:r>
        <w:rPr>
          <w:rFonts w:hint="eastAsia" w:ascii="宋体" w:hAnsi="宋体" w:eastAsia="宋体"/>
          <w:b/>
          <w:bCs/>
          <w:color w:val="auto"/>
          <w:sz w:val="21"/>
          <w:szCs w:val="15"/>
          <w:highlight w:val="none"/>
          <w:lang w:val="en-US" w:eastAsia="zh-CN"/>
        </w:rPr>
        <w:t>六</w:t>
      </w:r>
      <w:r>
        <w:rPr>
          <w:rFonts w:hint="eastAsia" w:ascii="宋体" w:hAnsi="宋体" w:eastAsia="宋体"/>
          <w:b/>
          <w:bCs/>
          <w:color w:val="auto"/>
          <w:sz w:val="21"/>
          <w:szCs w:val="15"/>
          <w:highlight w:val="none"/>
        </w:rPr>
        <w:t>、安装调试、验收试验及质量保证</w:t>
      </w:r>
      <w:bookmarkEnd w:id="17"/>
      <w:bookmarkEnd w:id="18"/>
    </w:p>
    <w:p w14:paraId="377F0BAC">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22" w:name="_Toc29429"/>
      <w:r>
        <w:rPr>
          <w:rFonts w:ascii="宋体" w:hAnsi="宋体" w:eastAsia="宋体"/>
          <w:bCs/>
          <w:color w:val="auto"/>
          <w:sz w:val="21"/>
          <w:szCs w:val="15"/>
          <w:highlight w:val="none"/>
        </w:rPr>
        <w:t>1</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中标人在设备安装地点负责安装、调试。</w:t>
      </w:r>
      <w:bookmarkEnd w:id="22"/>
    </w:p>
    <w:p w14:paraId="2D1E71C7">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23" w:name="_Toc16786"/>
      <w:r>
        <w:rPr>
          <w:rFonts w:ascii="宋体" w:hAnsi="宋体" w:eastAsia="宋体"/>
          <w:bCs/>
          <w:color w:val="auto"/>
          <w:sz w:val="21"/>
          <w:szCs w:val="15"/>
          <w:highlight w:val="none"/>
        </w:rPr>
        <w:t>2</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具体设备验收标准和程序按采购人要求执行，下列验收程序可参照执行：</w:t>
      </w:r>
      <w:bookmarkEnd w:id="23"/>
    </w:p>
    <w:p w14:paraId="4BAB3CF3">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24" w:name="_Toc1056"/>
      <w:r>
        <w:rPr>
          <w:rFonts w:ascii="宋体" w:hAnsi="宋体" w:eastAsia="宋体"/>
          <w:bCs/>
          <w:color w:val="auto"/>
          <w:sz w:val="21"/>
          <w:szCs w:val="15"/>
          <w:highlight w:val="none"/>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涉及需要由质检或行业主管部门验收的项目，采购人须约请相关部门和专家参加项目验收。所有需要质检部门进行检测才能使用的设备，投标报价中必须包含首次检测费用。</w:t>
      </w:r>
      <w:bookmarkEnd w:id="24"/>
    </w:p>
    <w:p w14:paraId="359BED96">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25" w:name="_Toc14068"/>
      <w:r>
        <w:rPr>
          <w:rFonts w:ascii="宋体" w:hAnsi="宋体" w:eastAsia="宋体"/>
          <w:bCs/>
          <w:color w:val="auto"/>
          <w:sz w:val="21"/>
          <w:szCs w:val="15"/>
          <w:highlight w:val="none"/>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bookmarkEnd w:id="25"/>
    </w:p>
    <w:p w14:paraId="69423ED8">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26" w:name="_Toc24043"/>
      <w:r>
        <w:rPr>
          <w:rFonts w:ascii="宋体" w:hAnsi="宋体" w:eastAsia="宋体"/>
          <w:bCs/>
          <w:color w:val="auto"/>
          <w:sz w:val="21"/>
          <w:szCs w:val="15"/>
          <w:highlight w:val="none"/>
        </w:rPr>
        <w:t>2.3 中标人应根据采购人使用单位的技术要求提供相应的产品。由中标人所提供的设备部件间的连线和插接件均应视为设备内部器件，包含在相应的设备之中。</w:t>
      </w:r>
      <w:bookmarkEnd w:id="26"/>
    </w:p>
    <w:p w14:paraId="29C4457E">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27" w:name="_Toc24031"/>
      <w:r>
        <w:rPr>
          <w:rFonts w:ascii="宋体" w:hAnsi="宋体" w:eastAsia="宋体"/>
          <w:bCs/>
          <w:color w:val="auto"/>
          <w:sz w:val="21"/>
          <w:szCs w:val="15"/>
          <w:highlight w:val="none"/>
        </w:rPr>
        <w:t>2.4 运行测试及最终验收。在系统安装、调试结束后，采购人对其进行全面的测试，对测试中暴露出来的问题，中标人应及时进行整改，系统最终测试完毕经验收合格后，采购人应向中标人签发最终验收证明。</w:t>
      </w:r>
      <w:bookmarkEnd w:id="27"/>
    </w:p>
    <w:p w14:paraId="348DDE4E">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28" w:name="_Toc9709"/>
      <w:r>
        <w:rPr>
          <w:rFonts w:ascii="宋体" w:hAnsi="宋体" w:eastAsia="宋体"/>
          <w:bCs/>
          <w:color w:val="auto"/>
          <w:sz w:val="21"/>
          <w:szCs w:val="15"/>
          <w:highlight w:val="none"/>
        </w:rPr>
        <w:t>2.5 中标人应向采购人提供安装调试过程中的各种文档资料,以便采购人今后能掌握操作和维护方法。依据合同与合同有关条件、本招标文件的技术规范、系统配置要求、设备技术文件和系统说明书，以及国家和省部级等要求进行验收，验收分为预验收和竣工验收。</w:t>
      </w:r>
      <w:bookmarkEnd w:id="28"/>
    </w:p>
    <w:p w14:paraId="71EB9E39">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29" w:name="_Toc17072"/>
      <w:r>
        <w:rPr>
          <w:rFonts w:ascii="宋体" w:hAnsi="宋体" w:eastAsia="宋体"/>
          <w:bCs/>
          <w:color w:val="auto"/>
          <w:sz w:val="21"/>
          <w:szCs w:val="15"/>
          <w:highlight w:val="none"/>
        </w:rPr>
        <w:t>3</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如设备在验收时有一个或多个指标未能达到要求而属于中标人责任时，则中标人自费采取有效措施，在规定时间内使之达到保证指标。如在规定的时间内仍达不到合格标准时，则中标人应向采购人赔偿。</w:t>
      </w:r>
      <w:bookmarkEnd w:id="29"/>
    </w:p>
    <w:p w14:paraId="6F51ABC9">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b/>
          <w:bCs/>
          <w:color w:val="auto"/>
          <w:sz w:val="21"/>
          <w:szCs w:val="15"/>
          <w:highlight w:val="none"/>
        </w:rPr>
      </w:pPr>
      <w:bookmarkStart w:id="30" w:name="_Toc532199626"/>
      <w:bookmarkStart w:id="31" w:name="_Toc26512"/>
      <w:r>
        <w:rPr>
          <w:rFonts w:hint="eastAsia" w:ascii="宋体" w:hAnsi="宋体" w:eastAsia="宋体"/>
          <w:b/>
          <w:bCs/>
          <w:color w:val="auto"/>
          <w:sz w:val="21"/>
          <w:szCs w:val="15"/>
          <w:highlight w:val="none"/>
          <w:lang w:val="en-US" w:eastAsia="zh-CN"/>
        </w:rPr>
        <w:t>七</w:t>
      </w:r>
      <w:r>
        <w:rPr>
          <w:rFonts w:hint="eastAsia" w:ascii="宋体" w:hAnsi="宋体" w:eastAsia="宋体"/>
          <w:b/>
          <w:bCs/>
          <w:color w:val="auto"/>
          <w:sz w:val="21"/>
          <w:szCs w:val="15"/>
          <w:highlight w:val="none"/>
        </w:rPr>
        <w:t>、包装运输</w:t>
      </w:r>
      <w:bookmarkEnd w:id="19"/>
      <w:bookmarkEnd w:id="20"/>
      <w:bookmarkEnd w:id="21"/>
      <w:bookmarkEnd w:id="30"/>
      <w:bookmarkEnd w:id="31"/>
    </w:p>
    <w:p w14:paraId="15E7EF72">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32" w:name="_Toc14762"/>
      <w:bookmarkStart w:id="33" w:name="_Toc445554754"/>
      <w:bookmarkStart w:id="34" w:name="_Toc455587095"/>
      <w:bookmarkStart w:id="35" w:name="_Toc455587279"/>
      <w:r>
        <w:rPr>
          <w:rFonts w:ascii="宋体" w:hAnsi="宋体" w:eastAsia="宋体"/>
          <w:bCs/>
          <w:color w:val="auto"/>
          <w:sz w:val="21"/>
          <w:szCs w:val="15"/>
          <w:highlight w:val="none"/>
        </w:rPr>
        <w:t>1</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中标人负责设备包装、办理运输和保险，将设备安全运抵交货地点。</w:t>
      </w:r>
      <w:bookmarkEnd w:id="32"/>
    </w:p>
    <w:p w14:paraId="12352FA4">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36" w:name="_Toc10904"/>
      <w:r>
        <w:rPr>
          <w:rFonts w:ascii="宋体" w:hAnsi="宋体" w:eastAsia="宋体"/>
          <w:bCs/>
          <w:color w:val="auto"/>
          <w:sz w:val="21"/>
          <w:szCs w:val="15"/>
          <w:highlight w:val="none"/>
        </w:rPr>
        <w:t>2</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设备制造完成并通过试验后应及时包装，否则应得到切实的保护，确保其不受污损。</w:t>
      </w:r>
      <w:bookmarkEnd w:id="36"/>
    </w:p>
    <w:p w14:paraId="70205555">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37" w:name="_Toc26055"/>
      <w:r>
        <w:rPr>
          <w:rFonts w:ascii="宋体" w:hAnsi="宋体" w:eastAsia="宋体"/>
          <w:bCs/>
          <w:color w:val="auto"/>
          <w:sz w:val="21"/>
          <w:szCs w:val="15"/>
          <w:highlight w:val="none"/>
        </w:rPr>
        <w:t>3</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在包装箱外应标明采购人的订货号、发货号。</w:t>
      </w:r>
      <w:bookmarkEnd w:id="37"/>
    </w:p>
    <w:p w14:paraId="482D0909">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38" w:name="_Toc32577"/>
      <w:r>
        <w:rPr>
          <w:rFonts w:ascii="宋体" w:hAnsi="宋体" w:eastAsia="宋体"/>
          <w:bCs/>
          <w:color w:val="auto"/>
          <w:sz w:val="21"/>
          <w:szCs w:val="15"/>
          <w:highlight w:val="none"/>
        </w:rPr>
        <w:t>4</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各种包装应能确保各零部件在运输过程中不致遭到损坏、丢失、变形、受潮和腐蚀。</w:t>
      </w:r>
      <w:bookmarkEnd w:id="38"/>
    </w:p>
    <w:p w14:paraId="15AC681A">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39" w:name="_Toc13041"/>
      <w:r>
        <w:rPr>
          <w:rFonts w:ascii="宋体" w:hAnsi="宋体" w:eastAsia="宋体"/>
          <w:bCs/>
          <w:color w:val="auto"/>
          <w:sz w:val="21"/>
          <w:szCs w:val="15"/>
          <w:highlight w:val="none"/>
        </w:rPr>
        <w:t>5</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包装箱上应有明显的包装储运图示标志。</w:t>
      </w:r>
      <w:bookmarkEnd w:id="39"/>
    </w:p>
    <w:p w14:paraId="613991A6">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40" w:name="_Toc13306"/>
      <w:r>
        <w:rPr>
          <w:rFonts w:ascii="宋体" w:hAnsi="宋体" w:eastAsia="宋体"/>
          <w:bCs/>
          <w:color w:val="auto"/>
          <w:sz w:val="21"/>
          <w:szCs w:val="15"/>
          <w:highlight w:val="none"/>
        </w:rPr>
        <w:t>6</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整体产品或分别运输的部件都要适应运输和装载的要求。</w:t>
      </w:r>
      <w:bookmarkEnd w:id="40"/>
    </w:p>
    <w:p w14:paraId="1C4891F0">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41" w:name="_Toc18238"/>
      <w:r>
        <w:rPr>
          <w:rFonts w:ascii="宋体" w:hAnsi="宋体" w:eastAsia="宋体"/>
          <w:bCs/>
          <w:color w:val="auto"/>
          <w:sz w:val="21"/>
          <w:szCs w:val="15"/>
          <w:highlight w:val="none"/>
        </w:rPr>
        <w:t>7</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随产品提供的技术资料应完整无缺。</w:t>
      </w:r>
      <w:bookmarkEnd w:id="41"/>
    </w:p>
    <w:p w14:paraId="38CE4684">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b/>
          <w:bCs/>
          <w:color w:val="auto"/>
          <w:sz w:val="21"/>
          <w:szCs w:val="15"/>
          <w:highlight w:val="none"/>
        </w:rPr>
      </w:pPr>
      <w:bookmarkStart w:id="42" w:name="_Toc532199627"/>
      <w:bookmarkStart w:id="43" w:name="_Toc19176"/>
      <w:r>
        <w:rPr>
          <w:rFonts w:hint="eastAsia" w:ascii="宋体" w:hAnsi="宋体" w:eastAsia="宋体"/>
          <w:b/>
          <w:bCs/>
          <w:color w:val="auto"/>
          <w:sz w:val="21"/>
          <w:szCs w:val="15"/>
          <w:highlight w:val="none"/>
          <w:lang w:val="en-US" w:eastAsia="zh-CN"/>
        </w:rPr>
        <w:t>八</w:t>
      </w:r>
      <w:r>
        <w:rPr>
          <w:rFonts w:hint="eastAsia" w:ascii="宋体" w:hAnsi="宋体" w:eastAsia="宋体"/>
          <w:b/>
          <w:bCs/>
          <w:color w:val="auto"/>
          <w:sz w:val="21"/>
          <w:szCs w:val="15"/>
          <w:highlight w:val="none"/>
        </w:rPr>
        <w:t>、技术培训</w:t>
      </w:r>
      <w:bookmarkEnd w:id="33"/>
      <w:bookmarkEnd w:id="34"/>
      <w:bookmarkEnd w:id="35"/>
      <w:bookmarkEnd w:id="42"/>
      <w:bookmarkEnd w:id="43"/>
    </w:p>
    <w:p w14:paraId="418E978B">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44" w:name="_Toc11077"/>
      <w:r>
        <w:rPr>
          <w:rFonts w:ascii="宋体" w:hAnsi="宋体" w:eastAsia="宋体"/>
          <w:bCs/>
          <w:color w:val="auto"/>
          <w:sz w:val="21"/>
          <w:szCs w:val="15"/>
          <w:highlight w:val="none"/>
        </w:rPr>
        <w:t>1</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为使合同设备能正常安装和运行，由中标人提供相应的技术培训，并免收采购人培训费用。培训内容应与工程进度相一致。</w:t>
      </w:r>
      <w:bookmarkEnd w:id="44"/>
    </w:p>
    <w:p w14:paraId="6E4F5DB9">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45" w:name="_Toc9488"/>
      <w:r>
        <w:rPr>
          <w:rFonts w:ascii="宋体" w:hAnsi="宋体" w:eastAsia="宋体"/>
          <w:bCs/>
          <w:color w:val="auto"/>
          <w:sz w:val="21"/>
          <w:szCs w:val="15"/>
          <w:highlight w:val="none"/>
        </w:rPr>
        <w:t>2</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培训的时间、人数、地点等具体内容由买卖双方商定，内容至少包括：设备原理、使用、维护、运行操作、常见故障处理等。</w:t>
      </w:r>
      <w:bookmarkEnd w:id="45"/>
    </w:p>
    <w:p w14:paraId="03B6D717">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b/>
          <w:bCs/>
          <w:color w:val="auto"/>
          <w:sz w:val="21"/>
          <w:szCs w:val="15"/>
          <w:highlight w:val="none"/>
        </w:rPr>
      </w:pPr>
      <w:bookmarkStart w:id="46" w:name="_Toc25081"/>
      <w:bookmarkStart w:id="47" w:name="_Toc532199628"/>
      <w:r>
        <w:rPr>
          <w:rFonts w:hint="eastAsia" w:ascii="宋体" w:hAnsi="宋体" w:eastAsia="宋体"/>
          <w:b/>
          <w:bCs/>
          <w:color w:val="auto"/>
          <w:sz w:val="21"/>
          <w:szCs w:val="15"/>
          <w:highlight w:val="none"/>
          <w:lang w:val="en-US" w:eastAsia="zh-CN"/>
        </w:rPr>
        <w:t>九</w:t>
      </w:r>
      <w:r>
        <w:rPr>
          <w:rFonts w:hint="eastAsia" w:ascii="宋体" w:hAnsi="宋体" w:eastAsia="宋体"/>
          <w:b/>
          <w:bCs/>
          <w:color w:val="auto"/>
          <w:sz w:val="21"/>
          <w:szCs w:val="15"/>
          <w:highlight w:val="none"/>
        </w:rPr>
        <w:t>、质保及售后服务</w:t>
      </w:r>
      <w:bookmarkEnd w:id="46"/>
    </w:p>
    <w:p w14:paraId="2F496851">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15"/>
          <w:highlight w:val="none"/>
        </w:rPr>
      </w:pPr>
      <w:bookmarkStart w:id="48" w:name="_Toc31632"/>
      <w:r>
        <w:rPr>
          <w:rFonts w:ascii="宋体" w:hAnsi="宋体" w:eastAsia="宋体"/>
          <w:bCs/>
          <w:color w:val="auto"/>
          <w:sz w:val="21"/>
          <w:szCs w:val="15"/>
          <w:highlight w:val="none"/>
        </w:rPr>
        <w:t>1</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自双方签订《验收报告》起进入免费质保期。</w:t>
      </w:r>
      <w:bookmarkEnd w:id="48"/>
      <w:bookmarkStart w:id="49" w:name="_Toc4165"/>
    </w:p>
    <w:p w14:paraId="73A56397">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color w:val="auto"/>
        </w:rPr>
      </w:pPr>
      <w:r>
        <w:rPr>
          <w:rFonts w:ascii="宋体" w:hAnsi="宋体" w:eastAsia="宋体"/>
          <w:bCs/>
          <w:color w:val="auto"/>
          <w:sz w:val="21"/>
          <w:szCs w:val="15"/>
          <w:highlight w:val="none"/>
        </w:rPr>
        <w:t>2</w:t>
      </w:r>
      <w:r>
        <w:rPr>
          <w:rFonts w:hint="eastAsia" w:ascii="宋体" w:hAnsi="宋体" w:eastAsia="宋体"/>
          <w:bCs/>
          <w:color w:val="auto"/>
          <w:sz w:val="21"/>
          <w:szCs w:val="15"/>
          <w:highlight w:val="none"/>
          <w:lang w:eastAsia="zh-CN"/>
        </w:rPr>
        <w:t>.</w:t>
      </w:r>
      <w:r>
        <w:rPr>
          <w:rFonts w:ascii="宋体" w:hAnsi="宋体" w:eastAsia="宋体"/>
          <w:bCs/>
          <w:color w:val="auto"/>
          <w:sz w:val="21"/>
          <w:szCs w:val="15"/>
          <w:highlight w:val="none"/>
        </w:rPr>
        <w:t>在质保期间内，非采购人过失和故意并且在正常使用的情况下发现商品有缺陷，中标人将免费修理或替换该设备；在质保期间内，非采购人过失和故意并且在正常使用的情况下设备发生故障，中标人应及时提供免费服务。</w:t>
      </w:r>
      <w:bookmarkEnd w:id="47"/>
      <w:bookmarkEnd w:id="49"/>
    </w:p>
    <w:bookmarkEnd w:id="5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14F773"/>
    <w:multiLevelType w:val="singleLevel"/>
    <w:tmpl w:val="4914F773"/>
    <w:lvl w:ilvl="0" w:tentative="0">
      <w:start w:val="1"/>
      <w:numFmt w:val="decimal"/>
      <w:suff w:val="nothing"/>
      <w:lvlText w:val="%1"/>
      <w:lvlJc w:val="left"/>
      <w:pPr>
        <w:ind w:left="0" w:leftChars="0" w:firstLine="0" w:firstLineChars="0"/>
      </w:pPr>
      <w:rPr>
        <w:rFonts w:hint="default"/>
      </w:rPr>
    </w:lvl>
  </w:abstractNum>
  <w:abstractNum w:abstractNumId="1">
    <w:nsid w:val="608ED2E8"/>
    <w:multiLevelType w:val="singleLevel"/>
    <w:tmpl w:val="608ED2E8"/>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C72D52"/>
    <w:rsid w:val="45C72D52"/>
    <w:rsid w:val="73D431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pPr>
    <w:rPr>
      <w:rFonts w:ascii="@微软简标宋" w:hAnsi="@微软简标宋" w:eastAsia="@微软简标宋" w:cs="@微软简标宋"/>
      <w:szCs w:val="24"/>
      <w:lang w:val="zh-CN"/>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D&amp;L"/>
    <w:basedOn w:val="3"/>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7">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1345</Words>
  <Characters>1434</Characters>
  <Lines>0</Lines>
  <Paragraphs>0</Paragraphs>
  <TotalTime>0</TotalTime>
  <ScaleCrop>false</ScaleCrop>
  <LinksUpToDate>false</LinksUpToDate>
  <CharactersWithSpaces>1438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2026-05-15T08:07:00Z</dcterms:created>
  <dc:creator>xmy</dc:creator>
  <cp:lastModifiedBy>省招</cp:lastModifiedBy>
  <dcterms:modified xsi:type="dcterms:W3CDTF">2026-05-15T11:44:18Z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E321DA33EEAE4E28A6A63B167985D2CE_11</vt:lpwstr>
  </property>
  <property fmtid="{D5CDD505-2E9C-101B-9397-08002B2CF9AE}" pid="4" name="KSOTemplateDocerSaveRecord">
    <vt:lpwstr>eyJoZGlkIjoiMjFlNDcxMzhjZTVlNDBjMzBjMjM4MDQwMDM2MDcyZTEiLCJ1c2VySWQiOiI4ODgyMDUxMzUifQ==</vt:lpwstr>
  </property>
</Properties>
</file>