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9D19E">
      <w:pPr>
        <w:pStyle w:val="2"/>
        <w:widowControl/>
        <w:snapToGrid w:val="0"/>
        <w:spacing w:before="0" w:after="0" w:line="360" w:lineRule="auto"/>
        <w:jc w:val="center"/>
        <w:rPr>
          <w:rFonts w:hint="eastAsia" w:ascii="宋体" w:hAnsi="宋体" w:eastAsia="仿宋"/>
          <w:color w:val="auto"/>
        </w:rPr>
      </w:pPr>
      <w:bookmarkStart w:id="0" w:name="_Toc466024555"/>
      <w:bookmarkStart w:id="1" w:name="_Toc445554746"/>
      <w:bookmarkStart w:id="2" w:name="_Toc28978"/>
      <w:r>
        <w:rPr>
          <w:rFonts w:hint="eastAsia" w:ascii="宋体" w:hAnsi="宋体" w:eastAsia="仿宋"/>
          <w:color w:val="auto"/>
        </w:rPr>
        <w:t>采购需求</w:t>
      </w:r>
      <w:bookmarkEnd w:id="0"/>
      <w:bookmarkEnd w:id="1"/>
      <w:bookmarkEnd w:id="2"/>
    </w:p>
    <w:p w14:paraId="4337824E">
      <w:pPr>
        <w:pStyle w:val="3"/>
        <w:rPr>
          <w:rStyle w:val="7"/>
          <w:rFonts w:ascii="宋体" w:hAnsi="宋体" w:eastAsia="仿宋"/>
          <w:b/>
          <w:bCs/>
          <w:color w:val="auto"/>
          <w:sz w:val="24"/>
          <w:szCs w:val="24"/>
        </w:rPr>
      </w:pPr>
      <w:bookmarkStart w:id="3" w:name="_Toc455587273"/>
      <w:bookmarkStart w:id="4" w:name="_Toc455587089"/>
      <w:bookmarkStart w:id="5" w:name="_Toc466024556"/>
      <w:bookmarkStart w:id="6" w:name="_Toc445554747"/>
      <w:r>
        <w:rPr>
          <w:rStyle w:val="7"/>
          <w:rFonts w:hint="eastAsia" w:ascii="宋体" w:hAnsi="宋体" w:eastAsia="仿宋"/>
          <w:b/>
          <w:bCs/>
          <w:color w:val="auto"/>
          <w:sz w:val="24"/>
          <w:szCs w:val="24"/>
        </w:rPr>
        <w:t xml:space="preserve">1. </w:t>
      </w:r>
      <w:bookmarkEnd w:id="3"/>
      <w:bookmarkEnd w:id="4"/>
      <w:bookmarkEnd w:id="5"/>
      <w:r>
        <w:rPr>
          <w:rStyle w:val="7"/>
          <w:rFonts w:hint="eastAsia" w:ascii="宋体" w:hAnsi="宋体" w:eastAsia="仿宋"/>
          <w:b/>
          <w:bCs/>
          <w:color w:val="auto"/>
          <w:sz w:val="24"/>
          <w:szCs w:val="24"/>
        </w:rPr>
        <w:t>总体说明</w:t>
      </w:r>
    </w:p>
    <w:p w14:paraId="7E11D4BE">
      <w:pPr>
        <w:widowControl/>
        <w:tabs>
          <w:tab w:val="left" w:pos="1406"/>
        </w:tabs>
        <w:snapToGrid w:val="0"/>
        <w:spacing w:line="360" w:lineRule="auto"/>
        <w:ind w:firstLine="480" w:firstLineChars="200"/>
        <w:rPr>
          <w:rFonts w:hint="eastAsia" w:ascii="宋体" w:hAnsi="宋体" w:eastAsia="仿宋"/>
          <w:color w:val="auto"/>
          <w:sz w:val="24"/>
        </w:rPr>
      </w:pPr>
      <w:r>
        <w:rPr>
          <w:rFonts w:hint="eastAsia" w:ascii="宋体" w:hAnsi="宋体" w:eastAsia="仿宋"/>
          <w:color w:val="auto"/>
          <w:sz w:val="24"/>
        </w:rPr>
        <w:t>1.1 本章所提出的技术要求是对本次采购的基本要求，并未涉及所有技术细节，也未充分引述有关标准、规范的全部条款。供应商应保证除了满足本技术要求外，还应符合中国国家、行业、地方或</w:t>
      </w:r>
      <w:r>
        <w:rPr>
          <w:rFonts w:hint="eastAsia" w:ascii="仿宋" w:hAnsi="仿宋" w:eastAsia="仿宋" w:cs="仿宋"/>
          <w:color w:val="auto"/>
          <w:sz w:val="24"/>
        </w:rPr>
        <w:t>服务提供商</w:t>
      </w:r>
      <w:r>
        <w:rPr>
          <w:rFonts w:hint="eastAsia" w:ascii="宋体" w:hAnsi="宋体" w:eastAsia="仿宋"/>
          <w:color w:val="auto"/>
          <w:sz w:val="24"/>
        </w:rPr>
        <w:t>所在国的有关强制性标准、规范。当上述标准、规范的有关规定之间存在差异时，应以要求高的为准。</w:t>
      </w:r>
    </w:p>
    <w:p w14:paraId="69EE82C7">
      <w:pPr>
        <w:widowControl/>
        <w:tabs>
          <w:tab w:val="left" w:pos="1406"/>
        </w:tabs>
        <w:snapToGrid w:val="0"/>
        <w:spacing w:line="360" w:lineRule="auto"/>
        <w:ind w:firstLine="480" w:firstLineChars="200"/>
        <w:rPr>
          <w:rFonts w:hint="eastAsia" w:ascii="宋体" w:hAnsi="宋体" w:eastAsia="仿宋"/>
          <w:color w:val="auto"/>
          <w:sz w:val="24"/>
        </w:rPr>
      </w:pPr>
      <w:r>
        <w:rPr>
          <w:rFonts w:hint="eastAsia" w:ascii="宋体" w:hAnsi="宋体" w:eastAsia="仿宋"/>
          <w:color w:val="auto"/>
          <w:sz w:val="24"/>
        </w:rPr>
        <w:t>1.2 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0159224D">
      <w:pPr>
        <w:widowControl/>
        <w:tabs>
          <w:tab w:val="left" w:pos="1406"/>
        </w:tabs>
        <w:snapToGrid w:val="0"/>
        <w:spacing w:line="360" w:lineRule="auto"/>
        <w:ind w:firstLine="480" w:firstLineChars="200"/>
        <w:rPr>
          <w:rFonts w:hint="eastAsia" w:ascii="宋体" w:hAnsi="宋体" w:eastAsia="仿宋"/>
          <w:color w:val="auto"/>
          <w:sz w:val="24"/>
        </w:rPr>
      </w:pPr>
      <w:r>
        <w:rPr>
          <w:rFonts w:hint="eastAsia" w:ascii="宋体" w:hAnsi="宋体" w:eastAsia="仿宋"/>
          <w:color w:val="auto"/>
          <w:sz w:val="24"/>
        </w:rPr>
        <w:t>1.3 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4560744C">
      <w:pPr>
        <w:widowControl/>
        <w:tabs>
          <w:tab w:val="left" w:pos="1406"/>
        </w:tabs>
        <w:snapToGrid w:val="0"/>
        <w:spacing w:line="360" w:lineRule="auto"/>
        <w:ind w:firstLine="480" w:firstLineChars="200"/>
        <w:rPr>
          <w:rFonts w:ascii="宋体" w:hAnsi="宋体" w:eastAsia="仿宋"/>
          <w:color w:val="auto"/>
          <w:sz w:val="24"/>
        </w:rPr>
      </w:pPr>
      <w:r>
        <w:rPr>
          <w:rFonts w:hint="eastAsia" w:ascii="宋体" w:hAnsi="宋体" w:eastAsia="仿宋"/>
          <w:color w:val="auto"/>
          <w:sz w:val="24"/>
        </w:rPr>
        <w:t>1.4 对于标注“※”条款（如有）的规定见第二章供应商须知前附表第6.2.3项；实质性变动的内容，须经采购人代表确认。</w:t>
      </w:r>
    </w:p>
    <w:p w14:paraId="613F858D">
      <w:pPr>
        <w:pStyle w:val="3"/>
        <w:rPr>
          <w:rFonts w:hint="eastAsia" w:ascii="仿宋" w:hAnsi="仿宋" w:eastAsia="仿宋" w:cs="仿宋"/>
          <w:color w:val="auto"/>
          <w:sz w:val="24"/>
          <w:szCs w:val="24"/>
        </w:rPr>
      </w:pPr>
      <w:r>
        <w:rPr>
          <w:rFonts w:ascii="宋体" w:hAnsi="宋体" w:eastAsia="仿宋"/>
          <w:color w:val="auto"/>
          <w:sz w:val="24"/>
        </w:rPr>
        <w:t xml:space="preserve">2. </w:t>
      </w:r>
      <w:r>
        <w:rPr>
          <w:rFonts w:hint="eastAsia" w:ascii="仿宋" w:hAnsi="仿宋" w:eastAsia="仿宋" w:cs="仿宋"/>
          <w:color w:val="auto"/>
          <w:sz w:val="24"/>
          <w:szCs w:val="24"/>
        </w:rPr>
        <w:t>项目概况及总体要求</w:t>
      </w:r>
    </w:p>
    <w:p w14:paraId="37C81BB8">
      <w:pPr>
        <w:spacing w:before="120" w:after="120" w:line="360" w:lineRule="auto"/>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2.1 项目概况</w:t>
      </w:r>
    </w:p>
    <w:p w14:paraId="755E5E50">
      <w:pPr>
        <w:spacing w:before="120" w:after="120" w:line="360" w:lineRule="auto"/>
        <w:ind w:firstLine="480" w:firstLineChars="200"/>
        <w:textAlignment w:val="baseline"/>
        <w:rPr>
          <w:rFonts w:hint="eastAsia" w:ascii="仿宋" w:hAnsi="仿宋" w:eastAsia="仿宋" w:cs="仿宋"/>
          <w:color w:val="auto"/>
          <w:sz w:val="24"/>
          <w:lang w:eastAsia="zh-CN"/>
        </w:rPr>
      </w:pPr>
      <w:r>
        <w:rPr>
          <w:rFonts w:hint="eastAsia" w:ascii="仿宋" w:hAnsi="仿宋" w:eastAsia="仿宋" w:cs="仿宋"/>
          <w:color w:val="auto"/>
          <w:sz w:val="24"/>
          <w:lang w:eastAsia="zh-CN"/>
        </w:rPr>
        <w:t>项目是对安徽开放大学九华山路3号校区内原城建学院办公楼（建筑面积约2100平方米，六层框架结构）进行改造，建为学校师生休闲、文化、艺术以及运动等场所。</w:t>
      </w:r>
    </w:p>
    <w:p w14:paraId="0480E2A1">
      <w:pPr>
        <w:spacing w:before="120" w:after="120" w:line="360" w:lineRule="auto"/>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2.2 施工范围</w:t>
      </w:r>
    </w:p>
    <w:p w14:paraId="44C7868C">
      <w:pPr>
        <w:spacing w:before="120" w:after="120" w:line="360" w:lineRule="auto"/>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项目位于安徽开放大学九华山路3号校区，针对校区内原城建学院办公楼（建筑面积约2100平方米，六层框架结构）进行改造。具体改造内容为：拆除3-6层原室内隔断等设施、更换门窗、翻新顶、墙、地面等，增加楼梯等，增添相关运动设施，辅助设备等，改建为学校师生休闲、文化、艺术以及运动等场所，包括瑜伽室、形体室、舞蹈室、棋牌室、多功能厅以及配套更衣室、休息室、洗手间；同时对1-2层墙面、窗户等做相应改造。具体详见采购文件和工程量清单等。</w:t>
      </w:r>
    </w:p>
    <w:p w14:paraId="32A195A0">
      <w:pPr>
        <w:spacing w:before="120" w:after="120" w:line="360" w:lineRule="auto"/>
        <w:ind w:firstLine="480" w:firstLineChars="200"/>
        <w:textAlignment w:val="baseline"/>
        <w:rPr>
          <w:rFonts w:ascii="仿宋" w:hAnsi="仿宋" w:eastAsia="仿宋" w:cs="仿宋"/>
          <w:b/>
          <w:bCs/>
          <w:color w:val="auto"/>
          <w:sz w:val="24"/>
        </w:rPr>
      </w:pPr>
      <w:r>
        <w:rPr>
          <w:rFonts w:hint="eastAsia" w:ascii="仿宋" w:hAnsi="仿宋" w:eastAsia="仿宋" w:cs="仿宋"/>
          <w:color w:val="auto"/>
          <w:sz w:val="24"/>
        </w:rPr>
        <w:t>2.3 采购包（标段）划分：1个包</w:t>
      </w:r>
    </w:p>
    <w:p w14:paraId="283EC462">
      <w:pPr>
        <w:pStyle w:val="3"/>
        <w:rPr>
          <w:rFonts w:ascii="宋体" w:hAnsi="宋体" w:eastAsia="仿宋"/>
          <w:color w:val="auto"/>
          <w:sz w:val="24"/>
        </w:rPr>
      </w:pPr>
      <w:r>
        <w:rPr>
          <w:rFonts w:hint="eastAsia" w:ascii="宋体" w:hAnsi="宋体" w:eastAsia="仿宋"/>
          <w:color w:val="auto"/>
          <w:sz w:val="24"/>
        </w:rPr>
        <w:t>3</w:t>
      </w:r>
      <w:r>
        <w:rPr>
          <w:rFonts w:ascii="宋体" w:hAnsi="宋体" w:eastAsia="仿宋"/>
          <w:color w:val="auto"/>
          <w:sz w:val="24"/>
        </w:rPr>
        <w:t>. 商务要求</w:t>
      </w:r>
    </w:p>
    <w:p w14:paraId="01730FC3">
      <w:pPr>
        <w:rPr>
          <w:rFonts w:hint="eastAsia" w:ascii="仿宋" w:hAnsi="仿宋" w:eastAsia="仿宋" w:cs="仿宋"/>
          <w:b/>
          <w:bCs/>
          <w:color w:val="auto"/>
          <w:sz w:val="24"/>
          <w:szCs w:val="32"/>
        </w:rPr>
      </w:pPr>
      <w:r>
        <w:rPr>
          <w:rFonts w:hint="eastAsia" w:ascii="仿宋" w:hAnsi="仿宋" w:eastAsia="仿宋" w:cs="仿宋"/>
          <w:b/>
          <w:bCs/>
          <w:color w:val="auto"/>
          <w:sz w:val="24"/>
          <w:szCs w:val="32"/>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4EB4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7CC14775">
            <w:pPr>
              <w:widowControl/>
              <w:jc w:val="center"/>
              <w:rPr>
                <w:rFonts w:hint="eastAsia" w:ascii="宋体" w:hAnsi="宋体" w:eastAsia="仿宋"/>
                <w:color w:val="auto"/>
                <w:sz w:val="24"/>
                <w:highlight w:val="none"/>
              </w:rPr>
            </w:pPr>
            <w:r>
              <w:rPr>
                <w:rFonts w:hint="eastAsia" w:ascii="宋体" w:hAnsi="宋体" w:eastAsia="仿宋"/>
                <w:color w:val="auto"/>
                <w:sz w:val="24"/>
                <w:highlight w:val="none"/>
              </w:rPr>
              <w:t>合同履行期限（工期）</w:t>
            </w:r>
          </w:p>
        </w:tc>
        <w:tc>
          <w:tcPr>
            <w:tcW w:w="7479" w:type="dxa"/>
            <w:noWrap w:val="0"/>
            <w:vAlign w:val="top"/>
          </w:tcPr>
          <w:p w14:paraId="2BBF81B6">
            <w:pPr>
              <w:widowControl/>
              <w:adjustRightInd w:val="0"/>
              <w:snapToGrid w:val="0"/>
              <w:spacing w:line="288" w:lineRule="auto"/>
              <w:rPr>
                <w:rFonts w:ascii="楷体" w:hAnsi="楷体" w:eastAsia="仿宋" w:cs="Calibri"/>
                <w:color w:val="auto"/>
                <w:sz w:val="24"/>
                <w:highlight w:val="none"/>
              </w:rPr>
            </w:pPr>
            <w:r>
              <w:rPr>
                <w:rFonts w:hint="eastAsia" w:ascii="宋体" w:hAnsi="宋体" w:eastAsia="仿宋" w:cs="Calibri"/>
                <w:color w:val="auto"/>
                <w:sz w:val="24"/>
                <w:highlight w:val="none"/>
                <w:u w:val="single"/>
                <w:lang w:val="en-US" w:eastAsia="zh-CN"/>
              </w:rPr>
              <w:t>40</w:t>
            </w:r>
            <w:r>
              <w:rPr>
                <w:rFonts w:hint="eastAsia" w:ascii="宋体" w:hAnsi="宋体" w:eastAsia="仿宋" w:cs="Calibri"/>
                <w:color w:val="auto"/>
                <w:sz w:val="24"/>
                <w:highlight w:val="none"/>
              </w:rPr>
              <w:t>日历天</w:t>
            </w:r>
          </w:p>
          <w:p w14:paraId="54A443CB">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7C9EDFAD">
            <w:pPr>
              <w:pStyle w:val="8"/>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21E57081">
            <w:pPr>
              <w:pStyle w:val="8"/>
              <w:ind w:firstLine="2160" w:firstLineChars="9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宋体" w:hAnsi="宋体" w:eastAsia="仿宋" w:cs="Calibri"/>
                <w:color w:val="auto"/>
                <w:sz w:val="24"/>
                <w:highlight w:val="none"/>
              </w:rPr>
              <w:t>/</w:t>
            </w:r>
          </w:p>
        </w:tc>
      </w:tr>
      <w:tr w14:paraId="3FF0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576A9A0F">
            <w:pPr>
              <w:widowControl/>
              <w:jc w:val="center"/>
              <w:rPr>
                <w:rFonts w:ascii="宋体" w:hAnsi="宋体" w:eastAsia="仿宋"/>
                <w:color w:val="auto"/>
                <w:sz w:val="24"/>
                <w:highlight w:val="none"/>
              </w:rPr>
            </w:pPr>
            <w:r>
              <w:rPr>
                <w:rFonts w:hint="eastAsia" w:ascii="宋体" w:hAnsi="宋体" w:eastAsia="仿宋"/>
                <w:color w:val="auto"/>
                <w:sz w:val="24"/>
                <w:highlight w:val="none"/>
              </w:rPr>
              <w:t>工程地点</w:t>
            </w:r>
          </w:p>
        </w:tc>
        <w:tc>
          <w:tcPr>
            <w:tcW w:w="7479" w:type="dxa"/>
            <w:noWrap w:val="0"/>
            <w:vAlign w:val="top"/>
          </w:tcPr>
          <w:p w14:paraId="764E1692">
            <w:pPr>
              <w:pStyle w:val="8"/>
              <w:ind w:firstLine="0" w:firstLineChars="0"/>
              <w:rPr>
                <w:rFonts w:ascii="宋体" w:hAnsi="宋体" w:eastAsia="仿宋"/>
                <w:color w:val="auto"/>
                <w:sz w:val="24"/>
                <w:highlight w:val="none"/>
              </w:rPr>
            </w:pPr>
            <w:r>
              <w:rPr>
                <w:rFonts w:hint="eastAsia" w:ascii="宋体" w:hAnsi="宋体" w:eastAsia="仿宋"/>
                <w:color w:val="auto"/>
                <w:sz w:val="24"/>
                <w:highlight w:val="none"/>
                <w:lang w:eastAsia="zh-CN"/>
              </w:rPr>
              <w:t>安徽开放大学</w:t>
            </w:r>
            <w:r>
              <w:rPr>
                <w:rFonts w:hint="eastAsia" w:ascii="宋体" w:hAnsi="宋体" w:eastAsia="仿宋"/>
                <w:color w:val="auto"/>
                <w:sz w:val="24"/>
                <w:highlight w:val="none"/>
              </w:rPr>
              <w:t>，采购人指定地点</w:t>
            </w:r>
          </w:p>
        </w:tc>
      </w:tr>
      <w:tr w14:paraId="1B64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3D1E7B34">
            <w:pPr>
              <w:pStyle w:val="8"/>
              <w:ind w:firstLine="0" w:firstLineChars="0"/>
              <w:jc w:val="center"/>
              <w:rPr>
                <w:rFonts w:ascii="宋体" w:hAnsi="宋体" w:eastAsia="仿宋"/>
                <w:color w:val="auto"/>
                <w:sz w:val="24"/>
                <w:highlight w:val="none"/>
              </w:rPr>
            </w:pPr>
            <w:r>
              <w:rPr>
                <w:rFonts w:hint="eastAsia" w:ascii="宋体" w:hAnsi="宋体" w:eastAsia="仿宋"/>
                <w:color w:val="auto"/>
                <w:sz w:val="24"/>
                <w:highlight w:val="none"/>
              </w:rPr>
              <w:t>付款方式</w:t>
            </w:r>
          </w:p>
        </w:tc>
        <w:tc>
          <w:tcPr>
            <w:tcW w:w="7479" w:type="dxa"/>
            <w:noWrap w:val="0"/>
            <w:vAlign w:val="top"/>
          </w:tcPr>
          <w:p w14:paraId="5C500155">
            <w:pPr>
              <w:rPr>
                <w:color w:val="auto"/>
                <w:highlight w:val="none"/>
              </w:rPr>
            </w:pPr>
            <w:r>
              <w:rPr>
                <w:rFonts w:hint="eastAsia" w:ascii="宋体" w:hAnsi="宋体" w:eastAsia="仿宋" w:cs="Calibri"/>
                <w:color w:val="auto"/>
                <w:sz w:val="24"/>
                <w:highlight w:val="none"/>
              </w:rPr>
              <w:t>支付方式：项目施工结束，验收合格后支付合同金额85%；</w:t>
            </w:r>
            <w:r>
              <w:rPr>
                <w:rFonts w:hint="eastAsia" w:ascii="宋体" w:hAnsi="宋体" w:eastAsia="仿宋" w:cs="Calibri"/>
                <w:color w:val="auto"/>
                <w:sz w:val="24"/>
                <w:highlight w:val="none"/>
                <w:lang w:val="en-US" w:eastAsia="zh-CN"/>
              </w:rPr>
              <w:t>完成</w:t>
            </w:r>
            <w:r>
              <w:rPr>
                <w:rFonts w:hint="eastAsia" w:ascii="宋体" w:hAnsi="宋体" w:eastAsia="仿宋" w:cs="Calibri"/>
                <w:color w:val="auto"/>
                <w:sz w:val="24"/>
                <w:highlight w:val="none"/>
              </w:rPr>
              <w:t>竣工</w:t>
            </w:r>
            <w:r>
              <w:rPr>
                <w:rFonts w:hint="eastAsia" w:ascii="宋体" w:hAnsi="宋体" w:eastAsia="仿宋" w:cs="Calibri"/>
                <w:color w:val="auto"/>
                <w:sz w:val="24"/>
                <w:highlight w:val="none"/>
                <w:lang w:val="en-US" w:eastAsia="zh-CN"/>
              </w:rPr>
              <w:t>结算审核</w:t>
            </w:r>
            <w:r>
              <w:rPr>
                <w:rFonts w:hint="eastAsia" w:ascii="宋体" w:hAnsi="宋体" w:eastAsia="仿宋" w:cs="Calibri"/>
                <w:color w:val="auto"/>
                <w:sz w:val="24"/>
                <w:highlight w:val="none"/>
              </w:rPr>
              <w:t>后，支付</w:t>
            </w:r>
            <w:r>
              <w:rPr>
                <w:rFonts w:hint="eastAsia" w:ascii="宋体" w:hAnsi="宋体" w:eastAsia="仿宋" w:cs="Calibri"/>
                <w:color w:val="auto"/>
                <w:sz w:val="24"/>
                <w:highlight w:val="none"/>
                <w:lang w:val="en-US" w:eastAsia="zh-CN"/>
              </w:rPr>
              <w:t>结算</w:t>
            </w:r>
            <w:r>
              <w:rPr>
                <w:rFonts w:hint="eastAsia" w:ascii="宋体" w:hAnsi="宋体" w:eastAsia="仿宋" w:cs="Calibri"/>
                <w:color w:val="auto"/>
                <w:sz w:val="24"/>
                <w:highlight w:val="none"/>
              </w:rPr>
              <w:t>价的97.5%（扣除已支付的合同价款85%），余款缺陷责任期满后退还，缺陷责任期2年。</w:t>
            </w:r>
            <w:r>
              <w:rPr>
                <w:rFonts w:hint="eastAsia" w:ascii="仿宋" w:hAnsi="仿宋" w:eastAsia="仿宋" w:cs="仿宋"/>
                <w:iCs/>
                <w:color w:val="auto"/>
                <w:sz w:val="24"/>
                <w:highlight w:val="none"/>
              </w:rPr>
              <w:t xml:space="preserve"> </w:t>
            </w:r>
          </w:p>
          <w:p w14:paraId="2FA3FFBA">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AB924F4">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69FBA80B">
            <w:pPr>
              <w:widowControl/>
              <w:adjustRightInd w:val="0"/>
              <w:snapToGrid w:val="0"/>
              <w:spacing w:line="288" w:lineRule="auto"/>
              <w:ind w:firstLine="1920" w:firstLineChars="8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r w14:paraId="6DF0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7A1796A3">
            <w:pPr>
              <w:pStyle w:val="9"/>
              <w:widowControl w:val="0"/>
              <w:spacing w:before="0" w:beforeAutospacing="0" w:after="0" w:afterAutospacing="0"/>
              <w:rPr>
                <w:rFonts w:ascii="宋体" w:hAnsi="宋体" w:eastAsia="仿宋"/>
                <w:color w:val="auto"/>
                <w:sz w:val="24"/>
                <w:highlight w:val="none"/>
              </w:rPr>
            </w:pPr>
            <w:r>
              <w:rPr>
                <w:rFonts w:hint="eastAsia" w:ascii="宋体" w:hAnsi="宋体" w:eastAsia="仿宋" w:cs="Calibri"/>
                <w:b w:val="0"/>
                <w:bCs w:val="0"/>
                <w:color w:val="auto"/>
                <w:kern w:val="2"/>
                <w:sz w:val="24"/>
                <w:szCs w:val="24"/>
                <w:highlight w:val="none"/>
              </w:rPr>
              <w:t>本项目采购标的所属行业</w:t>
            </w:r>
          </w:p>
        </w:tc>
        <w:tc>
          <w:tcPr>
            <w:tcW w:w="7479" w:type="dxa"/>
            <w:noWrap w:val="0"/>
            <w:vAlign w:val="center"/>
          </w:tcPr>
          <w:p w14:paraId="3ECC6276">
            <w:pPr>
              <w:rPr>
                <w:rFonts w:ascii="宋体" w:hAnsi="宋体" w:eastAsia="仿宋"/>
                <w:color w:val="auto"/>
                <w:sz w:val="24"/>
                <w:highlight w:val="none"/>
              </w:rPr>
            </w:pPr>
            <w:r>
              <w:rPr>
                <w:rFonts w:hint="eastAsia" w:ascii="宋体" w:hAnsi="宋体" w:eastAsia="仿宋" w:cs="Calibri"/>
                <w:color w:val="auto"/>
                <w:sz w:val="24"/>
                <w:highlight w:val="none"/>
              </w:rPr>
              <w:t>所属行业：</w:t>
            </w:r>
            <w:r>
              <w:rPr>
                <w:rFonts w:hint="eastAsia" w:ascii="仿宋" w:hAnsi="仿宋" w:eastAsia="仿宋" w:cs="仿宋"/>
                <w:iCs/>
                <w:color w:val="auto"/>
                <w:sz w:val="24"/>
                <w:highlight w:val="none"/>
              </w:rPr>
              <w:t>建筑业</w:t>
            </w:r>
          </w:p>
        </w:tc>
      </w:tr>
    </w:tbl>
    <w:p w14:paraId="79C291DE">
      <w:pPr>
        <w:pStyle w:val="8"/>
        <w:ind w:firstLine="480"/>
        <w:rPr>
          <w:rFonts w:ascii="宋体" w:hAnsi="宋体" w:eastAsia="仿宋"/>
          <w:color w:val="auto"/>
          <w:sz w:val="24"/>
          <w:highlight w:val="none"/>
        </w:rPr>
      </w:pPr>
    </w:p>
    <w:bookmarkEnd w:id="6"/>
    <w:p w14:paraId="7AF92098">
      <w:pPr>
        <w:pStyle w:val="4"/>
        <w:widowControl/>
        <w:snapToGrid w:val="0"/>
        <w:spacing w:line="360" w:lineRule="auto"/>
        <w:outlineLvl w:val="1"/>
        <w:rPr>
          <w:rStyle w:val="7"/>
          <w:rFonts w:hint="eastAsia" w:ascii="宋体" w:hAnsi="宋体" w:eastAsia="仿宋"/>
          <w:color w:val="auto"/>
          <w:sz w:val="24"/>
          <w:szCs w:val="24"/>
          <w:highlight w:val="none"/>
        </w:rPr>
      </w:pPr>
      <w:bookmarkStart w:id="7" w:name="_Toc455587091"/>
      <w:bookmarkStart w:id="8" w:name="_Toc455587275"/>
      <w:bookmarkStart w:id="9" w:name="_Toc445554749"/>
      <w:bookmarkStart w:id="10" w:name="_Toc466024558"/>
      <w:r>
        <w:rPr>
          <w:rStyle w:val="7"/>
          <w:rFonts w:hint="eastAsia" w:ascii="宋体" w:hAnsi="宋体" w:eastAsia="仿宋"/>
          <w:color w:val="auto"/>
          <w:sz w:val="24"/>
          <w:szCs w:val="24"/>
          <w:highlight w:val="none"/>
        </w:rPr>
        <w:t>4. 技术要求</w:t>
      </w:r>
      <w:bookmarkEnd w:id="7"/>
      <w:bookmarkEnd w:id="8"/>
      <w:bookmarkEnd w:id="9"/>
      <w:bookmarkEnd w:id="10"/>
    </w:p>
    <w:p w14:paraId="45BB9D60">
      <w:pPr>
        <w:pStyle w:val="4"/>
        <w:widowControl/>
        <w:snapToGrid w:val="0"/>
        <w:spacing w:line="360" w:lineRule="auto"/>
        <w:ind w:firstLine="482" w:firstLineChars="200"/>
        <w:rPr>
          <w:rFonts w:hint="eastAsia" w:hAnsi="宋体" w:eastAsia="仿宋"/>
          <w:b/>
          <w:bCs/>
          <w:color w:val="auto"/>
          <w:sz w:val="24"/>
          <w:szCs w:val="24"/>
          <w:highlight w:val="none"/>
        </w:rPr>
      </w:pPr>
      <w:r>
        <w:rPr>
          <w:rFonts w:hint="eastAsia" w:hAnsi="宋体" w:eastAsia="仿宋"/>
          <w:b/>
          <w:bCs/>
          <w:color w:val="auto"/>
          <w:sz w:val="24"/>
          <w:szCs w:val="24"/>
          <w:highlight w:val="none"/>
        </w:rPr>
        <w:t>符合国家及地方现行的相关行业标准。</w:t>
      </w:r>
      <w:r>
        <w:rPr>
          <w:rFonts w:hint="eastAsia" w:hAnsi="宋体" w:eastAsia="仿宋"/>
          <w:b/>
          <w:bCs/>
          <w:color w:val="auto"/>
          <w:sz w:val="24"/>
          <w:szCs w:val="24"/>
          <w:highlight w:val="none"/>
          <w:lang w:val="en-US" w:eastAsia="zh-CN"/>
        </w:rPr>
        <w:t>成交供应商</w:t>
      </w:r>
      <w:r>
        <w:rPr>
          <w:rFonts w:hint="eastAsia" w:hAnsi="宋体" w:eastAsia="仿宋"/>
          <w:b/>
          <w:bCs/>
          <w:color w:val="auto"/>
          <w:sz w:val="24"/>
          <w:szCs w:val="24"/>
          <w:highlight w:val="none"/>
        </w:rPr>
        <w:t>须提供正规合法发票，严格按图施工、采用符合国家标准材料；不以次充好，保证装修质量，按期施工，如出现上述问题，</w:t>
      </w:r>
      <w:r>
        <w:rPr>
          <w:rFonts w:hint="eastAsia" w:hAnsi="宋体" w:eastAsia="仿宋"/>
          <w:b/>
          <w:bCs/>
          <w:color w:val="auto"/>
          <w:sz w:val="24"/>
          <w:szCs w:val="24"/>
          <w:highlight w:val="none"/>
          <w:lang w:val="en-US" w:eastAsia="zh-CN"/>
        </w:rPr>
        <w:t>采购人</w:t>
      </w:r>
      <w:r>
        <w:rPr>
          <w:rFonts w:hint="eastAsia" w:hAnsi="宋体" w:eastAsia="仿宋"/>
          <w:b/>
          <w:bCs/>
          <w:color w:val="auto"/>
          <w:sz w:val="24"/>
          <w:szCs w:val="24"/>
          <w:highlight w:val="none"/>
        </w:rPr>
        <w:t>有权取消</w:t>
      </w:r>
      <w:r>
        <w:rPr>
          <w:rFonts w:hint="eastAsia" w:hAnsi="宋体" w:eastAsia="仿宋"/>
          <w:b/>
          <w:bCs/>
          <w:color w:val="auto"/>
          <w:sz w:val="24"/>
          <w:szCs w:val="24"/>
          <w:highlight w:val="none"/>
          <w:lang w:val="en-US" w:eastAsia="zh-CN"/>
        </w:rPr>
        <w:t>成交</w:t>
      </w:r>
      <w:r>
        <w:rPr>
          <w:rFonts w:hint="eastAsia" w:hAnsi="宋体" w:eastAsia="仿宋"/>
          <w:b/>
          <w:bCs/>
          <w:color w:val="auto"/>
          <w:sz w:val="24"/>
          <w:szCs w:val="24"/>
          <w:highlight w:val="none"/>
        </w:rPr>
        <w:t>资格。</w:t>
      </w:r>
    </w:p>
    <w:p w14:paraId="5B7D9A4D">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报价要求</w:t>
      </w:r>
    </w:p>
    <w:p w14:paraId="2F35F0F0">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总价包干，供应商须自行考察现场。供应商应认真核对采购人提供的工程量清单，发现工程量存在项目划分误差、计量单位误差、数量误差、遗漏项目的，必须在采购文件规定的时间内向采购人提出异议或修正要求，否则采购人可不予答复，工程结算时不再调整；供应商应了解项目的实际情况与需求，并考虑一切风险后合理报价。</w:t>
      </w:r>
    </w:p>
    <w:p w14:paraId="10797EBC">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报价编制参考依据如下：</w:t>
      </w:r>
    </w:p>
    <w:p w14:paraId="18D999EF">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（1）2018版安徽省建设工程费用定额及《安徽省住房和城乡建设厅关于调整安徽省建设工程不可竞争费构成及计费标准的通知》（建标〔2021〕42号）；</w:t>
      </w:r>
    </w:p>
    <w:p w14:paraId="2508B272">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（2）2018版安徽省建设工程施工机械台班费用编制规则；</w:t>
      </w:r>
    </w:p>
    <w:p w14:paraId="08FA4C59">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（3）2018版安徽省配套计价定额、安徽省房屋修缮工程计价定额、企业相关定额；</w:t>
      </w:r>
    </w:p>
    <w:p w14:paraId="193D1FDF">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《关于贯彻执行[2018 版安徽省建设工程计价依据动态调整（第1期）]的通知》（合建监管[2024]13号）；</w:t>
      </w:r>
    </w:p>
    <w:p w14:paraId="73546E3A">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（5）建设工程设计文件及相关资料；</w:t>
      </w:r>
    </w:p>
    <w:p w14:paraId="1DFE02C9">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（6）与建设项目有关的标准、规范、技术资料；</w:t>
      </w:r>
    </w:p>
    <w:p w14:paraId="733A4E12">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 xml:space="preserve">文件及工程量清单及其补充通知答疑纪要； </w:t>
      </w:r>
    </w:p>
    <w:p w14:paraId="39A6B3D8">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（8）施工现场情况、工程特点及拟定的施工组织设计；</w:t>
      </w:r>
    </w:p>
    <w:p w14:paraId="3B3801B6">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（9）市场价格信息或参照工程造价管理机构发布的工程造价信息；</w:t>
      </w:r>
    </w:p>
    <w:p w14:paraId="789C2A68">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（10）合同执行期间由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承担的风险因素；</w:t>
      </w:r>
    </w:p>
    <w:p w14:paraId="06E73836">
      <w:pPr>
        <w:pStyle w:val="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（11）其他相关材料。</w:t>
      </w:r>
    </w:p>
    <w:p w14:paraId="3F1CD1F1">
      <w:pPr>
        <w:pStyle w:val="3"/>
        <w:rPr>
          <w:rFonts w:hint="eastAsia" w:ascii="仿宋" w:hAnsi="仿宋" w:eastAsia="仿宋" w:cs="仿宋"/>
          <w:color w:val="auto"/>
          <w:sz w:val="24"/>
          <w:szCs w:val="24"/>
          <w:highlight w:val="none"/>
        </w:rPr>
      </w:pPr>
      <w:bookmarkStart w:id="11" w:name="_Toc527541657"/>
      <w:r>
        <w:rPr>
          <w:rFonts w:hint="eastAsia" w:ascii="仿宋" w:hAnsi="仿宋" w:eastAsia="仿宋" w:cs="仿宋"/>
          <w:color w:val="auto"/>
          <w:sz w:val="24"/>
          <w:szCs w:val="24"/>
          <w:highlight w:val="none"/>
        </w:rPr>
        <w:t>6. 工程内容一览表</w:t>
      </w:r>
      <w:bookmarkEnd w:id="11"/>
    </w:p>
    <w:p w14:paraId="39072D87">
      <w:pPr>
        <w:ind w:firstLine="480" w:firstLineChars="200"/>
        <w:rPr>
          <w:rFonts w:ascii="仿宋" w:hAnsi="仿宋" w:eastAsia="仿宋" w:cs="仿宋"/>
          <w:color w:val="auto"/>
          <w:sz w:val="24"/>
        </w:rPr>
      </w:pPr>
      <w:r>
        <w:rPr>
          <w:rFonts w:hint="eastAsia" w:ascii="仿宋" w:hAnsi="仿宋" w:eastAsia="仿宋" w:cs="仿宋"/>
          <w:color w:val="auto"/>
          <w:sz w:val="24"/>
        </w:rPr>
        <w:t>详见工程量清单</w:t>
      </w:r>
    </w:p>
    <w:p w14:paraId="6C7D279F">
      <w:pPr>
        <w:pStyle w:val="3"/>
        <w:rPr>
          <w:rFonts w:hint="eastAsia" w:ascii="仿宋" w:hAnsi="仿宋" w:eastAsia="仿宋" w:cs="仿宋"/>
          <w:color w:val="auto"/>
          <w:sz w:val="24"/>
          <w:szCs w:val="24"/>
        </w:rPr>
      </w:pPr>
      <w:bookmarkStart w:id="12" w:name="_Toc525819970"/>
      <w:bookmarkStart w:id="13" w:name="_Toc493440811"/>
      <w:bookmarkStart w:id="14" w:name="_Toc493432674"/>
      <w:bookmarkStart w:id="15" w:name="_Toc517011817"/>
      <w:bookmarkStart w:id="16" w:name="_Toc512544437"/>
      <w:bookmarkStart w:id="17" w:name="_Toc512611692"/>
      <w:bookmarkStart w:id="18" w:name="_Toc493440979"/>
      <w:bookmarkStart w:id="19" w:name="_Toc515539875"/>
      <w:bookmarkStart w:id="20" w:name="_Toc527541659"/>
      <w:r>
        <w:rPr>
          <w:rFonts w:hint="eastAsia" w:ascii="仿宋" w:hAnsi="仿宋" w:eastAsia="仿宋" w:cs="仿宋"/>
          <w:color w:val="auto"/>
          <w:sz w:val="24"/>
          <w:szCs w:val="24"/>
        </w:rPr>
        <w:t xml:space="preserve">7. </w:t>
      </w:r>
      <w:bookmarkEnd w:id="12"/>
      <w:bookmarkEnd w:id="13"/>
      <w:bookmarkEnd w:id="14"/>
      <w:bookmarkEnd w:id="15"/>
      <w:bookmarkEnd w:id="16"/>
      <w:bookmarkEnd w:id="17"/>
      <w:bookmarkEnd w:id="18"/>
      <w:bookmarkEnd w:id="19"/>
      <w:r>
        <w:rPr>
          <w:rFonts w:hint="eastAsia" w:ascii="仿宋" w:hAnsi="仿宋" w:eastAsia="仿宋" w:cs="仿宋"/>
          <w:color w:val="auto"/>
          <w:sz w:val="24"/>
          <w:szCs w:val="24"/>
        </w:rPr>
        <w:t>图纸</w:t>
      </w:r>
      <w:bookmarkEnd w:id="20"/>
    </w:p>
    <w:p w14:paraId="217F8731">
      <w:pPr>
        <w:pStyle w:val="4"/>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详见图纸，采购范围内图纸中未体现的施工内容，建议供应商现场勘测，供应商应充分考虑到响应报价中。</w:t>
      </w:r>
    </w:p>
    <w:p w14:paraId="6E477858">
      <w:pPr>
        <w:pStyle w:val="3"/>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其他</w:t>
      </w:r>
    </w:p>
    <w:p w14:paraId="64EEBB11">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供应商必须对现场和其周围环境进行考察，以获取编制响应文件和签署实施工程合同所需的各项资料。供应商应对施工现场的位置、施工因素以及困难条件进行周密的踏勘和认真的分析研究，做出自己的判断</w:t>
      </w:r>
      <w:bookmarkStart w:id="21" w:name="_GoBack"/>
      <w:bookmarkEnd w:id="21"/>
      <w:r>
        <w:rPr>
          <w:rFonts w:hint="eastAsia" w:ascii="仿宋" w:hAnsi="仿宋" w:eastAsia="仿宋" w:cs="仿宋"/>
          <w:color w:val="auto"/>
          <w:sz w:val="24"/>
          <w:szCs w:val="24"/>
          <w:lang w:val="en-US" w:eastAsia="zh-CN"/>
        </w:rPr>
        <w:t>和估价，并在响应时充分考虑上述因素。由于踏勘过程中所发生一切意外损失、损坏等费用，采购人不负任何责任。踏勘所发生的费用由供应商自行承担。成交供应商不得以不了解现场情况为由，提出任何形式增加工程价款或索赔要求。</w:t>
      </w:r>
    </w:p>
    <w:p w14:paraId="3A845A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A1D63"/>
    <w:rsid w:val="701A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character" w:customStyle="1" w:styleId="7">
    <w:name w:val="标题 2 Char Char"/>
    <w:uiPriority w:val="0"/>
    <w:rPr>
      <w:rFonts w:ascii="Arial" w:hAnsi="Arial" w:eastAsia="黑体" w:cs="Times New Roman"/>
      <w:b/>
      <w:bCs/>
      <w:kern w:val="2"/>
      <w:sz w:val="32"/>
      <w:szCs w:val="32"/>
      <w:lang w:val="en-US" w:eastAsia="zh-CN" w:bidi="ar-SA"/>
    </w:rPr>
  </w:style>
  <w:style w:type="paragraph" w:customStyle="1" w:styleId="8">
    <w:name w:val="列出段落1"/>
    <w:basedOn w:val="1"/>
    <w:qFormat/>
    <w:uiPriority w:val="0"/>
    <w:pPr>
      <w:ind w:firstLine="420" w:firstLineChars="200"/>
    </w:p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2025-09-01T02:52:00Z</dcterms:created>
  <dc:creator>初审-徐怀珍</dc:creator>
  <cp:lastModifiedBy>初审-徐怀珍</cp:lastModifiedBy>
  <dcterms:modified xsi:type="dcterms:W3CDTF">2025-09-01T02:52:52Z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AE0EB3B2BB404015A24CB43086E84F15_11</vt:lpwstr>
  </property>
  <property fmtid="{D5CDD505-2E9C-101B-9397-08002B2CF9AE}" pid="4" name="KSOTemplateDocerSaveRecord">
    <vt:lpwstr>eyJoZGlkIjoiMTNkOTgwYzRiMTU0NDFjYzdlMGY4NDI2MTRmM2NjMTUiLCJ1c2VySWQiOiIzOTY0MDU5NzUifQ==</vt:lpwstr>
  </property>
</Properties>
</file>