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B1F2D">
      <w:pPr>
        <w:pStyle w:val="2"/>
        <w:widowControl/>
        <w:snapToGrid w:val="0"/>
        <w:spacing w:before="0" w:after="0" w:line="360" w:lineRule="auto"/>
        <w:jc w:val="center"/>
        <w:rPr>
          <w:rFonts w:hint="eastAsia" w:ascii="宋体" w:hAnsi="宋体" w:eastAsia="仿宋"/>
          <w:highlight w:val="none"/>
        </w:rPr>
      </w:pPr>
      <w:r>
        <w:rPr>
          <w:rFonts w:hint="eastAsia" w:ascii="宋体" w:hAnsi="宋体" w:eastAsia="仿宋"/>
          <w:highlight w:val="none"/>
        </w:rPr>
        <w:t>采购需求</w:t>
      </w:r>
    </w:p>
    <w:p w14:paraId="1F998ACA">
      <w:pPr>
        <w:pStyle w:val="3"/>
        <w:spacing w:line="360" w:lineRule="auto"/>
        <w:rPr>
          <w:rStyle w:val="8"/>
          <w:rFonts w:ascii="宋体" w:hAnsi="宋体" w:eastAsia="仿宋"/>
          <w:b/>
          <w:bCs/>
          <w:sz w:val="24"/>
          <w:szCs w:val="24"/>
          <w:highlight w:val="none"/>
        </w:rPr>
      </w:pPr>
      <w:bookmarkStart w:id="0" w:name="_Toc455587273"/>
      <w:bookmarkStart w:id="1" w:name="_Toc455587089"/>
      <w:bookmarkStart w:id="2" w:name="_Toc466024556"/>
      <w:bookmarkStart w:id="3" w:name="_Toc445554747"/>
      <w:r>
        <w:rPr>
          <w:rStyle w:val="8"/>
          <w:rFonts w:hint="eastAsia" w:ascii="宋体" w:hAnsi="宋体" w:eastAsia="仿宋"/>
          <w:b/>
          <w:bCs/>
          <w:sz w:val="24"/>
          <w:szCs w:val="24"/>
          <w:highlight w:val="none"/>
        </w:rPr>
        <w:t xml:space="preserve">1. </w:t>
      </w:r>
      <w:bookmarkEnd w:id="0"/>
      <w:bookmarkEnd w:id="1"/>
      <w:bookmarkEnd w:id="2"/>
      <w:r>
        <w:rPr>
          <w:rStyle w:val="8"/>
          <w:rFonts w:hint="eastAsia" w:ascii="宋体" w:hAnsi="宋体" w:eastAsia="仿宋"/>
          <w:b/>
          <w:bCs/>
          <w:sz w:val="24"/>
          <w:szCs w:val="24"/>
          <w:highlight w:val="none"/>
        </w:rPr>
        <w:t>总体说明</w:t>
      </w:r>
    </w:p>
    <w:p w14:paraId="1F36D500">
      <w:pPr>
        <w:widowControl/>
        <w:tabs>
          <w:tab w:val="left" w:pos="1406"/>
        </w:tabs>
        <w:snapToGrid w:val="0"/>
        <w:spacing w:line="360" w:lineRule="auto"/>
        <w:ind w:firstLine="480" w:firstLineChars="200"/>
        <w:rPr>
          <w:rFonts w:hint="eastAsia" w:ascii="宋体" w:hAnsi="宋体" w:eastAsia="仿宋"/>
          <w:color w:val="FF0000"/>
          <w:sz w:val="24"/>
          <w:highlight w:val="none"/>
        </w:rPr>
      </w:pPr>
      <w:r>
        <w:rPr>
          <w:rFonts w:hint="eastAsia" w:ascii="宋体" w:hAnsi="宋体" w:eastAsia="仿宋"/>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6C47518B">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6F6F88FB">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1.3 除非有特别说明，本章中所列的具体参数或参数范围，均理解为采购人可接受的最低要求。</w:t>
      </w:r>
    </w:p>
    <w:p w14:paraId="08D9B54F">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sz w:val="24"/>
          <w:highlight w:val="none"/>
        </w:rPr>
        <w:t>进口产品的认定按照财政部文件《关于政府采购进口产品管理有关问题的通知》（财办库〔2008〕248号）规定，整机设备内元器件不做限制。</w:t>
      </w:r>
    </w:p>
    <w:p w14:paraId="6B0B7597">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42BDF6D9">
      <w:pPr>
        <w:pStyle w:val="3"/>
        <w:spacing w:line="360" w:lineRule="auto"/>
        <w:rPr>
          <w:rStyle w:val="8"/>
          <w:rFonts w:hint="eastAsia" w:ascii="宋体" w:hAnsi="宋体" w:eastAsia="仿宋"/>
          <w:b/>
          <w:bCs/>
          <w:sz w:val="24"/>
          <w:szCs w:val="24"/>
          <w:highlight w:val="none"/>
        </w:rPr>
      </w:pPr>
      <w:bookmarkStart w:id="4" w:name="_Toc455587090"/>
      <w:bookmarkStart w:id="5" w:name="_Toc466024557"/>
      <w:bookmarkStart w:id="6" w:name="_Toc455587274"/>
      <w:r>
        <w:rPr>
          <w:rStyle w:val="8"/>
          <w:rFonts w:hint="eastAsia" w:ascii="宋体" w:hAnsi="宋体" w:eastAsia="仿宋"/>
          <w:b/>
          <w:bCs/>
          <w:sz w:val="24"/>
          <w:szCs w:val="24"/>
          <w:highlight w:val="none"/>
        </w:rPr>
        <w:t>2. 采购内容及范围</w:t>
      </w:r>
      <w:bookmarkEnd w:id="4"/>
      <w:bookmarkEnd w:id="5"/>
      <w:bookmarkEnd w:id="6"/>
    </w:p>
    <w:p w14:paraId="43F03AF6">
      <w:pPr>
        <w:widowControl/>
        <w:tabs>
          <w:tab w:val="left" w:pos="1406"/>
        </w:tabs>
        <w:snapToGrid w:val="0"/>
        <w:spacing w:line="360" w:lineRule="auto"/>
        <w:ind w:firstLine="412" w:firstLineChars="171"/>
        <w:rPr>
          <w:rFonts w:hint="eastAsia" w:ascii="宋体" w:hAnsi="宋体"/>
          <w:b/>
          <w:sz w:val="24"/>
          <w:highlight w:val="none"/>
        </w:rPr>
      </w:pPr>
      <w:r>
        <w:rPr>
          <w:rFonts w:hint="eastAsia" w:ascii="宋体" w:hAnsi="宋体" w:eastAsia="仿宋"/>
          <w:b/>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1848"/>
        <w:gridCol w:w="777"/>
        <w:gridCol w:w="846"/>
        <w:gridCol w:w="1204"/>
        <w:gridCol w:w="1240"/>
        <w:gridCol w:w="1241"/>
        <w:gridCol w:w="1231"/>
      </w:tblGrid>
      <w:tr w14:paraId="03F91920">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2D027C6">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1469429">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序号</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706E094">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标的</w:t>
            </w:r>
            <w:r>
              <w:rPr>
                <w:rFonts w:hint="default" w:ascii="宋体" w:hAnsi="宋体" w:eastAsia="仿宋" w:cs="Times New Roman"/>
                <w:sz w:val="24"/>
                <w:highlight w:val="none"/>
              </w:rPr>
              <w:t>名称</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C363113">
            <w:pPr>
              <w:keepNext w:val="0"/>
              <w:keepLines w:val="0"/>
              <w:widowControl/>
              <w:suppressLineNumbers w:val="0"/>
              <w:autoSpaceDN w:val="0"/>
              <w:spacing w:before="0" w:beforeAutospacing="0" w:after="0" w:afterAutospacing="0"/>
              <w:ind w:left="0" w:right="0"/>
              <w:jc w:val="center"/>
              <w:rPr>
                <w:rFonts w:hint="eastAsia" w:ascii="Calibri" w:hAnsi="宋体" w:cs="Times New Roman"/>
                <w:sz w:val="24"/>
                <w:highlight w:val="none"/>
              </w:rPr>
            </w:pPr>
            <w:r>
              <w:rPr>
                <w:rFonts w:hint="eastAsia" w:ascii="Calibri" w:hAnsi="宋体" w:eastAsia="仿宋" w:cs="Times New Roman"/>
                <w:sz w:val="24"/>
                <w:highlight w:val="none"/>
              </w:rPr>
              <w:t>单位</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7BF414B">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数量</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8EF0E1A">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sz w:val="24"/>
                <w:highlight w:val="none"/>
                <w:lang w:eastAsia="zh-CN"/>
              </w:rPr>
            </w:pPr>
            <w:r>
              <w:rPr>
                <w:rFonts w:hint="eastAsia" w:ascii="Calibri" w:hAnsi="宋体" w:eastAsia="仿宋" w:cs="Times New Roman"/>
                <w:sz w:val="24"/>
                <w:highlight w:val="none"/>
              </w:rPr>
              <w:t>单套限价</w:t>
            </w:r>
            <w:r>
              <w:rPr>
                <w:rFonts w:hint="eastAsia" w:ascii="Calibri" w:hAnsi="宋体" w:eastAsia="仿宋" w:cs="Times New Roman"/>
                <w:sz w:val="24"/>
                <w:highlight w:val="none"/>
                <w:lang w:eastAsia="zh-CN"/>
              </w:rPr>
              <w:t>（</w:t>
            </w:r>
            <w:r>
              <w:rPr>
                <w:rFonts w:hint="eastAsia" w:ascii="Calibri" w:hAnsi="宋体" w:eastAsia="仿宋" w:cs="Times New Roman"/>
                <w:sz w:val="24"/>
                <w:highlight w:val="none"/>
                <w:lang w:val="en-US" w:eastAsia="zh-CN"/>
              </w:rPr>
              <w:t>万元</w:t>
            </w:r>
            <w:r>
              <w:rPr>
                <w:rFonts w:hint="eastAsia" w:ascii="Calibri" w:hAnsi="宋体" w:eastAsia="仿宋" w:cs="Times New Roman"/>
                <w:sz w:val="24"/>
                <w:highlight w:val="none"/>
                <w:lang w:eastAsia="zh-CN"/>
              </w:rPr>
              <w:t>）</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640216A">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所属行业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78232E5">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是否接受进口</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E29AACE">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FF0000"/>
                <w:sz w:val="24"/>
                <w:highlight w:val="none"/>
              </w:rPr>
            </w:pPr>
            <w:r>
              <w:rPr>
                <w:rFonts w:hint="eastAsia" w:ascii="宋体" w:hAnsi="宋体" w:eastAsia="仿宋" w:cs="Times New Roman"/>
                <w:sz w:val="24"/>
                <w:highlight w:val="none"/>
              </w:rPr>
              <w:t>备注</w:t>
            </w:r>
          </w:p>
        </w:tc>
      </w:tr>
      <w:tr w14:paraId="3223D30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758BD1E">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rPr>
            </w:pPr>
            <w:r>
              <w:rPr>
                <w:rFonts w:hint="eastAsia" w:ascii="宋体" w:hAnsi="宋体" w:eastAsia="仿宋" w:cs="Times New Roman"/>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D3F6228">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1</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772A5A3">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彩超(便携机)</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2B2AED8">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套</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11DF795">
            <w:pPr>
              <w:keepNext w:val="0"/>
              <w:keepLines w:val="0"/>
              <w:widowControl/>
              <w:suppressLineNumbers w:val="0"/>
              <w:autoSpaceDN w:val="0"/>
              <w:spacing w:before="0" w:beforeAutospacing="0" w:after="0" w:afterAutospacing="0"/>
              <w:ind w:left="0" w:right="0"/>
              <w:jc w:val="center"/>
              <w:rPr>
                <w:rFonts w:hint="default" w:ascii="宋体" w:hAnsi="宋体" w:eastAsia="宋体" w:cs="宋体"/>
                <w:i w:val="0"/>
                <w:iCs w:val="0"/>
                <w:color w:val="000000"/>
                <w:kern w:val="2"/>
                <w:sz w:val="22"/>
                <w:szCs w:val="22"/>
                <w:highlight w:val="none"/>
                <w:u w:val="none"/>
                <w:lang w:val="en-US" w:eastAsia="zh-CN" w:bidi="ar-SA"/>
              </w:rPr>
            </w:pPr>
            <w:r>
              <w:rPr>
                <w:rFonts w:hint="eastAsia" w:ascii="宋体" w:hAnsi="宋体" w:eastAsia="仿宋" w:cs="Times New Roman"/>
                <w:sz w:val="24"/>
                <w:highlight w:val="none"/>
                <w:lang w:val="en-US" w:eastAsia="zh-CN"/>
              </w:rPr>
              <w:t>43</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335D93B">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30</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1D09343">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工业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C2F7A90">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否</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005DA1E">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w:t>
            </w:r>
          </w:p>
        </w:tc>
      </w:tr>
    </w:tbl>
    <w:p w14:paraId="2671D0B6">
      <w:pPr>
        <w:widowControl/>
        <w:tabs>
          <w:tab w:val="left" w:pos="1406"/>
        </w:tabs>
        <w:snapToGrid w:val="0"/>
        <w:spacing w:line="360" w:lineRule="auto"/>
        <w:ind w:firstLine="412" w:firstLineChars="171"/>
        <w:rPr>
          <w:rFonts w:hint="eastAsia" w:ascii="宋体" w:hAnsi="宋体" w:eastAsia="仿宋"/>
          <w:b/>
          <w:sz w:val="24"/>
          <w:highlight w:val="none"/>
        </w:rPr>
      </w:pPr>
      <w:r>
        <w:rPr>
          <w:rFonts w:hint="eastAsia" w:ascii="宋体" w:hAnsi="宋体" w:eastAsia="仿宋"/>
          <w:b/>
          <w:sz w:val="24"/>
          <w:highlight w:val="none"/>
        </w:rPr>
        <w:t>2.2 采购范围</w:t>
      </w:r>
    </w:p>
    <w:p w14:paraId="69E4D749">
      <w:pPr>
        <w:pStyle w:val="4"/>
        <w:widowControl/>
        <w:snapToGrid w:val="0"/>
        <w:spacing w:line="360" w:lineRule="auto"/>
        <w:ind w:firstLine="480" w:firstLineChars="200"/>
        <w:rPr>
          <w:rFonts w:hint="eastAsia" w:hAnsi="宋体" w:eastAsia="仿宋"/>
          <w:sz w:val="24"/>
          <w:highlight w:val="none"/>
        </w:rPr>
      </w:pPr>
      <w:r>
        <w:rPr>
          <w:rFonts w:hint="eastAsia" w:hAnsi="宋体" w:eastAsia="仿宋"/>
          <w:sz w:val="24"/>
          <w:szCs w:val="24"/>
          <w:highlight w:val="none"/>
        </w:rPr>
        <w:t>包括所有货物的供货、包装运输（包括卸车及就位至采购人指定的安装地点）、安装、调试、技术服务、培训、售后服务等所有内容。</w:t>
      </w:r>
    </w:p>
    <w:p w14:paraId="2B357670">
      <w:pPr>
        <w:pStyle w:val="3"/>
        <w:spacing w:line="360" w:lineRule="auto"/>
        <w:rPr>
          <w:rFonts w:ascii="宋体" w:hAnsi="宋体" w:eastAsia="仿宋"/>
          <w:sz w:val="24"/>
          <w:highlight w:val="none"/>
        </w:rPr>
      </w:pPr>
      <w:r>
        <w:rPr>
          <w:rFonts w:hint="eastAsia" w:ascii="宋体" w:hAnsi="宋体" w:eastAsia="仿宋"/>
          <w:sz w:val="24"/>
          <w:highlight w:val="none"/>
        </w:rPr>
        <w:t>3</w:t>
      </w:r>
      <w:r>
        <w:rPr>
          <w:rFonts w:ascii="宋体" w:hAnsi="宋体" w:eastAsia="仿宋"/>
          <w:sz w:val="24"/>
          <w:highlight w:val="none"/>
        </w:rPr>
        <w:t>. 商务要求</w:t>
      </w:r>
    </w:p>
    <w:p w14:paraId="0363EEFE">
      <w:pPr>
        <w:spacing w:line="360" w:lineRule="auto"/>
        <w:rPr>
          <w:rFonts w:hint="eastAsia" w:ascii="仿宋" w:hAnsi="仿宋" w:eastAsia="仿宋" w:cs="仿宋"/>
          <w:b/>
          <w:bCs/>
          <w:sz w:val="24"/>
          <w:szCs w:val="32"/>
          <w:highlight w:val="none"/>
        </w:rPr>
      </w:pPr>
      <w:r>
        <w:rPr>
          <w:rFonts w:hint="eastAsia" w:ascii="仿宋" w:hAnsi="仿宋" w:eastAsia="仿宋" w:cs="仿宋"/>
          <w:b/>
          <w:bCs/>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2193C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7C5C56E5">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交付（实施）的时间（期限）</w:t>
            </w:r>
          </w:p>
        </w:tc>
        <w:tc>
          <w:tcPr>
            <w:tcW w:w="7479" w:type="dxa"/>
            <w:noWrap w:val="0"/>
            <w:vAlign w:val="top"/>
          </w:tcPr>
          <w:p w14:paraId="16723C5A">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000000"/>
                <w:sz w:val="24"/>
                <w:highlight w:val="none"/>
              </w:rPr>
            </w:pPr>
            <w:r>
              <w:rPr>
                <w:rFonts w:hint="eastAsia" w:ascii="楷体" w:hAnsi="楷体" w:eastAsia="仿宋" w:cs="Calibri"/>
                <w:color w:val="000000"/>
                <w:sz w:val="24"/>
                <w:highlight w:val="none"/>
              </w:rPr>
              <w:t>合同生效后60日历天内完成供货安装调试。</w:t>
            </w:r>
          </w:p>
          <w:p w14:paraId="5F43E254">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484E0C23">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12DD67B1">
            <w:pPr>
              <w:pStyle w:val="9"/>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sz w:val="24"/>
                <w:highlight w:val="none"/>
              </w:rPr>
            </w:pPr>
            <w:r>
              <w:rPr>
                <w:rFonts w:hint="eastAsia" w:ascii="楷体" w:hAnsi="楷体" w:eastAsia="仿宋" w:cs="Calibri"/>
                <w:sz w:val="24"/>
                <w:highlight w:val="none"/>
              </w:rPr>
              <w:t>允许偏</w:t>
            </w:r>
            <w:r>
              <w:rPr>
                <w:rFonts w:hint="eastAsia" w:ascii="楷体" w:hAnsi="楷体" w:eastAsia="仿宋" w:cs="Calibri"/>
                <w:color w:val="auto"/>
                <w:sz w:val="24"/>
                <w:highlight w:val="none"/>
              </w:rPr>
              <w:t>离的幅度：</w:t>
            </w:r>
            <w:r>
              <w:rPr>
                <w:rFonts w:hint="eastAsia" w:ascii="宋体" w:hAnsi="宋体" w:eastAsia="仿宋" w:cs="Calibri"/>
                <w:color w:val="auto"/>
                <w:sz w:val="24"/>
                <w:highlight w:val="none"/>
              </w:rPr>
              <w:t>/</w:t>
            </w:r>
          </w:p>
        </w:tc>
      </w:tr>
      <w:tr w14:paraId="35AE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3744B0C6">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交付（实施）的地点（范围）</w:t>
            </w:r>
          </w:p>
        </w:tc>
        <w:tc>
          <w:tcPr>
            <w:tcW w:w="7479" w:type="dxa"/>
            <w:noWrap w:val="0"/>
            <w:vAlign w:val="center"/>
          </w:tcPr>
          <w:p w14:paraId="160E70A7">
            <w:pPr>
              <w:pStyle w:val="9"/>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sz w:val="24"/>
                <w:highlight w:val="none"/>
              </w:rPr>
            </w:pPr>
            <w:r>
              <w:rPr>
                <w:rFonts w:hint="eastAsia" w:ascii="宋体" w:hAnsi="宋体" w:eastAsia="仿宋" w:cs="Times New Roman"/>
                <w:sz w:val="24"/>
                <w:highlight w:val="none"/>
              </w:rPr>
              <w:t>安徽省，采购人或使用单位指定地点</w:t>
            </w:r>
          </w:p>
        </w:tc>
      </w:tr>
      <w:tr w14:paraId="505F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2F11158C">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Times New Roman"/>
                <w:sz w:val="24"/>
                <w:highlight w:val="none"/>
              </w:rPr>
              <w:t>付款方式</w:t>
            </w:r>
          </w:p>
        </w:tc>
        <w:tc>
          <w:tcPr>
            <w:tcW w:w="7479" w:type="dxa"/>
            <w:noWrap w:val="0"/>
            <w:vAlign w:val="top"/>
          </w:tcPr>
          <w:p w14:paraId="60822F3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（1）供货合同签订且所投产品货到使用单位指定地点，提交所在市卫健委汇总后报安徽省卫生健康委员会，由安徽省卫生健康委员会统一支付超长期国债资金（以下简称“到货款”）。</w:t>
            </w:r>
          </w:p>
          <w:p w14:paraId="4510435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（2）货物安装、验收合格后，各使用单位在收到发票后向中标人支付对应分合同剩余款项（以下简称“尾款”）。</w:t>
            </w:r>
          </w:p>
          <w:p w14:paraId="617EB37E">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（3）安徽省卫生健康委员会支付的到货款与各使用单位支付的尾款之和为对应使用单位分合同的合同总额。</w:t>
            </w:r>
          </w:p>
          <w:p w14:paraId="46016015">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34AA7EB5">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2E91178D">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78DE216B">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r w14:paraId="7F2CB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52825C13">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Calibri"/>
                <w:sz w:val="24"/>
                <w:highlight w:val="none"/>
              </w:rPr>
              <w:t>质量保证期</w:t>
            </w:r>
          </w:p>
        </w:tc>
        <w:tc>
          <w:tcPr>
            <w:tcW w:w="7479" w:type="dxa"/>
            <w:noWrap w:val="0"/>
            <w:vAlign w:val="top"/>
          </w:tcPr>
          <w:p w14:paraId="6404BB19">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sz w:val="24"/>
                <w:highlight w:val="none"/>
              </w:rPr>
            </w:pPr>
            <w:r>
              <w:rPr>
                <w:rFonts w:hint="eastAsia" w:ascii="宋体" w:hAnsi="宋体" w:eastAsia="仿宋" w:cs="Calibri"/>
                <w:sz w:val="24"/>
                <w:highlight w:val="none"/>
              </w:rPr>
              <w:t>质量保证期：</w:t>
            </w:r>
            <w:r>
              <w:rPr>
                <w:rFonts w:hint="eastAsia" w:ascii="宋体" w:hAnsi="宋体" w:eastAsia="仿宋" w:cs="Calibri"/>
                <w:sz w:val="24"/>
                <w:highlight w:val="none"/>
                <w:lang w:val="en-US" w:eastAsia="zh-CN"/>
              </w:rPr>
              <w:t>整机（含易损件，如探头等）</w:t>
            </w:r>
            <w:r>
              <w:rPr>
                <w:rFonts w:hint="eastAsia" w:ascii="宋体" w:hAnsi="宋体" w:eastAsia="仿宋" w:cs="Calibri"/>
                <w:sz w:val="24"/>
                <w:highlight w:val="none"/>
              </w:rPr>
              <w:t>自验收合格之日起</w:t>
            </w:r>
            <w:r>
              <w:rPr>
                <w:rFonts w:hint="eastAsia" w:ascii="仿宋" w:hAnsi="仿宋" w:eastAsia="仿宋" w:cs="仿宋"/>
                <w:iCs/>
                <w:sz w:val="24"/>
                <w:highlight w:val="none"/>
                <w:lang w:val="en-US" w:eastAsia="zh-CN"/>
              </w:rPr>
              <w:t>5</w:t>
            </w:r>
            <w:r>
              <w:rPr>
                <w:rFonts w:hint="eastAsia" w:ascii="仿宋" w:hAnsi="仿宋" w:eastAsia="仿宋" w:cs="仿宋"/>
                <w:iCs/>
                <w:sz w:val="24"/>
                <w:highlight w:val="none"/>
              </w:rPr>
              <w:t>年</w:t>
            </w:r>
            <w:r>
              <w:rPr>
                <w:rFonts w:hint="eastAsia" w:ascii="仿宋" w:hAnsi="仿宋" w:eastAsia="仿宋" w:cs="仿宋"/>
                <w:iCs/>
                <w:sz w:val="24"/>
                <w:highlight w:val="none"/>
                <w:lang w:eastAsia="zh-CN"/>
              </w:rPr>
              <w:t>，</w:t>
            </w:r>
            <w:r>
              <w:rPr>
                <w:rFonts w:hint="eastAsia" w:ascii="仿宋" w:hAnsi="仿宋" w:eastAsia="仿宋" w:cs="仿宋"/>
                <w:iCs/>
                <w:sz w:val="24"/>
                <w:highlight w:val="none"/>
                <w:lang w:val="en-US" w:eastAsia="zh-CN"/>
              </w:rPr>
              <w:t>更换后的零部件质保期为3年（从更换之日起计算）</w:t>
            </w:r>
            <w:r>
              <w:rPr>
                <w:rFonts w:hint="eastAsia" w:ascii="宋体" w:hAnsi="宋体" w:eastAsia="仿宋" w:cs="Calibri"/>
                <w:b/>
                <w:bCs/>
                <w:sz w:val="24"/>
                <w:highlight w:val="none"/>
              </w:rPr>
              <w:t>。（如本招标文件第三章采购需求部分关于质量保证期的要求与本处不一致，则以采购需求部分规定为准。）</w:t>
            </w:r>
          </w:p>
          <w:p w14:paraId="40EE9CD8">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5D74B73F">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0DEA4466">
            <w:pPr>
              <w:pStyle w:val="9"/>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bl>
    <w:p w14:paraId="35A690CC">
      <w:pPr>
        <w:pStyle w:val="9"/>
        <w:spacing w:line="360" w:lineRule="auto"/>
        <w:ind w:firstLine="480"/>
        <w:rPr>
          <w:rFonts w:ascii="宋体" w:hAnsi="宋体" w:eastAsia="仿宋"/>
          <w:color w:val="FF0000"/>
          <w:sz w:val="24"/>
          <w:highlight w:val="none"/>
        </w:rPr>
      </w:pPr>
    </w:p>
    <w:bookmarkEnd w:id="3"/>
    <w:p w14:paraId="60986A96">
      <w:pPr>
        <w:pStyle w:val="4"/>
        <w:widowControl/>
        <w:snapToGrid w:val="0"/>
        <w:spacing w:line="360" w:lineRule="auto"/>
        <w:outlineLvl w:val="1"/>
        <w:rPr>
          <w:rStyle w:val="8"/>
          <w:rFonts w:hint="eastAsia" w:ascii="宋体" w:hAnsi="宋体" w:eastAsia="仿宋"/>
          <w:sz w:val="24"/>
          <w:szCs w:val="24"/>
          <w:highlight w:val="none"/>
        </w:rPr>
      </w:pPr>
      <w:r>
        <w:rPr>
          <w:rFonts w:hint="eastAsia" w:hAnsi="宋体" w:eastAsia="仿宋"/>
          <w:sz w:val="24"/>
          <w:szCs w:val="24"/>
          <w:highlight w:val="none"/>
        </w:rPr>
        <w:br w:type="page"/>
      </w:r>
      <w:bookmarkStart w:id="7" w:name="_Toc455587275"/>
      <w:bookmarkStart w:id="8" w:name="_Toc466024558"/>
      <w:bookmarkStart w:id="9" w:name="_Toc445554749"/>
      <w:bookmarkStart w:id="10" w:name="_Toc455587091"/>
      <w:r>
        <w:rPr>
          <w:rStyle w:val="8"/>
          <w:rFonts w:hint="eastAsia" w:ascii="宋体" w:hAnsi="宋体" w:eastAsia="仿宋"/>
          <w:sz w:val="24"/>
          <w:szCs w:val="24"/>
          <w:highlight w:val="none"/>
        </w:rPr>
        <w:t>4. 技术要求</w:t>
      </w:r>
      <w:bookmarkEnd w:id="7"/>
      <w:bookmarkEnd w:id="8"/>
      <w:bookmarkEnd w:id="9"/>
      <w:bookmarkEnd w:id="10"/>
    </w:p>
    <w:p w14:paraId="4373604A">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212"/>
        <w:gridCol w:w="5351"/>
      </w:tblGrid>
      <w:tr w14:paraId="39C92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6" w:type="pct"/>
            <w:noWrap w:val="0"/>
            <w:vAlign w:val="center"/>
          </w:tcPr>
          <w:p w14:paraId="7F00BD70">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标识类型</w:t>
            </w:r>
          </w:p>
        </w:tc>
        <w:tc>
          <w:tcPr>
            <w:tcW w:w="719" w:type="pct"/>
            <w:noWrap w:val="0"/>
            <w:vAlign w:val="center"/>
          </w:tcPr>
          <w:p w14:paraId="31B139B2">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w:t>
            </w:r>
          </w:p>
        </w:tc>
        <w:tc>
          <w:tcPr>
            <w:tcW w:w="3173" w:type="pct"/>
            <w:noWrap w:val="0"/>
            <w:vAlign w:val="center"/>
          </w:tcPr>
          <w:p w14:paraId="4549B4F2">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标识符号含义</w:t>
            </w:r>
          </w:p>
        </w:tc>
      </w:tr>
      <w:tr w14:paraId="4B128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6" w:type="pct"/>
            <w:noWrap w:val="0"/>
            <w:vAlign w:val="center"/>
          </w:tcPr>
          <w:p w14:paraId="50E3D9EE">
            <w:pPr>
              <w:keepNext w:val="0"/>
              <w:keepLines w:val="0"/>
              <w:suppressLineNumbers w:val="0"/>
              <w:spacing w:before="0" w:beforeAutospacing="0" w:after="0" w:afterAutospacing="0"/>
              <w:ind w:left="0" w:right="0"/>
              <w:jc w:val="center"/>
              <w:rPr>
                <w:rFonts w:hint="default" w:ascii="仿宋" w:hAnsi="仿宋" w:eastAsia="仿宋" w:cs="仿宋"/>
                <w:color w:val="000000"/>
                <w:sz w:val="24"/>
                <w:highlight w:val="none"/>
              </w:rPr>
            </w:pPr>
            <w:r>
              <w:rPr>
                <w:rFonts w:hint="eastAsia" w:ascii="仿宋" w:hAnsi="仿宋" w:eastAsia="仿宋" w:cs="仿宋"/>
                <w:color w:val="000000"/>
                <w:sz w:val="24"/>
                <w:highlight w:val="none"/>
              </w:rPr>
              <w:t>核心产品</w:t>
            </w:r>
          </w:p>
        </w:tc>
        <w:tc>
          <w:tcPr>
            <w:tcW w:w="719" w:type="pct"/>
            <w:noWrap w:val="0"/>
            <w:vAlign w:val="center"/>
          </w:tcPr>
          <w:p w14:paraId="7C2C8BEC">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2E3F3076">
            <w:pPr>
              <w:keepNext w:val="0"/>
              <w:keepLines w:val="0"/>
              <w:suppressLineNumbers w:val="0"/>
              <w:spacing w:before="0" w:beforeAutospacing="0" w:after="0" w:afterAutospacing="0"/>
              <w:ind w:left="0" w:right="0"/>
              <w:jc w:val="center"/>
              <w:rPr>
                <w:rFonts w:hint="default" w:ascii="仿宋" w:hAnsi="仿宋" w:eastAsia="仿宋" w:cs="仿宋"/>
                <w:b/>
                <w:bCs/>
                <w:color w:val="000000"/>
                <w:sz w:val="24"/>
                <w:highlight w:val="none"/>
              </w:rPr>
            </w:pPr>
            <w:r>
              <w:rPr>
                <w:rFonts w:hint="eastAsia" w:ascii="仿宋" w:hAnsi="仿宋" w:eastAsia="仿宋" w:cs="仿宋"/>
                <w:b/>
                <w:bCs/>
                <w:color w:val="000000"/>
                <w:sz w:val="24"/>
                <w:highlight w:val="none"/>
              </w:rPr>
              <w:t>标的属于核心产品</w:t>
            </w:r>
          </w:p>
        </w:tc>
      </w:tr>
      <w:tr w14:paraId="195EB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49D0C873">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实质性参数</w:t>
            </w:r>
          </w:p>
        </w:tc>
        <w:tc>
          <w:tcPr>
            <w:tcW w:w="719" w:type="pct"/>
            <w:noWrap w:val="0"/>
            <w:vAlign w:val="center"/>
          </w:tcPr>
          <w:p w14:paraId="191B5F8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62986924">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b/>
                <w:bCs/>
                <w:color w:val="000000"/>
                <w:sz w:val="24"/>
                <w:highlight w:val="none"/>
              </w:rPr>
              <w:t>负偏离或未响应视为实质性不响应招标文件要求</w:t>
            </w:r>
          </w:p>
        </w:tc>
      </w:tr>
      <w:tr w14:paraId="75E4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0CB0F92C">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核心参数</w:t>
            </w:r>
          </w:p>
        </w:tc>
        <w:tc>
          <w:tcPr>
            <w:tcW w:w="719" w:type="pct"/>
            <w:noWrap w:val="0"/>
            <w:vAlign w:val="center"/>
          </w:tcPr>
          <w:p w14:paraId="0298FEAB">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701546E8">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color w:val="000000"/>
                <w:sz w:val="24"/>
                <w:highlight w:val="none"/>
              </w:rPr>
              <w:t>评分项</w:t>
            </w:r>
          </w:p>
        </w:tc>
      </w:tr>
      <w:tr w14:paraId="4F5F4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539A9BBF">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重要参数</w:t>
            </w:r>
          </w:p>
        </w:tc>
        <w:tc>
          <w:tcPr>
            <w:tcW w:w="719" w:type="pct"/>
            <w:noWrap w:val="0"/>
            <w:vAlign w:val="center"/>
          </w:tcPr>
          <w:p w14:paraId="6FC725D8">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3" w:type="pct"/>
            <w:noWrap w:val="0"/>
            <w:vAlign w:val="center"/>
          </w:tcPr>
          <w:p w14:paraId="0020D134">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评分项</w:t>
            </w:r>
          </w:p>
        </w:tc>
      </w:tr>
      <w:tr w14:paraId="5C69E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155" w:type="dxa"/>
            <w:vMerge w:val="restart"/>
            <w:noWrap w:val="0"/>
            <w:vAlign w:val="center"/>
          </w:tcPr>
          <w:p w14:paraId="37904CB3">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一般参数</w:t>
            </w:r>
          </w:p>
        </w:tc>
        <w:tc>
          <w:tcPr>
            <w:tcW w:w="719" w:type="pct"/>
            <w:vMerge w:val="restart"/>
            <w:noWrap w:val="0"/>
            <w:vAlign w:val="center"/>
          </w:tcPr>
          <w:p w14:paraId="04D1C77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无标识</w:t>
            </w:r>
          </w:p>
        </w:tc>
        <w:tc>
          <w:tcPr>
            <w:tcW w:w="3173" w:type="pct"/>
            <w:noWrap w:val="0"/>
            <w:vAlign w:val="center"/>
          </w:tcPr>
          <w:p w14:paraId="3022D83C">
            <w:pPr>
              <w:keepNext w:val="0"/>
              <w:keepLines w:val="0"/>
              <w:suppressLineNumbers w:val="0"/>
              <w:spacing w:before="0" w:beforeAutospacing="0" w:after="0" w:afterAutospacing="0"/>
              <w:ind w:left="0" w:right="0"/>
              <w:jc w:val="left"/>
              <w:rPr>
                <w:rFonts w:hint="eastAsia" w:ascii="Times New Roman" w:hAnsi="Times New Roman" w:cs="Times New Roman"/>
                <w:color w:val="000000"/>
                <w:highlight w:val="none"/>
              </w:rPr>
            </w:pPr>
            <w:r>
              <w:rPr>
                <w:rFonts w:hint="default" w:ascii="Times New Roman" w:hAnsi="Times New Roman" w:cs="Times New Roman"/>
                <w:color w:val="000000"/>
                <w:highlight w:val="none"/>
              </w:rPr>
              <w:sym w:font="Wingdings 2" w:char="0052"/>
            </w:r>
            <w:r>
              <w:rPr>
                <w:rFonts w:hint="eastAsia" w:ascii="仿宋" w:hAnsi="仿宋" w:eastAsia="仿宋" w:cs="仿宋"/>
                <w:color w:val="000000"/>
                <w:sz w:val="24"/>
                <w:highlight w:val="none"/>
              </w:rPr>
              <w:t>评分项</w:t>
            </w:r>
          </w:p>
        </w:tc>
      </w:tr>
      <w:tr w14:paraId="0274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pct"/>
            <w:vMerge w:val="continue"/>
            <w:noWrap w:val="0"/>
            <w:vAlign w:val="center"/>
          </w:tcPr>
          <w:p w14:paraId="26655B3B">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719" w:type="pct"/>
            <w:vMerge w:val="continue"/>
            <w:noWrap w:val="0"/>
            <w:vAlign w:val="center"/>
          </w:tcPr>
          <w:p w14:paraId="46487B55">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3173" w:type="pct"/>
            <w:noWrap w:val="0"/>
            <w:vAlign w:val="center"/>
          </w:tcPr>
          <w:p w14:paraId="2765D0A6">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000000"/>
                <w:highlight w:val="none"/>
              </w:rPr>
            </w:pPr>
            <w:r>
              <w:rPr>
                <w:rFonts w:hint="default" w:ascii="Times New Roman" w:hAnsi="Times New Roman" w:cs="Times New Roman"/>
                <w:color w:val="000000"/>
                <w:highlight w:val="none"/>
              </w:rPr>
              <w:sym w:font="Wingdings 2" w:char="00A3"/>
            </w:r>
            <w:r>
              <w:rPr>
                <w:rFonts w:hint="eastAsia" w:ascii="宋体" w:hAnsi="宋体" w:eastAsia="仿宋" w:cs="Calibri"/>
                <w:color w:val="000000"/>
                <w:sz w:val="24"/>
                <w:highlight w:val="none"/>
              </w:rPr>
              <w:t>...</w:t>
            </w:r>
          </w:p>
        </w:tc>
      </w:tr>
      <w:tr w14:paraId="55FAA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78A32108">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注：</w:t>
            </w:r>
          </w:p>
          <w:p w14:paraId="462D3CA7">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对于标注“★”、“</w:t>
            </w:r>
            <w:r>
              <w:rPr>
                <w:rFonts w:hint="eastAsia" w:ascii="仿宋" w:hAnsi="仿宋" w:eastAsia="仿宋" w:cs="仿宋"/>
                <w:color w:val="000000"/>
                <w:sz w:val="24"/>
                <w:highlight w:val="none"/>
              </w:rPr>
              <w:t>█”、“●”</w:t>
            </w:r>
            <w:r>
              <w:rPr>
                <w:rFonts w:hint="eastAsia" w:ascii="仿宋" w:hAnsi="仿宋" w:eastAsia="仿宋" w:cs="仿宋"/>
                <w:b/>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5A077DB4">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3988D6CD">
            <w:pPr>
              <w:keepNext w:val="0"/>
              <w:keepLines w:val="0"/>
              <w:suppressLineNumbers w:val="0"/>
              <w:spacing w:before="0" w:beforeAutospacing="0" w:after="0" w:afterAutospacing="0" w:line="360" w:lineRule="auto"/>
              <w:ind w:left="0" w:right="0"/>
              <w:jc w:val="left"/>
              <w:rPr>
                <w:rFonts w:hint="eastAsia" w:ascii="仿宋" w:hAnsi="仿宋" w:cs="仿宋"/>
                <w:color w:val="0000FF"/>
                <w:sz w:val="24"/>
                <w:highlight w:val="none"/>
              </w:rPr>
            </w:pPr>
            <w:r>
              <w:rPr>
                <w:rFonts w:hint="eastAsia" w:ascii="仿宋" w:hAnsi="仿宋" w:eastAsia="仿宋" w:cs="仿宋"/>
                <w:b/>
                <w:bCs/>
                <w:color w:val="000000"/>
                <w:kern w:val="0"/>
                <w:sz w:val="24"/>
                <w:highlight w:val="none"/>
                <w:lang w:bidi="ar"/>
              </w:rPr>
              <w:t>3）标识条款中如包含多条子项技术参数或要求，则需满足或优于该标识条款内所有子项技术参数或要求方为响应。</w:t>
            </w:r>
          </w:p>
        </w:tc>
      </w:tr>
    </w:tbl>
    <w:p w14:paraId="460984F6">
      <w:pPr>
        <w:pStyle w:val="4"/>
        <w:widowControl/>
        <w:snapToGrid w:val="0"/>
        <w:spacing w:line="360" w:lineRule="auto"/>
        <w:ind w:firstLine="480" w:firstLineChars="200"/>
        <w:rPr>
          <w:rFonts w:hint="eastAsia" w:hAnsi="宋体" w:eastAsia="仿宋"/>
          <w:color w:val="FF0000"/>
          <w:sz w:val="24"/>
          <w:szCs w:val="24"/>
          <w:highlight w:val="none"/>
        </w:rPr>
      </w:pPr>
    </w:p>
    <w:p w14:paraId="4FAA7A20">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4.2技术要求表</w:t>
      </w:r>
    </w:p>
    <w:p w14:paraId="0C39917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7E7E877C">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（一）货物需求</w:t>
      </w:r>
    </w:p>
    <w:tbl>
      <w:tblPr>
        <w:tblStyle w:val="6"/>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2422"/>
        <w:gridCol w:w="1754"/>
        <w:gridCol w:w="1754"/>
        <w:gridCol w:w="1755"/>
      </w:tblGrid>
      <w:tr w14:paraId="03FAE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0A58C7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序号</w:t>
            </w:r>
          </w:p>
        </w:tc>
        <w:tc>
          <w:tcPr>
            <w:tcW w:w="2730" w:type="dxa"/>
            <w:noWrap w:val="0"/>
            <w:vAlign w:val="center"/>
          </w:tcPr>
          <w:p w14:paraId="2071406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设备名称</w:t>
            </w:r>
          </w:p>
        </w:tc>
        <w:tc>
          <w:tcPr>
            <w:tcW w:w="1971" w:type="dxa"/>
            <w:noWrap w:val="0"/>
            <w:vAlign w:val="center"/>
          </w:tcPr>
          <w:p w14:paraId="6297FD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数量</w:t>
            </w:r>
          </w:p>
        </w:tc>
        <w:tc>
          <w:tcPr>
            <w:tcW w:w="1971" w:type="dxa"/>
            <w:noWrap w:val="0"/>
            <w:vAlign w:val="center"/>
          </w:tcPr>
          <w:p w14:paraId="3AA039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单位</w:t>
            </w:r>
          </w:p>
        </w:tc>
        <w:tc>
          <w:tcPr>
            <w:tcW w:w="1971" w:type="dxa"/>
            <w:noWrap w:val="0"/>
            <w:vAlign w:val="center"/>
          </w:tcPr>
          <w:p w14:paraId="40512E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核心产品</w:t>
            </w:r>
          </w:p>
        </w:tc>
      </w:tr>
      <w:tr w14:paraId="623B4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3DF651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1</w:t>
            </w:r>
          </w:p>
        </w:tc>
        <w:tc>
          <w:tcPr>
            <w:tcW w:w="2730" w:type="dxa"/>
            <w:noWrap w:val="0"/>
            <w:vAlign w:val="center"/>
          </w:tcPr>
          <w:p w14:paraId="4CF2E3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彩超(便携机)</w:t>
            </w:r>
          </w:p>
        </w:tc>
        <w:tc>
          <w:tcPr>
            <w:tcW w:w="1971" w:type="dxa"/>
            <w:noWrap w:val="0"/>
            <w:vAlign w:val="center"/>
          </w:tcPr>
          <w:p w14:paraId="34D624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w:t>
            </w:r>
          </w:p>
        </w:tc>
        <w:tc>
          <w:tcPr>
            <w:tcW w:w="1971" w:type="dxa"/>
            <w:noWrap w:val="0"/>
            <w:vAlign w:val="center"/>
          </w:tcPr>
          <w:p w14:paraId="3D3B82F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套</w:t>
            </w:r>
          </w:p>
        </w:tc>
        <w:tc>
          <w:tcPr>
            <w:tcW w:w="1971" w:type="dxa"/>
            <w:noWrap w:val="0"/>
            <w:vAlign w:val="center"/>
          </w:tcPr>
          <w:p w14:paraId="15C8AD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bl>
    <w:p w14:paraId="69D738CE">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（二）技术参数及要求</w:t>
      </w:r>
    </w:p>
    <w:tbl>
      <w:tblPr>
        <w:tblStyle w:val="5"/>
        <w:tblW w:w="4879" w:type="pct"/>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96"/>
        <w:gridCol w:w="7120"/>
      </w:tblGrid>
      <w:tr w14:paraId="32E81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7A9079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F6AF6F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参数要求</w:t>
            </w:r>
          </w:p>
        </w:tc>
      </w:tr>
      <w:tr w14:paraId="52A08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D31F2D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AE6E27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数量：43台</w:t>
            </w:r>
          </w:p>
        </w:tc>
      </w:tr>
      <w:tr w14:paraId="33D48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CC575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9E9D32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用途说明：满足腹部、妇科、产科、心脏、小器官与浅表组织、血管、颅脑, 泌尿、介入性超声、儿科、急诊、麻醉、等全身应用</w:t>
            </w:r>
          </w:p>
        </w:tc>
      </w:tr>
      <w:tr w14:paraId="6C204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2DFBE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35D085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物理规格及探头配置</w:t>
            </w:r>
          </w:p>
        </w:tc>
      </w:tr>
      <w:tr w14:paraId="2D440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DA5E6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DEF332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显示器≥15英寸</w:t>
            </w:r>
          </w:p>
        </w:tc>
      </w:tr>
      <w:tr w14:paraId="3C2D4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0CCF6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B2CC75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主机探头接口≥1个，可扩展到≥3个</w:t>
            </w:r>
          </w:p>
        </w:tc>
      </w:tr>
      <w:tr w14:paraId="7F137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50CFA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9833BA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操作面板，支持用户自定义按键数量≥2个</w:t>
            </w:r>
          </w:p>
        </w:tc>
      </w:tr>
      <w:tr w14:paraId="45DA6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93C30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3.4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46A113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笔记本式便携彩超，非立式便携超，整机重量≤6.5KG</w:t>
            </w:r>
          </w:p>
        </w:tc>
      </w:tr>
      <w:tr w14:paraId="35AA7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77F43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3.5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A23B9B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探头配置：电子凸阵探头、电子线阵探头、相控阵探头（标配3把，所有探头提供分项报价，可单独核减）</w:t>
            </w:r>
          </w:p>
        </w:tc>
      </w:tr>
      <w:tr w14:paraId="250D9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760A2A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3.6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15C178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可选配探头：腹部、小器官、腔内、心脏、腹部容积、线阵矩阵、经食道心脏等探头（提供注册检验报告或盖章版技术白皮书或第三方出具的证明文件）</w:t>
            </w:r>
          </w:p>
        </w:tc>
      </w:tr>
      <w:tr w14:paraId="40CF8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22EF8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C8BAF3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系统技术参数</w:t>
            </w:r>
          </w:p>
        </w:tc>
      </w:tr>
      <w:tr w14:paraId="202C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E2321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896789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二维灰阶成像模式</w:t>
            </w:r>
          </w:p>
        </w:tc>
      </w:tr>
      <w:tr w14:paraId="089B3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EE288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AAF8EA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最大显示深度:≥30cm</w:t>
            </w:r>
          </w:p>
        </w:tc>
      </w:tr>
      <w:tr w14:paraId="5434B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805EC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65855A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TGC: ≥8段</w:t>
            </w:r>
          </w:p>
        </w:tc>
      </w:tr>
      <w:tr w14:paraId="12586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7923F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60FE29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LGC: ≥4段</w:t>
            </w:r>
          </w:p>
        </w:tc>
      </w:tr>
      <w:tr w14:paraId="57154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263E6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57927B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动态范围可视可调：≥200dB</w:t>
            </w:r>
          </w:p>
        </w:tc>
      </w:tr>
      <w:tr w14:paraId="4925E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3F1A1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C23C2E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增益调节: B/M/D分别独立可调</w:t>
            </w:r>
          </w:p>
        </w:tc>
      </w:tr>
      <w:tr w14:paraId="30810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06EF9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5BC123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组织谐波成像模式</w:t>
            </w:r>
          </w:p>
        </w:tc>
      </w:tr>
      <w:tr w14:paraId="5262D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F5909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996B04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组织特异性成像</w:t>
            </w:r>
          </w:p>
        </w:tc>
      </w:tr>
      <w:tr w14:paraId="33BA8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9A3E7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5ACF74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空间复合成像技术，支持≥9条偏转线，多级可调，支持线阵和凸阵探头</w:t>
            </w:r>
          </w:p>
        </w:tc>
      </w:tr>
      <w:tr w14:paraId="25A5D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FE48F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5751CE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频率复合成像</w:t>
            </w:r>
          </w:p>
        </w:tc>
      </w:tr>
      <w:tr w14:paraId="45F44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93A3E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48DEBB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斑点噪声抑制成像</w:t>
            </w:r>
          </w:p>
        </w:tc>
      </w:tr>
      <w:tr w14:paraId="273B0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6DB99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54D626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心肌增强技术</w:t>
            </w:r>
          </w:p>
        </w:tc>
      </w:tr>
      <w:tr w14:paraId="3B024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521D2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8FFBEE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M型成像模式</w:t>
            </w:r>
          </w:p>
        </w:tc>
      </w:tr>
      <w:tr w14:paraId="3A4C0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865444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2C55CF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彩色M型</w:t>
            </w:r>
          </w:p>
        </w:tc>
      </w:tr>
      <w:tr w14:paraId="11122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C58C0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4.14.1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6015C1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解剖M型，取样线≥3条，可360度任意旋转，支持实时扫描及离线重构M型图像</w:t>
            </w:r>
          </w:p>
        </w:tc>
      </w:tr>
      <w:tr w14:paraId="7EB8D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19B2E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4.14.2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70F10F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彩色多普勒成像（包括彩色、能量、方向能量多普勒模式）</w:t>
            </w:r>
          </w:p>
        </w:tc>
      </w:tr>
      <w:tr w14:paraId="10D87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62873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CBA002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超宽动态血流技术</w:t>
            </w:r>
          </w:p>
        </w:tc>
      </w:tr>
      <w:tr w14:paraId="47492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08253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DEB4FA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高分辨率血流成像</w:t>
            </w:r>
          </w:p>
        </w:tc>
      </w:tr>
      <w:tr w14:paraId="3A91E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9431F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F0937B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血流自动追踪技术：实现 ROI 框位置和角度的自动优化，提供 Color/Power 模式下彩色血流/能量图像的实时动态优化</w:t>
            </w:r>
          </w:p>
        </w:tc>
      </w:tr>
      <w:tr w14:paraId="61138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1ABF2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840BF5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双实时同屏对比显示</w:t>
            </w:r>
          </w:p>
        </w:tc>
      </w:tr>
      <w:tr w14:paraId="25B64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41F64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3823DC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支持速度、速度方差、能量、方向能量显示等</w:t>
            </w:r>
          </w:p>
        </w:tc>
      </w:tr>
      <w:tr w14:paraId="6EB8E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845219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D94665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显示方式：B/C、B/C/M、B/POWER、B/C/PW</w:t>
            </w:r>
          </w:p>
        </w:tc>
      </w:tr>
      <w:tr w14:paraId="20B88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2DB81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616051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取样框偏转: ≥±20度 (线阵探头)</w:t>
            </w:r>
          </w:p>
        </w:tc>
      </w:tr>
      <w:tr w14:paraId="3329C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3B5FC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6D677F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支持一键B/C同宽</w:t>
            </w:r>
          </w:p>
        </w:tc>
      </w:tr>
      <w:tr w14:paraId="3311C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27887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0FA65C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自动调节取样框的角度及位置</w:t>
            </w:r>
          </w:p>
        </w:tc>
      </w:tr>
      <w:tr w14:paraId="72A41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474B9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BB6D14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频谱多普勒成像</w:t>
            </w:r>
          </w:p>
        </w:tc>
      </w:tr>
      <w:tr w14:paraId="66A5F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704ED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792B60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支持脉冲多普勒、高脉冲重复频率、连续多普勒</w:t>
            </w:r>
          </w:p>
        </w:tc>
      </w:tr>
      <w:tr w14:paraId="461AF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A8050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E4462B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智能多普勒自动优化频谱多普勒取样线角度，以及快速矫正取样角度</w:t>
            </w:r>
          </w:p>
        </w:tc>
      </w:tr>
      <w:tr w14:paraId="152C8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39A78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65BFB5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显示控制：反转、零移位、B刷新、D扩展、B/D扩展等</w:t>
            </w:r>
          </w:p>
        </w:tc>
      </w:tr>
      <w:tr w14:paraId="6B44B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2BF112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C75E2A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PW最大速度: ≥8m/s、CW ≥37m/s</w:t>
            </w:r>
          </w:p>
        </w:tc>
      </w:tr>
      <w:tr w14:paraId="05F15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31830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679F80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最小速度: ≤5mm/s</w:t>
            </w:r>
          </w:p>
        </w:tc>
      </w:tr>
      <w:tr w14:paraId="37554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EABFD3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D15CC0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取样容积: 0.5-20mm ，多级可调</w:t>
            </w:r>
          </w:p>
        </w:tc>
      </w:tr>
      <w:tr w14:paraId="5BCA5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71332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4A2196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PW偏转角度: ≥±20度 (线阵探头）</w:t>
            </w:r>
          </w:p>
        </w:tc>
      </w:tr>
      <w:tr w14:paraId="39C13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9CB59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2B7005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零位移动：≥8 级</w:t>
            </w:r>
          </w:p>
        </w:tc>
      </w:tr>
      <w:tr w14:paraId="5597C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435FE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A395C0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二同步/三同步: 支持PW、CW开/关</w:t>
            </w:r>
          </w:p>
        </w:tc>
      </w:tr>
      <w:tr w14:paraId="2DCB7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152F4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4.16.10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C77324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快速角度校正</w:t>
            </w:r>
          </w:p>
        </w:tc>
      </w:tr>
      <w:tr w14:paraId="05065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F5CB1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4.17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2333F1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具有组织多普勒成像及定量分析，支持TVI、TVD、TVM、TEI四种模式，支持曲线解剖M型和彩色曲线解剖M型</w:t>
            </w:r>
          </w:p>
        </w:tc>
      </w:tr>
      <w:tr w14:paraId="3E23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3710E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4.18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9FDADB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具有组织追踪定量分析单元，参数分析结果用牛眼图显示，可分析长轴应变和短轴应变</w:t>
            </w:r>
          </w:p>
        </w:tc>
      </w:tr>
      <w:tr w14:paraId="3C597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A73DDB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4.19</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B9A577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造影成像及定量分析单元，用于腹部造影、浅表造影、心肌造影和心腔造影，支持微血管造影增强（提供注册检验报告或盖章版技术白皮书或第三方出具的证明文件）</w:t>
            </w:r>
          </w:p>
        </w:tc>
      </w:tr>
      <w:tr w14:paraId="1EDC8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73D79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4.20</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4727AD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有弹性成像及定量分析单元，支持逐帧图像的压力大小查看，具备组织硬度定量分析软件，支持多种比值分析，柱状图分析，支持定量测量映射分析，即在组织图测量时可在弹性图同步测量，支持应变率测量和肿块周边组织弹性定量分析，自动描记肿块周边组织，并支持弹性对比分析功能</w:t>
            </w:r>
          </w:p>
        </w:tc>
      </w:tr>
      <w:tr w14:paraId="54216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558B1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CD8E9B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实时宽景成像</w:t>
            </w:r>
          </w:p>
        </w:tc>
      </w:tr>
      <w:tr w14:paraId="7D076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E1B50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5CB9A1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一键自动优化，要求一键快速优化二维图像、彩色图像、彩色取样框位置和角度、频谱图像、频谱取样门大小、取样门位置、偏转角度</w:t>
            </w:r>
          </w:p>
        </w:tc>
      </w:tr>
      <w:tr w14:paraId="0209F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4E33D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65A1AF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图像放大技术：一键实现全屏放大，10倍局部放大（支持前端、后端放大）</w:t>
            </w:r>
          </w:p>
        </w:tc>
      </w:tr>
      <w:tr w14:paraId="79F19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D33FD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25D863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具备自动工作流协议（非常规检查下预设条件），可根据医生习惯自定义检查规范，自动打开彩色、频谱成像模式，自动添加体位图和注释，无需手动输入</w:t>
            </w:r>
          </w:p>
        </w:tc>
      </w:tr>
      <w:tr w14:paraId="5879E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737D8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7D5081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穿刺针增强技术，具有双屏实时对比显示，增强前后效果，并同时支持增强平面多角度可调</w:t>
            </w:r>
          </w:p>
        </w:tc>
      </w:tr>
      <w:tr w14:paraId="6BA8E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49BA40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021D59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超声教学助手</w:t>
            </w:r>
          </w:p>
        </w:tc>
      </w:tr>
      <w:tr w14:paraId="276DE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CFDD5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2EFC5E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测量分析和报告</w:t>
            </w:r>
          </w:p>
        </w:tc>
      </w:tr>
      <w:tr w14:paraId="1A709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36F8C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121CCE2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常规测量，支持距离、椭圆、描迹测、体积、斜率等</w:t>
            </w:r>
          </w:p>
        </w:tc>
      </w:tr>
      <w:tr w14:paraId="4A680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49A17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F4EA59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多普勒测量（自动或手动包络测量，自动计算测量参数）</w:t>
            </w:r>
          </w:p>
        </w:tc>
      </w:tr>
      <w:tr w14:paraId="11EB5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F4E00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C6C5AF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妇科/产科专用测量及分析</w:t>
            </w:r>
          </w:p>
        </w:tc>
      </w:tr>
      <w:tr w14:paraId="0EA9B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735D6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5C696F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≥3胎测量、胎儿生理评分、中国人群产科公式</w:t>
            </w:r>
          </w:p>
        </w:tc>
      </w:tr>
      <w:tr w14:paraId="733FD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E131A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5.3.2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675F86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具备产科测量≥6项胎儿项生物学数值（包括双顶径、枕额径、头围、腹围、股骨长、肱骨等自动测量）</w:t>
            </w:r>
          </w:p>
        </w:tc>
      </w:tr>
      <w:tr w14:paraId="56CDB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661765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A28F39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具有自动NT测量</w:t>
            </w:r>
          </w:p>
        </w:tc>
      </w:tr>
      <w:tr w14:paraId="6AE20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3C7D7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C673BC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心脏功能专用测量及分析，包括Simpson BP，Tei指数分析，PISA等</w:t>
            </w:r>
          </w:p>
        </w:tc>
      </w:tr>
      <w:tr w14:paraId="60100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5D0AB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5.5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A5FE44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具备血管内中膜自动测量，可同时进行血管前、后壁的内中膜一段距离的自动描迹，自动生成测量数据，测量数据包括最大值，最小值，平均值，标准差，ROI长度，测量长度及质量指标</w:t>
            </w:r>
          </w:p>
        </w:tc>
      </w:tr>
      <w:tr w14:paraId="62635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C09D6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EBF954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具备Auto EF射血分数自动测量</w:t>
            </w:r>
          </w:p>
        </w:tc>
      </w:tr>
      <w:tr w14:paraId="03D94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61BAA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5.6.1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89A984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自动识别左室舒张期切面和左室收缩期切面</w:t>
            </w:r>
          </w:p>
        </w:tc>
      </w:tr>
      <w:tr w14:paraId="23CBF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6416F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5.6.2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6A49BE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自动包络心内膜边界，自动计算左室舒张期容积、左室收缩期容积，左室射血分数EF以及每搏量SV</w:t>
            </w:r>
          </w:p>
        </w:tc>
      </w:tr>
      <w:tr w14:paraId="5CB10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DB31F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803D95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儿科髋关节测量、神经测量和急重症测量</w:t>
            </w:r>
          </w:p>
        </w:tc>
      </w:tr>
      <w:tr w14:paraId="294F4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D8928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A6735F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电影回放及原始数据处理</w:t>
            </w:r>
          </w:p>
        </w:tc>
      </w:tr>
      <w:tr w14:paraId="60667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554B7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4DC5AEE">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电影回放，向后存储≥5分钟的电影，支持保存后的图像同屏对比分析（动态、静态）</w:t>
            </w:r>
          </w:p>
        </w:tc>
      </w:tr>
      <w:tr w14:paraId="28038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191021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6D6745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原始数据处理，可对回放图像进行≥20个参数调节</w:t>
            </w:r>
          </w:p>
        </w:tc>
      </w:tr>
      <w:tr w14:paraId="5E823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C8951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C67857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检查存储和管理</w:t>
            </w:r>
          </w:p>
        </w:tc>
      </w:tr>
      <w:tr w14:paraId="754CB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3CFCE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A1D563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≥256G固态硬盘</w:t>
            </w:r>
          </w:p>
        </w:tc>
      </w:tr>
      <w:tr w14:paraId="34B39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CBB14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0E5ACC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内置超声工作站，支持同步存储，即后台存储或导出图像数据的同时前台可以完成实时扫描，不影响检查操作</w:t>
            </w:r>
          </w:p>
        </w:tc>
      </w:tr>
      <w:tr w14:paraId="75576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108951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74C75BF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支持直接一键存储至硬盘或U盘，突然关机或未结束检查关机资料不丢失</w:t>
            </w:r>
          </w:p>
        </w:tc>
      </w:tr>
      <w:tr w14:paraId="48CF4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26C354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D1E6478">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动态图像、静态图像以PC格式直接导出（支持单帧图像文件包含： DCM、TIFF、BMP、JPG单帧，电影文件包括：CIN、AVI、DCM），无需特殊软件即能在普通PC 机上直接观看图像。</w:t>
            </w:r>
          </w:p>
        </w:tc>
      </w:tr>
      <w:tr w14:paraId="69298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38CFC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83887A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连通性</w:t>
            </w:r>
          </w:p>
        </w:tc>
      </w:tr>
      <w:tr w14:paraId="08B8F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36E1D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8.1</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0CED6C9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参考信号:心电，呼吸波，心电触发</w:t>
            </w:r>
          </w:p>
        </w:tc>
      </w:tr>
      <w:tr w14:paraId="3DD1C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15D713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3C8314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 xml:space="preserve"> 数据接口:HDMI、USB3.0接口、音频接口</w:t>
            </w:r>
          </w:p>
        </w:tc>
      </w:tr>
      <w:tr w14:paraId="3723A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97006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8.3</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220B9C1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支持数据无线传输</w:t>
            </w:r>
          </w:p>
        </w:tc>
      </w:tr>
      <w:tr w14:paraId="667E0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33DB773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8.4</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476CB1A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支持DICOM系统，可选配DICOM妇产科、心脏、血管、乳腺结构化报</w:t>
            </w:r>
          </w:p>
        </w:tc>
      </w:tr>
      <w:tr w14:paraId="5C747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7D1D26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8.5</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3852870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外设数据模块：包含S---视频、VGA视频接口、高清音视频接口</w:t>
            </w:r>
          </w:p>
        </w:tc>
      </w:tr>
      <w:tr w14:paraId="63704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83F3F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8.6</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651AB44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专用台车：可升降、防盗锁模块</w:t>
            </w:r>
          </w:p>
        </w:tc>
      </w:tr>
      <w:tr w14:paraId="456A3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589690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8.7</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D5344C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具备可装卸探头扩展槽</w:t>
            </w:r>
          </w:p>
        </w:tc>
      </w:tr>
      <w:tr w14:paraId="26835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719" w:type="pct"/>
            <w:tcBorders>
              <w:top w:val="single" w:color="000000" w:sz="4" w:space="0"/>
              <w:left w:val="single" w:color="000000" w:sz="4" w:space="0"/>
              <w:bottom w:val="single" w:color="000000" w:sz="4" w:space="0"/>
              <w:right w:val="single" w:color="000000" w:sz="4" w:space="0"/>
            </w:tcBorders>
            <w:noWrap w:val="0"/>
            <w:vAlign w:val="center"/>
          </w:tcPr>
          <w:p w14:paraId="030444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8.8</w:t>
            </w:r>
          </w:p>
        </w:tc>
        <w:tc>
          <w:tcPr>
            <w:tcW w:w="4280" w:type="pct"/>
            <w:tcBorders>
              <w:top w:val="single" w:color="000000" w:sz="4" w:space="0"/>
              <w:left w:val="single" w:color="000000" w:sz="4" w:space="0"/>
              <w:bottom w:val="single" w:color="000000" w:sz="4" w:space="0"/>
              <w:right w:val="single" w:color="000000" w:sz="4" w:space="0"/>
            </w:tcBorders>
            <w:noWrap w:val="0"/>
            <w:vAlign w:val="center"/>
          </w:tcPr>
          <w:p w14:paraId="539EE66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default" w:ascii="仿宋" w:hAnsi="仿宋" w:eastAsia="仿宋" w:cs="仿宋"/>
                <w:i w:val="0"/>
                <w:iCs w:val="0"/>
                <w:color w:val="000000"/>
                <w:kern w:val="0"/>
                <w:sz w:val="24"/>
                <w:szCs w:val="24"/>
                <w:highlight w:val="none"/>
                <w:u w:val="none"/>
                <w:lang w:val="en-US" w:eastAsia="zh-CN" w:bidi="ar"/>
              </w:rPr>
              <w:t>专用旅行箱，可装载主机、探头及相关备件</w:t>
            </w:r>
          </w:p>
        </w:tc>
      </w:tr>
    </w:tbl>
    <w:p w14:paraId="2998BFF8">
      <w:pPr>
        <w:widowControl/>
        <w:snapToGrid w:val="0"/>
        <w:spacing w:line="360" w:lineRule="auto"/>
        <w:rPr>
          <w:rFonts w:hint="eastAsia" w:eastAsia="仿宋"/>
          <w:sz w:val="24"/>
          <w:highlight w:val="none"/>
        </w:rPr>
      </w:pPr>
    </w:p>
    <w:p w14:paraId="1B129924">
      <w:pPr>
        <w:pStyle w:val="4"/>
        <w:widowControl/>
        <w:snapToGrid w:val="0"/>
        <w:spacing w:line="360" w:lineRule="auto"/>
        <w:ind w:firstLine="482" w:firstLineChars="200"/>
        <w:outlineLvl w:val="2"/>
        <w:rPr>
          <w:rFonts w:hint="default" w:hAnsi="宋体" w:eastAsia="仿宋"/>
          <w:b/>
          <w:bCs/>
          <w:sz w:val="24"/>
          <w:szCs w:val="24"/>
          <w:highlight w:val="none"/>
          <w:lang w:val="en-US" w:eastAsia="zh-CN"/>
        </w:rPr>
      </w:pPr>
      <w:bookmarkStart w:id="11" w:name="_Toc512544433"/>
      <w:bookmarkStart w:id="12" w:name="_Toc515539871"/>
      <w:bookmarkStart w:id="13" w:name="_Toc517011813"/>
      <w:bookmarkStart w:id="14" w:name="_Toc526265690"/>
      <w:bookmarkStart w:id="15" w:name="_Toc512611688"/>
      <w:bookmarkStart w:id="16" w:name="_Toc493440806"/>
      <w:bookmarkStart w:id="17" w:name="_Toc525819966"/>
      <w:bookmarkStart w:id="18" w:name="_Toc493440974"/>
      <w:bookmarkStart w:id="19" w:name="_Toc493432669"/>
      <w:r>
        <w:rPr>
          <w:rFonts w:hint="eastAsia" w:hAnsi="宋体" w:eastAsia="仿宋"/>
          <w:b/>
          <w:bCs/>
          <w:sz w:val="24"/>
          <w:szCs w:val="24"/>
          <w:highlight w:val="none"/>
        </w:rPr>
        <w:t>4.3 须单独报价配件（或附件）一览表</w:t>
      </w:r>
    </w:p>
    <w:p w14:paraId="4C7728C8">
      <w:pPr>
        <w:adjustRightInd w:val="0"/>
        <w:snapToGrid w:val="0"/>
        <w:spacing w:before="120" w:after="120" w:line="360" w:lineRule="auto"/>
        <w:ind w:firstLine="482" w:firstLineChars="200"/>
        <w:rPr>
          <w:rFonts w:hint="default" w:ascii="Times New Roman" w:hAnsi="Times New Roman" w:eastAsia="仿宋" w:cs="Times New Roman"/>
          <w:b/>
          <w:bCs/>
          <w:color w:val="000000"/>
          <w:sz w:val="22"/>
          <w:szCs w:val="22"/>
          <w:highlight w:val="none"/>
          <w:lang w:val="en-US" w:eastAsia="zh-CN"/>
        </w:rPr>
      </w:pPr>
      <w:r>
        <w:rPr>
          <w:rFonts w:hint="eastAsia" w:hAnsi="宋体" w:eastAsia="仿宋"/>
          <w:b/>
          <w:bCs/>
          <w:sz w:val="24"/>
          <w:szCs w:val="24"/>
          <w:highlight w:val="none"/>
          <w:lang w:val="en-US" w:eastAsia="zh-CN"/>
        </w:rPr>
        <w:t>说明：</w:t>
      </w:r>
      <w:r>
        <w:rPr>
          <w:rFonts w:hint="eastAsia" w:hAnsi="宋体" w:eastAsia="仿宋"/>
          <w:b/>
          <w:bCs/>
          <w:sz w:val="24"/>
          <w:szCs w:val="24"/>
          <w:highlight w:val="none"/>
        </w:rPr>
        <w:t>以下配件为单台(套)设备</w:t>
      </w:r>
      <w:r>
        <w:rPr>
          <w:rFonts w:hint="eastAsia" w:hAnsi="宋体" w:eastAsia="仿宋"/>
          <w:b/>
          <w:bCs/>
          <w:sz w:val="24"/>
          <w:szCs w:val="24"/>
          <w:highlight w:val="none"/>
          <w:lang w:val="en-US" w:eastAsia="zh-CN"/>
        </w:rPr>
        <w:t>配置要求</w:t>
      </w:r>
    </w:p>
    <w:tbl>
      <w:tblPr>
        <w:tblStyle w:val="5"/>
        <w:tblW w:w="9538" w:type="dxa"/>
        <w:jc w:val="righ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2"/>
        <w:gridCol w:w="3138"/>
        <w:gridCol w:w="870"/>
        <w:gridCol w:w="2512"/>
        <w:gridCol w:w="2126"/>
      </w:tblGrid>
      <w:tr w14:paraId="51FF8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right"/>
        </w:trPr>
        <w:tc>
          <w:tcPr>
            <w:tcW w:w="892" w:type="dxa"/>
            <w:noWrap w:val="0"/>
            <w:vAlign w:val="center"/>
          </w:tcPr>
          <w:p w14:paraId="5709614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序号</w:t>
            </w:r>
          </w:p>
        </w:tc>
        <w:tc>
          <w:tcPr>
            <w:tcW w:w="3138" w:type="dxa"/>
            <w:noWrap w:val="0"/>
            <w:vAlign w:val="center"/>
          </w:tcPr>
          <w:p w14:paraId="77E1650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配件（或附件）名称</w:t>
            </w:r>
          </w:p>
        </w:tc>
        <w:tc>
          <w:tcPr>
            <w:tcW w:w="870" w:type="dxa"/>
            <w:noWrap w:val="0"/>
            <w:vAlign w:val="center"/>
          </w:tcPr>
          <w:p w14:paraId="699A9FC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w:t>
            </w:r>
          </w:p>
        </w:tc>
        <w:tc>
          <w:tcPr>
            <w:tcW w:w="2512" w:type="dxa"/>
            <w:noWrap w:val="0"/>
            <w:vAlign w:val="center"/>
          </w:tcPr>
          <w:p w14:paraId="17F286E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是否需要计入本次投标总价</w:t>
            </w:r>
          </w:p>
        </w:tc>
        <w:tc>
          <w:tcPr>
            <w:tcW w:w="2126" w:type="dxa"/>
            <w:noWrap w:val="0"/>
            <w:vAlign w:val="center"/>
          </w:tcPr>
          <w:p w14:paraId="3AB7D48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计入本次投标总价的数量</w:t>
            </w:r>
          </w:p>
        </w:tc>
      </w:tr>
      <w:tr w14:paraId="5C079E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0BBFE3E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3138" w:type="dxa"/>
            <w:noWrap w:val="0"/>
            <w:vAlign w:val="center"/>
          </w:tcPr>
          <w:p w14:paraId="00045E9A">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rPr>
              <w:t>电子凸阵探头</w:t>
            </w:r>
          </w:p>
        </w:tc>
        <w:tc>
          <w:tcPr>
            <w:tcW w:w="870" w:type="dxa"/>
            <w:noWrap w:val="0"/>
            <w:vAlign w:val="center"/>
          </w:tcPr>
          <w:p w14:paraId="287F7699">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076DAA1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0E634C1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42CC3A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013FCA1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3138" w:type="dxa"/>
            <w:noWrap w:val="0"/>
            <w:vAlign w:val="center"/>
          </w:tcPr>
          <w:p w14:paraId="696BAE3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电子线阵探头</w:t>
            </w:r>
          </w:p>
        </w:tc>
        <w:tc>
          <w:tcPr>
            <w:tcW w:w="870" w:type="dxa"/>
            <w:noWrap w:val="0"/>
            <w:vAlign w:val="center"/>
          </w:tcPr>
          <w:p w14:paraId="69EBA24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5AE4708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3181799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2328E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683D7B5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w:t>
            </w:r>
          </w:p>
        </w:tc>
        <w:tc>
          <w:tcPr>
            <w:tcW w:w="3138" w:type="dxa"/>
            <w:noWrap w:val="0"/>
            <w:vAlign w:val="center"/>
          </w:tcPr>
          <w:p w14:paraId="7F2789D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相控阵探头</w:t>
            </w:r>
          </w:p>
        </w:tc>
        <w:tc>
          <w:tcPr>
            <w:tcW w:w="870" w:type="dxa"/>
            <w:noWrap w:val="0"/>
            <w:vAlign w:val="center"/>
          </w:tcPr>
          <w:p w14:paraId="590D626E">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3E82FC9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kern w:val="0"/>
                <w:sz w:val="24"/>
                <w:szCs w:val="24"/>
                <w:highlight w:val="none"/>
              </w:rPr>
              <w:t>是</w:t>
            </w:r>
          </w:p>
        </w:tc>
        <w:tc>
          <w:tcPr>
            <w:tcW w:w="2126" w:type="dxa"/>
            <w:noWrap w:val="0"/>
            <w:vAlign w:val="center"/>
          </w:tcPr>
          <w:p w14:paraId="5C3CEB42">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w:t>
            </w:r>
          </w:p>
        </w:tc>
      </w:tr>
      <w:tr w14:paraId="77E38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6308E41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w:t>
            </w:r>
          </w:p>
        </w:tc>
        <w:tc>
          <w:tcPr>
            <w:tcW w:w="3138" w:type="dxa"/>
            <w:noWrap w:val="0"/>
            <w:vAlign w:val="center"/>
          </w:tcPr>
          <w:p w14:paraId="7F6962A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color w:val="000000"/>
                <w:kern w:val="0"/>
                <w:sz w:val="24"/>
                <w:szCs w:val="24"/>
                <w:highlight w:val="none"/>
                <w:lang w:val="en-US" w:eastAsia="zh-CN"/>
              </w:rPr>
              <w:t>腹部探头</w:t>
            </w:r>
          </w:p>
        </w:tc>
        <w:tc>
          <w:tcPr>
            <w:tcW w:w="870" w:type="dxa"/>
            <w:noWrap w:val="0"/>
            <w:vAlign w:val="center"/>
          </w:tcPr>
          <w:p w14:paraId="2185D27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4FB0856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eastAsia="zh-CN"/>
              </w:rPr>
            </w:pPr>
            <w:r>
              <w:rPr>
                <w:rFonts w:hint="eastAsia" w:ascii="仿宋" w:hAnsi="仿宋" w:eastAsia="仿宋" w:cs="仿宋"/>
                <w:color w:val="000000"/>
                <w:kern w:val="0"/>
                <w:sz w:val="24"/>
                <w:szCs w:val="24"/>
                <w:highlight w:val="none"/>
                <w:lang w:val="en-US" w:eastAsia="zh-CN"/>
              </w:rPr>
              <w:t>否</w:t>
            </w:r>
          </w:p>
        </w:tc>
        <w:tc>
          <w:tcPr>
            <w:tcW w:w="2126" w:type="dxa"/>
            <w:noWrap w:val="0"/>
            <w:vAlign w:val="center"/>
          </w:tcPr>
          <w:p w14:paraId="5D39A79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0</w:t>
            </w:r>
          </w:p>
        </w:tc>
      </w:tr>
      <w:tr w14:paraId="3EA61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54968BA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w:t>
            </w:r>
          </w:p>
        </w:tc>
        <w:tc>
          <w:tcPr>
            <w:tcW w:w="3138" w:type="dxa"/>
            <w:noWrap w:val="0"/>
            <w:vAlign w:val="center"/>
          </w:tcPr>
          <w:p w14:paraId="35EDB42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color w:val="000000"/>
                <w:kern w:val="0"/>
                <w:sz w:val="24"/>
                <w:szCs w:val="24"/>
                <w:highlight w:val="none"/>
              </w:rPr>
              <w:t>小器官</w:t>
            </w:r>
            <w:r>
              <w:rPr>
                <w:rFonts w:hint="eastAsia" w:ascii="仿宋" w:hAnsi="仿宋" w:eastAsia="仿宋" w:cs="仿宋"/>
                <w:color w:val="000000"/>
                <w:kern w:val="0"/>
                <w:sz w:val="24"/>
                <w:szCs w:val="24"/>
                <w:highlight w:val="none"/>
                <w:lang w:val="en-US" w:eastAsia="zh-CN"/>
              </w:rPr>
              <w:t>探头</w:t>
            </w:r>
          </w:p>
        </w:tc>
        <w:tc>
          <w:tcPr>
            <w:tcW w:w="870" w:type="dxa"/>
            <w:noWrap w:val="0"/>
            <w:vAlign w:val="center"/>
          </w:tcPr>
          <w:p w14:paraId="261AD8A6">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0F57F0C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eastAsia="zh-CN"/>
              </w:rPr>
            </w:pPr>
            <w:r>
              <w:rPr>
                <w:rFonts w:hint="eastAsia" w:ascii="仿宋" w:hAnsi="仿宋" w:eastAsia="仿宋" w:cs="仿宋"/>
                <w:color w:val="000000"/>
                <w:kern w:val="0"/>
                <w:sz w:val="24"/>
                <w:szCs w:val="24"/>
                <w:highlight w:val="none"/>
                <w:lang w:val="en-US" w:eastAsia="zh-CN"/>
              </w:rPr>
              <w:t>否</w:t>
            </w:r>
          </w:p>
        </w:tc>
        <w:tc>
          <w:tcPr>
            <w:tcW w:w="2126" w:type="dxa"/>
            <w:noWrap w:val="0"/>
            <w:vAlign w:val="center"/>
          </w:tcPr>
          <w:p w14:paraId="3D359B0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0</w:t>
            </w:r>
          </w:p>
        </w:tc>
      </w:tr>
      <w:tr w14:paraId="73E33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0574B69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6</w:t>
            </w:r>
          </w:p>
        </w:tc>
        <w:tc>
          <w:tcPr>
            <w:tcW w:w="3138" w:type="dxa"/>
            <w:noWrap w:val="0"/>
            <w:vAlign w:val="center"/>
          </w:tcPr>
          <w:p w14:paraId="10ACB17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lang w:eastAsia="zh-CN"/>
              </w:rPr>
            </w:pPr>
            <w:r>
              <w:rPr>
                <w:rFonts w:hint="eastAsia" w:ascii="仿宋" w:hAnsi="仿宋" w:eastAsia="仿宋" w:cs="仿宋"/>
                <w:color w:val="000000"/>
                <w:kern w:val="0"/>
                <w:sz w:val="24"/>
                <w:szCs w:val="24"/>
                <w:highlight w:val="none"/>
              </w:rPr>
              <w:t>腔内</w:t>
            </w:r>
            <w:r>
              <w:rPr>
                <w:rFonts w:hint="eastAsia" w:ascii="仿宋" w:hAnsi="仿宋" w:eastAsia="仿宋" w:cs="仿宋"/>
                <w:color w:val="000000"/>
                <w:kern w:val="0"/>
                <w:sz w:val="24"/>
                <w:szCs w:val="24"/>
                <w:highlight w:val="none"/>
                <w:lang w:val="en-US" w:eastAsia="zh-CN"/>
              </w:rPr>
              <w:t>探头</w:t>
            </w:r>
          </w:p>
        </w:tc>
        <w:tc>
          <w:tcPr>
            <w:tcW w:w="870" w:type="dxa"/>
            <w:noWrap w:val="0"/>
            <w:vAlign w:val="center"/>
          </w:tcPr>
          <w:p w14:paraId="2DD65D7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6E07E42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lang w:val="en-US" w:eastAsia="zh-CN"/>
              </w:rPr>
              <w:t>否</w:t>
            </w:r>
          </w:p>
        </w:tc>
        <w:tc>
          <w:tcPr>
            <w:tcW w:w="2126" w:type="dxa"/>
            <w:noWrap w:val="0"/>
            <w:vAlign w:val="center"/>
          </w:tcPr>
          <w:p w14:paraId="0B4CF5D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0</w:t>
            </w:r>
          </w:p>
        </w:tc>
      </w:tr>
      <w:tr w14:paraId="095E1B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0744879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7</w:t>
            </w:r>
          </w:p>
        </w:tc>
        <w:tc>
          <w:tcPr>
            <w:tcW w:w="3138" w:type="dxa"/>
            <w:noWrap w:val="0"/>
            <w:vAlign w:val="center"/>
          </w:tcPr>
          <w:p w14:paraId="6D7BF97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rPr>
              <w:t>心脏</w:t>
            </w:r>
            <w:r>
              <w:rPr>
                <w:rFonts w:hint="eastAsia" w:ascii="仿宋" w:hAnsi="仿宋" w:eastAsia="仿宋" w:cs="仿宋"/>
                <w:color w:val="000000"/>
                <w:kern w:val="0"/>
                <w:sz w:val="24"/>
                <w:szCs w:val="24"/>
                <w:highlight w:val="none"/>
                <w:lang w:val="en-US" w:eastAsia="zh-CN"/>
              </w:rPr>
              <w:t>探头</w:t>
            </w:r>
          </w:p>
        </w:tc>
        <w:tc>
          <w:tcPr>
            <w:tcW w:w="870" w:type="dxa"/>
            <w:noWrap w:val="0"/>
            <w:vAlign w:val="center"/>
          </w:tcPr>
          <w:p w14:paraId="5A6C8671">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7FB93F8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lang w:val="en-US" w:eastAsia="zh-CN"/>
              </w:rPr>
              <w:t>否</w:t>
            </w:r>
          </w:p>
        </w:tc>
        <w:tc>
          <w:tcPr>
            <w:tcW w:w="2126" w:type="dxa"/>
            <w:noWrap w:val="0"/>
            <w:vAlign w:val="center"/>
          </w:tcPr>
          <w:p w14:paraId="31BFEB4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0</w:t>
            </w:r>
          </w:p>
        </w:tc>
      </w:tr>
      <w:tr w14:paraId="261CA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right"/>
        </w:trPr>
        <w:tc>
          <w:tcPr>
            <w:tcW w:w="892" w:type="dxa"/>
            <w:noWrap w:val="0"/>
            <w:vAlign w:val="center"/>
          </w:tcPr>
          <w:p w14:paraId="1742DD5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8</w:t>
            </w:r>
          </w:p>
        </w:tc>
        <w:tc>
          <w:tcPr>
            <w:tcW w:w="3138" w:type="dxa"/>
            <w:noWrap w:val="0"/>
            <w:vAlign w:val="center"/>
          </w:tcPr>
          <w:p w14:paraId="7ED52EB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lang w:eastAsia="zh-CN"/>
              </w:rPr>
            </w:pPr>
            <w:r>
              <w:rPr>
                <w:rFonts w:hint="eastAsia" w:ascii="仿宋" w:hAnsi="仿宋" w:eastAsia="仿宋" w:cs="仿宋"/>
                <w:color w:val="000000"/>
                <w:kern w:val="0"/>
                <w:sz w:val="24"/>
                <w:szCs w:val="24"/>
                <w:highlight w:val="none"/>
              </w:rPr>
              <w:t>腹部容积</w:t>
            </w:r>
            <w:r>
              <w:rPr>
                <w:rFonts w:hint="eastAsia" w:ascii="仿宋" w:hAnsi="仿宋" w:eastAsia="仿宋" w:cs="仿宋"/>
                <w:color w:val="000000"/>
                <w:kern w:val="0"/>
                <w:sz w:val="24"/>
                <w:szCs w:val="24"/>
                <w:highlight w:val="none"/>
                <w:lang w:val="en-US" w:eastAsia="zh-CN"/>
              </w:rPr>
              <w:t>探头</w:t>
            </w:r>
          </w:p>
        </w:tc>
        <w:tc>
          <w:tcPr>
            <w:tcW w:w="870" w:type="dxa"/>
            <w:noWrap w:val="0"/>
            <w:vAlign w:val="center"/>
          </w:tcPr>
          <w:p w14:paraId="5B5CF9B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6CA31F9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lang w:val="en-US" w:eastAsia="zh-CN"/>
              </w:rPr>
              <w:t>否</w:t>
            </w:r>
          </w:p>
        </w:tc>
        <w:tc>
          <w:tcPr>
            <w:tcW w:w="2126" w:type="dxa"/>
            <w:noWrap w:val="0"/>
            <w:vAlign w:val="center"/>
          </w:tcPr>
          <w:p w14:paraId="2329298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0</w:t>
            </w:r>
          </w:p>
        </w:tc>
      </w:tr>
      <w:tr w14:paraId="7783F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6F89429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9</w:t>
            </w:r>
          </w:p>
        </w:tc>
        <w:tc>
          <w:tcPr>
            <w:tcW w:w="3138" w:type="dxa"/>
            <w:noWrap w:val="0"/>
            <w:vAlign w:val="center"/>
          </w:tcPr>
          <w:p w14:paraId="19FB90F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rPr>
              <w:t>线阵矩阵</w:t>
            </w:r>
            <w:r>
              <w:rPr>
                <w:rFonts w:hint="eastAsia" w:ascii="仿宋" w:hAnsi="仿宋" w:eastAsia="仿宋" w:cs="仿宋"/>
                <w:color w:val="000000"/>
                <w:kern w:val="0"/>
                <w:sz w:val="24"/>
                <w:szCs w:val="24"/>
                <w:highlight w:val="none"/>
                <w:lang w:val="en-US" w:eastAsia="zh-CN"/>
              </w:rPr>
              <w:t>探头</w:t>
            </w:r>
          </w:p>
        </w:tc>
        <w:tc>
          <w:tcPr>
            <w:tcW w:w="870" w:type="dxa"/>
            <w:noWrap w:val="0"/>
            <w:vAlign w:val="center"/>
          </w:tcPr>
          <w:p w14:paraId="0A7DC539">
            <w:pPr>
              <w:keepNext w:val="0"/>
              <w:keepLines w:val="0"/>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176E58A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lang w:val="en-US" w:eastAsia="zh-CN"/>
              </w:rPr>
              <w:t>否</w:t>
            </w:r>
          </w:p>
        </w:tc>
        <w:tc>
          <w:tcPr>
            <w:tcW w:w="2126" w:type="dxa"/>
            <w:noWrap w:val="0"/>
            <w:vAlign w:val="center"/>
          </w:tcPr>
          <w:p w14:paraId="2A5682A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0</w:t>
            </w:r>
          </w:p>
        </w:tc>
      </w:tr>
      <w:tr w14:paraId="61546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right"/>
        </w:trPr>
        <w:tc>
          <w:tcPr>
            <w:tcW w:w="892" w:type="dxa"/>
            <w:noWrap w:val="0"/>
            <w:vAlign w:val="center"/>
          </w:tcPr>
          <w:p w14:paraId="774E72D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10</w:t>
            </w:r>
          </w:p>
        </w:tc>
        <w:tc>
          <w:tcPr>
            <w:tcW w:w="3138" w:type="dxa"/>
            <w:noWrap w:val="0"/>
            <w:vAlign w:val="center"/>
          </w:tcPr>
          <w:p w14:paraId="51BC18B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rPr>
              <w:t>经食道心脏</w:t>
            </w:r>
            <w:r>
              <w:rPr>
                <w:rFonts w:hint="eastAsia" w:ascii="仿宋" w:hAnsi="仿宋" w:eastAsia="仿宋" w:cs="仿宋"/>
                <w:color w:val="000000"/>
                <w:kern w:val="0"/>
                <w:sz w:val="24"/>
                <w:szCs w:val="24"/>
                <w:highlight w:val="none"/>
                <w:lang w:val="en-US" w:eastAsia="zh-CN"/>
              </w:rPr>
              <w:t>探头</w:t>
            </w:r>
          </w:p>
        </w:tc>
        <w:tc>
          <w:tcPr>
            <w:tcW w:w="870" w:type="dxa"/>
            <w:noWrap w:val="0"/>
            <w:vAlign w:val="center"/>
          </w:tcPr>
          <w:p w14:paraId="43E2290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color w:val="000000"/>
                <w:sz w:val="24"/>
                <w:szCs w:val="24"/>
                <w:highlight w:val="none"/>
                <w:lang w:val="en-US" w:eastAsia="zh-CN"/>
              </w:rPr>
              <w:t>把</w:t>
            </w:r>
          </w:p>
        </w:tc>
        <w:tc>
          <w:tcPr>
            <w:tcW w:w="2512" w:type="dxa"/>
            <w:noWrap w:val="0"/>
            <w:vAlign w:val="center"/>
          </w:tcPr>
          <w:p w14:paraId="4FD3178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lang w:val="en-US" w:eastAsia="zh-CN"/>
              </w:rPr>
              <w:t>否</w:t>
            </w:r>
          </w:p>
        </w:tc>
        <w:tc>
          <w:tcPr>
            <w:tcW w:w="2126" w:type="dxa"/>
            <w:noWrap w:val="0"/>
            <w:vAlign w:val="center"/>
          </w:tcPr>
          <w:p w14:paraId="2970DC4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0</w:t>
            </w:r>
          </w:p>
        </w:tc>
      </w:tr>
    </w:tbl>
    <w:p w14:paraId="56063481">
      <w:pPr>
        <w:pStyle w:val="4"/>
        <w:widowControl/>
        <w:snapToGrid w:val="0"/>
        <w:spacing w:line="360" w:lineRule="auto"/>
        <w:ind w:firstLine="482" w:firstLineChars="200"/>
        <w:outlineLvl w:val="2"/>
        <w:rPr>
          <w:rFonts w:hAnsi="宋体" w:eastAsia="仿宋"/>
          <w:b/>
          <w:bCs/>
          <w:sz w:val="24"/>
          <w:szCs w:val="24"/>
          <w:highlight w:val="none"/>
        </w:rPr>
      </w:pPr>
      <w:r>
        <w:rPr>
          <w:rFonts w:hint="eastAsia" w:hAnsi="宋体" w:eastAsia="仿宋"/>
          <w:b/>
          <w:bCs/>
          <w:sz w:val="24"/>
          <w:szCs w:val="24"/>
          <w:highlight w:val="none"/>
        </w:rPr>
        <w:t>4.4 试验检测</w:t>
      </w:r>
      <w:bookmarkEnd w:id="11"/>
      <w:bookmarkEnd w:id="12"/>
      <w:bookmarkEnd w:id="13"/>
      <w:bookmarkEnd w:id="14"/>
      <w:bookmarkEnd w:id="15"/>
      <w:bookmarkEnd w:id="16"/>
      <w:bookmarkEnd w:id="17"/>
      <w:bookmarkEnd w:id="18"/>
      <w:bookmarkEnd w:id="19"/>
      <w:r>
        <w:rPr>
          <w:rFonts w:hint="eastAsia" w:hAnsi="宋体" w:eastAsia="仿宋"/>
          <w:b/>
          <w:bCs/>
          <w:sz w:val="24"/>
          <w:szCs w:val="24"/>
          <w:highlight w:val="none"/>
        </w:rPr>
        <w:t>要求</w:t>
      </w:r>
    </w:p>
    <w:p w14:paraId="3CB90488">
      <w:pPr>
        <w:adjustRightInd w:val="0"/>
        <w:snapToGrid w:val="0"/>
        <w:spacing w:before="120" w:after="120" w:line="360" w:lineRule="auto"/>
        <w:ind w:firstLine="480" w:firstLineChars="200"/>
        <w:rPr>
          <w:rFonts w:eastAsia="仿宋"/>
          <w:color w:val="000000"/>
          <w:sz w:val="24"/>
          <w:highlight w:val="none"/>
        </w:rPr>
      </w:pPr>
      <w:r>
        <w:rPr>
          <w:rFonts w:hint="eastAsia" w:eastAsia="仿宋"/>
          <w:color w:val="000000"/>
          <w:sz w:val="24"/>
          <w:highlight w:val="none"/>
        </w:rPr>
        <w:t>无</w:t>
      </w:r>
    </w:p>
    <w:p w14:paraId="7FF0946F">
      <w:pPr>
        <w:pStyle w:val="4"/>
        <w:widowControl/>
        <w:snapToGrid w:val="0"/>
        <w:spacing w:line="360" w:lineRule="auto"/>
        <w:ind w:firstLine="482" w:firstLineChars="200"/>
        <w:outlineLvl w:val="2"/>
        <w:rPr>
          <w:rFonts w:hint="eastAsia" w:hAnsi="宋体" w:eastAsia="仿宋"/>
          <w:b/>
          <w:bCs/>
          <w:sz w:val="24"/>
          <w:szCs w:val="24"/>
          <w:highlight w:val="none"/>
        </w:rPr>
      </w:pPr>
      <w:bookmarkStart w:id="20" w:name="_Toc512544434"/>
      <w:bookmarkStart w:id="21" w:name="_Toc493432670"/>
      <w:bookmarkStart w:id="22" w:name="_Toc525819967"/>
      <w:bookmarkStart w:id="23" w:name="_Toc512611689"/>
      <w:bookmarkStart w:id="24" w:name="_Toc515539872"/>
      <w:bookmarkStart w:id="25" w:name="_Toc493440975"/>
      <w:bookmarkStart w:id="26" w:name="_Toc493440807"/>
      <w:bookmarkStart w:id="27" w:name="_Toc526265691"/>
      <w:bookmarkStart w:id="28" w:name="_Toc517011814"/>
      <w:r>
        <w:rPr>
          <w:rFonts w:hint="eastAsia" w:hAnsi="宋体" w:eastAsia="仿宋"/>
          <w:b/>
          <w:bCs/>
          <w:sz w:val="24"/>
          <w:szCs w:val="24"/>
          <w:highlight w:val="none"/>
        </w:rPr>
        <w:t>4.5 质量要求与验收标准</w:t>
      </w:r>
      <w:bookmarkEnd w:id="20"/>
      <w:bookmarkEnd w:id="21"/>
      <w:bookmarkEnd w:id="22"/>
      <w:bookmarkEnd w:id="23"/>
      <w:bookmarkEnd w:id="24"/>
      <w:bookmarkEnd w:id="25"/>
      <w:bookmarkEnd w:id="26"/>
      <w:bookmarkEnd w:id="27"/>
      <w:bookmarkEnd w:id="28"/>
    </w:p>
    <w:p w14:paraId="5B7653E7">
      <w:pPr>
        <w:adjustRightInd w:val="0"/>
        <w:snapToGrid w:val="0"/>
        <w:spacing w:before="120" w:after="120" w:line="360" w:lineRule="auto"/>
        <w:ind w:firstLine="480" w:firstLineChars="200"/>
        <w:rPr>
          <w:rFonts w:eastAsia="仿宋"/>
          <w:sz w:val="24"/>
          <w:highlight w:val="none"/>
        </w:rPr>
      </w:pPr>
      <w:r>
        <w:rPr>
          <w:rFonts w:hint="eastAsia" w:eastAsia="仿宋"/>
          <w:sz w:val="24"/>
          <w:highlight w:val="none"/>
        </w:rPr>
        <w:t>符合国家、省、市法律法规及行业标准。</w:t>
      </w:r>
    </w:p>
    <w:p w14:paraId="7B86A939">
      <w:pPr>
        <w:pStyle w:val="4"/>
        <w:widowControl/>
        <w:snapToGrid w:val="0"/>
        <w:spacing w:line="360" w:lineRule="auto"/>
        <w:ind w:firstLine="482" w:firstLineChars="200"/>
        <w:outlineLvl w:val="2"/>
        <w:rPr>
          <w:rFonts w:hint="eastAsia" w:hAnsi="宋体" w:eastAsia="仿宋"/>
          <w:b/>
          <w:bCs/>
          <w:sz w:val="24"/>
          <w:szCs w:val="24"/>
          <w:highlight w:val="none"/>
        </w:rPr>
      </w:pPr>
      <w:bookmarkStart w:id="29" w:name="_Toc515539873"/>
      <w:bookmarkStart w:id="30" w:name="_Toc493440808"/>
      <w:bookmarkStart w:id="31" w:name="_Toc526265692"/>
      <w:bookmarkStart w:id="32" w:name="_Toc512611690"/>
      <w:bookmarkStart w:id="33" w:name="_Toc525819968"/>
      <w:bookmarkStart w:id="34" w:name="_Toc493432671"/>
      <w:bookmarkStart w:id="35" w:name="_Toc512544435"/>
      <w:bookmarkStart w:id="36" w:name="_Toc517011815"/>
      <w:bookmarkStart w:id="37" w:name="_Toc493440976"/>
      <w:r>
        <w:rPr>
          <w:rFonts w:hint="eastAsia" w:hAnsi="宋体" w:eastAsia="仿宋"/>
          <w:b/>
          <w:bCs/>
          <w:sz w:val="24"/>
          <w:szCs w:val="24"/>
          <w:highlight w:val="none"/>
        </w:rPr>
        <w:t>4.</w:t>
      </w:r>
      <w:bookmarkEnd w:id="29"/>
      <w:bookmarkEnd w:id="30"/>
      <w:bookmarkEnd w:id="31"/>
      <w:bookmarkEnd w:id="32"/>
      <w:bookmarkEnd w:id="33"/>
      <w:bookmarkEnd w:id="34"/>
      <w:bookmarkEnd w:id="35"/>
      <w:bookmarkEnd w:id="36"/>
      <w:bookmarkEnd w:id="37"/>
      <w:bookmarkStart w:id="38" w:name="_Toc493440977"/>
      <w:bookmarkStart w:id="39" w:name="_Toc515539874"/>
      <w:bookmarkStart w:id="40" w:name="_Toc493440809"/>
      <w:bookmarkStart w:id="41" w:name="_Toc517011816"/>
      <w:bookmarkStart w:id="42" w:name="_Toc525819969"/>
      <w:bookmarkStart w:id="43" w:name="_Toc512611691"/>
      <w:bookmarkStart w:id="44" w:name="_Toc493432672"/>
      <w:bookmarkStart w:id="45" w:name="_Toc512544436"/>
      <w:bookmarkStart w:id="46" w:name="_Toc526265693"/>
      <w:r>
        <w:rPr>
          <w:rFonts w:hint="eastAsia" w:hAnsi="宋体" w:eastAsia="仿宋"/>
          <w:b/>
          <w:bCs/>
          <w:sz w:val="24"/>
          <w:szCs w:val="24"/>
          <w:highlight w:val="none"/>
        </w:rPr>
        <w:t>6 质量保证期服务要求</w:t>
      </w:r>
      <w:bookmarkEnd w:id="38"/>
      <w:bookmarkEnd w:id="39"/>
      <w:bookmarkEnd w:id="40"/>
      <w:bookmarkEnd w:id="41"/>
      <w:bookmarkEnd w:id="42"/>
      <w:bookmarkEnd w:id="43"/>
      <w:bookmarkEnd w:id="44"/>
      <w:bookmarkEnd w:id="45"/>
      <w:bookmarkEnd w:id="46"/>
    </w:p>
    <w:p w14:paraId="11739137">
      <w:pPr>
        <w:adjustRightInd w:val="0"/>
        <w:snapToGrid w:val="0"/>
        <w:spacing w:line="360" w:lineRule="auto"/>
        <w:ind w:firstLine="480" w:firstLineChars="200"/>
        <w:rPr>
          <w:rFonts w:hint="eastAsia" w:ascii="Times New Roman" w:hAnsi="Times New Roman" w:eastAsia="仿宋" w:cs="Times New Roman"/>
          <w:sz w:val="24"/>
          <w:highlight w:val="none"/>
          <w:lang w:val="en-US" w:eastAsia="zh-CN"/>
        </w:rPr>
      </w:pPr>
      <w:r>
        <w:rPr>
          <w:rFonts w:hint="eastAsia" w:eastAsia="仿宋"/>
          <w:sz w:val="24"/>
          <w:highlight w:val="none"/>
        </w:rPr>
        <w:t>中标人</w:t>
      </w:r>
      <w:r>
        <w:rPr>
          <w:rFonts w:eastAsia="仿宋"/>
          <w:sz w:val="24"/>
          <w:highlight w:val="none"/>
        </w:rPr>
        <w:t>提供的技术人员、工具、备件和联系方式，质量保证期服务响应、到达现场和解决问题的时限</w:t>
      </w:r>
      <w:r>
        <w:rPr>
          <w:rFonts w:ascii="Times New Roman" w:hAnsi="Times New Roman" w:eastAsia="仿宋" w:cs="Times New Roman"/>
          <w:sz w:val="24"/>
          <w:highlight w:val="none"/>
        </w:rPr>
        <w:t>，</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技术人员的交通、食宿费用承担主体，</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技术人员撤换费用承担主体，质量保证期服务情况记录要求等。</w:t>
      </w:r>
    </w:p>
    <w:p w14:paraId="2A3B192F">
      <w:pPr>
        <w:adjustRightInd w:val="0"/>
        <w:snapToGrid w:val="0"/>
        <w:spacing w:line="360" w:lineRule="auto"/>
        <w:ind w:firstLine="482" w:firstLineChars="200"/>
        <w:rPr>
          <w:rFonts w:hint="default" w:ascii="宋体" w:hAnsi="宋体" w:eastAsia="仿宋" w:cs="Times New Roman"/>
          <w:b w:val="0"/>
          <w:bCs w:val="0"/>
          <w:sz w:val="24"/>
          <w:szCs w:val="24"/>
          <w:highlight w:val="none"/>
          <w:lang w:val="en-US" w:eastAsia="zh-CN"/>
        </w:rPr>
      </w:pPr>
      <w:r>
        <w:rPr>
          <w:rFonts w:hint="eastAsia" w:ascii="宋体" w:hAnsi="宋体" w:eastAsia="仿宋" w:cs="Times New Roman"/>
          <w:b/>
          <w:bCs/>
          <w:sz w:val="24"/>
          <w:szCs w:val="24"/>
          <w:highlight w:val="none"/>
        </w:rPr>
        <w:t>4.</w:t>
      </w:r>
      <w:r>
        <w:rPr>
          <w:rFonts w:hint="eastAsia" w:ascii="宋体" w:hAnsi="宋体" w:eastAsia="仿宋" w:cs="Times New Roman"/>
          <w:b/>
          <w:bCs/>
          <w:sz w:val="24"/>
          <w:szCs w:val="24"/>
          <w:highlight w:val="none"/>
          <w:lang w:eastAsia="zh-CN"/>
        </w:rPr>
        <w:t>7</w:t>
      </w:r>
      <w:r>
        <w:rPr>
          <w:rFonts w:hint="eastAsia" w:ascii="宋体" w:hAnsi="宋体" w:eastAsia="仿宋" w:cs="Times New Roman"/>
          <w:b/>
          <w:bCs/>
          <w:sz w:val="24"/>
          <w:szCs w:val="24"/>
          <w:highlight w:val="none"/>
        </w:rPr>
        <w:t xml:space="preserve"> </w:t>
      </w:r>
      <w:r>
        <w:rPr>
          <w:rFonts w:hint="eastAsia" w:ascii="宋体" w:hAnsi="宋体" w:eastAsia="仿宋" w:cs="Times New Roman"/>
          <w:b/>
          <w:bCs/>
          <w:sz w:val="24"/>
          <w:szCs w:val="24"/>
          <w:highlight w:val="none"/>
          <w:lang w:val="en-US" w:eastAsia="zh-CN"/>
        </w:rPr>
        <w:t>技术培训</w:t>
      </w:r>
      <w:r>
        <w:rPr>
          <w:rFonts w:hint="eastAsia" w:ascii="宋体" w:hAnsi="宋体" w:eastAsia="仿宋" w:cs="Times New Roman"/>
          <w:b/>
          <w:bCs/>
          <w:sz w:val="24"/>
          <w:szCs w:val="24"/>
          <w:highlight w:val="none"/>
        </w:rPr>
        <w:t>要求</w:t>
      </w:r>
    </w:p>
    <w:p w14:paraId="46C42BF8">
      <w:pPr>
        <w:adjustRightInd w:val="0"/>
        <w:snapToGrid w:val="0"/>
        <w:spacing w:line="360" w:lineRule="auto"/>
        <w:ind w:firstLine="480" w:firstLineChars="200"/>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中标人应提供现场技术培训，及远程技术支持等，为使用人员提供技术指导，保证使用人员正常操作设备各种功能。</w:t>
      </w:r>
    </w:p>
    <w:p w14:paraId="45366433">
      <w:pPr>
        <w:pStyle w:val="3"/>
        <w:spacing w:line="360" w:lineRule="auto"/>
        <w:rPr>
          <w:rFonts w:hint="eastAsia" w:ascii="Times New Roman" w:hAnsi="Times New Roman" w:eastAsia="仿宋"/>
          <w:sz w:val="24"/>
          <w:szCs w:val="24"/>
          <w:highlight w:val="none"/>
        </w:rPr>
      </w:pPr>
      <w:bookmarkStart w:id="47" w:name="_Toc493440979"/>
      <w:bookmarkStart w:id="48" w:name="_Toc515539875"/>
      <w:bookmarkStart w:id="49" w:name="_Toc493440811"/>
      <w:bookmarkStart w:id="50" w:name="_Toc512544437"/>
      <w:bookmarkStart w:id="51" w:name="_Toc526265694"/>
      <w:bookmarkStart w:id="52" w:name="_Toc493432674"/>
      <w:bookmarkStart w:id="53" w:name="_Toc525819970"/>
      <w:bookmarkStart w:id="54" w:name="_Toc517011817"/>
      <w:bookmarkStart w:id="55" w:name="_Toc512611692"/>
      <w:r>
        <w:rPr>
          <w:rStyle w:val="8"/>
          <w:rFonts w:hint="eastAsia" w:ascii="宋体" w:hAnsi="宋体" w:eastAsia="仿宋"/>
          <w:b/>
          <w:bCs/>
          <w:sz w:val="24"/>
          <w:szCs w:val="24"/>
          <w:highlight w:val="none"/>
        </w:rPr>
        <w:t>5. 其他</w:t>
      </w:r>
      <w:bookmarkEnd w:id="47"/>
      <w:bookmarkEnd w:id="48"/>
      <w:bookmarkEnd w:id="49"/>
      <w:bookmarkEnd w:id="50"/>
      <w:bookmarkEnd w:id="51"/>
      <w:bookmarkEnd w:id="52"/>
      <w:bookmarkEnd w:id="53"/>
      <w:bookmarkEnd w:id="54"/>
      <w:bookmarkEnd w:id="55"/>
    </w:p>
    <w:p w14:paraId="01BE8BC8">
      <w:pPr>
        <w:spacing w:line="360" w:lineRule="auto"/>
        <w:ind w:firstLine="482" w:firstLineChars="200"/>
        <w:jc w:val="left"/>
        <w:rPr>
          <w:rFonts w:hint="default" w:eastAsia="仿宋"/>
          <w:b/>
          <w:sz w:val="24"/>
          <w:highlight w:val="none"/>
          <w:u w:val="single"/>
          <w:lang w:val="en-US" w:eastAsia="zh-CN"/>
        </w:rPr>
      </w:pPr>
      <w:r>
        <w:rPr>
          <w:rFonts w:hint="eastAsia" w:eastAsia="仿宋"/>
          <w:b/>
          <w:sz w:val="24"/>
          <w:highlight w:val="none"/>
        </w:rPr>
        <w:t>5.1</w:t>
      </w:r>
      <w:bookmarkStart w:id="56" w:name="OLE_LINK16"/>
      <w:r>
        <w:rPr>
          <w:rFonts w:hint="eastAsia" w:eastAsia="仿宋"/>
          <w:b/>
          <w:sz w:val="24"/>
          <w:highlight w:val="none"/>
        </w:rPr>
        <w:t>投标文件中须提供由投标人负责所投产品售后维保工作的质保承诺函，明确</w:t>
      </w:r>
      <w:r>
        <w:rPr>
          <w:rFonts w:hint="eastAsia" w:eastAsia="仿宋"/>
          <w:b/>
          <w:sz w:val="24"/>
          <w:highlight w:val="none"/>
          <w:lang w:eastAsia="zh-CN"/>
        </w:rPr>
        <w:t>质量保证期</w:t>
      </w:r>
      <w:r>
        <w:rPr>
          <w:rFonts w:hint="eastAsia" w:eastAsia="仿宋"/>
          <w:b/>
          <w:sz w:val="24"/>
          <w:highlight w:val="none"/>
        </w:rPr>
        <w:t>时长</w:t>
      </w:r>
      <w:r>
        <w:rPr>
          <w:rFonts w:hint="eastAsia" w:eastAsia="仿宋"/>
          <w:b/>
          <w:sz w:val="24"/>
          <w:highlight w:val="none"/>
          <w:lang w:eastAsia="zh-CN"/>
        </w:rPr>
        <w:t>。</w:t>
      </w:r>
      <w:r>
        <w:rPr>
          <w:rFonts w:hint="eastAsia" w:eastAsia="仿宋"/>
          <w:b/>
          <w:sz w:val="24"/>
          <w:highlight w:val="none"/>
          <w:lang w:val="en-US" w:eastAsia="zh-CN"/>
        </w:rPr>
        <w:t>投标人在投标文件中提供</w:t>
      </w:r>
      <w:bookmarkEnd w:id="56"/>
      <w:r>
        <w:rPr>
          <w:rFonts w:hint="eastAsia" w:eastAsia="仿宋"/>
          <w:b/>
          <w:sz w:val="24"/>
          <w:highlight w:val="none"/>
          <w:lang w:eastAsia="zh-CN"/>
        </w:rPr>
        <w:t>质保期外备件及易损件</w:t>
      </w:r>
      <w:r>
        <w:rPr>
          <w:rFonts w:hint="eastAsia" w:eastAsia="仿宋"/>
          <w:b/>
          <w:sz w:val="24"/>
          <w:highlight w:val="none"/>
          <w:lang w:val="en-US" w:eastAsia="zh-CN"/>
        </w:rPr>
        <w:t>报价清单，并对</w:t>
      </w:r>
      <w:r>
        <w:rPr>
          <w:rFonts w:hint="eastAsia" w:eastAsia="仿宋"/>
          <w:b/>
          <w:sz w:val="24"/>
          <w:highlight w:val="none"/>
          <w:lang w:eastAsia="zh-CN"/>
        </w:rPr>
        <w:t>质保期满后每年的维保服务费用</w:t>
      </w:r>
      <w:r>
        <w:rPr>
          <w:rFonts w:hint="eastAsia" w:eastAsia="仿宋"/>
          <w:b/>
          <w:sz w:val="24"/>
          <w:highlight w:val="none"/>
          <w:lang w:val="en-US" w:eastAsia="zh-CN"/>
        </w:rPr>
        <w:t>进行报价，明确维保服务内容。</w:t>
      </w:r>
    </w:p>
    <w:p w14:paraId="5820C0ED">
      <w:pPr>
        <w:spacing w:line="360" w:lineRule="auto"/>
        <w:ind w:firstLine="480" w:firstLineChars="200"/>
        <w:jc w:val="left"/>
        <w:rPr>
          <w:rFonts w:eastAsia="仿宋"/>
          <w:sz w:val="24"/>
          <w:highlight w:val="none"/>
        </w:rPr>
      </w:pPr>
      <w:r>
        <w:rPr>
          <w:rFonts w:hint="eastAsia" w:eastAsia="仿宋"/>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3C3BB827">
      <w:pPr>
        <w:spacing w:line="360" w:lineRule="auto"/>
        <w:ind w:firstLine="480" w:firstLineChars="200"/>
        <w:jc w:val="left"/>
        <w:rPr>
          <w:rFonts w:hint="eastAsia" w:eastAsia="仿宋"/>
          <w:sz w:val="24"/>
          <w:highlight w:val="none"/>
        </w:rPr>
      </w:pPr>
      <w:r>
        <w:rPr>
          <w:rFonts w:hint="eastAsia" w:eastAsia="仿宋"/>
          <w:sz w:val="24"/>
          <w:highlight w:val="none"/>
        </w:rPr>
        <w:t>5.3 履约验收方式</w:t>
      </w:r>
    </w:p>
    <w:p w14:paraId="4A71A863">
      <w:pPr>
        <w:spacing w:line="360" w:lineRule="auto"/>
        <w:ind w:firstLine="480" w:firstLineChars="200"/>
        <w:jc w:val="left"/>
        <w:rPr>
          <w:rFonts w:eastAsia="仿宋"/>
          <w:sz w:val="24"/>
          <w:highlight w:val="none"/>
        </w:rPr>
      </w:pPr>
      <w:r>
        <w:rPr>
          <w:rFonts w:hint="eastAsia" w:eastAsia="仿宋"/>
          <w:sz w:val="24"/>
          <w:highlight w:val="none"/>
        </w:rPr>
        <w:t>5.3.1</w:t>
      </w:r>
      <w:r>
        <w:rPr>
          <w:rFonts w:eastAsia="仿宋"/>
          <w:sz w:val="24"/>
          <w:highlight w:val="none"/>
        </w:rPr>
        <w:t>履约验收主体：设备使用</w:t>
      </w:r>
      <w:r>
        <w:rPr>
          <w:rFonts w:hint="eastAsia" w:eastAsia="仿宋"/>
          <w:sz w:val="24"/>
          <w:highlight w:val="none"/>
        </w:rPr>
        <w:t>单位</w:t>
      </w:r>
      <w:r>
        <w:rPr>
          <w:rFonts w:eastAsia="仿宋"/>
          <w:sz w:val="24"/>
          <w:highlight w:val="none"/>
        </w:rPr>
        <w:t>、中标人。同时使用</w:t>
      </w:r>
      <w:r>
        <w:rPr>
          <w:rFonts w:hint="eastAsia" w:eastAsia="仿宋"/>
          <w:sz w:val="24"/>
          <w:highlight w:val="none"/>
        </w:rPr>
        <w:t>单位</w:t>
      </w:r>
      <w:r>
        <w:rPr>
          <w:rFonts w:eastAsia="仿宋"/>
          <w:sz w:val="24"/>
          <w:highlight w:val="none"/>
        </w:rPr>
        <w:t>可以视情况邀请参加本项目的其他投标人或者第三方专业机构及专家参与验收，相关验收意见作为验收的参考资料。</w:t>
      </w:r>
    </w:p>
    <w:p w14:paraId="0EBB7DCD">
      <w:pPr>
        <w:spacing w:line="360" w:lineRule="auto"/>
        <w:ind w:firstLine="480" w:firstLineChars="200"/>
        <w:jc w:val="left"/>
        <w:rPr>
          <w:rFonts w:eastAsia="仿宋"/>
          <w:sz w:val="24"/>
          <w:highlight w:val="none"/>
        </w:rPr>
      </w:pPr>
      <w:r>
        <w:rPr>
          <w:rFonts w:hint="eastAsia" w:eastAsia="仿宋"/>
          <w:sz w:val="24"/>
          <w:highlight w:val="none"/>
        </w:rPr>
        <w:t>5.3.2</w:t>
      </w:r>
      <w:r>
        <w:rPr>
          <w:rFonts w:eastAsia="仿宋"/>
          <w:sz w:val="24"/>
          <w:highlight w:val="none"/>
        </w:rPr>
        <w:t>履约验收时间及程序：</w:t>
      </w:r>
    </w:p>
    <w:p w14:paraId="307D7150">
      <w:pPr>
        <w:spacing w:line="360" w:lineRule="auto"/>
        <w:ind w:firstLine="480" w:firstLineChars="200"/>
        <w:jc w:val="left"/>
        <w:rPr>
          <w:rFonts w:eastAsia="仿宋"/>
          <w:sz w:val="24"/>
          <w:highlight w:val="none"/>
        </w:rPr>
      </w:pPr>
      <w:r>
        <w:rPr>
          <w:rFonts w:eastAsia="仿宋"/>
          <w:sz w:val="24"/>
          <w:highlight w:val="none"/>
        </w:rPr>
        <w:t>（1）到货检验：货物运抵使用</w:t>
      </w:r>
      <w:r>
        <w:rPr>
          <w:rFonts w:hint="eastAsia" w:eastAsia="仿宋"/>
          <w:sz w:val="24"/>
          <w:highlight w:val="none"/>
        </w:rPr>
        <w:t>单位所在地点或使用单位指定地点</w:t>
      </w:r>
      <w:r>
        <w:rPr>
          <w:rFonts w:eastAsia="仿宋"/>
          <w:sz w:val="24"/>
          <w:highlight w:val="none"/>
        </w:rPr>
        <w:t>后，由使用</w:t>
      </w:r>
      <w:r>
        <w:rPr>
          <w:rFonts w:hint="eastAsia" w:eastAsia="仿宋"/>
          <w:sz w:val="24"/>
          <w:highlight w:val="none"/>
        </w:rPr>
        <w:t>单位</w:t>
      </w:r>
      <w:r>
        <w:rPr>
          <w:rFonts w:eastAsia="仿宋"/>
          <w:sz w:val="24"/>
          <w:highlight w:val="none"/>
        </w:rPr>
        <w:t>及中标人共同开箱对照采购清单进行到货验收。</w:t>
      </w:r>
    </w:p>
    <w:p w14:paraId="6B76DCFD">
      <w:pPr>
        <w:spacing w:line="360" w:lineRule="auto"/>
        <w:ind w:firstLine="480" w:firstLineChars="200"/>
        <w:jc w:val="left"/>
        <w:rPr>
          <w:rFonts w:eastAsia="仿宋"/>
          <w:sz w:val="24"/>
          <w:highlight w:val="none"/>
        </w:rPr>
      </w:pPr>
      <w:r>
        <w:rPr>
          <w:rFonts w:eastAsia="仿宋"/>
          <w:sz w:val="24"/>
          <w:highlight w:val="none"/>
        </w:rPr>
        <w:t>（2）安装调试检验：中标人将设备安装、调试完成后，由使用</w:t>
      </w:r>
      <w:r>
        <w:rPr>
          <w:rFonts w:hint="eastAsia" w:eastAsia="仿宋"/>
          <w:sz w:val="24"/>
          <w:highlight w:val="none"/>
        </w:rPr>
        <w:t>单位</w:t>
      </w:r>
      <w:r>
        <w:rPr>
          <w:rFonts w:eastAsia="仿宋"/>
          <w:sz w:val="24"/>
          <w:highlight w:val="none"/>
        </w:rPr>
        <w:t>组织验收人员对安装调试情况进行验收。</w:t>
      </w:r>
    </w:p>
    <w:p w14:paraId="6DE51484">
      <w:pPr>
        <w:spacing w:line="360" w:lineRule="auto"/>
        <w:ind w:firstLine="480" w:firstLineChars="200"/>
        <w:jc w:val="left"/>
        <w:rPr>
          <w:rFonts w:eastAsia="仿宋"/>
          <w:sz w:val="24"/>
          <w:highlight w:val="none"/>
        </w:rPr>
      </w:pPr>
      <w:r>
        <w:rPr>
          <w:rFonts w:eastAsia="仿宋"/>
          <w:sz w:val="24"/>
          <w:highlight w:val="none"/>
        </w:rPr>
        <w:t>（3）最终验收：由使用</w:t>
      </w:r>
      <w:r>
        <w:rPr>
          <w:rFonts w:hint="eastAsia" w:eastAsia="仿宋"/>
          <w:sz w:val="24"/>
          <w:highlight w:val="none"/>
        </w:rPr>
        <w:t>单位</w:t>
      </w:r>
      <w:r>
        <w:rPr>
          <w:rFonts w:eastAsia="仿宋"/>
          <w:sz w:val="24"/>
          <w:highlight w:val="none"/>
        </w:rPr>
        <w:t>组织验收人员进行最终验收。</w:t>
      </w:r>
    </w:p>
    <w:p w14:paraId="541A0037">
      <w:pPr>
        <w:spacing w:line="360" w:lineRule="auto"/>
        <w:ind w:firstLine="480" w:firstLineChars="200"/>
        <w:jc w:val="left"/>
        <w:rPr>
          <w:rFonts w:eastAsia="仿宋"/>
          <w:sz w:val="24"/>
          <w:highlight w:val="none"/>
        </w:rPr>
      </w:pPr>
      <w:r>
        <w:rPr>
          <w:rFonts w:hint="eastAsia" w:eastAsia="仿宋"/>
          <w:sz w:val="24"/>
          <w:highlight w:val="none"/>
        </w:rPr>
        <w:t>5.3.3</w:t>
      </w:r>
      <w:r>
        <w:rPr>
          <w:rFonts w:eastAsia="仿宋"/>
          <w:sz w:val="24"/>
          <w:highlight w:val="none"/>
        </w:rPr>
        <w:t>履约验收内容</w:t>
      </w:r>
    </w:p>
    <w:p w14:paraId="61F40DC6">
      <w:pPr>
        <w:spacing w:line="360" w:lineRule="auto"/>
        <w:ind w:firstLine="480" w:firstLineChars="200"/>
        <w:jc w:val="left"/>
        <w:rPr>
          <w:rFonts w:eastAsia="仿宋"/>
          <w:sz w:val="24"/>
          <w:highlight w:val="none"/>
        </w:rPr>
      </w:pPr>
      <w:r>
        <w:rPr>
          <w:rFonts w:eastAsia="仿宋"/>
          <w:sz w:val="24"/>
          <w:highlight w:val="none"/>
        </w:rPr>
        <w:t>验收内容包括招标文件中的每一项技术和商务要求的履约情况。</w:t>
      </w:r>
    </w:p>
    <w:p w14:paraId="46B31F9F">
      <w:pPr>
        <w:spacing w:line="360" w:lineRule="auto"/>
        <w:ind w:firstLine="480" w:firstLineChars="200"/>
        <w:jc w:val="left"/>
        <w:rPr>
          <w:rFonts w:eastAsia="仿宋"/>
          <w:sz w:val="24"/>
          <w:highlight w:val="none"/>
        </w:rPr>
      </w:pPr>
      <w:r>
        <w:rPr>
          <w:rFonts w:hint="eastAsia" w:eastAsia="仿宋"/>
          <w:sz w:val="24"/>
          <w:highlight w:val="none"/>
        </w:rPr>
        <w:t>5.3.4</w:t>
      </w:r>
      <w:r>
        <w:rPr>
          <w:rFonts w:eastAsia="仿宋"/>
          <w:sz w:val="24"/>
          <w:highlight w:val="none"/>
        </w:rPr>
        <w:t>履约验收验收标准</w:t>
      </w:r>
    </w:p>
    <w:p w14:paraId="4D6FC694">
      <w:pPr>
        <w:spacing w:line="360" w:lineRule="auto"/>
        <w:ind w:firstLine="480" w:firstLineChars="200"/>
        <w:jc w:val="left"/>
        <w:rPr>
          <w:rFonts w:hint="eastAsia" w:eastAsia="仿宋"/>
          <w:sz w:val="24"/>
          <w:highlight w:val="none"/>
        </w:rPr>
      </w:pPr>
      <w:r>
        <w:rPr>
          <w:rFonts w:eastAsia="仿宋"/>
          <w:sz w:val="24"/>
          <w:highlight w:val="none"/>
        </w:rPr>
        <w:t>招标文件、中标人的投标文件、合同及国家有关的质量标准规定，均为验收标准及依据</w:t>
      </w:r>
      <w:r>
        <w:rPr>
          <w:rFonts w:hint="eastAsia" w:eastAsia="仿宋"/>
          <w:sz w:val="24"/>
          <w:highlight w:val="none"/>
        </w:rPr>
        <w:t>。</w:t>
      </w:r>
    </w:p>
    <w:p w14:paraId="109637BE">
      <w:pPr>
        <w:spacing w:line="360" w:lineRule="auto"/>
        <w:ind w:firstLine="480" w:firstLineChars="200"/>
        <w:jc w:val="left"/>
        <w:rPr>
          <w:rFonts w:eastAsia="仿宋"/>
          <w:sz w:val="24"/>
          <w:highlight w:val="none"/>
        </w:rPr>
      </w:pPr>
      <w:r>
        <w:rPr>
          <w:rFonts w:hint="eastAsia" w:eastAsia="仿宋"/>
          <w:sz w:val="24"/>
          <w:highlight w:val="none"/>
        </w:rPr>
        <w:t xml:space="preserve">5.4 </w:t>
      </w:r>
      <w:r>
        <w:rPr>
          <w:rFonts w:eastAsia="仿宋"/>
          <w:sz w:val="24"/>
          <w:highlight w:val="none"/>
        </w:rPr>
        <w:t>投标人需按招标文件要求，对要求单独报价的配件</w:t>
      </w:r>
      <w:r>
        <w:rPr>
          <w:rFonts w:hint="eastAsia" w:eastAsia="仿宋"/>
          <w:sz w:val="24"/>
          <w:highlight w:val="none"/>
        </w:rPr>
        <w:t>（或附件）</w:t>
      </w:r>
      <w:r>
        <w:rPr>
          <w:rFonts w:eastAsia="仿宋"/>
          <w:sz w:val="24"/>
          <w:highlight w:val="none"/>
        </w:rPr>
        <w:t>进行单独报价，计入投标</w:t>
      </w:r>
      <w:r>
        <w:rPr>
          <w:rFonts w:hint="eastAsia" w:eastAsia="仿宋"/>
          <w:sz w:val="24"/>
          <w:highlight w:val="none"/>
        </w:rPr>
        <w:t>报</w:t>
      </w:r>
      <w:r>
        <w:rPr>
          <w:rFonts w:eastAsia="仿宋"/>
          <w:sz w:val="24"/>
          <w:highlight w:val="none"/>
        </w:rPr>
        <w:t>价或不计入投标</w:t>
      </w:r>
      <w:r>
        <w:rPr>
          <w:rFonts w:hint="eastAsia" w:eastAsia="仿宋"/>
          <w:sz w:val="24"/>
          <w:highlight w:val="none"/>
        </w:rPr>
        <w:t>报</w:t>
      </w:r>
      <w:r>
        <w:rPr>
          <w:rFonts w:eastAsia="仿宋"/>
          <w:sz w:val="24"/>
          <w:highlight w:val="none"/>
        </w:rPr>
        <w:t>价（详见第六章投标文件格式表3-2《单独报价配件</w:t>
      </w:r>
      <w:r>
        <w:rPr>
          <w:rFonts w:hint="eastAsia" w:eastAsia="仿宋"/>
          <w:sz w:val="24"/>
          <w:highlight w:val="none"/>
        </w:rPr>
        <w:t>（或附件）</w:t>
      </w:r>
      <w:r>
        <w:rPr>
          <w:rFonts w:eastAsia="仿宋"/>
          <w:sz w:val="24"/>
          <w:highlight w:val="none"/>
        </w:rPr>
        <w:t>一览表》）。</w:t>
      </w:r>
    </w:p>
    <w:p w14:paraId="629C5ACC">
      <w:pPr>
        <w:spacing w:line="360" w:lineRule="auto"/>
        <w:ind w:firstLine="480" w:firstLineChars="200"/>
        <w:jc w:val="left"/>
        <w:rPr>
          <w:rFonts w:hint="eastAsia" w:eastAsia="仿宋"/>
          <w:sz w:val="24"/>
          <w:highlight w:val="none"/>
        </w:rPr>
      </w:pPr>
      <w:r>
        <w:rPr>
          <w:rFonts w:hint="eastAsia" w:eastAsia="仿宋"/>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或实际合同价格为相应标准配置设备中标价格与选择多采购配件（或附件）价格的相应价格之和。选择采购内容的执行价格不得高于投标文件中承诺的价格。投标人不得以货物的实际供货数量有变化为理由要求对各种货物的单价进行变更或拒签合同。</w:t>
      </w:r>
    </w:p>
    <w:p w14:paraId="47E9196E">
      <w:pPr>
        <w:spacing w:line="360" w:lineRule="auto"/>
        <w:ind w:firstLine="480" w:firstLineChars="200"/>
        <w:jc w:val="left"/>
        <w:rPr>
          <w:rFonts w:hint="default" w:eastAsia="仿宋"/>
          <w:sz w:val="24"/>
          <w:highlight w:val="none"/>
          <w:lang w:val="en-US" w:eastAsia="zh-CN"/>
        </w:rPr>
      </w:pPr>
      <w:r>
        <w:rPr>
          <w:rFonts w:hint="eastAsia" w:eastAsia="仿宋"/>
          <w:sz w:val="24"/>
          <w:highlight w:val="none"/>
        </w:rPr>
        <w:t>5.5</w:t>
      </w:r>
      <w:r>
        <w:rPr>
          <w:rFonts w:hint="eastAsia" w:eastAsia="仿宋"/>
          <w:sz w:val="24"/>
          <w:highlight w:val="none"/>
          <w:lang w:val="en-US" w:eastAsia="zh-CN"/>
        </w:rPr>
        <w:t>应急服务要求：中标人</w:t>
      </w:r>
      <w:r>
        <w:rPr>
          <w:rFonts w:hint="eastAsia" w:eastAsia="仿宋"/>
          <w:sz w:val="24"/>
          <w:highlight w:val="none"/>
        </w:rPr>
        <w:t>应在中国境内方便的地点设置备件库，存入必须的备件，保证10年</w:t>
      </w:r>
      <w:r>
        <w:rPr>
          <w:rFonts w:hint="eastAsia" w:eastAsia="仿宋"/>
          <w:sz w:val="24"/>
          <w:highlight w:val="none"/>
          <w:lang w:val="en-US" w:eastAsia="zh-CN"/>
        </w:rPr>
        <w:t>以上</w:t>
      </w:r>
      <w:r>
        <w:rPr>
          <w:rFonts w:hint="eastAsia" w:eastAsia="仿宋"/>
          <w:sz w:val="24"/>
          <w:highlight w:val="none"/>
        </w:rPr>
        <w:t>零部件供应期</w:t>
      </w:r>
      <w:r>
        <w:rPr>
          <w:rFonts w:hint="eastAsia" w:eastAsia="仿宋"/>
          <w:sz w:val="24"/>
          <w:highlight w:val="none"/>
          <w:lang w:eastAsia="zh-CN"/>
        </w:rPr>
        <w:t>，</w:t>
      </w:r>
      <w:r>
        <w:rPr>
          <w:rFonts w:hint="eastAsia" w:eastAsia="仿宋"/>
          <w:sz w:val="24"/>
          <w:highlight w:val="none"/>
          <w:lang w:val="en-US" w:eastAsia="zh-CN"/>
        </w:rPr>
        <w:t>中标人应对设备故障等突发状况及时响应。</w:t>
      </w:r>
      <w:r>
        <w:rPr>
          <w:rFonts w:hint="eastAsia" w:ascii="Times New Roman" w:hAnsi="Times New Roman" w:eastAsia="仿宋" w:cs="Times New Roman"/>
          <w:sz w:val="24"/>
          <w:highlight w:val="none"/>
        </w:rPr>
        <w:t>若24小时内未修复设备故障，提供备用设备</w:t>
      </w:r>
      <w:r>
        <w:rPr>
          <w:rFonts w:hint="eastAsia" w:ascii="Times New Roman" w:hAnsi="Times New Roman" w:eastAsia="仿宋" w:cs="Times New Roman"/>
          <w:sz w:val="24"/>
          <w:highlight w:val="none"/>
          <w:lang w:val="en-US" w:eastAsia="zh-CN"/>
        </w:rPr>
        <w:t>供院方使用。</w:t>
      </w:r>
    </w:p>
    <w:p w14:paraId="6F5B6ED6">
      <w:pPr>
        <w:spacing w:line="360" w:lineRule="auto"/>
        <w:ind w:firstLine="480" w:firstLineChars="200"/>
        <w:jc w:val="left"/>
        <w:rPr>
          <w:rFonts w:hint="eastAsia" w:eastAsia="仿宋"/>
          <w:sz w:val="24"/>
          <w:highlight w:val="none"/>
        </w:rPr>
      </w:pPr>
      <w:r>
        <w:rPr>
          <w:rFonts w:hint="eastAsia" w:eastAsia="仿宋"/>
          <w:sz w:val="24"/>
          <w:highlight w:val="none"/>
          <w:lang w:val="en-US" w:eastAsia="zh-CN"/>
        </w:rPr>
        <w:t xml:space="preserve">5.6 </w:t>
      </w:r>
      <w:r>
        <w:rPr>
          <w:rFonts w:hint="eastAsia" w:eastAsia="仿宋"/>
          <w:sz w:val="24"/>
          <w:highlight w:val="none"/>
        </w:rPr>
        <w:t>安装调试、验收试验及质量保证</w:t>
      </w:r>
    </w:p>
    <w:p w14:paraId="661D6D14">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.6.1</w:t>
      </w:r>
      <w:r>
        <w:rPr>
          <w:rFonts w:hint="eastAsia" w:eastAsia="仿宋"/>
          <w:sz w:val="24"/>
          <w:highlight w:val="none"/>
        </w:rPr>
        <w:t>中标人在设备安装地点负责安装、调试。</w:t>
      </w:r>
    </w:p>
    <w:p w14:paraId="0A8E27AD">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.6.2</w:t>
      </w:r>
      <w:r>
        <w:rPr>
          <w:rFonts w:hint="eastAsia" w:eastAsia="仿宋"/>
          <w:sz w:val="24"/>
          <w:highlight w:val="none"/>
        </w:rPr>
        <w:t>具体设备验收标准和程序按采购人要求执行，下列验收程序可参照执行：</w:t>
      </w:r>
    </w:p>
    <w:p w14:paraId="043075AF">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794086DF">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31E18E0A">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中标人应根据采购人使用单位的技术要求提供相应的产品。由中标人所提供的设备部件间的连线和插接件均应视为设备内部器件，包含在相应的设备之中。</w:t>
      </w:r>
    </w:p>
    <w:p w14:paraId="442AC474">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14A2E991">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3F69D35A">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.6.3</w:t>
      </w:r>
      <w:r>
        <w:rPr>
          <w:rFonts w:hint="eastAsia" w:eastAsia="仿宋"/>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73F41CD3">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 xml:space="preserve">.7 </w:t>
      </w:r>
      <w:r>
        <w:rPr>
          <w:rFonts w:hint="eastAsia" w:eastAsia="仿宋"/>
          <w:sz w:val="24"/>
          <w:highlight w:val="none"/>
        </w:rPr>
        <w:t>包装运输</w:t>
      </w:r>
    </w:p>
    <w:p w14:paraId="273164D6">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中标人负责设备包装、办理运输和保险，将设备安全运抵交货地点。</w:t>
      </w:r>
    </w:p>
    <w:p w14:paraId="4F479990">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设备制造完成并通过试验后应及时包装，否则应得到切实的保护，确保其不受污损。</w:t>
      </w:r>
    </w:p>
    <w:p w14:paraId="66803C8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在包装箱外应标明采购人的订货号、发货号。</w:t>
      </w:r>
    </w:p>
    <w:p w14:paraId="0BE1064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各种包装应能确保各零部件在运输过程中不致遭到损坏、丢失、变形、受潮和腐蚀。</w:t>
      </w:r>
    </w:p>
    <w:p w14:paraId="530DC53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包装箱上应有明显的包装储运图示标志。</w:t>
      </w:r>
    </w:p>
    <w:p w14:paraId="28B526F6">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6）</w:t>
      </w:r>
      <w:r>
        <w:rPr>
          <w:rFonts w:hint="eastAsia" w:eastAsia="仿宋"/>
          <w:sz w:val="24"/>
          <w:highlight w:val="none"/>
        </w:rPr>
        <w:t>整体产品或分别运输的部件都要适应运输和装载的要求。</w:t>
      </w:r>
    </w:p>
    <w:p w14:paraId="0D0F3561">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7）</w:t>
      </w:r>
      <w:r>
        <w:rPr>
          <w:rFonts w:hint="eastAsia" w:eastAsia="仿宋"/>
          <w:sz w:val="24"/>
          <w:highlight w:val="none"/>
        </w:rPr>
        <w:t>随产品提供的技术资料应完整无缺。</w:t>
      </w:r>
    </w:p>
    <w:p w14:paraId="7AA39B5B">
      <w:pPr>
        <w:spacing w:line="360" w:lineRule="auto"/>
        <w:ind w:firstLine="480" w:firstLineChars="200"/>
        <w:jc w:val="left"/>
        <w:rPr>
          <w:rFonts w:hint="eastAsia" w:eastAsia="仿宋"/>
          <w:sz w:val="24"/>
          <w:highlight w:val="none"/>
          <w:lang w:val="en-US" w:eastAsia="zh-CN"/>
        </w:rPr>
      </w:pPr>
      <w:r>
        <w:rPr>
          <w:rFonts w:hint="eastAsia" w:eastAsia="仿宋"/>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p w14:paraId="54D5564C">
      <w:bookmarkStart w:id="57" w:name="_GoBack"/>
      <w:bookmarkEnd w:id="5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57AD0"/>
    <w:rsid w:val="13057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Char Char"/>
    <w:qFormat/>
    <w:uiPriority w:val="0"/>
    <w:rPr>
      <w:rFonts w:ascii="Arial" w:hAnsi="Arial" w:eastAsia="黑体" w:cs="Times New Roman"/>
      <w:b/>
      <w:bCs/>
      <w:kern w:val="2"/>
      <w:sz w:val="32"/>
      <w:szCs w:val="32"/>
      <w:lang w:val="en-US" w:eastAsia="zh-CN" w:bidi="ar-SA"/>
    </w:r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2025-08-12T08:22:00Z</dcterms:created>
  <dc:creator>政采四部</dc:creator>
  <cp:lastModifiedBy>政采四部</cp:lastModifiedBy>
  <dcterms:modified xsi:type="dcterms:W3CDTF">2025-08-12T08:22:28Z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44DBE3D89C5E490C91DC794C3EEBBB20_11</vt:lpwstr>
  </property>
  <property fmtid="{D5CDD505-2E9C-101B-9397-08002B2CF9AE}" pid="4" name="KSOTemplateDocerSaveRecord">
    <vt:lpwstr>eyJoZGlkIjoiOWZiNjM2ZDc5ODQyOWM3OTNmMDFmMTQyOWNlODFiN2YiLCJ1c2VySWQiOiI0NTY1MjU3ODkifQ==</vt:lpwstr>
  </property>
</Properties>
</file>