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2FB5F">
      <w:pPr>
        <w:numPr>
          <w:ilvl w:val="0"/>
          <w:numId w:val="1"/>
        </w:numPr>
        <w:spacing w:line="360" w:lineRule="auto"/>
        <w:jc w:val="center"/>
        <w:outlineLvl w:val="0"/>
        <w:rPr>
          <w:rFonts w:asciiTheme="minorEastAsia" w:hAnsiTheme="minorEastAsia"/>
          <w:b/>
          <w:sz w:val="28"/>
          <w:highlight w:val="none"/>
        </w:rPr>
      </w:pPr>
      <w:bookmarkStart w:id="0" w:name="_Toc30873"/>
      <w:r>
        <w:rPr>
          <w:rFonts w:hint="eastAsia" w:asciiTheme="minorEastAsia" w:hAnsiTheme="minorEastAsia"/>
          <w:b/>
          <w:sz w:val="28"/>
          <w:highlight w:val="none"/>
        </w:rPr>
        <w:t xml:space="preserve"> 采购需求</w:t>
      </w:r>
      <w:bookmarkEnd w:id="0"/>
    </w:p>
    <w:p w14:paraId="1255A596">
      <w:pPr>
        <w:pStyle w:val="6"/>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一、采购需求前附表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396"/>
        <w:gridCol w:w="6287"/>
      </w:tblGrid>
      <w:tr w14:paraId="0C6C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02117746">
            <w:pPr>
              <w:spacing w:line="360" w:lineRule="auto"/>
              <w:jc w:val="center"/>
              <w:rPr>
                <w:rFonts w:cs="@仿宋_GB2312" w:asciiTheme="minorEastAsia" w:hAnsiTheme="minorEastAsia"/>
                <w:b/>
                <w:sz w:val="24"/>
                <w:szCs w:val="22"/>
                <w:highlight w:val="none"/>
              </w:rPr>
            </w:pPr>
            <w:r>
              <w:rPr>
                <w:rFonts w:hint="eastAsia" w:cs="@仿宋_GB2312" w:asciiTheme="minorEastAsia" w:hAnsiTheme="minorEastAsia"/>
                <w:b/>
                <w:sz w:val="24"/>
                <w:szCs w:val="22"/>
                <w:highlight w:val="none"/>
              </w:rPr>
              <w:t>序号</w:t>
            </w:r>
          </w:p>
        </w:tc>
        <w:tc>
          <w:tcPr>
            <w:tcW w:w="819" w:type="pct"/>
            <w:vAlign w:val="center"/>
          </w:tcPr>
          <w:p w14:paraId="63AD94B8">
            <w:pPr>
              <w:spacing w:line="360" w:lineRule="auto"/>
              <w:ind w:firstLine="435"/>
              <w:jc w:val="center"/>
              <w:rPr>
                <w:rFonts w:cs="@仿宋_GB2312" w:asciiTheme="minorEastAsia" w:hAnsiTheme="minorEastAsia"/>
                <w:b/>
                <w:sz w:val="24"/>
                <w:szCs w:val="22"/>
                <w:highlight w:val="none"/>
              </w:rPr>
            </w:pPr>
            <w:r>
              <w:rPr>
                <w:rFonts w:hint="eastAsia" w:cs="@仿宋_GB2312" w:asciiTheme="minorEastAsia" w:hAnsiTheme="minorEastAsia"/>
                <w:b/>
                <w:sz w:val="24"/>
                <w:szCs w:val="22"/>
                <w:highlight w:val="none"/>
              </w:rPr>
              <w:t>内容</w:t>
            </w:r>
          </w:p>
        </w:tc>
        <w:tc>
          <w:tcPr>
            <w:tcW w:w="3688" w:type="pct"/>
            <w:vAlign w:val="center"/>
          </w:tcPr>
          <w:p w14:paraId="6CB04E7E">
            <w:pPr>
              <w:spacing w:line="360" w:lineRule="auto"/>
              <w:ind w:firstLine="435"/>
              <w:jc w:val="center"/>
              <w:rPr>
                <w:rFonts w:cs="@仿宋_GB2312" w:asciiTheme="minorEastAsia" w:hAnsiTheme="minorEastAsia"/>
                <w:b/>
                <w:sz w:val="24"/>
                <w:szCs w:val="22"/>
                <w:highlight w:val="none"/>
              </w:rPr>
            </w:pPr>
            <w:r>
              <w:rPr>
                <w:rFonts w:hint="eastAsia" w:cs="@仿宋_GB2312" w:asciiTheme="minorEastAsia" w:hAnsiTheme="minorEastAsia"/>
                <w:b/>
                <w:sz w:val="24"/>
                <w:szCs w:val="22"/>
                <w:highlight w:val="none"/>
              </w:rPr>
              <w:t>说明和要求</w:t>
            </w:r>
          </w:p>
        </w:tc>
      </w:tr>
      <w:tr w14:paraId="6EE8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64C59CEE">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1</w:t>
            </w:r>
          </w:p>
        </w:tc>
        <w:tc>
          <w:tcPr>
            <w:tcW w:w="819" w:type="pct"/>
            <w:vAlign w:val="center"/>
          </w:tcPr>
          <w:p w14:paraId="19ED34E0">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人员到岗及履约要求</w:t>
            </w:r>
          </w:p>
        </w:tc>
        <w:tc>
          <w:tcPr>
            <w:tcW w:w="3688" w:type="pct"/>
            <w:vAlign w:val="center"/>
          </w:tcPr>
          <w:p w14:paraId="7D1A538B">
            <w:pPr>
              <w:spacing w:line="360" w:lineRule="auto"/>
              <w:rPr>
                <w:rFonts w:ascii="宋体" w:hAnsi="宋体" w:eastAsia="宋体" w:cs="宋体"/>
                <w:sz w:val="24"/>
                <w:highlight w:val="none"/>
              </w:rPr>
            </w:pPr>
            <w:r>
              <w:rPr>
                <w:rFonts w:hint="eastAsia" w:ascii="宋体" w:hAnsi="宋体" w:eastAsia="宋体" w:cs="宋体"/>
                <w:sz w:val="24"/>
                <w:highlight w:val="none"/>
              </w:rPr>
              <w:t>（1）供应商一旦成交，磋商时所报项目经理等</w:t>
            </w:r>
            <w:r>
              <w:rPr>
                <w:rFonts w:hint="eastAsia" w:asciiTheme="minorEastAsia" w:hAnsiTheme="minorEastAsia" w:cstheme="minorEastAsia"/>
                <w:sz w:val="24"/>
                <w:highlight w:val="none"/>
                <w:shd w:val="clear" w:color="auto" w:fill="FFFFFF"/>
              </w:rPr>
              <w:t>项目管理人员</w:t>
            </w:r>
            <w:r>
              <w:rPr>
                <w:rFonts w:hint="eastAsia" w:ascii="宋体" w:hAnsi="宋体" w:eastAsia="宋体" w:cs="宋体"/>
                <w:sz w:val="24"/>
                <w:highlight w:val="none"/>
              </w:rPr>
              <w:t>及施工机械等在项目施工期间内必须在位，否则采购人有权终止合同。由此造成的损失，成交供应商自行承担并赔偿可能给采购人造成的损失。</w:t>
            </w:r>
          </w:p>
          <w:p w14:paraId="3ACEAA23">
            <w:pPr>
              <w:spacing w:line="360" w:lineRule="auto"/>
              <w:rPr>
                <w:rFonts w:ascii="宋体" w:hAnsi="宋体" w:eastAsia="宋体" w:cs="宋体"/>
                <w:sz w:val="24"/>
                <w:highlight w:val="none"/>
              </w:rPr>
            </w:pPr>
            <w:r>
              <w:rPr>
                <w:rFonts w:hint="eastAsia" w:ascii="宋体" w:hAnsi="宋体" w:eastAsia="宋体" w:cs="宋体"/>
                <w:sz w:val="24"/>
                <w:highlight w:val="none"/>
              </w:rPr>
              <w:t>（2）成交供应商不得擅自更换磋商时所报项目经理等</w:t>
            </w:r>
            <w:r>
              <w:rPr>
                <w:rFonts w:hint="eastAsia" w:asciiTheme="minorEastAsia" w:hAnsiTheme="minorEastAsia" w:cstheme="minorEastAsia"/>
                <w:sz w:val="24"/>
                <w:highlight w:val="none"/>
                <w:shd w:val="clear" w:color="auto" w:fill="FFFFFF"/>
              </w:rPr>
              <w:t>项目管理人员</w:t>
            </w:r>
            <w:r>
              <w:rPr>
                <w:rFonts w:hint="eastAsia" w:ascii="宋体" w:hAnsi="宋体" w:eastAsia="宋体" w:cs="宋体"/>
                <w:sz w:val="24"/>
                <w:highlight w:val="none"/>
              </w:rPr>
              <w:t>。确需更换时，须报采购人同意，更换后人员不得低于成交供应商磋商时所报人员资质和技术水平。采购人如认为有必要，可要求对上述人员中的部分人员作出更好的调整。</w:t>
            </w:r>
          </w:p>
          <w:p w14:paraId="698D0EBA">
            <w:pPr>
              <w:spacing w:line="360" w:lineRule="auto"/>
              <w:rPr>
                <w:rFonts w:cs="@仿宋_GB2312" w:asciiTheme="minorEastAsia" w:hAnsiTheme="minorEastAsia"/>
                <w:sz w:val="24"/>
                <w:szCs w:val="22"/>
                <w:highlight w:val="none"/>
              </w:rPr>
            </w:pPr>
            <w:r>
              <w:rPr>
                <w:rFonts w:hint="eastAsia" w:ascii="宋体" w:hAnsi="宋体" w:eastAsia="宋体" w:cs="宋体"/>
                <w:sz w:val="24"/>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7A75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492" w:type="pct"/>
            <w:vAlign w:val="center"/>
          </w:tcPr>
          <w:p w14:paraId="008F1AC0">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2</w:t>
            </w:r>
          </w:p>
        </w:tc>
        <w:tc>
          <w:tcPr>
            <w:tcW w:w="819" w:type="pct"/>
            <w:vAlign w:val="center"/>
          </w:tcPr>
          <w:p w14:paraId="143E16FD">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材料要求</w:t>
            </w:r>
          </w:p>
        </w:tc>
        <w:tc>
          <w:tcPr>
            <w:tcW w:w="3688" w:type="pct"/>
            <w:vAlign w:val="center"/>
          </w:tcPr>
          <w:p w14:paraId="2FD3DEE3">
            <w:pPr>
              <w:spacing w:line="360" w:lineRule="auto"/>
              <w:rPr>
                <w:rFonts w:cs="@仿宋_GB2312" w:asciiTheme="minorEastAsia" w:hAnsiTheme="minorEastAsia"/>
                <w:sz w:val="24"/>
                <w:szCs w:val="22"/>
                <w:highlight w:val="none"/>
              </w:rPr>
            </w:pPr>
            <w:r>
              <w:rPr>
                <w:rFonts w:cs="@仿宋_GB2312" w:asciiTheme="minorEastAsia" w:hAnsiTheme="minorEastAsia"/>
                <w:sz w:val="24"/>
                <w:szCs w:val="22"/>
                <w:highlight w:val="none"/>
              </w:rPr>
              <w:t>本工程所需的所有材料，成交供应商除应按国家相关规定报相关部门送检合格外（费用自理），还需无条件接受采购人对本工程任何材料、在施工过程中任何时间提出的检验要求，若该材料经权威检验部门鉴定确有质量问题，由此而发生的一切费用和损失由供应商承担。采购人保留施工时根据实际需要调整部分材料的权利。</w:t>
            </w:r>
          </w:p>
        </w:tc>
      </w:tr>
      <w:tr w14:paraId="0F96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6456D3F7">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3</w:t>
            </w:r>
          </w:p>
        </w:tc>
        <w:tc>
          <w:tcPr>
            <w:tcW w:w="819" w:type="pct"/>
            <w:vAlign w:val="center"/>
          </w:tcPr>
          <w:p w14:paraId="5EF7426B">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工程施工重点难点</w:t>
            </w:r>
          </w:p>
        </w:tc>
        <w:tc>
          <w:tcPr>
            <w:tcW w:w="3688" w:type="pct"/>
            <w:vAlign w:val="center"/>
          </w:tcPr>
          <w:p w14:paraId="0B4884D5">
            <w:pPr>
              <w:spacing w:line="480" w:lineRule="exact"/>
              <w:rPr>
                <w:bCs/>
                <w:sz w:val="24"/>
                <w:szCs w:val="18"/>
                <w:highlight w:val="none"/>
              </w:rPr>
            </w:pPr>
            <w:r>
              <w:rPr>
                <w:rFonts w:hint="eastAsia"/>
                <w:bCs/>
                <w:sz w:val="24"/>
                <w:szCs w:val="18"/>
                <w:highlight w:val="none"/>
              </w:rPr>
              <w:t>包括但不限于：</w:t>
            </w:r>
          </w:p>
          <w:p w14:paraId="0845AA47">
            <w:pPr>
              <w:spacing w:line="480" w:lineRule="exact"/>
              <w:rPr>
                <w:bCs/>
                <w:sz w:val="24"/>
                <w:szCs w:val="18"/>
                <w:highlight w:val="none"/>
              </w:rPr>
            </w:pPr>
            <w:r>
              <w:rPr>
                <w:rFonts w:hint="eastAsia"/>
                <w:bCs/>
                <w:sz w:val="24"/>
                <w:szCs w:val="18"/>
                <w:highlight w:val="none"/>
              </w:rPr>
              <w:t>（1）</w:t>
            </w:r>
            <w:r>
              <w:rPr>
                <w:bCs/>
                <w:sz w:val="24"/>
                <w:szCs w:val="18"/>
                <w:highlight w:val="none"/>
              </w:rPr>
              <w:t>项目需在不影响办公情况下施工，施工时间紧迫，</w:t>
            </w:r>
            <w:r>
              <w:rPr>
                <w:rFonts w:hint="eastAsia"/>
                <w:bCs/>
                <w:sz w:val="24"/>
                <w:szCs w:val="18"/>
                <w:highlight w:val="none"/>
              </w:rPr>
              <w:t>供应商应充分考虑时间安排，确保工期</w:t>
            </w:r>
            <w:r>
              <w:rPr>
                <w:bCs/>
                <w:sz w:val="24"/>
                <w:szCs w:val="18"/>
                <w:highlight w:val="none"/>
              </w:rPr>
              <w:t>。</w:t>
            </w:r>
          </w:p>
          <w:p w14:paraId="4A2881C3">
            <w:pPr>
              <w:spacing w:line="360" w:lineRule="auto"/>
              <w:rPr>
                <w:bCs/>
                <w:sz w:val="24"/>
                <w:szCs w:val="18"/>
                <w:highlight w:val="none"/>
              </w:rPr>
            </w:pPr>
            <w:r>
              <w:rPr>
                <w:rFonts w:hint="eastAsia"/>
                <w:bCs/>
                <w:sz w:val="24"/>
                <w:szCs w:val="18"/>
                <w:highlight w:val="none"/>
              </w:rPr>
              <w:t>（2）</w:t>
            </w:r>
            <w:r>
              <w:rPr>
                <w:bCs/>
                <w:sz w:val="24"/>
                <w:szCs w:val="18"/>
                <w:highlight w:val="none"/>
              </w:rPr>
              <w:t>施工过程中必须做好原有建筑、设备等成品保护，并承担其费用及</w:t>
            </w:r>
            <w:r>
              <w:rPr>
                <w:rFonts w:hint="eastAsia"/>
                <w:bCs/>
                <w:sz w:val="24"/>
                <w:szCs w:val="18"/>
                <w:highlight w:val="none"/>
              </w:rPr>
              <w:t>院内人员</w:t>
            </w:r>
            <w:r>
              <w:rPr>
                <w:bCs/>
                <w:sz w:val="24"/>
                <w:szCs w:val="18"/>
                <w:highlight w:val="none"/>
              </w:rPr>
              <w:t>安全。</w:t>
            </w:r>
          </w:p>
          <w:p w14:paraId="47A7351D">
            <w:pPr>
              <w:spacing w:line="360" w:lineRule="auto"/>
              <w:rPr>
                <w:bCs/>
                <w:sz w:val="24"/>
                <w:szCs w:val="18"/>
                <w:highlight w:val="none"/>
              </w:rPr>
            </w:pPr>
            <w:r>
              <w:rPr>
                <w:rFonts w:hint="eastAsia"/>
                <w:bCs/>
                <w:sz w:val="24"/>
                <w:szCs w:val="18"/>
                <w:highlight w:val="none"/>
              </w:rPr>
              <w:t>（3）项目施工不得妨碍院内正常通行，院门施工时应提前张贴告示通知，经同意后方可施工。</w:t>
            </w:r>
          </w:p>
          <w:p w14:paraId="0C50D38C">
            <w:pPr>
              <w:spacing w:line="360" w:lineRule="auto"/>
              <w:rPr>
                <w:rFonts w:cs="@仿宋_GB2312" w:asciiTheme="minorEastAsia" w:hAnsiTheme="minorEastAsia"/>
                <w:sz w:val="24"/>
                <w:szCs w:val="22"/>
                <w:highlight w:val="none"/>
              </w:rPr>
            </w:pPr>
            <w:r>
              <w:rPr>
                <w:rFonts w:hint="eastAsia"/>
                <w:bCs/>
                <w:sz w:val="24"/>
                <w:szCs w:val="18"/>
                <w:highlight w:val="none"/>
              </w:rPr>
              <w:t>（4）施工过程中应设置警示装置和保护措施，确保院内人员安全。</w:t>
            </w:r>
          </w:p>
        </w:tc>
      </w:tr>
      <w:tr w14:paraId="0F04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0AA34D9C">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4</w:t>
            </w:r>
          </w:p>
        </w:tc>
        <w:tc>
          <w:tcPr>
            <w:tcW w:w="819" w:type="pct"/>
            <w:vAlign w:val="center"/>
          </w:tcPr>
          <w:p w14:paraId="61C3394A">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报价须知</w:t>
            </w:r>
          </w:p>
        </w:tc>
        <w:tc>
          <w:tcPr>
            <w:tcW w:w="3688" w:type="pct"/>
            <w:vAlign w:val="center"/>
          </w:tcPr>
          <w:p w14:paraId="0D8765F5">
            <w:pPr>
              <w:spacing w:line="360" w:lineRule="auto"/>
              <w:rPr>
                <w:highlight w:val="none"/>
              </w:rPr>
            </w:pPr>
            <w:r>
              <w:rPr>
                <w:rFonts w:hint="eastAsia" w:ascii="宋体" w:hAnsi="宋体" w:eastAsia="宋体" w:cs="宋体"/>
                <w:sz w:val="24"/>
                <w:highlight w:val="none"/>
              </w:rPr>
              <w:t>1.供应商最后报价均不得高于磋商文件（公告）列明的项目预算、最高限价，否则其响应文件将被认定为响应无效。</w:t>
            </w:r>
          </w:p>
          <w:p w14:paraId="0EDB7819">
            <w:pPr>
              <w:spacing w:line="360" w:lineRule="auto"/>
              <w:rPr>
                <w:highlight w:val="none"/>
              </w:rPr>
            </w:pPr>
            <w:r>
              <w:rPr>
                <w:rFonts w:hint="eastAsia" w:cs="@仿宋_GB2312" w:asciiTheme="minorEastAsia" w:hAnsiTheme="minorEastAsia"/>
                <w:sz w:val="24"/>
                <w:szCs w:val="22"/>
                <w:highlight w:val="none"/>
              </w:rPr>
              <w:t>2.除非合同中另有规定，供应商在响应文件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w:t>
            </w:r>
          </w:p>
        </w:tc>
      </w:tr>
      <w:tr w14:paraId="3896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62A90768">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5</w:t>
            </w:r>
          </w:p>
        </w:tc>
        <w:tc>
          <w:tcPr>
            <w:tcW w:w="819" w:type="pct"/>
            <w:vAlign w:val="center"/>
          </w:tcPr>
          <w:p w14:paraId="401C8AAA">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重要说明</w:t>
            </w:r>
          </w:p>
        </w:tc>
        <w:tc>
          <w:tcPr>
            <w:tcW w:w="3688" w:type="pct"/>
            <w:vAlign w:val="center"/>
          </w:tcPr>
          <w:p w14:paraId="0A00F138">
            <w:pPr>
              <w:spacing w:line="360" w:lineRule="auto"/>
              <w:rPr>
                <w:rFonts w:ascii="宋体" w:hAnsi="宋体" w:eastAsia="宋体"/>
                <w:sz w:val="24"/>
                <w:szCs w:val="18"/>
                <w:highlight w:val="none"/>
              </w:rPr>
            </w:pPr>
            <w:r>
              <w:rPr>
                <w:rFonts w:hint="eastAsia" w:cs="宋体"/>
                <w:sz w:val="24"/>
                <w:highlight w:val="none"/>
              </w:rPr>
              <w:t>1.</w:t>
            </w:r>
            <w:r>
              <w:rPr>
                <w:rFonts w:ascii="宋体" w:hAnsi="宋体" w:eastAsia="宋体" w:cs="宋体"/>
                <w:sz w:val="24"/>
                <w:highlight w:val="none"/>
              </w:rPr>
              <w:t>政府采购政策（包括但不限于下列具体政策要求</w:t>
            </w:r>
            <w:r>
              <w:rPr>
                <w:rFonts w:hint="eastAsia" w:ascii="宋体" w:hAnsi="宋体" w:eastAsia="宋体" w:cs="宋体"/>
                <w:sz w:val="24"/>
                <w:highlight w:val="none"/>
              </w:rPr>
              <w:t>）</w:t>
            </w:r>
            <w:r>
              <w:rPr>
                <w:rFonts w:hint="eastAsia" w:ascii="宋体" w:hAnsi="宋体" w:eastAsia="宋体"/>
                <w:sz w:val="24"/>
                <w:szCs w:val="18"/>
                <w:highlight w:val="none"/>
              </w:rPr>
              <w:t>：</w:t>
            </w:r>
          </w:p>
          <w:p w14:paraId="33EDD926">
            <w:pPr>
              <w:spacing w:line="360" w:lineRule="auto"/>
              <w:rPr>
                <w:rFonts w:ascii="宋体" w:hAnsi="宋体" w:eastAsia="宋体" w:cs="宋体"/>
                <w:sz w:val="24"/>
                <w:highlight w:val="none"/>
              </w:rPr>
            </w:pPr>
            <w:r>
              <w:rPr>
                <w:rFonts w:hint="eastAsia" w:ascii="宋体" w:hAnsi="宋体" w:eastAsia="宋体" w:cs="宋体"/>
                <w:sz w:val="24"/>
                <w:highlight w:val="none"/>
              </w:rPr>
              <w:t>（1）如属于《节能产品政府采购品目清单》中政府强制采购的节能产品，则</w:t>
            </w:r>
            <w:r>
              <w:rPr>
                <w:rFonts w:hint="eastAsia" w:cs="宋体"/>
                <w:sz w:val="24"/>
                <w:highlight w:val="none"/>
              </w:rPr>
              <w:t>供应商</w:t>
            </w:r>
            <w:r>
              <w:rPr>
                <w:rFonts w:hint="eastAsia" w:ascii="宋体" w:hAnsi="宋体" w:eastAsia="宋体" w:cs="宋体"/>
                <w:sz w:val="24"/>
                <w:highlight w:val="none"/>
              </w:rPr>
              <w:t>所投产品须具有市场监管总局公布的《参与实施政府采购节能产品认证机构目录》中的认证机构出具的、处于有效期内的节能产品认证证书。</w:t>
            </w:r>
          </w:p>
          <w:p w14:paraId="39969962">
            <w:pPr>
              <w:spacing w:line="360" w:lineRule="auto"/>
              <w:rPr>
                <w:rFonts w:ascii="宋体" w:hAnsi="宋体" w:eastAsia="宋体" w:cs="宋体"/>
                <w:sz w:val="24"/>
                <w:highlight w:val="none"/>
              </w:rPr>
            </w:pPr>
            <w:r>
              <w:rPr>
                <w:rFonts w:hint="eastAsia" w:ascii="宋体" w:hAnsi="宋体" w:eastAsia="宋体" w:cs="宋体"/>
                <w:sz w:val="24"/>
                <w:highlight w:val="none"/>
              </w:rPr>
              <w:t>（2）如涉及商品包装和快递包装，</w:t>
            </w:r>
            <w:r>
              <w:rPr>
                <w:rFonts w:hint="eastAsia" w:cs="宋体"/>
                <w:sz w:val="24"/>
                <w:highlight w:val="none"/>
              </w:rPr>
              <w:t>供应商</w:t>
            </w:r>
            <w:r>
              <w:rPr>
                <w:rFonts w:hint="eastAsia" w:ascii="宋体" w:hAnsi="宋体" w:eastAsia="宋体" w:cs="宋体"/>
                <w:sz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60C9E74">
            <w:pPr>
              <w:spacing w:line="360" w:lineRule="auto"/>
              <w:rPr>
                <w:rFonts w:asciiTheme="minorEastAsia" w:hAnsiTheme="minorEastAsia" w:cstheme="minorEastAsia"/>
                <w:sz w:val="24"/>
                <w:highlight w:val="none"/>
              </w:rPr>
            </w:pPr>
            <w:r>
              <w:rPr>
                <w:rFonts w:hint="eastAsia" w:ascii="宋体" w:hAnsi="宋体" w:eastAsia="宋体" w:cs="宋体"/>
                <w:sz w:val="24"/>
                <w:highlight w:val="none"/>
              </w:rPr>
              <w:t>（3）按照《关于进一步扩大政府采购支持绿色建材促进建筑品质提升政策实施范围的通知》(财库(2024)36号)，严格执行《绿色建筑和绿色建材政府采购需求标准(2025 年版)》要求。</w:t>
            </w:r>
          </w:p>
        </w:tc>
      </w:tr>
      <w:tr w14:paraId="5ED6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69BEEB79">
            <w:pPr>
              <w:spacing w:line="360" w:lineRule="auto"/>
              <w:jc w:val="center"/>
              <w:rPr>
                <w:rFonts w:cs="@仿宋_GB2312" w:asciiTheme="minorEastAsia" w:hAnsiTheme="minorEastAsia"/>
                <w:sz w:val="24"/>
                <w:szCs w:val="22"/>
                <w:highlight w:val="none"/>
              </w:rPr>
            </w:pPr>
            <w:r>
              <w:rPr>
                <w:rFonts w:cs="@仿宋_GB2312" w:asciiTheme="minorEastAsia" w:hAnsiTheme="minorEastAsia"/>
                <w:sz w:val="24"/>
                <w:szCs w:val="22"/>
                <w:highlight w:val="none"/>
              </w:rPr>
              <w:t>6</w:t>
            </w:r>
          </w:p>
        </w:tc>
        <w:tc>
          <w:tcPr>
            <w:tcW w:w="819" w:type="pct"/>
            <w:vAlign w:val="center"/>
          </w:tcPr>
          <w:p w14:paraId="2642AD63">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项目经理</w:t>
            </w:r>
          </w:p>
        </w:tc>
        <w:tc>
          <w:tcPr>
            <w:tcW w:w="3688" w:type="pct"/>
            <w:vAlign w:val="center"/>
          </w:tcPr>
          <w:p w14:paraId="659BB596">
            <w:pPr>
              <w:pStyle w:val="10"/>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1、项目经理具备资格见采购公告要求，且须是供应商本单位人员。</w:t>
            </w:r>
          </w:p>
          <w:p w14:paraId="486C1949">
            <w:pPr>
              <w:pStyle w:val="10"/>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2、项目经理社保：提供</w:t>
            </w:r>
            <w:r>
              <w:rPr>
                <w:rFonts w:hint="eastAsia" w:asciiTheme="minorEastAsia" w:hAnsiTheme="minorEastAsia"/>
                <w:szCs w:val="24"/>
                <w:highlight w:val="none"/>
              </w:rPr>
              <w:t>自2024年9月1日以来任意连续1个月的社保证明材料，社保证明材料</w:t>
            </w:r>
            <w:r>
              <w:rPr>
                <w:rFonts w:hint="eastAsia" w:asciiTheme="minorEastAsia" w:hAnsiTheme="minorEastAsia" w:cstheme="minorEastAsia"/>
                <w:szCs w:val="24"/>
                <w:highlight w:val="none"/>
                <w:shd w:val="clear" w:color="auto" w:fill="FFFFFF"/>
              </w:rPr>
              <w:t>符合供应商须知前附表32.10社保证明材料的要求。</w:t>
            </w:r>
          </w:p>
          <w:p w14:paraId="02AF7B64">
            <w:pPr>
              <w:pStyle w:val="10"/>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 xml:space="preserve">3、项目经理不得同时担任两个及以上建设工程施工项目负责人，以下情形除外： </w:t>
            </w:r>
          </w:p>
          <w:p w14:paraId="6CCE4E68">
            <w:pPr>
              <w:pStyle w:val="10"/>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 xml:space="preserve">①法定情形； </w:t>
            </w:r>
          </w:p>
          <w:p w14:paraId="2C6CDBE0">
            <w:pPr>
              <w:pStyle w:val="10"/>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 xml:space="preserve">②虽在其他项目上担任项目经理岗位，但本项目成交后能够从该项目撤离，全面履约。 </w:t>
            </w:r>
          </w:p>
          <w:p w14:paraId="1C96FECB">
            <w:pPr>
              <w:pStyle w:val="10"/>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 xml:space="preserve">4、成交后若项目经理在其他项目上担任项目经理岗位，导致该项目经理无法进场履约的，采购人可取消其成交资格。供应商因此原因被取消成交资格的，视为无正当理由放弃成交资格。 </w:t>
            </w:r>
          </w:p>
          <w:p w14:paraId="00694B14">
            <w:pPr>
              <w:spacing w:line="360" w:lineRule="auto"/>
              <w:rPr>
                <w:rFonts w:asciiTheme="minorEastAsia" w:hAnsiTheme="minorEastAsia" w:cstheme="minorEastAsia"/>
                <w:sz w:val="24"/>
                <w:highlight w:val="none"/>
                <w:shd w:val="clear" w:color="auto" w:fill="FFFFFF"/>
              </w:rPr>
            </w:pPr>
            <w:r>
              <w:rPr>
                <w:rFonts w:hint="eastAsia" w:asciiTheme="minorEastAsia" w:hAnsiTheme="minorEastAsia" w:cstheme="minorEastAsia"/>
                <w:sz w:val="24"/>
                <w:highlight w:val="none"/>
                <w:shd w:val="clear" w:color="auto" w:fill="FFFFFF"/>
              </w:rPr>
              <w:t>5、（1）一级建造师应符合《住房和城乡建设部办公厅关于全面实行一级建造师电子注册证书的通知》(建办市〔2021〕40 号)规定，响应文件应提供一级建造师电子注册证书，且应在个人签名处手写本人签名，未手写签名或与签名图像笔迹不一致的，该电子证书无效。</w:t>
            </w:r>
          </w:p>
          <w:p w14:paraId="629F50D6">
            <w:pPr>
              <w:spacing w:line="360" w:lineRule="auto"/>
              <w:rPr>
                <w:highlight w:val="none"/>
              </w:rPr>
            </w:pPr>
            <w:r>
              <w:rPr>
                <w:rFonts w:hint="eastAsia" w:ascii="Times New Roman" w:hAnsi="Times New Roman" w:cs="Times New Roman"/>
                <w:bCs/>
                <w:sz w:val="24"/>
                <w:highlight w:val="none"/>
              </w:rPr>
              <w:t>（2）</w:t>
            </w:r>
            <w:r>
              <w:rPr>
                <w:rFonts w:ascii="Times New Roman" w:hAnsi="Times New Roman" w:cs="Times New Roman"/>
                <w:bCs/>
                <w:sz w:val="24"/>
                <w:highlight w:val="none"/>
              </w:rPr>
              <w:t>安徽省二级建造师应按《关于加强二级建造师事中事后监管工作的通知》（建市函〔2024〕137 号）执行，</w:t>
            </w:r>
            <w:r>
              <w:rPr>
                <w:rFonts w:hint="eastAsia" w:ascii="Times New Roman" w:hAnsi="Times New Roman" w:eastAsia="宋体" w:cs="Times New Roman"/>
                <w:bCs/>
                <w:sz w:val="24"/>
                <w:highlight w:val="none"/>
              </w:rPr>
              <w:t>新版的二级建造师电子证书打印后，应在个人签名处手写本人签名，未手写签名或与签名图像笔迹不一致的，该电子证书无效。对于其他省份颁发的二级建造师注册证书使用要求，证书颁发单位另有规定的按其规定执行。</w:t>
            </w:r>
          </w:p>
        </w:tc>
      </w:tr>
      <w:tr w14:paraId="421B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3890D89C">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7</w:t>
            </w:r>
          </w:p>
        </w:tc>
        <w:tc>
          <w:tcPr>
            <w:tcW w:w="819" w:type="pct"/>
            <w:vAlign w:val="center"/>
          </w:tcPr>
          <w:p w14:paraId="5904702D">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其他管理人员</w:t>
            </w:r>
          </w:p>
        </w:tc>
        <w:tc>
          <w:tcPr>
            <w:tcW w:w="3688" w:type="pct"/>
            <w:vAlign w:val="center"/>
          </w:tcPr>
          <w:p w14:paraId="57154472">
            <w:pPr>
              <w:spacing w:line="360" w:lineRule="auto"/>
              <w:rPr>
                <w:rFonts w:ascii="Times New Roman" w:hAnsi="Times New Roman" w:cs="Times New Roman"/>
                <w:bCs/>
                <w:sz w:val="24"/>
                <w:highlight w:val="none"/>
              </w:rPr>
            </w:pPr>
            <w:r>
              <w:rPr>
                <w:rFonts w:hint="eastAsia" w:ascii="Times New Roman" w:hAnsi="Times New Roman" w:cs="Times New Roman"/>
                <w:bCs/>
                <w:sz w:val="24"/>
                <w:highlight w:val="none"/>
              </w:rPr>
              <w:t>成交后，根据采购人需求配备，须满足本项目施工现场管理要求。</w:t>
            </w:r>
          </w:p>
        </w:tc>
      </w:tr>
      <w:tr w14:paraId="296F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4E9D92C1">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8</w:t>
            </w:r>
          </w:p>
        </w:tc>
        <w:tc>
          <w:tcPr>
            <w:tcW w:w="819" w:type="pct"/>
            <w:vAlign w:val="center"/>
          </w:tcPr>
          <w:p w14:paraId="4A8D9EAF">
            <w:pPr>
              <w:pStyle w:val="11"/>
              <w:widowControl w:val="0"/>
              <w:spacing w:before="0" w:beforeAutospacing="0" w:after="0" w:afterAutospacing="0" w:line="360" w:lineRule="auto"/>
              <w:rPr>
                <w:rFonts w:cs="@仿宋_GB2312" w:asciiTheme="minorEastAsia" w:hAnsiTheme="minorEastAsia"/>
                <w:sz w:val="24"/>
                <w:highlight w:val="none"/>
              </w:rPr>
            </w:pPr>
            <w:r>
              <w:rPr>
                <w:rFonts w:hint="eastAsia"/>
                <w:b w:val="0"/>
                <w:sz w:val="24"/>
                <w:highlight w:val="none"/>
              </w:rPr>
              <w:t>本项目采购标的名称及所属行业</w:t>
            </w:r>
          </w:p>
        </w:tc>
        <w:tc>
          <w:tcPr>
            <w:tcW w:w="3688" w:type="pct"/>
            <w:vAlign w:val="center"/>
          </w:tcPr>
          <w:p w14:paraId="3747D44D">
            <w:pPr>
              <w:spacing w:line="360" w:lineRule="auto"/>
              <w:jc w:val="left"/>
              <w:rPr>
                <w:rFonts w:asciiTheme="minorEastAsia" w:hAnsiTheme="minorEastAsia"/>
                <w:sz w:val="24"/>
                <w:szCs w:val="22"/>
                <w:highlight w:val="none"/>
              </w:rPr>
            </w:pPr>
            <w:r>
              <w:rPr>
                <w:rFonts w:hint="eastAsia" w:asciiTheme="minorEastAsia" w:hAnsiTheme="minorEastAsia"/>
                <w:sz w:val="24"/>
                <w:szCs w:val="22"/>
                <w:highlight w:val="none"/>
              </w:rPr>
              <w:t>标的名称：安徽省农业科学院院区环境提升项目</w:t>
            </w:r>
          </w:p>
          <w:p w14:paraId="7DACCC85">
            <w:pPr>
              <w:rPr>
                <w:highlight w:val="none"/>
              </w:rPr>
            </w:pPr>
            <w:r>
              <w:rPr>
                <w:rFonts w:hint="eastAsia" w:asciiTheme="minorEastAsia" w:hAnsiTheme="minorEastAsia"/>
                <w:sz w:val="24"/>
                <w:szCs w:val="22"/>
                <w:highlight w:val="none"/>
              </w:rPr>
              <w:t>所属行业：</w:t>
            </w:r>
            <w:r>
              <w:rPr>
                <w:rFonts w:hint="eastAsia" w:asciiTheme="minorEastAsia" w:hAnsiTheme="minorEastAsia"/>
                <w:sz w:val="24"/>
                <w:highlight w:val="none"/>
              </w:rPr>
              <w:t>建筑业</w:t>
            </w:r>
          </w:p>
        </w:tc>
      </w:tr>
    </w:tbl>
    <w:p w14:paraId="62E7D116">
      <w:pPr>
        <w:pStyle w:val="6"/>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二、项目概况</w:t>
      </w:r>
    </w:p>
    <w:p w14:paraId="2B409F40">
      <w:pPr>
        <w:spacing w:line="360" w:lineRule="auto"/>
        <w:ind w:firstLine="480" w:firstLineChars="200"/>
        <w:rPr>
          <w:b/>
          <w:bCs/>
          <w:sz w:val="10"/>
          <w:szCs w:val="10"/>
          <w:highlight w:val="none"/>
        </w:rPr>
      </w:pPr>
      <w:r>
        <w:rPr>
          <w:rFonts w:hint="eastAsia" w:ascii="宋体" w:hAnsi="宋体" w:eastAsia="宋体" w:cs="宋体"/>
          <w:sz w:val="24"/>
          <w:highlight w:val="none"/>
        </w:rPr>
        <w:t>安徽省农业科学院院区环境提升项目，主要包括</w:t>
      </w:r>
      <w:r>
        <w:rPr>
          <w:rFonts w:hint="eastAsia" w:asciiTheme="minorEastAsia" w:hAnsiTheme="minorEastAsia"/>
          <w:sz w:val="24"/>
          <w:highlight w:val="none"/>
        </w:rPr>
        <w:t>固镇路以北道路提升、烟草研发中心北部南部环境提升、科研大楼非机动车棚提升、院南2门提升等事宜，包含道路沥青铺设、标识标线、强弱电排管铺设、雨水排水、排水沟清理、部分排水沟修建、门禁道闸安装等工作</w:t>
      </w:r>
      <w:r>
        <w:rPr>
          <w:rFonts w:hint="eastAsia" w:ascii="宋体" w:hAnsi="宋体" w:eastAsia="宋体"/>
          <w:sz w:val="24"/>
          <w:szCs w:val="18"/>
          <w:highlight w:val="none"/>
        </w:rPr>
        <w:t>。</w:t>
      </w:r>
    </w:p>
    <w:p w14:paraId="1F817BC6">
      <w:pPr>
        <w:pStyle w:val="6"/>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三、施工范围</w:t>
      </w:r>
    </w:p>
    <w:p w14:paraId="516A5D45">
      <w:pPr>
        <w:spacing w:line="360" w:lineRule="auto"/>
        <w:ind w:firstLine="437"/>
        <w:rPr>
          <w:bCs/>
          <w:sz w:val="24"/>
          <w:szCs w:val="18"/>
          <w:highlight w:val="none"/>
        </w:rPr>
      </w:pPr>
      <w:r>
        <w:rPr>
          <w:rFonts w:hint="eastAsia"/>
          <w:bCs/>
          <w:sz w:val="24"/>
          <w:szCs w:val="18"/>
          <w:highlight w:val="none"/>
        </w:rPr>
        <w:t>具体详见图纸及工程量清单。</w:t>
      </w:r>
    </w:p>
    <w:p w14:paraId="5A2B2CCD">
      <w:pPr>
        <w:pStyle w:val="3"/>
        <w:spacing w:before="0" w:after="0" w:line="360" w:lineRule="auto"/>
        <w:rPr>
          <w:rFonts w:ascii="宋体" w:hAnsi="宋体" w:eastAsia="宋体" w:cs="宋体"/>
          <w:sz w:val="24"/>
          <w:highlight w:val="none"/>
        </w:rPr>
      </w:pPr>
      <w:r>
        <w:rPr>
          <w:rFonts w:hint="eastAsia" w:ascii="宋体" w:hAnsi="宋体" w:eastAsia="宋体" w:cs="宋体"/>
          <w:sz w:val="24"/>
          <w:highlight w:val="none"/>
        </w:rPr>
        <w:t>四、技术要求</w:t>
      </w:r>
    </w:p>
    <w:p w14:paraId="48DC073B">
      <w:pPr>
        <w:spacing w:line="360" w:lineRule="auto"/>
        <w:ind w:firstLine="437"/>
        <w:rPr>
          <w:bCs/>
          <w:sz w:val="24"/>
          <w:szCs w:val="18"/>
          <w:highlight w:val="none"/>
        </w:rPr>
      </w:pPr>
      <w:r>
        <w:rPr>
          <w:bCs/>
          <w:sz w:val="24"/>
          <w:szCs w:val="18"/>
          <w:highlight w:val="none"/>
        </w:rPr>
        <w:t>按照图纸、工程量清单要求及最新国家相关标准、规范要求执行。</w:t>
      </w:r>
    </w:p>
    <w:p w14:paraId="0A4BEFB4">
      <w:pPr>
        <w:pStyle w:val="3"/>
        <w:spacing w:before="0" w:after="0" w:line="360" w:lineRule="auto"/>
        <w:rPr>
          <w:rFonts w:ascii="宋体" w:hAnsi="宋体" w:eastAsia="宋体" w:cs="宋体"/>
          <w:sz w:val="24"/>
          <w:highlight w:val="none"/>
        </w:rPr>
      </w:pPr>
      <w:r>
        <w:rPr>
          <w:rFonts w:hint="eastAsia" w:ascii="宋体" w:hAnsi="宋体" w:eastAsia="宋体" w:cs="宋体"/>
          <w:sz w:val="24"/>
          <w:highlight w:val="none"/>
        </w:rPr>
        <w:t>五、报价要求</w:t>
      </w:r>
    </w:p>
    <w:p w14:paraId="401A572B">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5.1 工程量清单和最高限价的编制依据和说明</w:t>
      </w:r>
    </w:p>
    <w:p w14:paraId="306619C9">
      <w:pPr>
        <w:spacing w:line="360" w:lineRule="auto"/>
        <w:ind w:firstLine="437"/>
        <w:rPr>
          <w:bCs/>
          <w:sz w:val="24"/>
          <w:szCs w:val="18"/>
          <w:highlight w:val="none"/>
        </w:rPr>
      </w:pPr>
      <w:r>
        <w:rPr>
          <w:rFonts w:hint="eastAsia"/>
          <w:bCs/>
          <w:sz w:val="24"/>
          <w:szCs w:val="18"/>
          <w:highlight w:val="none"/>
        </w:rPr>
        <w:t>5.1.1 工程量清单编制的主要依据</w:t>
      </w:r>
    </w:p>
    <w:p w14:paraId="72B0CCCB">
      <w:pPr>
        <w:spacing w:line="360" w:lineRule="auto"/>
        <w:ind w:firstLine="437"/>
        <w:rPr>
          <w:bCs/>
          <w:sz w:val="24"/>
          <w:szCs w:val="18"/>
          <w:highlight w:val="none"/>
        </w:rPr>
      </w:pPr>
      <w:r>
        <w:rPr>
          <w:rFonts w:hint="eastAsia"/>
          <w:bCs/>
          <w:sz w:val="24"/>
          <w:szCs w:val="18"/>
          <w:highlight w:val="none"/>
        </w:rPr>
        <w:t>（1）现行的计价规范：《建设工程工程量清单计价规范》（GB50500-2013）；</w:t>
      </w:r>
    </w:p>
    <w:p w14:paraId="3B4B1045">
      <w:pPr>
        <w:spacing w:line="360" w:lineRule="auto"/>
        <w:ind w:firstLine="437"/>
        <w:rPr>
          <w:bCs/>
          <w:sz w:val="24"/>
          <w:szCs w:val="18"/>
          <w:highlight w:val="none"/>
        </w:rPr>
      </w:pPr>
      <w:r>
        <w:rPr>
          <w:rFonts w:hint="eastAsia"/>
          <w:bCs/>
          <w:sz w:val="24"/>
          <w:szCs w:val="18"/>
          <w:highlight w:val="none"/>
        </w:rPr>
        <w:t>（2）现行计价依据：《2018版安徽省建设工程计价依据动态调整（第1期）》；</w:t>
      </w:r>
    </w:p>
    <w:p w14:paraId="724097EC">
      <w:pPr>
        <w:spacing w:line="360" w:lineRule="auto"/>
        <w:ind w:firstLine="437"/>
        <w:rPr>
          <w:bCs/>
          <w:sz w:val="24"/>
          <w:szCs w:val="18"/>
          <w:highlight w:val="none"/>
        </w:rPr>
      </w:pPr>
      <w:r>
        <w:rPr>
          <w:rFonts w:hint="eastAsia"/>
          <w:bCs/>
          <w:sz w:val="24"/>
          <w:szCs w:val="18"/>
          <w:highlight w:val="none"/>
        </w:rPr>
        <w:t>（3）建设工程设计文件及相关资料；</w:t>
      </w:r>
    </w:p>
    <w:p w14:paraId="3BEA11AF">
      <w:pPr>
        <w:spacing w:line="360" w:lineRule="auto"/>
        <w:ind w:firstLine="437"/>
        <w:rPr>
          <w:bCs/>
          <w:sz w:val="24"/>
          <w:szCs w:val="18"/>
          <w:highlight w:val="none"/>
        </w:rPr>
      </w:pPr>
      <w:r>
        <w:rPr>
          <w:rFonts w:hint="eastAsia"/>
          <w:bCs/>
          <w:sz w:val="24"/>
          <w:szCs w:val="18"/>
          <w:highlight w:val="none"/>
        </w:rPr>
        <w:t>（4）与建设工程有关的标准、规范、技术资料；</w:t>
      </w:r>
    </w:p>
    <w:p w14:paraId="3DE33E33">
      <w:pPr>
        <w:spacing w:line="360" w:lineRule="auto"/>
        <w:ind w:firstLine="437"/>
        <w:rPr>
          <w:bCs/>
          <w:sz w:val="24"/>
          <w:szCs w:val="18"/>
          <w:highlight w:val="none"/>
        </w:rPr>
      </w:pPr>
      <w:r>
        <w:rPr>
          <w:rFonts w:hint="eastAsia"/>
          <w:bCs/>
          <w:sz w:val="24"/>
          <w:szCs w:val="18"/>
          <w:highlight w:val="none"/>
        </w:rPr>
        <w:t>（5）项目的采购文件；</w:t>
      </w:r>
    </w:p>
    <w:p w14:paraId="7C25FF86">
      <w:pPr>
        <w:spacing w:line="360" w:lineRule="auto"/>
        <w:ind w:firstLine="437"/>
        <w:rPr>
          <w:bCs/>
          <w:sz w:val="24"/>
          <w:szCs w:val="18"/>
          <w:highlight w:val="none"/>
        </w:rPr>
      </w:pPr>
      <w:r>
        <w:rPr>
          <w:rFonts w:hint="eastAsia"/>
          <w:bCs/>
          <w:sz w:val="24"/>
          <w:szCs w:val="18"/>
          <w:highlight w:val="none"/>
        </w:rPr>
        <w:t>（6）施工现场情况、地勘水文资料、工程特点及常规施工方案；</w:t>
      </w:r>
    </w:p>
    <w:p w14:paraId="5E65F1A8">
      <w:pPr>
        <w:spacing w:line="360" w:lineRule="auto"/>
        <w:ind w:firstLine="437"/>
        <w:rPr>
          <w:bCs/>
          <w:sz w:val="24"/>
          <w:szCs w:val="18"/>
          <w:highlight w:val="none"/>
        </w:rPr>
      </w:pPr>
      <w:r>
        <w:rPr>
          <w:rFonts w:hint="eastAsia"/>
          <w:bCs/>
          <w:sz w:val="24"/>
          <w:szCs w:val="18"/>
          <w:highlight w:val="none"/>
        </w:rPr>
        <w:t>5.1.2 最高限价编制的主要依据</w:t>
      </w:r>
    </w:p>
    <w:p w14:paraId="1E6276D3">
      <w:pPr>
        <w:spacing w:line="360" w:lineRule="auto"/>
        <w:ind w:firstLine="437"/>
        <w:rPr>
          <w:bCs/>
          <w:sz w:val="24"/>
          <w:szCs w:val="18"/>
          <w:highlight w:val="none"/>
        </w:rPr>
      </w:pPr>
      <w:r>
        <w:rPr>
          <w:rFonts w:hint="eastAsia"/>
          <w:bCs/>
          <w:sz w:val="24"/>
          <w:szCs w:val="18"/>
          <w:highlight w:val="none"/>
        </w:rPr>
        <w:t>（1）现行的计价规范：《建设工程工程量清单计价规范》（GB50500-2013）；</w:t>
      </w:r>
    </w:p>
    <w:p w14:paraId="7114B339">
      <w:pPr>
        <w:spacing w:line="360" w:lineRule="auto"/>
        <w:ind w:firstLine="437"/>
        <w:rPr>
          <w:bCs/>
          <w:sz w:val="24"/>
          <w:szCs w:val="18"/>
          <w:highlight w:val="none"/>
        </w:rPr>
      </w:pPr>
      <w:r>
        <w:rPr>
          <w:rFonts w:hint="eastAsia"/>
          <w:bCs/>
          <w:sz w:val="24"/>
          <w:szCs w:val="18"/>
          <w:highlight w:val="none"/>
        </w:rPr>
        <w:t>（2）现行计价依据：《2018版安徽省建设工程计价依据动态调整（第1期）》；</w:t>
      </w:r>
    </w:p>
    <w:p w14:paraId="1F369A5A">
      <w:pPr>
        <w:spacing w:line="360" w:lineRule="auto"/>
        <w:ind w:firstLine="437"/>
        <w:rPr>
          <w:bCs/>
          <w:sz w:val="24"/>
          <w:szCs w:val="18"/>
          <w:highlight w:val="none"/>
        </w:rPr>
      </w:pPr>
      <w:r>
        <w:rPr>
          <w:rFonts w:hint="eastAsia"/>
          <w:bCs/>
          <w:sz w:val="24"/>
          <w:szCs w:val="18"/>
          <w:highlight w:val="none"/>
        </w:rPr>
        <w:t>（3）建设工程设计文件及相关资料；</w:t>
      </w:r>
    </w:p>
    <w:p w14:paraId="1B6EEF7F">
      <w:pPr>
        <w:spacing w:line="360" w:lineRule="auto"/>
        <w:ind w:firstLine="437"/>
        <w:rPr>
          <w:bCs/>
          <w:sz w:val="24"/>
          <w:szCs w:val="18"/>
          <w:highlight w:val="none"/>
        </w:rPr>
      </w:pPr>
      <w:r>
        <w:rPr>
          <w:rFonts w:hint="eastAsia"/>
          <w:bCs/>
          <w:sz w:val="24"/>
          <w:szCs w:val="18"/>
          <w:highlight w:val="none"/>
        </w:rPr>
        <w:t>（4）项目的采购文件及工程量清单及其答疑、澄清、修改；</w:t>
      </w:r>
    </w:p>
    <w:p w14:paraId="3D67F739">
      <w:pPr>
        <w:spacing w:line="360" w:lineRule="auto"/>
        <w:ind w:firstLine="437"/>
        <w:rPr>
          <w:bCs/>
          <w:sz w:val="24"/>
          <w:szCs w:val="18"/>
          <w:highlight w:val="none"/>
        </w:rPr>
      </w:pPr>
      <w:r>
        <w:rPr>
          <w:rFonts w:hint="eastAsia"/>
          <w:bCs/>
          <w:sz w:val="24"/>
          <w:szCs w:val="18"/>
          <w:highlight w:val="none"/>
        </w:rPr>
        <w:t>（5）与建设工程有关的标准、规范、技术资料；</w:t>
      </w:r>
    </w:p>
    <w:p w14:paraId="15122017">
      <w:pPr>
        <w:spacing w:line="360" w:lineRule="auto"/>
        <w:ind w:firstLine="437"/>
        <w:rPr>
          <w:bCs/>
          <w:sz w:val="24"/>
          <w:szCs w:val="18"/>
          <w:highlight w:val="none"/>
        </w:rPr>
      </w:pPr>
      <w:r>
        <w:rPr>
          <w:rFonts w:hint="eastAsia"/>
          <w:bCs/>
          <w:sz w:val="24"/>
          <w:szCs w:val="18"/>
          <w:highlight w:val="none"/>
        </w:rPr>
        <w:t>（6）施工现场情况、工程特点及常规施工方案；</w:t>
      </w:r>
    </w:p>
    <w:p w14:paraId="1E0BF002">
      <w:pPr>
        <w:spacing w:line="360" w:lineRule="auto"/>
        <w:ind w:firstLine="437"/>
        <w:rPr>
          <w:bCs/>
          <w:sz w:val="24"/>
          <w:szCs w:val="18"/>
          <w:highlight w:val="none"/>
        </w:rPr>
      </w:pPr>
      <w:r>
        <w:rPr>
          <w:rFonts w:hint="eastAsia"/>
          <w:bCs/>
          <w:sz w:val="24"/>
          <w:szCs w:val="18"/>
          <w:highlight w:val="none"/>
        </w:rPr>
        <w:t>（7）工程造价管理机构发布的工程造价信息。</w:t>
      </w:r>
    </w:p>
    <w:p w14:paraId="21758E13">
      <w:pPr>
        <w:spacing w:line="360" w:lineRule="auto"/>
        <w:ind w:firstLine="437"/>
        <w:rPr>
          <w:bCs/>
          <w:sz w:val="24"/>
          <w:szCs w:val="18"/>
          <w:highlight w:val="none"/>
        </w:rPr>
      </w:pPr>
      <w:r>
        <w:rPr>
          <w:rFonts w:hint="eastAsia"/>
          <w:bCs/>
          <w:sz w:val="24"/>
          <w:szCs w:val="18"/>
          <w:highlight w:val="none"/>
        </w:rPr>
        <w:t>（8）其他相关材料。</w:t>
      </w:r>
    </w:p>
    <w:p w14:paraId="67526DEA">
      <w:pPr>
        <w:spacing w:line="360" w:lineRule="auto"/>
        <w:ind w:firstLine="437"/>
        <w:rPr>
          <w:bCs/>
          <w:sz w:val="24"/>
          <w:szCs w:val="18"/>
          <w:highlight w:val="none"/>
        </w:rPr>
      </w:pPr>
      <w:r>
        <w:rPr>
          <w:rFonts w:hint="eastAsia"/>
          <w:bCs/>
          <w:sz w:val="24"/>
          <w:szCs w:val="18"/>
          <w:highlight w:val="none"/>
        </w:rPr>
        <w:t>5.1.3 分部分项工程量清单费按本采购文件的分部分项工程量清单的特征描述及有关要求，结合本章第5.1.2项编制依据确定。</w:t>
      </w:r>
    </w:p>
    <w:p w14:paraId="4CF1EF13">
      <w:pPr>
        <w:spacing w:line="360" w:lineRule="auto"/>
        <w:ind w:firstLine="437"/>
        <w:rPr>
          <w:bCs/>
          <w:sz w:val="24"/>
          <w:szCs w:val="18"/>
          <w:highlight w:val="none"/>
        </w:rPr>
      </w:pPr>
      <w:r>
        <w:rPr>
          <w:rFonts w:hint="eastAsia"/>
          <w:bCs/>
          <w:sz w:val="24"/>
          <w:szCs w:val="18"/>
          <w:highlight w:val="none"/>
        </w:rPr>
        <w:t>（1）综合单价中人工和施工机械台班单价按省级工程造价管理机构公布的单价计算。</w:t>
      </w:r>
    </w:p>
    <w:p w14:paraId="4370DAD8">
      <w:pPr>
        <w:spacing w:line="360" w:lineRule="auto"/>
        <w:ind w:firstLine="437"/>
        <w:rPr>
          <w:bCs/>
          <w:sz w:val="24"/>
          <w:szCs w:val="18"/>
          <w:highlight w:val="none"/>
        </w:rPr>
      </w:pPr>
      <w:r>
        <w:rPr>
          <w:rFonts w:hint="eastAsia"/>
          <w:bCs/>
          <w:sz w:val="24"/>
          <w:szCs w:val="18"/>
          <w:highlight w:val="none"/>
        </w:rPr>
        <w:t>（2）综合单价中材料单价按省级和工程所在地的市级工程造价管理机构发布的当期市场信息以及本采购文件规定的暂定价、市场调查价格计算。</w:t>
      </w:r>
    </w:p>
    <w:p w14:paraId="049B1ECE">
      <w:pPr>
        <w:spacing w:line="360" w:lineRule="auto"/>
        <w:ind w:firstLine="437"/>
        <w:rPr>
          <w:bCs/>
          <w:sz w:val="24"/>
          <w:szCs w:val="18"/>
          <w:highlight w:val="none"/>
        </w:rPr>
      </w:pPr>
      <w:r>
        <w:rPr>
          <w:rFonts w:hint="eastAsia"/>
          <w:bCs/>
          <w:sz w:val="24"/>
          <w:szCs w:val="18"/>
          <w:highlight w:val="none"/>
        </w:rPr>
        <w:t>（3）本采购文件中列有材料、设备暂估价的，按暂估价综合单价。</w:t>
      </w:r>
    </w:p>
    <w:p w14:paraId="6221A31B">
      <w:pPr>
        <w:spacing w:line="360" w:lineRule="auto"/>
        <w:ind w:firstLine="437"/>
        <w:rPr>
          <w:bCs/>
          <w:sz w:val="24"/>
          <w:szCs w:val="18"/>
          <w:highlight w:val="none"/>
        </w:rPr>
      </w:pPr>
      <w:r>
        <w:rPr>
          <w:rFonts w:hint="eastAsia"/>
          <w:bCs/>
          <w:sz w:val="24"/>
          <w:szCs w:val="18"/>
          <w:highlight w:val="none"/>
        </w:rPr>
        <w:t>（4）综合单价中人工、材料和施工机械台班消耗量均按国家和省的定额消耗量计算。</w:t>
      </w:r>
    </w:p>
    <w:p w14:paraId="6328DB49">
      <w:pPr>
        <w:spacing w:line="360" w:lineRule="auto"/>
        <w:ind w:firstLine="437"/>
        <w:rPr>
          <w:bCs/>
          <w:sz w:val="24"/>
          <w:szCs w:val="18"/>
          <w:highlight w:val="none"/>
        </w:rPr>
      </w:pPr>
      <w:r>
        <w:rPr>
          <w:rFonts w:hint="eastAsia"/>
          <w:bCs/>
          <w:sz w:val="24"/>
          <w:szCs w:val="18"/>
          <w:highlight w:val="none"/>
        </w:rPr>
        <w:t>（5）综合单价中管理费、利润为可竞争性费用，其费率按国家和省、市的定额规定标准计取。</w:t>
      </w:r>
    </w:p>
    <w:p w14:paraId="0B3A95EC">
      <w:pPr>
        <w:spacing w:line="360" w:lineRule="auto"/>
        <w:ind w:firstLine="437"/>
        <w:rPr>
          <w:bCs/>
          <w:sz w:val="24"/>
          <w:szCs w:val="18"/>
          <w:highlight w:val="none"/>
        </w:rPr>
      </w:pPr>
      <w:r>
        <w:rPr>
          <w:rFonts w:hint="eastAsia"/>
          <w:bCs/>
          <w:sz w:val="24"/>
          <w:szCs w:val="18"/>
          <w:highlight w:val="none"/>
        </w:rPr>
        <w:t>（6）综合单价中应包括采购文件约定的应由供应商承担的风险范围及其费用，风险按本采购文件约定计算。</w:t>
      </w:r>
    </w:p>
    <w:p w14:paraId="38A34F44">
      <w:pPr>
        <w:spacing w:line="360" w:lineRule="auto"/>
        <w:ind w:firstLine="437"/>
        <w:rPr>
          <w:bCs/>
          <w:sz w:val="24"/>
          <w:szCs w:val="18"/>
          <w:highlight w:val="none"/>
        </w:rPr>
      </w:pPr>
      <w:r>
        <w:rPr>
          <w:rFonts w:hint="eastAsia"/>
          <w:bCs/>
          <w:sz w:val="24"/>
          <w:szCs w:val="18"/>
          <w:highlight w:val="none"/>
        </w:rPr>
        <w:t>5.1.4 措施项目清单费按本采购文件中的措施项目清单，应根据拟定的采购文件和常规施工方案以及计价规范的规定确定。对于施工机械设备的选型根据工程特点和施工条件，本着经济实用、先进高效的原则确定。其中不可竞争性的措施费用严格按照国家和省的有关规定计算。竞争性的措施费用依据项目具体情况进行合理确定。</w:t>
      </w:r>
    </w:p>
    <w:p w14:paraId="26AB8D71">
      <w:pPr>
        <w:spacing w:line="360" w:lineRule="auto"/>
        <w:ind w:firstLine="437"/>
        <w:rPr>
          <w:bCs/>
          <w:sz w:val="24"/>
          <w:szCs w:val="18"/>
          <w:highlight w:val="none"/>
        </w:rPr>
      </w:pPr>
      <w:r>
        <w:rPr>
          <w:rFonts w:hint="eastAsia"/>
          <w:bCs/>
          <w:sz w:val="24"/>
          <w:szCs w:val="18"/>
          <w:highlight w:val="none"/>
        </w:rPr>
        <w:t>5.1.5 其他项目费用应按照下列规定计价：</w:t>
      </w:r>
    </w:p>
    <w:p w14:paraId="0F08F36C">
      <w:pPr>
        <w:spacing w:line="360" w:lineRule="auto"/>
        <w:ind w:firstLine="437"/>
        <w:rPr>
          <w:bCs/>
          <w:sz w:val="24"/>
          <w:szCs w:val="18"/>
          <w:highlight w:val="none"/>
        </w:rPr>
      </w:pPr>
      <w:r>
        <w:rPr>
          <w:rFonts w:hint="eastAsia"/>
          <w:bCs/>
          <w:sz w:val="24"/>
          <w:szCs w:val="18"/>
          <w:highlight w:val="none"/>
        </w:rPr>
        <w:t>（1）暂列金额、专业工程暂估价应按工程量清单中列出的金额填写；</w:t>
      </w:r>
    </w:p>
    <w:p w14:paraId="37279B09">
      <w:pPr>
        <w:spacing w:line="360" w:lineRule="auto"/>
        <w:ind w:firstLine="437"/>
        <w:rPr>
          <w:bCs/>
          <w:sz w:val="24"/>
          <w:szCs w:val="18"/>
          <w:highlight w:val="none"/>
        </w:rPr>
      </w:pPr>
      <w:r>
        <w:rPr>
          <w:rFonts w:hint="eastAsia"/>
          <w:bCs/>
          <w:sz w:val="24"/>
          <w:szCs w:val="18"/>
          <w:highlight w:val="none"/>
        </w:rPr>
        <w:t>（2）暂估价中的材料、工程设备单价应按工程量清单列出的单价计入工程单价。</w:t>
      </w:r>
    </w:p>
    <w:p w14:paraId="6FF9925A">
      <w:pPr>
        <w:spacing w:line="360" w:lineRule="auto"/>
        <w:ind w:firstLine="437"/>
        <w:rPr>
          <w:bCs/>
          <w:sz w:val="24"/>
          <w:szCs w:val="18"/>
          <w:highlight w:val="none"/>
        </w:rPr>
      </w:pPr>
      <w:r>
        <w:rPr>
          <w:rFonts w:hint="eastAsia"/>
          <w:bCs/>
          <w:sz w:val="24"/>
          <w:szCs w:val="18"/>
          <w:highlight w:val="none"/>
        </w:rPr>
        <w:t>（3）零星工作项目按采购人在零星工作项目表中列出的人工、材料、机械数量，结合本章第5.1.2项编制依据的要求确定综合单价并计算人工、材料、机械费用；</w:t>
      </w:r>
    </w:p>
    <w:p w14:paraId="54CA6C71">
      <w:pPr>
        <w:spacing w:line="360" w:lineRule="auto"/>
        <w:ind w:firstLine="437"/>
        <w:rPr>
          <w:bCs/>
          <w:sz w:val="24"/>
          <w:szCs w:val="18"/>
          <w:highlight w:val="none"/>
        </w:rPr>
      </w:pPr>
      <w:r>
        <w:rPr>
          <w:rFonts w:hint="eastAsia"/>
          <w:bCs/>
          <w:sz w:val="24"/>
          <w:szCs w:val="18"/>
          <w:highlight w:val="none"/>
        </w:rPr>
        <w:t>（4）总包服务费应根据采购文件列出的内容和要求估算。</w:t>
      </w:r>
    </w:p>
    <w:p w14:paraId="7FEA9AD3">
      <w:pPr>
        <w:spacing w:line="360" w:lineRule="auto"/>
        <w:ind w:firstLine="437"/>
        <w:rPr>
          <w:bCs/>
          <w:sz w:val="24"/>
          <w:szCs w:val="18"/>
          <w:highlight w:val="none"/>
        </w:rPr>
      </w:pPr>
      <w:r>
        <w:rPr>
          <w:rFonts w:hint="eastAsia"/>
          <w:bCs/>
          <w:sz w:val="24"/>
          <w:szCs w:val="18"/>
          <w:highlight w:val="none"/>
        </w:rPr>
        <w:t>5.1.6 不可竞争费（含安全文明施工费、环境保护税）、税金按本采购文件中的不可竞争费（含安全文明施工费、环境保护税）、税金项目清单，结合本章第5.1.2项编制依据的要求编制。不可竞争性费用应严格按国家、省、市的有关规定及工程量清单、采购文件规定计取，不得降低标准。</w:t>
      </w:r>
    </w:p>
    <w:p w14:paraId="6495E8FE">
      <w:pPr>
        <w:spacing w:line="360" w:lineRule="auto"/>
        <w:ind w:firstLine="437"/>
        <w:rPr>
          <w:bCs/>
          <w:sz w:val="24"/>
          <w:szCs w:val="18"/>
          <w:highlight w:val="none"/>
        </w:rPr>
      </w:pPr>
      <w:r>
        <w:rPr>
          <w:rFonts w:hint="eastAsia"/>
          <w:bCs/>
          <w:sz w:val="24"/>
          <w:szCs w:val="18"/>
          <w:highlight w:val="none"/>
        </w:rPr>
        <w:t>5.1.7 工程量清单的核实与调整</w:t>
      </w:r>
    </w:p>
    <w:p w14:paraId="22A3047F">
      <w:pPr>
        <w:spacing w:line="360" w:lineRule="auto"/>
        <w:ind w:firstLine="437"/>
        <w:rPr>
          <w:bCs/>
          <w:sz w:val="24"/>
          <w:szCs w:val="18"/>
          <w:highlight w:val="none"/>
        </w:rPr>
      </w:pPr>
      <w:r>
        <w:rPr>
          <w:rFonts w:hint="eastAsia"/>
          <w:bCs/>
          <w:sz w:val="24"/>
          <w:szCs w:val="18"/>
          <w:highlight w:val="none"/>
        </w:rPr>
        <w:t>（1）本工程在发放工程量清单、最高限价后，供应商应对工程量清单和最高限价等数据进行复核。如供应商认为数据有误，可在提交首次响应文件截止时间前按疑问提交时限要求书面提出。如在规定时间内未提出书面异议的，工程量清单和最高限价将作为判定响应报价是否低于成本价的依据之一（工程量清单或最高限价出现重大错误除外）。</w:t>
      </w:r>
    </w:p>
    <w:p w14:paraId="783096C1">
      <w:pPr>
        <w:spacing w:line="360" w:lineRule="auto"/>
        <w:ind w:firstLine="437"/>
        <w:rPr>
          <w:bCs/>
          <w:sz w:val="24"/>
          <w:szCs w:val="18"/>
          <w:highlight w:val="none"/>
        </w:rPr>
      </w:pPr>
      <w:r>
        <w:rPr>
          <w:rFonts w:hint="eastAsia"/>
          <w:bCs/>
          <w:sz w:val="24"/>
          <w:szCs w:val="18"/>
          <w:highlight w:val="none"/>
        </w:rPr>
        <w:t>若供应商未按规定的时间前对清单和最高限价未提出相关书面异议，视同认可工程量清单和最高限价编制合理。成交后，供应商应按其报价完成采购范围和图纸内的全部内容，不得以工程量清单和最高限价编制存在数量偏差、缺漏项或者不合理提出各种形式的索赔。</w:t>
      </w:r>
    </w:p>
    <w:p w14:paraId="18FAC4FF">
      <w:pPr>
        <w:spacing w:line="360" w:lineRule="auto"/>
        <w:ind w:firstLine="437"/>
        <w:rPr>
          <w:bCs/>
          <w:sz w:val="24"/>
          <w:szCs w:val="18"/>
          <w:highlight w:val="none"/>
        </w:rPr>
      </w:pPr>
      <w:r>
        <w:rPr>
          <w:rFonts w:hint="eastAsia"/>
          <w:bCs/>
          <w:sz w:val="24"/>
          <w:szCs w:val="18"/>
          <w:highlight w:val="none"/>
        </w:rPr>
        <w:t>（2）供应商成交后，合同价为固定总价，除经批准的设计变更、经济签证外，其它工程造价增减均不予调整合同价格。</w:t>
      </w:r>
    </w:p>
    <w:p w14:paraId="08433398">
      <w:pPr>
        <w:spacing w:line="360" w:lineRule="auto"/>
        <w:ind w:firstLine="437"/>
        <w:rPr>
          <w:bCs/>
          <w:sz w:val="24"/>
          <w:szCs w:val="18"/>
          <w:highlight w:val="none"/>
        </w:rPr>
      </w:pPr>
      <w:r>
        <w:rPr>
          <w:rFonts w:hint="eastAsia"/>
          <w:bCs/>
          <w:sz w:val="24"/>
          <w:szCs w:val="18"/>
          <w:highlight w:val="none"/>
        </w:rPr>
        <w:t>（3）提交首次响应文件截止时间前，供应商应认真对照设计图纸等文件核对采购人提供的工程量清单，发现工程量存在项目划分误差、计量单位误差、数量误差、缺漏项的，必须在采购文件规定的时间内向采购人提出异议或修正要求，否则采购人可不予答复。</w:t>
      </w:r>
    </w:p>
    <w:p w14:paraId="5F073D7F">
      <w:pPr>
        <w:spacing w:line="360" w:lineRule="auto"/>
        <w:ind w:firstLine="437"/>
        <w:rPr>
          <w:bCs/>
          <w:sz w:val="24"/>
          <w:szCs w:val="18"/>
          <w:highlight w:val="none"/>
        </w:rPr>
      </w:pPr>
      <w:r>
        <w:rPr>
          <w:rFonts w:hint="eastAsia"/>
          <w:bCs/>
          <w:sz w:val="24"/>
          <w:szCs w:val="18"/>
          <w:highlight w:val="none"/>
        </w:rPr>
        <w:t>（4）采购人对异议或修正要求应进行核实，确认工程量单项子目误差在±3%（含±3%）以内的，采购人可不予调整工程量，供应商应将其误差考虑在综合单价内；若有单项子目工程量误差超过±3%的，采购人应进行修正并重新公布工程量清单和最高限价（如需）；</w:t>
      </w:r>
    </w:p>
    <w:p w14:paraId="59094ED0">
      <w:pPr>
        <w:spacing w:line="360" w:lineRule="auto"/>
        <w:ind w:firstLine="437"/>
        <w:rPr>
          <w:bCs/>
          <w:sz w:val="24"/>
          <w:szCs w:val="18"/>
          <w:highlight w:val="none"/>
        </w:rPr>
      </w:pPr>
      <w:r>
        <w:rPr>
          <w:rFonts w:hint="eastAsia"/>
          <w:bCs/>
          <w:sz w:val="24"/>
          <w:szCs w:val="18"/>
          <w:highlight w:val="none"/>
        </w:rPr>
        <w:t>（5）供应商在前规定时间内未对工程量清单和最高限价提出异议的，将被视为已对照图纸等资料复核过工程量清单和最高限价，并对其中存在的误差已全部考虑在报价中，成交后，采购人不再对工程量清单的项目和数量进行调整。供应商必须按其报价完成采购文件规定范围内的设计图纸规定的所有工程项目。</w:t>
      </w:r>
    </w:p>
    <w:p w14:paraId="2BE9659A">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5.2 响应报价的编制依据</w:t>
      </w:r>
    </w:p>
    <w:p w14:paraId="6BE6EDC7">
      <w:pPr>
        <w:spacing w:line="360" w:lineRule="auto"/>
        <w:ind w:firstLine="437"/>
        <w:rPr>
          <w:bCs/>
          <w:sz w:val="24"/>
          <w:szCs w:val="18"/>
          <w:highlight w:val="none"/>
        </w:rPr>
      </w:pPr>
      <w:r>
        <w:rPr>
          <w:rFonts w:hint="eastAsia"/>
          <w:bCs/>
          <w:sz w:val="24"/>
          <w:szCs w:val="18"/>
          <w:highlight w:val="none"/>
        </w:rPr>
        <w:t>（1）现行的计价规范：《建设工程工程量清单计价规范》（GB50500-2013）；</w:t>
      </w:r>
    </w:p>
    <w:p w14:paraId="095A706A">
      <w:pPr>
        <w:spacing w:line="360" w:lineRule="auto"/>
        <w:ind w:firstLine="437"/>
        <w:rPr>
          <w:bCs/>
          <w:sz w:val="24"/>
          <w:szCs w:val="18"/>
          <w:highlight w:val="none"/>
        </w:rPr>
      </w:pPr>
      <w:r>
        <w:rPr>
          <w:rFonts w:hint="eastAsia"/>
          <w:bCs/>
          <w:sz w:val="24"/>
          <w:szCs w:val="18"/>
          <w:highlight w:val="none"/>
        </w:rPr>
        <w:t>（2）现行计价依据：《2018版安徽省建设工程计价依据动态调整（第1期）》；</w:t>
      </w:r>
    </w:p>
    <w:p w14:paraId="26F53406">
      <w:pPr>
        <w:spacing w:line="360" w:lineRule="auto"/>
        <w:ind w:firstLine="437"/>
        <w:rPr>
          <w:bCs/>
          <w:sz w:val="24"/>
          <w:szCs w:val="18"/>
          <w:highlight w:val="none"/>
        </w:rPr>
      </w:pPr>
      <w:r>
        <w:rPr>
          <w:rFonts w:hint="eastAsia"/>
          <w:bCs/>
          <w:sz w:val="24"/>
          <w:szCs w:val="18"/>
          <w:highlight w:val="none"/>
        </w:rPr>
        <w:t>（3）建设工程设计文件及相关资料；</w:t>
      </w:r>
    </w:p>
    <w:p w14:paraId="6C1E0387">
      <w:pPr>
        <w:spacing w:line="360" w:lineRule="auto"/>
        <w:ind w:firstLine="437"/>
        <w:rPr>
          <w:bCs/>
          <w:sz w:val="24"/>
          <w:szCs w:val="18"/>
          <w:highlight w:val="none"/>
        </w:rPr>
      </w:pPr>
      <w:r>
        <w:rPr>
          <w:rFonts w:hint="eastAsia"/>
          <w:bCs/>
          <w:sz w:val="24"/>
          <w:szCs w:val="18"/>
          <w:highlight w:val="none"/>
        </w:rPr>
        <w:t>（4）采购文件及工程量清单及其答疑、澄清、修改；</w:t>
      </w:r>
    </w:p>
    <w:p w14:paraId="7B4ADD32">
      <w:pPr>
        <w:spacing w:line="360" w:lineRule="auto"/>
        <w:ind w:firstLine="437"/>
        <w:rPr>
          <w:bCs/>
          <w:sz w:val="24"/>
          <w:szCs w:val="18"/>
          <w:highlight w:val="none"/>
        </w:rPr>
      </w:pPr>
      <w:r>
        <w:rPr>
          <w:rFonts w:hint="eastAsia"/>
          <w:bCs/>
          <w:sz w:val="24"/>
          <w:szCs w:val="18"/>
          <w:highlight w:val="none"/>
        </w:rPr>
        <w:t>（5）与建设工程有关的标准、规范、技术资料；</w:t>
      </w:r>
    </w:p>
    <w:p w14:paraId="27A31050">
      <w:pPr>
        <w:spacing w:line="360" w:lineRule="auto"/>
        <w:ind w:firstLine="437"/>
        <w:rPr>
          <w:bCs/>
          <w:sz w:val="24"/>
          <w:szCs w:val="18"/>
          <w:highlight w:val="none"/>
        </w:rPr>
      </w:pPr>
      <w:r>
        <w:rPr>
          <w:rFonts w:hint="eastAsia"/>
          <w:bCs/>
          <w:sz w:val="24"/>
          <w:szCs w:val="18"/>
          <w:highlight w:val="none"/>
        </w:rPr>
        <w:t>（6）施工现场情况、工程特点及响应文件中拟定的施工组织设计。</w:t>
      </w:r>
    </w:p>
    <w:p w14:paraId="2BD4BF53">
      <w:pPr>
        <w:spacing w:line="360" w:lineRule="auto"/>
        <w:ind w:firstLine="437"/>
        <w:rPr>
          <w:bCs/>
          <w:sz w:val="24"/>
          <w:szCs w:val="18"/>
          <w:highlight w:val="none"/>
        </w:rPr>
      </w:pPr>
      <w:r>
        <w:rPr>
          <w:rFonts w:hint="eastAsia"/>
          <w:bCs/>
          <w:sz w:val="24"/>
          <w:szCs w:val="18"/>
          <w:highlight w:val="none"/>
        </w:rPr>
        <w:t>（7）市场价格信息，或参照工程造价管理机构发布的工程造价信息。</w:t>
      </w:r>
    </w:p>
    <w:p w14:paraId="6A61703B">
      <w:pPr>
        <w:spacing w:line="360" w:lineRule="auto"/>
        <w:ind w:firstLine="437"/>
        <w:rPr>
          <w:bCs/>
          <w:sz w:val="24"/>
          <w:szCs w:val="18"/>
          <w:highlight w:val="none"/>
        </w:rPr>
      </w:pPr>
      <w:r>
        <w:rPr>
          <w:rFonts w:hint="eastAsia"/>
          <w:bCs/>
          <w:sz w:val="24"/>
          <w:szCs w:val="18"/>
          <w:highlight w:val="none"/>
        </w:rPr>
        <w:t>（8）合同执行期间由供应商承担的风险因素。</w:t>
      </w:r>
    </w:p>
    <w:p w14:paraId="1935D929">
      <w:pPr>
        <w:spacing w:line="360" w:lineRule="auto"/>
        <w:ind w:firstLine="437"/>
        <w:rPr>
          <w:bCs/>
          <w:sz w:val="24"/>
          <w:szCs w:val="18"/>
          <w:highlight w:val="none"/>
        </w:rPr>
      </w:pPr>
      <w:r>
        <w:rPr>
          <w:rFonts w:hint="eastAsia"/>
          <w:bCs/>
          <w:sz w:val="24"/>
          <w:szCs w:val="18"/>
          <w:highlight w:val="none"/>
        </w:rPr>
        <w:t>（9）其他相关资料。</w:t>
      </w:r>
    </w:p>
    <w:p w14:paraId="3AF09ECF">
      <w:pPr>
        <w:spacing w:line="360" w:lineRule="auto"/>
        <w:ind w:firstLine="480"/>
        <w:rPr>
          <w:rFonts w:ascii="宋体" w:hAnsi="宋体" w:eastAsia="宋体" w:cs="宋体"/>
          <w:b/>
          <w:sz w:val="24"/>
          <w:highlight w:val="none"/>
        </w:rPr>
      </w:pPr>
      <w:r>
        <w:rPr>
          <w:rFonts w:hint="eastAsia" w:ascii="宋体" w:hAnsi="宋体" w:eastAsia="宋体" w:cs="宋体"/>
          <w:b/>
          <w:sz w:val="24"/>
          <w:highlight w:val="none"/>
        </w:rPr>
        <w:t>5.3 响应报价的编制要求</w:t>
      </w:r>
    </w:p>
    <w:p w14:paraId="7409E7B3">
      <w:pPr>
        <w:spacing w:line="360" w:lineRule="auto"/>
        <w:ind w:firstLine="437"/>
        <w:rPr>
          <w:bCs/>
          <w:sz w:val="24"/>
          <w:szCs w:val="18"/>
          <w:highlight w:val="none"/>
        </w:rPr>
      </w:pPr>
      <w:r>
        <w:rPr>
          <w:rFonts w:hint="eastAsia"/>
          <w:bCs/>
          <w:sz w:val="24"/>
          <w:szCs w:val="18"/>
          <w:highlight w:val="none"/>
        </w:rPr>
        <w:t>5.3.1 供应商应仔细阅读采购文件，了解采购项目的全部工程内容。供应商的响应报价应是采购文件所确定的采购范围内全部工程内容的价格体现，但其响应报价不得低于供应商个别成本价。供应商不得以自有机械闲置、自有材料为由等不计成本地进行报价。</w:t>
      </w:r>
    </w:p>
    <w:p w14:paraId="40E4D327">
      <w:pPr>
        <w:spacing w:line="360" w:lineRule="auto"/>
        <w:ind w:firstLine="437"/>
        <w:rPr>
          <w:bCs/>
          <w:sz w:val="24"/>
          <w:szCs w:val="18"/>
          <w:highlight w:val="none"/>
        </w:rPr>
      </w:pPr>
      <w:r>
        <w:rPr>
          <w:rFonts w:hint="eastAsia"/>
          <w:bCs/>
          <w:sz w:val="24"/>
          <w:szCs w:val="18"/>
          <w:highlight w:val="none"/>
        </w:rPr>
        <w:t>5.3.2 除非采购人对采购文件予以澄清、修改，否则供应商应按采购人提供的工程量清单中列出的工程项目和工程量逐项填报综合单价和合价。供应商不得在工程量清单中任意增删、修改清单项目与工程量及项目排列顺序。</w:t>
      </w:r>
    </w:p>
    <w:p w14:paraId="3B940B8D">
      <w:pPr>
        <w:spacing w:line="360" w:lineRule="auto"/>
        <w:ind w:firstLine="437"/>
        <w:rPr>
          <w:bCs/>
          <w:sz w:val="24"/>
          <w:szCs w:val="18"/>
          <w:highlight w:val="none"/>
        </w:rPr>
      </w:pPr>
      <w:r>
        <w:rPr>
          <w:rFonts w:hint="eastAsia"/>
          <w:bCs/>
          <w:sz w:val="24"/>
          <w:szCs w:val="18"/>
          <w:highlight w:val="none"/>
        </w:rPr>
        <w:t>5.3.3 为满足工程建设标准和技术规范要求所发生的费用应包括在响应报价中。响应报价为供应商在响应文件中提出的各项支付金额的总和。除不可竞争费用外，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02BFA525">
      <w:pPr>
        <w:spacing w:line="360" w:lineRule="auto"/>
        <w:ind w:firstLine="437"/>
        <w:rPr>
          <w:bCs/>
          <w:sz w:val="24"/>
          <w:szCs w:val="18"/>
          <w:highlight w:val="none"/>
        </w:rPr>
      </w:pPr>
      <w:r>
        <w:rPr>
          <w:rFonts w:hint="eastAsia"/>
          <w:bCs/>
          <w:sz w:val="24"/>
          <w:szCs w:val="18"/>
          <w:highlight w:val="none"/>
        </w:rPr>
        <w:t>5.3.4 关于工程所需的材料和设备的供应方式和报价等要求：</w:t>
      </w:r>
    </w:p>
    <w:p w14:paraId="215B514C">
      <w:pPr>
        <w:spacing w:line="360" w:lineRule="auto"/>
        <w:ind w:firstLine="437"/>
        <w:rPr>
          <w:bCs/>
          <w:sz w:val="24"/>
          <w:szCs w:val="18"/>
          <w:highlight w:val="none"/>
        </w:rPr>
      </w:pPr>
      <w:r>
        <w:rPr>
          <w:rFonts w:hint="eastAsia"/>
          <w:bCs/>
          <w:sz w:val="24"/>
          <w:szCs w:val="18"/>
          <w:highlight w:val="none"/>
        </w:rPr>
        <w:t>（1）本工程使用的设备材料，除图纸、采购文件及补充答疑文件明确注明甲供或甲定乙供外，均由承包方采购供应；设备材料采购前，其厂家、规格、型号、质量须报采购人、监理单位认可及批准方可采购，同时设备材料进场也须经采购人、监理方认可后方可使用。如果供应商采购的设备、材料不符合设计图纸、技术规范、标准、参考品牌及采购人的要求，采购人将有权同监理单位等共同确定设备材料的品牌、厂家、规格、型号、质量，并交由施工单位采购，若采购人确定的设备材料品牌及产品的价格超过响应报价中的价格，则按响应文件中的报价进行结算，若采购人确定的设备材料品牌及产品的价格低于响应报价中的价格，则按采购人确定的品牌价格进行结算，供应商一旦递交响应文件，视为无条件的同意及执行此项条款的要求。施工过程中违反规定的，视为违约，因此影响工期的总工期不顺延，同时由此造成的其他一切损失由承包人自行承担。</w:t>
      </w:r>
    </w:p>
    <w:p w14:paraId="5A2E3B9E">
      <w:pPr>
        <w:spacing w:line="360" w:lineRule="auto"/>
        <w:ind w:firstLine="437"/>
        <w:rPr>
          <w:bCs/>
          <w:sz w:val="24"/>
          <w:szCs w:val="18"/>
          <w:highlight w:val="none"/>
        </w:rPr>
      </w:pPr>
      <w:r>
        <w:rPr>
          <w:rFonts w:hint="eastAsia"/>
          <w:bCs/>
          <w:sz w:val="24"/>
          <w:szCs w:val="18"/>
          <w:highlight w:val="none"/>
        </w:rPr>
        <w:t>（2）除甲供材、实行暂定价的材料和合同约定价格可调的材料（如有）以外，由供应商自行采购的材料确定报价时应充分考虑材料价格上涨等市场风险因素，成交后不作调整。综合单价中的材料费应包括材料运杂费、运输损耗费、采购及保管费，材料的试验检验费由供应商考虑在综合费中。</w:t>
      </w:r>
    </w:p>
    <w:p w14:paraId="09D925E6">
      <w:pPr>
        <w:spacing w:line="360" w:lineRule="auto"/>
        <w:ind w:firstLine="437"/>
        <w:rPr>
          <w:bCs/>
          <w:sz w:val="24"/>
          <w:szCs w:val="18"/>
          <w:highlight w:val="none"/>
        </w:rPr>
      </w:pPr>
      <w:r>
        <w:rPr>
          <w:rFonts w:hint="eastAsia"/>
          <w:bCs/>
          <w:sz w:val="24"/>
          <w:szCs w:val="18"/>
          <w:highlight w:val="none"/>
        </w:rPr>
        <w:t>（3）结算时实行暂定价的材料和设备的价差仅计取税金，不再计取其他费用。</w:t>
      </w:r>
    </w:p>
    <w:p w14:paraId="6C341FDF">
      <w:pPr>
        <w:spacing w:line="360" w:lineRule="auto"/>
        <w:ind w:firstLine="437"/>
        <w:rPr>
          <w:bCs/>
          <w:sz w:val="24"/>
          <w:szCs w:val="18"/>
          <w:highlight w:val="none"/>
        </w:rPr>
      </w:pPr>
      <w:r>
        <w:rPr>
          <w:rFonts w:hint="eastAsia"/>
          <w:bCs/>
          <w:sz w:val="24"/>
          <w:szCs w:val="18"/>
          <w:highlight w:val="none"/>
        </w:rPr>
        <w:t>5.3.5 本项目施工所需的水、电的接入点由供应商自行踏勘现场并充分考虑确定，供应商报价时须充分考虑此部分费用及风险并含在报价中。供应商成交后，采购人不再为此承担任何费用及责任。供应商在开工前将水、电接至施工场地范围内，场内临时管线及装表等其它工作费用也由供应商自行承担。</w:t>
      </w:r>
    </w:p>
    <w:p w14:paraId="5E630813">
      <w:pPr>
        <w:spacing w:line="360" w:lineRule="auto"/>
        <w:ind w:firstLine="437"/>
        <w:rPr>
          <w:bCs/>
          <w:sz w:val="24"/>
          <w:szCs w:val="18"/>
          <w:highlight w:val="none"/>
        </w:rPr>
      </w:pPr>
      <w:r>
        <w:rPr>
          <w:rFonts w:hint="eastAsia"/>
          <w:bCs/>
          <w:sz w:val="24"/>
          <w:szCs w:val="18"/>
          <w:highlight w:val="none"/>
        </w:rPr>
        <w:t>5.3.6 分部分项工程量清单费根据采购文件中的工程量清单项目及项目特征描述等确定综合单价。其中综合单价是指完成一个规定清单项目所需的人工费、材料和工程设备费、施工机具使用费和企业管理费、利润以及合同规定的供应商承担的风险费用。</w:t>
      </w:r>
    </w:p>
    <w:p w14:paraId="1C0F863F">
      <w:pPr>
        <w:spacing w:line="360" w:lineRule="auto"/>
        <w:ind w:firstLine="437"/>
        <w:rPr>
          <w:bCs/>
          <w:sz w:val="24"/>
          <w:szCs w:val="18"/>
          <w:highlight w:val="none"/>
        </w:rPr>
      </w:pPr>
      <w:r>
        <w:rPr>
          <w:rFonts w:hint="eastAsia"/>
          <w:bCs/>
          <w:sz w:val="24"/>
          <w:szCs w:val="18"/>
          <w:highlight w:val="none"/>
        </w:rPr>
        <w:t>5.3.7 措施项目清单费根据采购文件中的工程量清单措施项目，结合本章第5.1款编制依据确定。供应商对采购人所列的措施项目可根据工程实际情况结合施工组织设计进行增补，其中不可竞争性的措施费用严格按照采购文件规定计算，不得降低标准。</w:t>
      </w:r>
    </w:p>
    <w:p w14:paraId="5AD8BC9A">
      <w:pPr>
        <w:spacing w:line="360" w:lineRule="auto"/>
        <w:ind w:firstLine="437"/>
        <w:rPr>
          <w:bCs/>
          <w:sz w:val="24"/>
          <w:szCs w:val="18"/>
          <w:highlight w:val="none"/>
        </w:rPr>
      </w:pPr>
      <w:r>
        <w:rPr>
          <w:rFonts w:hint="eastAsia"/>
          <w:bCs/>
          <w:sz w:val="24"/>
          <w:szCs w:val="18"/>
          <w:highlight w:val="none"/>
        </w:rPr>
        <w:t>5.3.8 其他项目清单费应按照采购文件规定报价。其中暂列金额（预留金）、暂估价、暂定价、材料购置费用等均为估算金额。编制响应报价时计入总价，工程竣工后应按供应商实际完成的工程内容结算。</w:t>
      </w:r>
    </w:p>
    <w:p w14:paraId="7D57D203">
      <w:pPr>
        <w:spacing w:line="360" w:lineRule="auto"/>
        <w:ind w:firstLine="437"/>
        <w:rPr>
          <w:bCs/>
          <w:sz w:val="24"/>
          <w:szCs w:val="18"/>
          <w:highlight w:val="none"/>
        </w:rPr>
      </w:pPr>
      <w:r>
        <w:rPr>
          <w:rFonts w:hint="eastAsia"/>
          <w:bCs/>
          <w:sz w:val="24"/>
          <w:szCs w:val="18"/>
          <w:highlight w:val="none"/>
        </w:rPr>
        <w:t>5.3.9 税金应采用增值税模式，供应商依据现行文件要求计取增值税，不得降低标准。</w:t>
      </w:r>
    </w:p>
    <w:p w14:paraId="076D825A">
      <w:pPr>
        <w:spacing w:line="360" w:lineRule="auto"/>
        <w:ind w:firstLine="437"/>
        <w:rPr>
          <w:bCs/>
          <w:sz w:val="24"/>
          <w:szCs w:val="18"/>
          <w:highlight w:val="none"/>
        </w:rPr>
      </w:pPr>
      <w:r>
        <w:rPr>
          <w:rFonts w:hint="eastAsia"/>
          <w:bCs/>
          <w:sz w:val="24"/>
          <w:szCs w:val="18"/>
          <w:highlight w:val="none"/>
        </w:rPr>
        <w:t>5.3.10 供应商的响应报价由不可竞争费用和可竞争费用构成。不可竞争费用（规费）不得低于下表有关费用标准，报价时不得降低标准。</w:t>
      </w:r>
    </w:p>
    <w:p w14:paraId="13559D90">
      <w:pPr>
        <w:spacing w:line="360" w:lineRule="auto"/>
        <w:ind w:firstLine="437"/>
        <w:rPr>
          <w:bCs/>
          <w:sz w:val="24"/>
          <w:szCs w:val="18"/>
          <w:highlight w:val="none"/>
        </w:rPr>
      </w:pPr>
      <w:r>
        <w:rPr>
          <w:rFonts w:hint="eastAsia"/>
          <w:bCs/>
          <w:sz w:val="24"/>
          <w:szCs w:val="18"/>
          <w:highlight w:val="none"/>
        </w:rPr>
        <w:t>（1）措施费中的不可竞争费用（见下表）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6"/>
        <w:gridCol w:w="2227"/>
        <w:gridCol w:w="2133"/>
        <w:gridCol w:w="2255"/>
      </w:tblGrid>
      <w:tr w14:paraId="0E6B4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vMerge w:val="restart"/>
            <w:tcBorders>
              <w:top w:val="single" w:color="auto" w:sz="4" w:space="0"/>
              <w:left w:val="single" w:color="auto" w:sz="4" w:space="0"/>
              <w:bottom w:val="single" w:color="auto" w:sz="4" w:space="0"/>
              <w:right w:val="single" w:color="auto" w:sz="4" w:space="0"/>
            </w:tcBorders>
            <w:vAlign w:val="center"/>
          </w:tcPr>
          <w:p w14:paraId="6BBDC7AB">
            <w:pPr>
              <w:spacing w:line="360" w:lineRule="auto"/>
              <w:jc w:val="center"/>
              <w:rPr>
                <w:bCs/>
                <w:sz w:val="24"/>
                <w:szCs w:val="18"/>
                <w:highlight w:val="none"/>
              </w:rPr>
            </w:pPr>
            <w:r>
              <w:rPr>
                <w:rFonts w:hint="eastAsia"/>
                <w:bCs/>
                <w:sz w:val="24"/>
                <w:szCs w:val="18"/>
                <w:highlight w:val="none"/>
              </w:rPr>
              <w:t>项目名称</w:t>
            </w:r>
          </w:p>
        </w:tc>
        <w:tc>
          <w:tcPr>
            <w:tcW w:w="2227" w:type="dxa"/>
            <w:vMerge w:val="restart"/>
            <w:tcBorders>
              <w:top w:val="single" w:color="auto" w:sz="4" w:space="0"/>
              <w:left w:val="single" w:color="auto" w:sz="4" w:space="0"/>
              <w:bottom w:val="single" w:color="auto" w:sz="4" w:space="0"/>
              <w:right w:val="single" w:color="auto" w:sz="4" w:space="0"/>
            </w:tcBorders>
            <w:vAlign w:val="center"/>
          </w:tcPr>
          <w:p w14:paraId="7DF3011C">
            <w:pPr>
              <w:spacing w:line="360" w:lineRule="auto"/>
              <w:jc w:val="center"/>
              <w:rPr>
                <w:bCs/>
                <w:sz w:val="24"/>
                <w:szCs w:val="18"/>
                <w:highlight w:val="none"/>
              </w:rPr>
            </w:pPr>
            <w:r>
              <w:rPr>
                <w:rFonts w:hint="eastAsia"/>
                <w:bCs/>
                <w:sz w:val="24"/>
                <w:szCs w:val="18"/>
                <w:highlight w:val="none"/>
              </w:rPr>
              <w:t>计费基础</w:t>
            </w:r>
          </w:p>
        </w:tc>
        <w:tc>
          <w:tcPr>
            <w:tcW w:w="4388" w:type="dxa"/>
            <w:gridSpan w:val="2"/>
            <w:tcBorders>
              <w:top w:val="single" w:color="auto" w:sz="4" w:space="0"/>
              <w:left w:val="single" w:color="auto" w:sz="4" w:space="0"/>
              <w:bottom w:val="single" w:color="auto" w:sz="4" w:space="0"/>
              <w:right w:val="single" w:color="auto" w:sz="4" w:space="0"/>
            </w:tcBorders>
            <w:vAlign w:val="center"/>
          </w:tcPr>
          <w:p w14:paraId="72995304">
            <w:pPr>
              <w:spacing w:line="360" w:lineRule="auto"/>
              <w:jc w:val="center"/>
              <w:rPr>
                <w:bCs/>
                <w:sz w:val="24"/>
                <w:szCs w:val="18"/>
                <w:highlight w:val="none"/>
              </w:rPr>
            </w:pPr>
            <w:r>
              <w:rPr>
                <w:rFonts w:hint="eastAsia"/>
                <w:bCs/>
                <w:sz w:val="24"/>
                <w:szCs w:val="18"/>
                <w:highlight w:val="none"/>
              </w:rPr>
              <w:t>费率（%）</w:t>
            </w:r>
          </w:p>
        </w:tc>
      </w:tr>
      <w:tr w14:paraId="718C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vMerge w:val="continue"/>
            <w:tcBorders>
              <w:top w:val="single" w:color="auto" w:sz="4" w:space="0"/>
              <w:left w:val="single" w:color="auto" w:sz="4" w:space="0"/>
              <w:bottom w:val="single" w:color="auto" w:sz="4" w:space="0"/>
              <w:right w:val="single" w:color="auto" w:sz="4" w:space="0"/>
            </w:tcBorders>
            <w:vAlign w:val="center"/>
          </w:tcPr>
          <w:p w14:paraId="1DA2BB1E">
            <w:pPr>
              <w:spacing w:line="360" w:lineRule="auto"/>
              <w:jc w:val="center"/>
              <w:rPr>
                <w:bCs/>
                <w:sz w:val="24"/>
                <w:szCs w:val="18"/>
                <w:highlight w:val="none"/>
              </w:rPr>
            </w:pPr>
          </w:p>
        </w:tc>
        <w:tc>
          <w:tcPr>
            <w:tcW w:w="2227" w:type="dxa"/>
            <w:vMerge w:val="continue"/>
            <w:tcBorders>
              <w:top w:val="single" w:color="auto" w:sz="4" w:space="0"/>
              <w:left w:val="single" w:color="auto" w:sz="4" w:space="0"/>
              <w:bottom w:val="single" w:color="auto" w:sz="4" w:space="0"/>
              <w:right w:val="single" w:color="auto" w:sz="4" w:space="0"/>
            </w:tcBorders>
            <w:vAlign w:val="center"/>
          </w:tcPr>
          <w:p w14:paraId="07105312">
            <w:pPr>
              <w:spacing w:line="360" w:lineRule="auto"/>
              <w:jc w:val="center"/>
              <w:rPr>
                <w:bCs/>
                <w:sz w:val="24"/>
                <w:szCs w:val="18"/>
                <w:highlight w:val="none"/>
              </w:rPr>
            </w:pPr>
          </w:p>
        </w:tc>
        <w:tc>
          <w:tcPr>
            <w:tcW w:w="2133" w:type="dxa"/>
            <w:vMerge w:val="restart"/>
            <w:tcBorders>
              <w:top w:val="single" w:color="auto" w:sz="4" w:space="0"/>
              <w:left w:val="single" w:color="auto" w:sz="4" w:space="0"/>
              <w:bottom w:val="single" w:color="000000" w:sz="4" w:space="0"/>
              <w:right w:val="single" w:color="auto" w:sz="4" w:space="0"/>
            </w:tcBorders>
            <w:vAlign w:val="center"/>
          </w:tcPr>
          <w:p w14:paraId="5C72ED47">
            <w:pPr>
              <w:spacing w:line="360" w:lineRule="auto"/>
              <w:jc w:val="center"/>
              <w:rPr>
                <w:bCs/>
                <w:sz w:val="24"/>
                <w:szCs w:val="18"/>
                <w:highlight w:val="none"/>
              </w:rPr>
            </w:pPr>
            <w:r>
              <w:rPr>
                <w:rFonts w:hint="eastAsia"/>
                <w:bCs/>
                <w:sz w:val="24"/>
                <w:szCs w:val="18"/>
                <w:highlight w:val="none"/>
              </w:rPr>
              <w:t>建筑工程</w:t>
            </w:r>
          </w:p>
        </w:tc>
        <w:tc>
          <w:tcPr>
            <w:tcW w:w="2255" w:type="dxa"/>
            <w:vMerge w:val="restart"/>
            <w:tcBorders>
              <w:top w:val="single" w:color="auto" w:sz="4" w:space="0"/>
              <w:left w:val="single" w:color="auto" w:sz="4" w:space="0"/>
              <w:right w:val="single" w:color="auto" w:sz="4" w:space="0"/>
            </w:tcBorders>
            <w:vAlign w:val="center"/>
          </w:tcPr>
          <w:p w14:paraId="44AF76DF">
            <w:pPr>
              <w:spacing w:line="360" w:lineRule="auto"/>
              <w:jc w:val="center"/>
              <w:rPr>
                <w:bCs/>
                <w:sz w:val="24"/>
                <w:szCs w:val="18"/>
                <w:highlight w:val="none"/>
              </w:rPr>
            </w:pPr>
            <w:r>
              <w:rPr>
                <w:rFonts w:hint="eastAsia"/>
                <w:bCs/>
                <w:sz w:val="24"/>
                <w:szCs w:val="18"/>
                <w:highlight w:val="none"/>
              </w:rPr>
              <w:t>市政公用工程</w:t>
            </w:r>
          </w:p>
        </w:tc>
      </w:tr>
      <w:tr w14:paraId="0063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976" w:type="dxa"/>
            <w:vMerge w:val="continue"/>
            <w:tcBorders>
              <w:top w:val="single" w:color="000000" w:sz="4" w:space="0"/>
              <w:left w:val="single" w:color="auto" w:sz="4" w:space="0"/>
              <w:bottom w:val="single" w:color="auto" w:sz="4" w:space="0"/>
              <w:right w:val="single" w:color="auto" w:sz="4" w:space="0"/>
            </w:tcBorders>
            <w:vAlign w:val="center"/>
          </w:tcPr>
          <w:p w14:paraId="2124961B">
            <w:pPr>
              <w:spacing w:line="360" w:lineRule="auto"/>
              <w:jc w:val="center"/>
              <w:rPr>
                <w:bCs/>
                <w:sz w:val="24"/>
                <w:szCs w:val="18"/>
                <w:highlight w:val="none"/>
              </w:rPr>
            </w:pPr>
          </w:p>
        </w:tc>
        <w:tc>
          <w:tcPr>
            <w:tcW w:w="2227" w:type="dxa"/>
            <w:vMerge w:val="continue"/>
            <w:tcBorders>
              <w:top w:val="single" w:color="000000" w:sz="4" w:space="0"/>
              <w:left w:val="single" w:color="auto" w:sz="4" w:space="0"/>
              <w:bottom w:val="single" w:color="auto" w:sz="4" w:space="0"/>
              <w:right w:val="single" w:color="auto" w:sz="4" w:space="0"/>
            </w:tcBorders>
            <w:vAlign w:val="center"/>
          </w:tcPr>
          <w:p w14:paraId="34A99000">
            <w:pPr>
              <w:spacing w:line="360" w:lineRule="auto"/>
              <w:jc w:val="center"/>
              <w:rPr>
                <w:bCs/>
                <w:sz w:val="24"/>
                <w:szCs w:val="18"/>
                <w:highlight w:val="none"/>
              </w:rPr>
            </w:pPr>
          </w:p>
        </w:tc>
        <w:tc>
          <w:tcPr>
            <w:tcW w:w="2133" w:type="dxa"/>
            <w:vMerge w:val="continue"/>
            <w:tcBorders>
              <w:top w:val="single" w:color="000000" w:sz="4" w:space="0"/>
              <w:left w:val="single" w:color="auto" w:sz="4" w:space="0"/>
              <w:bottom w:val="single" w:color="auto" w:sz="4" w:space="0"/>
              <w:right w:val="single" w:color="auto" w:sz="4" w:space="0"/>
            </w:tcBorders>
            <w:vAlign w:val="center"/>
          </w:tcPr>
          <w:p w14:paraId="57653DC4">
            <w:pPr>
              <w:spacing w:line="360" w:lineRule="auto"/>
              <w:jc w:val="center"/>
              <w:rPr>
                <w:bCs/>
                <w:sz w:val="24"/>
                <w:szCs w:val="18"/>
                <w:highlight w:val="none"/>
              </w:rPr>
            </w:pPr>
          </w:p>
        </w:tc>
        <w:tc>
          <w:tcPr>
            <w:tcW w:w="2255" w:type="dxa"/>
            <w:vMerge w:val="continue"/>
            <w:tcBorders>
              <w:left w:val="single" w:color="auto" w:sz="4" w:space="0"/>
              <w:bottom w:val="single" w:color="auto" w:sz="4" w:space="0"/>
              <w:right w:val="single" w:color="auto" w:sz="4" w:space="0"/>
            </w:tcBorders>
            <w:vAlign w:val="center"/>
          </w:tcPr>
          <w:p w14:paraId="21385E8D">
            <w:pPr>
              <w:spacing w:line="360" w:lineRule="auto"/>
              <w:jc w:val="center"/>
              <w:rPr>
                <w:bCs/>
                <w:sz w:val="24"/>
                <w:szCs w:val="18"/>
                <w:highlight w:val="none"/>
              </w:rPr>
            </w:pPr>
          </w:p>
        </w:tc>
      </w:tr>
      <w:tr w14:paraId="7947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000000" w:sz="4" w:space="0"/>
              <w:right w:val="single" w:color="auto" w:sz="4" w:space="0"/>
            </w:tcBorders>
            <w:vAlign w:val="center"/>
          </w:tcPr>
          <w:p w14:paraId="154F5E84">
            <w:pPr>
              <w:spacing w:line="360" w:lineRule="auto"/>
              <w:jc w:val="center"/>
              <w:rPr>
                <w:bCs/>
                <w:sz w:val="24"/>
                <w:szCs w:val="18"/>
                <w:highlight w:val="none"/>
              </w:rPr>
            </w:pPr>
            <w:r>
              <w:rPr>
                <w:rFonts w:hint="eastAsia"/>
                <w:bCs/>
                <w:sz w:val="24"/>
                <w:szCs w:val="18"/>
                <w:highlight w:val="none"/>
              </w:rPr>
              <w:t>环境保护费</w:t>
            </w:r>
          </w:p>
        </w:tc>
        <w:tc>
          <w:tcPr>
            <w:tcW w:w="2227" w:type="dxa"/>
            <w:vMerge w:val="restart"/>
            <w:tcBorders>
              <w:top w:val="single" w:color="auto" w:sz="4" w:space="0"/>
              <w:left w:val="single" w:color="auto" w:sz="4" w:space="0"/>
              <w:bottom w:val="single" w:color="auto" w:sz="4" w:space="0"/>
              <w:right w:val="single" w:color="auto" w:sz="4" w:space="0"/>
            </w:tcBorders>
            <w:vAlign w:val="center"/>
          </w:tcPr>
          <w:p w14:paraId="5A7F778F">
            <w:pPr>
              <w:spacing w:line="360" w:lineRule="auto"/>
              <w:jc w:val="center"/>
              <w:rPr>
                <w:bCs/>
                <w:sz w:val="24"/>
                <w:szCs w:val="18"/>
                <w:highlight w:val="none"/>
              </w:rPr>
            </w:pPr>
            <w:r>
              <w:rPr>
                <w:rFonts w:hint="eastAsia"/>
                <w:bCs/>
                <w:sz w:val="24"/>
                <w:szCs w:val="18"/>
                <w:highlight w:val="none"/>
              </w:rPr>
              <w:t>定额人工费+定额机械费</w:t>
            </w:r>
          </w:p>
        </w:tc>
        <w:tc>
          <w:tcPr>
            <w:tcW w:w="2133" w:type="dxa"/>
            <w:tcBorders>
              <w:top w:val="single" w:color="auto" w:sz="4" w:space="0"/>
              <w:left w:val="single" w:color="auto" w:sz="4" w:space="0"/>
              <w:bottom w:val="single" w:color="auto" w:sz="4" w:space="0"/>
              <w:right w:val="single" w:color="auto" w:sz="4" w:space="0"/>
            </w:tcBorders>
            <w:vAlign w:val="center"/>
          </w:tcPr>
          <w:p w14:paraId="3023143F">
            <w:pPr>
              <w:spacing w:line="360" w:lineRule="auto"/>
              <w:jc w:val="center"/>
              <w:rPr>
                <w:bCs/>
                <w:sz w:val="24"/>
                <w:szCs w:val="18"/>
                <w:highlight w:val="none"/>
              </w:rPr>
            </w:pPr>
            <w:r>
              <w:rPr>
                <w:rFonts w:hint="eastAsia"/>
                <w:bCs/>
                <w:sz w:val="24"/>
                <w:szCs w:val="18"/>
                <w:highlight w:val="none"/>
              </w:rPr>
              <w:t>3.28</w:t>
            </w:r>
          </w:p>
        </w:tc>
        <w:tc>
          <w:tcPr>
            <w:tcW w:w="2255" w:type="dxa"/>
            <w:tcBorders>
              <w:top w:val="single" w:color="auto" w:sz="4" w:space="0"/>
              <w:left w:val="single" w:color="auto" w:sz="4" w:space="0"/>
              <w:bottom w:val="single" w:color="auto" w:sz="4" w:space="0"/>
              <w:right w:val="single" w:color="auto" w:sz="4" w:space="0"/>
            </w:tcBorders>
            <w:vAlign w:val="center"/>
          </w:tcPr>
          <w:p w14:paraId="0F448A18">
            <w:pPr>
              <w:spacing w:line="360" w:lineRule="auto"/>
              <w:jc w:val="center"/>
              <w:rPr>
                <w:bCs/>
                <w:sz w:val="24"/>
                <w:szCs w:val="18"/>
                <w:highlight w:val="none"/>
              </w:rPr>
            </w:pPr>
            <w:r>
              <w:rPr>
                <w:rFonts w:hint="eastAsia"/>
                <w:bCs/>
                <w:sz w:val="24"/>
                <w:szCs w:val="18"/>
                <w:highlight w:val="none"/>
              </w:rPr>
              <w:t>3.57</w:t>
            </w:r>
          </w:p>
        </w:tc>
      </w:tr>
      <w:tr w14:paraId="216E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vAlign w:val="center"/>
          </w:tcPr>
          <w:p w14:paraId="3F08D203">
            <w:pPr>
              <w:spacing w:line="360" w:lineRule="auto"/>
              <w:jc w:val="center"/>
              <w:rPr>
                <w:bCs/>
                <w:sz w:val="24"/>
                <w:szCs w:val="18"/>
                <w:highlight w:val="none"/>
              </w:rPr>
            </w:pPr>
            <w:r>
              <w:rPr>
                <w:rFonts w:hint="eastAsia"/>
                <w:bCs/>
                <w:sz w:val="24"/>
                <w:szCs w:val="18"/>
                <w:highlight w:val="none"/>
              </w:rPr>
              <w:t>文明施工费</w:t>
            </w:r>
          </w:p>
        </w:tc>
        <w:tc>
          <w:tcPr>
            <w:tcW w:w="2227" w:type="dxa"/>
            <w:vMerge w:val="continue"/>
            <w:tcBorders>
              <w:top w:val="single" w:color="auto" w:sz="4" w:space="0"/>
              <w:left w:val="single" w:color="auto" w:sz="4" w:space="0"/>
              <w:bottom w:val="single" w:color="auto" w:sz="4" w:space="0"/>
              <w:right w:val="single" w:color="auto" w:sz="4" w:space="0"/>
            </w:tcBorders>
            <w:vAlign w:val="center"/>
          </w:tcPr>
          <w:p w14:paraId="3494B37A">
            <w:pPr>
              <w:spacing w:line="360" w:lineRule="auto"/>
              <w:jc w:val="center"/>
              <w:rPr>
                <w:bCs/>
                <w:sz w:val="24"/>
                <w:szCs w:val="18"/>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0E20A2CF">
            <w:pPr>
              <w:spacing w:line="360" w:lineRule="auto"/>
              <w:jc w:val="center"/>
              <w:rPr>
                <w:bCs/>
                <w:sz w:val="24"/>
                <w:szCs w:val="18"/>
                <w:highlight w:val="none"/>
              </w:rPr>
            </w:pPr>
            <w:r>
              <w:rPr>
                <w:rFonts w:hint="eastAsia"/>
                <w:bCs/>
                <w:sz w:val="24"/>
                <w:szCs w:val="18"/>
                <w:highlight w:val="none"/>
              </w:rPr>
              <w:t>5.12</w:t>
            </w:r>
          </w:p>
        </w:tc>
        <w:tc>
          <w:tcPr>
            <w:tcW w:w="2255" w:type="dxa"/>
            <w:tcBorders>
              <w:top w:val="single" w:color="auto" w:sz="4" w:space="0"/>
              <w:left w:val="single" w:color="auto" w:sz="4" w:space="0"/>
              <w:bottom w:val="single" w:color="auto" w:sz="4" w:space="0"/>
              <w:right w:val="single" w:color="auto" w:sz="4" w:space="0"/>
            </w:tcBorders>
            <w:vAlign w:val="center"/>
          </w:tcPr>
          <w:p w14:paraId="65A614C2">
            <w:pPr>
              <w:spacing w:line="360" w:lineRule="auto"/>
              <w:jc w:val="center"/>
              <w:rPr>
                <w:bCs/>
                <w:sz w:val="24"/>
                <w:szCs w:val="18"/>
                <w:highlight w:val="none"/>
              </w:rPr>
            </w:pPr>
            <w:r>
              <w:rPr>
                <w:rFonts w:hint="eastAsia"/>
                <w:bCs/>
                <w:sz w:val="24"/>
                <w:szCs w:val="18"/>
                <w:highlight w:val="none"/>
              </w:rPr>
              <w:t>7.33</w:t>
            </w:r>
          </w:p>
        </w:tc>
      </w:tr>
      <w:tr w14:paraId="6A6E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vAlign w:val="center"/>
          </w:tcPr>
          <w:p w14:paraId="57173014">
            <w:pPr>
              <w:spacing w:line="360" w:lineRule="auto"/>
              <w:jc w:val="center"/>
              <w:rPr>
                <w:bCs/>
                <w:sz w:val="24"/>
                <w:szCs w:val="18"/>
                <w:highlight w:val="none"/>
              </w:rPr>
            </w:pPr>
            <w:r>
              <w:rPr>
                <w:rFonts w:hint="eastAsia"/>
                <w:bCs/>
                <w:sz w:val="24"/>
                <w:szCs w:val="18"/>
                <w:highlight w:val="none"/>
              </w:rPr>
              <w:t>安全施工费</w:t>
            </w:r>
          </w:p>
        </w:tc>
        <w:tc>
          <w:tcPr>
            <w:tcW w:w="2227" w:type="dxa"/>
            <w:vMerge w:val="continue"/>
            <w:tcBorders>
              <w:top w:val="single" w:color="auto" w:sz="4" w:space="0"/>
              <w:left w:val="single" w:color="auto" w:sz="4" w:space="0"/>
              <w:bottom w:val="single" w:color="auto" w:sz="4" w:space="0"/>
              <w:right w:val="single" w:color="auto" w:sz="4" w:space="0"/>
            </w:tcBorders>
            <w:vAlign w:val="center"/>
          </w:tcPr>
          <w:p w14:paraId="3FC4C21B">
            <w:pPr>
              <w:spacing w:line="360" w:lineRule="auto"/>
              <w:jc w:val="center"/>
              <w:rPr>
                <w:bCs/>
                <w:sz w:val="24"/>
                <w:szCs w:val="18"/>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4ACDE3A3">
            <w:pPr>
              <w:spacing w:line="360" w:lineRule="auto"/>
              <w:jc w:val="center"/>
              <w:rPr>
                <w:bCs/>
                <w:sz w:val="24"/>
                <w:szCs w:val="18"/>
                <w:highlight w:val="none"/>
              </w:rPr>
            </w:pPr>
            <w:r>
              <w:rPr>
                <w:rFonts w:hint="eastAsia"/>
                <w:bCs/>
                <w:sz w:val="24"/>
                <w:szCs w:val="18"/>
                <w:highlight w:val="none"/>
              </w:rPr>
              <w:t>4.13</w:t>
            </w:r>
          </w:p>
        </w:tc>
        <w:tc>
          <w:tcPr>
            <w:tcW w:w="2255" w:type="dxa"/>
            <w:tcBorders>
              <w:top w:val="single" w:color="auto" w:sz="4" w:space="0"/>
              <w:left w:val="single" w:color="auto" w:sz="4" w:space="0"/>
              <w:bottom w:val="single" w:color="auto" w:sz="4" w:space="0"/>
              <w:right w:val="single" w:color="auto" w:sz="4" w:space="0"/>
            </w:tcBorders>
            <w:vAlign w:val="center"/>
          </w:tcPr>
          <w:p w14:paraId="46BDEA57">
            <w:pPr>
              <w:spacing w:line="360" w:lineRule="auto"/>
              <w:jc w:val="center"/>
              <w:rPr>
                <w:bCs/>
                <w:sz w:val="24"/>
                <w:szCs w:val="18"/>
                <w:highlight w:val="none"/>
              </w:rPr>
            </w:pPr>
            <w:r>
              <w:rPr>
                <w:rFonts w:hint="eastAsia"/>
                <w:bCs/>
                <w:sz w:val="24"/>
                <w:szCs w:val="18"/>
                <w:highlight w:val="none"/>
              </w:rPr>
              <w:t>5.28</w:t>
            </w:r>
          </w:p>
        </w:tc>
      </w:tr>
      <w:tr w14:paraId="0917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vAlign w:val="center"/>
          </w:tcPr>
          <w:p w14:paraId="0513732F">
            <w:pPr>
              <w:spacing w:line="360" w:lineRule="auto"/>
              <w:jc w:val="center"/>
              <w:rPr>
                <w:bCs/>
                <w:sz w:val="24"/>
                <w:szCs w:val="18"/>
                <w:highlight w:val="none"/>
              </w:rPr>
            </w:pPr>
            <w:r>
              <w:rPr>
                <w:rFonts w:hint="eastAsia"/>
                <w:bCs/>
                <w:sz w:val="24"/>
                <w:szCs w:val="18"/>
                <w:highlight w:val="none"/>
              </w:rPr>
              <w:t>临时设施费</w:t>
            </w:r>
          </w:p>
        </w:tc>
        <w:tc>
          <w:tcPr>
            <w:tcW w:w="2227" w:type="dxa"/>
            <w:vMerge w:val="continue"/>
            <w:tcBorders>
              <w:top w:val="single" w:color="auto" w:sz="4" w:space="0"/>
              <w:left w:val="single" w:color="auto" w:sz="4" w:space="0"/>
              <w:bottom w:val="single" w:color="auto" w:sz="4" w:space="0"/>
              <w:right w:val="single" w:color="auto" w:sz="4" w:space="0"/>
            </w:tcBorders>
            <w:vAlign w:val="center"/>
          </w:tcPr>
          <w:p w14:paraId="367EAC78">
            <w:pPr>
              <w:spacing w:line="360" w:lineRule="auto"/>
              <w:jc w:val="center"/>
              <w:rPr>
                <w:bCs/>
                <w:sz w:val="24"/>
                <w:szCs w:val="18"/>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52F6593D">
            <w:pPr>
              <w:spacing w:line="360" w:lineRule="auto"/>
              <w:jc w:val="center"/>
              <w:rPr>
                <w:bCs/>
                <w:sz w:val="24"/>
                <w:szCs w:val="18"/>
                <w:highlight w:val="none"/>
              </w:rPr>
            </w:pPr>
            <w:r>
              <w:rPr>
                <w:rFonts w:hint="eastAsia"/>
                <w:bCs/>
                <w:sz w:val="24"/>
                <w:szCs w:val="18"/>
                <w:highlight w:val="none"/>
              </w:rPr>
              <w:t>8.10</w:t>
            </w:r>
          </w:p>
        </w:tc>
        <w:tc>
          <w:tcPr>
            <w:tcW w:w="2255" w:type="dxa"/>
            <w:tcBorders>
              <w:top w:val="single" w:color="auto" w:sz="4" w:space="0"/>
              <w:left w:val="single" w:color="auto" w:sz="4" w:space="0"/>
              <w:bottom w:val="single" w:color="auto" w:sz="4" w:space="0"/>
              <w:right w:val="single" w:color="auto" w:sz="4" w:space="0"/>
            </w:tcBorders>
            <w:vAlign w:val="center"/>
          </w:tcPr>
          <w:p w14:paraId="24EDBF6F">
            <w:pPr>
              <w:spacing w:line="360" w:lineRule="auto"/>
              <w:jc w:val="center"/>
              <w:rPr>
                <w:bCs/>
                <w:sz w:val="24"/>
                <w:szCs w:val="18"/>
                <w:highlight w:val="none"/>
              </w:rPr>
            </w:pPr>
            <w:r>
              <w:rPr>
                <w:rFonts w:hint="eastAsia"/>
                <w:bCs/>
                <w:sz w:val="24"/>
                <w:szCs w:val="18"/>
                <w:highlight w:val="none"/>
              </w:rPr>
              <w:t>9.99</w:t>
            </w:r>
          </w:p>
        </w:tc>
      </w:tr>
    </w:tbl>
    <w:p w14:paraId="45EDC8A0">
      <w:pPr>
        <w:spacing w:line="360" w:lineRule="auto"/>
        <w:ind w:firstLine="437"/>
        <w:rPr>
          <w:bCs/>
          <w:sz w:val="24"/>
          <w:szCs w:val="18"/>
          <w:highlight w:val="none"/>
        </w:rPr>
      </w:pPr>
      <w:r>
        <w:rPr>
          <w:rFonts w:hint="eastAsia"/>
          <w:bCs/>
          <w:sz w:val="24"/>
          <w:szCs w:val="18"/>
          <w:highlight w:val="none"/>
        </w:rPr>
        <w:t>（2）工程税金税率：采用一般计税方法计算增值税，根据安徽省建设工程造价管理总站《关于调整我省现行建设工程计价依据增值税税率的通知》（造价〔2019〕7号）规定，税金税率为9%。</w:t>
      </w:r>
    </w:p>
    <w:p w14:paraId="5E25DA97">
      <w:pPr>
        <w:spacing w:line="360" w:lineRule="auto"/>
        <w:ind w:firstLine="437"/>
        <w:rPr>
          <w:bCs/>
          <w:sz w:val="24"/>
          <w:szCs w:val="18"/>
          <w:highlight w:val="none"/>
        </w:rPr>
      </w:pPr>
      <w:r>
        <w:rPr>
          <w:rFonts w:hint="eastAsia"/>
          <w:bCs/>
          <w:sz w:val="24"/>
          <w:szCs w:val="18"/>
          <w:highlight w:val="none"/>
        </w:rPr>
        <w:t>（3）采购文件中明确的由采购人自行采购的材料、设备费用。</w:t>
      </w:r>
    </w:p>
    <w:p w14:paraId="7803F669">
      <w:pPr>
        <w:spacing w:line="360" w:lineRule="auto"/>
        <w:ind w:firstLine="437"/>
        <w:rPr>
          <w:bCs/>
          <w:sz w:val="24"/>
          <w:szCs w:val="18"/>
          <w:highlight w:val="none"/>
        </w:rPr>
      </w:pPr>
      <w:r>
        <w:rPr>
          <w:rFonts w:hint="eastAsia"/>
          <w:bCs/>
          <w:sz w:val="24"/>
          <w:szCs w:val="18"/>
          <w:highlight w:val="none"/>
        </w:rPr>
        <w:t>（4）法规规章、上级文件规定的其他不可竞争费用。</w:t>
      </w:r>
    </w:p>
    <w:p w14:paraId="6223EA82">
      <w:pPr>
        <w:spacing w:line="360" w:lineRule="auto"/>
        <w:ind w:firstLine="437"/>
        <w:rPr>
          <w:bCs/>
          <w:sz w:val="24"/>
          <w:szCs w:val="18"/>
          <w:highlight w:val="none"/>
        </w:rPr>
      </w:pPr>
      <w:r>
        <w:rPr>
          <w:rFonts w:hint="eastAsia"/>
          <w:bCs/>
          <w:sz w:val="24"/>
          <w:szCs w:val="18"/>
          <w:highlight w:val="none"/>
        </w:rPr>
        <w:t>5.3.12 可竞争费用包括：</w:t>
      </w:r>
    </w:p>
    <w:p w14:paraId="6B2B4854">
      <w:pPr>
        <w:spacing w:line="360" w:lineRule="auto"/>
        <w:ind w:firstLine="437"/>
        <w:rPr>
          <w:bCs/>
          <w:sz w:val="24"/>
          <w:szCs w:val="18"/>
          <w:highlight w:val="none"/>
        </w:rPr>
      </w:pPr>
      <w:r>
        <w:rPr>
          <w:rFonts w:hint="eastAsia"/>
          <w:bCs/>
          <w:sz w:val="24"/>
          <w:szCs w:val="18"/>
          <w:highlight w:val="none"/>
        </w:rPr>
        <w:t>（1）人工费、材料费、机械费用；</w:t>
      </w:r>
    </w:p>
    <w:p w14:paraId="372DB2A1">
      <w:pPr>
        <w:spacing w:line="360" w:lineRule="auto"/>
        <w:ind w:firstLine="437"/>
        <w:rPr>
          <w:bCs/>
          <w:sz w:val="24"/>
          <w:szCs w:val="18"/>
          <w:highlight w:val="none"/>
        </w:rPr>
      </w:pPr>
      <w:r>
        <w:rPr>
          <w:rFonts w:hint="eastAsia"/>
          <w:bCs/>
          <w:sz w:val="24"/>
          <w:szCs w:val="18"/>
          <w:highlight w:val="none"/>
        </w:rPr>
        <w:t>（2）管理费；</w:t>
      </w:r>
    </w:p>
    <w:p w14:paraId="6C094D1C">
      <w:pPr>
        <w:spacing w:line="360" w:lineRule="auto"/>
        <w:ind w:firstLine="437"/>
        <w:rPr>
          <w:bCs/>
          <w:sz w:val="24"/>
          <w:szCs w:val="18"/>
          <w:highlight w:val="none"/>
        </w:rPr>
      </w:pPr>
      <w:r>
        <w:rPr>
          <w:rFonts w:hint="eastAsia"/>
          <w:bCs/>
          <w:sz w:val="24"/>
          <w:szCs w:val="18"/>
          <w:highlight w:val="none"/>
        </w:rPr>
        <w:t>（3）利润；</w:t>
      </w:r>
    </w:p>
    <w:p w14:paraId="1020C5BE">
      <w:pPr>
        <w:spacing w:line="360" w:lineRule="auto"/>
        <w:ind w:firstLine="437"/>
        <w:rPr>
          <w:bCs/>
          <w:sz w:val="24"/>
          <w:szCs w:val="18"/>
          <w:highlight w:val="none"/>
        </w:rPr>
      </w:pPr>
      <w:r>
        <w:rPr>
          <w:rFonts w:hint="eastAsia"/>
          <w:bCs/>
          <w:sz w:val="24"/>
          <w:szCs w:val="18"/>
          <w:highlight w:val="none"/>
        </w:rPr>
        <w:t>（4）措施费（规定的不可竞争费用除外）。</w:t>
      </w:r>
    </w:p>
    <w:p w14:paraId="2AFCAFE2">
      <w:pPr>
        <w:pStyle w:val="6"/>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六、工程量清单</w:t>
      </w:r>
    </w:p>
    <w:p w14:paraId="1F9AFAC1">
      <w:pPr>
        <w:spacing w:line="360" w:lineRule="auto"/>
        <w:ind w:firstLine="482" w:firstLineChars="200"/>
        <w:rPr>
          <w:rFonts w:ascii="Times New Roman" w:hAnsi="Times New Roman" w:eastAsia="宋体" w:cs="Times New Roman"/>
          <w:b/>
          <w:bCs/>
          <w:sz w:val="24"/>
          <w:highlight w:val="none"/>
        </w:rPr>
      </w:pPr>
      <w:r>
        <w:rPr>
          <w:rFonts w:ascii="Times New Roman" w:hAnsi="Times New Roman" w:eastAsia="宋体" w:cs="Times New Roman"/>
          <w:b/>
          <w:bCs/>
          <w:sz w:val="24"/>
          <w:highlight w:val="none"/>
        </w:rPr>
        <w:t>另行发放。</w:t>
      </w:r>
      <w:r>
        <w:rPr>
          <w:rFonts w:hint="eastAsia" w:ascii="Times New Roman" w:hAnsi="Times New Roman" w:eastAsia="宋体" w:cs="Times New Roman"/>
          <w:b/>
          <w:bCs/>
          <w:sz w:val="24"/>
          <w:highlight w:val="none"/>
        </w:rPr>
        <w:t xml:space="preserve"> </w:t>
      </w:r>
    </w:p>
    <w:p w14:paraId="08C1141F">
      <w:pPr>
        <w:pStyle w:val="6"/>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七、图纸</w:t>
      </w:r>
    </w:p>
    <w:p w14:paraId="76763CF9">
      <w:pPr>
        <w:ind w:firstLine="482" w:firstLineChars="200"/>
        <w:rPr>
          <w:highlight w:val="none"/>
        </w:rPr>
      </w:pPr>
      <w:r>
        <w:rPr>
          <w:rFonts w:ascii="Times New Roman" w:hAnsi="Times New Roman" w:eastAsia="宋体" w:cs="Times New Roman"/>
          <w:b/>
          <w:bCs/>
          <w:sz w:val="24"/>
          <w:highlight w:val="none"/>
        </w:rPr>
        <w:t>另行发放。</w:t>
      </w:r>
    </w:p>
    <w:p w14:paraId="58D33C1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927FE"/>
    <w:multiLevelType w:val="singleLevel"/>
    <w:tmpl w:val="19F927F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7170A"/>
    <w:rsid w:val="0AC7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4"/>
    <w:qFormat/>
    <w:uiPriority w:val="0"/>
    <w:pPr>
      <w:ind w:firstLine="420" w:firstLineChars="200"/>
    </w:pPr>
  </w:style>
  <w:style w:type="table" w:customStyle="1" w:styleId="9">
    <w:name w:val="网格型2"/>
    <w:basedOn w:val="7"/>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amp;L"/>
    <w:basedOn w:val="5"/>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1">
    <w:name w:val="xl31"/>
    <w:basedOn w:val="1"/>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2025-05-06T06:47:00Z</dcterms:created>
  <dc:creator>帅帅帅松</dc:creator>
  <cp:lastModifiedBy>帅帅帅松</cp:lastModifiedBy>
  <dcterms:modified xsi:type="dcterms:W3CDTF">2025-05-06T06:47:41Z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2104E821B49E4114B366A6E8F50573C4_11</vt:lpwstr>
  </property>
  <property fmtid="{D5CDD505-2E9C-101B-9397-08002B2CF9AE}" pid="4" name="KSOTemplateDocerSaveRecord">
    <vt:lpwstr>eyJoZGlkIjoiYjM0MzU4YjUxNTU4MDJiNTFjNjQ0NDQ2YmVkZjE0MDgiLCJ1c2VySWQiOiI2NDg3MzUyMDcifQ==</vt:lpwstr>
  </property>
</Properties>
</file>