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9EA73">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220DF6FA">
      <w:pPr>
        <w:pStyle w:val="3"/>
        <w:spacing w:before="0" w:after="0" w:line="360" w:lineRule="auto"/>
        <w:rPr>
          <w:rStyle w:val="11"/>
          <w:rFonts w:ascii="宋体" w:hAnsi="宋体" w:eastAsia="仿宋"/>
          <w:b/>
          <w:bCs/>
          <w:sz w:val="24"/>
          <w:szCs w:val="24"/>
        </w:rPr>
      </w:pPr>
      <w:bookmarkStart w:id="1" w:name="_Toc455587089"/>
      <w:bookmarkStart w:id="2" w:name="_Toc455587273"/>
      <w:bookmarkStart w:id="3" w:name="_Toc466024556"/>
      <w:r>
        <w:rPr>
          <w:rStyle w:val="11"/>
          <w:rFonts w:hint="eastAsia" w:ascii="仿宋" w:hAnsi="仿宋" w:eastAsia="仿宋" w:cs="仿宋"/>
          <w:b/>
          <w:bCs/>
          <w:sz w:val="24"/>
          <w:szCs w:val="24"/>
        </w:rPr>
        <w:t xml:space="preserve">1. </w:t>
      </w:r>
      <w:bookmarkEnd w:id="1"/>
      <w:bookmarkEnd w:id="2"/>
      <w:bookmarkEnd w:id="3"/>
      <w:r>
        <w:rPr>
          <w:rStyle w:val="11"/>
          <w:rFonts w:hint="eastAsia" w:ascii="仿宋" w:hAnsi="仿宋" w:eastAsia="仿宋" w:cs="仿宋"/>
          <w:b/>
          <w:bCs/>
          <w:sz w:val="24"/>
          <w:szCs w:val="24"/>
        </w:rPr>
        <w:t>总</w:t>
      </w:r>
      <w:r>
        <w:rPr>
          <w:rStyle w:val="11"/>
          <w:rFonts w:hint="eastAsia" w:ascii="宋体" w:hAnsi="宋体" w:eastAsia="仿宋"/>
          <w:b/>
          <w:bCs/>
          <w:sz w:val="24"/>
          <w:szCs w:val="24"/>
        </w:rPr>
        <w:t>体说明</w:t>
      </w:r>
    </w:p>
    <w:p w14:paraId="77EA539E">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1B1CC939">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451AE287">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4CA67B63">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2669FB6E">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7B8D8D3F">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3B2161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2E6F43F7">
      <w:pPr>
        <w:widowControl/>
        <w:tabs>
          <w:tab w:val="left" w:pos="1406"/>
        </w:tabs>
        <w:snapToGrid w:val="0"/>
        <w:spacing w:line="360" w:lineRule="auto"/>
        <w:rPr>
          <w:rFonts w:hint="eastAsia" w:ascii="仿宋" w:hAnsi="仿宋" w:eastAsia="仿宋" w:cs="仿宋"/>
          <w:color w:val="000000"/>
          <w:sz w:val="24"/>
        </w:rPr>
      </w:pPr>
    </w:p>
    <w:p w14:paraId="2D7BA529">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7A33C308">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579"/>
        <w:gridCol w:w="981"/>
        <w:gridCol w:w="1060"/>
        <w:gridCol w:w="1173"/>
        <w:gridCol w:w="1218"/>
      </w:tblGrid>
      <w:tr w14:paraId="79B5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2B032394">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4579" w:type="dxa"/>
            <w:noWrap w:val="0"/>
            <w:vAlign w:val="center"/>
          </w:tcPr>
          <w:p w14:paraId="5346423F">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981" w:type="dxa"/>
            <w:noWrap w:val="0"/>
            <w:vAlign w:val="center"/>
          </w:tcPr>
          <w:p w14:paraId="64BA1EA4">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060" w:type="dxa"/>
            <w:noWrap w:val="0"/>
            <w:vAlign w:val="center"/>
          </w:tcPr>
          <w:p w14:paraId="64B78FB0">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173" w:type="dxa"/>
            <w:noWrap w:val="0"/>
            <w:vAlign w:val="center"/>
          </w:tcPr>
          <w:p w14:paraId="30EB9416">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2AC6436A">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057C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6F833897">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1</w:t>
            </w:r>
          </w:p>
        </w:tc>
        <w:tc>
          <w:tcPr>
            <w:tcW w:w="4579" w:type="dxa"/>
            <w:noWrap w:val="0"/>
            <w:vAlign w:val="center"/>
          </w:tcPr>
          <w:p w14:paraId="55381A87">
            <w:pPr>
              <w:keepNext w:val="0"/>
              <w:keepLines w:val="0"/>
              <w:widowControl/>
              <w:spacing w:line="360" w:lineRule="auto"/>
              <w:jc w:val="center"/>
              <w:outlineLvl w:val="9"/>
              <w:rPr>
                <w:rFonts w:hint="eastAsia" w:ascii="仿宋" w:hAnsi="仿宋" w:eastAsia="仿宋" w:cs="仿宋"/>
                <w:color w:val="000000"/>
                <w:kern w:val="0"/>
                <w:sz w:val="24"/>
                <w:lang w:eastAsia="zh-CN" w:bidi="ar"/>
              </w:rPr>
            </w:pPr>
            <w:r>
              <w:rPr>
                <w:rFonts w:hint="default" w:ascii="仿宋" w:hAnsi="仿宋" w:eastAsia="仿宋" w:cs="仿宋"/>
                <w:color w:val="000000"/>
                <w:kern w:val="0"/>
                <w:sz w:val="24"/>
                <w:lang w:bidi="ar"/>
              </w:rPr>
              <w:t>▲</w:t>
            </w:r>
            <w:r>
              <w:rPr>
                <w:rFonts w:hint="eastAsia" w:ascii="仿宋" w:hAnsi="仿宋" w:eastAsia="仿宋" w:cs="仿宋"/>
                <w:i w:val="0"/>
                <w:iCs w:val="0"/>
                <w:caps w:val="0"/>
                <w:color w:val="000000"/>
                <w:spacing w:val="0"/>
                <w:kern w:val="0"/>
                <w:sz w:val="24"/>
                <w:szCs w:val="24"/>
                <w:shd w:val="clear" w:color="auto" w:fill="auto"/>
                <w:lang w:eastAsia="zh-CN" w:bidi="ar"/>
              </w:rPr>
              <w:t>麻醉监护仪</w:t>
            </w:r>
          </w:p>
        </w:tc>
        <w:tc>
          <w:tcPr>
            <w:tcW w:w="981" w:type="dxa"/>
            <w:noWrap w:val="0"/>
            <w:vAlign w:val="center"/>
          </w:tcPr>
          <w:p w14:paraId="43EAD147">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台</w:t>
            </w:r>
          </w:p>
        </w:tc>
        <w:tc>
          <w:tcPr>
            <w:tcW w:w="1060" w:type="dxa"/>
            <w:noWrap w:val="0"/>
            <w:vAlign w:val="center"/>
          </w:tcPr>
          <w:p w14:paraId="00197AAA">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13</w:t>
            </w:r>
          </w:p>
        </w:tc>
        <w:tc>
          <w:tcPr>
            <w:tcW w:w="1173" w:type="dxa"/>
            <w:noWrap w:val="0"/>
            <w:vAlign w:val="center"/>
          </w:tcPr>
          <w:p w14:paraId="6E20C487">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1C8DE4F2">
            <w:pPr>
              <w:keepNext/>
              <w:keepLines/>
              <w:spacing w:line="360" w:lineRule="auto"/>
              <w:jc w:val="center"/>
              <w:outlineLvl w:val="1"/>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bl>
    <w:p w14:paraId="39D5A9C4">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3303F271">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3BB5550F">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67B962A0">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252"/>
        <w:gridCol w:w="7910"/>
      </w:tblGrid>
      <w:tr w14:paraId="7BBA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95" w:type="dxa"/>
            <w:noWrap w:val="0"/>
            <w:vAlign w:val="center"/>
          </w:tcPr>
          <w:p w14:paraId="27889A23">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162" w:type="dxa"/>
            <w:gridSpan w:val="2"/>
            <w:noWrap w:val="0"/>
            <w:vAlign w:val="center"/>
          </w:tcPr>
          <w:p w14:paraId="033F93A6">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5552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7E7E0654">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252" w:type="dxa"/>
            <w:noWrap w:val="0"/>
            <w:vAlign w:val="center"/>
          </w:tcPr>
          <w:p w14:paraId="536FA125">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7910" w:type="dxa"/>
            <w:noWrap w:val="0"/>
            <w:vAlign w:val="center"/>
          </w:tcPr>
          <w:p w14:paraId="38444294">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w:t>
            </w:r>
            <w:r>
              <w:rPr>
                <w:rFonts w:hint="eastAsia" w:ascii="仿宋" w:hAnsi="仿宋" w:eastAsia="仿宋" w:cs="仿宋"/>
                <w:bCs/>
                <w:color w:val="000000"/>
                <w:sz w:val="24"/>
                <w:lang w:val="en-US" w:eastAsia="zh-CN"/>
              </w:rPr>
              <w:t>3</w:t>
            </w:r>
            <w:r>
              <w:rPr>
                <w:rFonts w:hint="eastAsia" w:ascii="仿宋" w:hAnsi="仿宋" w:eastAsia="仿宋" w:cs="仿宋"/>
                <w:bCs/>
                <w:color w:val="000000"/>
                <w:sz w:val="24"/>
              </w:rPr>
              <w:t>0个日历天内完成供货安装调试。</w:t>
            </w:r>
          </w:p>
          <w:p w14:paraId="304FB702">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0DE29F52">
            <w:pPr>
              <w:pStyle w:val="12"/>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58942ACC">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638E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6E1F0C4C">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252" w:type="dxa"/>
            <w:noWrap w:val="0"/>
            <w:vAlign w:val="center"/>
          </w:tcPr>
          <w:p w14:paraId="33DEEDA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7910" w:type="dxa"/>
            <w:noWrap w:val="0"/>
            <w:vAlign w:val="center"/>
          </w:tcPr>
          <w:p w14:paraId="4CFF2012">
            <w:pPr>
              <w:wordWrap w:val="0"/>
              <w:spacing w:line="360" w:lineRule="auto"/>
              <w:rPr>
                <w:rFonts w:hint="default" w:ascii="仿宋" w:hAnsi="仿宋" w:eastAsia="仿宋" w:cs="仿宋"/>
                <w:bCs/>
                <w:color w:val="000000"/>
                <w:sz w:val="24"/>
                <w:lang w:val="en-US" w:eastAsia="zh-CN"/>
              </w:rPr>
            </w:pPr>
            <w:r>
              <w:rPr>
                <w:rFonts w:hint="eastAsia" w:ascii="仿宋" w:hAnsi="仿宋" w:eastAsia="仿宋" w:cs="仿宋"/>
                <w:b/>
                <w:bCs/>
                <w:color w:val="000000"/>
                <w:sz w:val="24"/>
              </w:rPr>
              <w:t>上海市第六人民医院安徽医院</w:t>
            </w:r>
          </w:p>
        </w:tc>
      </w:tr>
      <w:tr w14:paraId="3670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52FCBC3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252" w:type="dxa"/>
            <w:noWrap w:val="0"/>
            <w:vAlign w:val="center"/>
          </w:tcPr>
          <w:p w14:paraId="3FDB132B">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7910" w:type="dxa"/>
            <w:noWrap w:val="0"/>
            <w:vAlign w:val="center"/>
          </w:tcPr>
          <w:p w14:paraId="36EA50ED">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51AB5ADB">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2871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5748514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252" w:type="dxa"/>
            <w:noWrap w:val="0"/>
            <w:vAlign w:val="center"/>
          </w:tcPr>
          <w:p w14:paraId="4C92E7CA">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7910" w:type="dxa"/>
            <w:noWrap w:val="0"/>
            <w:vAlign w:val="top"/>
          </w:tcPr>
          <w:p w14:paraId="18B5A72D">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72</w:t>
            </w:r>
            <w:r>
              <w:rPr>
                <w:rFonts w:hint="eastAsia" w:ascii="仿宋" w:hAnsi="仿宋" w:eastAsia="仿宋" w:cs="仿宋"/>
                <w:color w:val="000000"/>
                <w:sz w:val="24"/>
              </w:rPr>
              <w:t>个月。</w:t>
            </w:r>
          </w:p>
          <w:p w14:paraId="1913F85E">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1A85DF33">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551E32FF">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35BA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3FEC02BF">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5</w:t>
            </w:r>
          </w:p>
        </w:tc>
        <w:tc>
          <w:tcPr>
            <w:tcW w:w="1252" w:type="dxa"/>
            <w:noWrap w:val="0"/>
            <w:vAlign w:val="center"/>
          </w:tcPr>
          <w:p w14:paraId="01FA1C69">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7910" w:type="dxa"/>
            <w:noWrap w:val="0"/>
            <w:vAlign w:val="center"/>
          </w:tcPr>
          <w:p w14:paraId="4FDA7C6D">
            <w:pPr>
              <w:pStyle w:val="8"/>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3261A685">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32559697">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131E7CFC">
            <w:pPr>
              <w:pStyle w:val="8"/>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313B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595" w:type="dxa"/>
            <w:noWrap w:val="0"/>
            <w:vAlign w:val="center"/>
          </w:tcPr>
          <w:p w14:paraId="38639C9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lang w:val="en-US" w:eastAsia="zh-CN"/>
              </w:rPr>
              <w:t>6</w:t>
            </w:r>
          </w:p>
        </w:tc>
        <w:tc>
          <w:tcPr>
            <w:tcW w:w="1252" w:type="dxa"/>
            <w:noWrap w:val="0"/>
            <w:vAlign w:val="center"/>
          </w:tcPr>
          <w:p w14:paraId="388B4383">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7910" w:type="dxa"/>
            <w:noWrap w:val="0"/>
            <w:vAlign w:val="top"/>
          </w:tcPr>
          <w:p w14:paraId="6CB70C00">
            <w:pPr>
              <w:pStyle w:val="13"/>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6C2D6596">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2D16F0F7">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222B2299">
            <w:pPr>
              <w:pStyle w:val="13"/>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4D49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noWrap w:val="0"/>
            <w:vAlign w:val="center"/>
          </w:tcPr>
          <w:p w14:paraId="0BF8225C">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7</w:t>
            </w:r>
          </w:p>
        </w:tc>
        <w:tc>
          <w:tcPr>
            <w:tcW w:w="1252" w:type="dxa"/>
            <w:noWrap w:val="0"/>
            <w:vAlign w:val="center"/>
          </w:tcPr>
          <w:p w14:paraId="1ED9BF12">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7910" w:type="dxa"/>
            <w:noWrap w:val="0"/>
            <w:vAlign w:val="center"/>
          </w:tcPr>
          <w:p w14:paraId="6B0CFB1D">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7.1</w:t>
            </w:r>
            <w:r>
              <w:rPr>
                <w:rFonts w:hint="eastAsia" w:ascii="仿宋" w:hAnsi="仿宋" w:eastAsia="仿宋" w:cs="仿宋"/>
                <w:b/>
                <w:color w:val="000000"/>
                <w:sz w:val="24"/>
              </w:rPr>
              <w:t>投标人为制造商的，须具有相应的医疗器械生产备案获取的备案编号（属于一类时）。</w:t>
            </w:r>
          </w:p>
          <w:p w14:paraId="093C1017">
            <w:pPr>
              <w:pStyle w:val="13"/>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7.2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2C4B12B5">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7.3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7666BEA8">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0E94DAA1">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021621C7">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672"/>
        <w:gridCol w:w="5077"/>
      </w:tblGrid>
      <w:tr w14:paraId="1B33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027" w:type="dxa"/>
            <w:noWrap w:val="0"/>
            <w:vAlign w:val="center"/>
          </w:tcPr>
          <w:p w14:paraId="132CE95E">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1906" w:type="dxa"/>
            <w:noWrap w:val="0"/>
            <w:vAlign w:val="center"/>
          </w:tcPr>
          <w:p w14:paraId="0D005D63">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921" w:type="dxa"/>
            <w:noWrap w:val="0"/>
            <w:vAlign w:val="center"/>
          </w:tcPr>
          <w:p w14:paraId="220CFEF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7550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7EF8CEF8">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1906" w:type="dxa"/>
            <w:noWrap w:val="0"/>
            <w:vAlign w:val="center"/>
          </w:tcPr>
          <w:p w14:paraId="3074A973">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921" w:type="dxa"/>
            <w:noWrap w:val="0"/>
            <w:vAlign w:val="center"/>
          </w:tcPr>
          <w:p w14:paraId="25C1170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58EC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027" w:type="dxa"/>
            <w:noWrap w:val="0"/>
            <w:vAlign w:val="center"/>
          </w:tcPr>
          <w:p w14:paraId="3BE1A7B2">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1906" w:type="dxa"/>
            <w:noWrap w:val="0"/>
            <w:vAlign w:val="center"/>
          </w:tcPr>
          <w:p w14:paraId="7C13BBE3">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921" w:type="dxa"/>
            <w:noWrap w:val="0"/>
            <w:vAlign w:val="center"/>
          </w:tcPr>
          <w:p w14:paraId="06B333D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5BC7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6F13810C">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0639FA3D">
      <w:pPr>
        <w:widowControl/>
        <w:numPr>
          <w:ilvl w:val="0"/>
          <w:numId w:val="1"/>
        </w:numPr>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技术要求</w:t>
      </w:r>
    </w:p>
    <w:p w14:paraId="2FAE8FD0">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highlight w:val="none"/>
          <w:lang w:bidi="ar"/>
        </w:rPr>
      </w:pPr>
      <w:r>
        <w:rPr>
          <w:rFonts w:hint="eastAsia" w:ascii="仿宋" w:hAnsi="仿宋" w:eastAsia="仿宋" w:cs="仿宋"/>
          <w:b/>
          <w:bCs/>
          <w:spacing w:val="0"/>
          <w:kern w:val="0"/>
          <w:sz w:val="24"/>
          <w:szCs w:val="24"/>
          <w:lang w:val="en-US" w:eastAsia="zh-CN" w:bidi="ar"/>
        </w:rPr>
        <w:t>★1</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模块化插件式床边监护仪，主机、显示屏和插件槽一体化设计，主机模块插槽数≥6个</w:t>
      </w:r>
    </w:p>
    <w:p w14:paraId="242515C2">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2</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监护仪主机（非辅助插件箱）每个槽位均具备插件模块红外通讯接口以及金属硬件通讯接口（非供电接口）</w:t>
      </w:r>
    </w:p>
    <w:p w14:paraId="699D2B71">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lang w:bidi="ar"/>
        </w:rPr>
      </w:pPr>
      <w:r>
        <w:rPr>
          <w:rFonts w:hint="eastAsia" w:ascii="仿宋" w:hAnsi="仿宋" w:eastAsia="仿宋" w:cs="仿宋"/>
          <w:b/>
          <w:bCs/>
          <w:spacing w:val="0"/>
          <w:kern w:val="0"/>
          <w:sz w:val="24"/>
          <w:szCs w:val="24"/>
          <w:lang w:val="en-US" w:eastAsia="zh-CN" w:bidi="ar"/>
        </w:rPr>
        <w:t>★3</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≥18英寸彩色电容触摸屏，高分辨率≥1800×1000像素，≥12通道显示，显示屏亮度自动调节，屏幕支持手势滑动操作，支持穿戴医用防护手套操作</w:t>
      </w:r>
    </w:p>
    <w:p w14:paraId="3B53D56D">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4</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配置≥4个USB接口，支持连接鼠标、键盘、条码扫描枪和遥控器等USB设备</w:t>
      </w:r>
    </w:p>
    <w:p w14:paraId="4FC7177C">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5</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监护仪清洁消毒维护支持的消毒剂≥40种</w:t>
      </w:r>
    </w:p>
    <w:p w14:paraId="60868F18">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lang w:bidi="ar"/>
        </w:rPr>
      </w:pPr>
      <w:r>
        <w:rPr>
          <w:rFonts w:hint="eastAsia" w:ascii="仿宋" w:hAnsi="仿宋" w:eastAsia="仿宋" w:cs="仿宋"/>
          <w:b/>
          <w:bCs/>
          <w:spacing w:val="0"/>
          <w:kern w:val="0"/>
          <w:sz w:val="24"/>
          <w:szCs w:val="24"/>
          <w:lang w:val="en-US" w:eastAsia="zh-CN" w:bidi="ar"/>
        </w:rPr>
        <w:t>★6</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基本功能模块标配心电，呼吸，心率，无创血压，血氧饱和度，脉搏，二氧化碳模块，双通道体温和双通道有创血压的同时监测，标配麻醉深度模块2个、连续心排量（PICCO）模块1个，转运监护模块2个。</w:t>
      </w:r>
    </w:p>
    <w:p w14:paraId="34865950">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lang w:bidi="ar"/>
        </w:rPr>
      </w:pPr>
      <w:r>
        <w:rPr>
          <w:rFonts w:hint="eastAsia" w:ascii="仿宋" w:hAnsi="仿宋" w:eastAsia="仿宋" w:cs="仿宋"/>
          <w:b/>
          <w:bCs/>
          <w:spacing w:val="0"/>
          <w:kern w:val="0"/>
          <w:sz w:val="24"/>
          <w:szCs w:val="24"/>
          <w:lang w:val="en-US" w:eastAsia="zh-CN" w:bidi="ar"/>
        </w:rPr>
        <w:t>★7</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转运监护模块，具有独立操作显示屏，屏幕尺寸≥5英寸，内置锂电池供电≥4小时，无风扇设计</w:t>
      </w:r>
    </w:p>
    <w:p w14:paraId="60670CA6">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8</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支持室上性心动过速和SVCs/min等室上性心律失常分析</w:t>
      </w:r>
    </w:p>
    <w:p w14:paraId="741DE445">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highlight w:val="none"/>
          <w:lang w:bidi="ar"/>
        </w:rPr>
      </w:pPr>
      <w:r>
        <w:rPr>
          <w:rFonts w:hint="eastAsia" w:ascii="仿宋" w:hAnsi="仿宋" w:eastAsia="仿宋" w:cs="仿宋"/>
          <w:bCs w:val="0"/>
          <w:spacing w:val="0"/>
          <w:kern w:val="0"/>
          <w:sz w:val="24"/>
          <w:szCs w:val="24"/>
          <w:lang w:val="en-US" w:eastAsia="zh-CN" w:bidi="ar"/>
        </w:rPr>
        <w:t>9</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心电支持≥3个分析导联实时动态同步分析，并非多个导联波形同屏显示及12导联静息分析</w:t>
      </w:r>
    </w:p>
    <w:p w14:paraId="58183B4C">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10</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支持RR呼吸率测量，测量范围：1～200rpm</w:t>
      </w:r>
    </w:p>
    <w:p w14:paraId="70565158">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11</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QT和QTc实时监测参数测量范围：200～800 ms</w:t>
      </w:r>
    </w:p>
    <w:p w14:paraId="2F3CFED9">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12</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配置指套式血氧探头，支持浸泡清洁与消毒，防水等级≥IPX7</w:t>
      </w:r>
    </w:p>
    <w:p w14:paraId="51C8B621">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13</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支持升级CPR按压传感器，直观显示按压频率和按压深度</w:t>
      </w:r>
    </w:p>
    <w:p w14:paraId="2D0682E9">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highlight w:val="none"/>
          <w:lang w:bidi="ar"/>
        </w:rPr>
      </w:pPr>
      <w:r>
        <w:rPr>
          <w:rFonts w:hint="eastAsia" w:ascii="仿宋" w:hAnsi="仿宋" w:eastAsia="仿宋" w:cs="仿宋"/>
          <w:bCs w:val="0"/>
          <w:spacing w:val="0"/>
          <w:kern w:val="0"/>
          <w:sz w:val="24"/>
          <w:szCs w:val="24"/>
          <w:lang w:val="en-US" w:eastAsia="zh-CN" w:bidi="ar"/>
        </w:rPr>
        <w:t>14</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支持升级肌松NMT模块</w:t>
      </w:r>
    </w:p>
    <w:p w14:paraId="134298F3">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lang w:bidi="ar"/>
        </w:rPr>
      </w:pPr>
      <w:r>
        <w:rPr>
          <w:rFonts w:hint="eastAsia" w:ascii="仿宋" w:hAnsi="仿宋" w:eastAsia="仿宋" w:cs="仿宋"/>
          <w:b/>
          <w:bCs/>
          <w:spacing w:val="0"/>
          <w:kern w:val="0"/>
          <w:sz w:val="24"/>
          <w:szCs w:val="24"/>
          <w:lang w:val="en-US" w:eastAsia="zh-CN" w:bidi="ar"/>
        </w:rPr>
        <w:t>★15</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支持微创连续血流动力学监测模块，非无创电阻抗法，可采用PiCCO，实现CCO连续心排量、SVV每搏变异量等血液动力学监测参数，直观观察病人的变化情况</w:t>
      </w:r>
    </w:p>
    <w:p w14:paraId="1161393C">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
          <w:bCs/>
          <w:spacing w:val="0"/>
          <w:kern w:val="0"/>
          <w:sz w:val="24"/>
          <w:szCs w:val="24"/>
          <w:lang w:bidi="ar"/>
        </w:rPr>
      </w:pPr>
      <w:r>
        <w:rPr>
          <w:rFonts w:hint="eastAsia" w:ascii="仿宋" w:hAnsi="仿宋" w:eastAsia="仿宋" w:cs="仿宋"/>
          <w:b/>
          <w:bCs/>
          <w:spacing w:val="0"/>
          <w:kern w:val="0"/>
          <w:sz w:val="24"/>
          <w:szCs w:val="24"/>
          <w:lang w:val="en-US" w:eastAsia="zh-CN" w:bidi="ar"/>
        </w:rPr>
        <w:t>★16</w:t>
      </w:r>
      <w:r>
        <w:rPr>
          <w:rFonts w:hint="eastAsia" w:ascii="仿宋" w:hAnsi="仿宋" w:eastAsia="仿宋" w:cs="仿宋"/>
          <w:b/>
          <w:bCs/>
          <w:spacing w:val="0"/>
          <w:kern w:val="0"/>
          <w:sz w:val="24"/>
          <w:szCs w:val="24"/>
          <w:lang w:val="en-US" w:eastAsia="zh-CN" w:bidi="ar"/>
        </w:rPr>
        <w:tab/>
      </w:r>
      <w:r>
        <w:rPr>
          <w:rFonts w:hint="eastAsia" w:ascii="仿宋" w:hAnsi="仿宋" w:eastAsia="仿宋" w:cs="仿宋"/>
          <w:b/>
          <w:bCs/>
          <w:spacing w:val="0"/>
          <w:kern w:val="0"/>
          <w:sz w:val="24"/>
          <w:szCs w:val="24"/>
          <w:lang w:val="en-US" w:eastAsia="zh-CN" w:bidi="ar"/>
        </w:rPr>
        <w:t>支持FloTrac监测功能模块或可实现FloTrac技术单机产品，非漂浮导管热稀释法或无创阻抗法，可通过监测桡动脉压力提供连续心排量（CCO），每搏量变异（SVV），实时外周血管阻力（SVR）等监测参数</w:t>
      </w:r>
    </w:p>
    <w:p w14:paraId="3C739726">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highlight w:val="none"/>
          <w:lang w:bidi="ar"/>
        </w:rPr>
      </w:pPr>
      <w:r>
        <w:rPr>
          <w:rFonts w:hint="eastAsia" w:ascii="仿宋" w:hAnsi="仿宋" w:eastAsia="仿宋" w:cs="仿宋"/>
          <w:bCs w:val="0"/>
          <w:spacing w:val="0"/>
          <w:kern w:val="0"/>
          <w:sz w:val="24"/>
          <w:szCs w:val="24"/>
          <w:lang w:val="en-US" w:eastAsia="zh-CN" w:bidi="ar"/>
        </w:rPr>
        <w:t>17</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支持升级模块，进行RM呼吸力学监测，提供≥18项呼吸力学参数参数指标</w:t>
      </w:r>
    </w:p>
    <w:p w14:paraId="54BFCA63">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18</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支持升级模块，可与呼吸机、输注泵产品相连，实现呼吸机、输注泵设备的信息在监护仪上显示、存储、记录、打印或者用于参与计算。</w:t>
      </w:r>
    </w:p>
    <w:p w14:paraId="15E868EB">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19</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支持根据病人的参数趋势变化，自动推送推荐报警限</w:t>
      </w:r>
    </w:p>
    <w:p w14:paraId="1DDA1E74">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20</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可升级输注泵用药信息回顾工具，可同时间轴显示病人生命体征参数及用药信息回顾，呈现病人生命体征变化趋势与药物输注流速变化之间的关系</w:t>
      </w:r>
    </w:p>
    <w:p w14:paraId="63CF7B5F">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21</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支持≥120小时（分辨率1分钟）ST模板存储与回顾</w:t>
      </w:r>
    </w:p>
    <w:p w14:paraId="3802114F">
      <w:pPr>
        <w:pStyle w:val="8"/>
        <w:keepNext w:val="0"/>
        <w:keepLines w:val="0"/>
        <w:widowControl w:val="0"/>
        <w:suppressLineNumbers w:val="0"/>
        <w:spacing w:before="0" w:beforeAutospacing="0" w:after="0" w:afterAutospacing="0" w:line="360" w:lineRule="auto"/>
        <w:ind w:left="0" w:leftChars="0" w:right="0" w:firstLine="0" w:firstLineChars="0"/>
        <w:jc w:val="both"/>
        <w:rPr>
          <w:rFonts w:hint="eastAsia" w:ascii="仿宋" w:hAnsi="仿宋" w:eastAsia="仿宋" w:cs="仿宋"/>
          <w:bCs w:val="0"/>
          <w:spacing w:val="0"/>
          <w:kern w:val="0"/>
          <w:sz w:val="24"/>
          <w:szCs w:val="24"/>
          <w:lang w:bidi="ar"/>
        </w:rPr>
      </w:pPr>
      <w:r>
        <w:rPr>
          <w:rFonts w:hint="eastAsia" w:ascii="仿宋" w:hAnsi="仿宋" w:eastAsia="仿宋" w:cs="仿宋"/>
          <w:bCs w:val="0"/>
          <w:spacing w:val="0"/>
          <w:kern w:val="0"/>
          <w:sz w:val="24"/>
          <w:szCs w:val="24"/>
          <w:lang w:val="en-US" w:eastAsia="zh-CN" w:bidi="ar"/>
        </w:rPr>
        <w:t>22</w:t>
      </w:r>
      <w:r>
        <w:rPr>
          <w:rFonts w:hint="eastAsia" w:ascii="仿宋" w:hAnsi="仿宋" w:eastAsia="仿宋" w:cs="仿宋"/>
          <w:bCs w:val="0"/>
          <w:spacing w:val="0"/>
          <w:kern w:val="0"/>
          <w:sz w:val="24"/>
          <w:szCs w:val="24"/>
          <w:lang w:val="en-US" w:eastAsia="zh-CN" w:bidi="ar"/>
        </w:rPr>
        <w:tab/>
      </w:r>
      <w:r>
        <w:rPr>
          <w:rFonts w:hint="eastAsia" w:ascii="仿宋" w:hAnsi="仿宋" w:eastAsia="仿宋" w:cs="仿宋"/>
          <w:bCs w:val="0"/>
          <w:spacing w:val="0"/>
          <w:kern w:val="0"/>
          <w:sz w:val="24"/>
          <w:szCs w:val="24"/>
          <w:lang w:val="en-US" w:eastAsia="zh-CN" w:bidi="ar"/>
        </w:rPr>
        <w:t>标配电池</w:t>
      </w:r>
    </w:p>
    <w:p w14:paraId="67EF69D6">
      <w:pPr>
        <w:widowControl/>
        <w:numPr>
          <w:ilvl w:val="0"/>
          <w:numId w:val="0"/>
        </w:numPr>
        <w:spacing w:line="360" w:lineRule="auto"/>
        <w:jc w:val="left"/>
        <w:rPr>
          <w:rFonts w:hint="eastAsia" w:ascii="仿宋" w:hAnsi="仿宋" w:eastAsia="仿宋" w:cs="仿宋"/>
          <w:b/>
          <w:bCs/>
          <w:color w:val="000000"/>
          <w:kern w:val="0"/>
          <w:sz w:val="24"/>
          <w:lang w:bidi="ar"/>
        </w:rPr>
      </w:pPr>
    </w:p>
    <w:p w14:paraId="60DD7C26">
      <w:pPr>
        <w:pStyle w:val="4"/>
        <w:numPr>
          <w:ilvl w:val="0"/>
          <w:numId w:val="2"/>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307FF5F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0CF1044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4B5D77E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2D9284D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4DA5C6B8">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38199EF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5C936FD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578FC34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D38EE30">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18EB105">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13E9E799">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1278034C">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35C43F01">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2B6B246B">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1F69F2C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48D7720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3647188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23D3DED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5FEB02A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431F3B3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672C015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25CB3A39">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514B38B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734C59F8">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5AA2825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4C23A38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3F1911D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730A4701">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D38E1"/>
    <w:multiLevelType w:val="singleLevel"/>
    <w:tmpl w:val="870D38E1"/>
    <w:lvl w:ilvl="0" w:tentative="0">
      <w:start w:val="2"/>
      <w:numFmt w:val="chineseCounting"/>
      <w:suff w:val="nothing"/>
      <w:lvlText w:val="（%1）"/>
      <w:lvlJc w:val="left"/>
      <w:rPr>
        <w:rFonts w:hint="eastAsia"/>
      </w:rPr>
    </w:lvl>
  </w:abstractNum>
  <w:abstractNum w:abstractNumId="1">
    <w:nsid w:val="FE1AB2AC"/>
    <w:multiLevelType w:val="singleLevel"/>
    <w:tmpl w:val="FE1AB2AC"/>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BC0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1">
    <w:name w:val="标题 2 Char Char"/>
    <w:qFormat/>
    <w:uiPriority w:val="0"/>
    <w:rPr>
      <w:rFonts w:ascii="Arial" w:hAnsi="Arial" w:eastAsia="黑体" w:cs="Times New Roman"/>
      <w:b/>
      <w:bCs/>
      <w:kern w:val="2"/>
      <w:sz w:val="32"/>
      <w:szCs w:val="32"/>
      <w:lang w:val="en-US" w:eastAsia="zh-CN" w:bidi="ar-SA"/>
    </w:rPr>
  </w:style>
  <w:style w:type="paragraph" w:customStyle="1" w:styleId="12">
    <w:name w:val="列出段落1"/>
    <w:basedOn w:val="1"/>
    <w:qFormat/>
    <w:uiPriority w:val="0"/>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2026-08-18T09:48:22Z</dcterms:created>
  <dc:creator>admin</dc:creator>
  <cp:lastModifiedBy>豆奶是个小胖子</cp:lastModifiedBy>
  <dcterms:modified xsi:type="dcterms:W3CDTF">2026-08-18T09:48:36Z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C50AE3D3A5BD429DB0C9B877BF15EF8C_12</vt:lpwstr>
  </property>
</Properties>
</file>