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B25C7">
      <w:pPr>
        <w:spacing w:line="360" w:lineRule="auto"/>
        <w:jc w:val="center"/>
        <w:outlineLvl w:val="0"/>
        <w:rPr>
          <w:rFonts w:hint="eastAsia" w:ascii="宋体" w:hAnsi="宋体" w:eastAsia="宋体"/>
          <w:b/>
          <w:color w:val="auto"/>
          <w:sz w:val="28"/>
          <w:highlight w:val="none"/>
          <w:lang w:eastAsia="zh-CN"/>
        </w:rPr>
      </w:pPr>
      <w:r>
        <w:rPr>
          <w:rFonts w:hint="eastAsia" w:ascii="宋体" w:hAnsi="宋体" w:eastAsia="宋体"/>
          <w:b/>
          <w:color w:val="auto"/>
          <w:sz w:val="28"/>
          <w:highlight w:val="none"/>
        </w:rPr>
        <w:t>采购需求</w:t>
      </w:r>
    </w:p>
    <w:p w14:paraId="282D0275">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前注：</w:t>
      </w:r>
    </w:p>
    <w:p w14:paraId="71241F78">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w:t>
      </w:r>
      <w:bookmarkStart w:id="42" w:name="_GoBack"/>
      <w:bookmarkEnd w:id="42"/>
      <w:r>
        <w:rPr>
          <w:rFonts w:ascii="宋体" w:hAnsi="宋体" w:eastAsia="宋体"/>
          <w:color w:val="auto"/>
          <w:sz w:val="24"/>
          <w:szCs w:val="18"/>
          <w:highlight w:val="none"/>
        </w:rPr>
        <w:t>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60499A85">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2D661C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5110C4D">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EAA6A19">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65068813">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2A84B73B">
      <w:pPr>
        <w:spacing w:line="360" w:lineRule="auto"/>
        <w:ind w:firstLine="437"/>
        <w:outlineLvl w:val="1"/>
        <w:rPr>
          <w:rFonts w:ascii="宋体" w:hAnsi="宋体" w:eastAsia="宋体"/>
          <w:b/>
          <w:color w:val="auto"/>
          <w:sz w:val="24"/>
          <w:szCs w:val="18"/>
          <w:highlight w:val="none"/>
        </w:rPr>
      </w:pPr>
      <w:bookmarkStart w:id="0" w:name="_Toc32151"/>
      <w:bookmarkStart w:id="1" w:name="_Toc2554"/>
      <w:r>
        <w:rPr>
          <w:rFonts w:hint="eastAsia" w:ascii="宋体" w:hAnsi="宋体" w:eastAsia="宋体"/>
          <w:b/>
          <w:color w:val="auto"/>
          <w:sz w:val="24"/>
          <w:szCs w:val="18"/>
          <w:highlight w:val="none"/>
        </w:rPr>
        <w:t>一、采购需求前附表</w:t>
      </w:r>
      <w:bookmarkEnd w:id="0"/>
      <w:bookmarkEnd w:id="1"/>
    </w:p>
    <w:tbl>
      <w:tblPr>
        <w:tblStyle w:val="4"/>
        <w:tblW w:w="53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2111"/>
        <w:gridCol w:w="5824"/>
      </w:tblGrid>
      <w:tr w14:paraId="01AA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7" w:type="pct"/>
            <w:vAlign w:val="center"/>
          </w:tcPr>
          <w:p w14:paraId="1410123F">
            <w:pPr>
              <w:widowControl w:val="0"/>
              <w:pBdr>
                <w:bottom w:val="none" w:color="auto" w:sz="0" w:space="0"/>
              </w:pBdr>
              <w:adjustRightInd/>
              <w:snapToGrid/>
              <w:spacing w:line="240" w:lineRule="auto"/>
              <w:jc w:val="center"/>
              <w:textAlignment w:val="auto"/>
              <w:rPr>
                <w:rFonts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1163" w:type="pct"/>
            <w:vAlign w:val="center"/>
          </w:tcPr>
          <w:p w14:paraId="3D427FC8">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3208" w:type="pct"/>
            <w:vAlign w:val="center"/>
          </w:tcPr>
          <w:p w14:paraId="7898022F">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0349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7" w:type="pct"/>
            <w:vAlign w:val="center"/>
          </w:tcPr>
          <w:p w14:paraId="3ED0CC7A">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1163" w:type="pct"/>
            <w:vAlign w:val="center"/>
          </w:tcPr>
          <w:p w14:paraId="72744B9F">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3208" w:type="pct"/>
            <w:vAlign w:val="center"/>
          </w:tcPr>
          <w:p w14:paraId="2A0E5C8E">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（1）本项目预付款为合同金额的40%，中标人须提供等额的预付款担保，预付款在本项目合同签订、相关担保措施生效以及具备实施条件后支付；</w:t>
            </w:r>
          </w:p>
          <w:p w14:paraId="556B36A5">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（2）合同履约完成并验收合格后支付剩余合同价款。</w:t>
            </w:r>
          </w:p>
          <w:p w14:paraId="5E48D9C1">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备注：</w:t>
            </w:r>
          </w:p>
          <w:p w14:paraId="514A22F0">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（1）预付款担保形式：银行保函、担保机构担保。</w:t>
            </w:r>
          </w:p>
          <w:p w14:paraId="7A0FB1C6">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2）预付款担保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14:paraId="159E91AC">
            <w:pPr>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（3）在签订合同时，中标人书面明确表示无需预付款或者主动要求降低预付款比例的，采购人可降低预付款支付比例或不支付预付款。</w:t>
            </w:r>
          </w:p>
        </w:tc>
      </w:tr>
      <w:tr w14:paraId="4FF6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7" w:type="pct"/>
            <w:vAlign w:val="center"/>
          </w:tcPr>
          <w:p w14:paraId="663FF51C">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1163" w:type="pct"/>
            <w:vAlign w:val="center"/>
          </w:tcPr>
          <w:p w14:paraId="4D688943">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供货及安装地点</w:t>
            </w:r>
          </w:p>
        </w:tc>
        <w:tc>
          <w:tcPr>
            <w:tcW w:w="3208" w:type="pct"/>
            <w:vAlign w:val="center"/>
          </w:tcPr>
          <w:p w14:paraId="2DCF355B">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安徽省计量科学研究院，采购人指定地点。</w:t>
            </w:r>
          </w:p>
        </w:tc>
      </w:tr>
      <w:tr w14:paraId="57BB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7" w:type="pct"/>
            <w:vAlign w:val="center"/>
          </w:tcPr>
          <w:p w14:paraId="00B3A7EF">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1163" w:type="pct"/>
            <w:vAlign w:val="center"/>
          </w:tcPr>
          <w:p w14:paraId="3F3A02EA">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供货及安装期限</w:t>
            </w:r>
          </w:p>
        </w:tc>
        <w:tc>
          <w:tcPr>
            <w:tcW w:w="3208" w:type="pct"/>
            <w:vAlign w:val="center"/>
          </w:tcPr>
          <w:p w14:paraId="3217EBC5">
            <w:pPr>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合同签订后180日历日完成供货、安装、调试、培训等所有工作内容</w:t>
            </w:r>
          </w:p>
        </w:tc>
      </w:tr>
      <w:tr w14:paraId="3EFC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27" w:type="pct"/>
            <w:vAlign w:val="center"/>
          </w:tcPr>
          <w:p w14:paraId="4825B332">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1163" w:type="pct"/>
            <w:vAlign w:val="center"/>
          </w:tcPr>
          <w:p w14:paraId="0AB2FF90">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免费质保期</w:t>
            </w:r>
          </w:p>
        </w:tc>
        <w:tc>
          <w:tcPr>
            <w:tcW w:w="3208" w:type="pct"/>
            <w:vAlign w:val="center"/>
          </w:tcPr>
          <w:p w14:paraId="4FB20DA7">
            <w:pPr>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自验收合格之日起3年。</w:t>
            </w:r>
          </w:p>
        </w:tc>
      </w:tr>
    </w:tbl>
    <w:p w14:paraId="0FE8BC66">
      <w:pPr>
        <w:spacing w:line="360" w:lineRule="auto"/>
        <w:ind w:firstLine="437"/>
        <w:outlineLvl w:val="1"/>
        <w:rPr>
          <w:rFonts w:hint="eastAsia" w:ascii="宋体" w:hAnsi="宋体" w:eastAsia="宋体"/>
          <w:b/>
          <w:bCs/>
          <w:color w:val="auto"/>
          <w:sz w:val="24"/>
          <w:szCs w:val="18"/>
          <w:highlight w:val="none"/>
        </w:rPr>
      </w:pPr>
      <w:bookmarkStart w:id="2" w:name="_Toc5944"/>
      <w:bookmarkStart w:id="3" w:name="_Toc7671"/>
    </w:p>
    <w:p w14:paraId="741B4433">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2"/>
      <w:bookmarkEnd w:id="3"/>
    </w:p>
    <w:p w14:paraId="3938B933">
      <w:pPr>
        <w:widowControl/>
        <w:wordWrap/>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标识符号</w:t>
      </w:r>
    </w:p>
    <w:tbl>
      <w:tblPr>
        <w:tblStyle w:val="4"/>
        <w:tblW w:w="52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1404"/>
        <w:gridCol w:w="5654"/>
      </w:tblGrid>
      <w:tr w14:paraId="2F0F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8" w:type="pct"/>
            <w:vAlign w:val="center"/>
          </w:tcPr>
          <w:p w14:paraId="77288737">
            <w:pPr>
              <w:spacing w:line="360" w:lineRule="auto"/>
              <w:jc w:val="center"/>
              <w:rPr>
                <w:rFonts w:ascii="宋体" w:hAnsi="宋体" w:eastAsia="宋体" w:cs="Times New Roman"/>
                <w:b/>
                <w:bCs w:val="0"/>
                <w:color w:val="auto"/>
                <w:sz w:val="24"/>
                <w:szCs w:val="18"/>
              </w:rPr>
            </w:pPr>
            <w:r>
              <w:rPr>
                <w:rFonts w:hint="eastAsia" w:ascii="宋体" w:hAnsi="宋体" w:eastAsia="宋体" w:cs="Times New Roman"/>
                <w:b/>
                <w:bCs w:val="0"/>
                <w:color w:val="auto"/>
                <w:sz w:val="24"/>
                <w:szCs w:val="18"/>
              </w:rPr>
              <w:t>标识重要性</w:t>
            </w:r>
          </w:p>
        </w:tc>
        <w:tc>
          <w:tcPr>
            <w:tcW w:w="778" w:type="pct"/>
            <w:vAlign w:val="center"/>
          </w:tcPr>
          <w:p w14:paraId="17A3B878">
            <w:pPr>
              <w:spacing w:line="360" w:lineRule="auto"/>
              <w:jc w:val="center"/>
              <w:rPr>
                <w:rFonts w:ascii="宋体" w:hAnsi="宋体" w:eastAsia="宋体" w:cs="Times New Roman"/>
                <w:b/>
                <w:bCs w:val="0"/>
                <w:color w:val="auto"/>
                <w:sz w:val="24"/>
                <w:szCs w:val="18"/>
              </w:rPr>
            </w:pPr>
            <w:r>
              <w:rPr>
                <w:rFonts w:hint="eastAsia" w:ascii="宋体" w:hAnsi="宋体" w:eastAsia="宋体" w:cs="Times New Roman"/>
                <w:b/>
                <w:bCs w:val="0"/>
                <w:color w:val="auto"/>
                <w:sz w:val="24"/>
                <w:szCs w:val="18"/>
              </w:rPr>
              <w:t>标识符号</w:t>
            </w:r>
          </w:p>
        </w:tc>
        <w:tc>
          <w:tcPr>
            <w:tcW w:w="3133" w:type="pct"/>
            <w:vAlign w:val="center"/>
          </w:tcPr>
          <w:p w14:paraId="50B10B5B">
            <w:pPr>
              <w:spacing w:line="360" w:lineRule="auto"/>
              <w:jc w:val="center"/>
              <w:rPr>
                <w:rFonts w:ascii="宋体" w:hAnsi="宋体" w:eastAsia="宋体" w:cs="Times New Roman"/>
                <w:b/>
                <w:bCs w:val="0"/>
                <w:color w:val="auto"/>
                <w:sz w:val="24"/>
                <w:szCs w:val="18"/>
              </w:rPr>
            </w:pPr>
            <w:r>
              <w:rPr>
                <w:rFonts w:hint="eastAsia" w:ascii="宋体" w:hAnsi="宋体" w:eastAsia="宋体" w:cs="Times New Roman"/>
                <w:b/>
                <w:bCs w:val="0"/>
                <w:color w:val="auto"/>
                <w:sz w:val="24"/>
                <w:szCs w:val="18"/>
              </w:rPr>
              <w:t>符号说明</w:t>
            </w:r>
          </w:p>
        </w:tc>
      </w:tr>
      <w:tr w14:paraId="5BAC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8" w:type="pct"/>
            <w:vAlign w:val="center"/>
          </w:tcPr>
          <w:p w14:paraId="3C28DC1E">
            <w:pPr>
              <w:spacing w:line="360" w:lineRule="auto"/>
              <w:jc w:val="center"/>
              <w:rPr>
                <w:rFonts w:ascii="宋体" w:hAnsi="宋体" w:eastAsia="宋体" w:cs="Times New Roman"/>
                <w:color w:val="auto"/>
                <w:sz w:val="24"/>
                <w:szCs w:val="18"/>
              </w:rPr>
            </w:pPr>
            <w:r>
              <w:rPr>
                <w:rFonts w:hint="eastAsia" w:ascii="宋体" w:hAnsi="宋体" w:eastAsia="宋体" w:cs="宋体"/>
                <w:color w:val="auto"/>
                <w:sz w:val="24"/>
                <w:szCs w:val="18"/>
              </w:rPr>
              <w:t>重要指标项</w:t>
            </w:r>
          </w:p>
        </w:tc>
        <w:tc>
          <w:tcPr>
            <w:tcW w:w="778" w:type="pct"/>
            <w:vAlign w:val="center"/>
          </w:tcPr>
          <w:p w14:paraId="29428389">
            <w:pPr>
              <w:spacing w:line="360" w:lineRule="auto"/>
              <w:jc w:val="center"/>
              <w:rPr>
                <w:rFonts w:ascii="宋体" w:hAnsi="宋体" w:eastAsia="宋体" w:cs="Times New Roman"/>
                <w:bCs/>
                <w:color w:val="auto"/>
                <w:sz w:val="24"/>
                <w:szCs w:val="18"/>
              </w:rPr>
            </w:pPr>
            <w:r>
              <w:rPr>
                <w:rFonts w:hint="eastAsia" w:ascii="宋体" w:hAnsi="宋体" w:eastAsia="宋体" w:cs="宋体"/>
                <w:color w:val="auto"/>
                <w:sz w:val="24"/>
                <w:szCs w:val="18"/>
              </w:rPr>
              <w:t>■</w:t>
            </w:r>
          </w:p>
        </w:tc>
        <w:tc>
          <w:tcPr>
            <w:tcW w:w="3133" w:type="pct"/>
            <w:vAlign w:val="center"/>
          </w:tcPr>
          <w:p w14:paraId="338D4C8F">
            <w:pPr>
              <w:spacing w:line="360" w:lineRule="auto"/>
              <w:jc w:val="both"/>
              <w:rPr>
                <w:rFonts w:hint="default" w:ascii="宋体" w:hAnsi="宋体" w:eastAsia="宋体" w:cs="Times New Roman"/>
                <w:bCs/>
                <w:color w:val="auto"/>
                <w:sz w:val="24"/>
                <w:szCs w:val="18"/>
                <w:lang w:val="en-US" w:eastAsia="zh-CN"/>
              </w:rPr>
            </w:pPr>
            <w:r>
              <w:rPr>
                <w:rFonts w:hint="eastAsia" w:ascii="宋体" w:hAnsi="宋体" w:eastAsia="宋体" w:cs="宋体"/>
                <w:color w:val="auto"/>
                <w:sz w:val="24"/>
                <w:szCs w:val="24"/>
              </w:rPr>
              <w:t>评分项，</w:t>
            </w:r>
            <w:r>
              <w:rPr>
                <w:rFonts w:hint="eastAsia" w:ascii="宋体" w:hAnsi="宋体" w:eastAsia="宋体" w:cs="宋体"/>
                <w:color w:val="auto"/>
                <w:sz w:val="24"/>
                <w:szCs w:val="24"/>
                <w:lang w:val="en-US" w:eastAsia="zh-CN"/>
              </w:rPr>
              <w:t>详见第四章评分细则。</w:t>
            </w:r>
          </w:p>
        </w:tc>
      </w:tr>
      <w:tr w14:paraId="5A93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8" w:type="pct"/>
            <w:vAlign w:val="center"/>
          </w:tcPr>
          <w:p w14:paraId="644959E1">
            <w:pPr>
              <w:spacing w:line="360" w:lineRule="auto"/>
              <w:jc w:val="center"/>
              <w:rPr>
                <w:rFonts w:ascii="宋体" w:hAnsi="宋体" w:eastAsia="宋体" w:cs="Times New Roman"/>
                <w:color w:val="auto"/>
                <w:sz w:val="24"/>
                <w:szCs w:val="18"/>
              </w:rPr>
            </w:pPr>
            <w:r>
              <w:rPr>
                <w:rFonts w:hint="eastAsia" w:ascii="宋体" w:hAnsi="宋体" w:eastAsia="宋体" w:cs="宋体"/>
                <w:color w:val="auto"/>
                <w:sz w:val="24"/>
                <w:szCs w:val="18"/>
              </w:rPr>
              <w:t>无标识项</w:t>
            </w:r>
          </w:p>
        </w:tc>
        <w:tc>
          <w:tcPr>
            <w:tcW w:w="778" w:type="pct"/>
            <w:vAlign w:val="center"/>
          </w:tcPr>
          <w:p w14:paraId="76CB41EB">
            <w:pPr>
              <w:spacing w:line="360" w:lineRule="auto"/>
              <w:jc w:val="center"/>
              <w:rPr>
                <w:rFonts w:ascii="宋体" w:hAnsi="宋体" w:eastAsia="宋体" w:cs="Times New Roman"/>
                <w:bCs/>
                <w:color w:val="auto"/>
                <w:sz w:val="24"/>
                <w:szCs w:val="18"/>
              </w:rPr>
            </w:pPr>
          </w:p>
        </w:tc>
        <w:tc>
          <w:tcPr>
            <w:tcW w:w="3133" w:type="pct"/>
            <w:vAlign w:val="center"/>
          </w:tcPr>
          <w:p w14:paraId="4C3D7E51">
            <w:pPr>
              <w:widowControl/>
              <w:spacing w:line="360" w:lineRule="auto"/>
              <w:jc w:val="left"/>
              <w:rPr>
                <w:rFonts w:ascii="宋体" w:hAnsi="宋体" w:eastAsia="宋体" w:cs="Times New Roman"/>
                <w:bCs/>
                <w:color w:val="auto"/>
                <w:kern w:val="2"/>
                <w:sz w:val="24"/>
                <w:szCs w:val="18"/>
                <w:lang w:val="en-US" w:eastAsia="zh-CN" w:bidi="ar-SA"/>
              </w:rPr>
            </w:pPr>
            <w:r>
              <w:rPr>
                <w:rFonts w:hint="eastAsia" w:ascii="宋体" w:hAnsi="宋体" w:eastAsia="宋体" w:cs="宋体"/>
                <w:color w:val="auto"/>
                <w:kern w:val="2"/>
                <w:sz w:val="24"/>
                <w:szCs w:val="24"/>
                <w:lang w:val="en-US" w:eastAsia="zh-CN" w:bidi="ar-SA"/>
              </w:rPr>
              <w:t>符合性审查项，投标人须在投标文件中提供承诺：</w:t>
            </w:r>
            <w:r>
              <w:rPr>
                <w:rFonts w:hint="eastAsia" w:ascii="宋体" w:hAnsi="宋体" w:eastAsia="宋体" w:cs="宋体"/>
                <w:b/>
                <w:bCs/>
                <w:color w:val="auto"/>
                <w:kern w:val="2"/>
                <w:sz w:val="24"/>
                <w:szCs w:val="24"/>
                <w:lang w:val="en-US" w:eastAsia="zh-CN" w:bidi="ar-SA"/>
              </w:rPr>
              <w:t>承诺无标识项完全满足采购文件要求，如履约验收期间所投产品不满足采购文件要求，采购人有权解除合同并上报政府采购监督管理部门，中标人承担由此产生的一切后果及责任（承诺函格式详见投标文件/响应文件格式）</w:t>
            </w:r>
            <w:r>
              <w:rPr>
                <w:rFonts w:hint="eastAsia" w:ascii="宋体" w:hAnsi="宋体" w:eastAsia="宋体" w:cs="宋体"/>
                <w:color w:val="auto"/>
                <w:kern w:val="2"/>
                <w:sz w:val="24"/>
                <w:szCs w:val="24"/>
                <w:lang w:val="en-US" w:eastAsia="zh-CN" w:bidi="ar-SA"/>
              </w:rPr>
              <w:t>。投标文件中未提供相应承诺或承诺的内容不满足要求的，</w:t>
            </w:r>
            <w:r>
              <w:rPr>
                <w:rFonts w:hint="eastAsia" w:ascii="宋体" w:hAnsi="宋体" w:eastAsia="宋体" w:cs="宋体"/>
                <w:b/>
                <w:bCs/>
                <w:color w:val="auto"/>
                <w:kern w:val="2"/>
                <w:sz w:val="24"/>
                <w:szCs w:val="24"/>
                <w:lang w:val="en-US" w:eastAsia="zh-CN" w:bidi="ar-SA"/>
              </w:rPr>
              <w:t>投标无效。</w:t>
            </w:r>
          </w:p>
        </w:tc>
      </w:tr>
      <w:tr w14:paraId="3DBF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14:paraId="3D70D22C">
            <w:pPr>
              <w:widowControl/>
              <w:spacing w:line="360" w:lineRule="auto"/>
              <w:jc w:val="left"/>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注：</w:t>
            </w:r>
          </w:p>
          <w:p w14:paraId="2D22852F">
            <w:pPr>
              <w:widowControl/>
              <w:spacing w:line="360" w:lineRule="auto"/>
              <w:jc w:val="left"/>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1.如某项标识中包含多条技术参数或要求，则该项标识所含内容均须满足或优于采购文件要求，否则不予认可。</w:t>
            </w:r>
          </w:p>
          <w:p w14:paraId="721D0AEF">
            <w:pPr>
              <w:widowControl/>
              <w:spacing w:line="360" w:lineRule="auto"/>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2.针对标记“■”的技术参数及要求：</w:t>
            </w:r>
          </w:p>
          <w:p w14:paraId="6155CBFC">
            <w:pPr>
              <w:widowControl/>
              <w:spacing w:line="360" w:lineRule="auto"/>
              <w:jc w:val="left"/>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货物需求清单中要求提供证明材料的技术参数及要求：货物需求清单已明确证明材料类型的，按货物需求清单执行；货物需求清单未明确证明材料类型的，证明材料不限于产品技术白皮书、产品技术说明书、产品彩页、产品（软件）功能截图、实物图片、厂家（制造商）官网截图、第三方机构出具的带有CMA标识的检测报告等（提供其中之一即可）。未按以上要求提供证明材料的视为负偏离或未响应</w:t>
            </w:r>
            <w:r>
              <w:rPr>
                <w:rFonts w:hint="eastAsia" w:ascii="宋体" w:hAnsi="宋体" w:eastAsia="宋体" w:cs="宋体"/>
                <w:b/>
                <w:bCs/>
                <w:color w:val="auto"/>
                <w:kern w:val="2"/>
                <w:sz w:val="24"/>
                <w:szCs w:val="24"/>
                <w:lang w:val="en-US" w:eastAsia="zh-CN" w:bidi="ar-SA"/>
              </w:rPr>
              <w:t>（为便于评审，建议投标人对证明材料中的关键参数进行标注）</w:t>
            </w:r>
            <w:r>
              <w:rPr>
                <w:rFonts w:hint="eastAsia" w:ascii="宋体" w:hAnsi="宋体" w:eastAsia="宋体" w:cs="宋体"/>
                <w:color w:val="auto"/>
                <w:kern w:val="2"/>
                <w:sz w:val="24"/>
                <w:szCs w:val="24"/>
                <w:lang w:val="en-US" w:eastAsia="zh-CN" w:bidi="ar-SA"/>
              </w:rPr>
              <w:t>。</w:t>
            </w:r>
          </w:p>
          <w:p w14:paraId="61F29B5F">
            <w:pPr>
              <w:widowControl/>
              <w:spacing w:line="360" w:lineRule="auto"/>
              <w:jc w:val="left"/>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（2）货物需求清单中未要求提供证明材料的技术参数及要求，以投标响应表的响应情况作为评审依据。</w:t>
            </w:r>
          </w:p>
        </w:tc>
      </w:tr>
    </w:tbl>
    <w:p w14:paraId="3EE2FD31">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p>
    <w:p w14:paraId="7543474D">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b/>
          <w:bCs/>
          <w:color w:val="auto"/>
          <w:sz w:val="24"/>
          <w:szCs w:val="18"/>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tbl>
      <w:tblPr>
        <w:tblStyle w:val="4"/>
        <w:tblW w:w="5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363"/>
        <w:gridCol w:w="6283"/>
        <w:gridCol w:w="1085"/>
        <w:gridCol w:w="734"/>
      </w:tblGrid>
      <w:tr w14:paraId="1CF6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4969459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val="0"/>
                <w:color w:val="auto"/>
                <w:sz w:val="24"/>
                <w:szCs w:val="24"/>
              </w:rPr>
            </w:pPr>
            <w:bookmarkStart w:id="4" w:name="_Toc4843"/>
            <w:bookmarkStart w:id="5" w:name="_Toc7421"/>
            <w:r>
              <w:rPr>
                <w:rFonts w:hint="eastAsia" w:ascii="宋体" w:hAnsi="宋体" w:eastAsia="宋体" w:cs="宋体"/>
                <w:b/>
                <w:bCs w:val="0"/>
                <w:color w:val="auto"/>
                <w:sz w:val="24"/>
                <w:szCs w:val="24"/>
              </w:rPr>
              <w:t>序号</w:t>
            </w:r>
          </w:p>
        </w:tc>
        <w:tc>
          <w:tcPr>
            <w:tcW w:w="667" w:type="pct"/>
            <w:vAlign w:val="center"/>
          </w:tcPr>
          <w:p w14:paraId="49B3C45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货物名称</w:t>
            </w:r>
          </w:p>
        </w:tc>
        <w:tc>
          <w:tcPr>
            <w:tcW w:w="3075" w:type="pct"/>
            <w:vAlign w:val="center"/>
          </w:tcPr>
          <w:p w14:paraId="27C4DED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技术参数及要求</w:t>
            </w:r>
          </w:p>
        </w:tc>
        <w:tc>
          <w:tcPr>
            <w:tcW w:w="531" w:type="pct"/>
            <w:vAlign w:val="center"/>
          </w:tcPr>
          <w:p w14:paraId="7279615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数量</w:t>
            </w:r>
          </w:p>
          <w:p w14:paraId="0DE5065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（单位）</w:t>
            </w:r>
          </w:p>
        </w:tc>
        <w:tc>
          <w:tcPr>
            <w:tcW w:w="359" w:type="pct"/>
            <w:vAlign w:val="center"/>
          </w:tcPr>
          <w:p w14:paraId="568B305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所属行业</w:t>
            </w:r>
          </w:p>
        </w:tc>
      </w:tr>
      <w:tr w14:paraId="3092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4AF604D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667" w:type="pct"/>
            <w:vAlign w:val="center"/>
          </w:tcPr>
          <w:p w14:paraId="1008FA4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燃气表检定装置（含膜式）</w:t>
            </w:r>
          </w:p>
        </w:tc>
        <w:tc>
          <w:tcPr>
            <w:tcW w:w="3075" w:type="pct"/>
          </w:tcPr>
          <w:p w14:paraId="579C535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bookmarkStart w:id="6" w:name="OLE_LINK12"/>
            <w:r>
              <w:rPr>
                <w:rFonts w:hint="eastAsia" w:ascii="宋体" w:hAnsi="宋体" w:eastAsia="宋体" w:cs="宋体"/>
                <w:color w:val="auto"/>
                <w:sz w:val="24"/>
                <w:szCs w:val="24"/>
              </w:rPr>
              <w:t>1、</w:t>
            </w:r>
            <w:r>
              <w:rPr>
                <w:rFonts w:hint="eastAsia" w:ascii="宋体" w:hAnsi="宋体" w:eastAsia="宋体" w:cs="宋体"/>
                <w:bCs/>
                <w:color w:val="auto"/>
                <w:sz w:val="24"/>
                <w:szCs w:val="24"/>
              </w:rPr>
              <w:t>喷嘴流出系数相对扩展不确定度</w:t>
            </w:r>
            <w:r>
              <w:rPr>
                <w:rFonts w:hint="eastAsia" w:ascii="宋体" w:hAnsi="宋体" w:eastAsia="宋体" w:cs="宋体"/>
                <w:bCs/>
                <w:i/>
                <w:color w:val="auto"/>
                <w:sz w:val="24"/>
                <w:szCs w:val="24"/>
              </w:rPr>
              <w:t>U</w:t>
            </w:r>
            <w:r>
              <w:rPr>
                <w:rFonts w:hint="eastAsia" w:ascii="宋体" w:hAnsi="宋体" w:eastAsia="宋体" w:cs="宋体"/>
                <w:bCs/>
                <w:color w:val="auto"/>
                <w:sz w:val="24"/>
                <w:szCs w:val="24"/>
                <w:vertAlign w:val="subscript"/>
              </w:rPr>
              <w:t>rel</w:t>
            </w:r>
            <w:r>
              <w:rPr>
                <w:rFonts w:hint="eastAsia" w:ascii="宋体" w:hAnsi="宋体" w:eastAsia="宋体" w:cs="宋体"/>
                <w:bCs/>
                <w:color w:val="auto"/>
                <w:sz w:val="24"/>
                <w:szCs w:val="24"/>
              </w:rPr>
              <w:t>＝0.2%（</w:t>
            </w:r>
            <w:r>
              <w:rPr>
                <w:rFonts w:hint="eastAsia" w:ascii="宋体" w:hAnsi="宋体" w:eastAsia="宋体" w:cs="宋体"/>
                <w:bCs/>
                <w:i/>
                <w:color w:val="auto"/>
                <w:sz w:val="24"/>
                <w:szCs w:val="24"/>
              </w:rPr>
              <w:t>k</w:t>
            </w:r>
            <w:r>
              <w:rPr>
                <w:rFonts w:hint="eastAsia" w:ascii="宋体" w:hAnsi="宋体" w:eastAsia="宋体" w:cs="宋体"/>
                <w:bCs/>
                <w:color w:val="auto"/>
                <w:sz w:val="24"/>
                <w:szCs w:val="24"/>
              </w:rPr>
              <w:t>=2）或准确度等级0.2级；</w:t>
            </w:r>
          </w:p>
          <w:p w14:paraId="26F1696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2、</w:t>
            </w:r>
            <w:r>
              <w:rPr>
                <w:rFonts w:hint="eastAsia" w:ascii="宋体" w:hAnsi="宋体" w:eastAsia="宋体" w:cs="宋体"/>
                <w:bCs/>
                <w:color w:val="auto"/>
                <w:sz w:val="24"/>
                <w:szCs w:val="24"/>
              </w:rPr>
              <w:t>装置应满足</w:t>
            </w:r>
            <w:r>
              <w:rPr>
                <w:rFonts w:hint="eastAsia" w:ascii="宋体" w:hAnsi="宋体" w:eastAsia="宋体" w:cs="宋体"/>
                <w:color w:val="auto"/>
                <w:sz w:val="24"/>
                <w:szCs w:val="24"/>
              </w:rPr>
              <w:t>JJF1240-2010 《临界流文丘里喷嘴法气体流量标准装置校准规范》，装置</w:t>
            </w:r>
            <w:r>
              <w:rPr>
                <w:rFonts w:hint="eastAsia" w:ascii="宋体" w:hAnsi="宋体" w:eastAsia="宋体" w:cs="宋体"/>
                <w:bCs/>
                <w:color w:val="auto"/>
                <w:sz w:val="24"/>
                <w:szCs w:val="24"/>
              </w:rPr>
              <w:t>扩展不确定度</w:t>
            </w:r>
            <w:r>
              <w:rPr>
                <w:rFonts w:hint="eastAsia" w:ascii="宋体" w:hAnsi="宋体" w:eastAsia="宋体" w:cs="宋体"/>
                <w:bCs/>
                <w:i/>
                <w:color w:val="auto"/>
                <w:sz w:val="24"/>
                <w:szCs w:val="24"/>
              </w:rPr>
              <w:t>U</w:t>
            </w:r>
            <w:r>
              <w:rPr>
                <w:rFonts w:hint="eastAsia" w:ascii="宋体" w:hAnsi="宋体" w:eastAsia="宋体" w:cs="宋体"/>
                <w:bCs/>
                <w:color w:val="auto"/>
                <w:sz w:val="24"/>
                <w:szCs w:val="24"/>
                <w:vertAlign w:val="subscript"/>
              </w:rPr>
              <w:t>rel</w:t>
            </w:r>
            <w:r>
              <w:rPr>
                <w:rFonts w:hint="eastAsia" w:ascii="宋体" w:hAnsi="宋体" w:eastAsia="宋体" w:cs="宋体"/>
                <w:bCs/>
                <w:color w:val="auto"/>
                <w:sz w:val="24"/>
                <w:szCs w:val="24"/>
              </w:rPr>
              <w:t>≤0.5%（</w:t>
            </w:r>
            <w:r>
              <w:rPr>
                <w:rFonts w:hint="eastAsia" w:ascii="宋体" w:hAnsi="宋体" w:eastAsia="宋体" w:cs="宋体"/>
                <w:bCs/>
                <w:i/>
                <w:color w:val="auto"/>
                <w:sz w:val="24"/>
                <w:szCs w:val="24"/>
              </w:rPr>
              <w:t>k</w:t>
            </w:r>
            <w:r>
              <w:rPr>
                <w:rFonts w:hint="eastAsia" w:ascii="宋体" w:hAnsi="宋体" w:eastAsia="宋体" w:cs="宋体"/>
                <w:bCs/>
                <w:color w:val="auto"/>
                <w:sz w:val="24"/>
                <w:szCs w:val="24"/>
              </w:rPr>
              <w:t>=2）；</w:t>
            </w:r>
          </w:p>
          <w:p w14:paraId="4FFCDF0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3、装置适用规格型号包含G1.6～G4的膜式燃气表以及超声燃气表（含左、右进气）的检定；</w:t>
            </w:r>
          </w:p>
          <w:p w14:paraId="64C8166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4、装置流量范围（0.016～6）m</w:t>
            </w:r>
            <w:r>
              <w:rPr>
                <w:rFonts w:hint="eastAsia" w:ascii="宋体" w:hAnsi="宋体" w:eastAsia="宋体" w:cs="宋体"/>
                <w:bCs/>
                <w:color w:val="auto"/>
                <w:sz w:val="24"/>
                <w:szCs w:val="24"/>
                <w:vertAlign w:val="superscript"/>
              </w:rPr>
              <w:t>3</w:t>
            </w:r>
            <w:r>
              <w:rPr>
                <w:rFonts w:hint="eastAsia" w:ascii="宋体" w:hAnsi="宋体" w:eastAsia="宋体" w:cs="宋体"/>
                <w:bCs/>
                <w:color w:val="auto"/>
                <w:sz w:val="24"/>
                <w:szCs w:val="24"/>
              </w:rPr>
              <w:t>/h；各流量点实际流量与设置流量偏差≤5%；</w:t>
            </w:r>
          </w:p>
          <w:bookmarkEnd w:id="6"/>
          <w:p w14:paraId="22F4AE8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5、</w:t>
            </w:r>
            <w:r>
              <w:rPr>
                <w:rFonts w:hint="eastAsia" w:ascii="宋体" w:hAnsi="宋体" w:eastAsia="宋体" w:cs="宋体"/>
                <w:bCs/>
                <w:color w:val="auto"/>
                <w:sz w:val="24"/>
                <w:szCs w:val="24"/>
              </w:rPr>
              <w:t>单次串联检定膜式燃气表、超声波燃气表数量：≥12台；</w:t>
            </w:r>
          </w:p>
          <w:p w14:paraId="2B1F4B9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6、夹表装置适用燃气表进出气口间距：（90～160）mm；</w:t>
            </w:r>
          </w:p>
          <w:p w14:paraId="249F15B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7、夹表装置适用被检燃气表高度：（210～270）mm；</w:t>
            </w:r>
          </w:p>
          <w:p w14:paraId="580C6B0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w:t>
            </w:r>
            <w:r>
              <w:rPr>
                <w:rFonts w:hint="eastAsia" w:ascii="宋体" w:hAnsi="宋体" w:eastAsia="宋体" w:cs="宋体"/>
                <w:bCs/>
                <w:color w:val="auto"/>
                <w:sz w:val="24"/>
                <w:szCs w:val="24"/>
              </w:rPr>
              <w:t>8、装置应能自动采集检测过程中喷嘴处以及被检表处温度、压力、湿度参数，并按照燃气表检定规程中规定的温度、压力、湿度修正公式自动进行修正。</w:t>
            </w:r>
            <w:r>
              <w:rPr>
                <w:rFonts w:hint="eastAsia" w:ascii="宋体" w:hAnsi="宋体" w:eastAsia="宋体" w:cs="宋体"/>
                <w:b/>
                <w:bCs/>
                <w:color w:val="auto"/>
                <w:sz w:val="24"/>
                <w:szCs w:val="24"/>
              </w:rPr>
              <w:t>（投标文件中提供软件截图作为证明材料）</w:t>
            </w:r>
          </w:p>
          <w:p w14:paraId="0FB4F47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■9、</w:t>
            </w:r>
            <w:r>
              <w:rPr>
                <w:rFonts w:hint="eastAsia" w:ascii="宋体" w:hAnsi="宋体" w:eastAsia="宋体" w:cs="宋体"/>
                <w:bCs/>
                <w:color w:val="auto"/>
                <w:sz w:val="24"/>
                <w:szCs w:val="24"/>
              </w:rPr>
              <w:t>绝压变送器：测量范围0～110kPa，准确度等级：≤0.1级；</w:t>
            </w:r>
          </w:p>
          <w:p w14:paraId="5A2B6DD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■10、</w:t>
            </w:r>
            <w:r>
              <w:rPr>
                <w:rFonts w:hint="eastAsia" w:ascii="宋体" w:hAnsi="宋体" w:eastAsia="宋体" w:cs="宋体"/>
                <w:bCs/>
                <w:color w:val="auto"/>
                <w:sz w:val="24"/>
                <w:szCs w:val="24"/>
              </w:rPr>
              <w:t>温度传感器，量程（0～50）℃，分度值≤0.1℃，最大允许误差MPE≤±0.2℃；</w:t>
            </w:r>
          </w:p>
          <w:p w14:paraId="7EC9FDD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■11、</w:t>
            </w:r>
            <w:r>
              <w:rPr>
                <w:rFonts w:hint="eastAsia" w:ascii="宋体" w:hAnsi="宋体" w:eastAsia="宋体" w:cs="宋体"/>
                <w:bCs/>
                <w:color w:val="auto"/>
                <w:sz w:val="24"/>
                <w:szCs w:val="24"/>
              </w:rPr>
              <w:t>湿度传感器，量程（0～100）%RH，最大允许误差MPE≤±5.0%RH；</w:t>
            </w:r>
          </w:p>
          <w:p w14:paraId="2916600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■12、</w:t>
            </w:r>
            <w:r>
              <w:rPr>
                <w:rFonts w:hint="eastAsia" w:ascii="宋体" w:hAnsi="宋体" w:eastAsia="宋体" w:cs="宋体"/>
                <w:bCs/>
                <w:color w:val="auto"/>
                <w:sz w:val="24"/>
                <w:szCs w:val="24"/>
              </w:rPr>
              <w:t xml:space="preserve">配置压损检测用微差压传感器，量程为-1000~+1000Pa，准确度等级为0.5级，分辨率为1Pa，带超量程自动保护功能； </w:t>
            </w:r>
          </w:p>
          <w:p w14:paraId="319D5D8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■13、晶振（计时器）：计时分辨率不大于0.001s；晶振8h稳定度≤1×10</w:t>
            </w:r>
            <w:r>
              <w:rPr>
                <w:rFonts w:hint="eastAsia" w:ascii="宋体" w:hAnsi="宋体" w:eastAsia="宋体" w:cs="宋体"/>
                <w:color w:val="auto"/>
                <w:sz w:val="24"/>
                <w:szCs w:val="24"/>
                <w:vertAlign w:val="superscript"/>
              </w:rPr>
              <w:t>-5</w:t>
            </w:r>
            <w:r>
              <w:rPr>
                <w:rFonts w:hint="eastAsia" w:ascii="宋体" w:hAnsi="宋体" w:eastAsia="宋体" w:cs="宋体"/>
                <w:color w:val="auto"/>
                <w:sz w:val="24"/>
                <w:szCs w:val="24"/>
              </w:rPr>
              <w:t>；带有晶振信号输出口。</w:t>
            </w:r>
          </w:p>
          <w:p w14:paraId="689C4D6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14、</w:t>
            </w:r>
            <w:r>
              <w:rPr>
                <w:rFonts w:hint="eastAsia" w:ascii="宋体" w:hAnsi="宋体" w:eastAsia="宋体" w:cs="宋体"/>
                <w:bCs/>
                <w:color w:val="auto"/>
                <w:sz w:val="24"/>
                <w:szCs w:val="24"/>
              </w:rPr>
              <w:t>真空泵采用低噪音、低功耗干式无油真空泵，免维护，可长期持续运行。功率：≤1.25KW；</w:t>
            </w:r>
          </w:p>
          <w:p w14:paraId="74F4968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15、自动读数功能：装置应</w:t>
            </w:r>
            <w:r>
              <w:rPr>
                <w:rFonts w:hint="eastAsia" w:ascii="宋体" w:hAnsi="宋体" w:eastAsia="宋体" w:cs="宋体"/>
                <w:bCs/>
                <w:color w:val="auto"/>
                <w:sz w:val="24"/>
                <w:szCs w:val="24"/>
              </w:rPr>
              <w:t>配置自动对焦的动态图像处理器以及红外接收装置，可对膜式燃气表、超声燃气表示值进行自动采样读数（无需人工调节）。</w:t>
            </w:r>
          </w:p>
          <w:p w14:paraId="6CB0A86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16、</w:t>
            </w:r>
            <w:r>
              <w:rPr>
                <w:rFonts w:hint="eastAsia" w:ascii="宋体" w:hAnsi="宋体" w:eastAsia="宋体" w:cs="宋体"/>
                <w:bCs/>
                <w:color w:val="auto"/>
                <w:sz w:val="24"/>
                <w:szCs w:val="24"/>
              </w:rPr>
              <w:t>夹表方式：气动夹表。</w:t>
            </w:r>
          </w:p>
          <w:p w14:paraId="4E2572E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17、表号输入方式：采用无线激光条码扫描仪，对气表出厂编号自动扫描输入（也可用人工输入）；</w:t>
            </w:r>
          </w:p>
          <w:p w14:paraId="26F224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18、计算机控制软件：整个系统在检测测试软件控制下实现全自动检测。测试软件应为中文界面。试验数据和分析数据结果可以和Excel软件直接动态连接，具有数据存储、查询、分析统计以及数据打印功能。</w:t>
            </w:r>
            <w:r>
              <w:rPr>
                <w:rFonts w:hint="eastAsia" w:ascii="宋体" w:hAnsi="宋体" w:eastAsia="宋体" w:cs="宋体"/>
                <w:color w:val="auto"/>
                <w:sz w:val="24"/>
                <w:szCs w:val="24"/>
              </w:rPr>
              <w:t>软件终生免费升级。</w:t>
            </w:r>
          </w:p>
          <w:p w14:paraId="4B354F2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■19、装置可自动进行密封性检测。</w:t>
            </w:r>
            <w:r>
              <w:rPr>
                <w:rFonts w:hint="eastAsia" w:ascii="宋体" w:hAnsi="宋体" w:eastAsia="宋体" w:cs="宋体"/>
                <w:b/>
                <w:bCs/>
                <w:color w:val="auto"/>
                <w:sz w:val="24"/>
                <w:szCs w:val="24"/>
              </w:rPr>
              <w:t>（投标文件中提供软件截图作为证明材料）</w:t>
            </w:r>
          </w:p>
        </w:tc>
        <w:tc>
          <w:tcPr>
            <w:tcW w:w="531" w:type="pct"/>
            <w:vAlign w:val="center"/>
          </w:tcPr>
          <w:p w14:paraId="221078E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1套</w:t>
            </w:r>
          </w:p>
        </w:tc>
        <w:tc>
          <w:tcPr>
            <w:tcW w:w="359" w:type="pct"/>
            <w:vAlign w:val="center"/>
          </w:tcPr>
          <w:p w14:paraId="546CC86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工业</w:t>
            </w:r>
          </w:p>
        </w:tc>
      </w:tr>
      <w:tr w14:paraId="0943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4520A11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667" w:type="pct"/>
            <w:vAlign w:val="center"/>
          </w:tcPr>
          <w:p w14:paraId="0225EB6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热量表检定装置</w:t>
            </w:r>
          </w:p>
        </w:tc>
        <w:tc>
          <w:tcPr>
            <w:tcW w:w="3075" w:type="pct"/>
          </w:tcPr>
          <w:p w14:paraId="0F49839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一、基本要求</w:t>
            </w:r>
          </w:p>
          <w:p w14:paraId="6103874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1、装置满足JJG 225-2024《热量表检定规程》、</w:t>
            </w:r>
            <w:r>
              <w:rPr>
                <w:rFonts w:hint="eastAsia" w:ascii="宋体" w:hAnsi="宋体" w:eastAsia="宋体" w:cs="宋体"/>
                <w:bCs/>
                <w:color w:val="auto"/>
                <w:sz w:val="24"/>
                <w:szCs w:val="24"/>
              </w:rPr>
              <w:t xml:space="preserve"> JJF 2158-2024《热量表型式评价大纲》</w:t>
            </w:r>
            <w:r>
              <w:rPr>
                <w:rFonts w:hint="eastAsia" w:ascii="宋体" w:hAnsi="宋体" w:eastAsia="宋体" w:cs="宋体"/>
                <w:color w:val="auto"/>
                <w:sz w:val="24"/>
                <w:szCs w:val="24"/>
              </w:rPr>
              <w:t>、JJG 686-2015《热水水表检定规程》和</w:t>
            </w:r>
            <w:r>
              <w:rPr>
                <w:rFonts w:hint="eastAsia" w:ascii="宋体" w:hAnsi="宋体" w:eastAsia="宋体" w:cs="宋体"/>
                <w:bCs/>
                <w:color w:val="auto"/>
                <w:sz w:val="24"/>
                <w:szCs w:val="24"/>
              </w:rPr>
              <w:t>JJF 1522-2015《热水水表型式评价大纲》中检定项目和型式评价试验项目</w:t>
            </w:r>
            <w:r>
              <w:rPr>
                <w:rFonts w:hint="eastAsia" w:ascii="宋体" w:hAnsi="宋体" w:eastAsia="宋体" w:cs="宋体"/>
                <w:color w:val="auto"/>
                <w:sz w:val="24"/>
                <w:szCs w:val="24"/>
              </w:rPr>
              <w:t>的要求；</w:t>
            </w:r>
          </w:p>
          <w:p w14:paraId="7736F38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2、装置符合</w:t>
            </w:r>
            <w:bookmarkStart w:id="7" w:name="OLE_LINK25"/>
            <w:r>
              <w:rPr>
                <w:rFonts w:hint="eastAsia" w:ascii="宋体" w:hAnsi="宋体" w:eastAsia="宋体" w:cs="宋体"/>
                <w:color w:val="auto"/>
                <w:sz w:val="24"/>
                <w:szCs w:val="24"/>
              </w:rPr>
              <w:t>JJG 164-2000《液体流量标准装置检定规程》</w:t>
            </w:r>
            <w:bookmarkEnd w:id="7"/>
            <w:r>
              <w:rPr>
                <w:rFonts w:hint="eastAsia" w:ascii="宋体" w:hAnsi="宋体" w:eastAsia="宋体" w:cs="宋体"/>
                <w:color w:val="auto"/>
                <w:sz w:val="24"/>
                <w:szCs w:val="24"/>
              </w:rPr>
              <w:t>的要求；</w:t>
            </w:r>
          </w:p>
          <w:p w14:paraId="26DD303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3、检表类型：热量表、热水水表。</w:t>
            </w:r>
          </w:p>
          <w:p w14:paraId="79881DD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4、工作原理：静态质量法</w:t>
            </w:r>
          </w:p>
          <w:p w14:paraId="6FC1745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二、技术要求</w:t>
            </w:r>
          </w:p>
          <w:p w14:paraId="1DA2393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1、装置流量扩展不确定度：</w:t>
            </w:r>
            <w:bookmarkStart w:id="8" w:name="OLE_LINK8"/>
            <w:r>
              <w:rPr>
                <w:rFonts w:hint="eastAsia" w:ascii="宋体" w:hAnsi="宋体" w:eastAsia="宋体" w:cs="宋体"/>
                <w:color w:val="auto"/>
                <w:sz w:val="24"/>
                <w:szCs w:val="24"/>
              </w:rPr>
              <w:t>≤0.05%</w:t>
            </w:r>
            <w:bookmarkEnd w:id="8"/>
            <w:r>
              <w:rPr>
                <w:rFonts w:hint="eastAsia" w:ascii="宋体" w:hAnsi="宋体" w:eastAsia="宋体" w:cs="宋体"/>
                <w:color w:val="auto"/>
                <w:sz w:val="24"/>
                <w:szCs w:val="24"/>
              </w:rPr>
              <w:t>（</w:t>
            </w:r>
            <w:r>
              <w:rPr>
                <w:rFonts w:hint="eastAsia" w:ascii="宋体" w:hAnsi="宋体" w:eastAsia="宋体" w:cs="宋体"/>
                <w:i/>
                <w:color w:val="auto"/>
                <w:sz w:val="24"/>
                <w:szCs w:val="24"/>
              </w:rPr>
              <w:t>k</w:t>
            </w:r>
            <w:r>
              <w:rPr>
                <w:rFonts w:hint="eastAsia" w:ascii="宋体" w:hAnsi="宋体" w:eastAsia="宋体" w:cs="宋体"/>
                <w:color w:val="auto"/>
                <w:sz w:val="24"/>
                <w:szCs w:val="24"/>
              </w:rPr>
              <w:t>=2），流量稳定性：≤1%，检定水温波动：≤2℃。</w:t>
            </w:r>
          </w:p>
          <w:p w14:paraId="7C8DC5E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2、装置流量范围：（0.005～40）m³/h，满足热量表5个流量点和热水水表6个流量点的检测。</w:t>
            </w:r>
          </w:p>
          <w:p w14:paraId="140FC39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3、</w:t>
            </w:r>
            <w:r>
              <w:rPr>
                <w:rFonts w:hint="eastAsia" w:ascii="宋体" w:hAnsi="宋体" w:eastAsia="宋体" w:cs="宋体"/>
                <w:bCs/>
                <w:color w:val="auto"/>
                <w:sz w:val="24"/>
                <w:szCs w:val="24"/>
              </w:rPr>
              <w:t>装置水箱温度范围：</w:t>
            </w:r>
            <w:bookmarkStart w:id="9" w:name="OLE_LINK21"/>
            <w:bookmarkStart w:id="10" w:name="OLE_LINK20"/>
            <w:r>
              <w:rPr>
                <w:rFonts w:hint="eastAsia" w:ascii="宋体" w:hAnsi="宋体" w:eastAsia="宋体" w:cs="宋体"/>
                <w:bCs/>
                <w:color w:val="auto"/>
                <w:sz w:val="24"/>
                <w:szCs w:val="24"/>
              </w:rPr>
              <w:t>（5～95）℃</w:t>
            </w:r>
            <w:bookmarkEnd w:id="9"/>
            <w:bookmarkEnd w:id="10"/>
            <w:r>
              <w:rPr>
                <w:rFonts w:hint="eastAsia" w:ascii="宋体" w:hAnsi="宋体" w:eastAsia="宋体" w:cs="宋体"/>
                <w:bCs/>
                <w:color w:val="auto"/>
                <w:sz w:val="24"/>
                <w:szCs w:val="24"/>
              </w:rPr>
              <w:t>。</w:t>
            </w:r>
          </w:p>
          <w:p w14:paraId="7ECF9A5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4、</w:t>
            </w:r>
            <w:r>
              <w:rPr>
                <w:rFonts w:hint="eastAsia" w:ascii="宋体" w:hAnsi="宋体" w:eastAsia="宋体" w:cs="宋体"/>
                <w:color w:val="auto"/>
                <w:sz w:val="24"/>
                <w:szCs w:val="24"/>
              </w:rPr>
              <w:t>口径范围：</w:t>
            </w:r>
            <w:r>
              <w:rPr>
                <w:rFonts w:hint="eastAsia" w:ascii="宋体" w:hAnsi="宋体" w:eastAsia="宋体" w:cs="宋体"/>
                <w:bCs/>
                <w:color w:val="auto"/>
                <w:sz w:val="24"/>
                <w:szCs w:val="24"/>
              </w:rPr>
              <w:t>DN15～DN50。</w:t>
            </w:r>
          </w:p>
          <w:p w14:paraId="2FAC49B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■5、夹表规格及数量： </w:t>
            </w:r>
            <w:r>
              <w:rPr>
                <w:rFonts w:hint="eastAsia" w:ascii="宋体" w:hAnsi="宋体" w:eastAsia="宋体" w:cs="宋体"/>
                <w:bCs/>
                <w:color w:val="auto"/>
                <w:sz w:val="24"/>
                <w:szCs w:val="24"/>
              </w:rPr>
              <w:t>DN15～DN25≥6只、</w:t>
            </w:r>
            <w:bookmarkStart w:id="11" w:name="OLE_LINK4"/>
            <w:bookmarkStart w:id="12" w:name="OLE_LINK5"/>
            <w:r>
              <w:rPr>
                <w:rFonts w:hint="eastAsia" w:ascii="宋体" w:hAnsi="宋体" w:eastAsia="宋体" w:cs="宋体"/>
                <w:bCs/>
                <w:color w:val="auto"/>
                <w:sz w:val="24"/>
                <w:szCs w:val="24"/>
              </w:rPr>
              <w:t>DN32～DN40≥3只、</w:t>
            </w:r>
            <w:bookmarkEnd w:id="11"/>
            <w:bookmarkEnd w:id="12"/>
            <w:r>
              <w:rPr>
                <w:rFonts w:hint="eastAsia" w:ascii="宋体" w:hAnsi="宋体" w:eastAsia="宋体" w:cs="宋体"/>
                <w:bCs/>
                <w:color w:val="auto"/>
                <w:sz w:val="24"/>
                <w:szCs w:val="24"/>
              </w:rPr>
              <w:t>DN50≥2只，热水水表按照热量表尺寸最大数量扩展，满足直管段前10D后5D的要求</w:t>
            </w:r>
            <w:r>
              <w:rPr>
                <w:rFonts w:hint="eastAsia" w:ascii="宋体" w:hAnsi="宋体" w:eastAsia="宋体" w:cs="宋体"/>
                <w:color w:val="auto"/>
                <w:sz w:val="24"/>
                <w:szCs w:val="24"/>
              </w:rPr>
              <w:t xml:space="preserve">（配备直管段）。 </w:t>
            </w:r>
            <w:r>
              <w:rPr>
                <w:rFonts w:hint="eastAsia" w:ascii="宋体" w:hAnsi="宋体" w:eastAsia="宋体" w:cs="宋体"/>
                <w:b/>
                <w:bCs/>
                <w:color w:val="auto"/>
                <w:sz w:val="24"/>
                <w:szCs w:val="24"/>
              </w:rPr>
              <w:t>（投标文件中提供证明材料）</w:t>
            </w:r>
          </w:p>
          <w:p w14:paraId="6C3A496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6、水源动力系统：采用不锈钢多级离心泵，供水系统应采用双泵并联方案(一大一小)，通过变频及控制系统实现自动切换与流量匹配，确保在小流量工况下系统不出现过热、振动等异常。耐温≥120℃。</w:t>
            </w:r>
          </w:p>
          <w:p w14:paraId="5A6D33A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7、稳压罐：容积≥800L，</w:t>
            </w:r>
            <w:bookmarkStart w:id="13" w:name="OLE_LINK15"/>
            <w:bookmarkStart w:id="14" w:name="OLE_LINK16"/>
            <w:r>
              <w:rPr>
                <w:rFonts w:hint="eastAsia" w:ascii="宋体" w:hAnsi="宋体" w:eastAsia="宋体" w:cs="宋体"/>
                <w:color w:val="auto"/>
                <w:sz w:val="24"/>
                <w:szCs w:val="24"/>
              </w:rPr>
              <w:t>保温厚度≥2mm</w:t>
            </w:r>
            <w:bookmarkEnd w:id="13"/>
            <w:bookmarkEnd w:id="14"/>
            <w:r>
              <w:rPr>
                <w:rFonts w:hint="eastAsia" w:ascii="宋体" w:hAnsi="宋体" w:eastAsia="宋体" w:cs="宋体"/>
                <w:color w:val="auto"/>
                <w:sz w:val="24"/>
                <w:szCs w:val="24"/>
              </w:rPr>
              <w:t>，数量：1个。</w:t>
            </w:r>
          </w:p>
          <w:p w14:paraId="2566B66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8、水箱容积：≥2m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 xml:space="preserve"> 材质</w:t>
            </w:r>
            <w:r>
              <w:rPr>
                <w:rFonts w:hint="eastAsia" w:ascii="宋体" w:hAnsi="宋体" w:eastAsia="宋体" w:cs="宋体"/>
                <w:color w:val="auto"/>
                <w:kern w:val="0"/>
                <w:sz w:val="24"/>
                <w:szCs w:val="24"/>
                <w:lang w:bidi="ar"/>
              </w:rPr>
              <w:t>不低于0</w:t>
            </w:r>
            <w:r>
              <w:rPr>
                <w:rFonts w:hint="eastAsia" w:ascii="宋体" w:hAnsi="宋体" w:eastAsia="宋体" w:cs="宋体"/>
                <w:color w:val="auto"/>
                <w:kern w:val="0"/>
                <w:sz w:val="24"/>
                <w:szCs w:val="24"/>
                <w:vertAlign w:val="subscript"/>
                <w:lang w:bidi="ar"/>
              </w:rPr>
              <w:t>6</w:t>
            </w:r>
            <w:r>
              <w:rPr>
                <w:rFonts w:hint="eastAsia" w:ascii="宋体" w:hAnsi="宋体" w:eastAsia="宋体" w:cs="宋体"/>
                <w:color w:val="auto"/>
                <w:kern w:val="0"/>
                <w:sz w:val="24"/>
                <w:szCs w:val="24"/>
                <w:lang w:bidi="ar"/>
              </w:rPr>
              <w:t>Cr</w:t>
            </w:r>
            <w:r>
              <w:rPr>
                <w:rFonts w:hint="eastAsia" w:ascii="宋体" w:hAnsi="宋体" w:eastAsia="宋体" w:cs="宋体"/>
                <w:color w:val="auto"/>
                <w:kern w:val="0"/>
                <w:sz w:val="24"/>
                <w:szCs w:val="24"/>
                <w:vertAlign w:val="subscript"/>
                <w:lang w:bidi="ar"/>
              </w:rPr>
              <w:t>19</w:t>
            </w:r>
            <w:r>
              <w:rPr>
                <w:rFonts w:hint="eastAsia" w:ascii="宋体" w:hAnsi="宋体" w:eastAsia="宋体" w:cs="宋体"/>
                <w:color w:val="auto"/>
                <w:kern w:val="0"/>
                <w:sz w:val="24"/>
                <w:szCs w:val="24"/>
                <w:lang w:bidi="ar"/>
              </w:rPr>
              <w:t>Ni</w:t>
            </w:r>
            <w:r>
              <w:rPr>
                <w:rFonts w:hint="eastAsia" w:ascii="宋体" w:hAnsi="宋体" w:eastAsia="宋体" w:cs="宋体"/>
                <w:color w:val="auto"/>
                <w:kern w:val="0"/>
                <w:sz w:val="24"/>
                <w:szCs w:val="24"/>
                <w:vertAlign w:val="subscript"/>
                <w:lang w:bidi="ar"/>
              </w:rPr>
              <w:t>10</w:t>
            </w:r>
            <w:r>
              <w:rPr>
                <w:rFonts w:hint="eastAsia" w:ascii="宋体" w:hAnsi="宋体" w:eastAsia="宋体" w:cs="宋体"/>
                <w:color w:val="auto"/>
                <w:kern w:val="0"/>
                <w:sz w:val="24"/>
                <w:szCs w:val="24"/>
                <w:lang w:bidi="ar"/>
              </w:rPr>
              <w:t>（304），</w:t>
            </w:r>
            <w:r>
              <w:rPr>
                <w:rFonts w:hint="eastAsia" w:ascii="宋体" w:hAnsi="宋体" w:eastAsia="宋体" w:cs="宋体"/>
                <w:color w:val="auto"/>
                <w:sz w:val="24"/>
                <w:szCs w:val="24"/>
              </w:rPr>
              <w:t>保温厚度≥2mm。</w:t>
            </w:r>
          </w:p>
          <w:p w14:paraId="61A84E6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9、流量控制阀：配备气动阀门，可按照设置自动开关流量调节。材质：不锈钢。</w:t>
            </w:r>
          </w:p>
          <w:p w14:paraId="75D9126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w:t>
            </w:r>
            <w:bookmarkStart w:id="15" w:name="OLE_LINK27"/>
            <w:bookmarkStart w:id="16" w:name="OLE_LINK26"/>
            <w:r>
              <w:rPr>
                <w:rFonts w:hint="eastAsia" w:ascii="宋体" w:hAnsi="宋体" w:eastAsia="宋体" w:cs="宋体"/>
                <w:color w:val="auto"/>
                <w:sz w:val="24"/>
                <w:szCs w:val="24"/>
              </w:rPr>
              <w:t>流量指示装置：</w:t>
            </w:r>
          </w:p>
          <w:p w14:paraId="4E2FD0B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rPr>
              <w:t>10.1 4台电磁流量计；MPE：±0.5%， 重复性：≤0.17%；</w:t>
            </w:r>
            <w:r>
              <w:rPr>
                <w:rFonts w:hint="eastAsia" w:ascii="宋体" w:hAnsi="宋体" w:eastAsia="宋体" w:cs="宋体"/>
                <w:bCs/>
                <w:color w:val="auto"/>
                <w:sz w:val="24"/>
                <w:szCs w:val="24"/>
              </w:rPr>
              <w:t>（DN3</w:t>
            </w:r>
            <w:bookmarkStart w:id="17" w:name="OLE_LINK18"/>
            <w:bookmarkStart w:id="18" w:name="OLE_LINK17"/>
            <w:r>
              <w:rPr>
                <w:rFonts w:hint="eastAsia" w:ascii="宋体" w:hAnsi="宋体" w:eastAsia="宋体" w:cs="宋体"/>
                <w:bCs/>
                <w:color w:val="auto"/>
                <w:sz w:val="24"/>
                <w:szCs w:val="24"/>
              </w:rPr>
              <w:t>/DN10/</w:t>
            </w:r>
            <w:bookmarkEnd w:id="17"/>
            <w:bookmarkEnd w:id="18"/>
            <w:r>
              <w:rPr>
                <w:rFonts w:hint="eastAsia" w:ascii="宋体" w:hAnsi="宋体" w:eastAsia="宋体" w:cs="宋体"/>
                <w:bCs/>
                <w:color w:val="auto"/>
                <w:sz w:val="24"/>
                <w:szCs w:val="24"/>
              </w:rPr>
              <w:t>DN25/DN50各1台）覆盖装置流量范围</w:t>
            </w:r>
            <w:bookmarkEnd w:id="15"/>
            <w:bookmarkEnd w:id="16"/>
            <w:r>
              <w:rPr>
                <w:rFonts w:hint="eastAsia" w:ascii="宋体" w:hAnsi="宋体" w:eastAsia="宋体" w:cs="宋体"/>
                <w:color w:val="auto"/>
                <w:sz w:val="24"/>
                <w:szCs w:val="24"/>
              </w:rPr>
              <w:t>。</w:t>
            </w:r>
          </w:p>
          <w:p w14:paraId="33E33FE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10.2</w:t>
            </w:r>
            <w:r>
              <w:rPr>
                <w:rFonts w:hint="eastAsia" w:ascii="宋体" w:hAnsi="宋体" w:eastAsia="宋体" w:cs="宋体"/>
                <w:b/>
                <w:bCs/>
                <w:color w:val="auto"/>
                <w:kern w:val="0"/>
                <w:sz w:val="24"/>
                <w:szCs w:val="24"/>
              </w:rPr>
              <w:t>投标文件中提供所投</w:t>
            </w:r>
            <w:r>
              <w:rPr>
                <w:rFonts w:hint="eastAsia" w:ascii="宋体" w:hAnsi="宋体" w:eastAsia="宋体" w:cs="宋体"/>
                <w:b/>
                <w:bCs/>
                <w:color w:val="auto"/>
                <w:sz w:val="24"/>
                <w:szCs w:val="24"/>
              </w:rPr>
              <w:t>任意一台流量计法定计量机构校准证书，且检测流量点不低于10个。</w:t>
            </w:r>
          </w:p>
          <w:p w14:paraId="06B7182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w:t>
            </w:r>
            <w:bookmarkStart w:id="19" w:name="OLE_LINK28"/>
            <w:bookmarkStart w:id="20" w:name="OLE_LINK29"/>
            <w:r>
              <w:rPr>
                <w:rFonts w:hint="eastAsia" w:ascii="宋体" w:hAnsi="宋体" w:eastAsia="宋体" w:cs="宋体"/>
                <w:color w:val="auto"/>
                <w:sz w:val="24"/>
                <w:szCs w:val="24"/>
              </w:rPr>
              <w:t>标准器配置：配置3台电子秤，600kg/150kg/30kg各一台，检定分度值≥6000e，能够在工作状态下放置砝码进行标定。</w:t>
            </w:r>
            <w:bookmarkEnd w:id="19"/>
            <w:bookmarkEnd w:id="20"/>
            <w:r>
              <w:rPr>
                <w:rFonts w:hint="eastAsia" w:ascii="宋体" w:hAnsi="宋体" w:eastAsia="宋体" w:cs="宋体"/>
                <w:b/>
                <w:bCs/>
                <w:color w:val="auto"/>
                <w:sz w:val="24"/>
                <w:szCs w:val="24"/>
              </w:rPr>
              <w:t>（投标文件中提供拟配备电子秤铭牌图片作为证明材料）</w:t>
            </w:r>
          </w:p>
          <w:p w14:paraId="34EC17A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12、称量用容器：600L、150L、30L容器各1只；保温厚度≥2mm，材质304不锈钢，放水底阀3个，容器水位超限时，具有自动放水功能。</w:t>
            </w:r>
          </w:p>
          <w:p w14:paraId="16B4653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w:t>
            </w:r>
            <w:bookmarkStart w:id="21" w:name="OLE_LINK33"/>
            <w:bookmarkStart w:id="22" w:name="OLE_LINK34"/>
            <w:r>
              <w:rPr>
                <w:rFonts w:hint="eastAsia" w:ascii="宋体" w:hAnsi="宋体" w:eastAsia="宋体" w:cs="宋体"/>
                <w:color w:val="auto"/>
                <w:sz w:val="24"/>
                <w:szCs w:val="24"/>
              </w:rPr>
              <w:t>恒温槽</w:t>
            </w:r>
          </w:p>
          <w:p w14:paraId="1257838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13.1、恒温槽包含恒温水槽、恒温油槽各一个。</w:t>
            </w:r>
          </w:p>
          <w:p w14:paraId="73B9FA2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13.2</w:t>
            </w:r>
            <w:bookmarkStart w:id="23" w:name="OLE_LINK44"/>
            <w:bookmarkStart w:id="24" w:name="OLE_LINK45"/>
            <w:r>
              <w:rPr>
                <w:rFonts w:hint="eastAsia" w:ascii="宋体" w:hAnsi="宋体" w:eastAsia="宋体" w:cs="宋体"/>
                <w:color w:val="auto"/>
                <w:sz w:val="24"/>
                <w:szCs w:val="24"/>
              </w:rPr>
              <w:t>、恒温水槽</w:t>
            </w:r>
            <w:bookmarkEnd w:id="23"/>
            <w:bookmarkEnd w:id="24"/>
            <w:r>
              <w:rPr>
                <w:rFonts w:hint="eastAsia" w:ascii="宋体" w:hAnsi="宋体" w:eastAsia="宋体" w:cs="宋体"/>
                <w:color w:val="auto"/>
                <w:sz w:val="24"/>
                <w:szCs w:val="24"/>
              </w:rPr>
              <w:t>，其中一个槽体带制冷功能，</w:t>
            </w:r>
            <w:bookmarkStart w:id="25" w:name="OLE_LINK22"/>
            <w:r>
              <w:rPr>
                <w:rFonts w:hint="eastAsia" w:ascii="宋体" w:hAnsi="宋体" w:eastAsia="宋体" w:cs="宋体"/>
                <w:color w:val="auto"/>
                <w:sz w:val="24"/>
                <w:szCs w:val="24"/>
              </w:rPr>
              <w:t>温度范围：</w:t>
            </w:r>
            <w:r>
              <w:rPr>
                <w:rFonts w:hint="eastAsia" w:ascii="宋体" w:hAnsi="宋体" w:eastAsia="宋体" w:cs="宋体"/>
                <w:bCs/>
                <w:color w:val="auto"/>
                <w:sz w:val="24"/>
                <w:szCs w:val="24"/>
              </w:rPr>
              <w:t>（5～95）℃，温度均匀性：最大温差0.01℃，介质：防冻液、纯净水，总功率：4kW</w:t>
            </w:r>
            <w:bookmarkEnd w:id="25"/>
            <w:r>
              <w:rPr>
                <w:rFonts w:hint="eastAsia" w:ascii="宋体" w:hAnsi="宋体" w:eastAsia="宋体" w:cs="宋体"/>
                <w:bCs/>
                <w:color w:val="auto"/>
                <w:sz w:val="24"/>
                <w:szCs w:val="24"/>
              </w:rPr>
              <w:t>。</w:t>
            </w:r>
          </w:p>
          <w:p w14:paraId="4D30A78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13.3、恒温油槽,</w:t>
            </w:r>
            <w:r>
              <w:rPr>
                <w:rFonts w:hint="eastAsia" w:ascii="宋体" w:hAnsi="宋体" w:eastAsia="宋体" w:cs="宋体"/>
                <w:color w:val="auto"/>
                <w:sz w:val="24"/>
                <w:szCs w:val="24"/>
              </w:rPr>
              <w:t xml:space="preserve"> 温度范围：</w:t>
            </w:r>
            <w:r>
              <w:rPr>
                <w:rFonts w:hint="eastAsia" w:ascii="宋体" w:hAnsi="宋体" w:eastAsia="宋体" w:cs="宋体"/>
                <w:bCs/>
                <w:color w:val="auto"/>
                <w:sz w:val="24"/>
                <w:szCs w:val="24"/>
              </w:rPr>
              <w:t>（室温～150）℃，温度均匀性：最大温差0.01℃，介质：硅油，总功率：4kW。</w:t>
            </w:r>
          </w:p>
          <w:bookmarkEnd w:id="21"/>
          <w:bookmarkEnd w:id="22"/>
          <w:p w14:paraId="1472415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■14、读数读取方式：</w:t>
            </w:r>
          </w:p>
          <w:p w14:paraId="3242322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sz w:val="24"/>
                <w:szCs w:val="24"/>
              </w:rPr>
              <w:t>14.1、</w:t>
            </w:r>
            <w:r>
              <w:rPr>
                <w:rFonts w:hint="eastAsia" w:ascii="宋体" w:hAnsi="宋体" w:eastAsia="宋体" w:cs="宋体"/>
                <w:color w:val="auto"/>
                <w:kern w:val="0"/>
                <w:sz w:val="24"/>
                <w:szCs w:val="24"/>
              </w:rPr>
              <w:t>应配备6个的光电读数头，</w:t>
            </w:r>
            <w:r>
              <w:rPr>
                <w:rFonts w:hint="eastAsia" w:ascii="宋体" w:hAnsi="宋体" w:eastAsia="宋体" w:cs="宋体"/>
                <w:color w:val="auto"/>
                <w:sz w:val="24"/>
                <w:szCs w:val="24"/>
              </w:rPr>
              <w:t>热量表通讯采集满足T/CMA RL118-2024《热量表计量通信协技术规范》要求</w:t>
            </w:r>
            <w:r>
              <w:rPr>
                <w:rFonts w:hint="eastAsia" w:ascii="宋体" w:hAnsi="宋体" w:eastAsia="宋体" w:cs="宋体"/>
                <w:color w:val="auto"/>
                <w:kern w:val="0"/>
                <w:sz w:val="24"/>
                <w:szCs w:val="24"/>
              </w:rPr>
              <w:t>的被测表可通过光学接口自动读取瞬时流量、累积流量、功率、累积热量、进回水温度等数据。</w:t>
            </w:r>
          </w:p>
          <w:p w14:paraId="5229CD0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kern w:val="0"/>
                <w:sz w:val="24"/>
                <w:szCs w:val="24"/>
              </w:rPr>
            </w:pPr>
            <w:r>
              <w:rPr>
                <w:rFonts w:hint="eastAsia" w:ascii="宋体" w:hAnsi="宋体" w:eastAsia="宋体" w:cs="宋体"/>
                <w:color w:val="auto"/>
                <w:sz w:val="24"/>
                <w:szCs w:val="24"/>
              </w:rPr>
              <w:t>14.2热水水表采用摄像可动态读取水表指针，自动对焦无需人工调整，在对某些特殊水表无法采样时软件也能实现人工启停法操作，自动计算误差，不影响装置正常使用。</w:t>
            </w:r>
            <w:r>
              <w:rPr>
                <w:rFonts w:hint="eastAsia" w:ascii="宋体" w:hAnsi="宋体" w:eastAsia="宋体" w:cs="宋体"/>
                <w:b/>
                <w:bCs/>
                <w:color w:val="auto"/>
                <w:kern w:val="0"/>
                <w:sz w:val="24"/>
                <w:szCs w:val="24"/>
              </w:rPr>
              <w:t>（投标文件中提供软件数据读取截图、光电读数头外观图片）</w:t>
            </w:r>
          </w:p>
          <w:p w14:paraId="6026338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15、耐压试验：可在控制软件上自由设置试验耐压值，自动平缓地加压，压力最大值不高于2.0MPa；耐压试验无需人工操作加压，完全由压力传感器来控制，最高压力须自动限制保护，并且要具有自动泄压功能。</w:t>
            </w:r>
          </w:p>
          <w:p w14:paraId="2BE5D6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■16、压力实时监测：</w:t>
            </w:r>
            <w:bookmarkStart w:id="26" w:name="OLE_LINK31"/>
            <w:bookmarkStart w:id="27" w:name="OLE_LINK30"/>
            <w:r>
              <w:rPr>
                <w:rFonts w:hint="eastAsia" w:ascii="宋体" w:hAnsi="宋体" w:eastAsia="宋体" w:cs="宋体"/>
                <w:color w:val="auto"/>
                <w:sz w:val="24"/>
                <w:szCs w:val="24"/>
              </w:rPr>
              <w:t>绝压变送器3个，量程为</w:t>
            </w:r>
            <w:bookmarkStart w:id="28" w:name="OLE_LINK38"/>
            <w:bookmarkStart w:id="29" w:name="OLE_LINK37"/>
            <w:r>
              <w:rPr>
                <w:rFonts w:hint="eastAsia" w:ascii="宋体" w:hAnsi="宋体" w:eastAsia="宋体" w:cs="宋体"/>
                <w:color w:val="auto"/>
                <w:sz w:val="24"/>
                <w:szCs w:val="24"/>
              </w:rPr>
              <w:t>（0～4）MPa，</w:t>
            </w:r>
            <w:bookmarkEnd w:id="28"/>
            <w:bookmarkEnd w:id="29"/>
            <w:r>
              <w:rPr>
                <w:rFonts w:hint="eastAsia" w:ascii="宋体" w:hAnsi="宋体" w:eastAsia="宋体" w:cs="宋体"/>
                <w:color w:val="auto"/>
                <w:sz w:val="24"/>
                <w:szCs w:val="24"/>
              </w:rPr>
              <w:t>准确度</w:t>
            </w:r>
            <w:bookmarkStart w:id="30" w:name="OLE_LINK39"/>
            <w:r>
              <w:rPr>
                <w:rFonts w:hint="eastAsia" w:ascii="宋体" w:hAnsi="宋体" w:eastAsia="宋体" w:cs="宋体"/>
                <w:color w:val="auto"/>
                <w:sz w:val="24"/>
                <w:szCs w:val="24"/>
              </w:rPr>
              <w:t>不低于0.5级。</w:t>
            </w:r>
            <w:bookmarkEnd w:id="26"/>
            <w:bookmarkEnd w:id="27"/>
            <w:bookmarkEnd w:id="30"/>
            <w:r>
              <w:rPr>
                <w:rFonts w:hint="eastAsia" w:ascii="宋体" w:hAnsi="宋体" w:eastAsia="宋体" w:cs="宋体"/>
                <w:color w:val="auto"/>
                <w:sz w:val="24"/>
                <w:szCs w:val="24"/>
              </w:rPr>
              <w:t xml:space="preserve"> </w:t>
            </w:r>
          </w:p>
          <w:p w14:paraId="0006353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■17、温度实时监测：</w:t>
            </w:r>
            <w:bookmarkStart w:id="31" w:name="OLE_LINK32"/>
            <w:r>
              <w:rPr>
                <w:rFonts w:hint="eastAsia" w:ascii="宋体" w:hAnsi="宋体" w:eastAsia="宋体" w:cs="宋体"/>
                <w:color w:val="auto"/>
                <w:sz w:val="24"/>
                <w:szCs w:val="24"/>
              </w:rPr>
              <w:t>温度传感器4个，量程为（0～100）℃，</w:t>
            </w:r>
            <w:r>
              <w:rPr>
                <w:rFonts w:hint="eastAsia" w:ascii="宋体" w:hAnsi="宋体" w:eastAsia="宋体" w:cs="宋体"/>
                <w:color w:val="auto"/>
                <w:kern w:val="0"/>
                <w:sz w:val="24"/>
                <w:szCs w:val="24"/>
              </w:rPr>
              <w:t>最大允许误差±0.2℃</w:t>
            </w:r>
            <w:r>
              <w:rPr>
                <w:rFonts w:hint="eastAsia" w:ascii="宋体" w:hAnsi="宋体" w:eastAsia="宋体" w:cs="宋体"/>
                <w:color w:val="auto"/>
                <w:sz w:val="24"/>
                <w:szCs w:val="24"/>
              </w:rPr>
              <w:t>。</w:t>
            </w:r>
            <w:bookmarkEnd w:id="31"/>
            <w:bookmarkStart w:id="32" w:name="OLE_LINK46"/>
            <w:bookmarkStart w:id="33" w:name="OLE_LINK47"/>
            <w:r>
              <w:rPr>
                <w:rFonts w:hint="eastAsia" w:ascii="宋体" w:hAnsi="宋体" w:eastAsia="宋体" w:cs="宋体"/>
                <w:color w:val="auto"/>
                <w:sz w:val="24"/>
                <w:szCs w:val="24"/>
              </w:rPr>
              <w:t>标准铂电阻温度计2个，量程（0～419）℃，准确度等级：二等</w:t>
            </w:r>
            <w:bookmarkEnd w:id="32"/>
            <w:bookmarkEnd w:id="33"/>
            <w:r>
              <w:rPr>
                <w:rFonts w:hint="eastAsia" w:ascii="宋体" w:hAnsi="宋体" w:eastAsia="宋体" w:cs="宋体"/>
                <w:color w:val="auto"/>
                <w:sz w:val="24"/>
                <w:szCs w:val="24"/>
              </w:rPr>
              <w:t>。</w:t>
            </w:r>
          </w:p>
          <w:p w14:paraId="2AE871C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■18、差压测量：</w:t>
            </w:r>
            <w:bookmarkStart w:id="34" w:name="OLE_LINK40"/>
            <w:r>
              <w:rPr>
                <w:rFonts w:hint="eastAsia" w:ascii="宋体" w:hAnsi="宋体" w:eastAsia="宋体" w:cs="宋体"/>
                <w:color w:val="auto"/>
                <w:sz w:val="24"/>
                <w:szCs w:val="24"/>
              </w:rPr>
              <w:t>差压变送器1个，量程（0～150）kPa，准确度不低于0.5级。</w:t>
            </w:r>
            <w:bookmarkEnd w:id="34"/>
          </w:p>
          <w:p w14:paraId="07FB2EA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■19、扰流器：配置1、2、3类流动扰动器及相应接管，尺寸满足GB/T778.2-2018附录I中的要求。</w:t>
            </w:r>
          </w:p>
          <w:p w14:paraId="4F57D9F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20、台体材料：工作台架和称重系统支架采用304不锈钢；采用气动伸缩，伸缩距离满足不同种类及口径被检表要求，材质304不锈钢。</w:t>
            </w:r>
          </w:p>
          <w:p w14:paraId="56B1823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21、装置自动补水功能：</w:t>
            </w:r>
            <w:r>
              <w:rPr>
                <w:rFonts w:hint="eastAsia" w:ascii="宋体" w:hAnsi="宋体" w:eastAsia="宋体" w:cs="宋体"/>
                <w:color w:val="auto"/>
                <w:kern w:val="0"/>
                <w:sz w:val="24"/>
                <w:szCs w:val="24"/>
              </w:rPr>
              <w:t>由于装置运行稳定过高出现液体的蒸发导致液体的减少，为了保证系统的长期运转，增加自动补水装置，自动补水装置可以使用外部水源或自备补水水箱。</w:t>
            </w:r>
          </w:p>
          <w:p w14:paraId="4A1C202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22、计算机软件：能在Windows10平台进行操作，具有数据存盘并备份、原始记录和证书打印、分析统计等功能，同时数据模板具有可操作性，检测项目具有可选择性。软件终生免费升级。</w:t>
            </w:r>
          </w:p>
          <w:p w14:paraId="49C2AB1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23、加热方式：电加热。</w:t>
            </w:r>
          </w:p>
          <w:p w14:paraId="51B8A7F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24、装置总功率：≤45kW。</w:t>
            </w:r>
          </w:p>
          <w:p w14:paraId="5507C91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25、工作环境温度：15℃～35℃。</w:t>
            </w:r>
          </w:p>
          <w:p w14:paraId="300914E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26、装置接口：留有脉冲输入检定接口、M-BUS输入通讯接口。</w:t>
            </w:r>
          </w:p>
          <w:p w14:paraId="5781A2A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kern w:val="0"/>
                <w:sz w:val="24"/>
                <w:szCs w:val="24"/>
              </w:rPr>
            </w:pPr>
            <w:r>
              <w:rPr>
                <w:rFonts w:hint="eastAsia" w:ascii="宋体" w:hAnsi="宋体" w:eastAsia="宋体" w:cs="宋体"/>
                <w:color w:val="auto"/>
                <w:kern w:val="0"/>
                <w:sz w:val="24"/>
                <w:szCs w:val="24"/>
              </w:rPr>
              <w:t>27、装置软件检定项目内容可按要求修改。</w:t>
            </w:r>
          </w:p>
        </w:tc>
        <w:tc>
          <w:tcPr>
            <w:tcW w:w="531" w:type="pct"/>
            <w:vAlign w:val="center"/>
          </w:tcPr>
          <w:p w14:paraId="625BDF7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1套</w:t>
            </w:r>
          </w:p>
        </w:tc>
        <w:tc>
          <w:tcPr>
            <w:tcW w:w="359" w:type="pct"/>
            <w:vAlign w:val="center"/>
          </w:tcPr>
          <w:p w14:paraId="57F486A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工业</w:t>
            </w:r>
          </w:p>
        </w:tc>
      </w:tr>
      <w:tr w14:paraId="3838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4CBDA60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667" w:type="pct"/>
            <w:vAlign w:val="center"/>
          </w:tcPr>
          <w:p w14:paraId="04A0DFD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标准金属量器</w:t>
            </w:r>
          </w:p>
        </w:tc>
        <w:tc>
          <w:tcPr>
            <w:tcW w:w="3075" w:type="pct"/>
          </w:tcPr>
          <w:p w14:paraId="6705F8C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一、基本要求</w:t>
            </w:r>
          </w:p>
          <w:p w14:paraId="5C4669D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1、容量范围：5L、10L、20L、50L、100L、200L、500L。</w:t>
            </w:r>
          </w:p>
          <w:p w14:paraId="655FE4E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2、量器等级：一等。</w:t>
            </w:r>
          </w:p>
          <w:p w14:paraId="0DFFF03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二、</w:t>
            </w:r>
            <w:r>
              <w:rPr>
                <w:rFonts w:hint="eastAsia" w:ascii="宋体" w:hAnsi="宋体" w:eastAsia="宋体" w:cs="宋体"/>
                <w:bCs/>
                <w:color w:val="auto"/>
                <w:sz w:val="24"/>
                <w:szCs w:val="24"/>
              </w:rPr>
              <w:t>技术要求</w:t>
            </w:r>
          </w:p>
          <w:p w14:paraId="7B66FB3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1、外观要求：</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 1 \* GB3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①</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t>铭牌：应标注：规格型号，编号，20</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标准容量，准确度等级，主体材质和厚度、体积膨胀系数，滴流时间，制造日期，制造商名称及地址。</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 2 \* GB3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②</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t>外表面：平整光滑，无毛刺、飞边等缺陷。不得有明显凹凸和其他影响计量性能及使用强度的缺陷。</w:t>
            </w: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 3 \* GB3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rPr>
              <w:t>③</w:t>
            </w:r>
            <w:r>
              <w:rPr>
                <w:rFonts w:hint="eastAsia" w:ascii="宋体" w:hAnsi="宋体" w:eastAsia="宋体" w:cs="宋体"/>
                <w:bCs/>
                <w:color w:val="auto"/>
                <w:sz w:val="24"/>
                <w:szCs w:val="24"/>
              </w:rPr>
              <w:fldChar w:fldCharType="end"/>
            </w:r>
            <w:r>
              <w:rPr>
                <w:rFonts w:hint="eastAsia" w:ascii="宋体" w:hAnsi="宋体" w:eastAsia="宋体" w:cs="宋体"/>
                <w:bCs/>
                <w:color w:val="auto"/>
                <w:sz w:val="24"/>
                <w:szCs w:val="24"/>
              </w:rPr>
              <w:t>焊缝：应焊接牢固，且连接处呈圆滑过渡连接，无虚焊，开焊现象</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fldChar w:fldCharType="begin"/>
            </w:r>
            <w:r>
              <w:rPr>
                <w:rFonts w:hint="eastAsia" w:ascii="宋体" w:hAnsi="宋体" w:eastAsia="宋体" w:cs="宋体"/>
                <w:bCs/>
                <w:color w:val="auto"/>
                <w:sz w:val="24"/>
                <w:szCs w:val="24"/>
              </w:rPr>
              <w:instrText xml:space="preserve"> = 4 \* GB3 </w:instrText>
            </w:r>
            <w:r>
              <w:rPr>
                <w:rFonts w:hint="eastAsia" w:ascii="宋体" w:hAnsi="宋体" w:eastAsia="宋体" w:cs="宋体"/>
                <w:bCs/>
                <w:color w:val="auto"/>
                <w:sz w:val="24"/>
                <w:szCs w:val="24"/>
              </w:rPr>
              <w:fldChar w:fldCharType="separate"/>
            </w:r>
            <w:r>
              <w:rPr>
                <w:rFonts w:hint="eastAsia" w:ascii="宋体" w:hAnsi="宋体" w:eastAsia="宋体" w:cs="宋体"/>
                <w:bCs/>
                <w:color w:val="auto"/>
                <w:sz w:val="24"/>
                <w:szCs w:val="24"/>
              </w:rPr>
              <w:t>④</w:t>
            </w:r>
            <w:r>
              <w:rPr>
                <w:rFonts w:hint="eastAsia" w:ascii="宋体" w:hAnsi="宋体" w:eastAsia="宋体" w:cs="宋体"/>
                <w:bCs/>
                <w:color w:val="auto"/>
                <w:sz w:val="24"/>
                <w:szCs w:val="24"/>
              </w:rPr>
              <w:fldChar w:fldCharType="end"/>
            </w:r>
            <w:r>
              <w:rPr>
                <w:rFonts w:hint="eastAsia" w:ascii="宋体" w:hAnsi="宋体" w:eastAsia="宋体" w:cs="宋体"/>
                <w:bCs/>
                <w:color w:val="auto"/>
                <w:sz w:val="24"/>
                <w:szCs w:val="24"/>
              </w:rPr>
              <w:t>螺栓连接：螺栓连接应牢固，应加防松垫圈或使用防松螺母。</w:t>
            </w:r>
          </w:p>
          <w:p w14:paraId="58C7922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2、材质：标准金属量器主体材质为不锈钢（0</w:t>
            </w:r>
            <w:r>
              <w:rPr>
                <w:rFonts w:hint="eastAsia" w:ascii="宋体" w:hAnsi="宋体" w:eastAsia="宋体" w:cs="宋体"/>
                <w:bCs/>
                <w:color w:val="auto"/>
                <w:sz w:val="24"/>
                <w:szCs w:val="24"/>
                <w:vertAlign w:val="subscript"/>
              </w:rPr>
              <w:t>6</w:t>
            </w:r>
            <w:r>
              <w:rPr>
                <w:rFonts w:hint="eastAsia" w:ascii="宋体" w:hAnsi="宋体" w:eastAsia="宋体" w:cs="宋体"/>
                <w:bCs/>
                <w:color w:val="auto"/>
                <w:sz w:val="24"/>
                <w:szCs w:val="24"/>
              </w:rPr>
              <w:t>Cr</w:t>
            </w:r>
            <w:r>
              <w:rPr>
                <w:rFonts w:hint="eastAsia" w:ascii="宋体" w:hAnsi="宋体" w:eastAsia="宋体" w:cs="宋体"/>
                <w:bCs/>
                <w:color w:val="auto"/>
                <w:sz w:val="24"/>
                <w:szCs w:val="24"/>
                <w:vertAlign w:val="subscript"/>
              </w:rPr>
              <w:t>19</w:t>
            </w:r>
            <w:r>
              <w:rPr>
                <w:rFonts w:hint="eastAsia" w:ascii="宋体" w:hAnsi="宋体" w:eastAsia="宋体" w:cs="宋体"/>
                <w:bCs/>
                <w:color w:val="auto"/>
                <w:sz w:val="24"/>
                <w:szCs w:val="24"/>
              </w:rPr>
              <w:t>Ni</w:t>
            </w:r>
            <w:r>
              <w:rPr>
                <w:rFonts w:hint="eastAsia" w:ascii="宋体" w:hAnsi="宋体" w:eastAsia="宋体" w:cs="宋体"/>
                <w:bCs/>
                <w:color w:val="auto"/>
                <w:sz w:val="24"/>
                <w:szCs w:val="24"/>
                <w:vertAlign w:val="subscript"/>
              </w:rPr>
              <w:t>10</w:t>
            </w:r>
            <w:r>
              <w:rPr>
                <w:rFonts w:hint="eastAsia" w:ascii="宋体" w:hAnsi="宋体" w:eastAsia="宋体" w:cs="宋体"/>
                <w:bCs/>
                <w:color w:val="auto"/>
                <w:sz w:val="24"/>
                <w:szCs w:val="24"/>
              </w:rPr>
              <w:t>，统一数字代号S30408）</w:t>
            </w:r>
          </w:p>
          <w:p w14:paraId="5A8571F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3、壁厚：壁厚指标准金属量器主体圆筒体及上锥体、下锥体钢板厚度，应符合下表要求：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2"/>
              <w:gridCol w:w="2953"/>
            </w:tblGrid>
            <w:tr w14:paraId="4855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tcPr>
                <w:p w14:paraId="4C42040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标称容量L</w:t>
                  </w:r>
                </w:p>
              </w:tc>
              <w:tc>
                <w:tcPr>
                  <w:tcW w:w="2953" w:type="dxa"/>
                </w:tcPr>
                <w:p w14:paraId="3B5C1A4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壁厚mm</w:t>
                  </w:r>
                </w:p>
              </w:tc>
            </w:tr>
            <w:tr w14:paraId="77A0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tcPr>
                <w:p w14:paraId="5583824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5~50</w:t>
                  </w:r>
                </w:p>
              </w:tc>
              <w:tc>
                <w:tcPr>
                  <w:tcW w:w="2953" w:type="dxa"/>
                </w:tcPr>
                <w:p w14:paraId="4FABFD8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w:t>
                  </w:r>
                  <w:r>
                    <w:rPr>
                      <w:rFonts w:hint="eastAsia" w:ascii="宋体" w:hAnsi="宋体" w:eastAsia="宋体" w:cs="宋体"/>
                      <w:color w:val="auto"/>
                      <w:kern w:val="0"/>
                      <w:sz w:val="24"/>
                      <w:szCs w:val="24"/>
                      <w:vertAlign w:val="subscript"/>
                    </w:rPr>
                    <w:t>-0.2</w:t>
                  </w:r>
                </w:p>
              </w:tc>
            </w:tr>
            <w:tr w14:paraId="2DD9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tcPr>
                <w:p w14:paraId="3517E1D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100</w:t>
                  </w:r>
                </w:p>
              </w:tc>
              <w:tc>
                <w:tcPr>
                  <w:tcW w:w="2953" w:type="dxa"/>
                </w:tcPr>
                <w:p w14:paraId="7081F63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r>
                    <w:rPr>
                      <w:rFonts w:hint="eastAsia" w:ascii="宋体" w:hAnsi="宋体" w:eastAsia="宋体" w:cs="宋体"/>
                      <w:color w:val="auto"/>
                      <w:kern w:val="0"/>
                      <w:sz w:val="24"/>
                      <w:szCs w:val="24"/>
                      <w:vertAlign w:val="subscript"/>
                    </w:rPr>
                    <w:t>-0.2</w:t>
                  </w:r>
                </w:p>
              </w:tc>
            </w:tr>
            <w:tr w14:paraId="7B00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tcPr>
                <w:p w14:paraId="0B0AF70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200</w:t>
                  </w:r>
                </w:p>
              </w:tc>
              <w:tc>
                <w:tcPr>
                  <w:tcW w:w="2953" w:type="dxa"/>
                </w:tcPr>
                <w:p w14:paraId="6A9ACBB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≥4.0</w:t>
                  </w:r>
                  <w:r>
                    <w:rPr>
                      <w:rFonts w:hint="eastAsia" w:ascii="宋体" w:hAnsi="宋体" w:eastAsia="宋体" w:cs="宋体"/>
                      <w:color w:val="auto"/>
                      <w:kern w:val="0"/>
                      <w:sz w:val="24"/>
                      <w:szCs w:val="24"/>
                      <w:vertAlign w:val="subscript"/>
                    </w:rPr>
                    <w:t>-0.2</w:t>
                  </w:r>
                </w:p>
              </w:tc>
            </w:tr>
            <w:tr w14:paraId="24AA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tcPr>
                <w:p w14:paraId="4D6B0D8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500</w:t>
                  </w:r>
                </w:p>
              </w:tc>
              <w:tc>
                <w:tcPr>
                  <w:tcW w:w="2953" w:type="dxa"/>
                </w:tcPr>
                <w:p w14:paraId="2605C82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≥5.0</w:t>
                  </w:r>
                  <w:r>
                    <w:rPr>
                      <w:rFonts w:hint="eastAsia" w:ascii="宋体" w:hAnsi="宋体" w:eastAsia="宋体" w:cs="宋体"/>
                      <w:color w:val="auto"/>
                      <w:kern w:val="0"/>
                      <w:sz w:val="24"/>
                      <w:szCs w:val="24"/>
                      <w:vertAlign w:val="subscript"/>
                    </w:rPr>
                    <w:t>-0.2</w:t>
                  </w:r>
                </w:p>
              </w:tc>
            </w:tr>
          </w:tbl>
          <w:p w14:paraId="0EDEEE6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sz w:val="24"/>
                <w:szCs w:val="24"/>
              </w:rPr>
              <w:t>■</w:t>
            </w:r>
            <w:r>
              <w:rPr>
                <w:rFonts w:hint="eastAsia" w:ascii="宋体" w:hAnsi="宋体" w:eastAsia="宋体" w:cs="宋体"/>
                <w:color w:val="auto"/>
                <w:kern w:val="0"/>
                <w:sz w:val="24"/>
                <w:szCs w:val="24"/>
              </w:rPr>
              <w:t xml:space="preserve">4、阀门：手动阀门（球阀、蝶阀），明确标识“进液”、“排液”。阀门闭合时不得有任何漏水、渗水。不得使用油脂密封。如采用螺纹连接方式的阀门，应使用缩紧螺母缩紧，防止松动。采用法兰或其他形式连接的，均应保证阀门连接牢靠，不因搬动、运输松动。阀门通径满足以下要求：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2"/>
              <w:gridCol w:w="2953"/>
            </w:tblGrid>
            <w:tr w14:paraId="5ADD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952" w:type="dxa"/>
                </w:tcPr>
                <w:p w14:paraId="6859704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标称容量L</w:t>
                  </w:r>
                </w:p>
              </w:tc>
              <w:tc>
                <w:tcPr>
                  <w:tcW w:w="2953" w:type="dxa"/>
                </w:tcPr>
                <w:p w14:paraId="07764D5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阀门通径mm</w:t>
                  </w:r>
                </w:p>
              </w:tc>
            </w:tr>
            <w:tr w14:paraId="5987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2" w:type="dxa"/>
                </w:tcPr>
                <w:p w14:paraId="5E0A0BA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2953" w:type="dxa"/>
                </w:tcPr>
                <w:p w14:paraId="057DB11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9~11</w:t>
                  </w:r>
                </w:p>
              </w:tc>
            </w:tr>
            <w:tr w14:paraId="4EDB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2" w:type="dxa"/>
                </w:tcPr>
                <w:p w14:paraId="7FC67F4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10、20</w:t>
                  </w:r>
                </w:p>
              </w:tc>
              <w:tc>
                <w:tcPr>
                  <w:tcW w:w="2953" w:type="dxa"/>
                </w:tcPr>
                <w:p w14:paraId="5F456CD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11~13</w:t>
                  </w:r>
                </w:p>
              </w:tc>
            </w:tr>
            <w:tr w14:paraId="2EB9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2" w:type="dxa"/>
                </w:tcPr>
                <w:p w14:paraId="2A1DB4A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50、100</w:t>
                  </w:r>
                </w:p>
              </w:tc>
              <w:tc>
                <w:tcPr>
                  <w:tcW w:w="2953" w:type="dxa"/>
                </w:tcPr>
                <w:p w14:paraId="238E745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24~26</w:t>
                  </w:r>
                </w:p>
              </w:tc>
            </w:tr>
            <w:tr w14:paraId="718A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2" w:type="dxa"/>
                </w:tcPr>
                <w:p w14:paraId="0E3BBC1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200</w:t>
                  </w:r>
                </w:p>
              </w:tc>
              <w:tc>
                <w:tcPr>
                  <w:tcW w:w="2953" w:type="dxa"/>
                </w:tcPr>
                <w:p w14:paraId="409BBE4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30~32</w:t>
                  </w:r>
                </w:p>
              </w:tc>
            </w:tr>
            <w:tr w14:paraId="34B6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2" w:type="dxa"/>
                </w:tcPr>
                <w:p w14:paraId="73CAF9D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500</w:t>
                  </w:r>
                </w:p>
              </w:tc>
              <w:tc>
                <w:tcPr>
                  <w:tcW w:w="2953" w:type="dxa"/>
                </w:tcPr>
                <w:p w14:paraId="6716846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38~40</w:t>
                  </w:r>
                </w:p>
              </w:tc>
            </w:tr>
          </w:tbl>
          <w:p w14:paraId="5B36283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5、管道视镜：为观察排液时流出的检定介质情况，阀门排液管应有尺寸适当的管道视镜。</w:t>
            </w:r>
          </w:p>
          <w:p w14:paraId="51B2E17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6、量器上、下锥体：上、下锥体锥角均应≤120°,锥体母线与主体夹角≥120°。</w:t>
            </w:r>
          </w:p>
          <w:p w14:paraId="0EAADD3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sz w:val="24"/>
                <w:szCs w:val="24"/>
              </w:rPr>
              <w:t>■</w:t>
            </w:r>
            <w:r>
              <w:rPr>
                <w:rFonts w:hint="eastAsia" w:ascii="宋体" w:hAnsi="宋体" w:eastAsia="宋体" w:cs="宋体"/>
                <w:color w:val="auto"/>
                <w:kern w:val="0"/>
                <w:sz w:val="24"/>
                <w:szCs w:val="24"/>
              </w:rPr>
              <w:t>7、水准器</w:t>
            </w:r>
          </w:p>
          <w:p w14:paraId="4E54B47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标准金属量器主体位置上安装圆形水准器，或在两相互垂直水平方向安装管状水平器。计量颈处于垂直状态，水准器液泡应处于中央位置。</w:t>
            </w:r>
          </w:p>
          <w:p w14:paraId="44FF0E9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sz w:val="24"/>
                <w:szCs w:val="24"/>
              </w:rPr>
              <w:t>■</w:t>
            </w:r>
            <w:r>
              <w:rPr>
                <w:rFonts w:hint="eastAsia" w:ascii="宋体" w:hAnsi="宋体" w:eastAsia="宋体" w:cs="宋体"/>
                <w:color w:val="auto"/>
                <w:kern w:val="0"/>
                <w:sz w:val="24"/>
                <w:szCs w:val="24"/>
              </w:rPr>
              <w:t>8、调平螺栓和地脚</w:t>
            </w:r>
          </w:p>
          <w:p w14:paraId="4D3B197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应牢固地焊接或螺栓连接，用于标准金属量器支持，固定和调整水平。材质为不锈钢。</w:t>
            </w:r>
          </w:p>
          <w:p w14:paraId="6384D74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9、时效处理</w:t>
            </w:r>
          </w:p>
          <w:p w14:paraId="1839C25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新制造的标准金属量器应进行人工时效或自然时效处理，消除残余应力。</w:t>
            </w:r>
          </w:p>
          <w:p w14:paraId="3C8C2D4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10、计量颈</w:t>
            </w:r>
          </w:p>
          <w:p w14:paraId="665449F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计量颈分度容积满足以下要求：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2"/>
              <w:gridCol w:w="2953"/>
            </w:tblGrid>
            <w:tr w14:paraId="09F4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366359C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标称容量L</w:t>
                  </w:r>
                </w:p>
              </w:tc>
              <w:tc>
                <w:tcPr>
                  <w:tcW w:w="2953" w:type="dxa"/>
                  <w:vAlign w:val="center"/>
                </w:tcPr>
                <w:p w14:paraId="4074F20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计量颈分度容积mL/mm</w:t>
                  </w:r>
                </w:p>
              </w:tc>
            </w:tr>
            <w:tr w14:paraId="5745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7B70924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2953" w:type="dxa"/>
                  <w:vAlign w:val="center"/>
                </w:tcPr>
                <w:p w14:paraId="1658C39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0.113~0.125</w:t>
                  </w:r>
                </w:p>
              </w:tc>
            </w:tr>
            <w:tr w14:paraId="5533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62CBA1E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w:t>
                  </w:r>
                </w:p>
              </w:tc>
              <w:tc>
                <w:tcPr>
                  <w:tcW w:w="2953" w:type="dxa"/>
                  <w:vAlign w:val="center"/>
                </w:tcPr>
                <w:p w14:paraId="21AEFEA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0.225~0.250</w:t>
                  </w:r>
                </w:p>
              </w:tc>
            </w:tr>
            <w:tr w14:paraId="7F97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440EA24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w:t>
                  </w:r>
                </w:p>
              </w:tc>
              <w:tc>
                <w:tcPr>
                  <w:tcW w:w="2953" w:type="dxa"/>
                  <w:vAlign w:val="center"/>
                </w:tcPr>
                <w:p w14:paraId="30CFBC8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0.450~0.500</w:t>
                  </w:r>
                </w:p>
              </w:tc>
            </w:tr>
            <w:tr w14:paraId="1050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009E6B3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50</w:t>
                  </w:r>
                </w:p>
              </w:tc>
              <w:tc>
                <w:tcPr>
                  <w:tcW w:w="2953" w:type="dxa"/>
                  <w:vAlign w:val="center"/>
                </w:tcPr>
                <w:p w14:paraId="6004E90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1.125~1.250</w:t>
                  </w:r>
                </w:p>
              </w:tc>
            </w:tr>
            <w:tr w14:paraId="5A05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254F9AC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100</w:t>
                  </w:r>
                </w:p>
              </w:tc>
              <w:tc>
                <w:tcPr>
                  <w:tcW w:w="2953" w:type="dxa"/>
                  <w:vAlign w:val="center"/>
                </w:tcPr>
                <w:p w14:paraId="4D9380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2.250~2.500</w:t>
                  </w:r>
                </w:p>
              </w:tc>
            </w:tr>
            <w:tr w14:paraId="36AE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242BA18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200</w:t>
                  </w:r>
                </w:p>
              </w:tc>
              <w:tc>
                <w:tcPr>
                  <w:tcW w:w="2953" w:type="dxa"/>
                  <w:vAlign w:val="center"/>
                </w:tcPr>
                <w:p w14:paraId="429AD3C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4.500~5.000</w:t>
                  </w:r>
                </w:p>
              </w:tc>
            </w:tr>
            <w:tr w14:paraId="30D0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2BAD724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500</w:t>
                  </w:r>
                </w:p>
              </w:tc>
              <w:tc>
                <w:tcPr>
                  <w:tcW w:w="2953" w:type="dxa"/>
                  <w:vAlign w:val="center"/>
                </w:tcPr>
                <w:p w14:paraId="40543C0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11.250~12.500</w:t>
                  </w:r>
                </w:p>
              </w:tc>
            </w:tr>
          </w:tbl>
          <w:p w14:paraId="4997BF0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p>
        </w:tc>
        <w:tc>
          <w:tcPr>
            <w:tcW w:w="531" w:type="pct"/>
            <w:vAlign w:val="center"/>
          </w:tcPr>
          <w:p w14:paraId="1D7ED73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7台</w:t>
            </w:r>
          </w:p>
        </w:tc>
        <w:tc>
          <w:tcPr>
            <w:tcW w:w="359" w:type="pct"/>
            <w:vAlign w:val="center"/>
          </w:tcPr>
          <w:p w14:paraId="0D0A6F0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工业</w:t>
            </w:r>
          </w:p>
        </w:tc>
      </w:tr>
      <w:tr w14:paraId="47C8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17ED4BD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667" w:type="pct"/>
            <w:vAlign w:val="center"/>
          </w:tcPr>
          <w:p w14:paraId="2FA6C68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
                <w:color w:val="auto"/>
                <w:sz w:val="24"/>
                <w:szCs w:val="24"/>
              </w:rPr>
              <w:t>▲</w:t>
            </w:r>
            <w:r>
              <w:rPr>
                <w:rFonts w:hint="eastAsia" w:ascii="宋体" w:hAnsi="宋体" w:eastAsia="宋体" w:cs="宋体"/>
                <w:color w:val="auto"/>
                <w:sz w:val="24"/>
                <w:szCs w:val="24"/>
              </w:rPr>
              <w:t>临界流文丘里喷嘴法流量标准装置</w:t>
            </w:r>
          </w:p>
        </w:tc>
        <w:tc>
          <w:tcPr>
            <w:tcW w:w="3075" w:type="pct"/>
            <w:vAlign w:val="center"/>
          </w:tcPr>
          <w:p w14:paraId="1A84A21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一、基本要求：</w:t>
            </w:r>
          </w:p>
          <w:p w14:paraId="6989147E">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装置可对下列计量器具依据现行检定规程、校准规范、标准、型式评价大纲等开展检定、校准、检测、检验以及型式评价中流量误差的检验：气体容积式流量计、涡街流量计、涡轮流量计、差压流量计、科里奥利质量流量计、超声流量计、热式气体质量流量计。</w:t>
            </w:r>
          </w:p>
          <w:p w14:paraId="33CA586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2.装置符合JJF1240-2010《临界流文丘里喷嘴法气体流量标准装置校准规范》的要求；</w:t>
            </w:r>
          </w:p>
          <w:p w14:paraId="4E7F85B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二、技术要求</w:t>
            </w:r>
          </w:p>
          <w:p w14:paraId="6F7D6E1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 装置流量范围：（1～7000）m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/h。</w:t>
            </w:r>
          </w:p>
          <w:p w14:paraId="3588C74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2.</w:t>
            </w:r>
            <w:r>
              <w:rPr>
                <w:rFonts w:hint="eastAsia" w:ascii="宋体" w:hAnsi="宋体" w:eastAsia="宋体" w:cs="宋体"/>
                <w:color w:val="auto"/>
                <w:kern w:val="2"/>
                <w:sz w:val="24"/>
                <w:szCs w:val="24"/>
                <w:lang w:val="en-US" w:eastAsia="zh-CN" w:bidi="ar-SA"/>
              </w:rPr>
              <w:t xml:space="preserve"> 检定流量计管径：DN15～DN300mm。</w:t>
            </w:r>
          </w:p>
          <w:p w14:paraId="5E5DB94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 装置扩展不确定度</w:t>
            </w:r>
            <w:r>
              <w:rPr>
                <w:rFonts w:hint="eastAsia" w:ascii="宋体" w:hAnsi="宋体" w:eastAsia="宋体" w:cs="宋体"/>
                <w:i/>
                <w:color w:val="auto"/>
                <w:kern w:val="2"/>
                <w:sz w:val="24"/>
                <w:szCs w:val="24"/>
                <w:lang w:val="en-US" w:eastAsia="zh-CN" w:bidi="ar-SA"/>
              </w:rPr>
              <w:t>U</w:t>
            </w:r>
            <w:r>
              <w:rPr>
                <w:rFonts w:hint="eastAsia" w:ascii="宋体" w:hAnsi="宋体" w:eastAsia="宋体" w:cs="宋体"/>
                <w:color w:val="auto"/>
                <w:kern w:val="2"/>
                <w:sz w:val="24"/>
                <w:szCs w:val="24"/>
                <w:vertAlign w:val="subscript"/>
                <w:lang w:val="en-US" w:eastAsia="zh-CN" w:bidi="ar-SA"/>
              </w:rPr>
              <w:t>rel</w:t>
            </w:r>
            <w:r>
              <w:rPr>
                <w:rFonts w:hint="eastAsia" w:ascii="宋体" w:hAnsi="宋体" w:eastAsia="宋体" w:cs="宋体"/>
                <w:color w:val="auto"/>
                <w:kern w:val="2"/>
                <w:sz w:val="24"/>
                <w:szCs w:val="24"/>
                <w:lang w:val="en-US" w:eastAsia="zh-CN" w:bidi="ar-SA"/>
              </w:rPr>
              <w:t>≤0.33%，(</w:t>
            </w:r>
            <w:r>
              <w:rPr>
                <w:rFonts w:hint="eastAsia" w:ascii="宋体" w:hAnsi="宋体" w:eastAsia="宋体" w:cs="宋体"/>
                <w:i/>
                <w:color w:val="auto"/>
                <w:kern w:val="2"/>
                <w:sz w:val="24"/>
                <w:szCs w:val="24"/>
                <w:lang w:val="en-US" w:eastAsia="zh-CN" w:bidi="ar-SA"/>
              </w:rPr>
              <w:t>k</w:t>
            </w:r>
            <w:r>
              <w:rPr>
                <w:rFonts w:hint="eastAsia" w:ascii="宋体" w:hAnsi="宋体" w:eastAsia="宋体" w:cs="宋体"/>
                <w:color w:val="auto"/>
                <w:kern w:val="2"/>
                <w:sz w:val="24"/>
                <w:szCs w:val="24"/>
                <w:lang w:val="en-US" w:eastAsia="zh-CN" w:bidi="ar-SA"/>
              </w:rPr>
              <w:t>=2)。</w:t>
            </w:r>
          </w:p>
          <w:p w14:paraId="2F60577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2"/>
                <w:sz w:val="24"/>
                <w:szCs w:val="24"/>
                <w:lang w:val="en-US" w:eastAsia="zh-CN" w:bidi="ar-SA"/>
              </w:rPr>
              <w:t>4. 装置稳定性：≤0.3%。</w:t>
            </w:r>
          </w:p>
          <w:p w14:paraId="0881114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 文丘里喷嘴：准确度等级：0.2级或测量不确定度</w:t>
            </w:r>
            <w:r>
              <w:rPr>
                <w:rFonts w:hint="eastAsia" w:ascii="宋体" w:hAnsi="宋体" w:eastAsia="宋体" w:cs="宋体"/>
                <w:i/>
                <w:color w:val="auto"/>
                <w:kern w:val="2"/>
                <w:sz w:val="24"/>
                <w:szCs w:val="24"/>
                <w:lang w:val="en-US" w:eastAsia="zh-CN" w:bidi="ar-SA"/>
              </w:rPr>
              <w:t>U</w:t>
            </w:r>
            <w:r>
              <w:rPr>
                <w:rFonts w:hint="eastAsia" w:ascii="宋体" w:hAnsi="宋体" w:eastAsia="宋体" w:cs="宋体"/>
                <w:color w:val="auto"/>
                <w:kern w:val="2"/>
                <w:sz w:val="24"/>
                <w:szCs w:val="24"/>
                <w:vertAlign w:val="subscript"/>
                <w:lang w:val="en-US" w:eastAsia="zh-CN" w:bidi="ar-SA"/>
              </w:rPr>
              <w:t>rel</w:t>
            </w:r>
            <w:r>
              <w:rPr>
                <w:rFonts w:hint="eastAsia" w:ascii="宋体" w:hAnsi="宋体" w:eastAsia="宋体" w:cs="宋体"/>
                <w:color w:val="auto"/>
                <w:kern w:val="2"/>
                <w:sz w:val="24"/>
                <w:szCs w:val="24"/>
                <w:lang w:val="en-US" w:eastAsia="zh-CN" w:bidi="ar-SA"/>
              </w:rPr>
              <w:t>≤0.2%，(</w:t>
            </w:r>
            <w:r>
              <w:rPr>
                <w:rFonts w:hint="eastAsia" w:ascii="宋体" w:hAnsi="宋体" w:eastAsia="宋体" w:cs="宋体"/>
                <w:i/>
                <w:color w:val="auto"/>
                <w:kern w:val="2"/>
                <w:sz w:val="24"/>
                <w:szCs w:val="24"/>
                <w:lang w:val="en-US" w:eastAsia="zh-CN" w:bidi="ar-SA"/>
              </w:rPr>
              <w:t>k</w:t>
            </w:r>
            <w:r>
              <w:rPr>
                <w:rFonts w:hint="eastAsia" w:ascii="宋体" w:hAnsi="宋体" w:eastAsia="宋体" w:cs="宋体"/>
                <w:color w:val="auto"/>
                <w:kern w:val="2"/>
                <w:sz w:val="24"/>
                <w:szCs w:val="24"/>
                <w:lang w:val="en-US" w:eastAsia="zh-CN" w:bidi="ar-SA"/>
              </w:rPr>
              <w:t>=2)。</w:t>
            </w:r>
          </w:p>
          <w:p w14:paraId="5FE252D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2"/>
                <w:sz w:val="24"/>
                <w:szCs w:val="24"/>
                <w:lang w:val="en-US" w:eastAsia="zh-CN" w:bidi="ar-SA"/>
              </w:rPr>
              <w:t>6.</w:t>
            </w:r>
            <w:r>
              <w:rPr>
                <w:rFonts w:hint="eastAsia" w:ascii="宋体" w:hAnsi="宋体" w:eastAsia="宋体" w:cs="宋体"/>
                <w:color w:val="auto"/>
                <w:kern w:val="0"/>
                <w:sz w:val="24"/>
                <w:szCs w:val="24"/>
                <w:lang w:val="en-US" w:eastAsia="zh-CN" w:bidi="ar-SA"/>
              </w:rPr>
              <w:t xml:space="preserve"> 喷嘴组合能满足（1～7000）m</w:t>
            </w:r>
            <w:r>
              <w:rPr>
                <w:rFonts w:hint="eastAsia" w:ascii="宋体" w:hAnsi="宋体" w:eastAsia="宋体" w:cs="宋体"/>
                <w:color w:val="auto"/>
                <w:kern w:val="0"/>
                <w:sz w:val="24"/>
                <w:szCs w:val="24"/>
                <w:vertAlign w:val="superscript"/>
                <w:lang w:val="en-US" w:eastAsia="zh-CN" w:bidi="ar-SA"/>
              </w:rPr>
              <w:t>3</w:t>
            </w:r>
            <w:r>
              <w:rPr>
                <w:rFonts w:hint="eastAsia" w:ascii="宋体" w:hAnsi="宋体" w:eastAsia="宋体" w:cs="宋体"/>
                <w:color w:val="auto"/>
                <w:kern w:val="0"/>
                <w:sz w:val="24"/>
                <w:szCs w:val="24"/>
                <w:lang w:val="en-US" w:eastAsia="zh-CN" w:bidi="ar-SA"/>
              </w:rPr>
              <w:t>/h中任意整数流量值的选择，实际流量值与设定流量值间偏差应＜5%。</w:t>
            </w:r>
          </w:p>
          <w:p w14:paraId="64D317F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7. 每个喷嘴处安装气动阀门，用于各喷嘴的开关，喷嘴的日常维修、送检拆卸应便捷易操作。</w:t>
            </w:r>
          </w:p>
          <w:p w14:paraId="689AF24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z w:val="24"/>
                <w:szCs w:val="24"/>
              </w:rPr>
              <w:t>8. 绝压变送器：用于各测量管道、滞止容器和真空容器中压力测量。数量：不少于6台；量程：0～110kPa；准确度等级：≤0.1级；供电电压：DC24V；输出信号：4～20mA。</w:t>
            </w:r>
          </w:p>
          <w:p w14:paraId="3F83DE6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z w:val="24"/>
                <w:szCs w:val="24"/>
              </w:rPr>
              <w:t>9. 温度变送器：用于各测量管道、滞止容器和真空容器中温度测量。数量：不少于6台；量程：（0～50）℃；</w:t>
            </w:r>
            <w:bookmarkStart w:id="35" w:name="OLE_LINK19"/>
            <w:bookmarkStart w:id="36" w:name="OLE_LINK11"/>
            <w:r>
              <w:rPr>
                <w:rFonts w:hint="eastAsia" w:ascii="宋体" w:hAnsi="宋体" w:eastAsia="宋体" w:cs="宋体"/>
                <w:color w:val="auto"/>
                <w:sz w:val="24"/>
                <w:szCs w:val="24"/>
              </w:rPr>
              <w:t>分度值≤0.1℃，最大允许误差：MPE≤±0.2℃</w:t>
            </w:r>
            <w:bookmarkEnd w:id="35"/>
            <w:bookmarkEnd w:id="36"/>
            <w:r>
              <w:rPr>
                <w:rFonts w:hint="eastAsia" w:ascii="宋体" w:hAnsi="宋体" w:eastAsia="宋体" w:cs="宋体"/>
                <w:color w:val="auto"/>
                <w:sz w:val="24"/>
                <w:szCs w:val="24"/>
              </w:rPr>
              <w:t>；供电电压：DC24V；输出信号：4～20mA。</w:t>
            </w:r>
          </w:p>
          <w:p w14:paraId="2EC1697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z w:val="24"/>
                <w:szCs w:val="24"/>
              </w:rPr>
              <w:t>10. 湿度变送器：量程：（0～100）%RH；最大允许误差：MPE≤±5% RH；供电：DC24V；输出信号：4～20mA。</w:t>
            </w:r>
          </w:p>
          <w:p w14:paraId="06F2A06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z w:val="24"/>
                <w:szCs w:val="24"/>
              </w:rPr>
              <w:t>11. 差压变送器：量程：0～150kPa；准确度等级：≤0.1级；供电电压：DC24V；输出信号：4～20mA。</w:t>
            </w:r>
          </w:p>
          <w:p w14:paraId="7420DE6E">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z w:val="24"/>
                <w:szCs w:val="24"/>
              </w:rPr>
              <w:t>12. 晶振（计时器）：计时分辨率不大于0.001s；晶振8h稳定度≤1×10</w:t>
            </w:r>
            <w:r>
              <w:rPr>
                <w:rFonts w:hint="eastAsia" w:ascii="宋体" w:hAnsi="宋体" w:eastAsia="宋体" w:cs="宋体"/>
                <w:color w:val="auto"/>
                <w:sz w:val="24"/>
                <w:szCs w:val="24"/>
                <w:vertAlign w:val="superscript"/>
              </w:rPr>
              <w:t>-5</w:t>
            </w:r>
            <w:r>
              <w:rPr>
                <w:rFonts w:hint="eastAsia" w:ascii="宋体" w:hAnsi="宋体" w:eastAsia="宋体" w:cs="宋体"/>
                <w:color w:val="auto"/>
                <w:sz w:val="24"/>
                <w:szCs w:val="24"/>
              </w:rPr>
              <w:t>；带有晶振信号输出口。</w:t>
            </w:r>
          </w:p>
          <w:p w14:paraId="2BF004C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13. </w:t>
            </w:r>
            <w:r>
              <w:rPr>
                <w:rFonts w:hint="eastAsia" w:ascii="宋体" w:hAnsi="宋体" w:eastAsia="宋体" w:cs="宋体"/>
                <w:bCs/>
                <w:color w:val="auto"/>
                <w:sz w:val="24"/>
                <w:szCs w:val="24"/>
              </w:rPr>
              <w:t>滞止容器、真空容器、缓冲罐、气水分离器</w:t>
            </w:r>
            <w:r>
              <w:rPr>
                <w:rFonts w:hint="eastAsia" w:ascii="宋体" w:hAnsi="宋体" w:eastAsia="宋体" w:cs="宋体"/>
                <w:color w:val="auto"/>
                <w:sz w:val="24"/>
                <w:szCs w:val="24"/>
              </w:rPr>
              <w:t>及其相连管道材质均为304不锈钢。</w:t>
            </w:r>
          </w:p>
          <w:p w14:paraId="00305F2E">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 动力配置要求：</w:t>
            </w:r>
          </w:p>
          <w:p w14:paraId="5831DEEB">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14.1由三至四台负压动力源组成，满足在装置流量范围内，临界背压比≤0.80；动力源总功率应≤264kW，由变频器进行操控，实现单台或多台联动。</w:t>
            </w:r>
          </w:p>
          <w:p w14:paraId="3077F19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14.2变频器配置要求：</w:t>
            </w:r>
          </w:p>
          <w:p w14:paraId="7285E56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输入：380V±10%，频率：50Hz；</w:t>
            </w:r>
          </w:p>
          <w:p w14:paraId="7302EDBC">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输出：三相0 V～输入电压，频率：0.50～60Hz；</w:t>
            </w:r>
          </w:p>
          <w:p w14:paraId="4821729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过载能力：150%额定电流60秒。</w:t>
            </w:r>
          </w:p>
          <w:p w14:paraId="6BE0DAD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14.3变频控制系统应配置电抗器，确保变频器运行时，不会对装置检定控制系统造成干扰。</w:t>
            </w:r>
          </w:p>
          <w:p w14:paraId="3C4F894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 前端直管段要求：</w:t>
            </w:r>
          </w:p>
          <w:p w14:paraId="53C7C5B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前端直管段口径（内径）：DN15、20、25、32、40、50、65、80、100、125、150、200、250、300。</w:t>
            </w:r>
          </w:p>
          <w:p w14:paraId="17E8969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法兰规格：国标PN16。</w:t>
            </w:r>
          </w:p>
          <w:p w14:paraId="24DB735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管道材质：304不锈钢。</w:t>
            </w:r>
          </w:p>
          <w:p w14:paraId="39C2B1AF">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管段长度：DN40及以上不小于20D（口径），DN40以下不小于80 cm。</w:t>
            </w:r>
          </w:p>
          <w:p w14:paraId="3268289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壁厚：4.5 mm。</w:t>
            </w:r>
          </w:p>
          <w:p w14:paraId="4D50742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内径：偏差在管径1%以内且最大不超过2mm。</w:t>
            </w:r>
          </w:p>
          <w:p w14:paraId="21D54E0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直端直管段一端需配法兰。直管段上留有取压接头。管段表面应有抛光处理。</w:t>
            </w:r>
          </w:p>
          <w:p w14:paraId="6379E430">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 后端直管段要求：</w:t>
            </w:r>
          </w:p>
          <w:p w14:paraId="792398C9">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DN50、DN100、DN200、DN300为固定管段与滞止容器相连，其他口径需做变径套件。</w:t>
            </w:r>
          </w:p>
          <w:p w14:paraId="45AB030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法兰规格：国标PN16。</w:t>
            </w:r>
          </w:p>
          <w:p w14:paraId="4E1FE9B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管段长度：不小于5D（对应固定管段和变径套件口径）。</w:t>
            </w:r>
          </w:p>
          <w:p w14:paraId="2A8E542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壁厚：4.5mm。</w:t>
            </w:r>
          </w:p>
          <w:p w14:paraId="37336550">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内径：偏差在管径1%以内且最大不超过2mm。</w:t>
            </w:r>
          </w:p>
          <w:p w14:paraId="5481C7C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直管段一端需配法兰。直管段上留有取压接头。管段表面应有抛光处理。</w:t>
            </w:r>
          </w:p>
          <w:p w14:paraId="0A4899C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 阀门：各喷嘴及四条固定管段处应配有气动球阀及执行器。</w:t>
            </w:r>
          </w:p>
          <w:p w14:paraId="2B292A6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 检定控制系统：检定控制系统由控制柜、检定控制软件等组成。</w:t>
            </w:r>
          </w:p>
          <w:p w14:paraId="2B30A06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 控制柜：应使用PLC，用于采集标准传感器的信号及控制泵、阀，温压采集。A/D转换精度不低于24位，数据通信响应时间为0.01秒。同时配备TDM双计时板用于脉冲信号的采集，计时板晶振频率不小于10MHz，能采集脉冲频率为0.01Hz～10MHz，可完成对低频脉冲信号流量计的数据采集，以及4～20mA电流信号的采集。系统可输出DC12V以及DC24V。</w:t>
            </w:r>
          </w:p>
          <w:p w14:paraId="7745B5F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 检定系统</w:t>
            </w:r>
          </w:p>
          <w:p w14:paraId="60BEB64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20.1检定系统软件应选用可视化多媒体界面。在检定前输入需要检测的流量和检定时间后可自动完成所有检定工作，然后自动生成相应报表和曲线。检定、校准、检测的原始记录格式要根据现行有效规程、规范、标准进行设计。</w:t>
            </w:r>
            <w:r>
              <w:rPr>
                <w:rFonts w:hint="eastAsia" w:ascii="宋体" w:hAnsi="宋体" w:eastAsia="宋体" w:cs="宋体"/>
                <w:b/>
                <w:bCs/>
                <w:color w:val="auto"/>
                <w:sz w:val="24"/>
                <w:szCs w:val="24"/>
              </w:rPr>
              <w:t>（投标文件中提供证明材料）</w:t>
            </w:r>
          </w:p>
          <w:p w14:paraId="49ECD4F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20.2检验机构的名称应有安徽省计量科学研究院、国家气体流量仪表质量检验检测中心、安徽省计量器具质量检验检测中心等可选。</w:t>
            </w:r>
          </w:p>
          <w:p w14:paraId="4685EF4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20.3软件及数据库应留有后台管理和源程序管理，以用于前期检测记录和信息的查询及今后的标准器信息和参数、依据检验标准及计量标准证书的修改。</w:t>
            </w:r>
            <w:bookmarkStart w:id="37" w:name="OLE_LINK42"/>
            <w:bookmarkStart w:id="38" w:name="OLE_LINK43"/>
            <w:r>
              <w:rPr>
                <w:rFonts w:hint="eastAsia" w:ascii="宋体" w:hAnsi="宋体" w:eastAsia="宋体" w:cs="宋体"/>
                <w:b/>
                <w:bCs/>
                <w:color w:val="auto"/>
                <w:sz w:val="24"/>
                <w:szCs w:val="24"/>
              </w:rPr>
              <w:t>（投标文件中提供软件截图作为证明材料）</w:t>
            </w:r>
            <w:bookmarkEnd w:id="37"/>
            <w:bookmarkEnd w:id="38"/>
          </w:p>
          <w:p w14:paraId="015C188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20.4软件终生免费升级。</w:t>
            </w:r>
          </w:p>
          <w:p w14:paraId="3155323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 在四条管线基础上安装具有管线伸缩推进、同轴夹表、升降一体化的工作台，以保证被检表、表前管线、表后管线的同轴性和密封性。伸缩器的行程&gt;300mm，要满足各类被检表的装夹密封。工作台应有升降装置，被检仪器可以放置在装置上进行升降调整高度,升降高度&gt;0.3m，承重≥300kg。</w:t>
            </w:r>
          </w:p>
          <w:p w14:paraId="02FF6C7A">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■22、装置可自动进行密封性检测。</w:t>
            </w:r>
            <w:r>
              <w:rPr>
                <w:rFonts w:hint="eastAsia" w:ascii="宋体" w:hAnsi="宋体" w:eastAsia="宋体" w:cs="宋体"/>
                <w:b/>
                <w:bCs/>
                <w:color w:val="auto"/>
                <w:sz w:val="24"/>
                <w:szCs w:val="24"/>
              </w:rPr>
              <w:t>（投标文件中提供软件截图作为证明材料）</w:t>
            </w:r>
          </w:p>
        </w:tc>
        <w:tc>
          <w:tcPr>
            <w:tcW w:w="531" w:type="pct"/>
            <w:vAlign w:val="center"/>
          </w:tcPr>
          <w:p w14:paraId="0344E37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1套</w:t>
            </w:r>
          </w:p>
        </w:tc>
        <w:tc>
          <w:tcPr>
            <w:tcW w:w="359" w:type="pct"/>
            <w:vAlign w:val="center"/>
          </w:tcPr>
          <w:p w14:paraId="395D316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工业</w:t>
            </w:r>
          </w:p>
        </w:tc>
      </w:tr>
      <w:tr w14:paraId="3171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2A201C9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667" w:type="pct"/>
            <w:vAlign w:val="center"/>
          </w:tcPr>
          <w:p w14:paraId="50E0C41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钟罩式气体流量标准装置</w:t>
            </w:r>
          </w:p>
        </w:tc>
        <w:tc>
          <w:tcPr>
            <w:tcW w:w="3075" w:type="pct"/>
          </w:tcPr>
          <w:p w14:paraId="72F805C7">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一、基本要求：</w:t>
            </w:r>
          </w:p>
          <w:p w14:paraId="27D823A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装置可对下列计量器具开展检定、校准、检测、检验，包含：气体浮子流量计、气体容积式流量计、热式气体质量流量计、涡街流量计、涡轮流量计、皂膜流量计、膜式燃气表（G6～G100）、差压式流量计、湿式气体流量计。</w:t>
            </w:r>
          </w:p>
          <w:p w14:paraId="57AF0CF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2、检定、校准、检测依据包含如下：</w:t>
            </w:r>
            <w:r>
              <w:rPr>
                <w:rFonts w:hint="eastAsia" w:ascii="宋体" w:hAnsi="宋体" w:eastAsia="宋体" w:cs="宋体"/>
                <w:color w:val="auto"/>
                <w:kern w:val="1"/>
                <w:sz w:val="24"/>
                <w:szCs w:val="24"/>
              </w:rPr>
              <w:t>JJG 257-2007《浮子流量计检定规程》、JJG 633-2024《气体容积式流量计检定规程》、JJG1132-2017《热式气体质量流量计检定规程》、JJG 1029-2007《涡街流量计检定规程》、JJG 1037-2008《涡轮流量计检定规程》、JB/T7385-2015《气体腰轮流量计》、JJG586-2006《皂膜流量计检定规程》、JJG577-2012《膜式燃气表检定规程》、JJG640-2016《差压式流量计检定规程》。</w:t>
            </w:r>
          </w:p>
          <w:p w14:paraId="7B16244C">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3、装置符合</w:t>
            </w:r>
            <w:r>
              <w:rPr>
                <w:rFonts w:hint="eastAsia" w:ascii="宋体" w:hAnsi="宋体" w:eastAsia="宋体" w:cs="宋体"/>
                <w:color w:val="auto"/>
                <w:kern w:val="1"/>
                <w:sz w:val="24"/>
                <w:szCs w:val="24"/>
              </w:rPr>
              <w:t>JJG165-2024《钟罩式气体流量标准装置》</w:t>
            </w:r>
            <w:r>
              <w:rPr>
                <w:rFonts w:hint="eastAsia" w:ascii="宋体" w:hAnsi="宋体" w:eastAsia="宋体" w:cs="宋体"/>
                <w:color w:val="auto"/>
                <w:sz w:val="24"/>
                <w:szCs w:val="24"/>
              </w:rPr>
              <w:t>的要求。</w:t>
            </w:r>
          </w:p>
          <w:p w14:paraId="34D842E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二、主要技术性能指标：</w:t>
            </w:r>
          </w:p>
          <w:p w14:paraId="3ABAD21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1、钟罩有效容积；2000L，1000L各一台；钟罩除有效容积外，应留有足够的过渡容积。</w:t>
            </w:r>
          </w:p>
          <w:p w14:paraId="029AA8C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2、流量范围：（2～120）m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/h。</w:t>
            </w:r>
          </w:p>
          <w:p w14:paraId="2FD1178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3、准确度等级：0.2级。</w:t>
            </w:r>
          </w:p>
          <w:p w14:paraId="5945A78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4、压力波动：所有的钟罩均≤20Pa。</w:t>
            </w:r>
          </w:p>
          <w:p w14:paraId="3FA2F64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■5、钟罩内压：≥2000Pa。</w:t>
            </w:r>
          </w:p>
          <w:p w14:paraId="555A035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6、工作介质：空气。</w:t>
            </w:r>
          </w:p>
          <w:p w14:paraId="4A0209A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7、密封介质：5#白油。</w:t>
            </w:r>
          </w:p>
          <w:p w14:paraId="737B590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8、钟罩罩体壁厚：≥2mm。</w:t>
            </w:r>
          </w:p>
          <w:p w14:paraId="2EB616D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9、钟罩液槽壁厚：≥3mm。</w:t>
            </w:r>
          </w:p>
          <w:p w14:paraId="51A5944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10、均匀度：钟罩计量段任意两处直径之差应小于0.2mm。</w:t>
            </w:r>
          </w:p>
          <w:p w14:paraId="3622B76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■11、钟罩本体温度变送器：每台钟罩上部和下部排气管路处各安装1台温度变送器；量程：（0～50）℃；分度值≤0.1℃，最大允许误差：MPE≤±0.2℃。供电电压：DC24V；输出信号：4～20mA。</w:t>
            </w:r>
          </w:p>
          <w:p w14:paraId="1C405B1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■12、钟罩本体绝压变送器：每台钟罩排气管路处应安装1台压力变送器；量程：0～110kPa；准确度等级：≤0.1级；供电电压：DC24V；输出信号：4～20mA。</w:t>
            </w:r>
          </w:p>
          <w:p w14:paraId="0C8B942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■13、装置晶振（计时器）：计时分辨率不大于0.001s；晶振8h稳定度≤1×10</w:t>
            </w:r>
            <w:r>
              <w:rPr>
                <w:rFonts w:hint="eastAsia" w:ascii="宋体" w:hAnsi="宋体" w:eastAsia="宋体" w:cs="宋体"/>
                <w:color w:val="auto"/>
                <w:sz w:val="24"/>
                <w:szCs w:val="24"/>
                <w:vertAlign w:val="superscript"/>
              </w:rPr>
              <w:t>-5</w:t>
            </w:r>
            <w:r>
              <w:rPr>
                <w:rFonts w:hint="eastAsia" w:ascii="宋体" w:hAnsi="宋体" w:eastAsia="宋体" w:cs="宋体"/>
                <w:color w:val="auto"/>
                <w:sz w:val="24"/>
                <w:szCs w:val="24"/>
              </w:rPr>
              <w:t>；带有晶振信号输出口。</w:t>
            </w:r>
          </w:p>
          <w:p w14:paraId="3634E07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14、钟罩应运行平稳、灵活。调整机构应方便调试、维修。</w:t>
            </w:r>
          </w:p>
          <w:p w14:paraId="422BEA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15、应设置机械限位和光电开关限位两种限位方式。</w:t>
            </w:r>
          </w:p>
          <w:p w14:paraId="40FC521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16、读数装置：设置二套读数装置分别为钢直尺和光电发讯装置。钢直尺分辨率为1mm；光电发讯装置发讯数≥10个脉冲/mm。</w:t>
            </w:r>
          </w:p>
          <w:p w14:paraId="7E6EF3F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17、检定方法：进气法及排气法。</w:t>
            </w:r>
          </w:p>
          <w:p w14:paraId="2160CA0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■18、进气法装置相关技术指标：（1）气源压力范围：（0～350）kPa；（2）恒温、稳压气源系统最大流量：≥120m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/h；（3）流量稳定度≤0.2%。配备一台绝压变送器用于测量进口压力，量程：0～350kPa；准确度等级：≤0.1级；供电电压：DC24V；输出信号：4～20mA。</w:t>
            </w:r>
          </w:p>
          <w:p w14:paraId="326A769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管路技术指标：（1）配置两条检测管线；一条为：DN6～DN25，一条为：DN25～DN50。(2）每条管线配置水平、立式一体化检测工作台各一套。(3）检测工作台配置气动伸缩器、开关阀门、调节阀组、压力平衡系统。</w:t>
            </w:r>
          </w:p>
          <w:p w14:paraId="57948F2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■20、检测管线温度变送器：每条检测管线应配备至少1台温度变送器；量程：（0～50）℃；分度值≤0.1℃，最大允许误差：MPE≤±0.2℃；供电电压：DC24V；输出信号：4～20mA。</w:t>
            </w:r>
          </w:p>
          <w:p w14:paraId="2EF8DB4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■21、检测管线绝压变送器：每条检测管线应配备至少2台压力变送器用于测量管路压力以及被检表处压力；量程：0～110kPa；准确度等级：≤0.1级；供电电压：DC24V；输出信号：4～20mA。</w:t>
            </w:r>
          </w:p>
          <w:p w14:paraId="74E6C7B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■22、检测管线湿度变送器：每条检测管线应配备至少1台湿度变送器；量程：（10～95）%RH；最大允许误差：MPE≤±5% RH；供电：DC24V；输出信号：4～20mA。</w:t>
            </w:r>
          </w:p>
          <w:p w14:paraId="171270B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■23、对于无信号输出的流量计应有相应的视频采集设备进行数据采集。</w:t>
            </w:r>
            <w:r>
              <w:rPr>
                <w:rFonts w:hint="eastAsia" w:ascii="宋体" w:hAnsi="宋体" w:eastAsia="宋体" w:cs="宋体"/>
                <w:b/>
                <w:bCs/>
                <w:color w:val="auto"/>
                <w:sz w:val="24"/>
                <w:szCs w:val="24"/>
              </w:rPr>
              <w:t>（投标文件中提供软件截图和视频采集设备图片作为证明材料）</w:t>
            </w:r>
          </w:p>
          <w:p w14:paraId="28B079D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24、检测工作台应配备膜式燃气表（G6～G100）、湿式气体流量计专用检定台位、连接管及数据采集器。其中膜式燃气表（G6～G100）检定台位需包含三工位G6膜式燃气表。</w:t>
            </w:r>
          </w:p>
          <w:p w14:paraId="72B4C4B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25、检测工作台配备多气体快速转换接头、小流量专用接口、被检表安装法兰/快速接头/密封组件，1000L、2000L双钟罩共用气源切换阀组，实现两套钟罩灵活切换。</w:t>
            </w:r>
          </w:p>
          <w:p w14:paraId="675DAED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26、检定控制系统：检定控制系统由控制柜、检定控制软件等组成。</w:t>
            </w:r>
          </w:p>
          <w:p w14:paraId="3F8D911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27、控制柜：应使用PLC，用于采集标准传感器的信号及控制泵、阀，温压采集。A/D转换精度不低于24位，数据通信响应时间为0.01秒。同时配备TDM双计时板用于脉冲信号的采集，计时板晶振频率不小于10MHz，能采集脉冲频率为0.01Hz～10MHz，可完成对低频脉冲信号流量计的数据采集，以及4～20mA电流信号的采集。系统可输出DC12V以及DC24V。</w:t>
            </w:r>
          </w:p>
          <w:p w14:paraId="24F204F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28、自动控制钟罩系统的钟罩上升、下降、开关阀门动作、流量调节等操作。实现双钟罩智能切换：统一管理1000L/2000L两套装置，支持手动/自动切换，根据被检流量自动推荐最佳钟罩，大小流量无缝覆盖， 全自动流量调节与稳流控制：按被检表量程自动生成流量检定点，一键启动全流程检定，自动调节阀门开度、自动稳流、自动判稳、自动升降钟罩、自动采集数据。</w:t>
            </w:r>
          </w:p>
          <w:p w14:paraId="033F4EC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29、自动完成检测过程中的各种数据采集，软件系统支持全参数自动采集并代入公式计算：环境温度/大气压、表前温度/压力、被检表温度/压力、钟罩容积、计时时间、工况/标况体积自动换算，所有修正系数自动计算，不允许人工干预核心计量公式。内置空气、氩气、氧气、天然气、氮气、丙烷等多种常用气体的压缩因子、密度、换算系数数据库，一键切换气体种类，自动完成气体参数修正与体积换算，支持自定义气体组分输入。</w:t>
            </w:r>
          </w:p>
          <w:p w14:paraId="492BB42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支持完成数据保存、数据处理、打印输出、数据查询等功能。内置全部被检流量计规程对应的标准原始记录表格模板，数据采集完成后一键自动生成原始记录，自动计算示值误差、重复性、扩展不确定度，支持检定证书/校准证书自动生成、批量打印、导出PDF/Excel。</w:t>
            </w:r>
          </w:p>
          <w:p w14:paraId="0102136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31、中文操作界面。</w:t>
            </w:r>
          </w:p>
          <w:p w14:paraId="6FC0F76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32、具备故障自检、报警、日志记录功能，设备及软件出现故障要具备远程诊断功能，操作软件终生免费升级。</w:t>
            </w:r>
          </w:p>
        </w:tc>
        <w:tc>
          <w:tcPr>
            <w:tcW w:w="531" w:type="pct"/>
            <w:vAlign w:val="center"/>
          </w:tcPr>
          <w:p w14:paraId="4C7D06F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1套</w:t>
            </w:r>
          </w:p>
        </w:tc>
        <w:tc>
          <w:tcPr>
            <w:tcW w:w="359" w:type="pct"/>
            <w:vAlign w:val="center"/>
          </w:tcPr>
          <w:p w14:paraId="1C3D6AD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工业</w:t>
            </w:r>
          </w:p>
        </w:tc>
      </w:tr>
    </w:tbl>
    <w:p w14:paraId="1D5EA1A7">
      <w:pPr>
        <w:spacing w:line="360" w:lineRule="auto"/>
        <w:ind w:firstLine="437"/>
        <w:outlineLvl w:val="1"/>
        <w:rPr>
          <w:rFonts w:hint="eastAsia" w:ascii="宋体" w:hAnsi="宋体" w:eastAsia="宋体"/>
          <w:b/>
          <w:bCs/>
          <w:color w:val="auto"/>
          <w:sz w:val="24"/>
          <w:szCs w:val="18"/>
          <w:highlight w:val="none"/>
        </w:rPr>
      </w:pPr>
    </w:p>
    <w:p w14:paraId="710A3B8F">
      <w:pPr>
        <w:spacing w:line="360" w:lineRule="auto"/>
        <w:ind w:firstLine="437"/>
        <w:outlineLvl w:val="1"/>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三、安装调试、质保及售后服务要求</w:t>
      </w:r>
    </w:p>
    <w:p w14:paraId="19BCA2F8">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中标人免费提供软、硬件设备的现场安装、调试和人员培训, 并保证整个系统的正常运行。</w:t>
      </w:r>
    </w:p>
    <w:p w14:paraId="184E2B9A">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中标人提供相关中文使用、安装、维护手册</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质保期内，中标人免费提供硬件保修服务和软件升级服务，提供全机免费保修。</w:t>
      </w:r>
    </w:p>
    <w:p w14:paraId="32C2120A">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验收要求</w:t>
      </w:r>
    </w:p>
    <w:p w14:paraId="7A88D8FD">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针对下表中技术参数，中标人在合同签订后供货前，按下表要求向采购人提供法定计量检定机构出具的检定证书或校准证书或标准物质证书作为验收依据。未在下表中列明的技术参数，以现场功能性验证或提供其他相关证明材料（包括但不限于技术说明书、出厂检验报告）作为验收依据。</w:t>
      </w:r>
    </w:p>
    <w:p w14:paraId="131D106A">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（2）本项目合同履约过程中，如有相关国家规程、规范、标准更新的，以最新版本为准。</w:t>
      </w:r>
    </w:p>
    <w:p w14:paraId="5EDB04D5">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rPr>
        <w:t>（3）</w:t>
      </w:r>
      <w:r>
        <w:rPr>
          <w:rFonts w:hint="eastAsia" w:ascii="宋体" w:hAnsi="宋体" w:eastAsia="宋体"/>
          <w:bCs/>
          <w:color w:val="auto"/>
          <w:sz w:val="24"/>
          <w:szCs w:val="18"/>
          <w:highlight w:val="none"/>
          <w:lang w:val="en-US" w:eastAsia="zh-CN"/>
        </w:rPr>
        <w:t>下表中的技术参数及要求：如属于货物需求中重要指标项（■标识），则以投标人投标文件中的响应情况为验收参数。</w:t>
      </w:r>
    </w:p>
    <w:tbl>
      <w:tblPr>
        <w:tblStyle w:val="5"/>
        <w:tblW w:w="9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1382"/>
        <w:gridCol w:w="4650"/>
        <w:gridCol w:w="3030"/>
      </w:tblGrid>
      <w:tr w14:paraId="59E4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045ED212">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1382" w:type="dxa"/>
            <w:vAlign w:val="center"/>
          </w:tcPr>
          <w:p w14:paraId="51343201">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货物名称</w:t>
            </w:r>
          </w:p>
        </w:tc>
        <w:tc>
          <w:tcPr>
            <w:tcW w:w="4650" w:type="dxa"/>
            <w:vAlign w:val="center"/>
          </w:tcPr>
          <w:p w14:paraId="2D60056C">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技术参数及要求</w:t>
            </w:r>
          </w:p>
        </w:tc>
        <w:tc>
          <w:tcPr>
            <w:tcW w:w="3030" w:type="dxa"/>
            <w:vAlign w:val="center"/>
          </w:tcPr>
          <w:p w14:paraId="103268A9">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验收时需满足的标准(检定证书或校准报告或检测报告以及对应的规程、规范、标准名称和代号)</w:t>
            </w:r>
          </w:p>
        </w:tc>
      </w:tr>
      <w:tr w14:paraId="3AD5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restart"/>
            <w:vAlign w:val="center"/>
          </w:tcPr>
          <w:p w14:paraId="30E7EDF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center"/>
              <w:textAlignment w:val="auto"/>
              <w:outlineLvl w:val="1"/>
              <w:rPr>
                <w:rFonts w:hint="eastAsia" w:ascii="宋体" w:hAnsi="宋体" w:eastAsia="宋体" w:cs="宋体"/>
                <w:color w:val="auto"/>
                <w:sz w:val="24"/>
                <w:szCs w:val="24"/>
              </w:rPr>
            </w:pPr>
            <w:r>
              <w:rPr>
                <w:rFonts w:hint="default" w:ascii="宋体" w:hAnsi="宋体" w:eastAsia="宋体" w:cs="宋体"/>
                <w:color w:val="auto"/>
                <w:kern w:val="2"/>
                <w:sz w:val="24"/>
                <w:szCs w:val="24"/>
                <w:lang w:val="en-US" w:eastAsia="zh-CN" w:bidi="ar-SA"/>
              </w:rPr>
              <w:t>1</w:t>
            </w:r>
          </w:p>
        </w:tc>
        <w:tc>
          <w:tcPr>
            <w:tcW w:w="1382" w:type="dxa"/>
            <w:vMerge w:val="restart"/>
            <w:vAlign w:val="center"/>
          </w:tcPr>
          <w:p w14:paraId="15228C00">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r>
              <w:rPr>
                <w:rFonts w:hint="eastAsia" w:ascii="宋体" w:hAnsi="宋体" w:eastAsia="宋体" w:cs="宋体"/>
                <w:bCs/>
                <w:color w:val="auto"/>
                <w:sz w:val="24"/>
                <w:szCs w:val="24"/>
              </w:rPr>
              <w:t>燃气表检定装置（含膜式）</w:t>
            </w:r>
          </w:p>
        </w:tc>
        <w:tc>
          <w:tcPr>
            <w:tcW w:w="4650" w:type="dxa"/>
            <w:vAlign w:val="center"/>
          </w:tcPr>
          <w:p w14:paraId="4A9DDEB2">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bCs/>
                <w:color w:val="auto"/>
                <w:sz w:val="24"/>
                <w:szCs w:val="24"/>
              </w:rPr>
            </w:pPr>
            <w:r>
              <w:rPr>
                <w:rFonts w:hint="eastAsia" w:ascii="宋体" w:hAnsi="宋体" w:eastAsia="宋体" w:cs="宋体"/>
                <w:bCs/>
                <w:color w:val="auto"/>
                <w:sz w:val="24"/>
                <w:szCs w:val="24"/>
              </w:rPr>
              <w:t>1、装置的流量范围：（0.016～6）m</w:t>
            </w:r>
            <w:r>
              <w:rPr>
                <w:rFonts w:hint="eastAsia" w:ascii="宋体" w:hAnsi="宋体" w:eastAsia="宋体" w:cs="宋体"/>
                <w:bCs/>
                <w:color w:val="auto"/>
                <w:sz w:val="24"/>
                <w:szCs w:val="24"/>
                <w:vertAlign w:val="superscript"/>
              </w:rPr>
              <w:t>3</w:t>
            </w:r>
            <w:r>
              <w:rPr>
                <w:rFonts w:hint="eastAsia" w:ascii="宋体" w:hAnsi="宋体" w:eastAsia="宋体" w:cs="宋体"/>
                <w:bCs/>
                <w:color w:val="auto"/>
                <w:sz w:val="24"/>
                <w:szCs w:val="24"/>
              </w:rPr>
              <w:t>/h；</w:t>
            </w:r>
          </w:p>
          <w:p w14:paraId="44487D0C">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2、装置扩展不确定度</w:t>
            </w:r>
            <w:r>
              <w:rPr>
                <w:rFonts w:hint="eastAsia" w:ascii="宋体" w:hAnsi="宋体" w:eastAsia="宋体" w:cs="宋体"/>
                <w:i/>
                <w:color w:val="auto"/>
                <w:sz w:val="24"/>
                <w:szCs w:val="24"/>
              </w:rPr>
              <w:t>U</w:t>
            </w:r>
            <w:r>
              <w:rPr>
                <w:rFonts w:hint="eastAsia" w:ascii="宋体" w:hAnsi="宋体" w:eastAsia="宋体" w:cs="宋体"/>
                <w:color w:val="auto"/>
                <w:sz w:val="24"/>
                <w:szCs w:val="24"/>
                <w:vertAlign w:val="subscript"/>
              </w:rPr>
              <w:t>rel</w:t>
            </w:r>
            <w:r>
              <w:rPr>
                <w:rFonts w:hint="eastAsia" w:ascii="宋体" w:hAnsi="宋体" w:eastAsia="宋体" w:cs="宋体"/>
                <w:color w:val="auto"/>
                <w:sz w:val="24"/>
                <w:szCs w:val="24"/>
              </w:rPr>
              <w:t>≤0.5%（</w:t>
            </w:r>
            <w:r>
              <w:rPr>
                <w:rFonts w:hint="eastAsia" w:ascii="宋体" w:hAnsi="宋体" w:eastAsia="宋体" w:cs="宋体"/>
                <w:i/>
                <w:color w:val="auto"/>
                <w:sz w:val="24"/>
                <w:szCs w:val="24"/>
              </w:rPr>
              <w:t>k</w:t>
            </w:r>
            <w:r>
              <w:rPr>
                <w:rFonts w:hint="eastAsia" w:ascii="宋体" w:hAnsi="宋体" w:eastAsia="宋体" w:cs="宋体"/>
                <w:color w:val="auto"/>
                <w:sz w:val="24"/>
                <w:szCs w:val="24"/>
              </w:rPr>
              <w:t>=2）；</w:t>
            </w:r>
          </w:p>
        </w:tc>
        <w:tc>
          <w:tcPr>
            <w:tcW w:w="3030" w:type="dxa"/>
            <w:vAlign w:val="center"/>
          </w:tcPr>
          <w:p w14:paraId="5F0C38BB">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JJF1240-2010《临界流文丘里喷嘴法气体流量标准装置校准规范》</w:t>
            </w:r>
          </w:p>
        </w:tc>
      </w:tr>
      <w:tr w14:paraId="46AA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2B7D15B6">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25B01590">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69FE83C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喷嘴：流出系数相对扩展不确定度</w:t>
            </w:r>
            <w:r>
              <w:rPr>
                <w:rFonts w:hint="eastAsia" w:ascii="宋体" w:hAnsi="宋体" w:eastAsia="宋体" w:cs="宋体"/>
                <w:i/>
                <w:color w:val="auto"/>
                <w:sz w:val="24"/>
                <w:szCs w:val="24"/>
              </w:rPr>
              <w:t>U</w:t>
            </w:r>
            <w:r>
              <w:rPr>
                <w:rFonts w:hint="eastAsia" w:ascii="宋体" w:hAnsi="宋体" w:eastAsia="宋体" w:cs="宋体"/>
                <w:color w:val="auto"/>
                <w:sz w:val="24"/>
                <w:szCs w:val="24"/>
                <w:vertAlign w:val="subscript"/>
              </w:rPr>
              <w:t>rel</w:t>
            </w:r>
            <w:r>
              <w:rPr>
                <w:rFonts w:hint="eastAsia" w:ascii="宋体" w:hAnsi="宋体" w:eastAsia="宋体" w:cs="宋体"/>
                <w:color w:val="auto"/>
                <w:sz w:val="24"/>
                <w:szCs w:val="24"/>
              </w:rPr>
              <w:t>＝0.2%（</w:t>
            </w:r>
            <w:r>
              <w:rPr>
                <w:rFonts w:hint="eastAsia" w:ascii="宋体" w:hAnsi="宋体" w:eastAsia="宋体" w:cs="宋体"/>
                <w:i/>
                <w:color w:val="auto"/>
                <w:sz w:val="24"/>
                <w:szCs w:val="24"/>
              </w:rPr>
              <w:t>k</w:t>
            </w:r>
            <w:r>
              <w:rPr>
                <w:rFonts w:hint="eastAsia" w:ascii="宋体" w:hAnsi="宋体" w:eastAsia="宋体" w:cs="宋体"/>
                <w:color w:val="auto"/>
                <w:sz w:val="24"/>
                <w:szCs w:val="24"/>
              </w:rPr>
              <w:t>=2）或准确度等级0.2级</w:t>
            </w:r>
          </w:p>
        </w:tc>
        <w:tc>
          <w:tcPr>
            <w:tcW w:w="3030" w:type="dxa"/>
            <w:vAlign w:val="center"/>
          </w:tcPr>
          <w:p w14:paraId="17F80C6B">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JJG620-2008《临界流文丘里喷嘴检定规程》</w:t>
            </w:r>
          </w:p>
        </w:tc>
      </w:tr>
      <w:tr w14:paraId="5DD0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6BA70CAC">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10A681DD">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625DE8F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绝压变送器：测量范围0～110kPa。</w:t>
            </w:r>
          </w:p>
        </w:tc>
        <w:tc>
          <w:tcPr>
            <w:tcW w:w="3030" w:type="dxa"/>
            <w:vAlign w:val="center"/>
          </w:tcPr>
          <w:p w14:paraId="10762CEC">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JJG 882-2019《压力变送器检定规程》</w:t>
            </w:r>
          </w:p>
        </w:tc>
      </w:tr>
      <w:tr w14:paraId="0352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38EE96E7">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35406F1F">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1F487F2B">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温度传感器，量程（0～50）℃，分度值≤0.1℃；</w:t>
            </w:r>
          </w:p>
        </w:tc>
        <w:tc>
          <w:tcPr>
            <w:tcW w:w="3030" w:type="dxa"/>
            <w:vAlign w:val="center"/>
          </w:tcPr>
          <w:p w14:paraId="3B4A4547">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JJF 1183-2025《温度变送器校准规范》</w:t>
            </w:r>
          </w:p>
        </w:tc>
      </w:tr>
      <w:tr w14:paraId="14D7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49F17B93">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63C309E1">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551E2775">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湿度传感器，量程（0～100）%RH；</w:t>
            </w:r>
          </w:p>
        </w:tc>
        <w:tc>
          <w:tcPr>
            <w:tcW w:w="3030" w:type="dxa"/>
            <w:vAlign w:val="center"/>
          </w:tcPr>
          <w:p w14:paraId="727B2587">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JJF 1076-2020《数字式温湿度计校准规范》</w:t>
            </w:r>
          </w:p>
        </w:tc>
      </w:tr>
      <w:tr w14:paraId="7FD7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33BD16A1">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161C75FB">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442B81B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微差压传感器，量程为-1000~+1000Pa，分辨率为1Pa；</w:t>
            </w:r>
          </w:p>
        </w:tc>
        <w:tc>
          <w:tcPr>
            <w:tcW w:w="3030" w:type="dxa"/>
            <w:vAlign w:val="center"/>
          </w:tcPr>
          <w:p w14:paraId="34690821">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JJG 882-2019《压力变送器检定规程》</w:t>
            </w:r>
          </w:p>
        </w:tc>
      </w:tr>
      <w:tr w14:paraId="2A45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1D6BDFE7">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5AAD1CE4">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50BE40DD">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晶振（计时器）：计时分辨率不大于0.001s；晶振8h稳定度优于1×10</w:t>
            </w:r>
            <w:r>
              <w:rPr>
                <w:rFonts w:hint="eastAsia" w:ascii="宋体" w:hAnsi="宋体" w:eastAsia="宋体" w:cs="宋体"/>
                <w:color w:val="auto"/>
                <w:sz w:val="24"/>
                <w:szCs w:val="24"/>
                <w:vertAlign w:val="superscript"/>
              </w:rPr>
              <w:t>-5</w:t>
            </w:r>
            <w:r>
              <w:rPr>
                <w:rFonts w:hint="eastAsia" w:ascii="宋体" w:hAnsi="宋体" w:eastAsia="宋体" w:cs="宋体"/>
                <w:color w:val="auto"/>
                <w:sz w:val="24"/>
                <w:szCs w:val="24"/>
              </w:rPr>
              <w:t xml:space="preserve">； </w:t>
            </w:r>
          </w:p>
        </w:tc>
        <w:tc>
          <w:tcPr>
            <w:tcW w:w="3030" w:type="dxa"/>
            <w:vAlign w:val="center"/>
          </w:tcPr>
          <w:p w14:paraId="2EF16920">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JJF1984-2022《电子测量仪器内石英晶体振荡器校准规范》</w:t>
            </w:r>
          </w:p>
        </w:tc>
      </w:tr>
      <w:tr w14:paraId="0475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restart"/>
            <w:vAlign w:val="center"/>
          </w:tcPr>
          <w:p w14:paraId="4B66148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center"/>
              <w:textAlignment w:val="auto"/>
              <w:outlineLvl w:val="1"/>
              <w:rPr>
                <w:rFonts w:hint="eastAsia" w:ascii="宋体" w:hAnsi="宋体" w:eastAsia="宋体" w:cs="宋体"/>
                <w:color w:val="auto"/>
                <w:sz w:val="24"/>
                <w:szCs w:val="24"/>
              </w:rPr>
            </w:pPr>
            <w:r>
              <w:rPr>
                <w:rFonts w:hint="default" w:ascii="宋体" w:hAnsi="宋体" w:eastAsia="宋体" w:cs="宋体"/>
                <w:color w:val="auto"/>
                <w:kern w:val="2"/>
                <w:sz w:val="24"/>
                <w:szCs w:val="24"/>
                <w:lang w:val="en-US" w:eastAsia="zh-CN" w:bidi="ar-SA"/>
              </w:rPr>
              <w:t>2</w:t>
            </w:r>
          </w:p>
        </w:tc>
        <w:tc>
          <w:tcPr>
            <w:tcW w:w="1382" w:type="dxa"/>
            <w:vMerge w:val="restart"/>
            <w:vAlign w:val="center"/>
          </w:tcPr>
          <w:p w14:paraId="23E66A94">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热量表检定装置</w:t>
            </w:r>
          </w:p>
        </w:tc>
        <w:tc>
          <w:tcPr>
            <w:tcW w:w="4650" w:type="dxa"/>
            <w:vAlign w:val="center"/>
          </w:tcPr>
          <w:p w14:paraId="57B1B9F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装置流量扩展不确定度：</w:t>
            </w:r>
            <w:r>
              <w:rPr>
                <w:rFonts w:hint="eastAsia" w:ascii="宋体" w:hAnsi="宋体" w:eastAsia="宋体" w:cs="宋体"/>
                <w:bCs/>
                <w:color w:val="auto"/>
                <w:sz w:val="24"/>
                <w:szCs w:val="24"/>
              </w:rPr>
              <w:t>≤</w:t>
            </w:r>
            <w:r>
              <w:rPr>
                <w:rFonts w:hint="eastAsia" w:ascii="宋体" w:hAnsi="宋体" w:eastAsia="宋体" w:cs="宋体"/>
                <w:color w:val="auto"/>
                <w:sz w:val="24"/>
                <w:szCs w:val="24"/>
              </w:rPr>
              <w:t>0.05%（</w:t>
            </w:r>
            <w:r>
              <w:rPr>
                <w:rFonts w:hint="eastAsia" w:ascii="宋体" w:hAnsi="宋体" w:eastAsia="宋体" w:cs="宋体"/>
                <w:i/>
                <w:color w:val="auto"/>
                <w:sz w:val="24"/>
                <w:szCs w:val="24"/>
              </w:rPr>
              <w:t>k</w:t>
            </w:r>
            <w:r>
              <w:rPr>
                <w:rFonts w:hint="eastAsia" w:ascii="宋体" w:hAnsi="宋体" w:eastAsia="宋体" w:cs="宋体"/>
                <w:color w:val="auto"/>
                <w:sz w:val="24"/>
                <w:szCs w:val="24"/>
              </w:rPr>
              <w:t>=2），流量稳定性：</w:t>
            </w:r>
            <w:r>
              <w:rPr>
                <w:rFonts w:hint="eastAsia" w:ascii="宋体" w:hAnsi="宋体" w:eastAsia="宋体" w:cs="宋体"/>
                <w:bCs/>
                <w:color w:val="auto"/>
                <w:sz w:val="24"/>
                <w:szCs w:val="24"/>
              </w:rPr>
              <w:t>≤</w:t>
            </w:r>
            <w:r>
              <w:rPr>
                <w:rFonts w:hint="eastAsia" w:ascii="宋体" w:hAnsi="宋体" w:eastAsia="宋体" w:cs="宋体"/>
                <w:color w:val="auto"/>
                <w:sz w:val="24"/>
                <w:szCs w:val="24"/>
              </w:rPr>
              <w:t xml:space="preserve">1% </w:t>
            </w:r>
          </w:p>
        </w:tc>
        <w:tc>
          <w:tcPr>
            <w:tcW w:w="3030" w:type="dxa"/>
            <w:vAlign w:val="center"/>
          </w:tcPr>
          <w:p w14:paraId="6B97CB4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满足JJG 164-2000《液体流量标准装置检定规程》</w:t>
            </w:r>
          </w:p>
        </w:tc>
      </w:tr>
      <w:tr w14:paraId="383F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578234CF">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4DA89A4A">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47C8CEA6">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流量指示装置：4台电磁流量计；</w:t>
            </w:r>
            <w:r>
              <w:rPr>
                <w:rFonts w:hint="eastAsia" w:ascii="宋体" w:hAnsi="宋体" w:eastAsia="宋体" w:cs="宋体"/>
                <w:bCs/>
                <w:color w:val="auto"/>
                <w:sz w:val="24"/>
                <w:szCs w:val="24"/>
              </w:rPr>
              <w:t>（DN3/DN10/DN25/DN50各1台）覆盖装置流量范围</w:t>
            </w:r>
          </w:p>
        </w:tc>
        <w:tc>
          <w:tcPr>
            <w:tcW w:w="3030" w:type="dxa"/>
            <w:vAlign w:val="center"/>
          </w:tcPr>
          <w:p w14:paraId="40424D3F">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满足JJG1033-2007《电磁流量计检定规程》</w:t>
            </w:r>
          </w:p>
        </w:tc>
      </w:tr>
      <w:tr w14:paraId="36ED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02067E3A">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0056EC82">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4D90B9D4">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标准器配置：配置3台电子秤，600kg/150kg/30kg各一台，检定分度值≥6000e</w:t>
            </w:r>
          </w:p>
        </w:tc>
        <w:tc>
          <w:tcPr>
            <w:tcW w:w="3030" w:type="dxa"/>
            <w:vAlign w:val="center"/>
          </w:tcPr>
          <w:p w14:paraId="508F96E8">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满足JJG 539-2016《数字指示秤检定规程》</w:t>
            </w:r>
          </w:p>
        </w:tc>
      </w:tr>
      <w:tr w14:paraId="41BD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4A32B959">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5102D063">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538C7D0D">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 xml:space="preserve">恒温槽：恒温水槽，温度范围：（5～95）℃。 </w:t>
            </w:r>
          </w:p>
        </w:tc>
        <w:tc>
          <w:tcPr>
            <w:tcW w:w="3030" w:type="dxa"/>
            <w:vAlign w:val="center"/>
          </w:tcPr>
          <w:p w14:paraId="629025D1">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满足JJF 1030-2023《温度校准用恒温槽技术性能测试规范》</w:t>
            </w:r>
          </w:p>
        </w:tc>
      </w:tr>
      <w:tr w14:paraId="09E2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200A4E8F">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4CA2044D">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7CCC070C">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恒温油槽, 温度范围：（室温～150）℃。</w:t>
            </w:r>
          </w:p>
        </w:tc>
        <w:tc>
          <w:tcPr>
            <w:tcW w:w="3030" w:type="dxa"/>
            <w:vAlign w:val="center"/>
          </w:tcPr>
          <w:p w14:paraId="55F40BDD">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满足JJF 1030-2023《温度校准用恒温槽技术性能测试规范》</w:t>
            </w:r>
          </w:p>
        </w:tc>
      </w:tr>
      <w:tr w14:paraId="3765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2AEDD3DA">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7CC951D6">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05D8F5F0">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绝压变送器</w:t>
            </w:r>
            <w:r>
              <w:rPr>
                <w:rFonts w:hint="eastAsia" w:ascii="宋体" w:hAnsi="宋体" w:eastAsia="宋体" w:cs="宋体"/>
                <w:color w:val="auto"/>
                <w:sz w:val="24"/>
                <w:szCs w:val="24"/>
              </w:rPr>
              <w:t>3个，量程为（0～4）MPa。</w:t>
            </w:r>
          </w:p>
        </w:tc>
        <w:tc>
          <w:tcPr>
            <w:tcW w:w="3030" w:type="dxa"/>
            <w:vAlign w:val="center"/>
          </w:tcPr>
          <w:p w14:paraId="48F30BD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bookmarkStart w:id="39" w:name="OLE_LINK41"/>
            <w:r>
              <w:rPr>
                <w:rFonts w:hint="eastAsia" w:ascii="宋体" w:hAnsi="宋体" w:eastAsia="宋体" w:cs="宋体"/>
                <w:color w:val="auto"/>
                <w:sz w:val="24"/>
                <w:szCs w:val="24"/>
              </w:rPr>
              <w:t>满足JJG 882-2019《压力变送器检定规程》</w:t>
            </w:r>
            <w:bookmarkEnd w:id="39"/>
          </w:p>
        </w:tc>
      </w:tr>
      <w:tr w14:paraId="1E68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7D70C57B">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2BC98FF7">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46FF1CD5">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温度传感器4个，量程（0～100）℃。</w:t>
            </w:r>
          </w:p>
        </w:tc>
        <w:tc>
          <w:tcPr>
            <w:tcW w:w="3030" w:type="dxa"/>
            <w:vAlign w:val="center"/>
          </w:tcPr>
          <w:p w14:paraId="44F7429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bookmarkStart w:id="40" w:name="OLE_LINK35"/>
            <w:bookmarkStart w:id="41" w:name="OLE_LINK36"/>
            <w:r>
              <w:rPr>
                <w:rFonts w:hint="eastAsia" w:ascii="宋体" w:hAnsi="宋体" w:eastAsia="宋体" w:cs="宋体"/>
                <w:color w:val="auto"/>
                <w:sz w:val="24"/>
                <w:szCs w:val="24"/>
              </w:rPr>
              <w:t>满足</w:t>
            </w:r>
            <w:bookmarkEnd w:id="40"/>
            <w:bookmarkEnd w:id="41"/>
            <w:r>
              <w:rPr>
                <w:rFonts w:hint="eastAsia" w:ascii="宋体" w:hAnsi="宋体" w:eastAsia="宋体" w:cs="宋体"/>
                <w:color w:val="auto"/>
                <w:sz w:val="24"/>
                <w:szCs w:val="24"/>
              </w:rPr>
              <w:t>JJF 1183-2025《温度变送器校准规范》</w:t>
            </w:r>
          </w:p>
        </w:tc>
      </w:tr>
      <w:tr w14:paraId="5C65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6BCA4097">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7372CAC2">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2728830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标准铂电阻温度计2个，量程（0～419）℃。</w:t>
            </w:r>
          </w:p>
        </w:tc>
        <w:tc>
          <w:tcPr>
            <w:tcW w:w="3030" w:type="dxa"/>
            <w:vAlign w:val="center"/>
          </w:tcPr>
          <w:p w14:paraId="69FB14E8">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满足JJG 160-2007《标准铂电阻温度计检定规程》</w:t>
            </w:r>
          </w:p>
        </w:tc>
      </w:tr>
      <w:tr w14:paraId="2884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1ED71704">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2A731FEA">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0020AD4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差压变送器1个，量程（0～150）kPa。</w:t>
            </w:r>
          </w:p>
        </w:tc>
        <w:tc>
          <w:tcPr>
            <w:tcW w:w="3030" w:type="dxa"/>
            <w:vAlign w:val="center"/>
          </w:tcPr>
          <w:p w14:paraId="5205D83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满足JJG 882-2019《压力变送器检定规程》</w:t>
            </w:r>
          </w:p>
        </w:tc>
      </w:tr>
      <w:tr w14:paraId="2FAB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7D4D8C5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center"/>
              <w:textAlignment w:val="auto"/>
              <w:outlineLvl w:val="1"/>
              <w:rPr>
                <w:rFonts w:hint="eastAsia" w:ascii="宋体" w:hAnsi="宋体" w:eastAsia="宋体" w:cs="宋体"/>
                <w:color w:val="auto"/>
                <w:sz w:val="24"/>
                <w:szCs w:val="24"/>
              </w:rPr>
            </w:pPr>
            <w:r>
              <w:rPr>
                <w:rFonts w:hint="default" w:ascii="宋体" w:hAnsi="宋体" w:eastAsia="宋体" w:cs="宋体"/>
                <w:color w:val="auto"/>
                <w:kern w:val="2"/>
                <w:sz w:val="24"/>
                <w:szCs w:val="24"/>
                <w:lang w:val="en-US" w:eastAsia="zh-CN" w:bidi="ar-SA"/>
              </w:rPr>
              <w:t>3</w:t>
            </w:r>
          </w:p>
        </w:tc>
        <w:tc>
          <w:tcPr>
            <w:tcW w:w="1382" w:type="dxa"/>
            <w:vAlign w:val="center"/>
          </w:tcPr>
          <w:p w14:paraId="452E0D64">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标准金属量器</w:t>
            </w:r>
          </w:p>
        </w:tc>
        <w:tc>
          <w:tcPr>
            <w:tcW w:w="4650" w:type="dxa"/>
            <w:vAlign w:val="center"/>
          </w:tcPr>
          <w:p w14:paraId="23DE91D4">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rPr>
              <w:t>容量范围：5L、10L、20L、50L、100L、200L、500L。</w:t>
            </w:r>
          </w:p>
          <w:p w14:paraId="79137B05">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量器等级：一等。</w:t>
            </w:r>
          </w:p>
          <w:p w14:paraId="0E9E727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壁厚：壁厚指标准金属量器主体圆筒体及上锥体、下锥体钢板厚度，应符合下表要求：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4"/>
              <w:gridCol w:w="2240"/>
            </w:tblGrid>
            <w:tr w14:paraId="6422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tcPr>
                <w:p w14:paraId="4E4BC6F5">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标称容量L</w:t>
                  </w:r>
                </w:p>
              </w:tc>
              <w:tc>
                <w:tcPr>
                  <w:tcW w:w="2240" w:type="dxa"/>
                </w:tcPr>
                <w:p w14:paraId="48327262">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壁厚mm</w:t>
                  </w:r>
                </w:p>
              </w:tc>
            </w:tr>
            <w:tr w14:paraId="4F9E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tcPr>
                <w:p w14:paraId="606EADF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5~50</w:t>
                  </w:r>
                </w:p>
              </w:tc>
              <w:tc>
                <w:tcPr>
                  <w:tcW w:w="2240" w:type="dxa"/>
                </w:tcPr>
                <w:p w14:paraId="66F6A6BB">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w:t>
                  </w:r>
                  <w:r>
                    <w:rPr>
                      <w:rFonts w:hint="eastAsia" w:ascii="宋体" w:hAnsi="宋体" w:eastAsia="宋体" w:cs="宋体"/>
                      <w:color w:val="auto"/>
                      <w:kern w:val="0"/>
                      <w:sz w:val="24"/>
                      <w:szCs w:val="24"/>
                      <w:vertAlign w:val="subscript"/>
                    </w:rPr>
                    <w:t>-0.2</w:t>
                  </w:r>
                </w:p>
              </w:tc>
            </w:tr>
            <w:tr w14:paraId="5844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tcPr>
                <w:p w14:paraId="7F84499D">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100</w:t>
                  </w:r>
                </w:p>
              </w:tc>
              <w:tc>
                <w:tcPr>
                  <w:tcW w:w="2240" w:type="dxa"/>
                </w:tcPr>
                <w:p w14:paraId="3BA44A08">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w:t>
                  </w:r>
                  <w:r>
                    <w:rPr>
                      <w:rFonts w:hint="eastAsia" w:ascii="宋体" w:hAnsi="宋体" w:eastAsia="宋体" w:cs="宋体"/>
                      <w:color w:val="auto"/>
                      <w:kern w:val="0"/>
                      <w:sz w:val="24"/>
                      <w:szCs w:val="24"/>
                      <w:vertAlign w:val="subscript"/>
                    </w:rPr>
                    <w:t>-0.2</w:t>
                  </w:r>
                </w:p>
              </w:tc>
            </w:tr>
            <w:tr w14:paraId="2E13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tcPr>
                <w:p w14:paraId="4EC1C4D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200</w:t>
                  </w:r>
                </w:p>
              </w:tc>
              <w:tc>
                <w:tcPr>
                  <w:tcW w:w="2240" w:type="dxa"/>
                </w:tcPr>
                <w:p w14:paraId="2528DE76">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≥4.0</w:t>
                  </w:r>
                  <w:r>
                    <w:rPr>
                      <w:rFonts w:hint="eastAsia" w:ascii="宋体" w:hAnsi="宋体" w:eastAsia="宋体" w:cs="宋体"/>
                      <w:color w:val="auto"/>
                      <w:kern w:val="0"/>
                      <w:sz w:val="24"/>
                      <w:szCs w:val="24"/>
                      <w:vertAlign w:val="subscript"/>
                    </w:rPr>
                    <w:t>-0.2</w:t>
                  </w:r>
                </w:p>
              </w:tc>
            </w:tr>
            <w:tr w14:paraId="55CF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tcPr>
                <w:p w14:paraId="5F1B42F0">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500</w:t>
                  </w:r>
                </w:p>
              </w:tc>
              <w:tc>
                <w:tcPr>
                  <w:tcW w:w="2240" w:type="dxa"/>
                </w:tcPr>
                <w:p w14:paraId="53BCB6B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≥5.0</w:t>
                  </w:r>
                  <w:r>
                    <w:rPr>
                      <w:rFonts w:hint="eastAsia" w:ascii="宋体" w:hAnsi="宋体" w:eastAsia="宋体" w:cs="宋体"/>
                      <w:color w:val="auto"/>
                      <w:kern w:val="0"/>
                      <w:sz w:val="24"/>
                      <w:szCs w:val="24"/>
                      <w:vertAlign w:val="subscript"/>
                    </w:rPr>
                    <w:t>-0.2</w:t>
                  </w:r>
                </w:p>
              </w:tc>
            </w:tr>
          </w:tbl>
          <w:p w14:paraId="4A24236B">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计量颈分度容积满足以下要求：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2462"/>
            </w:tblGrid>
            <w:tr w14:paraId="1D62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4731E5AC">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标称容量L</w:t>
                  </w:r>
                </w:p>
              </w:tc>
              <w:tc>
                <w:tcPr>
                  <w:tcW w:w="2953" w:type="dxa"/>
                  <w:vAlign w:val="center"/>
                </w:tcPr>
                <w:p w14:paraId="6ED2811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计量颈分度容积mL/mm</w:t>
                  </w:r>
                </w:p>
              </w:tc>
            </w:tr>
            <w:tr w14:paraId="1063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7C905421">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2953" w:type="dxa"/>
                  <w:vAlign w:val="center"/>
                </w:tcPr>
                <w:p w14:paraId="0FCC64B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0.113~0.125</w:t>
                  </w:r>
                </w:p>
              </w:tc>
            </w:tr>
            <w:tr w14:paraId="0DFF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08AB2E16">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w:t>
                  </w:r>
                </w:p>
              </w:tc>
              <w:tc>
                <w:tcPr>
                  <w:tcW w:w="2953" w:type="dxa"/>
                  <w:vAlign w:val="center"/>
                </w:tcPr>
                <w:p w14:paraId="5C24F5D6">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0.225~0.250</w:t>
                  </w:r>
                </w:p>
              </w:tc>
            </w:tr>
            <w:tr w14:paraId="4072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0B9ADADC">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w:t>
                  </w:r>
                </w:p>
              </w:tc>
              <w:tc>
                <w:tcPr>
                  <w:tcW w:w="2953" w:type="dxa"/>
                  <w:vAlign w:val="center"/>
                </w:tcPr>
                <w:p w14:paraId="47B55272">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0.450~0.500</w:t>
                  </w:r>
                </w:p>
              </w:tc>
            </w:tr>
            <w:tr w14:paraId="59FD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7F158C62">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50</w:t>
                  </w:r>
                </w:p>
              </w:tc>
              <w:tc>
                <w:tcPr>
                  <w:tcW w:w="2953" w:type="dxa"/>
                  <w:vAlign w:val="center"/>
                </w:tcPr>
                <w:p w14:paraId="6A022466">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1.125~1.250</w:t>
                  </w:r>
                </w:p>
              </w:tc>
            </w:tr>
            <w:tr w14:paraId="1125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3D20BCC2">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100</w:t>
                  </w:r>
                </w:p>
              </w:tc>
              <w:tc>
                <w:tcPr>
                  <w:tcW w:w="2953" w:type="dxa"/>
                  <w:vAlign w:val="center"/>
                </w:tcPr>
                <w:p w14:paraId="1F2E784F">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2.250~2.500</w:t>
                  </w:r>
                </w:p>
              </w:tc>
            </w:tr>
            <w:tr w14:paraId="3B96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17D9E02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200</w:t>
                  </w:r>
                </w:p>
              </w:tc>
              <w:tc>
                <w:tcPr>
                  <w:tcW w:w="2953" w:type="dxa"/>
                  <w:vAlign w:val="center"/>
                </w:tcPr>
                <w:p w14:paraId="739017D3">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4.500~5.000</w:t>
                  </w:r>
                </w:p>
              </w:tc>
            </w:tr>
            <w:tr w14:paraId="7C1F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2" w:type="dxa"/>
                  <w:vAlign w:val="center"/>
                </w:tcPr>
                <w:p w14:paraId="51A0E666">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500</w:t>
                  </w:r>
                </w:p>
              </w:tc>
              <w:tc>
                <w:tcPr>
                  <w:tcW w:w="2953" w:type="dxa"/>
                  <w:vAlign w:val="center"/>
                </w:tcPr>
                <w:p w14:paraId="180CB1DC">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11.250~12.500</w:t>
                  </w:r>
                </w:p>
              </w:tc>
            </w:tr>
          </w:tbl>
          <w:p w14:paraId="4BA03B18">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p>
        </w:tc>
        <w:tc>
          <w:tcPr>
            <w:tcW w:w="3030" w:type="dxa"/>
            <w:vAlign w:val="center"/>
          </w:tcPr>
          <w:p w14:paraId="1B76B3C4">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检定依据：JJG 259《标准金属量器检定规程》</w:t>
            </w:r>
          </w:p>
        </w:tc>
      </w:tr>
      <w:tr w14:paraId="0EF7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restart"/>
            <w:vAlign w:val="center"/>
          </w:tcPr>
          <w:p w14:paraId="44D5F7E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center"/>
              <w:textAlignment w:val="auto"/>
              <w:outlineLvl w:val="1"/>
              <w:rPr>
                <w:rFonts w:hint="eastAsia" w:ascii="宋体" w:hAnsi="宋体" w:eastAsia="宋体" w:cs="宋体"/>
                <w:color w:val="auto"/>
                <w:sz w:val="24"/>
                <w:szCs w:val="24"/>
              </w:rPr>
            </w:pPr>
            <w:r>
              <w:rPr>
                <w:rFonts w:hint="default" w:ascii="宋体" w:hAnsi="宋体" w:eastAsia="宋体" w:cs="宋体"/>
                <w:color w:val="auto"/>
                <w:kern w:val="2"/>
                <w:sz w:val="24"/>
                <w:szCs w:val="24"/>
                <w:lang w:val="en-US" w:eastAsia="zh-CN" w:bidi="ar-SA"/>
              </w:rPr>
              <w:t>4</w:t>
            </w:r>
          </w:p>
        </w:tc>
        <w:tc>
          <w:tcPr>
            <w:tcW w:w="1382" w:type="dxa"/>
            <w:vMerge w:val="restart"/>
            <w:vAlign w:val="center"/>
          </w:tcPr>
          <w:p w14:paraId="4D182803">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临界流文丘里喷嘴法流量标准装置</w:t>
            </w:r>
          </w:p>
        </w:tc>
        <w:tc>
          <w:tcPr>
            <w:tcW w:w="4650" w:type="dxa"/>
            <w:vAlign w:val="center"/>
          </w:tcPr>
          <w:p w14:paraId="46F65703">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装置流量范围：（1～7000）m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/h。</w:t>
            </w:r>
          </w:p>
          <w:p w14:paraId="3FAD5A31">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检定流量计管径：DN15～DN300mm。</w:t>
            </w:r>
          </w:p>
          <w:p w14:paraId="3B4B5E3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装置扩展不确定度</w:t>
            </w:r>
            <w:r>
              <w:rPr>
                <w:rFonts w:hint="eastAsia" w:ascii="宋体" w:hAnsi="宋体" w:eastAsia="宋体" w:cs="宋体"/>
                <w:i/>
                <w:color w:val="auto"/>
                <w:sz w:val="24"/>
                <w:szCs w:val="24"/>
              </w:rPr>
              <w:t>U</w:t>
            </w:r>
            <w:r>
              <w:rPr>
                <w:rFonts w:hint="eastAsia" w:ascii="宋体" w:hAnsi="宋体" w:eastAsia="宋体" w:cs="宋体"/>
                <w:color w:val="auto"/>
                <w:sz w:val="24"/>
                <w:szCs w:val="24"/>
                <w:vertAlign w:val="subscript"/>
              </w:rPr>
              <w:t>rel</w:t>
            </w:r>
            <w:r>
              <w:rPr>
                <w:rFonts w:hint="eastAsia" w:ascii="宋体" w:hAnsi="宋体" w:eastAsia="宋体" w:cs="宋体"/>
                <w:color w:val="auto"/>
                <w:sz w:val="24"/>
                <w:szCs w:val="24"/>
              </w:rPr>
              <w:t>≤0.33%，(</w:t>
            </w:r>
            <w:r>
              <w:rPr>
                <w:rFonts w:hint="eastAsia" w:ascii="宋体" w:hAnsi="宋体" w:eastAsia="宋体" w:cs="宋体"/>
                <w:i/>
                <w:color w:val="auto"/>
                <w:sz w:val="24"/>
                <w:szCs w:val="24"/>
              </w:rPr>
              <w:t>k</w:t>
            </w:r>
            <w:r>
              <w:rPr>
                <w:rFonts w:hint="eastAsia" w:ascii="宋体" w:hAnsi="宋体" w:eastAsia="宋体" w:cs="宋体"/>
                <w:color w:val="auto"/>
                <w:sz w:val="24"/>
                <w:szCs w:val="24"/>
              </w:rPr>
              <w:t>=2)。</w:t>
            </w:r>
          </w:p>
          <w:p w14:paraId="7CF13BF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装置稳定性：≤0.3%。</w:t>
            </w:r>
          </w:p>
        </w:tc>
        <w:tc>
          <w:tcPr>
            <w:tcW w:w="3030" w:type="dxa"/>
            <w:vAlign w:val="center"/>
          </w:tcPr>
          <w:p w14:paraId="78D0510D">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JJF643-2024《标准表法流量标准装置检定规程》</w:t>
            </w:r>
          </w:p>
        </w:tc>
      </w:tr>
      <w:tr w14:paraId="38F0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73282C25">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47BD23CF">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2947059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文丘里喷嘴：准确度等级：0.2级或测量不确定度</w:t>
            </w:r>
            <w:r>
              <w:rPr>
                <w:rFonts w:hint="eastAsia" w:ascii="宋体" w:hAnsi="宋体" w:eastAsia="宋体" w:cs="宋体"/>
                <w:i/>
                <w:color w:val="auto"/>
                <w:sz w:val="24"/>
                <w:szCs w:val="24"/>
              </w:rPr>
              <w:t>U</w:t>
            </w:r>
            <w:r>
              <w:rPr>
                <w:rFonts w:hint="eastAsia" w:ascii="宋体" w:hAnsi="宋体" w:eastAsia="宋体" w:cs="宋体"/>
                <w:color w:val="auto"/>
                <w:sz w:val="24"/>
                <w:szCs w:val="24"/>
                <w:vertAlign w:val="subscript"/>
              </w:rPr>
              <w:t>rel</w:t>
            </w:r>
            <w:r>
              <w:rPr>
                <w:rFonts w:hint="eastAsia" w:ascii="宋体" w:hAnsi="宋体" w:eastAsia="宋体" w:cs="宋体"/>
                <w:color w:val="auto"/>
                <w:sz w:val="24"/>
                <w:szCs w:val="24"/>
              </w:rPr>
              <w:t>≤0.2%，(</w:t>
            </w:r>
            <w:r>
              <w:rPr>
                <w:rFonts w:hint="eastAsia" w:ascii="宋体" w:hAnsi="宋体" w:eastAsia="宋体" w:cs="宋体"/>
                <w:i/>
                <w:color w:val="auto"/>
                <w:sz w:val="24"/>
                <w:szCs w:val="24"/>
              </w:rPr>
              <w:t>k</w:t>
            </w:r>
            <w:r>
              <w:rPr>
                <w:rFonts w:hint="eastAsia" w:ascii="宋体" w:hAnsi="宋体" w:eastAsia="宋体" w:cs="宋体"/>
                <w:color w:val="auto"/>
                <w:sz w:val="24"/>
                <w:szCs w:val="24"/>
              </w:rPr>
              <w:t>=2)。</w:t>
            </w:r>
          </w:p>
        </w:tc>
        <w:tc>
          <w:tcPr>
            <w:tcW w:w="3030" w:type="dxa"/>
            <w:vAlign w:val="center"/>
          </w:tcPr>
          <w:p w14:paraId="5D3191A5">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JJG620-2008《临界流文丘里喷嘴检定规程》</w:t>
            </w:r>
          </w:p>
        </w:tc>
      </w:tr>
      <w:tr w14:paraId="3090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2240C85E">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7F3C44CC">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5C13C835">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绝压变送器</w:t>
            </w:r>
            <w:r>
              <w:rPr>
                <w:rFonts w:hint="eastAsia" w:ascii="宋体" w:hAnsi="宋体" w:eastAsia="宋体" w:cs="宋体"/>
                <w:color w:val="auto"/>
                <w:sz w:val="24"/>
                <w:szCs w:val="24"/>
              </w:rPr>
              <w:t>：量程：0～110kPa。</w:t>
            </w:r>
          </w:p>
        </w:tc>
        <w:tc>
          <w:tcPr>
            <w:tcW w:w="3030" w:type="dxa"/>
            <w:vAlign w:val="center"/>
          </w:tcPr>
          <w:p w14:paraId="6DA4169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JJG 882-2019《压力变送器检定规程》</w:t>
            </w:r>
          </w:p>
        </w:tc>
      </w:tr>
      <w:tr w14:paraId="1652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4C1BB1AD">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0508E5DC">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2E330592">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温度变送器：量程：（0～50）℃；分度值≤0.1℃。</w:t>
            </w:r>
          </w:p>
        </w:tc>
        <w:tc>
          <w:tcPr>
            <w:tcW w:w="3030" w:type="dxa"/>
            <w:vAlign w:val="center"/>
          </w:tcPr>
          <w:p w14:paraId="4C6E4C04">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JJF 1183-2025《温度变送器校准规范》</w:t>
            </w:r>
          </w:p>
        </w:tc>
      </w:tr>
      <w:tr w14:paraId="48AA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5CB9B57D">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7A75F380">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071C4A20">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湿度变送器：量程：（0～100）%RH。</w:t>
            </w:r>
          </w:p>
        </w:tc>
        <w:tc>
          <w:tcPr>
            <w:tcW w:w="3030" w:type="dxa"/>
            <w:vAlign w:val="center"/>
          </w:tcPr>
          <w:p w14:paraId="047AFDC0">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JJF 1076-2020《数字式温湿度计校准规范》</w:t>
            </w:r>
          </w:p>
        </w:tc>
      </w:tr>
      <w:tr w14:paraId="2426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28E369EE">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6A6FB81B">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0E548214">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差压变送器：量程：0～150kPa。</w:t>
            </w:r>
          </w:p>
        </w:tc>
        <w:tc>
          <w:tcPr>
            <w:tcW w:w="3030" w:type="dxa"/>
            <w:vAlign w:val="center"/>
          </w:tcPr>
          <w:p w14:paraId="6EFE276B">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JJG 882-2019《压力变送器检定规程》</w:t>
            </w:r>
          </w:p>
        </w:tc>
      </w:tr>
      <w:tr w14:paraId="49E0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73F743E8">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075593A2">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2852795D">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bCs/>
                <w:color w:val="auto"/>
                <w:sz w:val="24"/>
                <w:szCs w:val="24"/>
              </w:rPr>
            </w:pPr>
            <w:r>
              <w:rPr>
                <w:rFonts w:hint="eastAsia" w:ascii="宋体" w:hAnsi="宋体" w:eastAsia="宋体" w:cs="宋体"/>
                <w:color w:val="auto"/>
                <w:sz w:val="24"/>
                <w:szCs w:val="24"/>
              </w:rPr>
              <w:t>晶振（计时器）：计时分辨率不大于0.001s；晶振8h稳定度优于1×10</w:t>
            </w:r>
            <w:r>
              <w:rPr>
                <w:rFonts w:hint="eastAsia" w:ascii="宋体" w:hAnsi="宋体" w:eastAsia="宋体" w:cs="宋体"/>
                <w:color w:val="auto"/>
                <w:sz w:val="24"/>
                <w:szCs w:val="24"/>
                <w:vertAlign w:val="superscript"/>
              </w:rPr>
              <w:t>-5</w:t>
            </w:r>
            <w:r>
              <w:rPr>
                <w:rFonts w:hint="eastAsia" w:ascii="宋体" w:hAnsi="宋体" w:eastAsia="宋体" w:cs="宋体"/>
                <w:color w:val="auto"/>
                <w:sz w:val="24"/>
                <w:szCs w:val="24"/>
              </w:rPr>
              <w:t>。</w:t>
            </w:r>
          </w:p>
        </w:tc>
        <w:tc>
          <w:tcPr>
            <w:tcW w:w="3030" w:type="dxa"/>
            <w:vAlign w:val="center"/>
          </w:tcPr>
          <w:p w14:paraId="2EB6916A">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JJF1984-2022《电子测量仪器内石英晶体振荡器校准规范》</w:t>
            </w:r>
          </w:p>
        </w:tc>
      </w:tr>
      <w:tr w14:paraId="0EF2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restart"/>
            <w:vAlign w:val="center"/>
          </w:tcPr>
          <w:p w14:paraId="37BF47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center"/>
              <w:textAlignment w:val="auto"/>
              <w:outlineLvl w:val="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382" w:type="dxa"/>
            <w:vMerge w:val="restart"/>
            <w:vAlign w:val="center"/>
          </w:tcPr>
          <w:p w14:paraId="0D419678">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钟罩式气体流量标准装置</w:t>
            </w:r>
          </w:p>
        </w:tc>
        <w:tc>
          <w:tcPr>
            <w:tcW w:w="4650" w:type="dxa"/>
            <w:vAlign w:val="center"/>
          </w:tcPr>
          <w:p w14:paraId="04743372">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1、钟罩有效容积：1000L、2000L各一台</w:t>
            </w:r>
          </w:p>
          <w:p w14:paraId="0EB98DC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both"/>
              <w:textAlignment w:val="auto"/>
              <w:outlineLvl w:val="1"/>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2、</w:t>
            </w:r>
            <w:r>
              <w:rPr>
                <w:rFonts w:hint="eastAsia" w:ascii="宋体" w:hAnsi="宋体" w:eastAsia="宋体" w:cs="宋体"/>
                <w:color w:val="auto"/>
                <w:kern w:val="2"/>
                <w:sz w:val="24"/>
                <w:szCs w:val="24"/>
                <w:lang w:val="en-US" w:eastAsia="zh-CN" w:bidi="ar-SA"/>
              </w:rPr>
              <w:t>钟罩准确度等级：0.2级</w:t>
            </w:r>
          </w:p>
          <w:p w14:paraId="2D14B85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both"/>
              <w:textAlignment w:val="auto"/>
              <w:outlineLvl w:val="1"/>
              <w:rPr>
                <w:rFonts w:hint="eastAsia"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3、</w:t>
            </w:r>
            <w:r>
              <w:rPr>
                <w:rFonts w:hint="eastAsia" w:ascii="宋体" w:hAnsi="宋体" w:eastAsia="宋体" w:cs="宋体"/>
                <w:color w:val="auto"/>
                <w:kern w:val="2"/>
                <w:sz w:val="24"/>
                <w:szCs w:val="24"/>
                <w:lang w:val="en-US" w:eastAsia="zh-CN" w:bidi="ar-SA"/>
              </w:rPr>
              <w:t>压力波动：≤20Pa</w:t>
            </w:r>
          </w:p>
          <w:p w14:paraId="71E88EF2">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4、流量范围：（2～120）m</w:t>
            </w:r>
            <w:r>
              <w:rPr>
                <w:rFonts w:hint="eastAsia" w:ascii="宋体" w:hAnsi="宋体" w:eastAsia="宋体" w:cs="宋体"/>
                <w:color w:val="auto"/>
                <w:sz w:val="24"/>
                <w:szCs w:val="24"/>
                <w:vertAlign w:val="superscript"/>
              </w:rPr>
              <w:t>3</w:t>
            </w:r>
            <w:r>
              <w:rPr>
                <w:rFonts w:hint="eastAsia" w:ascii="宋体" w:hAnsi="宋体" w:eastAsia="宋体" w:cs="宋体"/>
                <w:color w:val="auto"/>
                <w:sz w:val="24"/>
                <w:szCs w:val="24"/>
              </w:rPr>
              <w:t>/h</w:t>
            </w:r>
          </w:p>
          <w:p w14:paraId="1F4C2D5D">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5、钟罩内压：≥2000Pa</w:t>
            </w:r>
          </w:p>
        </w:tc>
        <w:tc>
          <w:tcPr>
            <w:tcW w:w="3030" w:type="dxa"/>
            <w:vAlign w:val="center"/>
          </w:tcPr>
          <w:p w14:paraId="64253B4D">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kern w:val="1"/>
                <w:sz w:val="24"/>
                <w:szCs w:val="24"/>
              </w:rPr>
              <w:t>JJG165-2024  《钟罩式气体流量标准装置》</w:t>
            </w:r>
          </w:p>
        </w:tc>
      </w:tr>
      <w:tr w14:paraId="6D01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1DC7BD73">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1C2FEED0">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23D205E0">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bCs/>
                <w:color w:val="auto"/>
                <w:sz w:val="24"/>
                <w:szCs w:val="24"/>
              </w:rPr>
              <w:t>绝压变送器</w:t>
            </w:r>
            <w:r>
              <w:rPr>
                <w:rFonts w:hint="eastAsia" w:ascii="宋体" w:hAnsi="宋体" w:eastAsia="宋体" w:cs="宋体"/>
                <w:color w:val="auto"/>
                <w:sz w:val="24"/>
                <w:szCs w:val="24"/>
              </w:rPr>
              <w:t xml:space="preserve">：量程：0～350kPa。 </w:t>
            </w:r>
          </w:p>
        </w:tc>
        <w:tc>
          <w:tcPr>
            <w:tcW w:w="3030" w:type="dxa"/>
            <w:vAlign w:val="center"/>
          </w:tcPr>
          <w:p w14:paraId="368EBBFC">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JJG 882-2019《压力变送器检定规程》</w:t>
            </w:r>
          </w:p>
        </w:tc>
      </w:tr>
      <w:tr w14:paraId="7F56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5B771415">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17BDD78D">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4FDEDC5F">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bCs/>
                <w:color w:val="auto"/>
                <w:sz w:val="24"/>
                <w:szCs w:val="24"/>
              </w:rPr>
              <w:t>绝压变送器</w:t>
            </w:r>
            <w:r>
              <w:rPr>
                <w:rFonts w:hint="eastAsia" w:ascii="宋体" w:hAnsi="宋体" w:eastAsia="宋体" w:cs="宋体"/>
                <w:color w:val="auto"/>
                <w:sz w:val="24"/>
                <w:szCs w:val="24"/>
              </w:rPr>
              <w:t>：量程：0～110kPa。</w:t>
            </w:r>
          </w:p>
        </w:tc>
        <w:tc>
          <w:tcPr>
            <w:tcW w:w="3030" w:type="dxa"/>
            <w:vAlign w:val="center"/>
          </w:tcPr>
          <w:p w14:paraId="2FBB2FD5">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JJG 882-2019《压力变送器检定规程》</w:t>
            </w:r>
          </w:p>
        </w:tc>
      </w:tr>
      <w:tr w14:paraId="2B89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479A7CDC">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32381616">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43C38BCF">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 xml:space="preserve">温度变送器：量程：（0～50）℃；分度值≤0.1℃。 </w:t>
            </w:r>
          </w:p>
        </w:tc>
        <w:tc>
          <w:tcPr>
            <w:tcW w:w="3030" w:type="dxa"/>
            <w:vAlign w:val="center"/>
          </w:tcPr>
          <w:p w14:paraId="5F42F2A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JJF 1183-2025《温度变送器校准规范》</w:t>
            </w:r>
          </w:p>
        </w:tc>
      </w:tr>
      <w:tr w14:paraId="7090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52EC8FC2">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1761479F">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7446BB3C">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湿度变送器：量程：（0～100）%RH。</w:t>
            </w:r>
          </w:p>
        </w:tc>
        <w:tc>
          <w:tcPr>
            <w:tcW w:w="3030" w:type="dxa"/>
            <w:vAlign w:val="center"/>
          </w:tcPr>
          <w:p w14:paraId="37648A7C">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JJF 1076-2020《数字式温湿度计校准规范》</w:t>
            </w:r>
          </w:p>
        </w:tc>
      </w:tr>
      <w:tr w14:paraId="2B75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7A8ED5D4">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1382" w:type="dxa"/>
            <w:vMerge w:val="continue"/>
            <w:vAlign w:val="center"/>
          </w:tcPr>
          <w:p w14:paraId="54605115">
            <w:pPr>
              <w:keepNext w:val="0"/>
              <w:keepLines w:val="0"/>
              <w:pageBreakBefore w:val="0"/>
              <w:widowControl w:val="0"/>
              <w:kinsoku/>
              <w:wordWrap/>
              <w:overflowPunct/>
              <w:topLinePunct w:val="0"/>
              <w:autoSpaceDE/>
              <w:autoSpaceDN/>
              <w:bidi w:val="0"/>
              <w:adjustRightInd w:val="0"/>
              <w:snapToGrid w:val="0"/>
              <w:spacing w:line="360" w:lineRule="auto"/>
              <w:ind w:left="0" w:firstLine="0"/>
              <w:jc w:val="center"/>
              <w:textAlignment w:val="auto"/>
              <w:outlineLvl w:val="1"/>
              <w:rPr>
                <w:rFonts w:hint="eastAsia" w:ascii="宋体" w:hAnsi="宋体" w:eastAsia="宋体" w:cs="宋体"/>
                <w:color w:val="auto"/>
                <w:sz w:val="24"/>
                <w:szCs w:val="24"/>
              </w:rPr>
            </w:pPr>
          </w:p>
        </w:tc>
        <w:tc>
          <w:tcPr>
            <w:tcW w:w="4650" w:type="dxa"/>
            <w:vAlign w:val="center"/>
          </w:tcPr>
          <w:p w14:paraId="4959D808">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晶振（计时器）：计时分辨率不大于0.001s；晶振8h稳定度优于1×10</w:t>
            </w:r>
            <w:r>
              <w:rPr>
                <w:rFonts w:hint="eastAsia" w:ascii="宋体" w:hAnsi="宋体" w:eastAsia="宋体" w:cs="宋体"/>
                <w:color w:val="auto"/>
                <w:sz w:val="24"/>
                <w:szCs w:val="24"/>
                <w:vertAlign w:val="superscript"/>
              </w:rPr>
              <w:t>-5</w:t>
            </w:r>
            <w:r>
              <w:rPr>
                <w:rFonts w:hint="eastAsia" w:ascii="宋体" w:hAnsi="宋体" w:eastAsia="宋体" w:cs="宋体"/>
                <w:color w:val="auto"/>
                <w:sz w:val="24"/>
                <w:szCs w:val="24"/>
              </w:rPr>
              <w:t>。</w:t>
            </w:r>
          </w:p>
        </w:tc>
        <w:tc>
          <w:tcPr>
            <w:tcW w:w="3030" w:type="dxa"/>
            <w:vAlign w:val="center"/>
          </w:tcPr>
          <w:p w14:paraId="16DCE669">
            <w:pPr>
              <w:keepNext w:val="0"/>
              <w:keepLines w:val="0"/>
              <w:pageBreakBefore w:val="0"/>
              <w:widowControl w:val="0"/>
              <w:kinsoku/>
              <w:wordWrap/>
              <w:overflowPunct/>
              <w:topLinePunct w:val="0"/>
              <w:autoSpaceDE/>
              <w:autoSpaceDN/>
              <w:bidi w:val="0"/>
              <w:adjustRightInd w:val="0"/>
              <w:snapToGrid w:val="0"/>
              <w:spacing w:line="360" w:lineRule="auto"/>
              <w:ind w:left="0" w:firstLine="0"/>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JJF1984-2022《电子测量仪器内石英晶体振荡器校准规范》</w:t>
            </w:r>
          </w:p>
        </w:tc>
      </w:tr>
    </w:tbl>
    <w:p w14:paraId="4D7C93D7">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rPr>
        <w:t>4</w:t>
      </w: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rPr>
        <w:t>如果仪器出现故障，在接到采购人维修服务的请求后，中标人工程师应在24小时内作出应答，进行电话指导、网上诊断协助排除故障。必要时，在48小时内到达现场。</w:t>
      </w:r>
    </w:p>
    <w:p w14:paraId="622E4035">
      <w:pPr>
        <w:spacing w:line="360" w:lineRule="auto"/>
        <w:ind w:firstLine="437"/>
        <w:outlineLvl w:val="1"/>
        <w:rPr>
          <w:rFonts w:hint="eastAsia" w:ascii="宋体" w:hAnsi="宋体" w:eastAsia="宋体"/>
          <w:b/>
          <w:bCs/>
          <w:color w:val="auto"/>
          <w:sz w:val="24"/>
          <w:szCs w:val="18"/>
          <w:highlight w:val="none"/>
          <w:lang w:val="en-US" w:eastAsia="zh-CN"/>
        </w:rPr>
      </w:pPr>
    </w:p>
    <w:p w14:paraId="51FFF164">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四</w:t>
      </w:r>
      <w:r>
        <w:rPr>
          <w:rFonts w:hint="eastAsia" w:ascii="宋体" w:hAnsi="宋体" w:eastAsia="宋体"/>
          <w:b/>
          <w:bCs/>
          <w:color w:val="auto"/>
          <w:sz w:val="24"/>
          <w:szCs w:val="18"/>
          <w:highlight w:val="none"/>
        </w:rPr>
        <w:t>、报价要求</w:t>
      </w:r>
      <w:bookmarkEnd w:id="4"/>
      <w:bookmarkEnd w:id="5"/>
    </w:p>
    <w:p w14:paraId="28D8B7EC">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2D330DA2">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注：采购需求中涉及“免费”的条款，均代表相关费用包含在本项目投标报价内，采购人不再另行支付。</w:t>
      </w:r>
    </w:p>
    <w:p w14:paraId="3A0910E8">
      <w:pPr>
        <w:spacing w:line="360" w:lineRule="auto"/>
        <w:ind w:firstLine="437"/>
        <w:outlineLvl w:val="1"/>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五</w:t>
      </w: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val="en-US" w:eastAsia="zh-CN"/>
        </w:rPr>
        <w:t>其他要求</w:t>
      </w:r>
    </w:p>
    <w:p w14:paraId="2C7A8CA3">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1、</w:t>
      </w:r>
      <w:r>
        <w:rPr>
          <w:rFonts w:hint="eastAsia" w:ascii="宋体" w:hAnsi="宋体" w:eastAsia="宋体"/>
          <w:bCs/>
          <w:color w:val="auto"/>
          <w:sz w:val="24"/>
          <w:szCs w:val="18"/>
          <w:highlight w:val="none"/>
        </w:rPr>
        <w:t>旧设备拆除清运要求：本项目包含部分旧设备拆除及清运，需按采购人要求将指定旧设备拆除后清运至采购人指定地点，旧设备资产处理权归属于采购人。需拆除清运设备表如下：</w:t>
      </w:r>
    </w:p>
    <w:tbl>
      <w:tblPr>
        <w:tblStyle w:val="5"/>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410"/>
        <w:gridCol w:w="917"/>
        <w:gridCol w:w="4753"/>
      </w:tblGrid>
      <w:tr w14:paraId="73EC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C7A4D6C">
            <w:pPr>
              <w:spacing w:line="360" w:lineRule="auto"/>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序号</w:t>
            </w:r>
          </w:p>
        </w:tc>
        <w:tc>
          <w:tcPr>
            <w:tcW w:w="2410" w:type="dxa"/>
          </w:tcPr>
          <w:p w14:paraId="7497BCCD">
            <w:pPr>
              <w:spacing w:line="360" w:lineRule="auto"/>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设备名称</w:t>
            </w:r>
          </w:p>
        </w:tc>
        <w:tc>
          <w:tcPr>
            <w:tcW w:w="917" w:type="dxa"/>
          </w:tcPr>
          <w:p w14:paraId="1EA72EB1">
            <w:pPr>
              <w:spacing w:line="360" w:lineRule="auto"/>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数量</w:t>
            </w:r>
          </w:p>
        </w:tc>
        <w:tc>
          <w:tcPr>
            <w:tcW w:w="4753" w:type="dxa"/>
          </w:tcPr>
          <w:p w14:paraId="2C9F83A1">
            <w:pPr>
              <w:spacing w:line="360" w:lineRule="auto"/>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所在位置</w:t>
            </w:r>
          </w:p>
        </w:tc>
      </w:tr>
      <w:tr w14:paraId="2FDD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9E887D">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1</w:t>
            </w:r>
          </w:p>
        </w:tc>
        <w:tc>
          <w:tcPr>
            <w:tcW w:w="2410" w:type="dxa"/>
          </w:tcPr>
          <w:p w14:paraId="1DBA7C03">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燃气表检定装置（含膜式）</w:t>
            </w:r>
          </w:p>
        </w:tc>
        <w:tc>
          <w:tcPr>
            <w:tcW w:w="917" w:type="dxa"/>
          </w:tcPr>
          <w:p w14:paraId="65414A80">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1台</w:t>
            </w:r>
          </w:p>
        </w:tc>
        <w:tc>
          <w:tcPr>
            <w:tcW w:w="4753" w:type="dxa"/>
          </w:tcPr>
          <w:p w14:paraId="0A356D69">
            <w:pPr>
              <w:spacing w:line="36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安徽省合肥市包河区延安路13号安徽省计量科学研究院4号楼108室</w:t>
            </w:r>
          </w:p>
        </w:tc>
      </w:tr>
      <w:tr w14:paraId="266C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C8E5052">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2</w:t>
            </w:r>
          </w:p>
        </w:tc>
        <w:tc>
          <w:tcPr>
            <w:tcW w:w="2410" w:type="dxa"/>
          </w:tcPr>
          <w:p w14:paraId="1203A5CE">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热量表检定装置</w:t>
            </w:r>
          </w:p>
        </w:tc>
        <w:tc>
          <w:tcPr>
            <w:tcW w:w="917" w:type="dxa"/>
          </w:tcPr>
          <w:p w14:paraId="06ED9E26">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1台</w:t>
            </w:r>
          </w:p>
        </w:tc>
        <w:tc>
          <w:tcPr>
            <w:tcW w:w="4753" w:type="dxa"/>
          </w:tcPr>
          <w:p w14:paraId="670A162B">
            <w:pPr>
              <w:spacing w:line="36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安徽省合肥市包河区延安路13号安徽省计量科学研究院4号楼105室</w:t>
            </w:r>
          </w:p>
        </w:tc>
      </w:tr>
      <w:tr w14:paraId="23A6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0374473">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3</w:t>
            </w:r>
          </w:p>
        </w:tc>
        <w:tc>
          <w:tcPr>
            <w:tcW w:w="2410" w:type="dxa"/>
          </w:tcPr>
          <w:p w14:paraId="2DED5B13">
            <w:pPr>
              <w:spacing w:line="360" w:lineRule="auto"/>
              <w:jc w:val="center"/>
              <w:rPr>
                <w:rFonts w:hint="eastAsia" w:ascii="宋体" w:hAnsi="宋体" w:eastAsia="宋体" w:cs="宋体"/>
                <w:bCs/>
                <w:color w:val="auto"/>
                <w:sz w:val="24"/>
                <w:szCs w:val="24"/>
              </w:rPr>
            </w:pPr>
            <w:r>
              <w:rPr>
                <w:rFonts w:hint="eastAsia" w:ascii="宋体" w:hAnsi="宋体" w:eastAsia="宋体" w:cs="宋体"/>
                <w:color w:val="auto"/>
                <w:sz w:val="24"/>
                <w:szCs w:val="24"/>
              </w:rPr>
              <w:t>临界流文丘里喷嘴法流量标准装置</w:t>
            </w:r>
          </w:p>
        </w:tc>
        <w:tc>
          <w:tcPr>
            <w:tcW w:w="917" w:type="dxa"/>
          </w:tcPr>
          <w:p w14:paraId="02110052">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1台</w:t>
            </w:r>
          </w:p>
        </w:tc>
        <w:tc>
          <w:tcPr>
            <w:tcW w:w="4753" w:type="dxa"/>
          </w:tcPr>
          <w:p w14:paraId="5FC4D0FE">
            <w:pPr>
              <w:spacing w:line="36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安徽省合肥市包河区延安路13号安徽省计量科学研究院4号楼107室</w:t>
            </w:r>
          </w:p>
        </w:tc>
      </w:tr>
      <w:tr w14:paraId="7AEF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35C28FA">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4</w:t>
            </w:r>
          </w:p>
        </w:tc>
        <w:tc>
          <w:tcPr>
            <w:tcW w:w="2410" w:type="dxa"/>
          </w:tcPr>
          <w:p w14:paraId="2816BC0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钟罩式气体流量标准装置</w:t>
            </w:r>
          </w:p>
        </w:tc>
        <w:tc>
          <w:tcPr>
            <w:tcW w:w="917" w:type="dxa"/>
          </w:tcPr>
          <w:p w14:paraId="33F84E0A">
            <w:pPr>
              <w:spacing w:line="360" w:lineRule="auto"/>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2台</w:t>
            </w:r>
          </w:p>
        </w:tc>
        <w:tc>
          <w:tcPr>
            <w:tcW w:w="4753" w:type="dxa"/>
          </w:tcPr>
          <w:p w14:paraId="31A55B09">
            <w:pPr>
              <w:spacing w:line="36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安徽省合肥市包河区延安路13号安徽省计量科学研究院4号楼104室</w:t>
            </w:r>
          </w:p>
        </w:tc>
      </w:tr>
    </w:tbl>
    <w:p w14:paraId="02A307E8">
      <w:pPr>
        <w:spacing w:line="360" w:lineRule="auto"/>
        <w:ind w:firstLine="437"/>
        <w:outlineLvl w:val="1"/>
        <w:rPr>
          <w:rFonts w:ascii="宋体" w:hAnsi="宋体" w:eastAsia="宋体"/>
          <w:bCs/>
          <w:color w:val="auto"/>
          <w:sz w:val="24"/>
          <w:szCs w:val="18"/>
          <w:highlight w:val="none"/>
        </w:rPr>
      </w:pPr>
      <w:r>
        <w:rPr>
          <w:rFonts w:hint="eastAsia" w:ascii="Times New Roman" w:hAnsi="Times New Roman" w:eastAsia="宋体" w:cs="Times New Roman"/>
          <w:bCs/>
          <w:color w:val="auto"/>
          <w:sz w:val="24"/>
          <w:szCs w:val="18"/>
          <w:lang w:val="en-US" w:eastAsia="zh-CN"/>
        </w:rPr>
        <w:t>2、</w:t>
      </w:r>
      <w:r>
        <w:rPr>
          <w:rFonts w:hint="eastAsia" w:ascii="Times New Roman" w:hAnsi="Times New Roman" w:eastAsia="宋体" w:cs="Times New Roman"/>
          <w:bCs/>
          <w:color w:val="auto"/>
          <w:sz w:val="24"/>
          <w:szCs w:val="18"/>
        </w:rPr>
        <w:t>设备入厂布局要求：投标人如中标，需在合同签订后、进场实施前自行勘测实验室场地，需提供现场布局图，三维图满足实验室布局要求，经采购人确认后方可实施。</w:t>
      </w:r>
    </w:p>
    <w:p w14:paraId="3BC3E136">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C6747A"/>
    <w:multiLevelType w:val="singleLevel"/>
    <w:tmpl w:val="70C6747A"/>
    <w:lvl w:ilvl="0" w:tentative="0">
      <w:start w:val="1"/>
      <w:numFmt w:val="decimal"/>
      <w:lvlText w:val="%1"/>
      <w:lvlJc w:val="left"/>
      <w:pPr>
        <w:tabs>
          <w:tab w:val="left" w:pos="42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20BCE"/>
    <w:rsid w:val="52520B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2026-07-13T09:38:00Z</dcterms:created>
  <dc:creator>审阅</dc:creator>
  <cp:lastModifiedBy>审阅</cp:lastModifiedBy>
  <dcterms:modified xsi:type="dcterms:W3CDTF">2026-07-13T09:39:04Z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97DD040817B24F8E8C08B46A82593101_11</vt:lpwstr>
  </property>
  <property fmtid="{D5CDD505-2E9C-101B-9397-08002B2CF9AE}" pid="4" name="KSOTemplateDocerSaveRecord">
    <vt:lpwstr>eyJoZGlkIjoiZTdlZWY3ZWY1NGQ0OTgxYTUyZGUyZmJjMTFjY2Q4ZDciLCJ1c2VySWQiOiIzMjQ4MTEwODkifQ==</vt:lpwstr>
  </property>
</Properties>
</file>