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4A9EC">
      <w:pPr>
        <w:pStyle w:val="2"/>
        <w:widowControl/>
        <w:snapToGrid w:val="0"/>
        <w:spacing w:before="0" w:after="0" w:line="360" w:lineRule="auto"/>
        <w:jc w:val="center"/>
        <w:rPr>
          <w:rFonts w:hint="eastAsia" w:ascii="宋体" w:hAnsi="宋体"/>
          <w:color w:val="000000"/>
          <w:highlight w:val="none"/>
        </w:rPr>
      </w:pPr>
      <w:bookmarkStart w:id="0" w:name="_Toc8946"/>
      <w:r>
        <w:rPr>
          <w:rFonts w:hint="eastAsia" w:ascii="宋体" w:hAnsi="宋体"/>
          <w:color w:val="000000"/>
          <w:highlight w:val="none"/>
        </w:rPr>
        <w:t>第三章  采购需求及技术规格要求</w:t>
      </w:r>
      <w:bookmarkEnd w:id="0"/>
    </w:p>
    <w:p w14:paraId="512C3B57">
      <w:pPr>
        <w:pStyle w:val="3"/>
        <w:spacing w:before="0" w:after="0" w:line="360" w:lineRule="auto"/>
        <w:rPr>
          <w:rFonts w:hint="eastAsia" w:ascii="仿宋" w:hAnsi="仿宋" w:eastAsia="仿宋" w:cs="仿宋"/>
          <w:b w:val="0"/>
          <w:bCs w:val="0"/>
          <w:color w:val="000000"/>
          <w:sz w:val="24"/>
          <w:szCs w:val="24"/>
          <w:highlight w:val="none"/>
        </w:rPr>
      </w:pPr>
      <w:r>
        <w:rPr>
          <w:rFonts w:hint="eastAsia" w:ascii="仿宋" w:hAnsi="仿宋" w:eastAsia="仿宋" w:cs="仿宋"/>
          <w:b w:val="0"/>
          <w:bCs w:val="0"/>
          <w:color w:val="000000"/>
          <w:sz w:val="24"/>
          <w:szCs w:val="24"/>
          <w:highlight w:val="none"/>
        </w:rPr>
        <w:t>总则：</w:t>
      </w:r>
    </w:p>
    <w:p w14:paraId="62E51D59">
      <w:pPr>
        <w:widowControl/>
        <w:tabs>
          <w:tab w:val="left" w:pos="1406"/>
        </w:tabs>
        <w:snapToGrid w:val="0"/>
        <w:spacing w:line="360" w:lineRule="auto"/>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002349B5">
      <w:pPr>
        <w:pStyle w:val="10"/>
        <w:spacing w:line="360" w:lineRule="auto"/>
        <w:ind w:firstLine="480" w:firstLineChars="200"/>
        <w:rPr>
          <w:rFonts w:hint="eastAsia" w:ascii="仿宋" w:hAnsi="仿宋" w:eastAsia="仿宋" w:cs="仿宋"/>
          <w:b/>
          <w:bCs/>
          <w:color w:val="000000"/>
          <w:sz w:val="24"/>
          <w:szCs w:val="24"/>
          <w:highlight w:val="none"/>
        </w:rPr>
      </w:pPr>
      <w:r>
        <w:rPr>
          <w:rFonts w:hint="eastAsia" w:ascii="仿宋" w:hAnsi="仿宋" w:eastAsia="仿宋" w:cs="仿宋"/>
          <w:color w:val="000000"/>
          <w:sz w:val="24"/>
          <w:szCs w:val="24"/>
          <w:highlight w:val="none"/>
        </w:rPr>
        <w:t>1.2 中标产品的名称、品牌、规格型号、数量、单价等将予以公布。</w:t>
      </w:r>
    </w:p>
    <w:p w14:paraId="089E3A5A">
      <w:pPr>
        <w:wordWrap w:val="0"/>
        <w:spacing w:line="360" w:lineRule="auto"/>
        <w:jc w:val="left"/>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一、商务条款：</w:t>
      </w:r>
    </w:p>
    <w:tbl>
      <w:tblPr>
        <w:tblStyle w:val="8"/>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529"/>
        <w:gridCol w:w="7216"/>
      </w:tblGrid>
      <w:tr w14:paraId="78C6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11" w:type="dxa"/>
            <w:noWrap w:val="0"/>
            <w:vAlign w:val="center"/>
          </w:tcPr>
          <w:p w14:paraId="233F4799">
            <w:pPr>
              <w:wordWrap w:val="0"/>
              <w:spacing w:line="360" w:lineRule="auto"/>
              <w:jc w:val="center"/>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序号</w:t>
            </w:r>
          </w:p>
        </w:tc>
        <w:tc>
          <w:tcPr>
            <w:tcW w:w="8745" w:type="dxa"/>
            <w:gridSpan w:val="2"/>
            <w:noWrap w:val="0"/>
            <w:vAlign w:val="center"/>
          </w:tcPr>
          <w:p w14:paraId="2878017E">
            <w:pPr>
              <w:wordWrap w:val="0"/>
              <w:spacing w:line="360" w:lineRule="auto"/>
              <w:ind w:firstLine="2891" w:firstLineChars="1200"/>
              <w:jc w:val="left"/>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商务条款内容</w:t>
            </w:r>
          </w:p>
        </w:tc>
      </w:tr>
      <w:tr w14:paraId="736C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11" w:type="dxa"/>
            <w:noWrap w:val="0"/>
            <w:vAlign w:val="center"/>
          </w:tcPr>
          <w:p w14:paraId="453C4A1A">
            <w:pPr>
              <w:wordWrap w:val="0"/>
              <w:spacing w:line="360" w:lineRule="auto"/>
              <w:jc w:val="center"/>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1</w:t>
            </w:r>
          </w:p>
        </w:tc>
        <w:tc>
          <w:tcPr>
            <w:tcW w:w="1529" w:type="dxa"/>
            <w:vMerge w:val="restart"/>
            <w:noWrap w:val="0"/>
            <w:vAlign w:val="center"/>
          </w:tcPr>
          <w:p w14:paraId="21DE49BB">
            <w:pPr>
              <w:wordWrap w:val="0"/>
              <w:spacing w:line="360" w:lineRule="auto"/>
              <w:jc w:val="center"/>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如是依法纳入医疗器械管理的须具有：</w:t>
            </w:r>
          </w:p>
        </w:tc>
        <w:tc>
          <w:tcPr>
            <w:tcW w:w="7216" w:type="dxa"/>
            <w:noWrap w:val="0"/>
            <w:vAlign w:val="center"/>
          </w:tcPr>
          <w:p w14:paraId="6BDA0C81">
            <w:pPr>
              <w:wordWrap w:val="0"/>
              <w:spacing w:line="360" w:lineRule="auto"/>
              <w:jc w:val="left"/>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投标人为制造商的（进口产品除外），须具有相应的医疗器械生产备案获取的备案编号（属于一类时）。</w:t>
            </w:r>
          </w:p>
        </w:tc>
      </w:tr>
      <w:tr w14:paraId="5301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011" w:type="dxa"/>
            <w:noWrap w:val="0"/>
            <w:vAlign w:val="center"/>
          </w:tcPr>
          <w:p w14:paraId="24325FE9">
            <w:pPr>
              <w:wordWrap w:val="0"/>
              <w:spacing w:line="360" w:lineRule="auto"/>
              <w:jc w:val="center"/>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2</w:t>
            </w:r>
          </w:p>
        </w:tc>
        <w:tc>
          <w:tcPr>
            <w:tcW w:w="1529" w:type="dxa"/>
            <w:vMerge w:val="continue"/>
            <w:noWrap w:val="0"/>
            <w:vAlign w:val="top"/>
          </w:tcPr>
          <w:p w14:paraId="7252DDE3">
            <w:pPr>
              <w:wordWrap w:val="0"/>
              <w:spacing w:line="360" w:lineRule="auto"/>
              <w:jc w:val="center"/>
              <w:rPr>
                <w:rFonts w:hint="eastAsia" w:ascii="仿宋" w:hAnsi="仿宋" w:eastAsia="仿宋" w:cs="仿宋"/>
                <w:b/>
                <w:bCs/>
                <w:kern w:val="0"/>
                <w:sz w:val="24"/>
                <w:highlight w:val="none"/>
              </w:rPr>
            </w:pPr>
          </w:p>
        </w:tc>
        <w:tc>
          <w:tcPr>
            <w:tcW w:w="7216" w:type="dxa"/>
            <w:noWrap w:val="0"/>
            <w:vAlign w:val="top"/>
          </w:tcPr>
          <w:p w14:paraId="5FA1B818">
            <w:pPr>
              <w:pStyle w:val="11"/>
              <w:spacing w:line="360" w:lineRule="auto"/>
              <w:jc w:val="left"/>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投标人须具有与投标产品相应的有效经营备案编号（属于二类时）；（如本次投标产品的注册人、备案人在其住所或者生产地址销售的，无需再办理医疗器械经营许可或备案。）。</w:t>
            </w:r>
          </w:p>
        </w:tc>
      </w:tr>
      <w:tr w14:paraId="727D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39AFFCA4">
            <w:pPr>
              <w:wordWrap w:val="0"/>
              <w:spacing w:line="360" w:lineRule="auto"/>
              <w:jc w:val="center"/>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3</w:t>
            </w:r>
          </w:p>
        </w:tc>
        <w:tc>
          <w:tcPr>
            <w:tcW w:w="1529" w:type="dxa"/>
            <w:vMerge w:val="continue"/>
            <w:noWrap w:val="0"/>
            <w:vAlign w:val="top"/>
          </w:tcPr>
          <w:p w14:paraId="542F017D">
            <w:pPr>
              <w:wordWrap w:val="0"/>
              <w:spacing w:line="360" w:lineRule="auto"/>
              <w:jc w:val="center"/>
              <w:rPr>
                <w:rFonts w:hint="eastAsia" w:ascii="仿宋" w:hAnsi="仿宋" w:eastAsia="仿宋" w:cs="仿宋"/>
                <w:b/>
                <w:bCs/>
                <w:kern w:val="0"/>
                <w:sz w:val="24"/>
                <w:highlight w:val="none"/>
              </w:rPr>
            </w:pPr>
          </w:p>
        </w:tc>
        <w:tc>
          <w:tcPr>
            <w:tcW w:w="7216" w:type="dxa"/>
            <w:noWrap w:val="0"/>
            <w:vAlign w:val="top"/>
          </w:tcPr>
          <w:p w14:paraId="3FC3D0C3">
            <w:pPr>
              <w:pStyle w:val="7"/>
              <w:spacing w:before="0" w:beforeAutospacing="0" w:after="0" w:afterAutospacing="0" w:line="360" w:lineRule="auto"/>
              <w:rPr>
                <w:rFonts w:hint="eastAsia" w:ascii="仿宋" w:hAnsi="仿宋" w:eastAsia="仿宋" w:cs="仿宋"/>
                <w:b/>
                <w:bCs/>
                <w:color w:val="auto"/>
                <w:highlight w:val="none"/>
              </w:rPr>
            </w:pPr>
            <w:r>
              <w:rPr>
                <w:rFonts w:hint="eastAsia" w:ascii="仿宋" w:hAnsi="仿宋" w:eastAsia="仿宋" w:cs="仿宋"/>
                <w:b/>
                <w:bCs/>
                <w:color w:val="auto"/>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3F2E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29C9EA3B">
            <w:pPr>
              <w:wordWrap w:val="0"/>
              <w:spacing w:line="360" w:lineRule="auto"/>
              <w:jc w:val="center"/>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4</w:t>
            </w:r>
          </w:p>
        </w:tc>
        <w:tc>
          <w:tcPr>
            <w:tcW w:w="8745" w:type="dxa"/>
            <w:gridSpan w:val="2"/>
            <w:noWrap w:val="0"/>
            <w:vAlign w:val="top"/>
          </w:tcPr>
          <w:p w14:paraId="4B361A03">
            <w:pPr>
              <w:pStyle w:val="7"/>
              <w:spacing w:before="0" w:beforeAutospacing="0" w:after="0" w:afterAutospacing="0" w:line="360" w:lineRule="auto"/>
              <w:rPr>
                <w:rFonts w:hint="eastAsia" w:ascii="仿宋" w:hAnsi="仿宋" w:eastAsia="仿宋" w:cs="仿宋"/>
                <w:b/>
                <w:bCs/>
                <w:color w:val="auto"/>
                <w:highlight w:val="none"/>
              </w:rPr>
            </w:pPr>
            <w:r>
              <w:rPr>
                <w:rFonts w:hint="eastAsia" w:ascii="仿宋" w:hAnsi="仿宋" w:eastAsia="仿宋" w:cs="仿宋"/>
                <w:b/>
                <w:bCs/>
                <w:color w:val="auto"/>
                <w:highlight w:val="none"/>
              </w:rPr>
              <w:t>1、投标人所投设备须与医院信息系统连接，由此产生的费用包含在投标总报价中，采购人不另行支付。</w:t>
            </w:r>
          </w:p>
          <w:p w14:paraId="4C3DEEF3">
            <w:pPr>
              <w:pStyle w:val="7"/>
              <w:spacing w:before="0" w:beforeAutospacing="0" w:after="0" w:afterAutospacing="0" w:line="360" w:lineRule="auto"/>
              <w:rPr>
                <w:rFonts w:hint="eastAsia" w:ascii="仿宋" w:hAnsi="仿宋" w:eastAsia="仿宋" w:cs="仿宋"/>
                <w:b/>
                <w:bCs/>
                <w:color w:val="auto"/>
                <w:highlight w:val="none"/>
              </w:rPr>
            </w:pPr>
            <w:r>
              <w:rPr>
                <w:rFonts w:hint="eastAsia" w:ascii="仿宋" w:hAnsi="仿宋" w:eastAsia="仿宋" w:cs="仿宋"/>
                <w:b/>
                <w:bCs/>
                <w:color w:val="auto"/>
                <w:highlight w:val="none"/>
              </w:rPr>
              <w:t>2、中标人需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tc>
      </w:tr>
    </w:tbl>
    <w:p w14:paraId="2880D2F0">
      <w:pPr>
        <w:spacing w:line="360" w:lineRule="auto"/>
        <w:rPr>
          <w:rFonts w:hint="eastAsia" w:ascii="仿宋" w:hAnsi="仿宋" w:eastAsia="仿宋" w:cs="仿宋"/>
          <w:b/>
          <w:color w:val="000000"/>
          <w:sz w:val="24"/>
          <w:highlight w:val="none"/>
        </w:rPr>
      </w:pPr>
    </w:p>
    <w:p w14:paraId="589AE1CD">
      <w:pPr>
        <w:spacing w:line="360" w:lineRule="auto"/>
        <w:rPr>
          <w:rFonts w:hint="eastAsia" w:ascii="仿宋" w:hAnsi="仿宋" w:eastAsia="仿宋" w:cs="仿宋"/>
          <w:bCs/>
          <w:color w:val="000000"/>
          <w:sz w:val="24"/>
          <w:highlight w:val="none"/>
        </w:rPr>
      </w:pPr>
      <w:r>
        <w:rPr>
          <w:rFonts w:hint="eastAsia" w:ascii="仿宋" w:hAnsi="仿宋" w:eastAsia="仿宋" w:cs="仿宋"/>
          <w:b/>
          <w:color w:val="000000"/>
          <w:sz w:val="24"/>
          <w:highlight w:val="none"/>
        </w:rPr>
        <w:t>注：上述</w:t>
      </w:r>
      <w:r>
        <w:rPr>
          <w:rFonts w:hint="eastAsia" w:ascii="仿宋" w:hAnsi="仿宋" w:eastAsia="仿宋" w:cs="仿宋"/>
          <w:b/>
          <w:sz w:val="24"/>
          <w:highlight w:val="none"/>
        </w:rPr>
        <w:t>商务条款必须全部满足，否则做无效标处理。</w:t>
      </w:r>
    </w:p>
    <w:p w14:paraId="4E336F2C">
      <w:pPr>
        <w:pStyle w:val="5"/>
        <w:rPr>
          <w:rFonts w:hint="eastAsia" w:ascii="仿宋" w:hAnsi="仿宋" w:eastAsia="仿宋" w:cs="仿宋"/>
          <w:b/>
          <w:sz w:val="24"/>
          <w:highlight w:val="none"/>
        </w:rPr>
      </w:pPr>
    </w:p>
    <w:p w14:paraId="7769EF23">
      <w:pPr>
        <w:pStyle w:val="5"/>
        <w:rPr>
          <w:rFonts w:hint="eastAsia" w:ascii="仿宋" w:hAnsi="仿宋" w:eastAsia="仿宋" w:cs="仿宋"/>
          <w:b/>
          <w:sz w:val="24"/>
          <w:highlight w:val="none"/>
        </w:rPr>
      </w:pPr>
    </w:p>
    <w:p w14:paraId="250B3D41">
      <w:pPr>
        <w:pStyle w:val="4"/>
        <w:numPr>
          <w:ilvl w:val="0"/>
          <w:numId w:val="1"/>
        </w:numPr>
        <w:spacing w:line="360" w:lineRule="auto"/>
        <w:ind w:firstLine="0" w:firstLineChars="0"/>
        <w:rPr>
          <w:rFonts w:hint="eastAsia" w:ascii="仿宋" w:hAnsi="仿宋" w:eastAsia="仿宋" w:cs="仿宋"/>
          <w:b/>
          <w:bCs/>
          <w:kern w:val="44"/>
          <w:sz w:val="24"/>
          <w:highlight w:val="none"/>
          <w:lang w:val="zh-CN"/>
        </w:rPr>
      </w:pPr>
      <w:r>
        <w:rPr>
          <w:rFonts w:hint="eastAsia" w:ascii="仿宋" w:hAnsi="仿宋" w:eastAsia="仿宋" w:cs="仿宋"/>
          <w:b/>
          <w:bCs/>
          <w:kern w:val="44"/>
          <w:sz w:val="24"/>
          <w:highlight w:val="none"/>
        </w:rPr>
        <w:t>项目技术</w:t>
      </w:r>
      <w:r>
        <w:rPr>
          <w:rFonts w:hint="eastAsia" w:ascii="仿宋" w:hAnsi="仿宋" w:eastAsia="仿宋" w:cs="仿宋"/>
          <w:b/>
          <w:bCs/>
          <w:kern w:val="44"/>
          <w:sz w:val="24"/>
          <w:highlight w:val="none"/>
          <w:lang w:val="zh-CN"/>
        </w:rPr>
        <w:t>需求：</w:t>
      </w:r>
    </w:p>
    <w:p w14:paraId="32A284D2">
      <w:pPr>
        <w:pStyle w:val="4"/>
        <w:ind w:firstLine="0" w:firstLineChars="0"/>
        <w:rPr>
          <w:b/>
          <w:bCs/>
          <w:highlight w:val="none"/>
          <w:lang w:val="zh-CN"/>
        </w:rPr>
      </w:pPr>
    </w:p>
    <w:p w14:paraId="4233562B">
      <w:pPr>
        <w:numPr>
          <w:ilvl w:val="0"/>
          <w:numId w:val="2"/>
        </w:numPr>
        <w:wordWrap w:val="0"/>
        <w:spacing w:line="360" w:lineRule="auto"/>
        <w:rPr>
          <w:rFonts w:hint="eastAsia" w:ascii="仿宋_GB2312" w:hAnsi="仿宋_GB2312" w:eastAsia="仿宋_GB2312" w:cs="仿宋_GB2312"/>
          <w:b/>
          <w:color w:val="000000"/>
          <w:sz w:val="24"/>
          <w:highlight w:val="none"/>
        </w:rPr>
      </w:pPr>
      <w:r>
        <w:rPr>
          <w:rFonts w:hint="eastAsia" w:ascii="仿宋" w:hAnsi="仿宋" w:eastAsia="仿宋" w:cs="仿宋"/>
          <w:b/>
          <w:bCs/>
          <w:kern w:val="44"/>
          <w:sz w:val="24"/>
          <w:highlight w:val="none"/>
        </w:rPr>
        <w:t>技术</w:t>
      </w:r>
      <w:r>
        <w:rPr>
          <w:rFonts w:hint="eastAsia" w:ascii="仿宋" w:hAnsi="仿宋" w:eastAsia="仿宋" w:cs="仿宋"/>
          <w:b/>
          <w:bCs/>
          <w:kern w:val="44"/>
          <w:sz w:val="24"/>
          <w:highlight w:val="none"/>
          <w:lang w:val="zh-CN"/>
        </w:rPr>
        <w:t>需求</w:t>
      </w:r>
      <w:r>
        <w:rPr>
          <w:rFonts w:hint="eastAsia" w:ascii="仿宋_GB2312" w:hAnsi="仿宋_GB2312" w:eastAsia="仿宋_GB2312" w:cs="仿宋_GB2312"/>
          <w:b/>
          <w:color w:val="000000"/>
          <w:sz w:val="24"/>
          <w:highlight w:val="none"/>
        </w:rPr>
        <w:t>重要性表述</w:t>
      </w:r>
    </w:p>
    <w:p w14:paraId="770A8B0C">
      <w:pPr>
        <w:wordWrap w:val="0"/>
        <w:spacing w:line="360" w:lineRule="auto"/>
        <w:rPr>
          <w:rFonts w:hint="eastAsia" w:ascii="仿宋_GB2312" w:hAnsi="仿宋_GB2312" w:eastAsia="仿宋_GB2312" w:cs="仿宋_GB2312"/>
          <w:b/>
          <w:color w:val="000000"/>
          <w:sz w:val="24"/>
          <w:highlight w:val="none"/>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902"/>
        <w:gridCol w:w="4693"/>
      </w:tblGrid>
      <w:tr w14:paraId="3738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211" w:type="dxa"/>
            <w:noWrap w:val="0"/>
            <w:vAlign w:val="center"/>
          </w:tcPr>
          <w:p w14:paraId="63BE717E">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标识重要性</w:t>
            </w:r>
          </w:p>
        </w:tc>
        <w:tc>
          <w:tcPr>
            <w:tcW w:w="2180" w:type="dxa"/>
            <w:noWrap w:val="0"/>
            <w:vAlign w:val="center"/>
          </w:tcPr>
          <w:p w14:paraId="0E5D6F74">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标识符号</w:t>
            </w:r>
          </w:p>
        </w:tc>
        <w:tc>
          <w:tcPr>
            <w:tcW w:w="5463" w:type="dxa"/>
            <w:noWrap w:val="0"/>
            <w:vAlign w:val="center"/>
          </w:tcPr>
          <w:p w14:paraId="4699E468">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代表意思</w:t>
            </w:r>
          </w:p>
        </w:tc>
      </w:tr>
      <w:tr w14:paraId="649C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50594E8E">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关键指标项</w:t>
            </w:r>
          </w:p>
        </w:tc>
        <w:tc>
          <w:tcPr>
            <w:tcW w:w="2180" w:type="dxa"/>
            <w:noWrap w:val="0"/>
            <w:vAlign w:val="center"/>
          </w:tcPr>
          <w:p w14:paraId="1EE138E6">
            <w:pPr>
              <w:widowControl/>
              <w:spacing w:line="360" w:lineRule="auto"/>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w:t>
            </w:r>
          </w:p>
        </w:tc>
        <w:tc>
          <w:tcPr>
            <w:tcW w:w="5463" w:type="dxa"/>
            <w:noWrap w:val="0"/>
            <w:vAlign w:val="center"/>
          </w:tcPr>
          <w:p w14:paraId="52E217AF">
            <w:pPr>
              <w:widowControl/>
              <w:spacing w:line="360" w:lineRule="auto"/>
              <w:jc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评分项，详见第四章评分细则</w:t>
            </w:r>
          </w:p>
        </w:tc>
      </w:tr>
      <w:tr w14:paraId="4DB7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0763C1C5">
            <w:pPr>
              <w:widowControl/>
              <w:spacing w:line="360" w:lineRule="auto"/>
              <w:jc w:val="center"/>
              <w:rPr>
                <w:rFonts w:hint="eastAsia" w:ascii="仿宋" w:hAnsi="仿宋" w:eastAsia="仿宋" w:cs="仿宋"/>
                <w:sz w:val="24"/>
                <w:highlight w:val="none"/>
              </w:rPr>
            </w:pPr>
            <w:r>
              <w:rPr>
                <w:rFonts w:hint="eastAsia" w:ascii="仿宋" w:hAnsi="仿宋" w:eastAsia="仿宋" w:cs="仿宋"/>
                <w:color w:val="000000"/>
                <w:kern w:val="0"/>
                <w:sz w:val="24"/>
                <w:highlight w:val="none"/>
                <w:lang w:bidi="ar"/>
              </w:rPr>
              <w:t>一般指标项</w:t>
            </w:r>
          </w:p>
        </w:tc>
        <w:tc>
          <w:tcPr>
            <w:tcW w:w="2180" w:type="dxa"/>
            <w:noWrap w:val="0"/>
            <w:vAlign w:val="center"/>
          </w:tcPr>
          <w:p w14:paraId="1C006580">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无标识项</w:t>
            </w:r>
          </w:p>
        </w:tc>
        <w:tc>
          <w:tcPr>
            <w:tcW w:w="5463" w:type="dxa"/>
            <w:noWrap w:val="0"/>
            <w:vAlign w:val="center"/>
          </w:tcPr>
          <w:p w14:paraId="08A5EE1A">
            <w:pPr>
              <w:widowControl/>
              <w:spacing w:line="360" w:lineRule="auto"/>
              <w:jc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评分项，详见第四章评分细则</w:t>
            </w:r>
          </w:p>
        </w:tc>
      </w:tr>
      <w:tr w14:paraId="5D06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47E3F48B">
            <w:pPr>
              <w:spacing w:line="360" w:lineRule="auto"/>
              <w:jc w:val="center"/>
              <w:rPr>
                <w:rFonts w:hint="eastAsia" w:ascii="仿宋" w:hAnsi="仿宋" w:eastAsia="仿宋" w:cs="仿宋"/>
                <w:color w:val="000000"/>
                <w:kern w:val="0"/>
                <w:sz w:val="24"/>
                <w:highlight w:val="none"/>
                <w:lang w:bidi="ar"/>
              </w:rPr>
            </w:pPr>
            <w:r>
              <w:rPr>
                <w:rFonts w:hint="eastAsia" w:ascii="仿宋" w:hAnsi="仿宋" w:eastAsia="仿宋" w:cs="仿宋"/>
                <w:b/>
                <w:bCs/>
                <w:color w:val="000000"/>
                <w:kern w:val="0"/>
                <w:sz w:val="24"/>
                <w:highlight w:val="none"/>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17CB2A98">
      <w:pPr>
        <w:wordWrap w:val="0"/>
        <w:spacing w:line="360" w:lineRule="auto"/>
        <w:rPr>
          <w:rFonts w:hint="eastAsia" w:ascii="仿宋_GB2312" w:hAnsi="仿宋_GB2312" w:eastAsia="仿宋_GB2312" w:cs="仿宋_GB2312"/>
          <w:b/>
          <w:color w:val="000000"/>
          <w:sz w:val="24"/>
          <w:highlight w:val="none"/>
        </w:rPr>
      </w:pPr>
    </w:p>
    <w:p w14:paraId="376BB7C5">
      <w:pPr>
        <w:numPr>
          <w:ilvl w:val="0"/>
          <w:numId w:val="3"/>
        </w:numPr>
        <w:wordWrap w:val="0"/>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技术要求</w:t>
      </w:r>
    </w:p>
    <w:tbl>
      <w:tblPr>
        <w:tblStyle w:val="8"/>
        <w:tblpPr w:leftFromText="180" w:rightFromText="180" w:vertAnchor="text" w:horzAnchor="page" w:tblpX="1242" w:tblpY="540"/>
        <w:tblOverlap w:val="never"/>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8273"/>
      </w:tblGrid>
      <w:tr w14:paraId="2E07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3AD37B6C">
            <w:pPr>
              <w:widowControl/>
              <w:spacing w:line="360" w:lineRule="auto"/>
              <w:jc w:val="center"/>
              <w:rPr>
                <w:rFonts w:hint="eastAsia"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1</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333B045A">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适用于临床血液病治疗中血液细胞的选择性分离和血液细胞采集</w:t>
            </w:r>
          </w:p>
        </w:tc>
      </w:tr>
      <w:tr w14:paraId="5D1A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2388DBEA">
            <w:pPr>
              <w:widowControl/>
              <w:spacing w:line="360" w:lineRule="auto"/>
              <w:jc w:val="center"/>
              <w:rPr>
                <w:rFonts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w:t>
            </w:r>
            <w:r>
              <w:rPr>
                <w:rFonts w:ascii="仿宋" w:hAnsi="仿宋" w:eastAsia="仿宋" w:cs="仿宋"/>
                <w:b/>
                <w:bCs/>
                <w:color w:val="000000"/>
                <w:kern w:val="0"/>
                <w:sz w:val="24"/>
                <w:highlight w:val="none"/>
                <w:lang w:bidi="ar"/>
              </w:rPr>
              <w:t>1.1</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6CAD9DD8">
            <w:pPr>
              <w:widowControl/>
              <w:spacing w:line="360" w:lineRule="auto"/>
              <w:jc w:val="center"/>
              <w:rPr>
                <w:rFonts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进行以下程序，并具备以下程序配套耗材：外周血干细胞的采集、淋巴细胞的单采、外周血白血病细胞的去除、粒细胞采集、血浆置换、血小板采集/去除、红细胞的采集/去除、吸附治疗</w:t>
            </w:r>
          </w:p>
        </w:tc>
      </w:tr>
      <w:tr w14:paraId="03D6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53C751D3">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1.2</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39A6F42A">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全中文操作系统</w:t>
            </w:r>
          </w:p>
        </w:tc>
      </w:tr>
      <w:tr w14:paraId="6590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3065245A">
            <w:pPr>
              <w:widowControl/>
              <w:spacing w:line="360" w:lineRule="auto"/>
              <w:jc w:val="center"/>
              <w:rPr>
                <w:rFonts w:hint="eastAsia"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3F116F1A">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主要功能和技术指标要求</w:t>
            </w:r>
          </w:p>
        </w:tc>
      </w:tr>
      <w:tr w14:paraId="19D4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0D1B4BEC">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2.1</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2724E783">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采集分离方式：同时具有单针、双针连续性血流采集分离方式</w:t>
            </w:r>
          </w:p>
        </w:tc>
      </w:tr>
      <w:tr w14:paraId="3B2A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03584C64">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2.2</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14D1A606">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终产品收集方式：离心腔外收集，体积可调</w:t>
            </w:r>
          </w:p>
        </w:tc>
      </w:tr>
      <w:tr w14:paraId="1D0D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4605460D">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2.3</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76DC3427">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最大离心转速：≤3000转/分，低转速离心以减少离心力对细胞的损伤</w:t>
            </w:r>
          </w:p>
        </w:tc>
      </w:tr>
      <w:tr w14:paraId="503A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6E872842">
            <w:pPr>
              <w:widowControl/>
              <w:spacing w:line="360" w:lineRule="auto"/>
              <w:jc w:val="center"/>
              <w:rPr>
                <w:rFonts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★2.4</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1F575801">
            <w:pPr>
              <w:widowControl/>
              <w:spacing w:line="360" w:lineRule="auto"/>
              <w:jc w:val="center"/>
              <w:rPr>
                <w:rFonts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体外循环血量为≤180ml</w:t>
            </w:r>
          </w:p>
        </w:tc>
      </w:tr>
      <w:tr w14:paraId="2A7D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213780F9">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2.5</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75B623B6">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全血最小流速≤10ml/min,细胞采集可安全用于小儿、≥15kg低体重患者</w:t>
            </w:r>
          </w:p>
        </w:tc>
      </w:tr>
      <w:tr w14:paraId="5C54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157FFCAE">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2.6</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3C54AEBE">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血流速度低，无需中心静脉置管或者造瘘，更好维持血容量平衡</w:t>
            </w:r>
          </w:p>
        </w:tc>
      </w:tr>
      <w:tr w14:paraId="7F6B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2BB8DBE4">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2.7</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675212B4">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具有独立抗凝泵，抗凝剂可自动控制；抗凝剂比例调整范围1:6～1:20</w:t>
            </w:r>
          </w:p>
        </w:tc>
      </w:tr>
      <w:tr w14:paraId="2238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6BC2A4F8">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2.8</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2AC8CBB3">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血小板/血浆采集：可一次采集两个治疗单位，保存五天的血小板，白细胞污染率≤1×10</w:t>
            </w:r>
            <w:r>
              <w:rPr>
                <w:rFonts w:hint="eastAsia" w:ascii="仿宋" w:hAnsi="仿宋" w:eastAsia="仿宋" w:cs="仿宋"/>
                <w:color w:val="000000"/>
                <w:kern w:val="0"/>
                <w:sz w:val="24"/>
                <w:highlight w:val="none"/>
                <w:vertAlign w:val="superscript"/>
                <w:lang w:bidi="ar"/>
              </w:rPr>
              <w:t>6</w:t>
            </w:r>
          </w:p>
        </w:tc>
      </w:tr>
      <w:tr w14:paraId="3AF6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1C5ABB0D">
            <w:pPr>
              <w:widowControl/>
              <w:spacing w:line="360" w:lineRule="auto"/>
              <w:jc w:val="center"/>
              <w:rPr>
                <w:rFonts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★2.9</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7EEB30A4">
            <w:pPr>
              <w:widowControl/>
              <w:spacing w:line="360" w:lineRule="auto"/>
              <w:jc w:val="center"/>
              <w:rPr>
                <w:rFonts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并具有血浆管路溶血监测器，红外精确抗凝剂滴速监测器</w:t>
            </w:r>
          </w:p>
        </w:tc>
      </w:tr>
      <w:tr w14:paraId="600C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1FA9BC11">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2.10</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4BE9C2B8">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干细胞采集效率≥90%</w:t>
            </w:r>
          </w:p>
        </w:tc>
      </w:tr>
      <w:tr w14:paraId="457F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2C4BE3E5">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2.11</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5E4C25B1">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具备血浆吸附治疗程序并具备吸附治疗耗材，配合免疫吸附柱，可作免疫吸附治疗； 可作低密度脂蛋白吸附分离去除。</w:t>
            </w:r>
          </w:p>
        </w:tc>
      </w:tr>
      <w:tr w14:paraId="5FA2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3C3D680F">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2.12</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28B06CEC">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治疗性红细胞去除与置换：自动计算去除或置换的红细胞量，可设定去除后的目标红细胞积压，并具有自动预测计算CD34+细胞收率功能</w:t>
            </w:r>
          </w:p>
        </w:tc>
      </w:tr>
      <w:tr w14:paraId="6C12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77878235">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2.13</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4F800E13">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屏幕/显示：具有液晶显示屏幕；可显示各处理对象处理血量、采集量、运行参数</w:t>
            </w:r>
          </w:p>
        </w:tc>
      </w:tr>
      <w:tr w14:paraId="1B00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3B7EF68F">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2.14</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62C29EA3">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具备参数设定与估算功能，根据分离前检查结果自动预测并显示分离/治疗时间</w:t>
            </w:r>
          </w:p>
        </w:tc>
      </w:tr>
      <w:tr w14:paraId="4A4C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72C2AC1D">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2.15</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4860BE09">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全中文及英文双操作界面，包括所有帮助信息：每步操作过程都有对应的帮助信息</w:t>
            </w:r>
          </w:p>
        </w:tc>
      </w:tr>
      <w:tr w14:paraId="4D0B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6ED271A8">
            <w:pPr>
              <w:widowControl/>
              <w:spacing w:line="360" w:lineRule="auto"/>
              <w:jc w:val="center"/>
              <w:rPr>
                <w:rFonts w:hint="eastAsia"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3</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1AC714F6">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安全性能及其它</w:t>
            </w:r>
          </w:p>
        </w:tc>
      </w:tr>
      <w:tr w14:paraId="256F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3B80AE42">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3.1</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41B09296">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监测及报警：具备压力、空气、抗凝剂、漏血、温度等监测及报警</w:t>
            </w:r>
          </w:p>
        </w:tc>
      </w:tr>
      <w:tr w14:paraId="51FC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773644D2">
            <w:pPr>
              <w:widowControl/>
              <w:spacing w:line="360" w:lineRule="auto"/>
              <w:jc w:val="center"/>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★3.2</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6EBD19E3">
            <w:pPr>
              <w:widowControl/>
              <w:spacing w:line="360" w:lineRule="auto"/>
              <w:jc w:val="center"/>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自动保持静脉通路开放(KVO)功能：具备报警或故障时自动保持供者/患者静脉通路开放， 防止回血形成血栓而阻塞穿刺针头</w:t>
            </w:r>
          </w:p>
        </w:tc>
      </w:tr>
      <w:tr w14:paraId="7595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4195F2F6">
            <w:pPr>
              <w:widowControl/>
              <w:spacing w:line="360" w:lineRule="auto"/>
              <w:jc w:val="center"/>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★3.3</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387C480B">
            <w:pPr>
              <w:widowControl/>
              <w:spacing w:line="360" w:lineRule="auto"/>
              <w:jc w:val="center"/>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主机备有内置不间断电源/电池供电系统，以备在紧急情况下可继续运行10分钟</w:t>
            </w:r>
          </w:p>
        </w:tc>
      </w:tr>
      <w:tr w14:paraId="2385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1FBB195A">
            <w:pPr>
              <w:widowControl/>
              <w:spacing w:line="360" w:lineRule="auto"/>
              <w:jc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3.4</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7B394FB2">
            <w:pPr>
              <w:widowControl/>
              <w:spacing w:line="360" w:lineRule="auto"/>
              <w:jc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具记忆功能，由于断电等原因中断操作，故障排除后可继续以前的程序</w:t>
            </w:r>
          </w:p>
        </w:tc>
      </w:tr>
      <w:tr w14:paraId="5A4D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395CDCFC">
            <w:pPr>
              <w:widowControl/>
              <w:spacing w:line="360" w:lineRule="auto"/>
              <w:jc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4</w:t>
            </w:r>
          </w:p>
        </w:tc>
        <w:tc>
          <w:tcPr>
            <w:tcW w:w="8273" w:type="dxa"/>
            <w:tcBorders>
              <w:top w:val="single" w:color="auto" w:sz="4" w:space="0"/>
              <w:left w:val="single" w:color="auto" w:sz="4" w:space="0"/>
              <w:bottom w:val="single" w:color="auto" w:sz="4" w:space="0"/>
              <w:right w:val="single" w:color="auto" w:sz="4" w:space="0"/>
            </w:tcBorders>
            <w:noWrap w:val="0"/>
            <w:vAlign w:val="top"/>
          </w:tcPr>
          <w:p w14:paraId="36CA02D0">
            <w:pPr>
              <w:widowControl/>
              <w:spacing w:line="360" w:lineRule="auto"/>
              <w:jc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提供耗材清单及报价，但耗材不包含在本次采购范围内。</w:t>
            </w:r>
          </w:p>
        </w:tc>
      </w:tr>
    </w:tbl>
    <w:p w14:paraId="2C78F6DF">
      <w:pPr>
        <w:widowControl/>
        <w:spacing w:line="360" w:lineRule="auto"/>
        <w:jc w:val="left"/>
        <w:rPr>
          <w:rFonts w:hint="eastAsia" w:ascii="仿宋" w:hAnsi="仿宋" w:eastAsia="仿宋" w:cs="仿宋"/>
          <w:color w:val="000000"/>
          <w:kern w:val="0"/>
          <w:sz w:val="24"/>
          <w:highlight w:val="none"/>
          <w:lang w:bidi="ar"/>
        </w:rPr>
      </w:pPr>
    </w:p>
    <w:p w14:paraId="00AC2000">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 xml:space="preserve">  三、其他配套要求：</w:t>
      </w:r>
    </w:p>
    <w:p w14:paraId="5EA2B7EF">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（一）应急服务要求</w:t>
      </w:r>
    </w:p>
    <w:p w14:paraId="553279D5">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1.备品备件：中标人提供能够满足质量保证期内的设备维修要求的备品备件，备品备件应是新品。中标人应保证10年以上零部件供应期，并对设备故障等突发状况及时响应。</w:t>
      </w:r>
    </w:p>
    <w:p w14:paraId="44B8D37B">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2.专用工具：中标人提供设备安装、调试、验收、维修、保养所必要的专用工具、仪器、仪表等工具。</w:t>
      </w:r>
    </w:p>
    <w:p w14:paraId="16705D80">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3. 接到报修后应及时响应，若未及时修复设备故障，应提供备用设备供院方使用。</w:t>
      </w:r>
    </w:p>
    <w:p w14:paraId="62542D14">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（二）安装调试、验收试验及质量保证</w:t>
      </w:r>
    </w:p>
    <w:p w14:paraId="3F043082">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1.中标人在设备安装地点负责安装、调试。</w:t>
      </w:r>
    </w:p>
    <w:p w14:paraId="0DC61DE1">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2.具体设备验收标准和程序按采购人要求执行，下列验收程序可参照执行：</w:t>
      </w:r>
    </w:p>
    <w:p w14:paraId="22A0950B">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2C7E3014">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C5B4C30">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2.3中标人应根据采购人使用单位的技术要求提供相应的产品。由中标人所提供的设备部件间的连线和插接件均应视为设备内部器件，包含在相应的设备之中；</w:t>
      </w:r>
    </w:p>
    <w:p w14:paraId="4145818D">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213D00E8">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7F1090ED">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1237F2ED">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（三）包装运输</w:t>
      </w:r>
    </w:p>
    <w:p w14:paraId="6EB2D656">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1.中标人负责设备包装、办理运输和保险，将设备安全运抵交货地点。</w:t>
      </w:r>
    </w:p>
    <w:p w14:paraId="0EF8C0F8">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2.设备制造完成并通过试验后应及时包装，否则应得到切实的保护，确保其不受污损。</w:t>
      </w:r>
    </w:p>
    <w:p w14:paraId="4AECB3C7">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3.在包装箱外应标明采购人的订货号、发货号。</w:t>
      </w:r>
    </w:p>
    <w:p w14:paraId="62933C3E">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4.各种包装应能确保各零部件在运输过程中不致遭到损坏、丢失、变形、受潮和腐蚀。</w:t>
      </w:r>
    </w:p>
    <w:p w14:paraId="6E05367A">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5.包装箱上应有明显的包装储运图示标志。</w:t>
      </w:r>
    </w:p>
    <w:p w14:paraId="75117217">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6.整体产品或分别运输的部件都要适应运输和装载的要求。</w:t>
      </w:r>
    </w:p>
    <w:p w14:paraId="26903427">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7.随产品提供的技术资料应完整无缺。</w:t>
      </w:r>
    </w:p>
    <w:p w14:paraId="4D97C2E0">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（四）培训要求</w:t>
      </w:r>
    </w:p>
    <w:p w14:paraId="3ABDB943">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1.技术人员厂方培训：维修维护不少于1人，设备培训时间不低于3天，有详细的技术培训方案和完整规范的培训资料，培训结束获得厂方授权或资质许可，免一切费用(包含交通、食宿、资料、工具材料等所有与培训相关的费用)。设备使用培训：不少于2人，直至完全掌握设备应用技术，并获厂方资质许可；免一切费用(包含交通、食宿、资料、工具材料等所有与培训相关的费用)。</w:t>
      </w:r>
    </w:p>
    <w:p w14:paraId="2535A24D">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2.设备使用培训：不少于2人，直至完全掌握设备应用技术，并获厂方资质许可；免一切费用(包含交通、食宿、资料、工具材料等所有与培训相关的费用)。</w:t>
      </w:r>
    </w:p>
    <w:p w14:paraId="27A6C1B7">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（五）质保及售后服务</w:t>
      </w:r>
    </w:p>
    <w:p w14:paraId="11AA18B5">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1.自双方签订《验收报告》起进入免费质保期。</w:t>
      </w:r>
    </w:p>
    <w:p w14:paraId="70FB0579">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055D9D95">
      <w:pPr>
        <w:widowControl/>
        <w:spacing w:line="360" w:lineRule="auto"/>
        <w:jc w:val="left"/>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（六）其他</w:t>
      </w:r>
    </w:p>
    <w:p w14:paraId="6AEA045B">
      <w:pPr>
        <w:widowControl/>
        <w:spacing w:line="360" w:lineRule="auto"/>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1.投标人所投产品应为性能稳定、安全的成熟设备，故障率低、维修便利，并在投标文件中针对所投产品技术先进性、设备性能、配置情况、设计等方面进行阐述说明，提供相应证明材料。</w:t>
      </w:r>
    </w:p>
    <w:p w14:paraId="05DC0975">
      <w:pPr>
        <w:widowControl/>
        <w:spacing w:line="360" w:lineRule="auto"/>
        <w:jc w:val="left"/>
        <w:rPr>
          <w:rFonts w:hint="eastAsia" w:ascii="仿宋" w:hAnsi="仿宋" w:eastAsia="仿宋" w:cs="仿宋"/>
          <w:color w:val="000000"/>
          <w:kern w:val="0"/>
          <w:sz w:val="24"/>
          <w:highlight w:val="none"/>
          <w:lang w:bidi="ar"/>
        </w:rPr>
      </w:pPr>
    </w:p>
    <w:p w14:paraId="06F8B123">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17D95"/>
    <w:multiLevelType w:val="singleLevel"/>
    <w:tmpl w:val="8D217D95"/>
    <w:lvl w:ilvl="0" w:tentative="0">
      <w:start w:val="2"/>
      <w:numFmt w:val="chineseCounting"/>
      <w:suff w:val="nothing"/>
      <w:lvlText w:val="（%1）"/>
      <w:lvlJc w:val="left"/>
      <w:rPr>
        <w:rFonts w:hint="eastAsia"/>
      </w:rPr>
    </w:lvl>
  </w:abstractNum>
  <w:abstractNum w:abstractNumId="1">
    <w:nsid w:val="B9BEE5BA"/>
    <w:multiLevelType w:val="singleLevel"/>
    <w:tmpl w:val="B9BEE5BA"/>
    <w:lvl w:ilvl="0" w:tentative="0">
      <w:start w:val="2"/>
      <w:numFmt w:val="chineseCounting"/>
      <w:suff w:val="nothing"/>
      <w:lvlText w:val="%1、"/>
      <w:lvlJc w:val="left"/>
      <w:rPr>
        <w:rFonts w:hint="eastAsia"/>
      </w:rPr>
    </w:lvl>
  </w:abstractNum>
  <w:abstractNum w:abstractNumId="2">
    <w:nsid w:val="D38D9A21"/>
    <w:multiLevelType w:val="singleLevel"/>
    <w:tmpl w:val="D38D9A21"/>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A4574A"/>
    <w:rsid w:val="45E32D76"/>
    <w:rsid w:val="54F00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next w:val="5"/>
    <w:uiPriority w:val="0"/>
    <w:pPr>
      <w:ind w:firstLine="420" w:firstLineChars="200"/>
    </w:pPr>
  </w:style>
  <w:style w:type="paragraph" w:styleId="5">
    <w:name w:val="Body Text First Indent 2"/>
    <w:basedOn w:val="6"/>
    <w:qFormat/>
    <w:uiPriority w:val="0"/>
    <w:pPr>
      <w:ind w:firstLine="420" w:firstLineChars="200"/>
    </w:pPr>
  </w:style>
  <w:style w:type="paragraph" w:styleId="6">
    <w:name w:val="Body Text Indent"/>
    <w:basedOn w:val="1"/>
    <w:qFormat/>
    <w:uiPriority w:val="0"/>
    <w:pPr>
      <w:spacing w:after="120" w:afterLines="0" w:afterAutospacing="0"/>
      <w:ind w:left="420" w:leftChars="200"/>
    </w:pPr>
  </w:style>
  <w:style w:type="paragraph" w:styleId="7">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customStyle="1" w:styleId="10">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2025-05-07T02:39:00Z</dcterms:created>
  <dc:creator>Lenovo</dc:creator>
  <cp:lastModifiedBy>豆奶是个小胖子</cp:lastModifiedBy>
  <dcterms:modified xsi:type="dcterms:W3CDTF">2025-11-26T05:50:37Z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D323BED4188548F7B9F5AA7631948CC4_12</vt:lpwstr>
  </property>
  <property fmtid="{D5CDD505-2E9C-101B-9397-08002B2CF9AE}" pid="4" name="KSOTemplateDocerSaveRecord">
    <vt:lpwstr>eyJoZGlkIjoiNDAzNTQ2YzQzMjg1Y2RiZDM0NWYxOWI5N2Q4ZWNmMTEiLCJ1c2VySWQiOiIzMDI3OTc1ODcifQ==</vt:lpwstr>
  </property>
</Properties>
</file>