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9A026D">
      <w:pPr>
        <w:spacing w:line="360" w:lineRule="auto"/>
        <w:jc w:val="center"/>
        <w:outlineLvl w:val="0"/>
        <w:rPr>
          <w:rFonts w:hint="eastAsia" w:asciiTheme="minorEastAsia" w:hAnsiTheme="minorEastAsia" w:eastAsiaTheme="minorEastAsia"/>
          <w:b/>
          <w:color w:val="auto"/>
          <w:sz w:val="28"/>
          <w:highlight w:val="none"/>
          <w:lang w:eastAsia="zh-CN"/>
        </w:rPr>
      </w:pPr>
      <w:r>
        <w:rPr>
          <w:rFonts w:hint="eastAsia" w:asciiTheme="minorEastAsia" w:hAnsiTheme="minorEastAsia" w:eastAsiaTheme="minorEastAsia"/>
          <w:b/>
          <w:color w:val="auto"/>
          <w:sz w:val="28"/>
          <w:highlight w:val="none"/>
        </w:rPr>
        <w:t>采购需求</w:t>
      </w:r>
    </w:p>
    <w:p w14:paraId="0D06E552">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36D1FA2E">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4979FC63">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7254C5E9">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4FF6D3EF">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50D89866">
      <w:pPr>
        <w:spacing w:line="360" w:lineRule="auto"/>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61F51E16">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4.下列采购需求中：标注▲的产品为核心产品（主要中标标的）。</w:t>
      </w:r>
    </w:p>
    <w:p w14:paraId="7C188575">
      <w:pPr>
        <w:spacing w:line="360" w:lineRule="auto"/>
        <w:ind w:firstLine="437"/>
        <w:outlineLvl w:val="1"/>
        <w:rPr>
          <w:rFonts w:ascii="宋体" w:hAnsi="宋体" w:eastAsia="宋体"/>
          <w:b/>
          <w:color w:val="auto"/>
          <w:sz w:val="24"/>
          <w:szCs w:val="18"/>
          <w:highlight w:val="none"/>
        </w:rPr>
      </w:pPr>
      <w:bookmarkStart w:id="0" w:name="_Toc2554"/>
      <w:bookmarkStart w:id="1" w:name="_Toc32151"/>
      <w:r>
        <w:rPr>
          <w:rFonts w:hint="eastAsia" w:ascii="宋体" w:hAnsi="宋体" w:eastAsia="宋体"/>
          <w:b/>
          <w:color w:val="auto"/>
          <w:sz w:val="24"/>
          <w:szCs w:val="18"/>
          <w:highlight w:val="none"/>
        </w:rPr>
        <w:t>一、采购需求前附表</w:t>
      </w:r>
      <w:bookmarkEnd w:id="0"/>
      <w:bookmarkEnd w:id="1"/>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3A7D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288FC29">
            <w:pPr>
              <w:pStyle w:val="7"/>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45EE743E">
            <w:pPr>
              <w:pStyle w:val="8"/>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699AE511">
            <w:pPr>
              <w:pStyle w:val="8"/>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AE2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10EA967">
            <w:pPr>
              <w:pStyle w:val="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7C18A11">
            <w:pPr>
              <w:pStyle w:val="8"/>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243A2CEF">
            <w:pPr>
              <w:pStyle w:val="8"/>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合同生效后支付合同价款的70%，项目经验收合格后支付合同剩余价款。</w:t>
            </w:r>
            <w:r>
              <w:rPr>
                <w:rFonts w:hint="eastAsia" w:ascii="宋体" w:hAnsi="宋体" w:eastAsia="宋体"/>
                <w:b w:val="0"/>
                <w:color w:val="auto"/>
                <w:sz w:val="24"/>
                <w:highlight w:val="none"/>
                <w:u w:val="none"/>
              </w:rPr>
              <w:t xml:space="preserve">         </w:t>
            </w:r>
          </w:p>
        </w:tc>
      </w:tr>
      <w:tr w14:paraId="2656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BB75C25">
            <w:pPr>
              <w:pStyle w:val="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674B5471">
            <w:pPr>
              <w:pStyle w:val="8"/>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1EB6218C">
            <w:pPr>
              <w:pStyle w:val="8"/>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安徽省，具体按照采购人指定地点</w:t>
            </w:r>
            <w:r>
              <w:rPr>
                <w:rFonts w:hint="eastAsia" w:ascii="宋体" w:hAnsi="宋体" w:eastAsia="宋体"/>
                <w:b w:val="0"/>
                <w:color w:val="auto"/>
                <w:sz w:val="24"/>
                <w:highlight w:val="none"/>
                <w:u w:val="none"/>
              </w:rPr>
              <w:t xml:space="preserve">        </w:t>
            </w:r>
          </w:p>
        </w:tc>
      </w:tr>
      <w:tr w14:paraId="2330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A325871">
            <w:pPr>
              <w:pStyle w:val="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0C350820">
            <w:pPr>
              <w:pStyle w:val="8"/>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4E3C8A8E">
            <w:pPr>
              <w:pStyle w:val="8"/>
              <w:widowControl w:val="0"/>
              <w:spacing w:before="0" w:beforeAutospacing="0" w:after="0" w:afterAutospacing="0" w:line="360" w:lineRule="auto"/>
              <w:jc w:val="both"/>
              <w:rPr>
                <w:rFonts w:hint="eastAsia" w:ascii="宋体" w:hAnsi="宋体" w:eastAsia="宋体"/>
                <w:b w:val="0"/>
                <w:color w:val="auto"/>
                <w:sz w:val="24"/>
                <w:highlight w:val="none"/>
                <w:u w:val="none"/>
                <w:lang w:val="en-US" w:eastAsia="zh-CN"/>
              </w:rPr>
            </w:pPr>
            <w:r>
              <w:rPr>
                <w:rFonts w:hint="eastAsia" w:ascii="宋体" w:hAnsi="宋体" w:eastAsia="宋体"/>
                <w:b w:val="0"/>
                <w:color w:val="auto"/>
                <w:sz w:val="24"/>
                <w:highlight w:val="none"/>
                <w:u w:val="none"/>
                <w:lang w:val="en-US" w:eastAsia="zh-CN"/>
              </w:rPr>
              <w:t>第1包-第4包合同生效后供货期1年，分批次供货，每次按照采购人要求在下单后20个日历日内完成供货。</w:t>
            </w:r>
          </w:p>
          <w:p w14:paraId="5537B693">
            <w:pPr>
              <w:pStyle w:val="8"/>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第5包：合同生效后，20个日历日内完成供货。</w:t>
            </w:r>
          </w:p>
        </w:tc>
      </w:tr>
      <w:tr w14:paraId="1BEAC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B3ED738">
            <w:pPr>
              <w:pStyle w:val="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01AEC2BA">
            <w:pPr>
              <w:pStyle w:val="8"/>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087C13D0">
            <w:pPr>
              <w:pStyle w:val="8"/>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自验收合格之日起，免费质保</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年，</w:t>
            </w:r>
            <w:r>
              <w:rPr>
                <w:rFonts w:hint="eastAsia" w:ascii="宋体" w:hAnsi="宋体" w:eastAsia="宋体"/>
                <w:b w:val="0"/>
                <w:color w:val="auto"/>
                <w:sz w:val="24"/>
                <w:highlight w:val="none"/>
                <w:u w:val="none"/>
                <w:lang w:val="en-US" w:eastAsia="zh-CN"/>
              </w:rPr>
              <w:t>货物</w:t>
            </w:r>
            <w:r>
              <w:rPr>
                <w:rFonts w:hint="eastAsia" w:ascii="宋体" w:hAnsi="宋体" w:eastAsia="宋体"/>
                <w:b w:val="0"/>
                <w:color w:val="auto"/>
                <w:sz w:val="24"/>
                <w:highlight w:val="none"/>
                <w:u w:val="none"/>
              </w:rPr>
              <w:t>需求中另有规定的，免费质保期按</w:t>
            </w:r>
            <w:r>
              <w:rPr>
                <w:rFonts w:hint="eastAsia" w:ascii="宋体" w:hAnsi="宋体" w:eastAsia="宋体"/>
                <w:b w:val="0"/>
                <w:color w:val="auto"/>
                <w:sz w:val="24"/>
                <w:highlight w:val="none"/>
                <w:u w:val="none"/>
                <w:lang w:val="en-US" w:eastAsia="zh-CN"/>
              </w:rPr>
              <w:t>货物</w:t>
            </w:r>
            <w:r>
              <w:rPr>
                <w:rFonts w:hint="eastAsia" w:ascii="宋体" w:hAnsi="宋体" w:eastAsia="宋体"/>
                <w:b w:val="0"/>
                <w:color w:val="auto"/>
                <w:sz w:val="24"/>
                <w:highlight w:val="none"/>
                <w:u w:val="none"/>
              </w:rPr>
              <w:t xml:space="preserve">需求执行。         </w:t>
            </w:r>
          </w:p>
        </w:tc>
      </w:tr>
    </w:tbl>
    <w:p w14:paraId="782A5543">
      <w:pPr>
        <w:spacing w:line="360" w:lineRule="auto"/>
        <w:ind w:firstLine="437"/>
        <w:outlineLvl w:val="1"/>
        <w:rPr>
          <w:rFonts w:hint="eastAsia" w:ascii="宋体" w:hAnsi="宋体" w:eastAsia="宋体"/>
          <w:b/>
          <w:bCs/>
          <w:color w:val="auto"/>
          <w:sz w:val="24"/>
          <w:szCs w:val="18"/>
          <w:highlight w:val="none"/>
        </w:rPr>
      </w:pPr>
      <w:bookmarkStart w:id="2" w:name="_Toc7671"/>
      <w:bookmarkStart w:id="3" w:name="_Toc5944"/>
    </w:p>
    <w:p w14:paraId="568226A5">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2"/>
      <w:bookmarkEnd w:id="3"/>
    </w:p>
    <w:p w14:paraId="5C585B5D">
      <w:pPr>
        <w:widowControl/>
        <w:wordWrap/>
        <w:ind w:firstLine="482" w:firstLineChars="2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标识符号</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3E48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75421A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标识类型</w:t>
            </w:r>
          </w:p>
        </w:tc>
        <w:tc>
          <w:tcPr>
            <w:tcW w:w="1365" w:type="dxa"/>
            <w:noWrap w:val="0"/>
            <w:vAlign w:val="center"/>
          </w:tcPr>
          <w:p w14:paraId="07F5D7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w:t>
            </w:r>
          </w:p>
        </w:tc>
        <w:tc>
          <w:tcPr>
            <w:tcW w:w="5363" w:type="dxa"/>
            <w:noWrap w:val="0"/>
            <w:vAlign w:val="center"/>
          </w:tcPr>
          <w:p w14:paraId="17C8AA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标识符号含义</w:t>
            </w:r>
          </w:p>
        </w:tc>
      </w:tr>
      <w:tr w14:paraId="3017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shd w:val="clear" w:color="auto" w:fill="auto"/>
            <w:noWrap w:val="0"/>
            <w:vAlign w:val="center"/>
          </w:tcPr>
          <w:p w14:paraId="27CE45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重要指标项</w:t>
            </w:r>
          </w:p>
        </w:tc>
        <w:tc>
          <w:tcPr>
            <w:tcW w:w="1365" w:type="dxa"/>
            <w:shd w:val="clear" w:color="auto" w:fill="auto"/>
            <w:noWrap w:val="0"/>
            <w:vAlign w:val="center"/>
          </w:tcPr>
          <w:p w14:paraId="0880EB2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sz w:val="24"/>
                <w:szCs w:val="24"/>
                <w:highlight w:val="none"/>
              </w:rPr>
              <w:t>★</w:t>
            </w:r>
          </w:p>
        </w:tc>
        <w:tc>
          <w:tcPr>
            <w:tcW w:w="5363" w:type="dxa"/>
            <w:shd w:val="clear" w:color="auto" w:fill="auto"/>
            <w:noWrap w:val="0"/>
            <w:vAlign w:val="center"/>
          </w:tcPr>
          <w:p w14:paraId="3B67533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评分项，</w:t>
            </w:r>
            <w:r>
              <w:rPr>
                <w:rFonts w:hint="eastAsia" w:ascii="宋体" w:hAnsi="宋体" w:eastAsia="宋体" w:cs="宋体"/>
                <w:color w:val="auto"/>
                <w:kern w:val="2"/>
                <w:sz w:val="24"/>
                <w:szCs w:val="24"/>
                <w:highlight w:val="none"/>
                <w:lang w:val="en-US" w:eastAsia="zh-CN" w:bidi="ar"/>
              </w:rPr>
              <w:t>详见评标办法和标准。</w:t>
            </w:r>
          </w:p>
        </w:tc>
      </w:tr>
      <w:tr w14:paraId="74F3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0"/>
            <w:vAlign w:val="center"/>
          </w:tcPr>
          <w:p w14:paraId="1796E0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无标识项</w:t>
            </w:r>
          </w:p>
        </w:tc>
        <w:tc>
          <w:tcPr>
            <w:tcW w:w="1365" w:type="dxa"/>
            <w:noWrap w:val="0"/>
            <w:vAlign w:val="center"/>
          </w:tcPr>
          <w:p w14:paraId="3EFF4EB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center"/>
              <w:textAlignment w:val="auto"/>
              <w:rPr>
                <w:rFonts w:hint="eastAsia" w:ascii="宋体" w:hAnsi="宋体" w:eastAsia="宋体" w:cs="宋体"/>
                <w:bCs/>
                <w:color w:val="auto"/>
                <w:sz w:val="24"/>
                <w:szCs w:val="24"/>
                <w:highlight w:val="none"/>
              </w:rPr>
            </w:pPr>
          </w:p>
        </w:tc>
        <w:tc>
          <w:tcPr>
            <w:tcW w:w="5363" w:type="dxa"/>
            <w:noWrap w:val="0"/>
            <w:vAlign w:val="center"/>
          </w:tcPr>
          <w:p w14:paraId="195AAF23">
            <w:pPr>
              <w:keepNext w:val="0"/>
              <w:keepLines w:val="0"/>
              <w:suppressLineNumbers w:val="0"/>
              <w:adjustRightInd w:val="0"/>
              <w:snapToGrid w:val="0"/>
              <w:spacing w:before="0" w:beforeAutospacing="0" w:after="0" w:afterAutospacing="0" w:line="300" w:lineRule="auto"/>
              <w:ind w:left="0" w:leftChars="0" w:right="0" w:firstLine="0" w:firstLineChars="0"/>
              <w:jc w:val="left"/>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符合性审查项，该指标项不允许负偏离，按照招标文件第六章投标格式，提供技术参响应偏离表，如不提供</w:t>
            </w:r>
            <w:r>
              <w:rPr>
                <w:rFonts w:hint="eastAsia" w:ascii="宋体" w:hAnsi="宋体" w:eastAsia="宋体" w:cs="宋体"/>
                <w:b/>
                <w:bCs w:val="0"/>
                <w:color w:val="auto"/>
                <w:kern w:val="2"/>
                <w:sz w:val="24"/>
                <w:szCs w:val="24"/>
                <w:highlight w:val="none"/>
                <w:lang w:val="en-US" w:eastAsia="zh-CN" w:bidi="ar-SA"/>
              </w:rPr>
              <w:t>投标无效</w:t>
            </w:r>
            <w:r>
              <w:rPr>
                <w:rFonts w:hint="eastAsia" w:ascii="宋体" w:hAnsi="宋体" w:eastAsia="宋体" w:cs="宋体"/>
                <w:bCs/>
                <w:color w:val="auto"/>
                <w:kern w:val="2"/>
                <w:sz w:val="24"/>
                <w:szCs w:val="24"/>
                <w:highlight w:val="none"/>
                <w:lang w:val="en-US" w:eastAsia="zh-CN" w:bidi="ar-SA"/>
              </w:rPr>
              <w:t>。</w:t>
            </w:r>
          </w:p>
        </w:tc>
      </w:tr>
      <w:tr w14:paraId="69148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0"/>
            <w:vAlign w:val="center"/>
          </w:tcPr>
          <w:p w14:paraId="54C83191">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firstLine="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78E5B65F">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（1）</w:t>
            </w:r>
            <w:r>
              <w:rPr>
                <w:rFonts w:hint="eastAsia" w:ascii="宋体" w:hAnsi="宋体" w:eastAsia="宋体" w:cs="宋体"/>
                <w:color w:val="auto"/>
                <w:sz w:val="24"/>
                <w:szCs w:val="24"/>
                <w:highlight w:val="none"/>
              </w:rPr>
              <w:t>标识条款中如包含多条子项技术参数或要求，则需满足或优于该标识条款内所有子项技术参数或要求方予以认可。</w:t>
            </w:r>
            <w:bookmarkStart w:id="17" w:name="_GoBack"/>
            <w:bookmarkEnd w:id="17"/>
          </w:p>
          <w:p w14:paraId="13CF6CC2">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kern w:val="0"/>
                <w:sz w:val="24"/>
                <w:szCs w:val="24"/>
                <w:highlight w:val="none"/>
              </w:rPr>
              <w:t>下述技术参数所涉及的具体物理尺寸</w:t>
            </w:r>
            <w:r>
              <w:rPr>
                <w:rFonts w:hint="eastAsia" w:ascii="宋体" w:hAnsi="宋体" w:eastAsia="宋体" w:cs="宋体"/>
                <w:color w:val="auto"/>
                <w:kern w:val="0"/>
                <w:sz w:val="24"/>
                <w:szCs w:val="24"/>
                <w:highlight w:val="none"/>
                <w:lang w:eastAsia="zh-CN"/>
              </w:rPr>
              <w:t>：货物需求清单</w:t>
            </w:r>
            <w:r>
              <w:rPr>
                <w:rFonts w:hint="eastAsia" w:ascii="宋体" w:hAnsi="宋体" w:eastAsia="宋体" w:cs="宋体"/>
                <w:color w:val="auto"/>
                <w:kern w:val="0"/>
                <w:sz w:val="24"/>
                <w:szCs w:val="24"/>
                <w:highlight w:val="none"/>
                <w:lang w:val="en-US" w:eastAsia="zh-CN"/>
              </w:rPr>
              <w:t>中明确允许偏离范围的，按货物需求清单</w:t>
            </w:r>
            <w:r>
              <w:rPr>
                <w:rFonts w:hint="eastAsia" w:ascii="宋体" w:hAnsi="宋体" w:eastAsia="宋体" w:cs="宋体"/>
                <w:color w:val="auto"/>
                <w:sz w:val="24"/>
                <w:szCs w:val="24"/>
                <w:highlight w:val="none"/>
                <w:lang w:val="en-US" w:eastAsia="zh-CN"/>
              </w:rPr>
              <w:t>要求</w:t>
            </w:r>
            <w:r>
              <w:rPr>
                <w:rFonts w:hint="eastAsia" w:ascii="宋体" w:hAnsi="宋体" w:eastAsia="宋体" w:cs="宋体"/>
                <w:color w:val="auto"/>
                <w:kern w:val="0"/>
                <w:sz w:val="24"/>
                <w:szCs w:val="24"/>
                <w:highlight w:val="none"/>
                <w:lang w:val="en-US" w:eastAsia="zh-CN"/>
              </w:rPr>
              <w:t>执行；货物需求清单中未明确允许偏离范围的，</w:t>
            </w:r>
            <w:r>
              <w:rPr>
                <w:rFonts w:hint="eastAsia" w:ascii="宋体" w:hAnsi="宋体" w:eastAsia="宋体" w:cs="宋体"/>
                <w:color w:val="auto"/>
                <w:kern w:val="0"/>
                <w:sz w:val="24"/>
                <w:szCs w:val="24"/>
                <w:highlight w:val="none"/>
              </w:rPr>
              <w:t>允许±5%偏离</w:t>
            </w:r>
            <w:r>
              <w:rPr>
                <w:rFonts w:hint="eastAsia" w:ascii="宋体" w:hAnsi="宋体" w:eastAsia="宋体" w:cs="宋体"/>
                <w:color w:val="auto"/>
                <w:sz w:val="24"/>
                <w:szCs w:val="24"/>
                <w:highlight w:val="none"/>
              </w:rPr>
              <w:t>。</w:t>
            </w:r>
          </w:p>
        </w:tc>
      </w:tr>
    </w:tbl>
    <w:p w14:paraId="46E1FF18">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cs="宋体"/>
          <w:b/>
          <w:bCs/>
          <w:color w:val="auto"/>
          <w:sz w:val="24"/>
          <w:szCs w:val="24"/>
          <w:highlight w:val="none"/>
        </w:rPr>
      </w:pPr>
    </w:p>
    <w:p w14:paraId="6854894D">
      <w:pPr>
        <w:keepNext w:val="0"/>
        <w:keepLines w:val="0"/>
        <w:pageBreakBefore w:val="0"/>
        <w:widowControl/>
        <w:numPr>
          <w:ilvl w:val="0"/>
          <w:numId w:val="1"/>
        </w:numPr>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货物需求</w:t>
      </w:r>
      <w:r>
        <w:rPr>
          <w:rFonts w:hint="eastAsia" w:ascii="宋体" w:hAnsi="宋体" w:eastAsia="宋体" w:cs="宋体"/>
          <w:b/>
          <w:bCs/>
          <w:color w:val="auto"/>
          <w:sz w:val="24"/>
          <w:szCs w:val="24"/>
          <w:highlight w:val="none"/>
        </w:rPr>
        <w:t>清单</w:t>
      </w:r>
    </w:p>
    <w:p w14:paraId="13134804">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center"/>
        <w:textAlignment w:val="auto"/>
        <w:outlineLvl w:val="2"/>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第1-4包</w:t>
      </w:r>
    </w:p>
    <w:tbl>
      <w:tblPr>
        <w:tblStyle w:val="4"/>
        <w:tblW w:w="5431" w:type="pct"/>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808"/>
        <w:gridCol w:w="6016"/>
        <w:gridCol w:w="695"/>
        <w:gridCol w:w="700"/>
        <w:gridCol w:w="484"/>
      </w:tblGrid>
      <w:tr w14:paraId="1974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299" w:type="pct"/>
            <w:noWrap w:val="0"/>
            <w:vAlign w:val="center"/>
          </w:tcPr>
          <w:p w14:paraId="3C8F534F">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center"/>
              <w:textAlignment w:val="auto"/>
              <w:outlineLvl w:val="2"/>
              <w:rPr>
                <w:rFonts w:ascii="Times New Roman" w:hAnsi="Times New Roman" w:eastAsia="宋体" w:cs="Times New Roman"/>
                <w:b/>
                <w:bCs/>
                <w:color w:val="auto"/>
                <w:kern w:val="0"/>
                <w:sz w:val="24"/>
                <w:szCs w:val="24"/>
              </w:rPr>
            </w:pPr>
            <w:r>
              <w:rPr>
                <w:rFonts w:ascii="Times New Roman" w:hAnsi="宋体" w:eastAsia="宋体" w:cs="Times New Roman"/>
                <w:b/>
                <w:bCs/>
                <w:color w:val="auto"/>
                <w:kern w:val="0"/>
                <w:sz w:val="24"/>
                <w:szCs w:val="24"/>
              </w:rPr>
              <w:t>序号</w:t>
            </w:r>
          </w:p>
        </w:tc>
        <w:tc>
          <w:tcPr>
            <w:tcW w:w="436" w:type="pct"/>
            <w:noWrap w:val="0"/>
            <w:vAlign w:val="center"/>
          </w:tcPr>
          <w:p w14:paraId="6C758A3A">
            <w:pPr>
              <w:autoSpaceDE w:val="0"/>
              <w:autoSpaceDN w:val="0"/>
              <w:adjustRightInd w:val="0"/>
              <w:jc w:val="center"/>
              <w:rPr>
                <w:rFonts w:ascii="Times New Roman" w:hAnsi="Times New Roman" w:eastAsia="宋体" w:cs="Times New Roman"/>
                <w:b/>
                <w:bCs/>
                <w:color w:val="auto"/>
                <w:kern w:val="0"/>
                <w:sz w:val="24"/>
                <w:szCs w:val="24"/>
              </w:rPr>
            </w:pPr>
            <w:r>
              <w:rPr>
                <w:rFonts w:ascii="Times New Roman" w:hAnsi="宋体" w:eastAsia="宋体" w:cs="Times New Roman"/>
                <w:b/>
                <w:bCs/>
                <w:color w:val="auto"/>
                <w:kern w:val="0"/>
                <w:sz w:val="24"/>
                <w:szCs w:val="24"/>
              </w:rPr>
              <w:t>货物名称</w:t>
            </w:r>
          </w:p>
        </w:tc>
        <w:tc>
          <w:tcPr>
            <w:tcW w:w="3249" w:type="pct"/>
            <w:noWrap w:val="0"/>
            <w:vAlign w:val="center"/>
          </w:tcPr>
          <w:p w14:paraId="6904C11E">
            <w:pPr>
              <w:autoSpaceDE w:val="0"/>
              <w:autoSpaceDN w:val="0"/>
              <w:adjustRightInd w:val="0"/>
              <w:jc w:val="center"/>
              <w:rPr>
                <w:rFonts w:ascii="Times New Roman" w:hAnsi="Times New Roman" w:eastAsia="宋体" w:cs="Times New Roman"/>
                <w:b/>
                <w:bCs/>
                <w:color w:val="auto"/>
                <w:kern w:val="0"/>
                <w:sz w:val="24"/>
                <w:szCs w:val="24"/>
              </w:rPr>
            </w:pPr>
            <w:r>
              <w:rPr>
                <w:rFonts w:hint="eastAsia" w:ascii="Times New Roman" w:hAnsi="Times New Roman" w:eastAsia="宋体" w:cs="Times New Roman"/>
                <w:b/>
                <w:bCs/>
                <w:color w:val="auto"/>
                <w:kern w:val="0"/>
                <w:sz w:val="24"/>
                <w:szCs w:val="24"/>
              </w:rPr>
              <w:t>技术参数及要求</w:t>
            </w:r>
          </w:p>
        </w:tc>
        <w:tc>
          <w:tcPr>
            <w:tcW w:w="375" w:type="pct"/>
            <w:noWrap w:val="0"/>
            <w:vAlign w:val="center"/>
          </w:tcPr>
          <w:p w14:paraId="1857E7D7">
            <w:pPr>
              <w:autoSpaceDE w:val="0"/>
              <w:autoSpaceDN w:val="0"/>
              <w:adjustRightInd w:val="0"/>
              <w:jc w:val="center"/>
              <w:rPr>
                <w:rFonts w:ascii="Times New Roman" w:hAnsi="Times New Roman" w:eastAsia="宋体" w:cs="Times New Roman"/>
                <w:b/>
                <w:bCs/>
                <w:color w:val="auto"/>
                <w:kern w:val="0"/>
                <w:sz w:val="24"/>
                <w:szCs w:val="24"/>
              </w:rPr>
            </w:pPr>
            <w:r>
              <w:rPr>
                <w:rFonts w:ascii="Times New Roman" w:hAnsi="宋体" w:eastAsia="宋体" w:cs="Times New Roman"/>
                <w:b/>
                <w:bCs/>
                <w:color w:val="auto"/>
                <w:kern w:val="0"/>
                <w:sz w:val="24"/>
                <w:szCs w:val="24"/>
              </w:rPr>
              <w:t>数量</w:t>
            </w:r>
          </w:p>
        </w:tc>
        <w:tc>
          <w:tcPr>
            <w:tcW w:w="378" w:type="pct"/>
            <w:noWrap w:val="0"/>
            <w:vAlign w:val="center"/>
          </w:tcPr>
          <w:p w14:paraId="530CEA5C">
            <w:pPr>
              <w:autoSpaceDE w:val="0"/>
              <w:autoSpaceDN w:val="0"/>
              <w:adjustRightInd w:val="0"/>
              <w:jc w:val="center"/>
              <w:rPr>
                <w:rFonts w:hint="eastAsia" w:ascii="Times New Roman" w:hAnsi="Times New Roman" w:eastAsia="宋体" w:cs="Times New Roman"/>
                <w:b/>
                <w:bCs/>
                <w:color w:val="auto"/>
                <w:kern w:val="0"/>
                <w:sz w:val="24"/>
                <w:szCs w:val="24"/>
              </w:rPr>
            </w:pPr>
            <w:r>
              <w:rPr>
                <w:rFonts w:hint="eastAsia" w:ascii="Times New Roman" w:hAnsi="Times New Roman" w:eastAsia="宋体" w:cs="Times New Roman"/>
                <w:b/>
                <w:bCs/>
                <w:color w:val="auto"/>
                <w:kern w:val="0"/>
                <w:sz w:val="24"/>
                <w:szCs w:val="24"/>
              </w:rPr>
              <w:t>所属</w:t>
            </w:r>
          </w:p>
          <w:p w14:paraId="338786F1">
            <w:pPr>
              <w:autoSpaceDE w:val="0"/>
              <w:autoSpaceDN w:val="0"/>
              <w:adjustRightInd w:val="0"/>
              <w:jc w:val="center"/>
              <w:rPr>
                <w:rFonts w:ascii="Times New Roman" w:hAnsi="宋体" w:eastAsia="宋体" w:cs="Times New Roman"/>
                <w:b/>
                <w:bCs/>
                <w:color w:val="auto"/>
                <w:kern w:val="0"/>
                <w:sz w:val="24"/>
                <w:szCs w:val="24"/>
              </w:rPr>
            </w:pPr>
            <w:r>
              <w:rPr>
                <w:rFonts w:hint="eastAsia" w:ascii="Times New Roman" w:hAnsi="Times New Roman" w:eastAsia="宋体" w:cs="Times New Roman"/>
                <w:b/>
                <w:bCs/>
                <w:color w:val="auto"/>
                <w:kern w:val="0"/>
                <w:sz w:val="24"/>
                <w:szCs w:val="24"/>
              </w:rPr>
              <w:t>行业</w:t>
            </w:r>
          </w:p>
        </w:tc>
        <w:tc>
          <w:tcPr>
            <w:tcW w:w="261" w:type="pct"/>
            <w:noWrap w:val="0"/>
            <w:vAlign w:val="center"/>
          </w:tcPr>
          <w:p w14:paraId="592622AD">
            <w:pPr>
              <w:autoSpaceDE w:val="0"/>
              <w:autoSpaceDN w:val="0"/>
              <w:adjustRightInd w:val="0"/>
              <w:jc w:val="center"/>
              <w:rPr>
                <w:rFonts w:hint="eastAsia" w:ascii="Times New Roman" w:hAnsi="Times New Roman" w:eastAsia="宋体" w:cs="Times New Roman"/>
                <w:b/>
                <w:bCs/>
                <w:color w:val="auto"/>
                <w:kern w:val="0"/>
                <w:sz w:val="24"/>
                <w:szCs w:val="24"/>
                <w:lang w:val="en-US" w:eastAsia="zh-CN"/>
              </w:rPr>
            </w:pPr>
            <w:r>
              <w:rPr>
                <w:rFonts w:hint="eastAsia" w:ascii="Times New Roman" w:hAnsi="Times New Roman" w:eastAsia="宋体" w:cs="Times New Roman"/>
                <w:b/>
                <w:bCs/>
                <w:color w:val="auto"/>
                <w:kern w:val="0"/>
                <w:sz w:val="24"/>
                <w:szCs w:val="24"/>
                <w:lang w:val="en-US" w:eastAsia="zh-CN"/>
              </w:rPr>
              <w:t>备注</w:t>
            </w:r>
          </w:p>
        </w:tc>
      </w:tr>
      <w:tr w14:paraId="3BCB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299" w:type="pct"/>
            <w:noWrap w:val="0"/>
            <w:vAlign w:val="center"/>
          </w:tcPr>
          <w:p w14:paraId="4063383F">
            <w:pPr>
              <w:widowControl/>
              <w:jc w:val="center"/>
              <w:rPr>
                <w:rFonts w:ascii="Times New Roman" w:hAnsi="Times New Roman" w:eastAsia="宋体" w:cs="Times New Roman"/>
                <w:bCs/>
                <w:color w:val="auto"/>
                <w:kern w:val="0"/>
                <w:sz w:val="24"/>
                <w:szCs w:val="24"/>
              </w:rPr>
            </w:pPr>
            <w:r>
              <w:rPr>
                <w:rFonts w:hint="eastAsia" w:ascii="Calibri" w:hAnsi="Calibri" w:eastAsia="宋体" w:cs="Times New Roman"/>
                <w:color w:val="auto"/>
                <w:sz w:val="24"/>
                <w:szCs w:val="24"/>
              </w:rPr>
              <w:t>1</w:t>
            </w:r>
          </w:p>
        </w:tc>
        <w:tc>
          <w:tcPr>
            <w:tcW w:w="436" w:type="pct"/>
            <w:noWrap w:val="0"/>
            <w:vAlign w:val="center"/>
          </w:tcPr>
          <w:p w14:paraId="79568B6B">
            <w:pPr>
              <w:widowControl/>
              <w:rPr>
                <w:rFonts w:hint="eastAsia" w:ascii="Times New Roman" w:hAnsi="Times New Roman" w:eastAsia="宋体" w:cs="Times New Roman"/>
                <w:bCs/>
                <w:color w:val="auto"/>
                <w:kern w:val="0"/>
                <w:sz w:val="24"/>
                <w:szCs w:val="24"/>
                <w:lang w:eastAsia="zh-CN"/>
              </w:rPr>
            </w:pPr>
            <w:r>
              <w:rPr>
                <w:rFonts w:ascii="Times New Roman" w:hAnsi="Times New Roman" w:eastAsia="宋体" w:cs="Times New Roman"/>
                <w:color w:val="auto"/>
                <w:sz w:val="24"/>
                <w:szCs w:val="24"/>
              </w:rPr>
              <w:t>▲</w:t>
            </w:r>
            <w:r>
              <w:rPr>
                <w:rFonts w:hint="eastAsia" w:ascii="Calibri" w:hAnsi="Calibri" w:eastAsia="宋体" w:cs="Times New Roman"/>
                <w:color w:val="auto"/>
                <w:sz w:val="24"/>
                <w:szCs w:val="24"/>
              </w:rPr>
              <w:t>猪二维码耳标</w:t>
            </w:r>
          </w:p>
        </w:tc>
        <w:tc>
          <w:tcPr>
            <w:tcW w:w="3249" w:type="pct"/>
            <w:noWrap w:val="0"/>
            <w:vAlign w:val="top"/>
          </w:tcPr>
          <w:p w14:paraId="3B365828">
            <w:pPr>
              <w:widowControl/>
              <w:rPr>
                <w:rFonts w:ascii="Calibri" w:hAnsi="Calibri" w:eastAsia="宋体" w:cs="Times New Roman"/>
                <w:color w:val="auto"/>
                <w:sz w:val="24"/>
                <w:szCs w:val="24"/>
              </w:rPr>
            </w:pPr>
            <w:r>
              <w:rPr>
                <w:rFonts w:hint="eastAsia" w:ascii="Calibri" w:hAnsi="Calibri" w:eastAsia="宋体" w:cs="Times New Roman"/>
                <w:color w:val="auto"/>
                <w:sz w:val="24"/>
                <w:szCs w:val="24"/>
              </w:rPr>
              <w:t>★1.耳标形状与规格。主标耳标面为圆形，直径30</w:t>
            </w:r>
            <w:r>
              <w:rPr>
                <w:rFonts w:ascii="Calibri" w:hAnsi="Calibri" w:eastAsia="宋体" w:cs="Times New Roman"/>
                <w:color w:val="auto"/>
                <w:sz w:val="24"/>
                <w:szCs w:val="24"/>
              </w:rPr>
              <w:t>±0.59</w:t>
            </w:r>
            <w:r>
              <w:rPr>
                <w:rFonts w:ascii="Calibri" w:hAnsi="Calibri" w:eastAsia="宋体" w:cs="Times New Roman"/>
                <w:color w:val="auto"/>
                <w:sz w:val="24"/>
                <w:szCs w:val="24"/>
                <w:lang w:val="en"/>
              </w:rPr>
              <w:t>mm</w:t>
            </w:r>
            <w:r>
              <w:rPr>
                <w:rFonts w:hint="eastAsia" w:ascii="Calibri" w:hAnsi="Calibri" w:eastAsia="宋体" w:cs="Times New Roman"/>
                <w:color w:val="auto"/>
                <w:sz w:val="24"/>
                <w:szCs w:val="24"/>
              </w:rPr>
              <w:t>，中央孔外口径6mm</w:t>
            </w:r>
            <w:r>
              <w:rPr>
                <w:rFonts w:ascii="Calibri" w:hAnsi="Calibri" w:eastAsia="宋体" w:cs="Times New Roman"/>
                <w:color w:val="auto"/>
                <w:sz w:val="24"/>
                <w:szCs w:val="24"/>
              </w:rPr>
              <w:t>±</w:t>
            </w:r>
            <w:r>
              <w:rPr>
                <w:rFonts w:hint="eastAsia" w:ascii="Calibri" w:hAnsi="Calibri" w:eastAsia="宋体" w:cs="Times New Roman"/>
                <w:color w:val="auto"/>
                <w:sz w:val="24"/>
                <w:szCs w:val="24"/>
              </w:rPr>
              <w:t>0.25</w:t>
            </w:r>
            <w:r>
              <w:rPr>
                <w:rFonts w:ascii="Calibri" w:hAnsi="Calibri" w:eastAsia="宋体" w:cs="Times New Roman"/>
                <w:color w:val="auto"/>
                <w:sz w:val="24"/>
                <w:szCs w:val="24"/>
                <w:lang w:val="en"/>
              </w:rPr>
              <w:t>mm</w:t>
            </w:r>
            <w:r>
              <w:rPr>
                <w:rFonts w:hint="eastAsia" w:ascii="Calibri" w:hAnsi="Calibri" w:eastAsia="宋体" w:cs="Times New Roman"/>
                <w:color w:val="auto"/>
                <w:sz w:val="24"/>
                <w:szCs w:val="24"/>
              </w:rPr>
              <w:t>,厚度2</w:t>
            </w:r>
            <w:r>
              <w:rPr>
                <w:rFonts w:ascii="Calibri" w:hAnsi="Calibri" w:eastAsia="宋体" w:cs="Times New Roman"/>
                <w:color w:val="auto"/>
                <w:sz w:val="24"/>
                <w:szCs w:val="24"/>
              </w:rPr>
              <w:t>±</w:t>
            </w:r>
            <w:r>
              <w:rPr>
                <w:rFonts w:ascii="Calibri" w:hAnsi="Calibri" w:eastAsia="宋体" w:cs="Times New Roman"/>
                <w:color w:val="auto"/>
                <w:sz w:val="24"/>
                <w:szCs w:val="24"/>
                <w:lang w:val="en"/>
              </w:rPr>
              <w:t>0.29</w:t>
            </w:r>
            <w:r>
              <w:rPr>
                <w:rFonts w:hint="eastAsia" w:ascii="Calibri" w:hAnsi="Calibri" w:eastAsia="宋体" w:cs="Times New Roman"/>
                <w:color w:val="auto"/>
                <w:sz w:val="24"/>
                <w:szCs w:val="24"/>
              </w:rPr>
              <w:t>mm；耳标颈为表面光滑的圆台体，圆台底外径6</w:t>
            </w:r>
            <w:r>
              <w:rPr>
                <w:rFonts w:ascii="Calibri" w:hAnsi="Calibri" w:eastAsia="宋体" w:cs="Times New Roman"/>
                <w:color w:val="auto"/>
                <w:sz w:val="24"/>
                <w:szCs w:val="24"/>
              </w:rPr>
              <w:t>±</w:t>
            </w:r>
            <w:r>
              <w:rPr>
                <w:rFonts w:ascii="Calibri" w:hAnsi="Calibri" w:eastAsia="宋体" w:cs="Times New Roman"/>
                <w:color w:val="auto"/>
                <w:sz w:val="24"/>
                <w:szCs w:val="24"/>
                <w:lang w:val="en"/>
              </w:rPr>
              <w:t>0.25</w:t>
            </w:r>
            <w:r>
              <w:rPr>
                <w:rFonts w:hint="eastAsia" w:ascii="Calibri" w:hAnsi="Calibri" w:eastAsia="宋体" w:cs="Times New Roman"/>
                <w:color w:val="auto"/>
                <w:sz w:val="24"/>
                <w:szCs w:val="24"/>
              </w:rPr>
              <w:t xml:space="preserve"> mm、内孔径3</w:t>
            </w:r>
            <w:r>
              <w:rPr>
                <w:rFonts w:ascii="Calibri" w:hAnsi="Calibri" w:eastAsia="宋体" w:cs="Times New Roman"/>
                <w:color w:val="auto"/>
                <w:sz w:val="24"/>
                <w:szCs w:val="24"/>
              </w:rPr>
              <w:t>±</w:t>
            </w:r>
            <w:r>
              <w:rPr>
                <w:rFonts w:ascii="Calibri" w:hAnsi="Calibri" w:eastAsia="宋体" w:cs="Times New Roman"/>
                <w:color w:val="auto"/>
                <w:sz w:val="24"/>
                <w:szCs w:val="24"/>
                <w:lang w:val="en"/>
              </w:rPr>
              <w:t>0.19</w:t>
            </w:r>
            <w:r>
              <w:rPr>
                <w:rFonts w:hint="eastAsia" w:ascii="Calibri" w:hAnsi="Calibri" w:eastAsia="宋体" w:cs="Times New Roman"/>
                <w:color w:val="auto"/>
                <w:sz w:val="24"/>
                <w:szCs w:val="24"/>
              </w:rPr>
              <w:t xml:space="preserve"> mm，圆台顶外径4.5</w:t>
            </w:r>
            <w:r>
              <w:rPr>
                <w:rFonts w:ascii="Calibri" w:hAnsi="Calibri" w:eastAsia="宋体" w:cs="Times New Roman"/>
                <w:color w:val="auto"/>
                <w:sz w:val="24"/>
                <w:szCs w:val="24"/>
              </w:rPr>
              <w:t>±</w:t>
            </w:r>
            <w:r>
              <w:rPr>
                <w:rFonts w:ascii="Calibri" w:hAnsi="Calibri" w:eastAsia="宋体" w:cs="Times New Roman"/>
                <w:color w:val="auto"/>
                <w:sz w:val="24"/>
                <w:szCs w:val="24"/>
                <w:lang w:val="en"/>
              </w:rPr>
              <w:t>0.23</w:t>
            </w:r>
            <w:r>
              <w:rPr>
                <w:rFonts w:hint="eastAsia" w:ascii="Calibri" w:hAnsi="Calibri" w:eastAsia="宋体" w:cs="Times New Roman"/>
                <w:color w:val="auto"/>
                <w:sz w:val="24"/>
                <w:szCs w:val="24"/>
              </w:rPr>
              <w:t>mm、内孔径2</w:t>
            </w:r>
            <w:r>
              <w:rPr>
                <w:rFonts w:ascii="Calibri" w:hAnsi="Calibri" w:eastAsia="宋体" w:cs="Times New Roman"/>
                <w:color w:val="auto"/>
                <w:sz w:val="24"/>
                <w:szCs w:val="24"/>
              </w:rPr>
              <w:t>±</w:t>
            </w:r>
            <w:r>
              <w:rPr>
                <w:rFonts w:ascii="Calibri" w:hAnsi="Calibri" w:eastAsia="宋体" w:cs="Times New Roman"/>
                <w:color w:val="auto"/>
                <w:sz w:val="24"/>
                <w:szCs w:val="24"/>
                <w:lang w:val="en"/>
              </w:rPr>
              <w:t>0.19</w:t>
            </w:r>
            <w:r>
              <w:rPr>
                <w:rFonts w:hint="eastAsia" w:ascii="Calibri" w:hAnsi="Calibri" w:eastAsia="宋体" w:cs="Times New Roman"/>
                <w:color w:val="auto"/>
                <w:sz w:val="24"/>
                <w:szCs w:val="24"/>
              </w:rPr>
              <w:t xml:space="preserve"> mm，高度13</w:t>
            </w:r>
            <w:r>
              <w:rPr>
                <w:rFonts w:ascii="Calibri" w:hAnsi="Calibri" w:eastAsia="宋体" w:cs="Times New Roman"/>
                <w:color w:val="auto"/>
                <w:sz w:val="24"/>
                <w:szCs w:val="24"/>
              </w:rPr>
              <w:t>±</w:t>
            </w:r>
            <w:r>
              <w:rPr>
                <w:rFonts w:ascii="Calibri" w:hAnsi="Calibri" w:eastAsia="宋体" w:cs="Times New Roman"/>
                <w:color w:val="auto"/>
                <w:sz w:val="24"/>
                <w:szCs w:val="24"/>
                <w:lang w:val="en"/>
              </w:rPr>
              <w:t>0.33</w:t>
            </w:r>
            <w:r>
              <w:rPr>
                <w:rFonts w:hint="eastAsia" w:ascii="Calibri" w:hAnsi="Calibri" w:eastAsia="宋体" w:cs="Times New Roman"/>
                <w:color w:val="auto"/>
                <w:sz w:val="24"/>
                <w:szCs w:val="24"/>
              </w:rPr>
              <w:t>mm；耳标头为密封的圆锥体，锥底直径7.5mm、高度8</w:t>
            </w:r>
            <w:r>
              <w:rPr>
                <w:rFonts w:ascii="Calibri" w:hAnsi="Calibri" w:eastAsia="宋体" w:cs="Times New Roman"/>
                <w:color w:val="auto"/>
                <w:sz w:val="24"/>
                <w:szCs w:val="24"/>
              </w:rPr>
              <w:t>±</w:t>
            </w:r>
            <w:r>
              <w:rPr>
                <w:rFonts w:hint="eastAsia" w:ascii="Calibri" w:hAnsi="Calibri" w:eastAsia="宋体" w:cs="Times New Roman"/>
                <w:color w:val="auto"/>
                <w:sz w:val="24"/>
                <w:szCs w:val="24"/>
              </w:rPr>
              <w:t>0.30mm，锥顶实体高度4</w:t>
            </w:r>
            <w:r>
              <w:rPr>
                <w:rFonts w:ascii="Calibri" w:hAnsi="Calibri" w:eastAsia="宋体" w:cs="Times New Roman"/>
                <w:color w:val="auto"/>
                <w:sz w:val="24"/>
                <w:szCs w:val="24"/>
              </w:rPr>
              <w:t>±</w:t>
            </w:r>
            <w:r>
              <w:rPr>
                <w:rFonts w:hint="eastAsia" w:ascii="Calibri" w:hAnsi="Calibri" w:eastAsia="宋体" w:cs="Times New Roman"/>
                <w:color w:val="auto"/>
                <w:sz w:val="24"/>
                <w:szCs w:val="24"/>
              </w:rPr>
              <w:t>0.22mm；辅标耳标面为圆形，直径22</w:t>
            </w:r>
            <w:r>
              <w:rPr>
                <w:rFonts w:ascii="Calibri" w:hAnsi="Calibri" w:eastAsia="宋体" w:cs="Times New Roman"/>
                <w:color w:val="auto"/>
                <w:sz w:val="24"/>
                <w:szCs w:val="24"/>
              </w:rPr>
              <w:t>±</w:t>
            </w:r>
            <w:r>
              <w:rPr>
                <w:rFonts w:hint="eastAsia" w:ascii="Calibri" w:hAnsi="Calibri" w:eastAsia="宋体" w:cs="Times New Roman"/>
                <w:color w:val="auto"/>
                <w:sz w:val="24"/>
                <w:szCs w:val="24"/>
              </w:rPr>
              <w:t>0.53mm，厚度2</w:t>
            </w:r>
            <w:r>
              <w:rPr>
                <w:rFonts w:ascii="Calibri" w:hAnsi="Calibri" w:eastAsia="宋体" w:cs="Times New Roman"/>
                <w:color w:val="auto"/>
                <w:sz w:val="24"/>
                <w:szCs w:val="24"/>
              </w:rPr>
              <w:t>±</w:t>
            </w:r>
            <w:r>
              <w:rPr>
                <w:rFonts w:hint="eastAsia" w:ascii="Calibri" w:hAnsi="Calibri" w:eastAsia="宋体" w:cs="Times New Roman"/>
                <w:color w:val="auto"/>
                <w:sz w:val="24"/>
                <w:szCs w:val="24"/>
              </w:rPr>
              <w:t>0.29mm；耳标锁扣位于辅标耳标面中央，由锁芯和圆柱套管组成，锁芯为圆台体倒喇叭立体形状，锁芯的外孔直径8.6</w:t>
            </w:r>
            <w:r>
              <w:rPr>
                <w:rFonts w:ascii="Calibri" w:hAnsi="Calibri" w:eastAsia="宋体" w:cs="Times New Roman"/>
                <w:color w:val="auto"/>
                <w:sz w:val="24"/>
                <w:szCs w:val="24"/>
              </w:rPr>
              <w:t>±</w:t>
            </w:r>
            <w:r>
              <w:rPr>
                <w:rFonts w:hint="eastAsia" w:ascii="Calibri" w:hAnsi="Calibri" w:eastAsia="宋体" w:cs="Times New Roman"/>
                <w:color w:val="auto"/>
                <w:sz w:val="24"/>
                <w:szCs w:val="24"/>
              </w:rPr>
              <w:t>0.30mm，孔径直径5</w:t>
            </w:r>
            <w:r>
              <w:rPr>
                <w:rFonts w:ascii="Calibri" w:hAnsi="Calibri" w:eastAsia="宋体" w:cs="Times New Roman"/>
                <w:color w:val="auto"/>
                <w:sz w:val="24"/>
                <w:szCs w:val="24"/>
              </w:rPr>
              <w:t>±</w:t>
            </w:r>
            <w:r>
              <w:rPr>
                <w:rFonts w:hint="eastAsia" w:ascii="Calibri" w:hAnsi="Calibri" w:eastAsia="宋体" w:cs="Times New Roman"/>
                <w:color w:val="auto"/>
                <w:sz w:val="24"/>
                <w:szCs w:val="24"/>
              </w:rPr>
              <w:t>0.24mm，高度4.5</w:t>
            </w:r>
            <w:r>
              <w:rPr>
                <w:rFonts w:ascii="Calibri" w:hAnsi="Calibri" w:eastAsia="宋体" w:cs="Times New Roman"/>
                <w:color w:val="auto"/>
                <w:sz w:val="24"/>
                <w:szCs w:val="24"/>
              </w:rPr>
              <w:t>±</w:t>
            </w:r>
            <w:r>
              <w:rPr>
                <w:rFonts w:hint="eastAsia" w:ascii="Calibri" w:hAnsi="Calibri" w:eastAsia="宋体" w:cs="Times New Roman"/>
                <w:color w:val="auto"/>
                <w:sz w:val="24"/>
                <w:szCs w:val="24"/>
              </w:rPr>
              <w:t>0.24mm；圆柱套管直径13.8</w:t>
            </w:r>
            <w:r>
              <w:rPr>
                <w:rFonts w:ascii="Calibri" w:hAnsi="Calibri" w:eastAsia="宋体" w:cs="Times New Roman"/>
                <w:color w:val="auto"/>
                <w:sz w:val="24"/>
                <w:szCs w:val="24"/>
              </w:rPr>
              <w:t>±</w:t>
            </w:r>
            <w:r>
              <w:rPr>
                <w:rFonts w:hint="eastAsia" w:ascii="Calibri" w:hAnsi="Calibri" w:eastAsia="宋体" w:cs="Times New Roman"/>
                <w:color w:val="auto"/>
                <w:sz w:val="24"/>
                <w:szCs w:val="24"/>
              </w:rPr>
              <w:t>0.34mm，内直径10</w:t>
            </w:r>
            <w:r>
              <w:rPr>
                <w:rFonts w:ascii="Calibri" w:hAnsi="Calibri" w:eastAsia="宋体" w:cs="Times New Roman"/>
                <w:color w:val="auto"/>
                <w:sz w:val="24"/>
                <w:szCs w:val="24"/>
              </w:rPr>
              <w:t>±</w:t>
            </w:r>
            <w:r>
              <w:rPr>
                <w:rFonts w:hint="eastAsia" w:ascii="Calibri" w:hAnsi="Calibri" w:eastAsia="宋体" w:cs="Times New Roman"/>
                <w:color w:val="auto"/>
                <w:sz w:val="24"/>
                <w:szCs w:val="24"/>
              </w:rPr>
              <w:t>0.32mm，高度11</w:t>
            </w:r>
            <w:r>
              <w:rPr>
                <w:rFonts w:ascii="Calibri" w:hAnsi="Calibri" w:eastAsia="宋体" w:cs="Times New Roman"/>
                <w:color w:val="auto"/>
                <w:sz w:val="24"/>
                <w:szCs w:val="24"/>
              </w:rPr>
              <w:t>±</w:t>
            </w:r>
            <w:r>
              <w:rPr>
                <w:rFonts w:hint="eastAsia" w:ascii="Calibri" w:hAnsi="Calibri" w:eastAsia="宋体" w:cs="Times New Roman"/>
                <w:color w:val="auto"/>
                <w:sz w:val="24"/>
                <w:szCs w:val="24"/>
              </w:rPr>
              <w:t>0.32mm。</w:t>
            </w:r>
          </w:p>
          <w:p w14:paraId="74C25FCF">
            <w:pPr>
              <w:widowControl/>
              <w:rPr>
                <w:rFonts w:hint="eastAsia" w:ascii="Calibri" w:hAnsi="Calibri" w:eastAsia="宋体" w:cs="Times New Roman"/>
                <w:color w:val="auto"/>
                <w:sz w:val="24"/>
                <w:szCs w:val="24"/>
              </w:rPr>
            </w:pPr>
            <w:r>
              <w:rPr>
                <w:rFonts w:hint="eastAsia" w:ascii="Calibri" w:hAnsi="Calibri" w:eastAsia="宋体" w:cs="Times New Roman"/>
                <w:color w:val="auto"/>
                <w:sz w:val="24"/>
                <w:szCs w:val="24"/>
              </w:rPr>
              <w:t>★2.耳标原材料。耳标原材料应采用无毒、无异味、无刺激、无污染的塑料材料制造。再生塑料不得作为原材料。</w:t>
            </w:r>
          </w:p>
          <w:p w14:paraId="687E2B49">
            <w:pPr>
              <w:widowControl/>
              <w:rPr>
                <w:rFonts w:hint="eastAsia" w:ascii="Calibri" w:hAnsi="Calibri" w:eastAsia="宋体" w:cs="Times New Roman"/>
                <w:color w:val="auto"/>
                <w:sz w:val="24"/>
                <w:szCs w:val="24"/>
              </w:rPr>
            </w:pPr>
            <w:r>
              <w:rPr>
                <w:rFonts w:hint="eastAsia" w:ascii="Calibri" w:hAnsi="Calibri" w:eastAsia="宋体" w:cs="Times New Roman"/>
                <w:color w:val="auto"/>
                <w:sz w:val="24"/>
                <w:szCs w:val="24"/>
              </w:rPr>
              <w:t>★3.耳标外观和颜色。猪耳标为粉红色，对应潘通色卡色号（砂面U）为670U。</w:t>
            </w:r>
          </w:p>
          <w:p w14:paraId="69F30FAC">
            <w:pPr>
              <w:widowControl/>
              <w:rPr>
                <w:rFonts w:ascii="Calibri" w:hAnsi="Calibri" w:eastAsia="宋体" w:cs="Times New Roman"/>
                <w:color w:val="auto"/>
                <w:sz w:val="24"/>
                <w:szCs w:val="24"/>
                <w:lang w:val="en"/>
              </w:rPr>
            </w:pPr>
            <w:r>
              <w:rPr>
                <w:rFonts w:hint="eastAsia" w:ascii="Calibri" w:hAnsi="Calibri" w:eastAsia="宋体" w:cs="Times New Roman"/>
                <w:color w:val="auto"/>
                <w:sz w:val="24"/>
                <w:szCs w:val="24"/>
              </w:rPr>
              <w:t>★4.激光打码要求。耳标编码由激光刻制，猪耳标刻制在主标耳标面正面，排布为相邻直角两排，上排为主编码，右排为副编码。专用条码由激光刻制在主、副编码中央。主编码由7位数字组成，字体为黑体四号体；副编码由8位字符构成，字体为黑体四号体。耳标专用条码为农业农村部专用的二维码。字迹应均匀透入耳标内部。字迹清晰，在自然环境中不褪色。颜色深度达到潘通色卡色号为：</w:t>
            </w:r>
            <w:r>
              <w:rPr>
                <w:rFonts w:ascii="Calibri" w:hAnsi="Calibri" w:eastAsia="宋体" w:cs="Times New Roman"/>
                <w:color w:val="auto"/>
                <w:sz w:val="24"/>
                <w:szCs w:val="24"/>
                <w:lang w:val="en"/>
              </w:rPr>
              <w:t>Black C,</w:t>
            </w:r>
            <w:r>
              <w:rPr>
                <w:rFonts w:hint="eastAsia" w:ascii="Calibri" w:hAnsi="Calibri" w:eastAsia="宋体" w:cs="Times New Roman"/>
                <w:color w:val="auto"/>
                <w:sz w:val="24"/>
                <w:szCs w:val="24"/>
                <w:lang w:val="en"/>
              </w:rPr>
              <w:t>激光打标印迹均应均匀渗透入耳标表面内部，激光打印深度应不小于</w:t>
            </w:r>
            <w:r>
              <w:rPr>
                <w:rFonts w:hint="eastAsia" w:ascii="Calibri" w:hAnsi="Calibri" w:eastAsia="宋体" w:cs="Times New Roman"/>
                <w:color w:val="auto"/>
                <w:sz w:val="24"/>
                <w:szCs w:val="24"/>
              </w:rPr>
              <w:t>0.15</w:t>
            </w:r>
            <w:r>
              <w:rPr>
                <w:rFonts w:ascii="Calibri" w:hAnsi="Calibri" w:eastAsia="宋体" w:cs="Times New Roman"/>
                <w:color w:val="auto"/>
                <w:sz w:val="24"/>
                <w:szCs w:val="24"/>
                <w:lang w:val="en"/>
              </w:rPr>
              <w:t>mm</w:t>
            </w:r>
            <w:r>
              <w:rPr>
                <w:rFonts w:hint="eastAsia" w:ascii="Calibri" w:hAnsi="Calibri" w:eastAsia="宋体" w:cs="Times New Roman"/>
                <w:color w:val="auto"/>
                <w:sz w:val="24"/>
                <w:szCs w:val="24"/>
                <w:lang w:val="en"/>
              </w:rPr>
              <w:t>。</w:t>
            </w:r>
          </w:p>
          <w:p w14:paraId="09269E85">
            <w:pPr>
              <w:widowControl/>
              <w:rPr>
                <w:rFonts w:hint="eastAsia" w:ascii="Calibri" w:hAnsi="Calibri" w:eastAsia="宋体" w:cs="Times New Roman"/>
                <w:color w:val="auto"/>
                <w:sz w:val="24"/>
                <w:szCs w:val="24"/>
              </w:rPr>
            </w:pPr>
            <w:r>
              <w:rPr>
                <w:rFonts w:hint="eastAsia" w:ascii="Calibri" w:hAnsi="Calibri" w:eastAsia="宋体" w:cs="Times New Roman"/>
                <w:color w:val="auto"/>
                <w:sz w:val="24"/>
                <w:szCs w:val="24"/>
              </w:rPr>
              <w:t>★5.使用要求。耳标主标和辅标结合牢固，脱落力大于220N，主标单体整体拉伸时，耳标头和耳标正面脱离的断裂力大于250N。耳标使用寿命要求2年以上。耳标及耳标钳均应在-45℃至50℃范围内保持使用性能，正常使用时，钳压不破碎。耳标经长期在室外自然光照射下字迹应保持清晰不脱落，使用期间耳标记录信息受酸、碱、洗涤剂浸擦应不被腐蚀、不变形、不脱色、字迹不脱落。</w:t>
            </w:r>
          </w:p>
          <w:p w14:paraId="5B9F26CA">
            <w:pPr>
              <w:widowControl/>
              <w:rPr>
                <w:rFonts w:hint="eastAsia" w:ascii="Calibri" w:hAnsi="Calibri" w:eastAsia="宋体" w:cs="Times New Roman"/>
                <w:color w:val="auto"/>
                <w:sz w:val="24"/>
                <w:szCs w:val="24"/>
              </w:rPr>
            </w:pPr>
            <w:r>
              <w:rPr>
                <w:rFonts w:hint="eastAsia" w:ascii="Calibri" w:hAnsi="Calibri" w:eastAsia="宋体" w:cs="Times New Roman"/>
                <w:color w:val="auto"/>
                <w:sz w:val="24"/>
                <w:szCs w:val="24"/>
              </w:rPr>
              <w:t>★6.工艺要求。耳标不应出现缺料、溢料、塌坑、冷料、气泡、变形、分层等工艺缺陷。</w:t>
            </w:r>
          </w:p>
          <w:p w14:paraId="6B8BF72E">
            <w:pPr>
              <w:widowControl/>
              <w:rPr>
                <w:rFonts w:hint="eastAsia" w:ascii="宋体" w:hAnsi="宋体" w:eastAsia="宋体" w:cs="宋体"/>
                <w:color w:val="auto"/>
                <w:kern w:val="0"/>
                <w:sz w:val="24"/>
                <w:szCs w:val="24"/>
                <w:lang w:eastAsia="zh-CN"/>
              </w:rPr>
            </w:pPr>
            <w:r>
              <w:rPr>
                <w:rFonts w:hint="eastAsia" w:ascii="Calibri" w:hAnsi="Calibri" w:eastAsia="宋体" w:cs="Times New Roman"/>
                <w:b/>
                <w:bCs/>
                <w:color w:val="auto"/>
                <w:sz w:val="24"/>
                <w:szCs w:val="24"/>
                <w:highlight w:val="none"/>
                <w:lang w:val="en-US" w:eastAsia="zh-CN"/>
              </w:rPr>
              <w:t>注：针对</w:t>
            </w:r>
            <w:r>
              <w:rPr>
                <w:rFonts w:hint="eastAsia" w:ascii="Calibri" w:hAnsi="Calibri" w:eastAsia="宋体" w:cs="Times New Roman"/>
                <w:b/>
                <w:bCs/>
                <w:color w:val="auto"/>
                <w:sz w:val="24"/>
                <w:szCs w:val="24"/>
                <w:highlight w:val="none"/>
              </w:rPr>
              <w:t>★</w:t>
            </w:r>
            <w:r>
              <w:rPr>
                <w:rFonts w:hint="eastAsia" w:ascii="Calibri" w:hAnsi="Calibri" w:eastAsia="宋体" w:cs="Times New Roman"/>
                <w:b/>
                <w:bCs/>
                <w:color w:val="auto"/>
                <w:sz w:val="24"/>
                <w:szCs w:val="24"/>
                <w:highlight w:val="none"/>
                <w:lang w:val="en-US" w:eastAsia="zh-CN"/>
              </w:rPr>
              <w:t>技术参数，投标文件中须提供国家相关单位出具的合格检验报告</w:t>
            </w:r>
            <w:r>
              <w:rPr>
                <w:rFonts w:hint="eastAsia" w:ascii="Calibri" w:hAnsi="Calibri" w:eastAsia="宋体" w:cs="Times New Roman"/>
                <w:color w:val="auto"/>
                <w:sz w:val="24"/>
                <w:szCs w:val="24"/>
                <w:lang w:eastAsia="zh-CN"/>
              </w:rPr>
              <w:t>。</w:t>
            </w:r>
          </w:p>
        </w:tc>
        <w:tc>
          <w:tcPr>
            <w:tcW w:w="375" w:type="pct"/>
            <w:noWrap w:val="0"/>
            <w:vAlign w:val="center"/>
          </w:tcPr>
          <w:p w14:paraId="633EEDB6">
            <w:pPr>
              <w:autoSpaceDE w:val="0"/>
              <w:autoSpaceDN w:val="0"/>
              <w:adjustRightInd w:val="0"/>
              <w:jc w:val="center"/>
              <w:rPr>
                <w:rFonts w:hint="default" w:ascii="Times New Roman" w:hAnsi="Times New Roman" w:eastAsia="宋体" w:cs="Times New Roman"/>
                <w:bCs/>
                <w:color w:val="auto"/>
                <w:kern w:val="0"/>
                <w:sz w:val="24"/>
                <w:szCs w:val="24"/>
                <w:lang w:val="en-US" w:eastAsia="zh-CN"/>
              </w:rPr>
            </w:pPr>
            <w:r>
              <w:rPr>
                <w:rFonts w:hint="eastAsia" w:ascii="Times New Roman" w:hAnsi="Times New Roman" w:eastAsia="宋体" w:cs="Times New Roman"/>
                <w:bCs/>
                <w:color w:val="auto"/>
                <w:kern w:val="0"/>
                <w:sz w:val="24"/>
                <w:szCs w:val="24"/>
              </w:rPr>
              <w:t>2</w:t>
            </w:r>
            <w:r>
              <w:rPr>
                <w:rFonts w:hint="eastAsia" w:ascii="Times New Roman" w:hAnsi="Times New Roman" w:eastAsia="宋体" w:cs="Times New Roman"/>
                <w:bCs/>
                <w:color w:val="auto"/>
                <w:kern w:val="0"/>
                <w:sz w:val="24"/>
                <w:szCs w:val="24"/>
                <w:lang w:val="en-US" w:eastAsia="zh-CN"/>
              </w:rPr>
              <w:t>70</w:t>
            </w:r>
            <w:r>
              <w:rPr>
                <w:rFonts w:hint="eastAsia" w:ascii="Times New Roman" w:hAnsi="Times New Roman" w:eastAsia="宋体" w:cs="Times New Roman"/>
                <w:bCs/>
                <w:color w:val="auto"/>
                <w:kern w:val="0"/>
                <w:sz w:val="24"/>
                <w:szCs w:val="24"/>
              </w:rPr>
              <w:t>0万套</w:t>
            </w:r>
            <w:r>
              <w:rPr>
                <w:rFonts w:hint="eastAsia" w:ascii="Times New Roman" w:hAnsi="Times New Roman" w:eastAsia="宋体" w:cs="Times New Roman"/>
                <w:bCs/>
                <w:color w:val="auto"/>
                <w:kern w:val="0"/>
                <w:sz w:val="24"/>
                <w:szCs w:val="24"/>
                <w:lang w:eastAsia="zh-CN"/>
              </w:rPr>
              <w:t>，</w:t>
            </w:r>
            <w:r>
              <w:rPr>
                <w:rFonts w:hint="eastAsia" w:ascii="Times New Roman" w:hAnsi="Times New Roman" w:eastAsia="宋体" w:cs="Times New Roman"/>
                <w:bCs/>
                <w:color w:val="auto"/>
                <w:kern w:val="0"/>
                <w:sz w:val="24"/>
                <w:szCs w:val="24"/>
                <w:lang w:val="en-US" w:eastAsia="zh-CN"/>
              </w:rPr>
              <w:t>每标包900万套</w:t>
            </w:r>
          </w:p>
        </w:tc>
        <w:tc>
          <w:tcPr>
            <w:tcW w:w="378" w:type="pct"/>
            <w:vMerge w:val="restart"/>
            <w:noWrap w:val="0"/>
            <w:vAlign w:val="center"/>
          </w:tcPr>
          <w:p w14:paraId="3D4087AF">
            <w:pPr>
              <w:widowControl/>
              <w:jc w:val="center"/>
              <w:rPr>
                <w:rFonts w:hint="eastAsia" w:ascii="Calibri" w:hAnsi="Calibri" w:eastAsia="宋体" w:cs="Times New Roman"/>
                <w:color w:val="auto"/>
                <w:sz w:val="24"/>
                <w:szCs w:val="24"/>
                <w:lang w:val="en-US" w:eastAsia="zh-CN"/>
              </w:rPr>
            </w:pPr>
            <w:r>
              <w:rPr>
                <w:rFonts w:hint="eastAsia" w:ascii="Calibri" w:hAnsi="Calibri" w:eastAsia="宋体" w:cs="Times New Roman"/>
                <w:color w:val="auto"/>
                <w:sz w:val="24"/>
                <w:szCs w:val="24"/>
              </w:rPr>
              <w:t>工业</w:t>
            </w:r>
          </w:p>
        </w:tc>
        <w:tc>
          <w:tcPr>
            <w:tcW w:w="261" w:type="pct"/>
            <w:noWrap w:val="0"/>
            <w:vAlign w:val="center"/>
          </w:tcPr>
          <w:p w14:paraId="56967215">
            <w:pPr>
              <w:widowControl/>
              <w:jc w:val="center"/>
              <w:rPr>
                <w:rFonts w:hint="eastAsia" w:ascii="Calibri" w:hAnsi="Calibri" w:eastAsia="宋体" w:cs="Times New Roman"/>
                <w:color w:val="auto"/>
                <w:sz w:val="24"/>
                <w:szCs w:val="24"/>
              </w:rPr>
            </w:pPr>
            <w:r>
              <w:rPr>
                <w:rFonts w:hint="eastAsia" w:ascii="Calibri" w:hAnsi="Calibri" w:eastAsia="宋体" w:cs="Times New Roman"/>
                <w:color w:val="auto"/>
                <w:sz w:val="24"/>
                <w:szCs w:val="24"/>
                <w:lang w:eastAsia="zh-CN"/>
              </w:rPr>
              <w:t>第</w:t>
            </w:r>
            <w:r>
              <w:rPr>
                <w:rFonts w:hint="eastAsia" w:ascii="Calibri" w:hAnsi="Calibri" w:eastAsia="宋体" w:cs="Times New Roman"/>
                <w:color w:val="auto"/>
                <w:sz w:val="24"/>
                <w:szCs w:val="24"/>
                <w:lang w:val="en-US" w:eastAsia="zh-CN"/>
              </w:rPr>
              <w:t>1-第3包</w:t>
            </w:r>
          </w:p>
        </w:tc>
      </w:tr>
      <w:tr w14:paraId="4E7FD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99" w:type="pct"/>
            <w:noWrap w:val="0"/>
            <w:vAlign w:val="center"/>
          </w:tcPr>
          <w:p w14:paraId="65AD6A30">
            <w:pPr>
              <w:widowControl/>
              <w:jc w:val="center"/>
              <w:rPr>
                <w:rFonts w:hint="eastAsia" w:ascii="Calibri" w:hAnsi="Calibri" w:eastAsia="宋体" w:cs="Times New Roman"/>
                <w:color w:val="auto"/>
                <w:sz w:val="24"/>
                <w:szCs w:val="24"/>
              </w:rPr>
            </w:pPr>
            <w:r>
              <w:rPr>
                <w:rFonts w:hint="eastAsia" w:ascii="Calibri" w:hAnsi="Calibri" w:eastAsia="宋体" w:cs="Times New Roman"/>
                <w:color w:val="auto"/>
                <w:sz w:val="24"/>
                <w:szCs w:val="24"/>
                <w:lang w:val="en-US" w:eastAsia="zh-CN"/>
              </w:rPr>
              <w:t>2</w:t>
            </w:r>
          </w:p>
        </w:tc>
        <w:tc>
          <w:tcPr>
            <w:tcW w:w="436" w:type="pct"/>
            <w:noWrap w:val="0"/>
            <w:vAlign w:val="center"/>
          </w:tcPr>
          <w:p w14:paraId="20774634">
            <w:pPr>
              <w:widowControl/>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w:t>
            </w:r>
            <w:r>
              <w:rPr>
                <w:rFonts w:hint="eastAsia" w:ascii="Calibri" w:hAnsi="Calibri" w:eastAsia="宋体" w:cs="Times New Roman"/>
                <w:color w:val="auto"/>
                <w:sz w:val="24"/>
                <w:szCs w:val="24"/>
                <w:lang w:eastAsia="zh-CN"/>
              </w:rPr>
              <w:t>牛二维码耳标</w:t>
            </w:r>
          </w:p>
        </w:tc>
        <w:tc>
          <w:tcPr>
            <w:tcW w:w="3249" w:type="pct"/>
            <w:noWrap w:val="0"/>
            <w:vAlign w:val="top"/>
          </w:tcPr>
          <w:p w14:paraId="08567000">
            <w:pPr>
              <w:widowControl/>
              <w:rPr>
                <w:rFonts w:hint="eastAsia" w:ascii="Calibri" w:hAnsi="Calibri" w:eastAsia="宋体" w:cs="Times New Roman"/>
                <w:color w:val="auto"/>
                <w:sz w:val="24"/>
                <w:szCs w:val="24"/>
              </w:rPr>
            </w:pPr>
            <w:r>
              <w:rPr>
                <w:rFonts w:hint="eastAsia" w:ascii="Calibri" w:hAnsi="Calibri" w:eastAsia="宋体" w:cs="Times New Roman"/>
                <w:color w:val="auto"/>
                <w:sz w:val="24"/>
                <w:szCs w:val="24"/>
              </w:rPr>
              <w:t>★1.耳标形状与规格。主标耳标面为圆形，直径30±0.59 mm，中央孔外口直径6±0.25mm</w:t>
            </w:r>
            <w:r>
              <w:rPr>
                <w:rFonts w:hint="eastAsia" w:ascii="Calibri" w:hAnsi="Calibri" w:eastAsia="宋体" w:cs="Times New Roman"/>
                <w:color w:val="auto"/>
                <w:sz w:val="24"/>
                <w:szCs w:val="24"/>
                <w:lang w:eastAsia="zh-CN"/>
              </w:rPr>
              <w:t>，</w:t>
            </w:r>
            <w:r>
              <w:rPr>
                <w:rFonts w:hint="eastAsia" w:ascii="Calibri" w:hAnsi="Calibri" w:eastAsia="宋体" w:cs="Times New Roman"/>
                <w:color w:val="auto"/>
                <w:sz w:val="24"/>
                <w:szCs w:val="24"/>
              </w:rPr>
              <w:t>厚度2±0.29mm；耳标颈为表面光滑的圆台体，圆台底外径6±0.25mm、内孔直径3±0.19mm，圆台顶外直径4.5±0.23mm、内孔直径2 ±0.19mm，高度13±0.33mm；耳标头为密封的圆锥体，锥底直径7.5+0.1-0.28mm、高度8±0.30mm，锥顶实体高度4±0.22mm；辅标耳标面为铲形，铲为直角长方形，宽27.8±0.46 mm，长45±0.62mm。上端厚度2±0.29mm，下端厚度1.5±0.15mm；耳标锁扣位于铲形一边，由锁芯和圆柱套管组成，锁芯为圆台体倒喇叭立体形状，锁芯的外孔直径8.6±0.30mm、内孔直径5±0.24mm、高度4.5±0.24mm；圆柱套管直径13.8±0.34mm，内直径10±0.32mm，高度11±0.32mm。</w:t>
            </w:r>
          </w:p>
          <w:p w14:paraId="112FA82D">
            <w:pPr>
              <w:widowControl/>
              <w:rPr>
                <w:rFonts w:hint="eastAsia" w:ascii="Calibri" w:hAnsi="Calibri" w:eastAsia="宋体" w:cs="Times New Roman"/>
                <w:color w:val="auto"/>
                <w:sz w:val="24"/>
                <w:szCs w:val="24"/>
              </w:rPr>
            </w:pPr>
            <w:r>
              <w:rPr>
                <w:rFonts w:hint="eastAsia" w:ascii="Calibri" w:hAnsi="Calibri" w:eastAsia="宋体" w:cs="Times New Roman"/>
                <w:color w:val="auto"/>
                <w:sz w:val="24"/>
                <w:szCs w:val="24"/>
              </w:rPr>
              <w:t>★2.耳标原材料。耳标原材料应采用无毒、无异味、无刺激、无污染的塑料材料制造。再生塑料不得作为原材料。</w:t>
            </w:r>
          </w:p>
          <w:p w14:paraId="654DD21E">
            <w:pPr>
              <w:widowControl/>
              <w:rPr>
                <w:rFonts w:hint="eastAsia" w:ascii="Calibri" w:hAnsi="Calibri" w:eastAsia="宋体" w:cs="Times New Roman"/>
                <w:color w:val="auto"/>
                <w:sz w:val="24"/>
                <w:szCs w:val="24"/>
              </w:rPr>
            </w:pPr>
            <w:r>
              <w:rPr>
                <w:rFonts w:hint="eastAsia" w:ascii="Calibri" w:hAnsi="Calibri" w:eastAsia="宋体" w:cs="Times New Roman"/>
                <w:color w:val="auto"/>
                <w:sz w:val="24"/>
                <w:szCs w:val="24"/>
              </w:rPr>
              <w:t>★3.耳标外观和颜色。牛耳标为浅黄色，对应潘通色卡色号（砂面U）为100U。</w:t>
            </w:r>
          </w:p>
          <w:p w14:paraId="58EB34C2">
            <w:pPr>
              <w:widowControl/>
              <w:rPr>
                <w:rFonts w:hint="eastAsia" w:ascii="Calibri" w:hAnsi="Calibri" w:eastAsia="宋体" w:cs="Times New Roman"/>
                <w:color w:val="auto"/>
                <w:sz w:val="24"/>
                <w:szCs w:val="24"/>
                <w:lang w:val="en"/>
              </w:rPr>
            </w:pPr>
            <w:r>
              <w:rPr>
                <w:rFonts w:hint="eastAsia" w:ascii="Calibri" w:hAnsi="Calibri" w:eastAsia="宋体" w:cs="Times New Roman"/>
                <w:color w:val="auto"/>
                <w:sz w:val="24"/>
                <w:szCs w:val="24"/>
              </w:rPr>
              <w:t>★4.激光打码要求。耳标编码由激光刻制，牛耳标刻制在辅标耳标面正面，编码分上、下两排，上排为主编码，下排为副编码。专用条码由激光刻制在主、副编码中央。主编码由7位数字组成，字体为黑体四号体；副编码由8位字符构成，字体为黑体四号体。耳标专用条码为农业农村部专用的二维码。字迹应均匀透入耳标内部。字迹清晰，在自然环境中不褪色。颜色深度达到潘通色卡色号为：</w:t>
            </w:r>
            <w:r>
              <w:rPr>
                <w:rFonts w:hint="eastAsia" w:ascii="Calibri" w:hAnsi="Calibri" w:eastAsia="宋体" w:cs="Times New Roman"/>
                <w:color w:val="auto"/>
                <w:sz w:val="24"/>
                <w:szCs w:val="24"/>
                <w:lang w:val="en"/>
              </w:rPr>
              <w:t>Black C,激光打标印迹均应均匀渗透入耳标表面内部，激光打印深度应不小于</w:t>
            </w:r>
            <w:r>
              <w:rPr>
                <w:rFonts w:hint="eastAsia" w:ascii="Calibri" w:hAnsi="Calibri" w:eastAsia="宋体" w:cs="Times New Roman"/>
                <w:color w:val="auto"/>
                <w:sz w:val="24"/>
                <w:szCs w:val="24"/>
              </w:rPr>
              <w:t>0.15</w:t>
            </w:r>
            <w:r>
              <w:rPr>
                <w:rFonts w:hint="eastAsia" w:ascii="Calibri" w:hAnsi="Calibri" w:eastAsia="宋体" w:cs="Times New Roman"/>
                <w:color w:val="auto"/>
                <w:sz w:val="24"/>
                <w:szCs w:val="24"/>
                <w:lang w:val="en"/>
              </w:rPr>
              <w:t>mm。</w:t>
            </w:r>
          </w:p>
          <w:p w14:paraId="11768A7B">
            <w:pPr>
              <w:widowControl/>
              <w:rPr>
                <w:rFonts w:hint="eastAsia" w:ascii="Calibri" w:hAnsi="Calibri" w:eastAsia="宋体" w:cs="Times New Roman"/>
                <w:color w:val="auto"/>
                <w:sz w:val="24"/>
                <w:szCs w:val="24"/>
              </w:rPr>
            </w:pPr>
            <w:r>
              <w:rPr>
                <w:rFonts w:hint="eastAsia" w:ascii="Calibri" w:hAnsi="Calibri" w:eastAsia="宋体" w:cs="Times New Roman"/>
                <w:color w:val="auto"/>
                <w:sz w:val="24"/>
                <w:szCs w:val="24"/>
              </w:rPr>
              <w:t>★5.使用要求。耳标主标和辅标结合牢固，脱落力大于220N，主标单体整体拉伸时，耳标头和耳标正面脱离的断裂力大于250N。耳标使用寿命要求2年以上。耳标及耳标钳均应在-45℃至50℃范围内保持使用性能，正常使用时，钳压不破碎。耳标经长期在室外自然光照射下字迹应保持清晰不脱落，使用期间耳标记录信息受酸、碱、洗涤剂浸擦应不被腐蚀、不变形、不脱色、字迹不脱落。</w:t>
            </w:r>
          </w:p>
          <w:p w14:paraId="73CA8826">
            <w:pPr>
              <w:widowControl/>
              <w:rPr>
                <w:rFonts w:hint="eastAsia" w:ascii="Calibri" w:hAnsi="Calibri" w:eastAsia="宋体" w:cs="Times New Roman"/>
                <w:color w:val="auto"/>
                <w:sz w:val="24"/>
                <w:szCs w:val="24"/>
              </w:rPr>
            </w:pPr>
            <w:r>
              <w:rPr>
                <w:rFonts w:hint="eastAsia" w:ascii="Calibri" w:hAnsi="Calibri" w:eastAsia="宋体" w:cs="Times New Roman"/>
                <w:color w:val="auto"/>
                <w:sz w:val="24"/>
                <w:szCs w:val="24"/>
              </w:rPr>
              <w:t>★6.工艺要求。耳标不应出现缺料、溢料、塌坑、冷料、气泡、变形、分层等工艺缺陷。</w:t>
            </w:r>
          </w:p>
          <w:p w14:paraId="33AEA7AD">
            <w:pPr>
              <w:widowControl/>
              <w:rPr>
                <w:rFonts w:hint="eastAsia" w:ascii="Calibri" w:hAnsi="Calibri" w:eastAsia="宋体" w:cs="Times New Roman"/>
                <w:color w:val="auto"/>
                <w:sz w:val="24"/>
                <w:szCs w:val="24"/>
                <w:lang w:eastAsia="zh-CN"/>
              </w:rPr>
            </w:pPr>
            <w:r>
              <w:rPr>
                <w:rFonts w:hint="eastAsia" w:ascii="Calibri" w:hAnsi="Calibri" w:eastAsia="宋体" w:cs="Times New Roman"/>
                <w:b/>
                <w:bCs/>
                <w:color w:val="auto"/>
                <w:sz w:val="24"/>
                <w:szCs w:val="24"/>
                <w:highlight w:val="none"/>
                <w:lang w:val="en-US" w:eastAsia="zh-CN"/>
              </w:rPr>
              <w:t>注：针对</w:t>
            </w:r>
            <w:r>
              <w:rPr>
                <w:rFonts w:hint="eastAsia" w:ascii="Calibri" w:hAnsi="Calibri" w:eastAsia="宋体" w:cs="Times New Roman"/>
                <w:b/>
                <w:bCs/>
                <w:color w:val="auto"/>
                <w:sz w:val="24"/>
                <w:szCs w:val="24"/>
                <w:highlight w:val="none"/>
              </w:rPr>
              <w:t>★</w:t>
            </w:r>
            <w:r>
              <w:rPr>
                <w:rFonts w:hint="eastAsia" w:ascii="Calibri" w:hAnsi="Calibri" w:eastAsia="宋体" w:cs="Times New Roman"/>
                <w:b/>
                <w:bCs/>
                <w:color w:val="auto"/>
                <w:sz w:val="24"/>
                <w:szCs w:val="24"/>
                <w:highlight w:val="none"/>
                <w:lang w:val="en-US" w:eastAsia="zh-CN"/>
              </w:rPr>
              <w:t>技术参数，投标文件中须提供国家相关单位出具的合格检验报告</w:t>
            </w:r>
            <w:r>
              <w:rPr>
                <w:rFonts w:hint="eastAsia" w:ascii="Calibri" w:hAnsi="Calibri" w:eastAsia="宋体" w:cs="Times New Roman"/>
                <w:color w:val="auto"/>
                <w:sz w:val="24"/>
                <w:szCs w:val="24"/>
                <w:lang w:eastAsia="zh-CN"/>
              </w:rPr>
              <w:t>。</w:t>
            </w:r>
          </w:p>
        </w:tc>
        <w:tc>
          <w:tcPr>
            <w:tcW w:w="375" w:type="pct"/>
            <w:noWrap w:val="0"/>
            <w:vAlign w:val="center"/>
          </w:tcPr>
          <w:p w14:paraId="3AE9E4E2">
            <w:pPr>
              <w:autoSpaceDE w:val="0"/>
              <w:autoSpaceDN w:val="0"/>
              <w:adjustRightInd w:val="0"/>
              <w:jc w:val="center"/>
              <w:rPr>
                <w:rFonts w:hint="default" w:ascii="Times New Roman" w:hAnsi="Times New Roman" w:eastAsia="宋体" w:cs="Times New Roman"/>
                <w:bCs/>
                <w:color w:val="auto"/>
                <w:kern w:val="0"/>
                <w:sz w:val="24"/>
                <w:szCs w:val="24"/>
                <w:lang w:val="en-US" w:eastAsia="zh-CN"/>
              </w:rPr>
            </w:pPr>
            <w:r>
              <w:rPr>
                <w:rFonts w:hint="eastAsia" w:ascii="Times New Roman" w:hAnsi="Times New Roman" w:eastAsia="宋体" w:cs="Times New Roman"/>
                <w:bCs/>
                <w:color w:val="auto"/>
                <w:kern w:val="0"/>
                <w:sz w:val="24"/>
                <w:szCs w:val="24"/>
                <w:lang w:val="en-US" w:eastAsia="zh-CN"/>
              </w:rPr>
              <w:t>70万套</w:t>
            </w:r>
          </w:p>
        </w:tc>
        <w:tc>
          <w:tcPr>
            <w:tcW w:w="378" w:type="pct"/>
            <w:vMerge w:val="continue"/>
            <w:noWrap w:val="0"/>
            <w:vAlign w:val="center"/>
          </w:tcPr>
          <w:p w14:paraId="19638E73">
            <w:pPr>
              <w:widowControl/>
              <w:jc w:val="center"/>
              <w:rPr>
                <w:rFonts w:hint="eastAsia" w:ascii="Calibri" w:hAnsi="Calibri" w:eastAsia="宋体" w:cs="Times New Roman"/>
                <w:color w:val="auto"/>
                <w:sz w:val="24"/>
                <w:szCs w:val="24"/>
                <w:lang w:val="en-US" w:eastAsia="zh-CN"/>
              </w:rPr>
            </w:pPr>
          </w:p>
        </w:tc>
        <w:tc>
          <w:tcPr>
            <w:tcW w:w="261" w:type="pct"/>
            <w:noWrap w:val="0"/>
            <w:vAlign w:val="center"/>
          </w:tcPr>
          <w:p w14:paraId="1146035E">
            <w:pPr>
              <w:widowControl/>
              <w:jc w:val="center"/>
              <w:rPr>
                <w:rFonts w:hint="eastAsia" w:ascii="Calibri" w:hAnsi="Calibri" w:eastAsia="宋体" w:cs="Times New Roman"/>
                <w:color w:val="auto"/>
                <w:sz w:val="24"/>
                <w:szCs w:val="24"/>
                <w:lang w:val="en-US" w:eastAsia="zh-CN"/>
              </w:rPr>
            </w:pPr>
            <w:r>
              <w:rPr>
                <w:rFonts w:hint="eastAsia" w:ascii="Calibri" w:hAnsi="Calibri" w:eastAsia="宋体" w:cs="Times New Roman"/>
                <w:color w:val="auto"/>
                <w:sz w:val="24"/>
                <w:szCs w:val="24"/>
                <w:lang w:eastAsia="zh-CN"/>
              </w:rPr>
              <w:t>第</w:t>
            </w:r>
            <w:r>
              <w:rPr>
                <w:rFonts w:hint="eastAsia" w:ascii="Calibri" w:hAnsi="Calibri" w:eastAsia="宋体" w:cs="Times New Roman"/>
                <w:color w:val="auto"/>
                <w:sz w:val="24"/>
                <w:szCs w:val="24"/>
                <w:lang w:val="en-US" w:eastAsia="zh-CN"/>
              </w:rPr>
              <w:t>4包</w:t>
            </w:r>
          </w:p>
        </w:tc>
      </w:tr>
    </w:tbl>
    <w:p w14:paraId="379EF764">
      <w:pPr>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outlineLvl w:val="2"/>
        <w:rPr>
          <w:rFonts w:hint="default" w:ascii="宋体" w:hAnsi="宋体" w:eastAsia="宋体" w:cs="宋体"/>
          <w:b/>
          <w:bCs/>
          <w:color w:val="auto"/>
          <w:sz w:val="24"/>
          <w:szCs w:val="24"/>
          <w:highlight w:val="none"/>
          <w:lang w:val="en-US" w:eastAsia="zh-CN"/>
        </w:rPr>
      </w:pPr>
    </w:p>
    <w:p w14:paraId="75632FEF">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center"/>
        <w:textAlignment w:val="auto"/>
        <w:outlineLvl w:val="2"/>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第5包</w:t>
      </w:r>
    </w:p>
    <w:tbl>
      <w:tblPr>
        <w:tblStyle w:val="4"/>
        <w:tblW w:w="5434" w:type="pct"/>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834"/>
        <w:gridCol w:w="6319"/>
        <w:gridCol w:w="733"/>
        <w:gridCol w:w="817"/>
      </w:tblGrid>
      <w:tr w14:paraId="51A2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301" w:type="pct"/>
            <w:noWrap w:val="0"/>
            <w:vAlign w:val="center"/>
          </w:tcPr>
          <w:p w14:paraId="102A1600">
            <w:pPr>
              <w:autoSpaceDE w:val="0"/>
              <w:autoSpaceDN w:val="0"/>
              <w:adjustRightInd w:val="0"/>
              <w:jc w:val="center"/>
              <w:rPr>
                <w:rFonts w:ascii="Times New Roman" w:hAnsi="Times New Roman" w:eastAsia="宋体" w:cs="Times New Roman"/>
                <w:b/>
                <w:bCs/>
                <w:color w:val="auto"/>
                <w:kern w:val="0"/>
                <w:sz w:val="24"/>
                <w:szCs w:val="24"/>
              </w:rPr>
            </w:pPr>
            <w:r>
              <w:rPr>
                <w:rFonts w:ascii="Times New Roman" w:hAnsi="宋体" w:eastAsia="宋体" w:cs="Times New Roman"/>
                <w:b/>
                <w:bCs/>
                <w:color w:val="auto"/>
                <w:kern w:val="0"/>
                <w:sz w:val="24"/>
                <w:szCs w:val="24"/>
              </w:rPr>
              <w:t>序号</w:t>
            </w:r>
          </w:p>
        </w:tc>
        <w:tc>
          <w:tcPr>
            <w:tcW w:w="450" w:type="pct"/>
            <w:noWrap w:val="0"/>
            <w:vAlign w:val="center"/>
          </w:tcPr>
          <w:p w14:paraId="0D67F5DD">
            <w:pPr>
              <w:autoSpaceDE w:val="0"/>
              <w:autoSpaceDN w:val="0"/>
              <w:adjustRightInd w:val="0"/>
              <w:jc w:val="center"/>
              <w:rPr>
                <w:rFonts w:ascii="Times New Roman" w:hAnsi="Times New Roman" w:eastAsia="宋体" w:cs="Times New Roman"/>
                <w:b/>
                <w:bCs/>
                <w:color w:val="auto"/>
                <w:kern w:val="0"/>
                <w:sz w:val="24"/>
                <w:szCs w:val="24"/>
              </w:rPr>
            </w:pPr>
            <w:r>
              <w:rPr>
                <w:rFonts w:ascii="Times New Roman" w:hAnsi="宋体" w:eastAsia="宋体" w:cs="Times New Roman"/>
                <w:b/>
                <w:bCs/>
                <w:color w:val="auto"/>
                <w:kern w:val="0"/>
                <w:sz w:val="24"/>
                <w:szCs w:val="24"/>
              </w:rPr>
              <w:t>货物名称</w:t>
            </w:r>
          </w:p>
        </w:tc>
        <w:tc>
          <w:tcPr>
            <w:tcW w:w="3411" w:type="pct"/>
            <w:noWrap w:val="0"/>
            <w:vAlign w:val="center"/>
          </w:tcPr>
          <w:p w14:paraId="48207B12">
            <w:pPr>
              <w:autoSpaceDE w:val="0"/>
              <w:autoSpaceDN w:val="0"/>
              <w:adjustRightInd w:val="0"/>
              <w:jc w:val="center"/>
              <w:rPr>
                <w:rFonts w:ascii="Times New Roman" w:hAnsi="Times New Roman" w:eastAsia="宋体" w:cs="Times New Roman"/>
                <w:b/>
                <w:bCs/>
                <w:color w:val="auto"/>
                <w:kern w:val="0"/>
                <w:sz w:val="24"/>
                <w:szCs w:val="24"/>
              </w:rPr>
            </w:pPr>
            <w:r>
              <w:rPr>
                <w:rFonts w:hint="eastAsia" w:ascii="Times New Roman" w:hAnsi="Times New Roman" w:eastAsia="宋体" w:cs="Times New Roman"/>
                <w:b/>
                <w:bCs/>
                <w:color w:val="auto"/>
                <w:kern w:val="0"/>
                <w:sz w:val="24"/>
                <w:szCs w:val="24"/>
              </w:rPr>
              <w:t>技术参数及要求</w:t>
            </w:r>
          </w:p>
        </w:tc>
        <w:tc>
          <w:tcPr>
            <w:tcW w:w="395" w:type="pct"/>
            <w:noWrap w:val="0"/>
            <w:vAlign w:val="center"/>
          </w:tcPr>
          <w:p w14:paraId="29D9B5BF">
            <w:pPr>
              <w:autoSpaceDE w:val="0"/>
              <w:autoSpaceDN w:val="0"/>
              <w:adjustRightInd w:val="0"/>
              <w:jc w:val="center"/>
              <w:rPr>
                <w:rFonts w:ascii="Times New Roman" w:hAnsi="Times New Roman" w:eastAsia="宋体" w:cs="Times New Roman"/>
                <w:b/>
                <w:bCs/>
                <w:color w:val="auto"/>
                <w:kern w:val="0"/>
                <w:sz w:val="24"/>
                <w:szCs w:val="24"/>
              </w:rPr>
            </w:pPr>
            <w:r>
              <w:rPr>
                <w:rFonts w:ascii="Times New Roman" w:hAnsi="宋体" w:eastAsia="宋体" w:cs="Times New Roman"/>
                <w:b/>
                <w:bCs/>
                <w:color w:val="auto"/>
                <w:kern w:val="0"/>
                <w:sz w:val="24"/>
                <w:szCs w:val="24"/>
              </w:rPr>
              <w:t>数量</w:t>
            </w:r>
          </w:p>
        </w:tc>
        <w:tc>
          <w:tcPr>
            <w:tcW w:w="441" w:type="pct"/>
            <w:noWrap w:val="0"/>
            <w:vAlign w:val="top"/>
          </w:tcPr>
          <w:p w14:paraId="1E8A64E3">
            <w:pPr>
              <w:autoSpaceDE w:val="0"/>
              <w:autoSpaceDN w:val="0"/>
              <w:adjustRightInd w:val="0"/>
              <w:jc w:val="center"/>
              <w:rPr>
                <w:rFonts w:hint="eastAsia" w:ascii="Times New Roman" w:hAnsi="Times New Roman" w:eastAsia="宋体" w:cs="Times New Roman"/>
                <w:b/>
                <w:bCs/>
                <w:color w:val="auto"/>
                <w:kern w:val="0"/>
                <w:sz w:val="24"/>
                <w:szCs w:val="24"/>
              </w:rPr>
            </w:pPr>
            <w:r>
              <w:rPr>
                <w:rFonts w:hint="eastAsia" w:ascii="Times New Roman" w:hAnsi="Times New Roman" w:eastAsia="宋体" w:cs="Times New Roman"/>
                <w:b/>
                <w:bCs/>
                <w:color w:val="auto"/>
                <w:kern w:val="0"/>
                <w:sz w:val="24"/>
                <w:szCs w:val="24"/>
              </w:rPr>
              <w:t>所属</w:t>
            </w:r>
          </w:p>
          <w:p w14:paraId="7FA3BDA4">
            <w:pPr>
              <w:autoSpaceDE w:val="0"/>
              <w:autoSpaceDN w:val="0"/>
              <w:adjustRightInd w:val="0"/>
              <w:jc w:val="center"/>
              <w:rPr>
                <w:rFonts w:ascii="Times New Roman" w:hAnsi="宋体" w:eastAsia="宋体" w:cs="Times New Roman"/>
                <w:b/>
                <w:bCs/>
                <w:color w:val="auto"/>
                <w:kern w:val="0"/>
                <w:sz w:val="24"/>
                <w:szCs w:val="24"/>
              </w:rPr>
            </w:pPr>
            <w:r>
              <w:rPr>
                <w:rFonts w:hint="eastAsia" w:ascii="Times New Roman" w:hAnsi="Times New Roman" w:eastAsia="宋体" w:cs="Times New Roman"/>
                <w:b/>
                <w:bCs/>
                <w:color w:val="auto"/>
                <w:kern w:val="0"/>
                <w:sz w:val="24"/>
                <w:szCs w:val="24"/>
              </w:rPr>
              <w:t>行业</w:t>
            </w:r>
          </w:p>
        </w:tc>
      </w:tr>
      <w:tr w14:paraId="55D2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01" w:type="pct"/>
            <w:noWrap w:val="0"/>
            <w:vAlign w:val="center"/>
          </w:tcPr>
          <w:p w14:paraId="109951E7">
            <w:pPr>
              <w:autoSpaceDE w:val="0"/>
              <w:autoSpaceDN w:val="0"/>
              <w:adjustRightInd w:val="0"/>
              <w:jc w:val="center"/>
              <w:rPr>
                <w:rFonts w:hint="eastAsia" w:ascii="Times New Roman" w:hAnsi="Times New Roman" w:eastAsia="宋体" w:cs="Times New Roman"/>
                <w:bCs/>
                <w:color w:val="auto"/>
                <w:kern w:val="0"/>
                <w:sz w:val="24"/>
                <w:szCs w:val="24"/>
                <w:lang w:eastAsia="zh-CN"/>
              </w:rPr>
            </w:pPr>
            <w:r>
              <w:rPr>
                <w:rFonts w:hint="eastAsia" w:ascii="Times New Roman" w:hAnsi="Times New Roman" w:eastAsia="宋体" w:cs="Times New Roman"/>
                <w:bCs/>
                <w:color w:val="auto"/>
                <w:kern w:val="0"/>
                <w:sz w:val="24"/>
                <w:szCs w:val="24"/>
                <w:lang w:val="en-US" w:eastAsia="zh-CN"/>
              </w:rPr>
              <w:t>1</w:t>
            </w:r>
          </w:p>
        </w:tc>
        <w:tc>
          <w:tcPr>
            <w:tcW w:w="450" w:type="pct"/>
            <w:noWrap w:val="0"/>
            <w:vAlign w:val="center"/>
          </w:tcPr>
          <w:p w14:paraId="4E365CCC">
            <w:pPr>
              <w:widowControl/>
              <w:rPr>
                <w:rFonts w:hint="eastAsia" w:ascii="Times New Roman" w:hAnsi="Times New Roman" w:eastAsia="宋体" w:cs="Times New Roman"/>
                <w:bCs/>
                <w:color w:val="auto"/>
                <w:kern w:val="0"/>
                <w:sz w:val="24"/>
                <w:szCs w:val="24"/>
                <w:lang w:eastAsia="zh-CN"/>
              </w:rPr>
            </w:pPr>
            <w:r>
              <w:rPr>
                <w:rFonts w:ascii="Times New Roman" w:hAnsi="Times New Roman" w:eastAsia="宋体" w:cs="Times New Roman"/>
                <w:color w:val="auto"/>
                <w:sz w:val="24"/>
                <w:szCs w:val="24"/>
              </w:rPr>
              <w:t>▲</w:t>
            </w:r>
            <w:r>
              <w:rPr>
                <w:rFonts w:hint="eastAsia" w:ascii="Calibri" w:hAnsi="Calibri" w:eastAsia="宋体" w:cs="Times New Roman"/>
                <w:color w:val="auto"/>
                <w:sz w:val="24"/>
                <w:szCs w:val="24"/>
              </w:rPr>
              <w:t>含氯消毒剂</w:t>
            </w:r>
          </w:p>
        </w:tc>
        <w:tc>
          <w:tcPr>
            <w:tcW w:w="3411" w:type="pct"/>
            <w:noWrap w:val="0"/>
            <w:vAlign w:val="top"/>
          </w:tcPr>
          <w:p w14:paraId="7462E3C1">
            <w:pPr>
              <w:widowControl/>
              <w:rPr>
                <w:rFonts w:hint="eastAsia" w:ascii="Calibri" w:hAnsi="Calibri" w:eastAsia="宋体" w:cs="Times New Roman"/>
                <w:color w:val="auto"/>
                <w:sz w:val="24"/>
                <w:szCs w:val="24"/>
              </w:rPr>
            </w:pPr>
            <w:r>
              <w:rPr>
                <w:rFonts w:hint="eastAsia" w:ascii="Calibri" w:hAnsi="Calibri" w:eastAsia="宋体" w:cs="Times New Roman"/>
                <w:color w:val="auto"/>
                <w:sz w:val="24"/>
                <w:szCs w:val="24"/>
              </w:rPr>
              <w:t>1.主要成分：有机含氯消毒粉剂。</w:t>
            </w:r>
          </w:p>
          <w:p w14:paraId="2736CD8F">
            <w:pPr>
              <w:widowControl/>
              <w:rPr>
                <w:rFonts w:hint="eastAsia" w:ascii="Calibri" w:hAnsi="Calibri" w:eastAsia="宋体" w:cs="Times New Roman"/>
                <w:color w:val="auto"/>
                <w:sz w:val="24"/>
                <w:szCs w:val="24"/>
              </w:rPr>
            </w:pPr>
            <w:r>
              <w:rPr>
                <w:rFonts w:hint="eastAsia" w:ascii="Calibri" w:hAnsi="Calibri" w:eastAsia="宋体" w:cs="Times New Roman"/>
                <w:color w:val="auto"/>
                <w:sz w:val="24"/>
                <w:szCs w:val="24"/>
              </w:rPr>
              <w:t>★2.有效氯：≥20%</w:t>
            </w:r>
            <w:r>
              <w:rPr>
                <w:rFonts w:hint="eastAsia" w:ascii="Times New Roman" w:hAnsi="Times New Roman" w:eastAsia="宋体" w:cs="Times New Roman"/>
                <w:b/>
                <w:bCs/>
                <w:color w:val="auto"/>
                <w:sz w:val="24"/>
                <w:szCs w:val="24"/>
                <w:lang w:eastAsia="zh-CN"/>
              </w:rPr>
              <w:t>（</w:t>
            </w:r>
            <w:r>
              <w:rPr>
                <w:rFonts w:hint="eastAsia" w:ascii="Times New Roman" w:hAnsi="Times New Roman" w:eastAsia="宋体" w:cs="Times New Roman"/>
                <w:b/>
                <w:bCs/>
                <w:color w:val="auto"/>
                <w:sz w:val="24"/>
                <w:szCs w:val="24"/>
                <w:lang w:val="en-US" w:eastAsia="zh-CN"/>
              </w:rPr>
              <w:t>投标文件中提供有效检测报告</w:t>
            </w:r>
            <w:r>
              <w:rPr>
                <w:rFonts w:hint="eastAsia" w:ascii="Times New Roman" w:hAnsi="Times New Roman" w:eastAsia="宋体" w:cs="Times New Roman"/>
                <w:b/>
                <w:bCs/>
                <w:color w:val="auto"/>
                <w:sz w:val="24"/>
                <w:szCs w:val="24"/>
                <w:lang w:eastAsia="zh-CN"/>
              </w:rPr>
              <w:t>）</w:t>
            </w:r>
            <w:r>
              <w:rPr>
                <w:rFonts w:hint="eastAsia" w:ascii="Calibri" w:hAnsi="Calibri" w:eastAsia="宋体" w:cs="Times New Roman"/>
                <w:color w:val="auto"/>
                <w:sz w:val="24"/>
                <w:szCs w:val="24"/>
              </w:rPr>
              <w:t>。</w:t>
            </w:r>
          </w:p>
          <w:p w14:paraId="07486A87">
            <w:pPr>
              <w:widowControl/>
              <w:rPr>
                <w:rFonts w:hint="eastAsia" w:ascii="Calibri" w:hAnsi="Calibri" w:eastAsia="宋体" w:cs="Times New Roman"/>
                <w:color w:val="auto"/>
                <w:sz w:val="24"/>
                <w:szCs w:val="24"/>
              </w:rPr>
            </w:pPr>
            <w:r>
              <w:rPr>
                <w:rFonts w:hint="eastAsia" w:ascii="Calibri" w:hAnsi="Calibri" w:eastAsia="宋体" w:cs="Times New Roman"/>
                <w:color w:val="auto"/>
                <w:sz w:val="24"/>
                <w:szCs w:val="24"/>
              </w:rPr>
              <w:t>3.包装：250克/袋。</w:t>
            </w:r>
          </w:p>
          <w:p w14:paraId="33C13F74">
            <w:pPr>
              <w:widowControl/>
              <w:jc w:val="left"/>
              <w:rPr>
                <w:rFonts w:hint="eastAsia" w:ascii="Calibri" w:hAnsi="Calibri" w:eastAsia="宋体" w:cs="Times New Roman"/>
                <w:color w:val="auto"/>
                <w:sz w:val="24"/>
                <w:szCs w:val="24"/>
              </w:rPr>
            </w:pPr>
            <w:r>
              <w:rPr>
                <w:rFonts w:hint="eastAsia" w:ascii="Calibri" w:hAnsi="Calibri" w:eastAsia="宋体" w:cs="Times New Roman"/>
                <w:color w:val="auto"/>
                <w:sz w:val="24"/>
                <w:szCs w:val="24"/>
              </w:rPr>
              <w:t>★</w:t>
            </w:r>
            <w:r>
              <w:rPr>
                <w:rFonts w:hint="eastAsia" w:ascii="Calibri" w:hAnsi="Calibri" w:eastAsia="宋体" w:cs="Times New Roman"/>
                <w:color w:val="auto"/>
                <w:sz w:val="24"/>
                <w:szCs w:val="24"/>
                <w:lang w:val="en-US" w:eastAsia="zh-CN"/>
              </w:rPr>
              <w:t>4</w:t>
            </w:r>
            <w:r>
              <w:rPr>
                <w:rFonts w:hint="eastAsia" w:ascii="Calibri" w:hAnsi="Calibri" w:eastAsia="宋体" w:cs="Times New Roman"/>
                <w:color w:val="auto"/>
                <w:sz w:val="24"/>
                <w:szCs w:val="24"/>
              </w:rPr>
              <w:t>.产品有国家级参考实验室、专业实验室、农业农村部直属研究所、动物医学院出具的病毒细菌（高致病性禽流感、口蹄疫、猪瘟、小反刍兽疫、非洲猪瘟、猪繁殖和呼吸障碍综合症（猪蓝耳病）、布鲁氏菌、猪水泡、芽孢、白色念珠菌、致病性大肠杆菌、金黄色葡萄球菌）灭杀效果的实验报告</w:t>
            </w:r>
            <w:r>
              <w:rPr>
                <w:rFonts w:hint="eastAsia" w:ascii="Times New Roman" w:hAnsi="Times New Roman" w:eastAsia="宋体" w:cs="Times New Roman"/>
                <w:b/>
                <w:bCs/>
                <w:color w:val="auto"/>
                <w:sz w:val="24"/>
                <w:szCs w:val="24"/>
                <w:lang w:eastAsia="zh-CN"/>
              </w:rPr>
              <w:t>（</w:t>
            </w:r>
            <w:r>
              <w:rPr>
                <w:rFonts w:hint="eastAsia" w:ascii="Times New Roman" w:hAnsi="Times New Roman" w:eastAsia="宋体" w:cs="Times New Roman"/>
                <w:b/>
                <w:bCs/>
                <w:color w:val="auto"/>
                <w:sz w:val="24"/>
                <w:szCs w:val="24"/>
                <w:lang w:val="en-US" w:eastAsia="zh-CN"/>
              </w:rPr>
              <w:t>投标文件中提供有效检测报告</w:t>
            </w:r>
            <w:r>
              <w:rPr>
                <w:rFonts w:hint="eastAsia" w:ascii="Times New Roman" w:hAnsi="Times New Roman" w:eastAsia="宋体" w:cs="Times New Roman"/>
                <w:b/>
                <w:bCs/>
                <w:color w:val="auto"/>
                <w:sz w:val="24"/>
                <w:szCs w:val="24"/>
                <w:lang w:eastAsia="zh-CN"/>
              </w:rPr>
              <w:t>）</w:t>
            </w:r>
            <w:r>
              <w:rPr>
                <w:rFonts w:hint="eastAsia" w:ascii="Calibri" w:hAnsi="Calibri" w:eastAsia="宋体" w:cs="Times New Roman"/>
                <w:color w:val="auto"/>
                <w:sz w:val="24"/>
                <w:szCs w:val="24"/>
              </w:rPr>
              <w:t>。                                                                                                        ★</w:t>
            </w:r>
            <w:r>
              <w:rPr>
                <w:rFonts w:hint="eastAsia" w:ascii="Calibri" w:hAnsi="Calibri" w:eastAsia="宋体" w:cs="Times New Roman"/>
                <w:color w:val="auto"/>
                <w:sz w:val="24"/>
                <w:szCs w:val="24"/>
                <w:lang w:val="en-US" w:eastAsia="zh-CN"/>
              </w:rPr>
              <w:t>5</w:t>
            </w:r>
            <w:r>
              <w:rPr>
                <w:rFonts w:hint="eastAsia" w:ascii="Calibri" w:hAnsi="Calibri" w:eastAsia="宋体" w:cs="Times New Roman"/>
                <w:color w:val="auto"/>
                <w:sz w:val="24"/>
                <w:szCs w:val="24"/>
              </w:rPr>
              <w:t>.</w:t>
            </w:r>
            <w:r>
              <w:rPr>
                <w:rFonts w:hint="eastAsia" w:ascii="Calibri" w:hAnsi="Calibri" w:eastAsia="宋体" w:cs="Times New Roman"/>
                <w:color w:val="auto"/>
                <w:sz w:val="24"/>
                <w:szCs w:val="24"/>
                <w:lang w:val="en-US" w:eastAsia="zh-CN"/>
              </w:rPr>
              <w:t>制造商</w:t>
            </w:r>
            <w:r>
              <w:rPr>
                <w:rFonts w:hint="eastAsia" w:ascii="Calibri" w:hAnsi="Calibri" w:eastAsia="宋体" w:cs="Times New Roman"/>
                <w:color w:val="auto"/>
                <w:sz w:val="24"/>
                <w:szCs w:val="24"/>
              </w:rPr>
              <w:t>须通过兽药生产标准化三级企业认证</w:t>
            </w:r>
            <w:r>
              <w:rPr>
                <w:rFonts w:hint="eastAsia" w:ascii="Calibri" w:hAnsi="Calibri" w:eastAsia="宋体" w:cs="Times New Roman"/>
                <w:b w:val="0"/>
                <w:bCs w:val="0"/>
                <w:color w:val="auto"/>
                <w:sz w:val="24"/>
                <w:szCs w:val="24"/>
              </w:rPr>
              <w:t>，</w:t>
            </w:r>
            <w:r>
              <w:rPr>
                <w:rFonts w:hint="eastAsia" w:ascii="Times New Roman" w:hAnsi="Times New Roman" w:eastAsia="宋体" w:cs="Times New Roman"/>
                <w:b/>
                <w:bCs/>
                <w:color w:val="auto"/>
                <w:sz w:val="24"/>
                <w:szCs w:val="24"/>
                <w:lang w:val="en-US" w:eastAsia="zh-CN"/>
              </w:rPr>
              <w:t>投标文件中</w:t>
            </w:r>
            <w:r>
              <w:rPr>
                <w:rFonts w:hint="eastAsia" w:ascii="Calibri" w:hAnsi="Calibri" w:eastAsia="宋体" w:cs="Times New Roman"/>
                <w:b/>
                <w:bCs/>
                <w:color w:val="auto"/>
                <w:sz w:val="24"/>
                <w:szCs w:val="24"/>
              </w:rPr>
              <w:t>提供《安全生产标准化》证书</w:t>
            </w:r>
            <w:r>
              <w:rPr>
                <w:rFonts w:hint="eastAsia" w:ascii="Calibri" w:hAnsi="Calibri" w:eastAsia="宋体" w:cs="Times New Roman"/>
                <w:color w:val="auto"/>
                <w:sz w:val="24"/>
                <w:szCs w:val="24"/>
              </w:rPr>
              <w:t xml:space="preserve">；          </w:t>
            </w:r>
          </w:p>
          <w:p w14:paraId="2EF79EE8">
            <w:pPr>
              <w:widowControl/>
              <w:rPr>
                <w:rFonts w:hint="eastAsia" w:ascii="Calibri" w:hAnsi="Calibri" w:eastAsia="宋体" w:cs="Times New Roman"/>
                <w:color w:val="auto"/>
                <w:sz w:val="24"/>
                <w:szCs w:val="24"/>
              </w:rPr>
            </w:pPr>
            <w:r>
              <w:rPr>
                <w:rFonts w:hint="eastAsia" w:ascii="Calibri" w:hAnsi="Calibri" w:eastAsia="宋体" w:cs="Times New Roman"/>
                <w:color w:val="auto"/>
                <w:sz w:val="24"/>
                <w:szCs w:val="24"/>
              </w:rPr>
              <w:t>★</w:t>
            </w:r>
            <w:r>
              <w:rPr>
                <w:rFonts w:hint="eastAsia" w:ascii="Calibri" w:hAnsi="Calibri" w:eastAsia="宋体" w:cs="Times New Roman"/>
                <w:color w:val="auto"/>
                <w:sz w:val="24"/>
                <w:szCs w:val="24"/>
                <w:lang w:val="en-US" w:eastAsia="zh-CN"/>
              </w:rPr>
              <w:t>6</w:t>
            </w:r>
            <w:r>
              <w:rPr>
                <w:rFonts w:hint="eastAsia" w:ascii="Calibri" w:hAnsi="Calibri" w:eastAsia="宋体" w:cs="Times New Roman"/>
                <w:color w:val="auto"/>
                <w:sz w:val="24"/>
                <w:szCs w:val="24"/>
              </w:rPr>
              <w:t>.稳定性好：能抗有机物干扰，提供第三方检测报告；保质期内包装不鼓气，两年有效期内有效氯损失极少，</w:t>
            </w:r>
            <w:r>
              <w:rPr>
                <w:rFonts w:hint="eastAsia" w:ascii="Times New Roman" w:hAnsi="Times New Roman" w:eastAsia="宋体" w:cs="Times New Roman"/>
                <w:b/>
                <w:bCs/>
                <w:color w:val="auto"/>
                <w:sz w:val="24"/>
                <w:szCs w:val="24"/>
                <w:lang w:val="en-US" w:eastAsia="zh-CN"/>
              </w:rPr>
              <w:t>投标文件中</w:t>
            </w:r>
            <w:r>
              <w:rPr>
                <w:rFonts w:hint="eastAsia" w:ascii="Calibri" w:hAnsi="Calibri" w:eastAsia="宋体" w:cs="Times New Roman"/>
                <w:b/>
                <w:bCs/>
                <w:color w:val="auto"/>
                <w:sz w:val="24"/>
                <w:szCs w:val="24"/>
              </w:rPr>
              <w:t>提供有效期≥2年的稳定性试验报告</w:t>
            </w:r>
            <w:r>
              <w:rPr>
                <w:rFonts w:hint="eastAsia" w:ascii="Calibri" w:hAnsi="Calibri" w:eastAsia="宋体" w:cs="Times New Roman"/>
                <w:color w:val="auto"/>
                <w:sz w:val="24"/>
                <w:szCs w:val="24"/>
              </w:rPr>
              <w:t>。</w:t>
            </w:r>
          </w:p>
          <w:p w14:paraId="0BC27778">
            <w:pPr>
              <w:widowControl/>
              <w:rPr>
                <w:rFonts w:hint="eastAsia" w:ascii="Calibri" w:hAnsi="Calibri" w:eastAsia="宋体" w:cs="Times New Roman"/>
                <w:color w:val="auto"/>
                <w:sz w:val="24"/>
                <w:szCs w:val="24"/>
              </w:rPr>
            </w:pPr>
            <w:r>
              <w:rPr>
                <w:rFonts w:hint="eastAsia" w:ascii="Calibri" w:hAnsi="Calibri" w:eastAsia="宋体" w:cs="Times New Roman"/>
                <w:color w:val="auto"/>
                <w:sz w:val="24"/>
                <w:szCs w:val="24"/>
              </w:rPr>
              <w:t>★</w:t>
            </w:r>
            <w:r>
              <w:rPr>
                <w:rFonts w:hint="eastAsia" w:ascii="Calibri" w:hAnsi="Calibri" w:eastAsia="宋体" w:cs="Times New Roman"/>
                <w:color w:val="auto"/>
                <w:sz w:val="24"/>
                <w:szCs w:val="24"/>
                <w:lang w:val="en-US" w:eastAsia="zh-CN"/>
              </w:rPr>
              <w:t>7</w:t>
            </w:r>
            <w:r>
              <w:rPr>
                <w:rFonts w:hint="eastAsia" w:ascii="Calibri" w:hAnsi="Calibri" w:eastAsia="宋体" w:cs="Times New Roman"/>
                <w:color w:val="auto"/>
                <w:sz w:val="24"/>
                <w:szCs w:val="24"/>
              </w:rPr>
              <w:t>.严格按照国家法定兽药标准生产，符合国家兽药质量标准，</w:t>
            </w:r>
            <w:r>
              <w:rPr>
                <w:rFonts w:hint="eastAsia" w:ascii="Calibri" w:hAnsi="Calibri" w:eastAsia="宋体" w:cs="Times New Roman"/>
                <w:b/>
                <w:bCs/>
                <w:color w:val="auto"/>
                <w:sz w:val="24"/>
                <w:szCs w:val="24"/>
                <w:lang w:val="en-US" w:eastAsia="zh-CN"/>
              </w:rPr>
              <w:t>投标文件</w:t>
            </w:r>
            <w:r>
              <w:rPr>
                <w:rFonts w:hint="eastAsia" w:ascii="Calibri" w:hAnsi="Calibri" w:eastAsia="宋体" w:cs="Times New Roman"/>
                <w:b/>
                <w:bCs/>
                <w:color w:val="auto"/>
                <w:sz w:val="24"/>
                <w:szCs w:val="24"/>
              </w:rPr>
              <w:t>提供2022年以来2批原料药</w:t>
            </w:r>
            <w:r>
              <w:rPr>
                <w:rFonts w:hint="eastAsia" w:ascii="Calibri" w:hAnsi="Calibri" w:eastAsia="宋体" w:cs="Times New Roman"/>
                <w:b/>
                <w:bCs/>
                <w:color w:val="auto"/>
                <w:sz w:val="24"/>
                <w:szCs w:val="24"/>
                <w:lang w:val="en-US" w:eastAsia="zh-CN"/>
              </w:rPr>
              <w:t>具有</w:t>
            </w:r>
            <w:r>
              <w:rPr>
                <w:rFonts w:hint="eastAsia" w:ascii="Calibri" w:hAnsi="Calibri" w:eastAsia="宋体" w:cs="Times New Roman"/>
                <w:b/>
                <w:bCs/>
                <w:color w:val="auto"/>
                <w:sz w:val="24"/>
                <w:szCs w:val="24"/>
              </w:rPr>
              <w:t>CMA标识</w:t>
            </w:r>
            <w:r>
              <w:rPr>
                <w:rFonts w:hint="eastAsia" w:ascii="Calibri" w:hAnsi="Calibri" w:eastAsia="宋体" w:cs="Times New Roman"/>
                <w:b/>
                <w:bCs/>
                <w:color w:val="auto"/>
                <w:sz w:val="24"/>
                <w:szCs w:val="24"/>
                <w:lang w:val="en-US" w:eastAsia="zh-CN"/>
              </w:rPr>
              <w:t>的</w:t>
            </w:r>
            <w:r>
              <w:rPr>
                <w:rFonts w:hint="eastAsia" w:ascii="Calibri" w:hAnsi="Calibri" w:eastAsia="宋体" w:cs="Times New Roman"/>
                <w:b/>
                <w:bCs/>
                <w:color w:val="auto"/>
                <w:sz w:val="24"/>
                <w:szCs w:val="24"/>
              </w:rPr>
              <w:t>检验合格报告</w:t>
            </w:r>
            <w:r>
              <w:rPr>
                <w:rFonts w:hint="eastAsia" w:ascii="Calibri" w:hAnsi="Calibri" w:eastAsia="宋体" w:cs="Times New Roman"/>
                <w:color w:val="auto"/>
                <w:sz w:val="24"/>
                <w:szCs w:val="24"/>
              </w:rPr>
              <w:t>。</w:t>
            </w:r>
          </w:p>
          <w:p w14:paraId="43E31A49">
            <w:pPr>
              <w:widowControl/>
              <w:rPr>
                <w:rFonts w:hint="eastAsia" w:ascii="Calibri" w:hAnsi="Calibri" w:eastAsia="宋体" w:cs="Times New Roman"/>
                <w:color w:val="auto"/>
                <w:sz w:val="24"/>
                <w:szCs w:val="24"/>
              </w:rPr>
            </w:pPr>
            <w:r>
              <w:rPr>
                <w:rFonts w:hint="eastAsia" w:ascii="Calibri" w:hAnsi="Calibri" w:eastAsia="宋体" w:cs="Times New Roman"/>
                <w:color w:val="auto"/>
                <w:sz w:val="24"/>
                <w:szCs w:val="24"/>
                <w:lang w:val="en-US" w:eastAsia="zh-CN"/>
              </w:rPr>
              <w:t>8</w:t>
            </w:r>
            <w:r>
              <w:rPr>
                <w:rFonts w:hint="eastAsia" w:ascii="Calibri" w:hAnsi="Calibri" w:eastAsia="宋体" w:cs="Times New Roman"/>
                <w:color w:val="auto"/>
                <w:sz w:val="24"/>
                <w:szCs w:val="24"/>
              </w:rPr>
              <w:t>.安全性好：对畜禽皮肤刺激小或无刺激性，对人、畜禽无毒害和残留，对环境无污染。</w:t>
            </w:r>
          </w:p>
          <w:p w14:paraId="4BC414F6">
            <w:pPr>
              <w:widowControl/>
              <w:rPr>
                <w:rFonts w:ascii="宋体" w:hAnsi="宋体" w:eastAsia="宋体" w:cs="宋体"/>
                <w:color w:val="auto"/>
                <w:kern w:val="0"/>
                <w:sz w:val="24"/>
                <w:szCs w:val="24"/>
              </w:rPr>
            </w:pPr>
            <w:r>
              <w:rPr>
                <w:rFonts w:hint="eastAsia" w:ascii="Calibri" w:hAnsi="Calibri" w:eastAsia="宋体" w:cs="Times New Roman"/>
                <w:color w:val="auto"/>
                <w:sz w:val="24"/>
                <w:szCs w:val="24"/>
                <w:lang w:val="en-US" w:eastAsia="zh-CN"/>
              </w:rPr>
              <w:t>9</w:t>
            </w:r>
            <w:r>
              <w:rPr>
                <w:rFonts w:hint="eastAsia" w:ascii="Calibri" w:hAnsi="Calibri" w:eastAsia="宋体" w:cs="Times New Roman"/>
                <w:color w:val="auto"/>
                <w:sz w:val="24"/>
                <w:szCs w:val="24"/>
              </w:rPr>
              <w:t>.有效期：提供的货物有效期自货物收到之日起计算18个月以上。</w:t>
            </w:r>
          </w:p>
        </w:tc>
        <w:tc>
          <w:tcPr>
            <w:tcW w:w="395" w:type="pct"/>
            <w:noWrap w:val="0"/>
            <w:vAlign w:val="center"/>
          </w:tcPr>
          <w:p w14:paraId="4C7D5BCF">
            <w:pPr>
              <w:rPr>
                <w:rFonts w:ascii="Times New Roman" w:hAnsi="Times New Roman" w:eastAsia="宋体" w:cs="Times New Roman"/>
                <w:bCs/>
                <w:color w:val="auto"/>
                <w:kern w:val="0"/>
                <w:sz w:val="24"/>
                <w:szCs w:val="24"/>
              </w:rPr>
            </w:pPr>
            <w:r>
              <w:rPr>
                <w:rFonts w:hint="eastAsia" w:ascii="宋体" w:hAnsi="宋体" w:eastAsia="宋体" w:cs="Times New Roman"/>
                <w:color w:val="auto"/>
                <w:sz w:val="24"/>
                <w:szCs w:val="24"/>
                <w:lang w:val="en-US" w:eastAsia="zh-CN"/>
              </w:rPr>
              <w:t>10</w:t>
            </w:r>
            <w:r>
              <w:rPr>
                <w:rFonts w:hint="eastAsia" w:ascii="宋体" w:hAnsi="宋体" w:eastAsia="宋体" w:cs="Times New Roman"/>
                <w:color w:val="auto"/>
                <w:sz w:val="24"/>
                <w:szCs w:val="24"/>
              </w:rPr>
              <w:t>吨</w:t>
            </w:r>
          </w:p>
        </w:tc>
        <w:tc>
          <w:tcPr>
            <w:tcW w:w="441" w:type="pct"/>
            <w:vMerge w:val="restart"/>
            <w:noWrap w:val="0"/>
            <w:vAlign w:val="center"/>
          </w:tcPr>
          <w:p w14:paraId="4424CEA5">
            <w:pPr>
              <w:autoSpaceDE w:val="0"/>
              <w:autoSpaceDN w:val="0"/>
              <w:adjustRightInd w:val="0"/>
              <w:jc w:val="center"/>
              <w:rPr>
                <w:rFonts w:hint="eastAsia" w:ascii="Calibri" w:hAnsi="Calibri" w:eastAsia="宋体" w:cs="Times New Roman"/>
                <w:color w:val="auto"/>
                <w:sz w:val="24"/>
                <w:szCs w:val="24"/>
              </w:rPr>
            </w:pPr>
            <w:r>
              <w:rPr>
                <w:rFonts w:hint="eastAsia" w:ascii="Calibri" w:hAnsi="Calibri" w:eastAsia="宋体" w:cs="Times New Roman"/>
                <w:color w:val="auto"/>
                <w:sz w:val="24"/>
                <w:szCs w:val="24"/>
              </w:rPr>
              <w:t>工业</w:t>
            </w:r>
          </w:p>
        </w:tc>
      </w:tr>
      <w:tr w14:paraId="28AA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01" w:type="pct"/>
            <w:noWrap w:val="0"/>
            <w:vAlign w:val="center"/>
          </w:tcPr>
          <w:p w14:paraId="0A93EFFB">
            <w:pPr>
              <w:autoSpaceDE w:val="0"/>
              <w:autoSpaceDN w:val="0"/>
              <w:adjustRightInd w:val="0"/>
              <w:jc w:val="center"/>
              <w:rPr>
                <w:rFonts w:hint="default" w:ascii="Times New Roman" w:hAnsi="Times New Roman" w:eastAsia="宋体" w:cs="Times New Roman"/>
                <w:bCs/>
                <w:color w:val="auto"/>
                <w:kern w:val="0"/>
                <w:sz w:val="24"/>
                <w:szCs w:val="24"/>
                <w:lang w:val="en-US" w:eastAsia="zh-CN"/>
              </w:rPr>
            </w:pPr>
            <w:r>
              <w:rPr>
                <w:rFonts w:hint="eastAsia" w:ascii="Times New Roman" w:hAnsi="Times New Roman" w:eastAsia="宋体" w:cs="Times New Roman"/>
                <w:bCs/>
                <w:color w:val="auto"/>
                <w:kern w:val="0"/>
                <w:sz w:val="24"/>
                <w:szCs w:val="24"/>
                <w:lang w:val="en-US" w:eastAsia="zh-CN"/>
              </w:rPr>
              <w:t>2</w:t>
            </w:r>
          </w:p>
        </w:tc>
        <w:tc>
          <w:tcPr>
            <w:tcW w:w="450" w:type="pct"/>
            <w:noWrap w:val="0"/>
            <w:vAlign w:val="center"/>
          </w:tcPr>
          <w:p w14:paraId="1AB53327">
            <w:pPr>
              <w:widowControl/>
              <w:autoSpaceDE w:val="0"/>
              <w:autoSpaceDN w:val="0"/>
              <w:adjustRightInd w:val="0"/>
              <w:jc w:val="left"/>
              <w:rPr>
                <w:rFonts w:ascii="Times New Roman" w:hAnsi="Times New Roman" w:eastAsia="宋体" w:cs="Times New Roman"/>
                <w:color w:val="auto"/>
                <w:sz w:val="24"/>
                <w:szCs w:val="24"/>
              </w:rPr>
            </w:pPr>
            <w:r>
              <w:rPr>
                <w:rFonts w:ascii="Calibri" w:hAnsi="宋体" w:eastAsia="宋体" w:cs="Times New Roman"/>
                <w:color w:val="auto"/>
                <w:kern w:val="0"/>
                <w:sz w:val="24"/>
                <w:szCs w:val="24"/>
              </w:rPr>
              <w:t>一次性带帽连体防护服</w:t>
            </w:r>
          </w:p>
        </w:tc>
        <w:tc>
          <w:tcPr>
            <w:tcW w:w="3411" w:type="pct"/>
            <w:noWrap w:val="0"/>
            <w:vAlign w:val="top"/>
          </w:tcPr>
          <w:p w14:paraId="21A10A61">
            <w:pPr>
              <w:widowControl/>
              <w:autoSpaceDE w:val="0"/>
              <w:autoSpaceDN w:val="0"/>
              <w:adjustRightInd w:val="0"/>
              <w:jc w:val="left"/>
              <w:rPr>
                <w:rFonts w:hint="eastAsia" w:ascii="Calibri" w:hAnsi="宋体" w:eastAsia="宋体" w:cs="Times New Roman"/>
                <w:color w:val="auto"/>
                <w:kern w:val="0"/>
                <w:sz w:val="24"/>
                <w:szCs w:val="24"/>
              </w:rPr>
            </w:pPr>
            <w:r>
              <w:rPr>
                <w:rFonts w:ascii="Calibri" w:hAnsi="宋体" w:eastAsia="宋体" w:cs="Times New Roman"/>
                <w:color w:val="auto"/>
                <w:kern w:val="0"/>
                <w:sz w:val="24"/>
                <w:szCs w:val="24"/>
              </w:rPr>
              <w:t>★</w:t>
            </w:r>
            <w:r>
              <w:rPr>
                <w:rFonts w:ascii="Calibri" w:hAnsi="Calibri" w:eastAsia="宋体" w:cs="Times New Roman"/>
                <w:color w:val="auto"/>
                <w:kern w:val="0"/>
                <w:sz w:val="24"/>
                <w:szCs w:val="24"/>
              </w:rPr>
              <w:t>1.</w:t>
            </w:r>
            <w:r>
              <w:rPr>
                <w:rFonts w:ascii="Calibri" w:hAnsi="宋体" w:eastAsia="宋体" w:cs="Times New Roman"/>
                <w:color w:val="auto"/>
                <w:kern w:val="0"/>
                <w:sz w:val="24"/>
                <w:szCs w:val="24"/>
              </w:rPr>
              <w:t>符合国标</w:t>
            </w:r>
            <w:r>
              <w:rPr>
                <w:rFonts w:ascii="Calibri" w:hAnsi="Calibri" w:eastAsia="宋体" w:cs="Times New Roman"/>
                <w:color w:val="auto"/>
                <w:kern w:val="0"/>
                <w:sz w:val="24"/>
                <w:szCs w:val="24"/>
              </w:rPr>
              <w:t>GB19082-2009</w:t>
            </w:r>
            <w:r>
              <w:rPr>
                <w:rFonts w:hint="eastAsia" w:ascii="Calibri" w:hAnsi="Calibri" w:eastAsia="宋体" w:cs="Times New Roman"/>
                <w:color w:val="auto"/>
                <w:kern w:val="0"/>
                <w:sz w:val="24"/>
                <w:szCs w:val="24"/>
                <w:lang w:eastAsia="zh-CN"/>
              </w:rPr>
              <w:t>（</w:t>
            </w:r>
            <w:r>
              <w:rPr>
                <w:rFonts w:ascii="Calibri" w:hAnsi="宋体" w:eastAsia="宋体" w:cs="Times New Roman"/>
                <w:b/>
                <w:color w:val="auto"/>
                <w:kern w:val="0"/>
                <w:sz w:val="24"/>
                <w:szCs w:val="24"/>
              </w:rPr>
              <w:t>投标文件中须</w:t>
            </w:r>
            <w:r>
              <w:rPr>
                <w:rFonts w:hint="eastAsia" w:ascii="Calibri" w:hAnsi="宋体" w:eastAsia="宋体" w:cs="Times New Roman"/>
                <w:b/>
                <w:color w:val="auto"/>
                <w:kern w:val="0"/>
                <w:sz w:val="24"/>
                <w:szCs w:val="24"/>
              </w:rPr>
              <w:t>提供</w:t>
            </w:r>
            <w:r>
              <w:rPr>
                <w:rFonts w:hint="eastAsia" w:ascii="Calibri" w:hAnsi="宋体" w:eastAsia="宋体" w:cs="Times New Roman"/>
                <w:b/>
                <w:color w:val="auto"/>
                <w:kern w:val="0"/>
                <w:sz w:val="24"/>
                <w:szCs w:val="24"/>
                <w:lang w:val="en-US" w:eastAsia="zh-CN"/>
              </w:rPr>
              <w:t>具有</w:t>
            </w:r>
            <w:r>
              <w:rPr>
                <w:rFonts w:hint="eastAsia" w:ascii="Times New Roman" w:hAnsi="Times New Roman" w:eastAsia="宋体" w:cs="Times New Roman"/>
                <w:b/>
                <w:bCs/>
                <w:color w:val="auto"/>
                <w:sz w:val="24"/>
                <w:szCs w:val="24"/>
                <w:lang w:val="en-US" w:eastAsia="zh-CN"/>
              </w:rPr>
              <w:t>CMA 标</w:t>
            </w:r>
            <w:r>
              <w:rPr>
                <w:rFonts w:hint="eastAsia" w:ascii="Calibri" w:hAnsi="Calibri" w:eastAsia="宋体" w:cs="Times New Roman"/>
                <w:b/>
                <w:bCs/>
                <w:color w:val="auto"/>
                <w:sz w:val="24"/>
                <w:szCs w:val="24"/>
              </w:rPr>
              <w:t>识</w:t>
            </w:r>
            <w:r>
              <w:rPr>
                <w:rFonts w:hint="eastAsia" w:ascii="Times New Roman" w:hAnsi="Times New Roman" w:eastAsia="宋体" w:cs="Times New Roman"/>
                <w:b/>
                <w:bCs/>
                <w:color w:val="auto"/>
                <w:sz w:val="24"/>
                <w:szCs w:val="24"/>
                <w:lang w:val="en-US" w:eastAsia="zh-CN"/>
              </w:rPr>
              <w:t>的</w:t>
            </w:r>
            <w:r>
              <w:rPr>
                <w:rFonts w:hint="eastAsia" w:ascii="Calibri" w:hAnsi="宋体" w:eastAsia="宋体" w:cs="Times New Roman"/>
                <w:b/>
                <w:color w:val="auto"/>
                <w:kern w:val="0"/>
                <w:sz w:val="24"/>
                <w:szCs w:val="24"/>
              </w:rPr>
              <w:t>检测报告</w:t>
            </w:r>
            <w:r>
              <w:rPr>
                <w:rFonts w:hint="eastAsia" w:ascii="Calibri" w:hAnsi="宋体" w:eastAsia="宋体" w:cs="Times New Roman"/>
                <w:b/>
                <w:color w:val="auto"/>
                <w:kern w:val="0"/>
                <w:sz w:val="24"/>
                <w:szCs w:val="24"/>
                <w:lang w:val="en-US" w:eastAsia="zh-CN"/>
              </w:rPr>
              <w:t>和</w:t>
            </w:r>
            <w:r>
              <w:rPr>
                <w:rFonts w:hint="eastAsia" w:ascii="Calibri" w:hAnsi="宋体" w:eastAsia="宋体" w:cs="Times New Roman"/>
                <w:b/>
                <w:color w:val="auto"/>
                <w:kern w:val="0"/>
                <w:sz w:val="24"/>
                <w:szCs w:val="24"/>
              </w:rPr>
              <w:t>产品合格书</w:t>
            </w:r>
            <w:r>
              <w:rPr>
                <w:rFonts w:hint="eastAsia" w:ascii="Calibri" w:hAnsi="Calibri" w:eastAsia="宋体" w:cs="Times New Roman"/>
                <w:color w:val="auto"/>
                <w:kern w:val="0"/>
                <w:sz w:val="24"/>
                <w:szCs w:val="24"/>
                <w:lang w:eastAsia="zh-CN"/>
              </w:rPr>
              <w:t>）</w:t>
            </w:r>
            <w:r>
              <w:rPr>
                <w:rFonts w:ascii="Calibri" w:hAnsi="宋体" w:eastAsia="宋体" w:cs="Times New Roman"/>
                <w:color w:val="auto"/>
                <w:kern w:val="0"/>
                <w:sz w:val="24"/>
                <w:szCs w:val="24"/>
              </w:rPr>
              <w:t>；</w:t>
            </w:r>
          </w:p>
          <w:p w14:paraId="528F7B00">
            <w:pPr>
              <w:widowControl/>
              <w:autoSpaceDE w:val="0"/>
              <w:autoSpaceDN w:val="0"/>
              <w:adjustRightInd w:val="0"/>
              <w:jc w:val="left"/>
              <w:rPr>
                <w:rFonts w:hint="eastAsia" w:ascii="Calibri" w:hAnsi="宋体" w:eastAsia="宋体" w:cs="Times New Roman"/>
                <w:color w:val="auto"/>
                <w:kern w:val="0"/>
                <w:sz w:val="24"/>
                <w:szCs w:val="24"/>
              </w:rPr>
            </w:pPr>
            <w:r>
              <w:rPr>
                <w:rFonts w:ascii="Calibri" w:hAnsi="Calibri" w:eastAsia="宋体" w:cs="Times New Roman"/>
                <w:color w:val="auto"/>
                <w:kern w:val="0"/>
                <w:sz w:val="24"/>
                <w:szCs w:val="24"/>
              </w:rPr>
              <w:t>2.</w:t>
            </w:r>
            <w:r>
              <w:rPr>
                <w:rFonts w:ascii="Calibri" w:hAnsi="宋体" w:eastAsia="宋体" w:cs="Times New Roman"/>
                <w:color w:val="auto"/>
                <w:kern w:val="0"/>
                <w:sz w:val="24"/>
                <w:szCs w:val="24"/>
              </w:rPr>
              <w:t>抗液体穿透性能优异，能防护小至</w:t>
            </w:r>
            <w:r>
              <w:rPr>
                <w:rFonts w:ascii="Calibri" w:hAnsi="Calibri" w:eastAsia="宋体" w:cs="Times New Roman"/>
                <w:color w:val="auto"/>
                <w:kern w:val="0"/>
                <w:sz w:val="24"/>
                <w:szCs w:val="24"/>
              </w:rPr>
              <w:t>0.01</w:t>
            </w:r>
            <w:r>
              <w:rPr>
                <w:rFonts w:ascii="Calibri" w:hAnsi="宋体" w:eastAsia="宋体" w:cs="Times New Roman"/>
                <w:color w:val="auto"/>
                <w:kern w:val="0"/>
                <w:sz w:val="24"/>
                <w:szCs w:val="24"/>
              </w:rPr>
              <w:t>微米的微粒；</w:t>
            </w:r>
          </w:p>
          <w:p w14:paraId="3D965E85">
            <w:pPr>
              <w:widowControl/>
              <w:autoSpaceDE w:val="0"/>
              <w:autoSpaceDN w:val="0"/>
              <w:adjustRightInd w:val="0"/>
              <w:jc w:val="left"/>
              <w:rPr>
                <w:rFonts w:hint="eastAsia" w:ascii="Calibri" w:hAnsi="宋体" w:eastAsia="宋体" w:cs="Times New Roman"/>
                <w:color w:val="auto"/>
                <w:kern w:val="0"/>
                <w:sz w:val="24"/>
                <w:szCs w:val="24"/>
              </w:rPr>
            </w:pPr>
            <w:r>
              <w:rPr>
                <w:rFonts w:ascii="Calibri" w:hAnsi="Calibri" w:eastAsia="宋体" w:cs="Times New Roman"/>
                <w:color w:val="auto"/>
                <w:kern w:val="0"/>
                <w:sz w:val="24"/>
                <w:szCs w:val="24"/>
              </w:rPr>
              <w:t>3.</w:t>
            </w:r>
            <w:r>
              <w:rPr>
                <w:rFonts w:ascii="Calibri" w:hAnsi="宋体" w:eastAsia="宋体" w:cs="Times New Roman"/>
                <w:color w:val="auto"/>
                <w:kern w:val="0"/>
                <w:sz w:val="24"/>
                <w:szCs w:val="24"/>
              </w:rPr>
              <w:t>材料：透气的多微孔</w:t>
            </w:r>
            <w:r>
              <w:rPr>
                <w:rFonts w:ascii="Calibri" w:hAnsi="Calibri" w:eastAsia="宋体" w:cs="Times New Roman"/>
                <w:color w:val="auto"/>
                <w:kern w:val="0"/>
                <w:sz w:val="24"/>
                <w:szCs w:val="24"/>
              </w:rPr>
              <w:t>PE</w:t>
            </w:r>
            <w:r>
              <w:rPr>
                <w:rFonts w:ascii="Calibri" w:hAnsi="宋体" w:eastAsia="宋体" w:cs="Times New Roman"/>
                <w:color w:val="auto"/>
                <w:kern w:val="0"/>
                <w:sz w:val="24"/>
                <w:szCs w:val="24"/>
              </w:rPr>
              <w:t>复合膜；</w:t>
            </w:r>
          </w:p>
          <w:p w14:paraId="17A6C825">
            <w:pPr>
              <w:widowControl/>
              <w:autoSpaceDE w:val="0"/>
              <w:autoSpaceDN w:val="0"/>
              <w:adjustRightInd w:val="0"/>
              <w:jc w:val="left"/>
              <w:rPr>
                <w:rFonts w:hint="eastAsia" w:ascii="Calibri" w:hAnsi="宋体" w:eastAsia="宋体" w:cs="Times New Roman"/>
                <w:color w:val="auto"/>
                <w:kern w:val="0"/>
                <w:sz w:val="24"/>
                <w:szCs w:val="24"/>
              </w:rPr>
            </w:pPr>
            <w:r>
              <w:rPr>
                <w:rFonts w:ascii="Calibri" w:hAnsi="Calibri" w:eastAsia="宋体" w:cs="Times New Roman"/>
                <w:color w:val="auto"/>
                <w:kern w:val="0"/>
                <w:sz w:val="24"/>
                <w:szCs w:val="24"/>
              </w:rPr>
              <w:t>4.</w:t>
            </w:r>
            <w:r>
              <w:rPr>
                <w:rFonts w:ascii="Calibri" w:hAnsi="宋体" w:eastAsia="宋体" w:cs="Times New Roman"/>
                <w:color w:val="auto"/>
                <w:kern w:val="0"/>
                <w:sz w:val="24"/>
                <w:szCs w:val="24"/>
              </w:rPr>
              <w:t>抗静电，白色；</w:t>
            </w:r>
          </w:p>
          <w:p w14:paraId="4FEB2F20">
            <w:pPr>
              <w:widowControl/>
              <w:autoSpaceDE w:val="0"/>
              <w:autoSpaceDN w:val="0"/>
              <w:adjustRightInd w:val="0"/>
              <w:jc w:val="left"/>
              <w:rPr>
                <w:rFonts w:hint="eastAsia" w:ascii="Calibri" w:hAnsi="宋体" w:eastAsia="宋体" w:cs="Times New Roman"/>
                <w:color w:val="auto"/>
                <w:kern w:val="0"/>
                <w:sz w:val="24"/>
                <w:szCs w:val="24"/>
              </w:rPr>
            </w:pPr>
            <w:r>
              <w:rPr>
                <w:rFonts w:hint="eastAsia" w:ascii="Calibri" w:hAnsi="Calibri" w:eastAsia="宋体" w:cs="Times New Roman"/>
                <w:color w:val="auto"/>
                <w:kern w:val="0"/>
                <w:sz w:val="24"/>
                <w:szCs w:val="24"/>
              </w:rPr>
              <w:t>5</w:t>
            </w:r>
            <w:r>
              <w:rPr>
                <w:rFonts w:ascii="Calibri" w:hAnsi="Calibri" w:eastAsia="宋体" w:cs="Times New Roman"/>
                <w:color w:val="auto"/>
                <w:kern w:val="0"/>
                <w:sz w:val="24"/>
                <w:szCs w:val="24"/>
              </w:rPr>
              <w:t>.</w:t>
            </w:r>
            <w:r>
              <w:rPr>
                <w:rFonts w:ascii="Calibri" w:hAnsi="宋体" w:eastAsia="宋体" w:cs="Times New Roman"/>
                <w:color w:val="auto"/>
                <w:kern w:val="0"/>
                <w:sz w:val="24"/>
                <w:szCs w:val="24"/>
              </w:rPr>
              <w:t>内配口罩和鞋套；</w:t>
            </w:r>
          </w:p>
          <w:p w14:paraId="2519C82D">
            <w:pPr>
              <w:widowControl/>
              <w:autoSpaceDE w:val="0"/>
              <w:autoSpaceDN w:val="0"/>
              <w:adjustRightInd w:val="0"/>
              <w:jc w:val="left"/>
              <w:rPr>
                <w:rFonts w:hint="eastAsia" w:ascii="Calibri" w:hAnsi="Calibri" w:eastAsia="宋体" w:cs="Times New Roman"/>
                <w:color w:val="auto"/>
                <w:sz w:val="24"/>
                <w:szCs w:val="24"/>
                <w:lang w:val="en-US" w:eastAsia="zh-CN"/>
              </w:rPr>
            </w:pPr>
            <w:r>
              <w:rPr>
                <w:rFonts w:hint="eastAsia" w:ascii="Calibri" w:hAnsi="Calibri" w:eastAsia="宋体" w:cs="Times New Roman"/>
                <w:color w:val="auto"/>
                <w:kern w:val="0"/>
                <w:sz w:val="24"/>
                <w:szCs w:val="24"/>
              </w:rPr>
              <w:t>6</w:t>
            </w:r>
            <w:r>
              <w:rPr>
                <w:rFonts w:ascii="Calibri" w:hAnsi="Calibri" w:eastAsia="宋体" w:cs="Times New Roman"/>
                <w:color w:val="auto"/>
                <w:kern w:val="0"/>
                <w:sz w:val="24"/>
                <w:szCs w:val="24"/>
              </w:rPr>
              <w:t>.</w:t>
            </w:r>
            <w:r>
              <w:rPr>
                <w:rFonts w:ascii="Calibri" w:hAnsi="宋体" w:eastAsia="宋体" w:cs="Times New Roman"/>
                <w:color w:val="auto"/>
                <w:kern w:val="0"/>
                <w:sz w:val="24"/>
                <w:szCs w:val="24"/>
              </w:rPr>
              <w:t>提供的货物有效期要在</w:t>
            </w:r>
            <w:r>
              <w:rPr>
                <w:rFonts w:ascii="Calibri" w:hAnsi="Calibri" w:eastAsia="宋体" w:cs="Times New Roman"/>
                <w:color w:val="auto"/>
                <w:kern w:val="0"/>
                <w:sz w:val="24"/>
                <w:szCs w:val="24"/>
              </w:rPr>
              <w:t>2</w:t>
            </w:r>
            <w:r>
              <w:rPr>
                <w:rFonts w:ascii="Calibri" w:hAnsi="宋体" w:eastAsia="宋体" w:cs="Times New Roman"/>
                <w:color w:val="auto"/>
                <w:kern w:val="0"/>
                <w:sz w:val="24"/>
                <w:szCs w:val="24"/>
              </w:rPr>
              <w:t>年以上。</w:t>
            </w:r>
          </w:p>
        </w:tc>
        <w:tc>
          <w:tcPr>
            <w:tcW w:w="395" w:type="pct"/>
            <w:noWrap w:val="0"/>
            <w:vAlign w:val="center"/>
          </w:tcPr>
          <w:p w14:paraId="7E75800F">
            <w:pPr>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500套</w:t>
            </w:r>
          </w:p>
        </w:tc>
        <w:tc>
          <w:tcPr>
            <w:tcW w:w="441" w:type="pct"/>
            <w:vMerge w:val="continue"/>
            <w:noWrap w:val="0"/>
            <w:vAlign w:val="top"/>
          </w:tcPr>
          <w:p w14:paraId="62546006">
            <w:pPr>
              <w:autoSpaceDE w:val="0"/>
              <w:autoSpaceDN w:val="0"/>
              <w:adjustRightInd w:val="0"/>
              <w:jc w:val="left"/>
              <w:rPr>
                <w:rFonts w:ascii="Calibri" w:hAnsi="Calibri" w:eastAsia="宋体" w:cs="Times New Roman"/>
                <w:color w:val="auto"/>
                <w:sz w:val="24"/>
                <w:szCs w:val="24"/>
              </w:rPr>
            </w:pPr>
          </w:p>
        </w:tc>
      </w:tr>
      <w:tr w14:paraId="6899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01" w:type="pct"/>
            <w:noWrap w:val="0"/>
            <w:vAlign w:val="center"/>
          </w:tcPr>
          <w:p w14:paraId="317FFE5D">
            <w:pPr>
              <w:autoSpaceDE w:val="0"/>
              <w:autoSpaceDN w:val="0"/>
              <w:adjustRightInd w:val="0"/>
              <w:jc w:val="center"/>
              <w:rPr>
                <w:rFonts w:hint="default" w:ascii="Times New Roman" w:hAnsi="Times New Roman" w:eastAsia="宋体" w:cs="Times New Roman"/>
                <w:bCs/>
                <w:color w:val="auto"/>
                <w:kern w:val="0"/>
                <w:sz w:val="24"/>
                <w:szCs w:val="24"/>
                <w:lang w:val="en-US" w:eastAsia="zh-CN"/>
              </w:rPr>
            </w:pPr>
            <w:r>
              <w:rPr>
                <w:rFonts w:hint="eastAsia" w:ascii="Times New Roman" w:hAnsi="Times New Roman" w:eastAsia="宋体" w:cs="Times New Roman"/>
                <w:bCs/>
                <w:color w:val="auto"/>
                <w:kern w:val="0"/>
                <w:sz w:val="24"/>
                <w:szCs w:val="24"/>
                <w:lang w:val="en-US" w:eastAsia="zh-CN"/>
              </w:rPr>
              <w:t>3</w:t>
            </w:r>
          </w:p>
        </w:tc>
        <w:tc>
          <w:tcPr>
            <w:tcW w:w="450" w:type="pct"/>
            <w:noWrap w:val="0"/>
            <w:vAlign w:val="center"/>
          </w:tcPr>
          <w:p w14:paraId="1DE41852">
            <w:pPr>
              <w:widowControl/>
              <w:autoSpaceDE w:val="0"/>
              <w:autoSpaceDN w:val="0"/>
              <w:adjustRightInd w:val="0"/>
              <w:jc w:val="left"/>
              <w:rPr>
                <w:rFonts w:ascii="Calibri" w:hAnsi="宋体" w:eastAsia="宋体" w:cs="Times New Roman"/>
                <w:color w:val="auto"/>
                <w:kern w:val="0"/>
                <w:sz w:val="24"/>
                <w:szCs w:val="24"/>
              </w:rPr>
            </w:pPr>
            <w:r>
              <w:rPr>
                <w:rFonts w:hint="eastAsia" w:ascii="Calibri" w:hAnsi="宋体" w:eastAsia="宋体" w:cs="Times New Roman"/>
                <w:color w:val="auto"/>
                <w:kern w:val="0"/>
                <w:sz w:val="24"/>
                <w:szCs w:val="24"/>
              </w:rPr>
              <w:t>医用防护口罩</w:t>
            </w:r>
          </w:p>
        </w:tc>
        <w:tc>
          <w:tcPr>
            <w:tcW w:w="3411" w:type="pct"/>
            <w:noWrap w:val="0"/>
            <w:vAlign w:val="center"/>
          </w:tcPr>
          <w:p w14:paraId="0945307A">
            <w:pPr>
              <w:widowControl/>
              <w:autoSpaceDE w:val="0"/>
              <w:autoSpaceDN w:val="0"/>
              <w:adjustRightInd w:val="0"/>
              <w:jc w:val="left"/>
              <w:rPr>
                <w:rFonts w:hint="eastAsia" w:ascii="Calibri" w:hAnsi="宋体" w:eastAsia="宋体" w:cs="Times New Roman"/>
                <w:color w:val="auto"/>
                <w:kern w:val="0"/>
                <w:sz w:val="24"/>
                <w:szCs w:val="24"/>
              </w:rPr>
            </w:pPr>
            <w:r>
              <w:rPr>
                <w:rFonts w:hint="eastAsia" w:ascii="Calibri" w:hAnsi="宋体" w:eastAsia="宋体" w:cs="Times New Roman"/>
                <w:color w:val="auto"/>
                <w:kern w:val="0"/>
                <w:sz w:val="24"/>
                <w:szCs w:val="24"/>
              </w:rPr>
              <w:t>★1</w:t>
            </w:r>
            <w:r>
              <w:rPr>
                <w:rFonts w:hint="default" w:ascii="Calibri" w:hAnsi="宋体" w:eastAsia="宋体" w:cs="Times New Roman"/>
                <w:color w:val="auto"/>
                <w:kern w:val="0"/>
                <w:sz w:val="24"/>
                <w:szCs w:val="24"/>
                <w:lang w:val="en-US"/>
              </w:rPr>
              <w:t xml:space="preserve">. </w:t>
            </w:r>
            <w:r>
              <w:rPr>
                <w:rFonts w:hint="eastAsia" w:ascii="Calibri" w:hAnsi="宋体" w:eastAsia="宋体" w:cs="Times New Roman"/>
                <w:color w:val="auto"/>
                <w:kern w:val="0"/>
                <w:sz w:val="24"/>
                <w:szCs w:val="24"/>
                <w:lang w:val="en-US" w:eastAsia="zh-CN"/>
              </w:rPr>
              <w:t>K</w:t>
            </w:r>
            <w:r>
              <w:rPr>
                <w:rFonts w:hint="eastAsia" w:ascii="Calibri" w:hAnsi="宋体" w:eastAsia="宋体" w:cs="Times New Roman"/>
                <w:color w:val="auto"/>
                <w:kern w:val="0"/>
                <w:sz w:val="24"/>
                <w:szCs w:val="24"/>
              </w:rPr>
              <w:t>N95型，适用于职业性医护人员的呼吸防护，防护某些致病微生物颗粒（如病毒、细菌、霉菌、碳疽杆菌、 结核杆菌等）及非油性细微粉尘</w:t>
            </w:r>
            <w:r>
              <w:rPr>
                <w:rFonts w:hint="eastAsia" w:ascii="Calibri" w:hAnsi="宋体" w:eastAsia="宋体" w:cs="Times New Roman"/>
                <w:color w:val="auto"/>
                <w:kern w:val="0"/>
                <w:sz w:val="24"/>
                <w:szCs w:val="24"/>
                <w:lang w:eastAsia="zh-CN"/>
              </w:rPr>
              <w:t>（</w:t>
            </w:r>
            <w:r>
              <w:rPr>
                <w:rFonts w:hint="eastAsia" w:ascii="Times New Roman" w:hAnsi="Times New Roman" w:eastAsia="宋体" w:cs="Times New Roman"/>
                <w:b/>
                <w:bCs/>
                <w:color w:val="auto"/>
                <w:sz w:val="24"/>
                <w:szCs w:val="24"/>
                <w:lang w:val="en-US" w:eastAsia="zh-CN"/>
              </w:rPr>
              <w:t>投标文件中提供第三方检测机构出具的 CMA 标</w:t>
            </w:r>
            <w:r>
              <w:rPr>
                <w:rFonts w:hint="eastAsia" w:ascii="Calibri" w:hAnsi="Calibri" w:eastAsia="宋体" w:cs="Times New Roman"/>
                <w:b/>
                <w:bCs/>
                <w:color w:val="auto"/>
                <w:sz w:val="24"/>
                <w:szCs w:val="24"/>
              </w:rPr>
              <w:t>识</w:t>
            </w:r>
            <w:r>
              <w:rPr>
                <w:rFonts w:hint="eastAsia" w:ascii="Times New Roman" w:hAnsi="Times New Roman" w:eastAsia="宋体" w:cs="Times New Roman"/>
                <w:b/>
                <w:bCs/>
                <w:color w:val="auto"/>
                <w:sz w:val="24"/>
                <w:szCs w:val="24"/>
                <w:lang w:val="en-US" w:eastAsia="zh-CN"/>
              </w:rPr>
              <w:t>检测报告</w:t>
            </w:r>
            <w:r>
              <w:rPr>
                <w:rFonts w:hint="eastAsia" w:ascii="Calibri" w:hAnsi="宋体" w:eastAsia="宋体" w:cs="Times New Roman"/>
                <w:color w:val="auto"/>
                <w:kern w:val="0"/>
                <w:sz w:val="24"/>
                <w:szCs w:val="24"/>
                <w:lang w:eastAsia="zh-CN"/>
              </w:rPr>
              <w:t>）</w:t>
            </w:r>
            <w:r>
              <w:rPr>
                <w:rFonts w:hint="eastAsia" w:ascii="Calibri" w:hAnsi="宋体" w:eastAsia="宋体" w:cs="Times New Roman"/>
                <w:color w:val="auto"/>
                <w:kern w:val="0"/>
                <w:sz w:val="24"/>
                <w:szCs w:val="24"/>
              </w:rPr>
              <w:t>；</w:t>
            </w:r>
          </w:p>
          <w:p w14:paraId="1FA48915">
            <w:pPr>
              <w:widowControl/>
              <w:autoSpaceDE w:val="0"/>
              <w:autoSpaceDN w:val="0"/>
              <w:adjustRightInd w:val="0"/>
              <w:jc w:val="left"/>
              <w:rPr>
                <w:rFonts w:hint="eastAsia" w:ascii="Calibri" w:hAnsi="宋体" w:eastAsia="宋体" w:cs="Times New Roman"/>
                <w:color w:val="auto"/>
                <w:kern w:val="0"/>
                <w:sz w:val="24"/>
                <w:szCs w:val="24"/>
              </w:rPr>
            </w:pPr>
            <w:r>
              <w:rPr>
                <w:rFonts w:hint="eastAsia" w:ascii="Calibri" w:hAnsi="宋体" w:eastAsia="宋体" w:cs="Times New Roman"/>
                <w:color w:val="auto"/>
                <w:kern w:val="0"/>
                <w:sz w:val="24"/>
                <w:szCs w:val="24"/>
              </w:rPr>
              <w:t>★2．符合GB19083-2010标准</w:t>
            </w:r>
            <w:r>
              <w:rPr>
                <w:rFonts w:hint="eastAsia" w:ascii="Times New Roman" w:hAnsi="宋体" w:eastAsia="宋体" w:cs="Times New Roman"/>
                <w:b/>
                <w:bCs/>
                <w:color w:val="auto"/>
                <w:kern w:val="0"/>
                <w:sz w:val="24"/>
                <w:szCs w:val="24"/>
              </w:rPr>
              <w:t>（投标文件中提供第三方出具的具有CMA标识的检测报告）</w:t>
            </w:r>
            <w:r>
              <w:rPr>
                <w:rFonts w:hint="eastAsia" w:ascii="Calibri" w:hAnsi="宋体" w:eastAsia="宋体" w:cs="Times New Roman"/>
                <w:color w:val="auto"/>
                <w:kern w:val="0"/>
                <w:sz w:val="24"/>
                <w:szCs w:val="24"/>
              </w:rPr>
              <w:t>；</w:t>
            </w:r>
          </w:p>
          <w:p w14:paraId="08356175">
            <w:pPr>
              <w:widowControl/>
              <w:autoSpaceDE w:val="0"/>
              <w:autoSpaceDN w:val="0"/>
              <w:adjustRightInd w:val="0"/>
              <w:jc w:val="left"/>
              <w:rPr>
                <w:rFonts w:hint="eastAsia" w:ascii="Calibri" w:hAnsi="宋体" w:eastAsia="宋体" w:cs="Times New Roman"/>
                <w:color w:val="auto"/>
                <w:kern w:val="0"/>
                <w:sz w:val="24"/>
                <w:szCs w:val="24"/>
              </w:rPr>
            </w:pPr>
            <w:r>
              <w:rPr>
                <w:rFonts w:hint="eastAsia" w:ascii="Calibri" w:hAnsi="宋体" w:eastAsia="宋体" w:cs="Times New Roman"/>
                <w:color w:val="auto"/>
                <w:kern w:val="0"/>
                <w:sz w:val="24"/>
                <w:szCs w:val="24"/>
              </w:rPr>
              <w:t>3.折叠耳带式，可弯折的鼻夹，防水防渗；</w:t>
            </w:r>
          </w:p>
          <w:p w14:paraId="6146B087">
            <w:pPr>
              <w:widowControl/>
              <w:autoSpaceDE w:val="0"/>
              <w:autoSpaceDN w:val="0"/>
              <w:adjustRightInd w:val="0"/>
              <w:jc w:val="left"/>
              <w:rPr>
                <w:rFonts w:hint="eastAsia" w:ascii="Calibri" w:hAnsi="宋体" w:eastAsia="宋体" w:cs="Times New Roman"/>
                <w:color w:val="auto"/>
                <w:kern w:val="0"/>
                <w:sz w:val="24"/>
                <w:szCs w:val="24"/>
                <w:lang w:val="en-US" w:eastAsia="zh-CN"/>
              </w:rPr>
            </w:pPr>
            <w:r>
              <w:rPr>
                <w:rFonts w:hint="eastAsia" w:ascii="Calibri" w:hAnsi="宋体" w:eastAsia="宋体" w:cs="Times New Roman"/>
                <w:color w:val="auto"/>
                <w:kern w:val="0"/>
                <w:sz w:val="24"/>
                <w:szCs w:val="24"/>
              </w:rPr>
              <w:t>4.独立包装</w:t>
            </w:r>
            <w:r>
              <w:rPr>
                <w:rFonts w:hint="eastAsia" w:ascii="Calibri" w:hAnsi="宋体" w:eastAsia="宋体" w:cs="Times New Roman"/>
                <w:color w:val="auto"/>
                <w:kern w:val="0"/>
                <w:sz w:val="24"/>
                <w:szCs w:val="24"/>
                <w:lang w:eastAsia="zh-CN"/>
              </w:rPr>
              <w:t>。</w:t>
            </w:r>
          </w:p>
        </w:tc>
        <w:tc>
          <w:tcPr>
            <w:tcW w:w="395" w:type="pct"/>
            <w:noWrap w:val="0"/>
            <w:vAlign w:val="center"/>
          </w:tcPr>
          <w:p w14:paraId="3487ADE9">
            <w:pPr>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3</w:t>
            </w:r>
            <w:r>
              <w:rPr>
                <w:rFonts w:hint="eastAsia" w:ascii="宋体" w:hAnsi="宋体" w:eastAsia="宋体" w:cs="Times New Roman"/>
                <w:color w:val="auto"/>
                <w:sz w:val="24"/>
                <w:szCs w:val="24"/>
                <w:lang w:val="en-US" w:eastAsia="zh-CN"/>
              </w:rPr>
              <w:t>0</w:t>
            </w:r>
            <w:r>
              <w:rPr>
                <w:rFonts w:hint="default" w:ascii="宋体" w:hAnsi="宋体" w:eastAsia="宋体" w:cs="Times New Roman"/>
                <w:color w:val="auto"/>
                <w:sz w:val="24"/>
                <w:szCs w:val="24"/>
                <w:lang w:val="en-US" w:eastAsia="zh-CN"/>
              </w:rPr>
              <w:t>00</w:t>
            </w:r>
            <w:r>
              <w:rPr>
                <w:rFonts w:hint="eastAsia" w:ascii="宋体" w:hAnsi="宋体" w:eastAsia="宋体" w:cs="Times New Roman"/>
                <w:color w:val="auto"/>
                <w:sz w:val="24"/>
                <w:szCs w:val="24"/>
                <w:lang w:val="en-US" w:eastAsia="zh-CN"/>
              </w:rPr>
              <w:t>个</w:t>
            </w:r>
          </w:p>
        </w:tc>
        <w:tc>
          <w:tcPr>
            <w:tcW w:w="441" w:type="pct"/>
            <w:vMerge w:val="continue"/>
            <w:noWrap w:val="0"/>
            <w:vAlign w:val="top"/>
          </w:tcPr>
          <w:p w14:paraId="52853FB0">
            <w:pPr>
              <w:autoSpaceDE w:val="0"/>
              <w:autoSpaceDN w:val="0"/>
              <w:adjustRightInd w:val="0"/>
              <w:jc w:val="left"/>
              <w:rPr>
                <w:rFonts w:ascii="Calibri" w:hAnsi="Calibri" w:eastAsia="宋体" w:cs="Times New Roman"/>
                <w:color w:val="auto"/>
                <w:sz w:val="24"/>
                <w:szCs w:val="24"/>
              </w:rPr>
            </w:pPr>
          </w:p>
        </w:tc>
      </w:tr>
      <w:tr w14:paraId="39CF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01" w:type="pct"/>
            <w:noWrap w:val="0"/>
            <w:vAlign w:val="center"/>
          </w:tcPr>
          <w:p w14:paraId="7C8E9B35">
            <w:pPr>
              <w:autoSpaceDE w:val="0"/>
              <w:autoSpaceDN w:val="0"/>
              <w:adjustRightInd w:val="0"/>
              <w:jc w:val="center"/>
              <w:rPr>
                <w:rFonts w:hint="default" w:ascii="Times New Roman" w:hAnsi="Times New Roman" w:eastAsia="宋体" w:cs="Times New Roman"/>
                <w:bCs/>
                <w:color w:val="auto"/>
                <w:kern w:val="0"/>
                <w:sz w:val="24"/>
                <w:szCs w:val="24"/>
                <w:lang w:val="en-US" w:eastAsia="zh-CN"/>
              </w:rPr>
            </w:pPr>
            <w:r>
              <w:rPr>
                <w:rFonts w:hint="eastAsia" w:ascii="Times New Roman" w:hAnsi="Times New Roman" w:eastAsia="宋体" w:cs="Times New Roman"/>
                <w:bCs/>
                <w:color w:val="auto"/>
                <w:kern w:val="0"/>
                <w:sz w:val="24"/>
                <w:szCs w:val="24"/>
                <w:lang w:val="en-US" w:eastAsia="zh-CN"/>
              </w:rPr>
              <w:t>4</w:t>
            </w:r>
          </w:p>
        </w:tc>
        <w:tc>
          <w:tcPr>
            <w:tcW w:w="450" w:type="pct"/>
            <w:noWrap w:val="0"/>
            <w:vAlign w:val="top"/>
          </w:tcPr>
          <w:p w14:paraId="61C4E847">
            <w:pPr>
              <w:widowControl/>
              <w:autoSpaceDE w:val="0"/>
              <w:autoSpaceDN w:val="0"/>
              <w:adjustRightInd w:val="0"/>
              <w:jc w:val="left"/>
              <w:rPr>
                <w:rFonts w:hint="eastAsia" w:ascii="Calibri" w:hAnsi="宋体" w:eastAsia="宋体" w:cs="Times New Roman"/>
                <w:color w:val="auto"/>
                <w:kern w:val="0"/>
                <w:sz w:val="24"/>
                <w:szCs w:val="24"/>
              </w:rPr>
            </w:pPr>
            <w:r>
              <w:rPr>
                <w:rFonts w:hint="eastAsia" w:ascii="Calibri" w:hAnsi="宋体" w:eastAsia="宋体" w:cs="Times New Roman"/>
                <w:color w:val="auto"/>
                <w:kern w:val="0"/>
                <w:sz w:val="24"/>
                <w:szCs w:val="24"/>
              </w:rPr>
              <w:t>一次性丁腈手套</w:t>
            </w:r>
          </w:p>
        </w:tc>
        <w:tc>
          <w:tcPr>
            <w:tcW w:w="3411" w:type="pct"/>
            <w:noWrap w:val="0"/>
            <w:vAlign w:val="center"/>
          </w:tcPr>
          <w:p w14:paraId="50965601">
            <w:pPr>
              <w:widowControl/>
              <w:autoSpaceDE w:val="0"/>
              <w:autoSpaceDN w:val="0"/>
              <w:adjustRightInd w:val="0"/>
              <w:jc w:val="left"/>
              <w:rPr>
                <w:rFonts w:hint="eastAsia" w:ascii="Calibri" w:hAnsi="宋体" w:eastAsia="宋体" w:cs="Times New Roman"/>
                <w:color w:val="auto"/>
                <w:kern w:val="0"/>
                <w:sz w:val="24"/>
                <w:szCs w:val="24"/>
              </w:rPr>
            </w:pPr>
            <w:r>
              <w:rPr>
                <w:rFonts w:hint="eastAsia" w:ascii="Calibri" w:hAnsi="宋体" w:eastAsia="宋体" w:cs="Times New Roman"/>
                <w:color w:val="auto"/>
                <w:kern w:val="0"/>
                <w:sz w:val="24"/>
                <w:szCs w:val="24"/>
              </w:rPr>
              <w:t>★1.手套为9寸</w:t>
            </w:r>
            <w:r>
              <w:rPr>
                <w:rFonts w:hint="eastAsia" w:ascii="Times New Roman" w:hAnsi="宋体" w:eastAsia="宋体" w:cs="Times New Roman"/>
                <w:b/>
                <w:bCs/>
                <w:color w:val="auto"/>
                <w:kern w:val="0"/>
                <w:sz w:val="24"/>
                <w:szCs w:val="24"/>
              </w:rPr>
              <w:t>（投标文件中提供产品彩页</w:t>
            </w:r>
            <w:r>
              <w:rPr>
                <w:rFonts w:hint="eastAsia" w:ascii="Times New Roman" w:hAnsi="宋体" w:eastAsia="宋体" w:cs="Times New Roman"/>
                <w:b/>
                <w:bCs/>
                <w:color w:val="auto"/>
                <w:kern w:val="0"/>
                <w:sz w:val="24"/>
                <w:szCs w:val="24"/>
                <w:lang w:val="en-US" w:eastAsia="zh-CN"/>
              </w:rPr>
              <w:t>或产品说明书</w:t>
            </w:r>
            <w:r>
              <w:rPr>
                <w:rFonts w:hint="eastAsia" w:ascii="Times New Roman" w:hAnsi="宋体" w:eastAsia="宋体" w:cs="Times New Roman"/>
                <w:b/>
                <w:bCs/>
                <w:color w:val="auto"/>
                <w:kern w:val="0"/>
                <w:sz w:val="24"/>
                <w:szCs w:val="24"/>
                <w:lang w:eastAsia="zh-CN"/>
              </w:rPr>
              <w:t>（</w:t>
            </w:r>
            <w:r>
              <w:rPr>
                <w:rFonts w:hint="eastAsia" w:ascii="Times New Roman" w:hAnsi="宋体" w:eastAsia="宋体" w:cs="Times New Roman"/>
                <w:b/>
                <w:bCs/>
                <w:color w:val="auto"/>
                <w:kern w:val="0"/>
                <w:sz w:val="24"/>
                <w:szCs w:val="24"/>
              </w:rPr>
              <w:t>原厂盖章</w:t>
            </w:r>
            <w:r>
              <w:rPr>
                <w:rFonts w:hint="eastAsia" w:ascii="Times New Roman" w:hAnsi="宋体" w:eastAsia="宋体" w:cs="Times New Roman"/>
                <w:b/>
                <w:bCs/>
                <w:color w:val="auto"/>
                <w:kern w:val="0"/>
                <w:sz w:val="24"/>
                <w:szCs w:val="24"/>
                <w:lang w:eastAsia="zh-CN"/>
              </w:rPr>
              <w:t>）</w:t>
            </w:r>
            <w:r>
              <w:rPr>
                <w:rFonts w:hint="eastAsia" w:ascii="Times New Roman" w:hAnsi="宋体" w:eastAsia="宋体" w:cs="Times New Roman"/>
                <w:b/>
                <w:bCs/>
                <w:color w:val="auto"/>
                <w:kern w:val="0"/>
                <w:sz w:val="24"/>
                <w:szCs w:val="24"/>
              </w:rPr>
              <w:t>或第三方出具的具有CMA标识的检测报告）</w:t>
            </w:r>
            <w:r>
              <w:rPr>
                <w:rFonts w:hint="eastAsia" w:ascii="Calibri" w:hAnsi="宋体" w:eastAsia="宋体" w:cs="Times New Roman"/>
                <w:color w:val="auto"/>
                <w:kern w:val="0"/>
                <w:sz w:val="24"/>
                <w:szCs w:val="24"/>
              </w:rPr>
              <w:t>；</w:t>
            </w:r>
          </w:p>
          <w:p w14:paraId="5E97F8A7">
            <w:pPr>
              <w:widowControl/>
              <w:autoSpaceDE w:val="0"/>
              <w:autoSpaceDN w:val="0"/>
              <w:adjustRightInd w:val="0"/>
              <w:jc w:val="left"/>
              <w:rPr>
                <w:rFonts w:hint="eastAsia" w:ascii="Calibri" w:hAnsi="宋体" w:eastAsia="宋体" w:cs="Times New Roman"/>
                <w:color w:val="auto"/>
                <w:kern w:val="0"/>
                <w:sz w:val="24"/>
                <w:szCs w:val="24"/>
              </w:rPr>
            </w:pPr>
            <w:r>
              <w:rPr>
                <w:rFonts w:hint="eastAsia" w:ascii="Calibri" w:hAnsi="宋体" w:eastAsia="宋体" w:cs="Times New Roman"/>
                <w:color w:val="auto"/>
                <w:kern w:val="0"/>
                <w:sz w:val="24"/>
                <w:szCs w:val="24"/>
              </w:rPr>
              <w:t>★2.厚度：0.008mm-0.09mm</w:t>
            </w:r>
            <w:r>
              <w:rPr>
                <w:rFonts w:hint="eastAsia" w:ascii="Times New Roman" w:hAnsi="宋体" w:eastAsia="宋体" w:cs="Times New Roman"/>
                <w:b/>
                <w:bCs/>
                <w:color w:val="auto"/>
                <w:kern w:val="0"/>
                <w:sz w:val="24"/>
                <w:szCs w:val="24"/>
              </w:rPr>
              <w:t>（投标文件中提供产品彩页</w:t>
            </w:r>
            <w:r>
              <w:rPr>
                <w:rFonts w:hint="eastAsia" w:ascii="Times New Roman" w:hAnsi="宋体" w:eastAsia="宋体" w:cs="Times New Roman"/>
                <w:b/>
                <w:bCs/>
                <w:color w:val="auto"/>
                <w:kern w:val="0"/>
                <w:sz w:val="24"/>
                <w:szCs w:val="24"/>
                <w:lang w:val="en-US" w:eastAsia="zh-CN"/>
              </w:rPr>
              <w:t>或产品说明书</w:t>
            </w:r>
            <w:r>
              <w:rPr>
                <w:rFonts w:hint="eastAsia" w:ascii="Times New Roman" w:hAnsi="宋体" w:eastAsia="宋体" w:cs="Times New Roman"/>
                <w:b/>
                <w:bCs/>
                <w:color w:val="auto"/>
                <w:kern w:val="0"/>
                <w:sz w:val="24"/>
                <w:szCs w:val="24"/>
                <w:lang w:eastAsia="zh-CN"/>
              </w:rPr>
              <w:t>（</w:t>
            </w:r>
            <w:r>
              <w:rPr>
                <w:rFonts w:hint="eastAsia" w:ascii="Times New Roman" w:hAnsi="宋体" w:eastAsia="宋体" w:cs="Times New Roman"/>
                <w:b/>
                <w:bCs/>
                <w:color w:val="auto"/>
                <w:kern w:val="0"/>
                <w:sz w:val="24"/>
                <w:szCs w:val="24"/>
              </w:rPr>
              <w:t>原厂盖章</w:t>
            </w:r>
            <w:r>
              <w:rPr>
                <w:rFonts w:hint="eastAsia" w:ascii="Times New Roman" w:hAnsi="宋体" w:eastAsia="宋体" w:cs="Times New Roman"/>
                <w:b/>
                <w:bCs/>
                <w:color w:val="auto"/>
                <w:kern w:val="0"/>
                <w:sz w:val="24"/>
                <w:szCs w:val="24"/>
                <w:lang w:eastAsia="zh-CN"/>
              </w:rPr>
              <w:t>）</w:t>
            </w:r>
            <w:r>
              <w:rPr>
                <w:rFonts w:hint="eastAsia" w:ascii="Times New Roman" w:hAnsi="宋体" w:eastAsia="宋体" w:cs="Times New Roman"/>
                <w:b/>
                <w:bCs/>
                <w:color w:val="auto"/>
                <w:kern w:val="0"/>
                <w:sz w:val="24"/>
                <w:szCs w:val="24"/>
              </w:rPr>
              <w:t>或第三方出具的具有CMA标识的检测报告）</w:t>
            </w:r>
            <w:r>
              <w:rPr>
                <w:rFonts w:hint="eastAsia" w:ascii="Calibri" w:hAnsi="宋体" w:eastAsia="宋体" w:cs="Times New Roman"/>
                <w:color w:val="auto"/>
                <w:kern w:val="0"/>
                <w:sz w:val="24"/>
                <w:szCs w:val="24"/>
              </w:rPr>
              <w:t>；</w:t>
            </w:r>
          </w:p>
          <w:p w14:paraId="563B8F25">
            <w:pPr>
              <w:widowControl/>
              <w:autoSpaceDE w:val="0"/>
              <w:autoSpaceDN w:val="0"/>
              <w:adjustRightInd w:val="0"/>
              <w:jc w:val="left"/>
              <w:rPr>
                <w:rFonts w:hint="eastAsia" w:ascii="Calibri" w:hAnsi="宋体" w:eastAsia="宋体" w:cs="Times New Roman"/>
                <w:color w:val="auto"/>
                <w:kern w:val="0"/>
                <w:sz w:val="24"/>
                <w:szCs w:val="24"/>
              </w:rPr>
            </w:pPr>
            <w:r>
              <w:rPr>
                <w:rFonts w:hint="eastAsia" w:ascii="Calibri" w:hAnsi="宋体" w:eastAsia="宋体" w:cs="Times New Roman"/>
                <w:color w:val="auto"/>
                <w:kern w:val="0"/>
                <w:sz w:val="24"/>
                <w:szCs w:val="24"/>
              </w:rPr>
              <w:t>3.包装规格：50只/盒；</w:t>
            </w:r>
          </w:p>
          <w:p w14:paraId="25D2429A">
            <w:pPr>
              <w:widowControl/>
              <w:autoSpaceDE w:val="0"/>
              <w:autoSpaceDN w:val="0"/>
              <w:adjustRightInd w:val="0"/>
              <w:jc w:val="left"/>
              <w:rPr>
                <w:rFonts w:hint="eastAsia" w:ascii="Calibri" w:hAnsi="宋体" w:eastAsia="宋体" w:cs="Times New Roman"/>
                <w:color w:val="auto"/>
                <w:kern w:val="0"/>
                <w:sz w:val="24"/>
                <w:szCs w:val="24"/>
              </w:rPr>
            </w:pPr>
            <w:r>
              <w:rPr>
                <w:rFonts w:hint="eastAsia" w:ascii="Calibri" w:hAnsi="宋体" w:eastAsia="宋体" w:cs="Times New Roman"/>
                <w:color w:val="auto"/>
                <w:kern w:val="0"/>
                <w:sz w:val="24"/>
                <w:szCs w:val="24"/>
              </w:rPr>
              <w:t>4.耐弱酸碱</w:t>
            </w:r>
            <w:r>
              <w:rPr>
                <w:rFonts w:hint="eastAsia" w:ascii="Calibri" w:hAnsi="宋体" w:eastAsia="宋体" w:cs="Times New Roman"/>
                <w:color w:val="auto"/>
                <w:kern w:val="0"/>
                <w:sz w:val="24"/>
                <w:szCs w:val="24"/>
                <w:lang w:eastAsia="zh-CN"/>
              </w:rPr>
              <w:t>。</w:t>
            </w:r>
          </w:p>
        </w:tc>
        <w:tc>
          <w:tcPr>
            <w:tcW w:w="395" w:type="pct"/>
            <w:noWrap w:val="0"/>
            <w:vAlign w:val="center"/>
          </w:tcPr>
          <w:p w14:paraId="5595BDAB">
            <w:pPr>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3500双</w:t>
            </w:r>
          </w:p>
        </w:tc>
        <w:tc>
          <w:tcPr>
            <w:tcW w:w="441" w:type="pct"/>
            <w:vMerge w:val="continue"/>
            <w:noWrap w:val="0"/>
            <w:vAlign w:val="top"/>
          </w:tcPr>
          <w:p w14:paraId="72B02644">
            <w:pPr>
              <w:autoSpaceDE w:val="0"/>
              <w:autoSpaceDN w:val="0"/>
              <w:adjustRightInd w:val="0"/>
              <w:jc w:val="left"/>
              <w:rPr>
                <w:rFonts w:ascii="Calibri" w:hAnsi="Calibri" w:eastAsia="宋体" w:cs="Times New Roman"/>
                <w:color w:val="auto"/>
                <w:sz w:val="24"/>
                <w:szCs w:val="24"/>
              </w:rPr>
            </w:pPr>
          </w:p>
        </w:tc>
      </w:tr>
    </w:tbl>
    <w:p w14:paraId="214D1295">
      <w:pPr>
        <w:spacing w:line="360" w:lineRule="auto"/>
        <w:ind w:firstLine="437"/>
        <w:outlineLvl w:val="1"/>
        <w:rPr>
          <w:rFonts w:hint="eastAsia" w:ascii="宋体" w:hAnsi="宋体" w:eastAsia="宋体"/>
          <w:b/>
          <w:color w:val="auto"/>
          <w:sz w:val="24"/>
          <w:szCs w:val="18"/>
          <w:highlight w:val="none"/>
        </w:rPr>
      </w:pPr>
      <w:bookmarkStart w:id="4" w:name="_Toc7421"/>
      <w:bookmarkStart w:id="5" w:name="_Toc4843"/>
      <w:r>
        <w:rPr>
          <w:rFonts w:hint="eastAsia" w:ascii="宋体" w:hAnsi="宋体" w:eastAsia="宋体"/>
          <w:b/>
          <w:color w:val="auto"/>
          <w:sz w:val="24"/>
          <w:szCs w:val="18"/>
          <w:highlight w:val="none"/>
        </w:rPr>
        <w:t>三、报价要求</w:t>
      </w:r>
      <w:bookmarkEnd w:id="4"/>
      <w:bookmarkEnd w:id="5"/>
    </w:p>
    <w:p w14:paraId="29509DA3">
      <w:pPr>
        <w:spacing w:line="360" w:lineRule="auto"/>
        <w:ind w:firstLine="43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本项目报总价，投标报价包括本项目需求的全部货物及所需附件购置费、包装费、运输费、人工费、保险费</w:t>
      </w:r>
      <w:r>
        <w:rPr>
          <w:rFonts w:hint="default"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lang w:val="en-US" w:eastAsia="zh-CN"/>
        </w:rPr>
        <w:t>如有</w:t>
      </w:r>
      <w:r>
        <w:rPr>
          <w:rFonts w:hint="default"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安装调试费、各种税费、资料费、售后服务费及完成项目应有的全部费用。所有优惠均体现在投标报价中，额外标明或承诺提供其他费用或物品均不予认可，采购人后期不追加任何费用，请投标人根据自身及项目实际情况谨慎报价。</w:t>
      </w:r>
    </w:p>
    <w:p w14:paraId="6B2B8AB7">
      <w:pPr>
        <w:spacing w:line="360" w:lineRule="auto"/>
        <w:ind w:firstLine="437"/>
        <w:outlineLvl w:val="1"/>
        <w:rPr>
          <w:rFonts w:hint="default" w:ascii="宋体" w:hAnsi="宋体" w:eastAsia="宋体"/>
          <w:b/>
          <w:color w:val="auto"/>
          <w:sz w:val="24"/>
          <w:szCs w:val="18"/>
          <w:highlight w:val="none"/>
        </w:rPr>
      </w:pPr>
      <w:r>
        <w:rPr>
          <w:rFonts w:hint="default" w:ascii="宋体" w:hAnsi="宋体" w:eastAsia="宋体"/>
          <w:b/>
          <w:color w:val="auto"/>
          <w:sz w:val="24"/>
          <w:szCs w:val="18"/>
          <w:highlight w:val="none"/>
        </w:rPr>
        <w:t>四、备品备件及专用工具</w:t>
      </w:r>
    </w:p>
    <w:p w14:paraId="79A464DA">
      <w:pPr>
        <w:spacing w:line="360" w:lineRule="auto"/>
        <w:ind w:firstLine="435"/>
        <w:rPr>
          <w:rFonts w:hint="default" w:ascii="宋体" w:hAnsi="宋体" w:eastAsia="宋体" w:cs="宋体"/>
          <w:color w:val="auto"/>
          <w:sz w:val="24"/>
          <w:szCs w:val="24"/>
          <w:highlight w:val="none"/>
        </w:rPr>
      </w:pPr>
      <w:bookmarkStart w:id="6" w:name="_Toc455587277"/>
      <w:bookmarkStart w:id="7" w:name="_Toc445554752"/>
      <w:bookmarkStart w:id="8" w:name="_Toc455587093"/>
      <w:r>
        <w:rPr>
          <w:rFonts w:hint="default" w:ascii="宋体" w:hAnsi="宋体" w:eastAsia="宋体" w:cs="宋体"/>
          <w:color w:val="auto"/>
          <w:sz w:val="24"/>
          <w:szCs w:val="24"/>
          <w:highlight w:val="none"/>
        </w:rPr>
        <w:t>1</w:t>
      </w:r>
      <w:r>
        <w:rPr>
          <w:rFonts w:hint="default"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rPr>
        <w:t>备品备件：中标人提供能够满足质量保证期内的</w:t>
      </w:r>
      <w:r>
        <w:rPr>
          <w:rFonts w:hint="eastAsia" w:ascii="宋体" w:hAnsi="宋体" w:eastAsia="宋体" w:cs="宋体"/>
          <w:color w:val="auto"/>
          <w:sz w:val="24"/>
          <w:szCs w:val="24"/>
          <w:highlight w:val="none"/>
          <w:lang w:val="en-US" w:eastAsia="zh-CN"/>
        </w:rPr>
        <w:t>产品</w:t>
      </w:r>
      <w:r>
        <w:rPr>
          <w:rFonts w:hint="default" w:ascii="宋体" w:hAnsi="宋体" w:eastAsia="宋体" w:cs="宋体"/>
          <w:color w:val="auto"/>
          <w:sz w:val="24"/>
          <w:szCs w:val="24"/>
          <w:highlight w:val="none"/>
        </w:rPr>
        <w:t>维修要求的备品备件，备品备件应是新品。</w:t>
      </w:r>
    </w:p>
    <w:p w14:paraId="1352C24F">
      <w:pPr>
        <w:spacing w:line="360" w:lineRule="auto"/>
        <w:ind w:firstLine="43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w:t>
      </w:r>
      <w:r>
        <w:rPr>
          <w:rFonts w:hint="default"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rPr>
        <w:t>专用工具：中标人提供</w:t>
      </w:r>
      <w:r>
        <w:rPr>
          <w:rFonts w:hint="eastAsia" w:ascii="宋体" w:hAnsi="宋体" w:eastAsia="宋体" w:cs="宋体"/>
          <w:color w:val="auto"/>
          <w:sz w:val="24"/>
          <w:szCs w:val="24"/>
          <w:highlight w:val="none"/>
          <w:lang w:val="en-US" w:eastAsia="zh-CN"/>
        </w:rPr>
        <w:t>产品</w:t>
      </w:r>
      <w:r>
        <w:rPr>
          <w:rFonts w:hint="default" w:ascii="宋体" w:hAnsi="宋体" w:eastAsia="宋体" w:cs="宋体"/>
          <w:color w:val="auto"/>
          <w:sz w:val="24"/>
          <w:szCs w:val="24"/>
          <w:highlight w:val="none"/>
        </w:rPr>
        <w:t>安装、调试、验收、维修、保养所必要的专用工具、仪器、仪表等工具。</w:t>
      </w:r>
    </w:p>
    <w:bookmarkEnd w:id="6"/>
    <w:bookmarkEnd w:id="7"/>
    <w:bookmarkEnd w:id="8"/>
    <w:p w14:paraId="2FFF7779">
      <w:pPr>
        <w:spacing w:line="360" w:lineRule="auto"/>
        <w:ind w:firstLine="437"/>
        <w:outlineLvl w:val="1"/>
        <w:rPr>
          <w:rFonts w:hint="default" w:ascii="宋体" w:hAnsi="宋体" w:eastAsia="宋体"/>
          <w:b/>
          <w:color w:val="auto"/>
          <w:sz w:val="24"/>
          <w:szCs w:val="18"/>
          <w:highlight w:val="none"/>
        </w:rPr>
      </w:pPr>
      <w:bookmarkStart w:id="9" w:name="_Toc532199625"/>
      <w:bookmarkStart w:id="10" w:name="_Toc445554753"/>
      <w:bookmarkStart w:id="11" w:name="_Toc455587094"/>
      <w:bookmarkStart w:id="12" w:name="_Toc455587278"/>
      <w:r>
        <w:rPr>
          <w:rFonts w:hint="default" w:ascii="宋体" w:hAnsi="宋体" w:eastAsia="宋体"/>
          <w:b/>
          <w:color w:val="auto"/>
          <w:sz w:val="24"/>
          <w:szCs w:val="18"/>
          <w:highlight w:val="none"/>
          <w:lang w:eastAsia="zh-CN"/>
        </w:rPr>
        <w:t>五</w:t>
      </w:r>
      <w:r>
        <w:rPr>
          <w:rFonts w:hint="default" w:ascii="宋体" w:hAnsi="宋体" w:eastAsia="宋体"/>
          <w:b/>
          <w:color w:val="auto"/>
          <w:sz w:val="24"/>
          <w:szCs w:val="18"/>
          <w:highlight w:val="none"/>
        </w:rPr>
        <w:t>、安装调试、验收及质量保证</w:t>
      </w:r>
      <w:bookmarkEnd w:id="9"/>
    </w:p>
    <w:p w14:paraId="504B33CC">
      <w:pPr>
        <w:spacing w:line="360" w:lineRule="auto"/>
        <w:ind w:firstLine="437"/>
        <w:outlineLvl w:val="1"/>
        <w:rPr>
          <w:rFonts w:hint="default" w:ascii="宋体" w:hAnsi="宋体" w:eastAsia="宋体"/>
          <w:b/>
          <w:color w:val="auto"/>
          <w:sz w:val="24"/>
          <w:szCs w:val="18"/>
          <w:highlight w:val="none"/>
          <w:lang w:val="en-US"/>
        </w:rPr>
      </w:pPr>
      <w:r>
        <w:rPr>
          <w:rFonts w:hint="default" w:ascii="宋体" w:hAnsi="宋体" w:eastAsia="宋体"/>
          <w:b/>
          <w:color w:val="auto"/>
          <w:sz w:val="24"/>
          <w:szCs w:val="18"/>
          <w:highlight w:val="none"/>
          <w:lang w:val="en-US"/>
        </w:rPr>
        <w:t>（一）供货期</w:t>
      </w:r>
    </w:p>
    <w:p w14:paraId="5A3AED0D">
      <w:pPr>
        <w:spacing w:line="360" w:lineRule="auto"/>
        <w:ind w:firstLine="435"/>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default" w:ascii="宋体" w:hAnsi="宋体" w:eastAsia="宋体" w:cs="宋体"/>
          <w:color w:val="auto"/>
          <w:sz w:val="24"/>
          <w:szCs w:val="24"/>
          <w:highlight w:val="none"/>
          <w:lang w:val="en-US" w:eastAsia="zh-CN"/>
        </w:rPr>
        <w:t>第1包-第4包：合同生效后供货期1年</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分批次供货，中标人每次在接到采购人发出的交货通知后20个日历日内送达指定地点。</w:t>
      </w:r>
    </w:p>
    <w:p w14:paraId="21129D01">
      <w:pPr>
        <w:spacing w:line="360" w:lineRule="auto"/>
        <w:ind w:firstLine="435"/>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default" w:ascii="宋体" w:hAnsi="宋体" w:eastAsia="宋体" w:cs="宋体"/>
          <w:color w:val="auto"/>
          <w:sz w:val="24"/>
          <w:szCs w:val="24"/>
          <w:highlight w:val="none"/>
          <w:lang w:val="en-US" w:eastAsia="zh-CN"/>
        </w:rPr>
        <w:t>第5包：合同生效后，20个日历日内完成供货。</w:t>
      </w:r>
    </w:p>
    <w:p w14:paraId="37871470">
      <w:pPr>
        <w:spacing w:line="360" w:lineRule="auto"/>
        <w:ind w:firstLine="437"/>
        <w:outlineLvl w:val="1"/>
        <w:rPr>
          <w:rFonts w:hint="default" w:ascii="宋体" w:hAnsi="宋体" w:eastAsia="宋体"/>
          <w:b/>
          <w:color w:val="auto"/>
          <w:sz w:val="24"/>
          <w:szCs w:val="18"/>
          <w:highlight w:val="none"/>
          <w:lang w:val="en-US" w:eastAsia="zh-CN"/>
        </w:rPr>
      </w:pPr>
      <w:r>
        <w:rPr>
          <w:rFonts w:hint="default" w:ascii="宋体" w:hAnsi="宋体" w:eastAsia="宋体"/>
          <w:b/>
          <w:color w:val="auto"/>
          <w:sz w:val="24"/>
          <w:szCs w:val="18"/>
          <w:highlight w:val="none"/>
          <w:lang w:val="en-US" w:eastAsia="zh-CN"/>
        </w:rPr>
        <w:t>（二）交货地点</w:t>
      </w:r>
    </w:p>
    <w:p w14:paraId="6FA48945">
      <w:pPr>
        <w:keepNext w:val="0"/>
        <w:keepLines w:val="0"/>
        <w:pageBreakBefore w:val="0"/>
        <w:widowControl w:val="0"/>
        <w:kinsoku/>
        <w:wordWrap/>
        <w:overflowPunct/>
        <w:topLinePunct w:val="0"/>
        <w:autoSpaceDE/>
        <w:autoSpaceDN/>
        <w:bidi w:val="0"/>
        <w:adjustRightInd/>
        <w:snapToGrid/>
        <w:spacing w:line="300" w:lineRule="auto"/>
        <w:ind w:firstLine="437"/>
        <w:textAlignment w:val="auto"/>
        <w:outlineLvl w:val="1"/>
        <w:rPr>
          <w:rFonts w:hint="default" w:ascii="Times New Roman" w:hAnsi="Times New Roman" w:eastAsia="宋体" w:cs="Times New Roman"/>
          <w:bCs/>
          <w:color w:val="auto"/>
          <w:sz w:val="24"/>
          <w:szCs w:val="18"/>
          <w:highlight w:val="none"/>
          <w:lang w:val="en-US" w:eastAsia="zh-CN"/>
        </w:rPr>
      </w:pPr>
      <w:r>
        <w:rPr>
          <w:rFonts w:hint="default" w:ascii="Times New Roman" w:hAnsi="Times New Roman" w:eastAsia="宋体" w:cs="Times New Roman"/>
          <w:bCs/>
          <w:color w:val="auto"/>
          <w:sz w:val="24"/>
          <w:szCs w:val="18"/>
          <w:highlight w:val="none"/>
          <w:lang w:val="en-US" w:eastAsia="zh-CN"/>
        </w:rPr>
        <w:t>具体按采购人指定地点。</w:t>
      </w:r>
    </w:p>
    <w:p w14:paraId="7664647C">
      <w:pPr>
        <w:spacing w:line="360" w:lineRule="auto"/>
        <w:ind w:firstLine="437"/>
        <w:outlineLvl w:val="1"/>
        <w:rPr>
          <w:rFonts w:hint="default" w:ascii="宋体" w:hAnsi="宋体" w:eastAsia="宋体"/>
          <w:b/>
          <w:color w:val="auto"/>
          <w:sz w:val="24"/>
          <w:szCs w:val="18"/>
          <w:highlight w:val="none"/>
          <w:lang w:val="en-US" w:eastAsia="zh-CN"/>
        </w:rPr>
      </w:pPr>
      <w:r>
        <w:rPr>
          <w:rFonts w:hint="default" w:ascii="宋体" w:hAnsi="宋体" w:eastAsia="宋体"/>
          <w:b/>
          <w:color w:val="auto"/>
          <w:sz w:val="24"/>
          <w:szCs w:val="18"/>
          <w:highlight w:val="none"/>
          <w:lang w:val="en-US" w:eastAsia="zh-CN"/>
        </w:rPr>
        <w:t>（三）供货验收方式</w:t>
      </w:r>
    </w:p>
    <w:p w14:paraId="216CEAB1">
      <w:pPr>
        <w:spacing w:line="360" w:lineRule="auto"/>
        <w:ind w:firstLine="435"/>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1.第1包-第4包</w:t>
      </w:r>
    </w:p>
    <w:p w14:paraId="1AAE2714">
      <w:pPr>
        <w:spacing w:line="360" w:lineRule="auto"/>
        <w:ind w:firstLine="435"/>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1.1外包装：产品包装应符合NY 534－2002规定，应适应于远距离运输、符合保存温度和湿度的要求，防潮、防震、防锈和防野蛮装卸，防变质以确保货物安全无损运抵指定地点。包装箱、包装袋表面须打印农业农村部规定的二维码、耳标数量、编码起止号和生产企业名称及地址等其它必要的信息。由于包装和运输不善所引起的产品变质、损坏和损失均由中标人承担。</w:t>
      </w:r>
    </w:p>
    <w:p w14:paraId="149946C8">
      <w:pPr>
        <w:spacing w:line="360" w:lineRule="auto"/>
        <w:ind w:firstLine="435"/>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1.2验收标准：农业农村部《牲畜耳标技术规范》、招标文件的要求、此次投标提供的样品。</w:t>
      </w:r>
    </w:p>
    <w:p w14:paraId="161FEA73">
      <w:pPr>
        <w:spacing w:line="360" w:lineRule="auto"/>
        <w:ind w:firstLine="435"/>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1.3中标人提供《耳标发货单》一式三份（供货收货双方各一份，采购人一份），收货单位根据《耳标发货单》验收，由单位经办人签字，加盖单位印章生效。</w:t>
      </w:r>
    </w:p>
    <w:p w14:paraId="63DED5A0">
      <w:pPr>
        <w:spacing w:line="360" w:lineRule="auto"/>
        <w:ind w:firstLine="435"/>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1.4收货时出现下列情况，可以拒绝收货：</w:t>
      </w:r>
    </w:p>
    <w:p w14:paraId="596173EE">
      <w:pPr>
        <w:spacing w:line="360" w:lineRule="auto"/>
        <w:ind w:firstLine="435"/>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（1）牲畜耳标原材料、形状、颜色、编码方式等明显不符合农业农村部《牲畜耳标技术规范》规定的；</w:t>
      </w:r>
    </w:p>
    <w:p w14:paraId="474B36B8">
      <w:pPr>
        <w:spacing w:line="360" w:lineRule="auto"/>
        <w:ind w:firstLine="435"/>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（2）经抽查，牲畜耳标质量标准低于此次招标所提供样品的；</w:t>
      </w:r>
    </w:p>
    <w:p w14:paraId="49ABA301">
      <w:pPr>
        <w:spacing w:line="360" w:lineRule="auto"/>
        <w:ind w:firstLine="435"/>
        <w:rPr>
          <w:rFonts w:hint="default"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lang w:val="en-US" w:eastAsia="zh-CN"/>
        </w:rPr>
        <w:t>（3）牲畜耳标出现断裂、起泡等现象的。</w:t>
      </w:r>
    </w:p>
    <w:p w14:paraId="3FA6EDF6">
      <w:pPr>
        <w:spacing w:line="360" w:lineRule="auto"/>
        <w:ind w:firstLine="435"/>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default" w:ascii="宋体" w:hAnsi="宋体" w:eastAsia="宋体" w:cs="宋体"/>
          <w:color w:val="auto"/>
          <w:sz w:val="24"/>
          <w:szCs w:val="24"/>
          <w:highlight w:val="none"/>
          <w:lang w:val="en-US" w:eastAsia="zh-CN"/>
        </w:rPr>
        <w:t>.具体产品验收标准和程序按采购人要求执行。</w:t>
      </w:r>
    </w:p>
    <w:p w14:paraId="06598580">
      <w:pPr>
        <w:spacing w:line="360" w:lineRule="auto"/>
        <w:ind w:firstLine="435"/>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default" w:ascii="宋体" w:hAnsi="宋体" w:eastAsia="宋体" w:cs="宋体"/>
          <w:color w:val="auto"/>
          <w:sz w:val="24"/>
          <w:szCs w:val="24"/>
          <w:highlight w:val="none"/>
          <w:lang w:val="en-US" w:eastAsia="zh-CN"/>
        </w:rPr>
        <w:t>.如产品在验收时有一个或多个指标未能达到要求而属于中标人责任时，则中标人自费采取有效措施，在规定时间内使之达到保证指标。如在规定的时间内仍达不到合格标准时，则中标人应向采购人赔偿，采购人有权解除合同并追究一切法律责任。</w:t>
      </w:r>
    </w:p>
    <w:p w14:paraId="1F5C71C6">
      <w:pPr>
        <w:spacing w:line="360" w:lineRule="auto"/>
        <w:ind w:firstLine="437"/>
        <w:outlineLvl w:val="1"/>
        <w:rPr>
          <w:rFonts w:hint="default" w:ascii="宋体" w:hAnsi="宋体" w:eastAsia="宋体"/>
          <w:b/>
          <w:color w:val="auto"/>
          <w:sz w:val="24"/>
          <w:szCs w:val="18"/>
          <w:highlight w:val="none"/>
        </w:rPr>
      </w:pPr>
      <w:r>
        <w:rPr>
          <w:rFonts w:hint="default" w:ascii="宋体" w:hAnsi="宋体" w:eastAsia="宋体"/>
          <w:b/>
          <w:color w:val="auto"/>
          <w:sz w:val="24"/>
          <w:szCs w:val="18"/>
          <w:highlight w:val="none"/>
          <w:lang w:eastAsia="zh-CN"/>
        </w:rPr>
        <w:t>（</w:t>
      </w:r>
      <w:r>
        <w:rPr>
          <w:rFonts w:hint="eastAsia" w:ascii="宋体" w:hAnsi="宋体" w:eastAsia="宋体"/>
          <w:b/>
          <w:color w:val="auto"/>
          <w:sz w:val="24"/>
          <w:szCs w:val="18"/>
          <w:highlight w:val="none"/>
          <w:lang w:val="en-US" w:eastAsia="zh-CN"/>
        </w:rPr>
        <w:t>四</w:t>
      </w:r>
      <w:r>
        <w:rPr>
          <w:rFonts w:hint="default" w:ascii="宋体" w:hAnsi="宋体" w:eastAsia="宋体"/>
          <w:b/>
          <w:color w:val="auto"/>
          <w:sz w:val="24"/>
          <w:szCs w:val="18"/>
          <w:highlight w:val="none"/>
          <w:lang w:eastAsia="zh-CN"/>
        </w:rPr>
        <w:t>）</w:t>
      </w:r>
      <w:r>
        <w:rPr>
          <w:rFonts w:hint="default" w:ascii="宋体" w:hAnsi="宋体" w:eastAsia="宋体"/>
          <w:b/>
          <w:color w:val="auto"/>
          <w:sz w:val="24"/>
          <w:szCs w:val="18"/>
          <w:highlight w:val="none"/>
        </w:rPr>
        <w:t>中标人提供的商品必须完全符合国家有关技术标准。</w:t>
      </w:r>
    </w:p>
    <w:p w14:paraId="438BACD2">
      <w:pPr>
        <w:spacing w:line="360" w:lineRule="auto"/>
        <w:ind w:firstLine="435"/>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第1-4包</w:t>
      </w:r>
    </w:p>
    <w:p w14:paraId="6B4BBF9B">
      <w:pPr>
        <w:spacing w:line="360" w:lineRule="auto"/>
        <w:ind w:firstLine="435"/>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1中标人应保证供货产品应是最新或最佳的原材料生产，完全符合国家标准规定的质量、性能和技术规格（二维码耳标包括耳标外观、耐用性能、字迹附着力、强度和工艺要求等），并达到采购人提出的其它要求。二维码耳标按相应标准和产品的特殊要求进行包装后运输，投标人在投标文件中承诺的质量保证期内对任何质量问题负责，采购人有权对供应商提供的产品作质量检验，经检测不合格的，将按相关法律法规追究中标人法律责任。因此产生的一切费用和造成的一切经济损失，均由中标人承担。</w:t>
      </w:r>
    </w:p>
    <w:p w14:paraId="22BAC553">
      <w:pPr>
        <w:spacing w:line="360" w:lineRule="auto"/>
        <w:ind w:firstLine="435"/>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2 在二维码耳标的使用过程中，按农业农村部《畜禽标识质量检验办法》，经抽检后被农业农村部通告不合格的企业，采购人有权中止或终止执行采购合同，并拒绝付款，中标人应自行收回不合格产品，采购人有权委托本项目其他中标人执行其剩余供货份额。</w:t>
      </w:r>
    </w:p>
    <w:p w14:paraId="16E80A59">
      <w:pPr>
        <w:spacing w:line="360" w:lineRule="auto"/>
        <w:ind w:firstLine="435"/>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3 在二维码耳标的使用过程中，发现耳标出现严重质量问题，经联合调查确定为产品质量原因造成的，采购人有权中止或终止执行合同，中标人应自行收回不合格产品，采购人有权委托本项目其他中标人执行其剩余供货份额。</w:t>
      </w:r>
    </w:p>
    <w:p w14:paraId="6945F8E3">
      <w:pPr>
        <w:spacing w:line="360" w:lineRule="auto"/>
        <w:ind w:firstLine="435"/>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4 如产生质量纠纷，采购人与二维码耳标供应商会同有关管理部门组成调查组查清原因，经权威部门确认是由产品质量原因造成的，中标人应承担责任，因此产生的一切费用和造成的一切经济损失，均由中标人承担。</w:t>
      </w:r>
    </w:p>
    <w:p w14:paraId="63B5AAA8">
      <w:pPr>
        <w:spacing w:line="360" w:lineRule="auto"/>
        <w:ind w:firstLine="435"/>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第5包：中标人应保证供货产品应是最新或最佳的原材料生产，完全符合国家标准规定的质量、性能和技术规，并达到采购人提出的其它要求。按相应标准和产品的特殊要求进行包装后运输，投标人在投标文件中承诺的质量保证期内对任何质量问题负责，采购人有权对供应商提供的产品作质量检验，经检测不合格的，将按相关法律法规追究中标人法律责任。因此产生的一切费用和造成的一切经济损失，均由中标人承担。</w:t>
      </w:r>
    </w:p>
    <w:p w14:paraId="0EB5BBBD">
      <w:pPr>
        <w:spacing w:line="360" w:lineRule="auto"/>
        <w:ind w:firstLine="435"/>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default" w:ascii="宋体" w:hAnsi="宋体" w:eastAsia="宋体" w:cs="宋体"/>
          <w:color w:val="auto"/>
          <w:sz w:val="24"/>
          <w:szCs w:val="24"/>
          <w:highlight w:val="none"/>
          <w:lang w:val="en-US" w:eastAsia="zh-CN"/>
        </w:rPr>
        <w:t>.维修响应时间：中标人在24小时内对采购人的服务要求作出响应，如果需要上门服务，保证在3个工作日内到达采购人现场。</w:t>
      </w:r>
    </w:p>
    <w:p w14:paraId="03FD51CD">
      <w:pPr>
        <w:spacing w:line="360" w:lineRule="auto"/>
        <w:ind w:firstLine="435"/>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default"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rPr>
        <w:t>在</w:t>
      </w:r>
      <w:r>
        <w:rPr>
          <w:rFonts w:hint="default" w:ascii="宋体" w:hAnsi="宋体" w:eastAsia="宋体" w:cs="宋体"/>
          <w:color w:val="auto"/>
          <w:sz w:val="24"/>
          <w:szCs w:val="24"/>
          <w:highlight w:val="none"/>
          <w:lang w:val="en-US" w:eastAsia="zh-CN"/>
        </w:rPr>
        <w:t>产品</w:t>
      </w:r>
      <w:r>
        <w:rPr>
          <w:rFonts w:hint="default" w:ascii="宋体" w:hAnsi="宋体" w:eastAsia="宋体" w:cs="宋体"/>
          <w:color w:val="auto"/>
          <w:sz w:val="24"/>
          <w:szCs w:val="24"/>
          <w:highlight w:val="none"/>
        </w:rPr>
        <w:t>的使用过程中，发现</w:t>
      </w:r>
      <w:r>
        <w:rPr>
          <w:rFonts w:hint="default" w:ascii="宋体" w:hAnsi="宋体" w:eastAsia="宋体" w:cs="宋体"/>
          <w:color w:val="auto"/>
          <w:sz w:val="24"/>
          <w:szCs w:val="24"/>
          <w:highlight w:val="none"/>
          <w:lang w:val="en-US" w:eastAsia="zh-CN"/>
        </w:rPr>
        <w:t>产品</w:t>
      </w:r>
      <w:r>
        <w:rPr>
          <w:rFonts w:hint="default" w:ascii="宋体" w:hAnsi="宋体" w:eastAsia="宋体" w:cs="宋体"/>
          <w:color w:val="auto"/>
          <w:sz w:val="24"/>
          <w:szCs w:val="24"/>
          <w:highlight w:val="none"/>
        </w:rPr>
        <w:t>出现严重质量问题，经联合调查确定为产品质量原因造成的，采购人有权中止或终止执行合同，中标人应自行收回不合格产品。</w:t>
      </w:r>
    </w:p>
    <w:p w14:paraId="15119A06">
      <w:pPr>
        <w:spacing w:line="360" w:lineRule="auto"/>
        <w:ind w:firstLine="435"/>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default"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rPr>
        <w:t>如产生质量纠纷，采购人与供应商会同有关管理部门组成调查组查清原因，经权威部门确认是由产品质量原因造成的，中标人应承担责任，因此产生的一切费用和造成的一切经济损失，均由中标人承担。</w:t>
      </w:r>
    </w:p>
    <w:p w14:paraId="0CE4F0A4">
      <w:pPr>
        <w:spacing w:line="360" w:lineRule="auto"/>
        <w:ind w:firstLine="437"/>
        <w:outlineLvl w:val="1"/>
        <w:rPr>
          <w:rFonts w:hint="default" w:ascii="宋体" w:hAnsi="宋体" w:eastAsia="宋体"/>
          <w:b/>
          <w:color w:val="auto"/>
          <w:sz w:val="24"/>
          <w:szCs w:val="18"/>
          <w:highlight w:val="none"/>
          <w:lang w:val="en-US" w:eastAsia="zh-CN"/>
        </w:rPr>
      </w:pPr>
      <w:r>
        <w:rPr>
          <w:rFonts w:hint="default" w:ascii="宋体" w:hAnsi="宋体" w:eastAsia="宋体"/>
          <w:b/>
          <w:color w:val="auto"/>
          <w:sz w:val="24"/>
          <w:szCs w:val="18"/>
          <w:highlight w:val="none"/>
          <w:lang w:val="en-US" w:eastAsia="zh-CN"/>
        </w:rPr>
        <w:t>（</w:t>
      </w:r>
      <w:r>
        <w:rPr>
          <w:rFonts w:hint="eastAsia" w:ascii="宋体" w:hAnsi="宋体" w:eastAsia="宋体"/>
          <w:b/>
          <w:color w:val="auto"/>
          <w:sz w:val="24"/>
          <w:szCs w:val="18"/>
          <w:highlight w:val="none"/>
          <w:lang w:val="en-US" w:eastAsia="zh-CN"/>
        </w:rPr>
        <w:t>五</w:t>
      </w:r>
      <w:r>
        <w:rPr>
          <w:rFonts w:hint="default" w:ascii="宋体" w:hAnsi="宋体" w:eastAsia="宋体"/>
          <w:b/>
          <w:color w:val="auto"/>
          <w:sz w:val="24"/>
          <w:szCs w:val="18"/>
          <w:highlight w:val="none"/>
          <w:lang w:val="en-US" w:eastAsia="zh-CN"/>
        </w:rPr>
        <w:t>）质保及售后服务</w:t>
      </w:r>
    </w:p>
    <w:p w14:paraId="4BD33365">
      <w:pPr>
        <w:spacing w:line="360" w:lineRule="auto"/>
        <w:ind w:firstLine="43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w:t>
      </w:r>
      <w:r>
        <w:rPr>
          <w:rFonts w:hint="default"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中标人接到采购人产品出现问题的通知后，24小时内到达产品现场，进行处理。</w:t>
      </w:r>
    </w:p>
    <w:p w14:paraId="14A8DA0D">
      <w:pPr>
        <w:spacing w:line="360" w:lineRule="auto"/>
        <w:ind w:firstLine="43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w:t>
      </w:r>
      <w:r>
        <w:rPr>
          <w:rFonts w:hint="default"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质保期：自双方签订《验收报告》起进入免费质保期，免费质保期2年。在质保期间内，非采购人过失和故意并且在正常使用的情况下发现商品有缺陷，成交供应商将免费修理或替换该产品；在质保期间内，非</w:t>
      </w:r>
      <w:r>
        <w:rPr>
          <w:rFonts w:hint="default" w:ascii="宋体" w:hAnsi="宋体" w:eastAsia="宋体" w:cs="宋体"/>
          <w:color w:val="auto"/>
          <w:sz w:val="24"/>
          <w:szCs w:val="24"/>
          <w:highlight w:val="none"/>
          <w:lang w:val="en-US" w:eastAsia="zh-CN"/>
        </w:rPr>
        <w:t>采</w:t>
      </w:r>
      <w:r>
        <w:rPr>
          <w:rFonts w:hint="default" w:ascii="宋体" w:hAnsi="宋体" w:eastAsia="宋体" w:cs="宋体"/>
          <w:color w:val="auto"/>
          <w:sz w:val="24"/>
          <w:szCs w:val="24"/>
          <w:highlight w:val="none"/>
        </w:rPr>
        <w:t>购人过失和故意并且在正常使用的情况下设备发生故障，中标人应及时提供免费服务。</w:t>
      </w:r>
    </w:p>
    <w:p w14:paraId="617C2EEA">
      <w:pPr>
        <w:spacing w:line="360" w:lineRule="auto"/>
        <w:ind w:firstLine="437"/>
        <w:outlineLvl w:val="1"/>
        <w:rPr>
          <w:rFonts w:hint="default" w:ascii="宋体" w:hAnsi="宋体" w:eastAsia="宋体"/>
          <w:b/>
          <w:color w:val="auto"/>
          <w:sz w:val="24"/>
          <w:szCs w:val="18"/>
          <w:highlight w:val="none"/>
        </w:rPr>
      </w:pPr>
      <w:bookmarkStart w:id="13" w:name="_Toc532199626"/>
      <w:r>
        <w:rPr>
          <w:rFonts w:hint="default" w:ascii="宋体" w:hAnsi="宋体" w:eastAsia="宋体"/>
          <w:b/>
          <w:color w:val="auto"/>
          <w:sz w:val="24"/>
          <w:szCs w:val="18"/>
          <w:highlight w:val="none"/>
        </w:rPr>
        <w:t>六、包装运输</w:t>
      </w:r>
      <w:bookmarkEnd w:id="10"/>
      <w:bookmarkEnd w:id="11"/>
      <w:bookmarkEnd w:id="12"/>
      <w:bookmarkEnd w:id="13"/>
    </w:p>
    <w:p w14:paraId="1EF26AB0">
      <w:pPr>
        <w:spacing w:line="360" w:lineRule="auto"/>
        <w:ind w:firstLine="435"/>
        <w:rPr>
          <w:rFonts w:hint="default" w:ascii="宋体" w:hAnsi="宋体" w:eastAsia="宋体" w:cs="宋体"/>
          <w:color w:val="auto"/>
          <w:sz w:val="24"/>
          <w:szCs w:val="24"/>
          <w:highlight w:val="none"/>
        </w:rPr>
      </w:pPr>
      <w:bookmarkStart w:id="14" w:name="_Toc455587279"/>
      <w:bookmarkStart w:id="15" w:name="_Toc455587095"/>
      <w:bookmarkStart w:id="16" w:name="_Toc445554754"/>
      <w:r>
        <w:rPr>
          <w:rFonts w:hint="default"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rPr>
        <w:t>中标人负责</w:t>
      </w:r>
      <w:r>
        <w:rPr>
          <w:rFonts w:hint="eastAsia" w:ascii="宋体" w:hAnsi="宋体" w:eastAsia="宋体" w:cs="宋体"/>
          <w:color w:val="auto"/>
          <w:sz w:val="24"/>
          <w:szCs w:val="24"/>
          <w:highlight w:val="none"/>
          <w:lang w:val="en-US" w:eastAsia="zh-CN"/>
        </w:rPr>
        <w:t>产品</w:t>
      </w:r>
      <w:r>
        <w:rPr>
          <w:rFonts w:hint="default" w:ascii="宋体" w:hAnsi="宋体" w:eastAsia="宋体" w:cs="宋体"/>
          <w:color w:val="auto"/>
          <w:sz w:val="24"/>
          <w:szCs w:val="24"/>
          <w:highlight w:val="none"/>
        </w:rPr>
        <w:t>包装、办理运输和保险，将</w:t>
      </w:r>
      <w:r>
        <w:rPr>
          <w:rFonts w:hint="eastAsia" w:ascii="宋体" w:hAnsi="宋体" w:eastAsia="宋体" w:cs="宋体"/>
          <w:color w:val="auto"/>
          <w:sz w:val="24"/>
          <w:szCs w:val="24"/>
          <w:highlight w:val="none"/>
          <w:lang w:val="en-US" w:eastAsia="zh-CN"/>
        </w:rPr>
        <w:t>产品</w:t>
      </w:r>
      <w:r>
        <w:rPr>
          <w:rFonts w:hint="default" w:ascii="宋体" w:hAnsi="宋体" w:eastAsia="宋体" w:cs="宋体"/>
          <w:color w:val="auto"/>
          <w:sz w:val="24"/>
          <w:szCs w:val="24"/>
          <w:highlight w:val="none"/>
        </w:rPr>
        <w:t>安全运抵交货地点。</w:t>
      </w:r>
    </w:p>
    <w:p w14:paraId="1B0F8326">
      <w:pPr>
        <w:spacing w:line="360" w:lineRule="auto"/>
        <w:ind w:firstLine="43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.产品</w:t>
      </w:r>
      <w:r>
        <w:rPr>
          <w:rFonts w:hint="default" w:ascii="宋体" w:hAnsi="宋体" w:eastAsia="宋体" w:cs="宋体"/>
          <w:color w:val="auto"/>
          <w:sz w:val="24"/>
          <w:szCs w:val="24"/>
          <w:highlight w:val="none"/>
        </w:rPr>
        <w:t>制造完成并通过试验后应及时包装，否则应得到切实的保护，确保其不受污损。</w:t>
      </w:r>
    </w:p>
    <w:p w14:paraId="2DD6CD2F">
      <w:pPr>
        <w:spacing w:line="360" w:lineRule="auto"/>
        <w:ind w:firstLine="43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rPr>
        <w:t>在包装箱外应标明采购人的订货号、发货号。</w:t>
      </w:r>
    </w:p>
    <w:p w14:paraId="1A7120DD">
      <w:pPr>
        <w:spacing w:line="360" w:lineRule="auto"/>
        <w:ind w:firstLine="43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rPr>
        <w:t>各种包装应能确保</w:t>
      </w:r>
      <w:r>
        <w:rPr>
          <w:rFonts w:hint="eastAsia" w:ascii="宋体" w:hAnsi="宋体" w:eastAsia="宋体" w:cs="宋体"/>
          <w:color w:val="auto"/>
          <w:sz w:val="24"/>
          <w:szCs w:val="24"/>
          <w:highlight w:val="none"/>
          <w:lang w:val="en-US" w:eastAsia="zh-CN"/>
        </w:rPr>
        <w:t>产品</w:t>
      </w:r>
      <w:r>
        <w:rPr>
          <w:rFonts w:hint="default" w:ascii="宋体" w:hAnsi="宋体" w:eastAsia="宋体" w:cs="宋体"/>
          <w:color w:val="auto"/>
          <w:sz w:val="24"/>
          <w:szCs w:val="24"/>
          <w:highlight w:val="none"/>
        </w:rPr>
        <w:t>在运输过程中不致遭到损坏、丢失、变形、受潮和腐蚀。</w:t>
      </w:r>
    </w:p>
    <w:p w14:paraId="4A47BE1B">
      <w:pPr>
        <w:spacing w:line="360" w:lineRule="auto"/>
        <w:ind w:firstLine="43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rPr>
        <w:t>包装箱上应有明显的包装储运图示标志。</w:t>
      </w:r>
    </w:p>
    <w:p w14:paraId="3AE47A39">
      <w:pPr>
        <w:spacing w:line="360" w:lineRule="auto"/>
        <w:ind w:firstLine="43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rPr>
        <w:t>整体产品或分别运输的部件都要适应运输和装载的要求。</w:t>
      </w:r>
    </w:p>
    <w:p w14:paraId="565C894F">
      <w:pPr>
        <w:spacing w:line="360" w:lineRule="auto"/>
        <w:ind w:firstLine="43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7</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rPr>
        <w:t>随产品提供的技术资料应完整无缺。</w:t>
      </w:r>
    </w:p>
    <w:bookmarkEnd w:id="14"/>
    <w:bookmarkEnd w:id="15"/>
    <w:bookmarkEnd w:id="16"/>
    <w:p w14:paraId="7B0A767A">
      <w:pPr>
        <w:spacing w:line="360" w:lineRule="auto"/>
        <w:ind w:firstLine="437"/>
        <w:outlineLvl w:val="1"/>
        <w:rPr>
          <w:rFonts w:hint="default" w:ascii="宋体" w:hAnsi="宋体" w:eastAsia="宋体"/>
          <w:b/>
          <w:color w:val="auto"/>
          <w:sz w:val="24"/>
          <w:szCs w:val="18"/>
          <w:highlight w:val="none"/>
        </w:rPr>
      </w:pPr>
      <w:r>
        <w:rPr>
          <w:rFonts w:hint="eastAsia" w:ascii="宋体" w:hAnsi="宋体" w:eastAsia="宋体"/>
          <w:b/>
          <w:color w:val="auto"/>
          <w:sz w:val="24"/>
          <w:szCs w:val="18"/>
          <w:highlight w:val="none"/>
          <w:lang w:val="en-US" w:eastAsia="zh-CN"/>
        </w:rPr>
        <w:t>七</w:t>
      </w:r>
      <w:r>
        <w:rPr>
          <w:rFonts w:hint="default" w:ascii="宋体" w:hAnsi="宋体" w:eastAsia="宋体"/>
          <w:b/>
          <w:color w:val="auto"/>
          <w:sz w:val="24"/>
          <w:szCs w:val="18"/>
          <w:highlight w:val="none"/>
        </w:rPr>
        <w:t>、其他说明</w:t>
      </w:r>
    </w:p>
    <w:p w14:paraId="49E7DA40">
      <w:pPr>
        <w:spacing w:line="360" w:lineRule="auto"/>
        <w:ind w:firstLine="43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w:t>
      </w:r>
      <w:r>
        <w:rPr>
          <w:rFonts w:hint="default" w:ascii="宋体" w:hAnsi="宋体" w:eastAsia="宋体" w:cs="宋体"/>
          <w:color w:val="auto"/>
          <w:sz w:val="24"/>
          <w:szCs w:val="24"/>
          <w:highlight w:val="none"/>
          <w:lang w:val="en-US" w:eastAsia="zh-CN"/>
        </w:rPr>
        <w:t>中标人在实施本项目过程中应尽必要的安全注意义务，如发生任何事故，由中标人自行负责，若由此给采购人或第三人造成损失的，中标人应承担赔偿责任</w:t>
      </w:r>
      <w:r>
        <w:rPr>
          <w:rFonts w:hint="default" w:ascii="宋体" w:hAnsi="宋体" w:eastAsia="宋体" w:cs="宋体"/>
          <w:color w:val="auto"/>
          <w:sz w:val="24"/>
          <w:szCs w:val="24"/>
          <w:highlight w:val="none"/>
          <w:lang w:eastAsia="zh-CN"/>
        </w:rPr>
        <w:t>。</w:t>
      </w:r>
    </w:p>
    <w:p w14:paraId="589DBB09">
      <w:pPr>
        <w:spacing w:line="360" w:lineRule="auto"/>
        <w:ind w:firstLine="435"/>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合同签订前，采购人有权对中标人投标文件中提供的所有证书、合同、检测报告等证明性材料原件审查。如果逾期不能按要求提供或经审查、验证不能通过，采购人将有权取消其中标资格，并追究其一切法律责任。</w:t>
      </w:r>
    </w:p>
    <w:p w14:paraId="10F87E68">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3.本项目由安徽省动物疫病预防与控制中心负责解释。</w:t>
      </w:r>
    </w:p>
    <w:p w14:paraId="738E9744">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宋体" w:hAnsi="宋体" w:eastAsia="宋体" w:cs="宋体"/>
          <w:color w:val="auto"/>
          <w:sz w:val="24"/>
          <w:szCs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CA4CFC"/>
    <w:multiLevelType w:val="singleLevel"/>
    <w:tmpl w:val="36CA4CF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A22EC"/>
    <w:rsid w:val="14A909CF"/>
    <w:rsid w:val="438832BF"/>
    <w:rsid w:val="5CEA2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annotation text"/>
    <w:basedOn w:val="1"/>
    <w:link w:val="6"/>
    <w:qFormat/>
    <w:uiPriority w:val="0"/>
    <w:pPr>
      <w:jc w:val="left"/>
    </w:pPr>
    <w:rPr>
      <w:rFonts w:ascii="Arial" w:hAnsi="Arial" w:eastAsia="宋体" w:cs="Arial"/>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批注文字 字符"/>
    <w:link w:val="2"/>
    <w:autoRedefine/>
    <w:qFormat/>
    <w:uiPriority w:val="0"/>
    <w:rPr>
      <w:rFonts w:ascii="Arial" w:hAnsi="Arial" w:eastAsia="宋体" w:cs="Arial"/>
      <w:szCs w:val="20"/>
    </w:rPr>
  </w:style>
  <w:style w:type="paragraph" w:customStyle="1" w:styleId="7">
    <w:name w:val="D&amp;L"/>
    <w:basedOn w:val="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8">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5805</Words>
  <Characters>6309</Characters>
  <Lines>0</Lines>
  <Paragraphs>0</Paragraphs>
  <TotalTime>0</TotalTime>
  <ScaleCrop>false</ScaleCrop>
  <LinksUpToDate>false</LinksUpToDate>
  <CharactersWithSpaces>6466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2026-05-25T03:38:00Z</dcterms:created>
  <dc:creator>dd</dc:creator>
  <cp:lastModifiedBy>dd</cp:lastModifiedBy>
  <dcterms:modified xsi:type="dcterms:W3CDTF">2026-05-25T08:33:37Z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6DBDCFF82EA649308A3674583B4E01F3_11</vt:lpwstr>
  </property>
  <property fmtid="{D5CDD505-2E9C-101B-9397-08002B2CF9AE}" pid="4" name="KSOTemplateDocerSaveRecord">
    <vt:lpwstr>eyJoZGlkIjoiZTQ1ZDYwZmU3NTRhMzg1M2MwMjBkZGVkMjdmNTkxNTIiLCJ1c2VySWQiOiI2OTIxNzQ3NjMifQ==</vt:lpwstr>
  </property>
</Properties>
</file>