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9DD8E">
      <w:pPr>
        <w:spacing w:line="360" w:lineRule="auto"/>
        <w:jc w:val="center"/>
        <w:outlineLvl w:val="0"/>
        <w:rPr>
          <w:rFonts w:asciiTheme="minorEastAsia" w:hAnsiTheme="minorEastAsia" w:eastAsiaTheme="minorEastAsia"/>
          <w:b/>
          <w:color w:val="auto"/>
          <w:sz w:val="28"/>
        </w:rPr>
      </w:pPr>
      <w:bookmarkStart w:id="0" w:name="_Toc18642"/>
      <w:r>
        <w:rPr>
          <w:rFonts w:hint="eastAsia" w:asciiTheme="minorEastAsia" w:hAnsiTheme="minorEastAsia" w:eastAsiaTheme="minorEastAsia"/>
          <w:b/>
          <w:color w:val="auto"/>
          <w:sz w:val="28"/>
        </w:rPr>
        <w:t>第三章  采购需求</w:t>
      </w:r>
      <w:bookmarkEnd w:id="0"/>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6287"/>
      </w:tblGrid>
      <w:tr w14:paraId="2F67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9859B56">
            <w:pPr>
              <w:spacing w:line="360" w:lineRule="auto"/>
              <w:jc w:val="center"/>
              <w:rPr>
                <w:rFonts w:cs="@仿宋_GB2312" w:asciiTheme="minorEastAsia" w:hAnsiTheme="minorEastAsia" w:eastAsiaTheme="minorEastAsia"/>
                <w:b/>
                <w:color w:val="auto"/>
                <w:kern w:val="2"/>
                <w:sz w:val="24"/>
                <w:szCs w:val="22"/>
              </w:rPr>
            </w:pPr>
            <w:r>
              <w:rPr>
                <w:rFonts w:hint="eastAsia" w:cs="@仿宋_GB2312" w:asciiTheme="minorEastAsia" w:hAnsiTheme="minorEastAsia" w:eastAsiaTheme="minorEastAsia"/>
                <w:b/>
                <w:color w:val="auto"/>
                <w:kern w:val="2"/>
                <w:sz w:val="24"/>
                <w:szCs w:val="22"/>
              </w:rPr>
              <w:t>序号</w:t>
            </w:r>
          </w:p>
        </w:tc>
        <w:tc>
          <w:tcPr>
            <w:tcW w:w="1277" w:type="dxa"/>
            <w:vAlign w:val="center"/>
          </w:tcPr>
          <w:p w14:paraId="1E209FC8">
            <w:pPr>
              <w:spacing w:line="360" w:lineRule="auto"/>
              <w:ind w:firstLine="435"/>
              <w:jc w:val="center"/>
              <w:rPr>
                <w:rFonts w:cs="@仿宋_GB2312" w:asciiTheme="minorEastAsia" w:hAnsiTheme="minorEastAsia" w:eastAsiaTheme="minorEastAsia"/>
                <w:b/>
                <w:color w:val="auto"/>
                <w:kern w:val="2"/>
                <w:sz w:val="24"/>
                <w:szCs w:val="22"/>
              </w:rPr>
            </w:pPr>
            <w:r>
              <w:rPr>
                <w:rFonts w:hint="eastAsia" w:cs="@仿宋_GB2312" w:asciiTheme="minorEastAsia" w:hAnsiTheme="minorEastAsia" w:eastAsiaTheme="minorEastAsia"/>
                <w:b/>
                <w:color w:val="auto"/>
                <w:kern w:val="2"/>
                <w:sz w:val="24"/>
                <w:szCs w:val="22"/>
              </w:rPr>
              <w:t>内容</w:t>
            </w:r>
          </w:p>
        </w:tc>
        <w:tc>
          <w:tcPr>
            <w:tcW w:w="6287" w:type="dxa"/>
            <w:vAlign w:val="center"/>
          </w:tcPr>
          <w:p w14:paraId="5A91A5C9">
            <w:pPr>
              <w:spacing w:line="360" w:lineRule="auto"/>
              <w:ind w:firstLine="435"/>
              <w:jc w:val="center"/>
              <w:rPr>
                <w:rFonts w:cs="@仿宋_GB2312" w:asciiTheme="minorEastAsia" w:hAnsiTheme="minorEastAsia" w:eastAsiaTheme="minorEastAsia"/>
                <w:b/>
                <w:color w:val="auto"/>
                <w:kern w:val="2"/>
                <w:sz w:val="24"/>
                <w:szCs w:val="22"/>
              </w:rPr>
            </w:pPr>
            <w:r>
              <w:rPr>
                <w:rFonts w:hint="eastAsia" w:cs="@仿宋_GB2312" w:asciiTheme="minorEastAsia" w:hAnsiTheme="minorEastAsia" w:eastAsiaTheme="minorEastAsia"/>
                <w:b/>
                <w:color w:val="auto"/>
                <w:kern w:val="2"/>
                <w:sz w:val="24"/>
                <w:szCs w:val="22"/>
              </w:rPr>
              <w:t>说明和要求</w:t>
            </w:r>
          </w:p>
        </w:tc>
      </w:tr>
      <w:tr w14:paraId="394F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82C8CDF">
            <w:pPr>
              <w:spacing w:line="360" w:lineRule="auto"/>
              <w:jc w:val="center"/>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1</w:t>
            </w:r>
          </w:p>
        </w:tc>
        <w:tc>
          <w:tcPr>
            <w:tcW w:w="1277" w:type="dxa"/>
            <w:vAlign w:val="center"/>
          </w:tcPr>
          <w:p w14:paraId="31D0D269">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人员到岗及履约要求</w:t>
            </w:r>
          </w:p>
        </w:tc>
        <w:tc>
          <w:tcPr>
            <w:tcW w:w="6287" w:type="dxa"/>
            <w:vAlign w:val="center"/>
          </w:tcPr>
          <w:p w14:paraId="50AAFE94">
            <w:pPr>
              <w:spacing w:line="360" w:lineRule="auto"/>
              <w:rPr>
                <w:rFonts w:ascii="Times New Roman" w:hAnsi="Times New Roman" w:eastAsiaTheme="minorEastAsia"/>
                <w:color w:val="auto"/>
                <w:kern w:val="2"/>
                <w:sz w:val="24"/>
                <w:szCs w:val="22"/>
              </w:rPr>
            </w:pPr>
            <w:r>
              <w:rPr>
                <w:rFonts w:ascii="Times New Roman" w:hAnsi="Times New Roman" w:eastAsiaTheme="minorEastAsia"/>
                <w:color w:val="auto"/>
                <w:kern w:val="2"/>
                <w:sz w:val="24"/>
                <w:szCs w:val="22"/>
              </w:rPr>
              <w:t>（</w:t>
            </w:r>
            <w:r>
              <w:rPr>
                <w:rFonts w:hint="eastAsia" w:ascii="Times New Roman" w:hAnsi="Times New Roman" w:eastAsiaTheme="minorEastAsia"/>
                <w:color w:val="auto"/>
                <w:kern w:val="2"/>
                <w:sz w:val="24"/>
                <w:szCs w:val="22"/>
              </w:rPr>
              <w:t>1</w:t>
            </w:r>
            <w:r>
              <w:rPr>
                <w:rFonts w:ascii="Times New Roman" w:hAnsi="Times New Roman" w:eastAsiaTheme="minorEastAsia"/>
                <w:color w:val="auto"/>
                <w:kern w:val="2"/>
                <w:sz w:val="24"/>
                <w:szCs w:val="22"/>
              </w:rPr>
              <w:t>）供应商一旦成交，磋商时所报的本项目的项目经理、施工现场技术负责人、各专业负责工程师及施工机械等在整个项目施工期内必须在位，否则采购人有权解除合同。由此造成的损失，成交供应商自行承担并赔偿可能给采购人造成的损失。</w:t>
            </w:r>
          </w:p>
          <w:p w14:paraId="5104C0A7">
            <w:pPr>
              <w:spacing w:line="360" w:lineRule="auto"/>
              <w:rPr>
                <w:rFonts w:ascii="Times New Roman" w:hAnsi="Times New Roman" w:eastAsiaTheme="minorEastAsia"/>
                <w:color w:val="auto"/>
                <w:kern w:val="2"/>
                <w:sz w:val="24"/>
                <w:szCs w:val="22"/>
              </w:rPr>
            </w:pPr>
            <w:r>
              <w:rPr>
                <w:rFonts w:ascii="Times New Roman" w:hAnsi="Times New Roman" w:eastAsiaTheme="minorEastAsia"/>
                <w:color w:val="auto"/>
                <w:kern w:val="2"/>
                <w:sz w:val="24"/>
                <w:szCs w:val="22"/>
              </w:rPr>
              <w:t>（</w:t>
            </w:r>
            <w:r>
              <w:rPr>
                <w:rFonts w:hint="eastAsia" w:ascii="Times New Roman" w:hAnsi="Times New Roman" w:eastAsiaTheme="minorEastAsia"/>
                <w:color w:val="auto"/>
                <w:kern w:val="2"/>
                <w:sz w:val="24"/>
                <w:szCs w:val="22"/>
              </w:rPr>
              <w:t>2</w:t>
            </w:r>
            <w:r>
              <w:rPr>
                <w:rFonts w:ascii="Times New Roman" w:hAnsi="Times New Roman" w:eastAsiaTheme="minorEastAsia"/>
                <w:color w:val="auto"/>
                <w:kern w:val="2"/>
                <w:sz w:val="24"/>
                <w:szCs w:val="22"/>
              </w:rPr>
              <w:t>）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5B529939">
            <w:pPr>
              <w:spacing w:line="360" w:lineRule="auto"/>
              <w:rPr>
                <w:rFonts w:cs="@仿宋_GB2312" w:asciiTheme="minorEastAsia" w:hAnsiTheme="minorEastAsia" w:eastAsiaTheme="minorEastAsia"/>
                <w:color w:val="auto"/>
                <w:kern w:val="2"/>
                <w:sz w:val="24"/>
                <w:szCs w:val="22"/>
              </w:rPr>
            </w:pPr>
            <w:r>
              <w:rPr>
                <w:rFonts w:ascii="Times New Roman" w:hAnsi="Times New Roman" w:eastAsiaTheme="minorEastAsia"/>
                <w:color w:val="auto"/>
                <w:kern w:val="2"/>
                <w:sz w:val="24"/>
                <w:szCs w:val="22"/>
              </w:rPr>
              <w:t>（</w:t>
            </w:r>
            <w:r>
              <w:rPr>
                <w:rFonts w:hint="eastAsia" w:ascii="Times New Roman" w:hAnsi="Times New Roman" w:eastAsiaTheme="minorEastAsia"/>
                <w:color w:val="auto"/>
                <w:kern w:val="2"/>
                <w:sz w:val="24"/>
                <w:szCs w:val="22"/>
              </w:rPr>
              <w:t>3</w:t>
            </w:r>
            <w:r>
              <w:rPr>
                <w:rFonts w:ascii="Times New Roman" w:hAnsi="Times New Roman" w:eastAsiaTheme="minorEastAsia"/>
                <w:color w:val="auto"/>
                <w:kern w:val="2"/>
                <w:sz w:val="24"/>
                <w:szCs w:val="22"/>
              </w:rPr>
              <w:t>）成交供应商未能按照承诺到岗尽职的，采购人将视情况严重程度对其作出相应处理，给予警告并发出整改通知。如仍未及时整改，采购人有权责令其停工整改、直至解除合同，引进新的承包人。采购人还将停止支付工程款项，扣留任何未付的工程进度款项补偿建设单位的有关损失或工期延误的损失，并就此向承包人索赔。</w:t>
            </w:r>
          </w:p>
        </w:tc>
      </w:tr>
      <w:tr w14:paraId="45C2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E5370FB">
            <w:pPr>
              <w:spacing w:line="360" w:lineRule="auto"/>
              <w:jc w:val="center"/>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2</w:t>
            </w:r>
          </w:p>
        </w:tc>
        <w:tc>
          <w:tcPr>
            <w:tcW w:w="1277" w:type="dxa"/>
            <w:vAlign w:val="center"/>
          </w:tcPr>
          <w:p w14:paraId="5EDBB673">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材料要求</w:t>
            </w:r>
          </w:p>
        </w:tc>
        <w:tc>
          <w:tcPr>
            <w:tcW w:w="6287" w:type="dxa"/>
            <w:vAlign w:val="center"/>
          </w:tcPr>
          <w:p w14:paraId="66BC2AEE">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7211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0B0E2E1">
            <w:pPr>
              <w:spacing w:line="360" w:lineRule="auto"/>
              <w:jc w:val="center"/>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3</w:t>
            </w:r>
          </w:p>
        </w:tc>
        <w:tc>
          <w:tcPr>
            <w:tcW w:w="1277" w:type="dxa"/>
            <w:vAlign w:val="center"/>
          </w:tcPr>
          <w:p w14:paraId="088C60A7">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工程施工重点难点</w:t>
            </w:r>
          </w:p>
        </w:tc>
        <w:tc>
          <w:tcPr>
            <w:tcW w:w="6287" w:type="dxa"/>
            <w:vAlign w:val="center"/>
          </w:tcPr>
          <w:p w14:paraId="34C626AD">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w:t>
            </w:r>
          </w:p>
        </w:tc>
      </w:tr>
      <w:tr w14:paraId="2C05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4745E66">
            <w:pPr>
              <w:spacing w:line="360" w:lineRule="auto"/>
              <w:jc w:val="center"/>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4</w:t>
            </w:r>
          </w:p>
        </w:tc>
        <w:tc>
          <w:tcPr>
            <w:tcW w:w="1277" w:type="dxa"/>
            <w:vAlign w:val="center"/>
          </w:tcPr>
          <w:p w14:paraId="00E91B96">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报价须知</w:t>
            </w:r>
          </w:p>
        </w:tc>
        <w:tc>
          <w:tcPr>
            <w:tcW w:w="6287" w:type="dxa"/>
            <w:vAlign w:val="center"/>
          </w:tcPr>
          <w:p w14:paraId="00FC742E">
            <w:pPr>
              <w:spacing w:line="360" w:lineRule="auto"/>
              <w:rPr>
                <w:rFonts w:eastAsia="@微软简标宋"/>
                <w:color w:val="auto"/>
                <w:kern w:val="2"/>
                <w:sz w:val="21"/>
                <w:szCs w:val="22"/>
              </w:rPr>
            </w:pPr>
            <w:r>
              <w:rPr>
                <w:rFonts w:hint="eastAsia" w:cs="@仿宋_GB2312" w:asciiTheme="minorEastAsia" w:hAnsiTheme="minorEastAsia" w:eastAsiaTheme="minorEastAsia"/>
                <w:color w:val="auto"/>
                <w:kern w:val="2"/>
                <w:sz w:val="24"/>
                <w:szCs w:val="22"/>
              </w:rPr>
              <w:t>供应商最后报价均不得高于磋商文件（公告）列明的项目预算、最高限价，否则其响应文件将被认定为响应无效。</w:t>
            </w:r>
          </w:p>
        </w:tc>
      </w:tr>
      <w:tr w14:paraId="3904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F5D6794">
            <w:pPr>
              <w:spacing w:line="360" w:lineRule="auto"/>
              <w:jc w:val="center"/>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5</w:t>
            </w:r>
          </w:p>
        </w:tc>
        <w:tc>
          <w:tcPr>
            <w:tcW w:w="1277" w:type="dxa"/>
            <w:vAlign w:val="center"/>
          </w:tcPr>
          <w:p w14:paraId="62A504F0">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重要说明</w:t>
            </w:r>
          </w:p>
        </w:tc>
        <w:tc>
          <w:tcPr>
            <w:tcW w:w="6287" w:type="dxa"/>
            <w:vAlign w:val="center"/>
          </w:tcPr>
          <w:p w14:paraId="0A6AF98C">
            <w:pPr>
              <w:spacing w:line="360" w:lineRule="auto"/>
              <w:rPr>
                <w:rFonts w:eastAsiaTheme="minorEastAsia"/>
                <w:color w:val="auto"/>
                <w:kern w:val="2"/>
                <w:sz w:val="24"/>
                <w:szCs w:val="18"/>
              </w:rPr>
            </w:pPr>
            <w:r>
              <w:rPr>
                <w:rFonts w:cs="宋体" w:eastAsiaTheme="minorEastAsia"/>
                <w:color w:val="auto"/>
                <w:kern w:val="2"/>
                <w:sz w:val="24"/>
                <w:szCs w:val="24"/>
              </w:rPr>
              <w:t>政府采购政策（包括但不限于下列具体政策要求</w:t>
            </w:r>
            <w:r>
              <w:rPr>
                <w:rFonts w:hint="eastAsia" w:cs="宋体" w:eastAsiaTheme="minorEastAsia"/>
                <w:color w:val="auto"/>
                <w:kern w:val="2"/>
                <w:sz w:val="24"/>
                <w:szCs w:val="24"/>
              </w:rPr>
              <w:t>）</w:t>
            </w:r>
            <w:r>
              <w:rPr>
                <w:rFonts w:hint="eastAsia" w:eastAsiaTheme="minorEastAsia"/>
                <w:color w:val="auto"/>
                <w:kern w:val="2"/>
                <w:sz w:val="24"/>
                <w:szCs w:val="18"/>
              </w:rPr>
              <w:t>：</w:t>
            </w:r>
          </w:p>
          <w:p w14:paraId="32157C21">
            <w:pPr>
              <w:spacing w:line="360" w:lineRule="auto"/>
              <w:rPr>
                <w:rFonts w:cs="宋体" w:eastAsiaTheme="minorEastAsia"/>
                <w:color w:val="auto"/>
                <w:kern w:val="2"/>
                <w:sz w:val="24"/>
                <w:szCs w:val="24"/>
              </w:rPr>
            </w:pPr>
            <w:r>
              <w:rPr>
                <w:rFonts w:hint="eastAsia" w:cs="宋体" w:eastAsiaTheme="minorEastAsia"/>
                <w:color w:val="auto"/>
                <w:kern w:val="2"/>
                <w:sz w:val="24"/>
                <w:szCs w:val="24"/>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01E43324">
            <w:pPr>
              <w:spacing w:line="360" w:lineRule="auto"/>
              <w:rPr>
                <w:rFonts w:cs="宋体" w:eastAsiaTheme="minorEastAsia"/>
                <w:color w:val="auto"/>
                <w:kern w:val="2"/>
                <w:sz w:val="24"/>
                <w:szCs w:val="24"/>
              </w:rPr>
            </w:pPr>
            <w:r>
              <w:rPr>
                <w:rFonts w:hint="eastAsia" w:cs="宋体" w:eastAsiaTheme="minorEastAsia"/>
                <w:color w:val="auto"/>
                <w:kern w:val="2"/>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852F5FA">
            <w:pPr>
              <w:spacing w:line="360" w:lineRule="auto"/>
              <w:rPr>
                <w:rFonts w:cs="@仿宋_GB2312" w:asciiTheme="minorEastAsia" w:hAnsiTheme="minorEastAsia" w:eastAsiaTheme="minorEastAsia"/>
                <w:color w:val="auto"/>
                <w:kern w:val="2"/>
                <w:sz w:val="24"/>
                <w:szCs w:val="22"/>
              </w:rPr>
            </w:pPr>
            <w:r>
              <w:rPr>
                <w:rFonts w:hint="eastAsia" w:cs="宋体" w:eastAsiaTheme="minorEastAsia"/>
                <w:color w:val="auto"/>
                <w:kern w:val="2"/>
                <w:sz w:val="24"/>
                <w:szCs w:val="24"/>
              </w:rPr>
              <w:t>（3）按照《财政部 住房城乡建设部 工业和信息化部关于进一步扩大政府采购支持绿色建材促进建筑品质提升政策实施范围的通知》（财库〔2024〕36号），严格执行《绿色建筑和绿色建材政府采购需求标准(2025年版)》要求。</w:t>
            </w:r>
          </w:p>
        </w:tc>
      </w:tr>
      <w:tr w14:paraId="52E0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DB410CC">
            <w:pPr>
              <w:spacing w:line="360" w:lineRule="auto"/>
              <w:jc w:val="center"/>
              <w:rPr>
                <w:rFonts w:cs="@仿宋_GB2312" w:asciiTheme="minorEastAsia" w:hAnsiTheme="minorEastAsia" w:eastAsiaTheme="minorEastAsia"/>
                <w:color w:val="auto"/>
                <w:kern w:val="2"/>
                <w:sz w:val="24"/>
                <w:szCs w:val="22"/>
              </w:rPr>
            </w:pPr>
            <w:r>
              <w:rPr>
                <w:rFonts w:cs="@仿宋_GB2312" w:asciiTheme="minorEastAsia" w:hAnsiTheme="minorEastAsia" w:eastAsiaTheme="minorEastAsia"/>
                <w:color w:val="auto"/>
                <w:kern w:val="2"/>
                <w:sz w:val="24"/>
                <w:szCs w:val="22"/>
              </w:rPr>
              <w:t>6</w:t>
            </w:r>
          </w:p>
        </w:tc>
        <w:tc>
          <w:tcPr>
            <w:tcW w:w="1277" w:type="dxa"/>
            <w:vAlign w:val="center"/>
          </w:tcPr>
          <w:p w14:paraId="0923F2B9">
            <w:pPr>
              <w:spacing w:line="360" w:lineRule="auto"/>
              <w:rPr>
                <w:rFonts w:cs="@仿宋_GB2312" w:asciiTheme="minorEastAsia" w:hAnsiTheme="minorEastAsia" w:eastAsiaTheme="minorEastAsia"/>
                <w:color w:val="auto"/>
                <w:kern w:val="2"/>
                <w:sz w:val="24"/>
                <w:szCs w:val="22"/>
              </w:rPr>
            </w:pPr>
            <w:bookmarkStart w:id="1" w:name="OLE_LINK31"/>
            <w:r>
              <w:rPr>
                <w:rFonts w:hint="eastAsia" w:cs="@仿宋_GB2312" w:asciiTheme="minorEastAsia" w:hAnsiTheme="minorEastAsia" w:eastAsiaTheme="minorEastAsia"/>
                <w:color w:val="auto"/>
                <w:kern w:val="2"/>
                <w:sz w:val="24"/>
                <w:szCs w:val="22"/>
              </w:rPr>
              <w:t>项目经理</w:t>
            </w:r>
            <w:bookmarkEnd w:id="1"/>
          </w:p>
        </w:tc>
        <w:tc>
          <w:tcPr>
            <w:tcW w:w="6287" w:type="dxa"/>
            <w:vAlign w:val="center"/>
          </w:tcPr>
          <w:p w14:paraId="5B9E807F">
            <w:pPr>
              <w:spacing w:line="360" w:lineRule="auto"/>
              <w:rPr>
                <w:rFonts w:hint="eastAsia"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（1）</w:t>
            </w:r>
            <w:bookmarkStart w:id="2" w:name="OLE_LINK19"/>
            <w:r>
              <w:rPr>
                <w:rFonts w:hint="eastAsia" w:cs="@仿宋_GB2312" w:asciiTheme="minorEastAsia" w:hAnsiTheme="minorEastAsia" w:eastAsiaTheme="minorEastAsia"/>
                <w:color w:val="auto"/>
                <w:kern w:val="2"/>
                <w:sz w:val="24"/>
                <w:szCs w:val="22"/>
              </w:rPr>
              <w:t>具备建筑工程或机电工程专业二级及以上注册建造师</w:t>
            </w:r>
            <w:bookmarkEnd w:id="2"/>
            <w:r>
              <w:rPr>
                <w:rFonts w:hint="eastAsia" w:cs="@仿宋_GB2312" w:asciiTheme="minorEastAsia" w:hAnsiTheme="minorEastAsia" w:eastAsiaTheme="minorEastAsia"/>
                <w:color w:val="auto"/>
                <w:kern w:val="2"/>
                <w:sz w:val="24"/>
                <w:szCs w:val="22"/>
              </w:rPr>
              <w:t>；</w:t>
            </w:r>
          </w:p>
          <w:p w14:paraId="431EDAA3">
            <w:pPr>
              <w:spacing w:line="360" w:lineRule="auto"/>
              <w:rPr>
                <w:rFonts w:hint="eastAsia"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（2）具备住房和城乡建设行政主管部门颁发的安全生产考核合格证书（B证）。</w:t>
            </w:r>
          </w:p>
          <w:p w14:paraId="3BADFCD1">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（3）目前未在其他项目上任职或虽在其他项目上任职但本项目成交后合同签订前能够从其他项目变更至本项目并全面履约。</w:t>
            </w:r>
          </w:p>
          <w:p w14:paraId="60284837">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注：</w:t>
            </w:r>
          </w:p>
          <w:p w14:paraId="6C75993D">
            <w:pPr>
              <w:spacing w:line="360" w:lineRule="auto"/>
              <w:rPr>
                <w:rFonts w:hint="eastAsia" w:cs="@仿宋_GB2312" w:asciiTheme="minorEastAsia" w:hAnsiTheme="minorEastAsia" w:eastAsiaTheme="minorEastAsia"/>
                <w:color w:val="auto"/>
                <w:kern w:val="2"/>
                <w:sz w:val="24"/>
                <w:szCs w:val="22"/>
                <w:lang w:val="en-US" w:eastAsia="zh-CN"/>
              </w:rPr>
            </w:pPr>
            <w:r>
              <w:rPr>
                <w:rFonts w:hint="eastAsia" w:cs="@仿宋_GB2312" w:asciiTheme="minorEastAsia" w:hAnsiTheme="minorEastAsia" w:eastAsiaTheme="minorEastAsia"/>
                <w:color w:val="auto"/>
                <w:kern w:val="2"/>
                <w:sz w:val="24"/>
                <w:szCs w:val="22"/>
              </w:rPr>
              <w:t>（1）拟</w:t>
            </w:r>
            <w:bookmarkStart w:id="3" w:name="OLE_LINK30"/>
            <w:r>
              <w:rPr>
                <w:rFonts w:hint="eastAsia" w:cs="@仿宋_GB2312" w:asciiTheme="minorEastAsia" w:hAnsiTheme="minorEastAsia" w:eastAsiaTheme="minorEastAsia"/>
                <w:color w:val="auto"/>
                <w:kern w:val="2"/>
                <w:sz w:val="24"/>
                <w:szCs w:val="22"/>
              </w:rPr>
              <w:t>派</w:t>
            </w:r>
            <w:bookmarkEnd w:id="3"/>
            <w:bookmarkStart w:id="4" w:name="OLE_LINK16"/>
            <w:r>
              <w:rPr>
                <w:rFonts w:hint="eastAsia" w:cs="@仿宋_GB2312" w:asciiTheme="minorEastAsia" w:hAnsiTheme="minorEastAsia" w:eastAsiaTheme="minorEastAsia"/>
                <w:color w:val="auto"/>
                <w:kern w:val="2"/>
                <w:sz w:val="24"/>
                <w:szCs w:val="22"/>
              </w:rPr>
              <w:t>项目经理</w:t>
            </w:r>
            <w:bookmarkEnd w:id="4"/>
            <w:r>
              <w:rPr>
                <w:rFonts w:hint="eastAsia" w:cs="@仿宋_GB2312" w:asciiTheme="minorEastAsia" w:hAnsiTheme="minorEastAsia" w:eastAsiaTheme="minorEastAsia"/>
                <w:color w:val="auto"/>
                <w:kern w:val="2"/>
                <w:sz w:val="24"/>
                <w:szCs w:val="22"/>
              </w:rPr>
              <w:t>必须是本单位人员</w:t>
            </w:r>
            <w:r>
              <w:rPr>
                <w:rFonts w:hint="eastAsia" w:ascii="宋体" w:hAnsi="宋体" w:eastAsia="宋体" w:cs="宋体"/>
                <w:color w:val="auto"/>
                <w:kern w:val="2"/>
                <w:sz w:val="24"/>
                <w:szCs w:val="22"/>
                <w:lang w:eastAsia="zh-CN"/>
              </w:rPr>
              <w:t>，</w:t>
            </w:r>
            <w:r>
              <w:rPr>
                <w:rFonts w:hint="eastAsia" w:ascii="宋体" w:hAnsi="宋体" w:eastAsia="宋体" w:cs="宋体"/>
                <w:color w:val="auto"/>
                <w:kern w:val="2"/>
                <w:sz w:val="24"/>
                <w:szCs w:val="22"/>
              </w:rPr>
              <w:t>如为联合体</w:t>
            </w:r>
            <w:r>
              <w:rPr>
                <w:rFonts w:hint="eastAsia" w:ascii="宋体" w:hAnsi="宋体" w:eastAsia="宋体" w:cs="宋体"/>
                <w:color w:val="auto"/>
                <w:kern w:val="2"/>
                <w:sz w:val="24"/>
                <w:szCs w:val="22"/>
                <w:lang w:val="en-US" w:eastAsia="zh-CN"/>
              </w:rPr>
              <w:t>响应</w:t>
            </w:r>
            <w:r>
              <w:rPr>
                <w:rFonts w:hint="eastAsia" w:ascii="宋体" w:hAnsi="宋体" w:eastAsia="宋体" w:cs="宋体"/>
                <w:color w:val="auto"/>
                <w:kern w:val="2"/>
                <w:sz w:val="24"/>
                <w:szCs w:val="22"/>
              </w:rPr>
              <w:t>，</w:t>
            </w:r>
            <w:bookmarkStart w:id="5" w:name="OLE_LINK17"/>
            <w:r>
              <w:rPr>
                <w:rFonts w:hint="eastAsia" w:cs="@仿宋_GB2312" w:asciiTheme="minorEastAsia" w:hAnsiTheme="minorEastAsia" w:eastAsiaTheme="minorEastAsia"/>
                <w:color w:val="auto"/>
                <w:kern w:val="2"/>
                <w:sz w:val="24"/>
                <w:szCs w:val="22"/>
              </w:rPr>
              <w:t>拟派项目经理</w:t>
            </w:r>
            <w:bookmarkEnd w:id="5"/>
            <w:r>
              <w:rPr>
                <w:rFonts w:hint="eastAsia" w:cs="@仿宋_GB2312" w:asciiTheme="minorEastAsia" w:hAnsiTheme="minorEastAsia" w:eastAsiaTheme="minorEastAsia"/>
                <w:color w:val="auto"/>
                <w:kern w:val="2"/>
                <w:sz w:val="24"/>
                <w:szCs w:val="22"/>
                <w:lang w:val="en-US" w:eastAsia="zh-CN"/>
              </w:rPr>
              <w:t>应满足下列要求：</w:t>
            </w:r>
          </w:p>
          <w:p w14:paraId="36B14C54">
            <w:pPr>
              <w:spacing w:line="360" w:lineRule="auto"/>
              <w:rPr>
                <w:rFonts w:hint="eastAsia"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lang w:val="en-US" w:eastAsia="zh-CN"/>
              </w:rPr>
              <w:fldChar w:fldCharType="begin"/>
            </w:r>
            <w:r>
              <w:rPr>
                <w:rFonts w:hint="eastAsia" w:cs="@仿宋_GB2312" w:asciiTheme="minorEastAsia" w:hAnsiTheme="minorEastAsia" w:eastAsiaTheme="minorEastAsia"/>
                <w:color w:val="auto"/>
                <w:kern w:val="2"/>
                <w:sz w:val="24"/>
                <w:szCs w:val="22"/>
                <w:lang w:val="en-US" w:eastAsia="zh-CN"/>
              </w:rPr>
              <w:instrText xml:space="preserve"> = 1 \* GB3 \* MERGEFORMAT </w:instrText>
            </w:r>
            <w:r>
              <w:rPr>
                <w:rFonts w:hint="eastAsia" w:cs="@仿宋_GB2312" w:asciiTheme="minorEastAsia" w:hAnsiTheme="minorEastAsia" w:eastAsiaTheme="minorEastAsia"/>
                <w:color w:val="auto"/>
                <w:kern w:val="2"/>
                <w:sz w:val="24"/>
                <w:szCs w:val="22"/>
                <w:lang w:val="en-US" w:eastAsia="zh-CN"/>
              </w:rPr>
              <w:fldChar w:fldCharType="separate"/>
            </w:r>
            <w:r>
              <w:rPr>
                <w:rFonts w:hint="eastAsia" w:cs="@仿宋_GB2312" w:asciiTheme="minorEastAsia" w:hAnsiTheme="minorEastAsia" w:eastAsiaTheme="minorEastAsia"/>
                <w:color w:val="auto"/>
                <w:kern w:val="2"/>
                <w:sz w:val="24"/>
                <w:szCs w:val="22"/>
              </w:rPr>
              <w:t>①</w:t>
            </w:r>
            <w:r>
              <w:rPr>
                <w:rFonts w:hint="eastAsia" w:cs="@仿宋_GB2312" w:asciiTheme="minorEastAsia" w:hAnsiTheme="minorEastAsia" w:eastAsiaTheme="minorEastAsia"/>
                <w:color w:val="auto"/>
                <w:kern w:val="2"/>
                <w:sz w:val="24"/>
                <w:szCs w:val="22"/>
                <w:lang w:val="en-US" w:eastAsia="zh-CN"/>
              </w:rPr>
              <w:fldChar w:fldCharType="end"/>
            </w:r>
            <w:r>
              <w:rPr>
                <w:rFonts w:hint="eastAsia" w:cs="@仿宋_GB2312" w:asciiTheme="minorEastAsia" w:hAnsiTheme="minorEastAsia" w:eastAsiaTheme="minorEastAsia"/>
                <w:color w:val="auto"/>
                <w:kern w:val="2"/>
                <w:sz w:val="24"/>
                <w:szCs w:val="22"/>
              </w:rPr>
              <w:t>拟派项目经理</w:t>
            </w:r>
            <w:r>
              <w:rPr>
                <w:rFonts w:hint="eastAsia" w:cs="@仿宋_GB2312" w:asciiTheme="minorEastAsia" w:hAnsiTheme="minorEastAsia" w:eastAsiaTheme="minorEastAsia"/>
                <w:color w:val="auto"/>
                <w:kern w:val="2"/>
                <w:sz w:val="24"/>
                <w:szCs w:val="22"/>
                <w:lang w:val="en-US" w:eastAsia="zh-CN"/>
              </w:rPr>
              <w:t>如为承担装修装饰任务的联合体成员单位人员，须具备建筑工程专业二级及以上注册建造师</w:t>
            </w:r>
            <w:r>
              <w:rPr>
                <w:rFonts w:hint="eastAsia" w:cs="@仿宋_GB2312" w:asciiTheme="minorEastAsia" w:hAnsiTheme="minorEastAsia" w:eastAsiaTheme="minorEastAsia"/>
                <w:color w:val="auto"/>
                <w:kern w:val="2"/>
                <w:sz w:val="24"/>
                <w:szCs w:val="22"/>
              </w:rPr>
              <w:t>；</w:t>
            </w:r>
          </w:p>
          <w:p w14:paraId="7A74AAAA">
            <w:pPr>
              <w:spacing w:line="360" w:lineRule="auto"/>
              <w:rPr>
                <w:rFonts w:hint="eastAsia"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lang w:val="en-US" w:eastAsia="zh-CN"/>
              </w:rPr>
              <w:fldChar w:fldCharType="begin"/>
            </w:r>
            <w:r>
              <w:rPr>
                <w:rFonts w:hint="eastAsia" w:cs="@仿宋_GB2312" w:asciiTheme="minorEastAsia" w:hAnsiTheme="minorEastAsia" w:eastAsiaTheme="minorEastAsia"/>
                <w:color w:val="auto"/>
                <w:kern w:val="2"/>
                <w:sz w:val="24"/>
                <w:szCs w:val="22"/>
                <w:lang w:val="en-US" w:eastAsia="zh-CN"/>
              </w:rPr>
              <w:instrText xml:space="preserve"> = 2 \* GB3 \* MERGEFORMAT </w:instrText>
            </w:r>
            <w:r>
              <w:rPr>
                <w:rFonts w:hint="eastAsia" w:cs="@仿宋_GB2312" w:asciiTheme="minorEastAsia" w:hAnsiTheme="minorEastAsia" w:eastAsiaTheme="minorEastAsia"/>
                <w:color w:val="auto"/>
                <w:kern w:val="2"/>
                <w:sz w:val="24"/>
                <w:szCs w:val="22"/>
                <w:lang w:val="en-US" w:eastAsia="zh-CN"/>
              </w:rPr>
              <w:fldChar w:fldCharType="separate"/>
            </w:r>
            <w:r>
              <w:rPr>
                <w:rFonts w:hint="eastAsia" w:cs="@仿宋_GB2312" w:asciiTheme="minorEastAsia" w:hAnsiTheme="minorEastAsia" w:eastAsiaTheme="minorEastAsia"/>
                <w:color w:val="auto"/>
                <w:kern w:val="2"/>
                <w:sz w:val="24"/>
                <w:szCs w:val="22"/>
              </w:rPr>
              <w:t>②</w:t>
            </w:r>
            <w:r>
              <w:rPr>
                <w:rFonts w:hint="eastAsia" w:cs="@仿宋_GB2312" w:asciiTheme="minorEastAsia" w:hAnsiTheme="minorEastAsia" w:eastAsiaTheme="minorEastAsia"/>
                <w:color w:val="auto"/>
                <w:kern w:val="2"/>
                <w:sz w:val="24"/>
                <w:szCs w:val="22"/>
                <w:lang w:val="en-US" w:eastAsia="zh-CN"/>
              </w:rPr>
              <w:fldChar w:fldCharType="end"/>
            </w:r>
            <w:r>
              <w:rPr>
                <w:rFonts w:hint="eastAsia" w:cs="@仿宋_GB2312" w:asciiTheme="minorEastAsia" w:hAnsiTheme="minorEastAsia" w:eastAsiaTheme="minorEastAsia"/>
                <w:color w:val="auto"/>
                <w:kern w:val="2"/>
                <w:sz w:val="24"/>
                <w:szCs w:val="22"/>
              </w:rPr>
              <w:t>拟派项目经理</w:t>
            </w:r>
            <w:r>
              <w:rPr>
                <w:rFonts w:hint="eastAsia" w:cs="@仿宋_GB2312" w:asciiTheme="minorEastAsia" w:hAnsiTheme="minorEastAsia" w:eastAsiaTheme="minorEastAsia"/>
                <w:color w:val="auto"/>
                <w:kern w:val="2"/>
                <w:sz w:val="24"/>
                <w:szCs w:val="22"/>
                <w:lang w:val="en-US" w:eastAsia="zh-CN"/>
              </w:rPr>
              <w:t>如为承担电力工程任务的联合体成员单位人员，须具备机电工程专业二级及以上注册建造师</w:t>
            </w:r>
            <w:r>
              <w:rPr>
                <w:rFonts w:hint="eastAsia" w:cs="@仿宋_GB2312" w:asciiTheme="minorEastAsia" w:hAnsiTheme="minorEastAsia" w:eastAsiaTheme="minorEastAsia"/>
                <w:color w:val="auto"/>
                <w:kern w:val="2"/>
                <w:sz w:val="24"/>
                <w:szCs w:val="22"/>
              </w:rPr>
              <w:t>；</w:t>
            </w:r>
          </w:p>
          <w:p w14:paraId="1DD07C74">
            <w:pPr>
              <w:spacing w:line="360" w:lineRule="auto"/>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（2）响应文件中提供证书扫描件。</w:t>
            </w:r>
          </w:p>
        </w:tc>
      </w:tr>
      <w:tr w14:paraId="7CE4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5C0A7CFE">
            <w:pPr>
              <w:spacing w:line="360" w:lineRule="auto"/>
              <w:jc w:val="center"/>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7</w:t>
            </w:r>
          </w:p>
        </w:tc>
        <w:tc>
          <w:tcPr>
            <w:tcW w:w="1277" w:type="dxa"/>
            <w:vAlign w:val="center"/>
          </w:tcPr>
          <w:p w14:paraId="6F56AA4B">
            <w:pPr>
              <w:pStyle w:val="9"/>
              <w:widowControl w:val="0"/>
              <w:spacing w:before="0" w:beforeAutospacing="0" w:after="0" w:afterAutospacing="0" w:line="360" w:lineRule="auto"/>
              <w:rPr>
                <w:rFonts w:cs="@仿宋_GB2312" w:asciiTheme="minorEastAsia" w:hAnsiTheme="minorEastAsia" w:eastAsiaTheme="minorEastAsia"/>
                <w:color w:val="auto"/>
                <w:kern w:val="2"/>
                <w:sz w:val="24"/>
              </w:rPr>
            </w:pPr>
            <w:r>
              <w:rPr>
                <w:rFonts w:hint="eastAsia" w:asciiTheme="minorHAnsi" w:hAnsiTheme="minorHAnsi" w:eastAsiaTheme="minorEastAsia"/>
                <w:b w:val="0"/>
                <w:color w:val="auto"/>
                <w:kern w:val="2"/>
                <w:sz w:val="24"/>
              </w:rPr>
              <w:t>本项目采购标的名称及所属行业</w:t>
            </w:r>
          </w:p>
        </w:tc>
        <w:tc>
          <w:tcPr>
            <w:tcW w:w="6287" w:type="dxa"/>
            <w:vAlign w:val="center"/>
          </w:tcPr>
          <w:p w14:paraId="1B039CAF">
            <w:pPr>
              <w:spacing w:line="360" w:lineRule="auto"/>
              <w:jc w:val="left"/>
              <w:rPr>
                <w:rFonts w:hint="eastAsia" w:asciiTheme="minorEastAsia" w:hAnsiTheme="minorEastAsia" w:eastAsiaTheme="minorEastAsia"/>
                <w:color w:val="auto"/>
                <w:kern w:val="2"/>
                <w:sz w:val="24"/>
                <w:szCs w:val="22"/>
                <w:lang w:eastAsia="zh-CN"/>
              </w:rPr>
            </w:pPr>
            <w:r>
              <w:rPr>
                <w:rFonts w:hint="eastAsia" w:asciiTheme="minorEastAsia" w:hAnsiTheme="minorEastAsia" w:eastAsiaTheme="minorEastAsia"/>
                <w:color w:val="auto"/>
                <w:kern w:val="2"/>
                <w:sz w:val="24"/>
                <w:szCs w:val="22"/>
              </w:rPr>
              <w:t>标的名称：</w:t>
            </w:r>
            <w:r>
              <w:rPr>
                <w:rFonts w:hint="eastAsia" w:eastAsiaTheme="minorEastAsia"/>
                <w:color w:val="auto"/>
                <w:kern w:val="2"/>
                <w:sz w:val="24"/>
                <w:szCs w:val="18"/>
                <w:lang w:eastAsia="zh-CN"/>
              </w:rPr>
              <w:t>运动队训练用房改造提升项目</w:t>
            </w:r>
          </w:p>
          <w:p w14:paraId="40A50192">
            <w:pPr>
              <w:rPr>
                <w:rFonts w:asciiTheme="minorHAnsi" w:hAnsiTheme="minorHAnsi" w:eastAsiaTheme="minorEastAsia"/>
                <w:color w:val="auto"/>
                <w:kern w:val="2"/>
                <w:sz w:val="24"/>
                <w:szCs w:val="22"/>
              </w:rPr>
            </w:pPr>
            <w:r>
              <w:rPr>
                <w:rFonts w:hint="eastAsia" w:asciiTheme="minorEastAsia" w:hAnsiTheme="minorEastAsia" w:eastAsiaTheme="minorEastAsia"/>
                <w:color w:val="auto"/>
                <w:kern w:val="2"/>
                <w:sz w:val="24"/>
                <w:szCs w:val="22"/>
              </w:rPr>
              <w:t>所属行业：建筑业</w:t>
            </w:r>
          </w:p>
        </w:tc>
      </w:tr>
      <w:tr w14:paraId="523C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682EA90">
            <w:pPr>
              <w:spacing w:line="360" w:lineRule="auto"/>
              <w:jc w:val="center"/>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8</w:t>
            </w:r>
          </w:p>
        </w:tc>
        <w:tc>
          <w:tcPr>
            <w:tcW w:w="1277" w:type="dxa"/>
            <w:vAlign w:val="center"/>
          </w:tcPr>
          <w:p w14:paraId="49F03C73">
            <w:pPr>
              <w:spacing w:line="360" w:lineRule="auto"/>
              <w:jc w:val="left"/>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工程地点</w:t>
            </w:r>
          </w:p>
        </w:tc>
        <w:tc>
          <w:tcPr>
            <w:tcW w:w="6287" w:type="dxa"/>
            <w:vAlign w:val="center"/>
          </w:tcPr>
          <w:p w14:paraId="0F687494">
            <w:pPr>
              <w:spacing w:line="360" w:lineRule="auto"/>
              <w:jc w:val="left"/>
              <w:rPr>
                <w:rFonts w:cs="@仿宋_GB2312" w:asciiTheme="minorEastAsia" w:hAnsiTheme="minorEastAsia" w:eastAsiaTheme="minorEastAsia"/>
                <w:color w:val="auto"/>
                <w:kern w:val="2"/>
                <w:sz w:val="24"/>
                <w:szCs w:val="22"/>
              </w:rPr>
            </w:pPr>
            <w:r>
              <w:rPr>
                <w:rFonts w:cs="@仿宋_GB2312" w:asciiTheme="minorEastAsia" w:hAnsiTheme="minorEastAsia" w:eastAsiaTheme="minorEastAsia"/>
                <w:color w:val="auto"/>
                <w:kern w:val="2"/>
                <w:sz w:val="24"/>
                <w:szCs w:val="22"/>
              </w:rPr>
              <w:t>安徽省合肥市</w:t>
            </w:r>
            <w:r>
              <w:rPr>
                <w:rFonts w:hint="eastAsia" w:cs="@仿宋_GB2312" w:asciiTheme="minorEastAsia" w:hAnsiTheme="minorEastAsia" w:eastAsiaTheme="minorEastAsia"/>
                <w:color w:val="auto"/>
                <w:kern w:val="2"/>
                <w:sz w:val="24"/>
                <w:szCs w:val="22"/>
              </w:rPr>
              <w:t>，</w:t>
            </w:r>
            <w:r>
              <w:rPr>
                <w:rFonts w:hint="eastAsia" w:eastAsiaTheme="minorEastAsia"/>
                <w:bCs/>
                <w:color w:val="auto"/>
                <w:kern w:val="2"/>
                <w:sz w:val="24"/>
                <w:szCs w:val="22"/>
              </w:rPr>
              <w:t>采购人指定地点</w:t>
            </w:r>
          </w:p>
        </w:tc>
      </w:tr>
      <w:tr w14:paraId="30A0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9A68FE5">
            <w:pPr>
              <w:spacing w:line="360" w:lineRule="auto"/>
              <w:jc w:val="center"/>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9</w:t>
            </w:r>
          </w:p>
        </w:tc>
        <w:tc>
          <w:tcPr>
            <w:tcW w:w="1277" w:type="dxa"/>
            <w:vAlign w:val="center"/>
          </w:tcPr>
          <w:p w14:paraId="363B048C">
            <w:pPr>
              <w:spacing w:line="360" w:lineRule="auto"/>
              <w:jc w:val="left"/>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质量标准</w:t>
            </w:r>
          </w:p>
        </w:tc>
        <w:tc>
          <w:tcPr>
            <w:tcW w:w="6287" w:type="dxa"/>
            <w:vAlign w:val="center"/>
          </w:tcPr>
          <w:p w14:paraId="748D2471">
            <w:pPr>
              <w:spacing w:line="360" w:lineRule="auto"/>
              <w:jc w:val="left"/>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达到合格标准</w:t>
            </w:r>
          </w:p>
        </w:tc>
      </w:tr>
      <w:tr w14:paraId="0D7E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7835787">
            <w:pPr>
              <w:spacing w:line="360" w:lineRule="auto"/>
              <w:jc w:val="center"/>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10</w:t>
            </w:r>
          </w:p>
        </w:tc>
        <w:tc>
          <w:tcPr>
            <w:tcW w:w="1277" w:type="dxa"/>
            <w:vAlign w:val="center"/>
          </w:tcPr>
          <w:p w14:paraId="55F5494E">
            <w:pPr>
              <w:spacing w:line="360" w:lineRule="auto"/>
              <w:jc w:val="left"/>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计划工期</w:t>
            </w:r>
          </w:p>
        </w:tc>
        <w:tc>
          <w:tcPr>
            <w:tcW w:w="6287" w:type="dxa"/>
            <w:vAlign w:val="center"/>
          </w:tcPr>
          <w:p w14:paraId="0479B148">
            <w:pPr>
              <w:spacing w:line="360" w:lineRule="auto"/>
              <w:jc w:val="left"/>
              <w:rPr>
                <w:rFonts w:cs="@仿宋_GB2312" w:asciiTheme="minorEastAsia" w:hAnsiTheme="minorEastAsia" w:eastAsiaTheme="minorEastAsia"/>
                <w:color w:val="auto"/>
                <w:kern w:val="2"/>
                <w:sz w:val="24"/>
                <w:szCs w:val="22"/>
              </w:rPr>
            </w:pPr>
            <w:bookmarkStart w:id="6" w:name="OLE_LINK1"/>
            <w:r>
              <w:rPr>
                <w:rFonts w:hint="eastAsia" w:cs="@仿宋_GB2312" w:asciiTheme="minorEastAsia" w:hAnsiTheme="minorEastAsia" w:eastAsiaTheme="minorEastAsia"/>
                <w:color w:val="auto"/>
                <w:kern w:val="2"/>
                <w:sz w:val="24"/>
                <w:szCs w:val="22"/>
              </w:rPr>
              <w:t>自合同生效之日起，</w:t>
            </w:r>
            <w:r>
              <w:rPr>
                <w:rFonts w:hint="eastAsia" w:cs="@仿宋_GB2312" w:asciiTheme="minorEastAsia" w:hAnsiTheme="minorEastAsia" w:eastAsiaTheme="minorEastAsia"/>
                <w:color w:val="auto"/>
                <w:kern w:val="2"/>
                <w:sz w:val="24"/>
                <w:szCs w:val="22"/>
                <w:lang w:val="en-US" w:eastAsia="zh-CN"/>
              </w:rPr>
              <w:t>90</w:t>
            </w:r>
            <w:r>
              <w:rPr>
                <w:rFonts w:hint="eastAsia" w:cs="@仿宋_GB2312" w:asciiTheme="minorEastAsia" w:hAnsiTheme="minorEastAsia" w:eastAsiaTheme="minorEastAsia"/>
                <w:color w:val="auto"/>
                <w:kern w:val="2"/>
                <w:sz w:val="24"/>
                <w:szCs w:val="22"/>
              </w:rPr>
              <w:t>个日历天</w:t>
            </w:r>
            <w:bookmarkEnd w:id="6"/>
            <w:r>
              <w:rPr>
                <w:rFonts w:hint="eastAsia" w:cs="@仿宋_GB2312" w:asciiTheme="minorEastAsia" w:hAnsiTheme="minorEastAsia" w:eastAsiaTheme="minorEastAsia"/>
                <w:color w:val="auto"/>
                <w:kern w:val="2"/>
                <w:sz w:val="24"/>
                <w:szCs w:val="22"/>
              </w:rPr>
              <w:t>。</w:t>
            </w:r>
          </w:p>
          <w:p w14:paraId="1E3298E7">
            <w:pPr>
              <w:spacing w:line="360" w:lineRule="auto"/>
              <w:jc w:val="left"/>
              <w:rPr>
                <w:rFonts w:cs="@仿宋_GB2312" w:asciiTheme="minorEastAsia" w:hAnsiTheme="minorEastAsia" w:eastAsiaTheme="minorEastAsia"/>
                <w:color w:val="auto"/>
                <w:kern w:val="2"/>
                <w:sz w:val="24"/>
                <w:szCs w:val="22"/>
              </w:rPr>
            </w:pPr>
            <w:r>
              <w:rPr>
                <w:rFonts w:hint="eastAsia" w:cs="@仿宋_GB2312" w:asciiTheme="minorEastAsia" w:hAnsiTheme="minorEastAsia" w:eastAsiaTheme="minorEastAsia"/>
                <w:color w:val="auto"/>
                <w:kern w:val="2"/>
                <w:sz w:val="24"/>
                <w:szCs w:val="22"/>
              </w:rPr>
              <w:t>除上述总工期外，采购人还要求以下区段/节点工期：/</w:t>
            </w:r>
          </w:p>
        </w:tc>
      </w:tr>
    </w:tbl>
    <w:p w14:paraId="4E2D0697">
      <w:pPr>
        <w:pStyle w:val="5"/>
        <w:widowControl/>
        <w:spacing w:line="360" w:lineRule="auto"/>
        <w:ind w:firstLine="480" w:firstLineChars="200"/>
        <w:rPr>
          <w:rFonts w:asciiTheme="minorEastAsia" w:hAnsiTheme="minorEastAsia" w:cstheme="minorEastAsia"/>
          <w:color w:val="auto"/>
          <w:sz w:val="24"/>
          <w:szCs w:val="24"/>
        </w:rPr>
      </w:pPr>
    </w:p>
    <w:p w14:paraId="46E843AF">
      <w:pPr>
        <w:pStyle w:val="4"/>
        <w:spacing w:before="0" w:after="0" w:line="360" w:lineRule="auto"/>
        <w:rPr>
          <w:rFonts w:asciiTheme="minorEastAsia" w:hAnsiTheme="minorEastAsia" w:eastAsiaTheme="minorEastAsia" w:cstheme="minorEastAsia"/>
          <w:color w:val="auto"/>
          <w:sz w:val="24"/>
          <w:szCs w:val="24"/>
        </w:rPr>
      </w:pPr>
      <w:bookmarkStart w:id="7" w:name="_Toc23730"/>
      <w:r>
        <w:rPr>
          <w:rFonts w:hint="eastAsia" w:asciiTheme="minorEastAsia" w:hAnsiTheme="minorEastAsia" w:eastAsiaTheme="minorEastAsia" w:cstheme="minorEastAsia"/>
          <w:color w:val="auto"/>
          <w:sz w:val="24"/>
          <w:szCs w:val="24"/>
          <w:lang w:val="en-US"/>
        </w:rPr>
        <w:t>一、</w:t>
      </w:r>
      <w:r>
        <w:rPr>
          <w:rFonts w:hint="eastAsia" w:asciiTheme="minorEastAsia" w:hAnsiTheme="minorEastAsia" w:eastAsiaTheme="minorEastAsia" w:cstheme="minorEastAsia"/>
          <w:color w:val="auto"/>
          <w:sz w:val="24"/>
          <w:szCs w:val="24"/>
        </w:rPr>
        <w:t>项目概况及总体要求</w:t>
      </w:r>
      <w:bookmarkEnd w:id="7"/>
    </w:p>
    <w:p w14:paraId="2358DABD">
      <w:pPr>
        <w:pStyle w:val="5"/>
        <w:widowControl/>
        <w:spacing w:line="360" w:lineRule="auto"/>
        <w:ind w:firstLine="480" w:firstLineChars="200"/>
        <w:outlineLvl w:val="1"/>
        <w:rPr>
          <w:rFonts w:hint="eastAsia" w:asciiTheme="minorEastAsia" w:hAnsiTheme="minorEastAsia" w:eastAsiaTheme="minorEastAsia" w:cstheme="minorEastAsia"/>
          <w:color w:val="auto"/>
          <w:sz w:val="24"/>
          <w:szCs w:val="24"/>
          <w:lang w:eastAsia="zh-CN"/>
        </w:rPr>
      </w:pPr>
      <w:bookmarkStart w:id="8" w:name="_Toc466024558"/>
      <w:bookmarkStart w:id="9" w:name="_Toc445554749"/>
      <w:bookmarkStart w:id="10" w:name="_Toc455587275"/>
      <w:bookmarkStart w:id="11" w:name="_Toc18199"/>
      <w:bookmarkStart w:id="12" w:name="_Toc455587091"/>
      <w:r>
        <w:rPr>
          <w:rFonts w:hint="eastAsia" w:asciiTheme="minorEastAsia" w:hAnsiTheme="minorEastAsia" w:eastAsiaTheme="minorEastAsia" w:cstheme="minorEastAsia"/>
          <w:color w:val="auto"/>
          <w:sz w:val="24"/>
          <w:szCs w:val="24"/>
          <w:lang w:eastAsia="zh-CN"/>
        </w:rPr>
        <w:t>运动队训练用房改造提升项目，施工范围包括：（1）乒乓球馆地胶购置与铺设、墙面重新粉刷、窗帘更换、卫生间重新装修、安装更衣柜、新增大功率空调、安装门禁系统、用电线路改造等；（2）羽毛球馆地胶购置与铺设、移动羽毛球网柱购置与安装、墙面重新粉刷、屋面防水维修、安装更衣柜、新增空调、安装门禁系统等；（3）变压器更换、用电线路改造、路面改造等。具体内容详见图纸及工程量清单。</w:t>
      </w:r>
    </w:p>
    <w:p w14:paraId="4E1BFD1B">
      <w:pPr>
        <w:pStyle w:val="5"/>
        <w:widowControl/>
        <w:spacing w:line="360" w:lineRule="auto"/>
        <w:outlineLvl w:val="1"/>
        <w:rPr>
          <w:rStyle w:val="10"/>
          <w:rFonts w:asciiTheme="minorEastAsia" w:hAnsiTheme="minorEastAsia" w:eastAsiaTheme="minorEastAsia" w:cstheme="minorEastAsia"/>
          <w:color w:val="auto"/>
          <w:sz w:val="24"/>
          <w:szCs w:val="24"/>
        </w:rPr>
      </w:pPr>
      <w:r>
        <w:rPr>
          <w:rStyle w:val="10"/>
          <w:rFonts w:hint="eastAsia" w:asciiTheme="minorEastAsia" w:hAnsiTheme="minorEastAsia" w:cstheme="minorEastAsia"/>
          <w:color w:val="auto"/>
          <w:sz w:val="24"/>
          <w:szCs w:val="24"/>
        </w:rPr>
        <w:t>二、</w:t>
      </w:r>
      <w:r>
        <w:rPr>
          <w:rStyle w:val="10"/>
          <w:rFonts w:hint="eastAsia" w:asciiTheme="minorEastAsia" w:hAnsiTheme="minorEastAsia" w:eastAsiaTheme="minorEastAsia" w:cstheme="minorEastAsia"/>
          <w:color w:val="auto"/>
          <w:sz w:val="24"/>
          <w:szCs w:val="24"/>
        </w:rPr>
        <w:t>技术要求</w:t>
      </w:r>
      <w:bookmarkEnd w:id="8"/>
      <w:bookmarkEnd w:id="9"/>
      <w:bookmarkEnd w:id="10"/>
      <w:bookmarkEnd w:id="11"/>
      <w:bookmarkEnd w:id="12"/>
    </w:p>
    <w:p w14:paraId="69B64D63">
      <w:pPr>
        <w:pStyle w:val="5"/>
        <w:widowControl/>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按照图纸、工程量清单要求及最新国家相关标准、规范要求执行。</w:t>
      </w:r>
    </w:p>
    <w:p w14:paraId="69BAC537">
      <w:pPr>
        <w:keepNext/>
        <w:keepLines/>
        <w:widowControl w:val="0"/>
        <w:spacing w:before="0" w:after="0" w:line="360" w:lineRule="auto"/>
        <w:jc w:val="both"/>
        <w:outlineLvl w:val="1"/>
        <w:rPr>
          <w:rFonts w:asciiTheme="minorEastAsia" w:hAnsiTheme="minorEastAsia" w:eastAsiaTheme="minorEastAsia" w:cstheme="minorEastAsia"/>
          <w:b/>
          <w:bCs/>
          <w:color w:val="auto"/>
          <w:kern w:val="2"/>
          <w:sz w:val="24"/>
          <w:szCs w:val="24"/>
          <w:lang w:val="zh-CN" w:eastAsia="zh-CN" w:bidi="ar-SA"/>
        </w:rPr>
      </w:pPr>
      <w:bookmarkStart w:id="13" w:name="_Toc29071"/>
      <w:r>
        <w:rPr>
          <w:rFonts w:hint="eastAsia" w:asciiTheme="minorEastAsia" w:hAnsiTheme="minorEastAsia" w:eastAsiaTheme="minorEastAsia" w:cstheme="minorEastAsia"/>
          <w:b/>
          <w:bCs/>
          <w:color w:val="auto"/>
          <w:kern w:val="2"/>
          <w:sz w:val="24"/>
          <w:szCs w:val="24"/>
          <w:lang w:val="en-US" w:eastAsia="zh-CN" w:bidi="ar-SA"/>
        </w:rPr>
        <w:t>三、</w:t>
      </w:r>
      <w:r>
        <w:rPr>
          <w:rFonts w:hint="eastAsia" w:asciiTheme="minorEastAsia" w:hAnsiTheme="minorEastAsia" w:eastAsiaTheme="minorEastAsia" w:cstheme="minorEastAsia"/>
          <w:b/>
          <w:bCs/>
          <w:color w:val="auto"/>
          <w:kern w:val="2"/>
          <w:sz w:val="24"/>
          <w:szCs w:val="24"/>
          <w:lang w:val="zh-CN" w:eastAsia="zh-CN" w:bidi="ar-SA"/>
        </w:rPr>
        <w:t>报价要求</w:t>
      </w:r>
    </w:p>
    <w:p w14:paraId="794F38BF">
      <w:pPr>
        <w:keepNext/>
        <w:keepLines/>
        <w:spacing w:line="360" w:lineRule="auto"/>
        <w:outlineLvl w:val="1"/>
        <w:rPr>
          <w:rFonts w:asciiTheme="minorEastAsia" w:hAnsiTheme="minorEastAsia" w:eastAsiaTheme="minorEastAsia" w:cstheme="minorEastAsia"/>
          <w:b/>
          <w:bCs/>
          <w:color w:val="auto"/>
          <w:sz w:val="24"/>
          <w:szCs w:val="24"/>
        </w:rPr>
      </w:pPr>
      <w:bookmarkStart w:id="14" w:name="_Toc22767"/>
      <w:bookmarkStart w:id="15" w:name="_Toc28825"/>
      <w:r>
        <w:rPr>
          <w:rFonts w:hint="eastAsia" w:asciiTheme="minorEastAsia" w:hAnsiTheme="minorEastAsia" w:eastAsiaTheme="minorEastAsia" w:cstheme="minorEastAsia"/>
          <w:b/>
          <w:bCs/>
          <w:color w:val="auto"/>
          <w:sz w:val="24"/>
          <w:szCs w:val="24"/>
        </w:rPr>
        <w:t>3.1计价依据</w:t>
      </w:r>
      <w:bookmarkEnd w:id="14"/>
      <w:bookmarkEnd w:id="15"/>
    </w:p>
    <w:p w14:paraId="409BAE6D">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3.1.1 计价依据的确定符合国家法律法规、现行有关标准与规范，工程所在地的省、市工程定额和工程造价的规定以及工程造价信息要求。</w:t>
      </w:r>
    </w:p>
    <w:p w14:paraId="2904D43D">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3.1.2 </w:t>
      </w:r>
      <w:bookmarkStart w:id="16" w:name="OLE_LINK6"/>
      <w:r>
        <w:rPr>
          <w:rFonts w:hint="eastAsia" w:asciiTheme="minorEastAsia" w:hAnsiTheme="minorEastAsia" w:eastAsiaTheme="minorEastAsia" w:cstheme="minorEastAsia"/>
          <w:color w:val="auto"/>
          <w:sz w:val="24"/>
          <w:szCs w:val="24"/>
        </w:rPr>
        <w:t>安全文明施工费</w:t>
      </w:r>
      <w:bookmarkEnd w:id="16"/>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详见最高限价中</w:t>
      </w:r>
      <w:r>
        <w:rPr>
          <w:rFonts w:hint="eastAsia" w:asciiTheme="minorEastAsia" w:hAnsiTheme="minorEastAsia" w:eastAsiaTheme="minorEastAsia" w:cstheme="minorEastAsia"/>
          <w:color w:val="auto"/>
          <w:sz w:val="24"/>
          <w:szCs w:val="24"/>
        </w:rPr>
        <w:t>安全文明施工费</w:t>
      </w:r>
      <w:r>
        <w:rPr>
          <w:rFonts w:hint="eastAsia" w:asciiTheme="minorEastAsia" w:hAnsiTheme="minorEastAsia" w:eastAsiaTheme="minorEastAsia" w:cstheme="minorEastAsia"/>
          <w:color w:val="auto"/>
          <w:sz w:val="24"/>
          <w:szCs w:val="24"/>
          <w:lang w:val="en-US" w:eastAsia="zh-CN"/>
        </w:rPr>
        <w:t>。</w:t>
      </w:r>
    </w:p>
    <w:p w14:paraId="44B4C547">
      <w:pPr>
        <w:keepNext/>
        <w:keepLines/>
        <w:spacing w:line="360" w:lineRule="auto"/>
        <w:outlineLvl w:val="1"/>
        <w:rPr>
          <w:rFonts w:asciiTheme="minorEastAsia" w:hAnsiTheme="minorEastAsia" w:eastAsiaTheme="minorEastAsia" w:cstheme="minorEastAsia"/>
          <w:b/>
          <w:bCs/>
          <w:color w:val="auto"/>
          <w:sz w:val="24"/>
          <w:szCs w:val="24"/>
        </w:rPr>
      </w:pPr>
      <w:bookmarkStart w:id="17" w:name="_Toc4564"/>
      <w:bookmarkStart w:id="18" w:name="_Toc22790"/>
      <w:r>
        <w:rPr>
          <w:rFonts w:hint="eastAsia" w:asciiTheme="minorEastAsia" w:hAnsiTheme="minorEastAsia" w:eastAsiaTheme="minorEastAsia" w:cstheme="minorEastAsia"/>
          <w:b/>
          <w:bCs/>
          <w:color w:val="auto"/>
          <w:sz w:val="24"/>
          <w:szCs w:val="24"/>
        </w:rPr>
        <w:t>3.2响应报价参考编制要求</w:t>
      </w:r>
      <w:bookmarkEnd w:id="17"/>
      <w:bookmarkEnd w:id="18"/>
    </w:p>
    <w:p w14:paraId="08C439C9">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3.2.1 响应报价编制参考依据如下：</w:t>
      </w:r>
    </w:p>
    <w:p w14:paraId="4C621651">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（1）2018版安徽省建设工程计价依据及相关配套定额；</w:t>
      </w:r>
    </w:p>
    <w:p w14:paraId="6CAA6E4E">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（2）关于发布《安徽省建设工程计价依据动态调整（第1期）》的公告（安徽省住房和城乡建设厅公告第51号）；</w:t>
      </w:r>
    </w:p>
    <w:p w14:paraId="48F82B0B">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（3）关于贯彻执行《2018版安徽省建设工程计价依据动态调整（第1期）》的通知（合建监管〔2024〕13号）； </w:t>
      </w:r>
    </w:p>
    <w:p w14:paraId="4B8D5AC3">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（4）关于调整合肥市建设工程计价依据增值税税率的通知（合造价〔2019〕1号）；</w:t>
      </w:r>
    </w:p>
    <w:p w14:paraId="18F1A2B3">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（5）关于合肥市建设工程人工价格信息发布及计价应用工作的通知(合造价〔2021〕8号)；</w:t>
      </w:r>
    </w:p>
    <w:p w14:paraId="6C20FB4E">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（6）建设工程设计文件及相关资料（如有）；</w:t>
      </w:r>
    </w:p>
    <w:p w14:paraId="4F0C2839">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（7）与建设项目有关的标准、规范、技术资料；</w:t>
      </w:r>
    </w:p>
    <w:p w14:paraId="7BA62FC8">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（8）采购文件及工程量清单及其补充通知更正； </w:t>
      </w:r>
    </w:p>
    <w:p w14:paraId="6C97C619">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（9）施工现场情况、工程特点及拟定的投标施工组织设计；</w:t>
      </w:r>
    </w:p>
    <w:p w14:paraId="65D9DC3C">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（10）市场价格信息或参照工程造价管理机构发布的工程造价信息；</w:t>
      </w:r>
    </w:p>
    <w:p w14:paraId="2DDBD68E">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（11）合同执行期间由供应商承担的风险因素；</w:t>
      </w:r>
    </w:p>
    <w:p w14:paraId="7DF11035">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（12）其他相关材料。</w:t>
      </w:r>
    </w:p>
    <w:p w14:paraId="37A01877">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3.2.2供应商应仔细阅读采购文件，了解全部工程内容。供应商的响应报价应是采购文件所确定的采购范围内全部工程内容的价格体现，但其响应报价不得低于供应商个别成本价。</w:t>
      </w:r>
    </w:p>
    <w:p w14:paraId="1D41E8D7">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3.2.3供应商应按采购人提供的工程量清单填报综合单价和合价，未填报的综合单价和合价，视为此项费用已合在工程量清单的其他综合单价和合价中。</w:t>
      </w:r>
    </w:p>
    <w:p w14:paraId="164160F7">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3.2.4分部分项工程费根据采购文件中的工程量清单项目及项目特征描述等确定综合单价。其中综合单价是指完成一个规定清单项目所需的人工费、材料和工程设备费、施工机具使用费和综合费（企业管理费和利润）以及一定范围内供应商承担的风险费用。</w:t>
      </w:r>
    </w:p>
    <w:p w14:paraId="5704E0A2">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3.2.5措施项目费依据第3.2.1项编制依据确定。</w:t>
      </w:r>
    </w:p>
    <w:p w14:paraId="78F56279">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3.2.6不可竞争费（含安全文明施工费、环境保护税）根据工程量清单不可竞争项目，结合第3.2.1项编制依据确定，安全文明施工费费率不得调整。</w:t>
      </w:r>
    </w:p>
    <w:p w14:paraId="340A968C">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3.2.7其他项目费用应按照下列规定计价：</w:t>
      </w:r>
    </w:p>
    <w:p w14:paraId="2E756611">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（1）暂列金额按工程量清单中列出的金额填写，不得更改；</w:t>
      </w:r>
    </w:p>
    <w:p w14:paraId="60ACDD88">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（2）专业工程暂估价按工程量清单中列出的金额填写，不得更改；</w:t>
      </w:r>
    </w:p>
    <w:p w14:paraId="70742DA6">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（3）计日工按采购人列出项目和数量，结合第3.2.1项编制依据的要求确定综合单价并计算费用； </w:t>
      </w:r>
    </w:p>
    <w:p w14:paraId="2E46A014">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（4）总承包服务费根据采购文件列出的内容和要求计算。</w:t>
      </w:r>
    </w:p>
    <w:p w14:paraId="70D92DC5">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3.2.8税金（增值税）按税金项目清单，结合第3.2.1项编制依据的要求编制，不得调整。</w:t>
      </w:r>
    </w:p>
    <w:p w14:paraId="1C19E1B0">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3.2.9 响应报价编制注意事项</w:t>
      </w:r>
    </w:p>
    <w:p w14:paraId="181A084E">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（1）对于受施工现场场地限制，如需要另外寻找场地解决临时住宿、材料及设备堆放，由此所产生的费用应包含在响应报价范围内，采购人不再承担该费用；</w:t>
      </w:r>
    </w:p>
    <w:p w14:paraId="6CE9CC49">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开启前，供应商应认真对照施工设计图纸等文件核对采购人提供的工程量清单，发现工程量存在项目划分误差、计量单位误差、数量误差、遗漏项目的，必须在采购文件规定的时间内向采购人提出异议或修正要求，否则采购人可不予答复；</w:t>
      </w:r>
    </w:p>
    <w:p w14:paraId="7B9E3000">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采购人对异议或修正要求应进行核实，确认工程量清单项目误差在±3%（含±3%）以内的，采购人可不予调整工程量，供应商应将其误差考虑在综合单价内；若有遗漏项目或清单项目工程量误差超过±3%的，采购人应进行修正并重新公布准确的工程量清单；</w:t>
      </w:r>
    </w:p>
    <w:p w14:paraId="48B61E07">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（4）除合同另有约定外，成交供应商在工程量清单报价书中所报的综合单价在施工图纸和合同约定范围一律不予调整；</w:t>
      </w:r>
    </w:p>
    <w:p w14:paraId="46437FB1">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（5）本项目不接受恶意不平衡报价</w:t>
      </w:r>
      <w:r>
        <w:rPr>
          <w:rFonts w:hint="eastAsia" w:asciiTheme="minorEastAsia" w:hAnsiTheme="minorEastAsia" w:eastAsiaTheme="minorEastAsia" w:cstheme="minorEastAsia"/>
          <w:bCs/>
          <w:color w:val="auto"/>
          <w:sz w:val="24"/>
          <w:szCs w:val="24"/>
        </w:rPr>
        <w:t>。</w:t>
      </w:r>
    </w:p>
    <w:bookmarkEnd w:id="13"/>
    <w:p w14:paraId="697E4FE6">
      <w:pPr>
        <w:pStyle w:val="4"/>
        <w:spacing w:before="0" w:after="0" w:line="360" w:lineRule="auto"/>
        <w:rPr>
          <w:rFonts w:asciiTheme="minorEastAsia" w:hAnsiTheme="minorEastAsia" w:eastAsiaTheme="minorEastAsia" w:cstheme="minorEastAsia"/>
          <w:color w:val="auto"/>
          <w:sz w:val="24"/>
          <w:szCs w:val="24"/>
        </w:rPr>
      </w:pPr>
      <w:bookmarkStart w:id="19" w:name="_Toc25124"/>
      <w:bookmarkStart w:id="20" w:name="_Toc527541657"/>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val="en-US"/>
        </w:rPr>
        <w:t>、</w:t>
      </w:r>
      <w:r>
        <w:rPr>
          <w:rFonts w:hint="eastAsia" w:asciiTheme="minorEastAsia" w:hAnsiTheme="minorEastAsia" w:eastAsiaTheme="minorEastAsia" w:cstheme="minorEastAsia"/>
          <w:color w:val="auto"/>
          <w:sz w:val="24"/>
          <w:szCs w:val="24"/>
        </w:rPr>
        <w:t>相当于或优于以下品牌（如有）</w:t>
      </w:r>
    </w:p>
    <w:tbl>
      <w:tblPr>
        <w:tblStyle w:val="6"/>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297"/>
        <w:gridCol w:w="4607"/>
        <w:gridCol w:w="2222"/>
      </w:tblGrid>
      <w:tr w14:paraId="0408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14:paraId="68B3E557">
            <w:pPr>
              <w:spacing w:line="360" w:lineRule="auto"/>
              <w:jc w:val="center"/>
              <w:rPr>
                <w:rFonts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序号</w:t>
            </w:r>
          </w:p>
        </w:tc>
        <w:tc>
          <w:tcPr>
            <w:tcW w:w="2297" w:type="dxa"/>
          </w:tcPr>
          <w:p w14:paraId="635299FA">
            <w:pPr>
              <w:spacing w:line="360" w:lineRule="auto"/>
              <w:jc w:val="center"/>
              <w:rPr>
                <w:rFonts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材料名称（如有）</w:t>
            </w:r>
          </w:p>
        </w:tc>
        <w:tc>
          <w:tcPr>
            <w:tcW w:w="4607" w:type="dxa"/>
          </w:tcPr>
          <w:p w14:paraId="3D344BB8">
            <w:pPr>
              <w:spacing w:line="360" w:lineRule="auto"/>
              <w:jc w:val="center"/>
              <w:rPr>
                <w:rFonts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相当于或优于以下品牌</w:t>
            </w:r>
          </w:p>
        </w:tc>
        <w:tc>
          <w:tcPr>
            <w:tcW w:w="2222" w:type="dxa"/>
          </w:tcPr>
          <w:p w14:paraId="16E02FB7">
            <w:pPr>
              <w:spacing w:line="360" w:lineRule="auto"/>
              <w:jc w:val="center"/>
              <w:rPr>
                <w:rFonts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备注</w:t>
            </w:r>
          </w:p>
        </w:tc>
      </w:tr>
      <w:tr w14:paraId="6EE0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14:paraId="0DAF6D0E">
            <w:pPr>
              <w:spacing w:line="360" w:lineRule="auto"/>
              <w:jc w:val="center"/>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w:t>
            </w:r>
          </w:p>
        </w:tc>
        <w:tc>
          <w:tcPr>
            <w:tcW w:w="2297" w:type="dxa"/>
          </w:tcPr>
          <w:p w14:paraId="5B8A52B4">
            <w:pPr>
              <w:spacing w:line="360" w:lineRule="auto"/>
              <w:jc w:val="left"/>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水泥</w:t>
            </w:r>
          </w:p>
        </w:tc>
        <w:tc>
          <w:tcPr>
            <w:tcW w:w="4607" w:type="dxa"/>
          </w:tcPr>
          <w:p w14:paraId="7493900F">
            <w:pPr>
              <w:spacing w:line="360" w:lineRule="auto"/>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巢东股份“东关</w:t>
            </w:r>
            <w:r>
              <w:rPr>
                <w:rFonts w:hint="eastAsia" w:asciiTheme="minorEastAsia" w:hAnsiTheme="minorEastAsia" w:eastAsiaTheme="minorEastAsia" w:cstheme="minorEastAsia"/>
                <w:color w:val="auto"/>
                <w:kern w:val="2"/>
                <w:sz w:val="24"/>
                <w:szCs w:val="24"/>
                <w:lang w:eastAsia="zh-CN"/>
              </w:rPr>
              <w:t>”</w:t>
            </w:r>
            <w:r>
              <w:rPr>
                <w:rFonts w:hint="eastAsia" w:asciiTheme="minorEastAsia" w:hAnsiTheme="minorEastAsia" w:eastAsiaTheme="minorEastAsia" w:cstheme="minorEastAsia"/>
                <w:color w:val="auto"/>
                <w:kern w:val="2"/>
                <w:sz w:val="24"/>
                <w:szCs w:val="24"/>
              </w:rPr>
              <w:t>、宁国“海螺”、巢东股份“巢湖”</w:t>
            </w:r>
          </w:p>
        </w:tc>
        <w:tc>
          <w:tcPr>
            <w:tcW w:w="2222" w:type="dxa"/>
          </w:tcPr>
          <w:p w14:paraId="7F672A0B">
            <w:pPr>
              <w:spacing w:line="360" w:lineRule="auto"/>
              <w:rPr>
                <w:rFonts w:asciiTheme="minorEastAsia" w:hAnsiTheme="minorEastAsia" w:eastAsiaTheme="minorEastAsia" w:cstheme="minorEastAsia"/>
                <w:color w:val="auto"/>
                <w:kern w:val="2"/>
                <w:sz w:val="24"/>
                <w:szCs w:val="24"/>
              </w:rPr>
            </w:pPr>
            <w:r>
              <w:rPr>
                <w:rFonts w:hint="eastAsia" w:ascii="宋体" w:hAnsi="宋体"/>
                <w:color w:val="auto"/>
                <w:sz w:val="24"/>
              </w:rPr>
              <w:t>本工程所用的所用水泥，包括商品砼所用的水泥</w:t>
            </w:r>
          </w:p>
        </w:tc>
      </w:tr>
      <w:tr w14:paraId="2E8D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14:paraId="5BBA3334">
            <w:pPr>
              <w:spacing w:line="360" w:lineRule="auto"/>
              <w:jc w:val="center"/>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2</w:t>
            </w:r>
          </w:p>
        </w:tc>
        <w:tc>
          <w:tcPr>
            <w:tcW w:w="2297" w:type="dxa"/>
          </w:tcPr>
          <w:p w14:paraId="5EED6236">
            <w:pPr>
              <w:spacing w:line="360" w:lineRule="auto"/>
              <w:jc w:val="left"/>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PP-R、HDPE、PE、UPVC及强弱电电管等类似管材、线槽（强电、弱电、给水、排水）</w:t>
            </w:r>
          </w:p>
        </w:tc>
        <w:tc>
          <w:tcPr>
            <w:tcW w:w="4607" w:type="dxa"/>
          </w:tcPr>
          <w:p w14:paraId="3AA7A74D">
            <w:pPr>
              <w:spacing w:line="360" w:lineRule="auto"/>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国通、浙江中财、日丰、伟星、金德</w:t>
            </w:r>
          </w:p>
        </w:tc>
        <w:tc>
          <w:tcPr>
            <w:tcW w:w="2222" w:type="dxa"/>
          </w:tcPr>
          <w:p w14:paraId="1CE62CEE">
            <w:pPr>
              <w:spacing w:line="360" w:lineRule="auto"/>
              <w:rPr>
                <w:rFonts w:asciiTheme="minorEastAsia" w:hAnsiTheme="minorEastAsia" w:eastAsiaTheme="minorEastAsia" w:cstheme="minorEastAsia"/>
                <w:color w:val="auto"/>
                <w:kern w:val="2"/>
                <w:sz w:val="24"/>
                <w:szCs w:val="24"/>
              </w:rPr>
            </w:pPr>
          </w:p>
        </w:tc>
      </w:tr>
      <w:tr w14:paraId="40FF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top"/>
          </w:tcPr>
          <w:p w14:paraId="2D28ECF0">
            <w:pPr>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rPr>
              <w:t>3</w:t>
            </w:r>
          </w:p>
        </w:tc>
        <w:tc>
          <w:tcPr>
            <w:tcW w:w="2297" w:type="dxa"/>
          </w:tcPr>
          <w:p w14:paraId="1F63D0F1">
            <w:pPr>
              <w:spacing w:line="360" w:lineRule="auto"/>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电力电缆</w:t>
            </w:r>
          </w:p>
        </w:tc>
        <w:tc>
          <w:tcPr>
            <w:tcW w:w="4607" w:type="dxa"/>
          </w:tcPr>
          <w:p w14:paraId="1BF691DB">
            <w:pPr>
              <w:spacing w:line="360" w:lineRule="auto"/>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合肥绿宝、安徽华能电缆集团、远东电缆</w:t>
            </w:r>
          </w:p>
        </w:tc>
        <w:tc>
          <w:tcPr>
            <w:tcW w:w="2222" w:type="dxa"/>
          </w:tcPr>
          <w:p w14:paraId="41C230DE">
            <w:pPr>
              <w:spacing w:line="360" w:lineRule="auto"/>
              <w:rPr>
                <w:rFonts w:asciiTheme="minorEastAsia" w:hAnsiTheme="minorEastAsia" w:eastAsiaTheme="minorEastAsia" w:cstheme="minorEastAsia"/>
                <w:color w:val="auto"/>
                <w:kern w:val="2"/>
                <w:sz w:val="24"/>
                <w:szCs w:val="24"/>
              </w:rPr>
            </w:pPr>
          </w:p>
        </w:tc>
      </w:tr>
      <w:tr w14:paraId="3E39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top"/>
          </w:tcPr>
          <w:p w14:paraId="5FC00CE1">
            <w:pPr>
              <w:spacing w:line="360" w:lineRule="auto"/>
              <w:jc w:val="center"/>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rPr>
              <w:t>4</w:t>
            </w:r>
          </w:p>
        </w:tc>
        <w:tc>
          <w:tcPr>
            <w:tcW w:w="2297" w:type="dxa"/>
          </w:tcPr>
          <w:p w14:paraId="744B7277">
            <w:pPr>
              <w:spacing w:line="360" w:lineRule="auto"/>
              <w:jc w:val="left"/>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内墙砖、通体楼地面玻化砖、抛光砖，通体楼地面、屋面防滑砖、缸砖</w:t>
            </w:r>
          </w:p>
        </w:tc>
        <w:tc>
          <w:tcPr>
            <w:tcW w:w="4607" w:type="dxa"/>
          </w:tcPr>
          <w:p w14:paraId="55FB7EB6">
            <w:pPr>
              <w:spacing w:line="360" w:lineRule="auto"/>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华鹏、冠珠、蒙娜丽莎、金舵、广东法恩莎、诺贝尔</w:t>
            </w:r>
          </w:p>
        </w:tc>
        <w:tc>
          <w:tcPr>
            <w:tcW w:w="2222" w:type="dxa"/>
          </w:tcPr>
          <w:p w14:paraId="565D8738">
            <w:pPr>
              <w:spacing w:line="360" w:lineRule="auto"/>
              <w:rPr>
                <w:rFonts w:asciiTheme="minorEastAsia" w:hAnsiTheme="minorEastAsia" w:eastAsiaTheme="minorEastAsia" w:cstheme="minorEastAsia"/>
                <w:color w:val="auto"/>
                <w:kern w:val="2"/>
                <w:sz w:val="24"/>
                <w:szCs w:val="24"/>
              </w:rPr>
            </w:pPr>
          </w:p>
        </w:tc>
      </w:tr>
      <w:tr w14:paraId="43A8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top"/>
          </w:tcPr>
          <w:p w14:paraId="4240DAAC">
            <w:pPr>
              <w:spacing w:line="360" w:lineRule="auto"/>
              <w:jc w:val="center"/>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rPr>
              <w:t>5</w:t>
            </w:r>
          </w:p>
        </w:tc>
        <w:tc>
          <w:tcPr>
            <w:tcW w:w="2297" w:type="dxa"/>
          </w:tcPr>
          <w:p w14:paraId="2A1D2EC9">
            <w:pPr>
              <w:spacing w:line="360" w:lineRule="auto"/>
              <w:jc w:val="left"/>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油漆、涂料</w:t>
            </w:r>
          </w:p>
        </w:tc>
        <w:tc>
          <w:tcPr>
            <w:tcW w:w="4607" w:type="dxa"/>
          </w:tcPr>
          <w:p w14:paraId="4E50E6B6">
            <w:pPr>
              <w:spacing w:line="360" w:lineRule="auto"/>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立邦、多乐士、三棵树</w:t>
            </w:r>
          </w:p>
        </w:tc>
        <w:tc>
          <w:tcPr>
            <w:tcW w:w="2222" w:type="dxa"/>
          </w:tcPr>
          <w:p w14:paraId="2AD54A4D">
            <w:pPr>
              <w:spacing w:line="360" w:lineRule="auto"/>
              <w:rPr>
                <w:rFonts w:asciiTheme="minorEastAsia" w:hAnsiTheme="minorEastAsia" w:eastAsiaTheme="minorEastAsia" w:cstheme="minorEastAsia"/>
                <w:color w:val="auto"/>
                <w:kern w:val="2"/>
                <w:sz w:val="24"/>
                <w:szCs w:val="24"/>
              </w:rPr>
            </w:pPr>
          </w:p>
        </w:tc>
      </w:tr>
      <w:tr w14:paraId="4436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top"/>
          </w:tcPr>
          <w:p w14:paraId="54D63C5A">
            <w:pPr>
              <w:spacing w:line="360" w:lineRule="auto"/>
              <w:jc w:val="center"/>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rPr>
              <w:t>6</w:t>
            </w:r>
          </w:p>
        </w:tc>
        <w:tc>
          <w:tcPr>
            <w:tcW w:w="2297" w:type="dxa"/>
          </w:tcPr>
          <w:p w14:paraId="0DB3F3E5">
            <w:pPr>
              <w:spacing w:line="360" w:lineRule="auto"/>
              <w:jc w:val="left"/>
              <w:rPr>
                <w:rFonts w:asciiTheme="minorEastAsia" w:hAnsiTheme="minorEastAsia" w:eastAsiaTheme="minorEastAsia" w:cstheme="minorEastAsia"/>
                <w:color w:val="auto"/>
                <w:kern w:val="2"/>
                <w:sz w:val="24"/>
                <w:szCs w:val="24"/>
              </w:rPr>
            </w:pPr>
            <w:bookmarkStart w:id="21" w:name="OLE_LINK3"/>
            <w:r>
              <w:rPr>
                <w:rFonts w:hint="eastAsia" w:asciiTheme="minorEastAsia" w:hAnsiTheme="minorEastAsia" w:eastAsiaTheme="minorEastAsia" w:cstheme="minorEastAsia"/>
                <w:color w:val="auto"/>
                <w:kern w:val="2"/>
                <w:sz w:val="24"/>
                <w:szCs w:val="24"/>
              </w:rPr>
              <w:t>乒乓球PVC地垫</w:t>
            </w:r>
            <w:bookmarkEnd w:id="21"/>
          </w:p>
        </w:tc>
        <w:tc>
          <w:tcPr>
            <w:tcW w:w="4607" w:type="dxa"/>
          </w:tcPr>
          <w:p w14:paraId="7085103C">
            <w:pPr>
              <w:spacing w:line="360" w:lineRule="auto"/>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天速、威克多、英利奥</w:t>
            </w:r>
          </w:p>
        </w:tc>
        <w:tc>
          <w:tcPr>
            <w:tcW w:w="2222" w:type="dxa"/>
          </w:tcPr>
          <w:p w14:paraId="3A1467EC">
            <w:pPr>
              <w:spacing w:line="360" w:lineRule="auto"/>
              <w:rPr>
                <w:rFonts w:asciiTheme="minorEastAsia" w:hAnsiTheme="minorEastAsia" w:eastAsiaTheme="minorEastAsia" w:cstheme="minorEastAsia"/>
                <w:color w:val="auto"/>
                <w:kern w:val="2"/>
                <w:sz w:val="24"/>
                <w:szCs w:val="24"/>
              </w:rPr>
            </w:pPr>
            <w:r>
              <w:rPr>
                <w:rFonts w:hint="eastAsia" w:ascii="宋体" w:hAnsi="宋体"/>
                <w:color w:val="auto"/>
                <w:sz w:val="24"/>
              </w:rPr>
              <w:t>国际乒联（ITTF）认证产品</w:t>
            </w:r>
          </w:p>
        </w:tc>
      </w:tr>
      <w:tr w14:paraId="3E23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top"/>
          </w:tcPr>
          <w:p w14:paraId="79C40E31">
            <w:pPr>
              <w:spacing w:line="360" w:lineRule="auto"/>
              <w:jc w:val="center"/>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rPr>
              <w:t>7</w:t>
            </w:r>
          </w:p>
        </w:tc>
        <w:tc>
          <w:tcPr>
            <w:tcW w:w="2297" w:type="dxa"/>
          </w:tcPr>
          <w:p w14:paraId="48D9A15C">
            <w:pPr>
              <w:spacing w:line="360" w:lineRule="auto"/>
              <w:jc w:val="left"/>
              <w:rPr>
                <w:rFonts w:asciiTheme="minorEastAsia" w:hAnsiTheme="minorEastAsia" w:eastAsiaTheme="minorEastAsia" w:cstheme="minorEastAsia"/>
                <w:color w:val="auto"/>
                <w:kern w:val="2"/>
                <w:sz w:val="24"/>
                <w:szCs w:val="24"/>
              </w:rPr>
            </w:pPr>
            <w:bookmarkStart w:id="22" w:name="OLE_LINK4"/>
            <w:r>
              <w:rPr>
                <w:rFonts w:hint="eastAsia" w:asciiTheme="minorEastAsia" w:hAnsiTheme="minorEastAsia" w:eastAsiaTheme="minorEastAsia" w:cstheme="minorEastAsia"/>
                <w:color w:val="auto"/>
                <w:kern w:val="2"/>
                <w:sz w:val="24"/>
                <w:szCs w:val="24"/>
              </w:rPr>
              <w:t>羽毛球PVC地垫</w:t>
            </w:r>
            <w:bookmarkEnd w:id="22"/>
          </w:p>
        </w:tc>
        <w:tc>
          <w:tcPr>
            <w:tcW w:w="4607" w:type="dxa"/>
          </w:tcPr>
          <w:p w14:paraId="42D565CD">
            <w:pPr>
              <w:spacing w:line="360" w:lineRule="auto"/>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李宁、威克多、英利奥</w:t>
            </w:r>
          </w:p>
        </w:tc>
        <w:tc>
          <w:tcPr>
            <w:tcW w:w="2222" w:type="dxa"/>
          </w:tcPr>
          <w:p w14:paraId="13634FCE">
            <w:pPr>
              <w:spacing w:line="360" w:lineRule="auto"/>
              <w:rPr>
                <w:rFonts w:asciiTheme="minorEastAsia" w:hAnsiTheme="minorEastAsia" w:eastAsiaTheme="minorEastAsia" w:cstheme="minorEastAsia"/>
                <w:color w:val="auto"/>
                <w:kern w:val="2"/>
                <w:sz w:val="24"/>
                <w:szCs w:val="24"/>
              </w:rPr>
            </w:pPr>
            <w:r>
              <w:rPr>
                <w:rFonts w:hint="eastAsia" w:ascii="宋体" w:hAnsi="宋体"/>
                <w:color w:val="auto"/>
                <w:sz w:val="24"/>
              </w:rPr>
              <w:t>世界羽联（BWF）认证产品</w:t>
            </w:r>
          </w:p>
        </w:tc>
      </w:tr>
      <w:tr w14:paraId="1C00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top"/>
          </w:tcPr>
          <w:p w14:paraId="0B60155D">
            <w:pPr>
              <w:spacing w:line="360" w:lineRule="auto"/>
              <w:jc w:val="center"/>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rPr>
              <w:t>8</w:t>
            </w:r>
          </w:p>
        </w:tc>
        <w:tc>
          <w:tcPr>
            <w:tcW w:w="2297" w:type="dxa"/>
          </w:tcPr>
          <w:p w14:paraId="2059F91B">
            <w:pPr>
              <w:spacing w:line="360" w:lineRule="auto"/>
              <w:jc w:val="left"/>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移动羽毛球柱、网</w:t>
            </w:r>
          </w:p>
        </w:tc>
        <w:tc>
          <w:tcPr>
            <w:tcW w:w="4607" w:type="dxa"/>
          </w:tcPr>
          <w:p w14:paraId="4F9746BD">
            <w:pPr>
              <w:spacing w:line="360" w:lineRule="auto"/>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李宁、金陵、威克多</w:t>
            </w:r>
          </w:p>
        </w:tc>
        <w:tc>
          <w:tcPr>
            <w:tcW w:w="2222" w:type="dxa"/>
          </w:tcPr>
          <w:p w14:paraId="165695FB">
            <w:pPr>
              <w:spacing w:line="360" w:lineRule="auto"/>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世界羽联（BWF）认证产品</w:t>
            </w:r>
          </w:p>
        </w:tc>
      </w:tr>
      <w:tr w14:paraId="6AB9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top"/>
          </w:tcPr>
          <w:p w14:paraId="6EFB3F9B">
            <w:pPr>
              <w:spacing w:line="360" w:lineRule="auto"/>
              <w:jc w:val="center"/>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rPr>
              <w:t>9</w:t>
            </w:r>
          </w:p>
        </w:tc>
        <w:tc>
          <w:tcPr>
            <w:tcW w:w="2297" w:type="dxa"/>
          </w:tcPr>
          <w:p w14:paraId="3EAAC1BA">
            <w:pPr>
              <w:spacing w:line="360" w:lineRule="auto"/>
              <w:jc w:val="left"/>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highlight w:val="none"/>
              </w:rPr>
              <w:t>干式变压器</w:t>
            </w:r>
          </w:p>
        </w:tc>
        <w:tc>
          <w:tcPr>
            <w:tcW w:w="4607" w:type="dxa"/>
          </w:tcPr>
          <w:p w14:paraId="2A97B20F">
            <w:pPr>
              <w:spacing w:line="360" w:lineRule="auto"/>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rPr>
              <w:t>大全、天力、元贞</w:t>
            </w:r>
            <w:r>
              <w:rPr>
                <w:rFonts w:hint="eastAsia" w:asciiTheme="minorEastAsia" w:hAnsiTheme="minorEastAsia" w:eastAsiaTheme="minorEastAsia" w:cstheme="minorEastAsia"/>
                <w:color w:val="auto"/>
                <w:kern w:val="2"/>
                <w:sz w:val="24"/>
                <w:szCs w:val="24"/>
                <w:lang w:eastAsia="zh-CN"/>
              </w:rPr>
              <w:t>、顺特</w:t>
            </w:r>
          </w:p>
        </w:tc>
        <w:tc>
          <w:tcPr>
            <w:tcW w:w="2222" w:type="dxa"/>
          </w:tcPr>
          <w:p w14:paraId="24BDBA5C">
            <w:pPr>
              <w:spacing w:line="360" w:lineRule="auto"/>
              <w:rPr>
                <w:rFonts w:asciiTheme="minorEastAsia" w:hAnsiTheme="minorEastAsia" w:eastAsiaTheme="minorEastAsia" w:cstheme="minorEastAsia"/>
                <w:color w:val="auto"/>
                <w:kern w:val="2"/>
                <w:sz w:val="24"/>
                <w:szCs w:val="24"/>
              </w:rPr>
            </w:pPr>
          </w:p>
        </w:tc>
      </w:tr>
      <w:tr w14:paraId="4CDB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shd w:val="clear" w:color="auto" w:fill="auto"/>
            <w:vAlign w:val="top"/>
          </w:tcPr>
          <w:p w14:paraId="012B8686">
            <w:pPr>
              <w:spacing w:line="360" w:lineRule="auto"/>
              <w:jc w:val="center"/>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rPr>
              <w:t>10</w:t>
            </w:r>
          </w:p>
        </w:tc>
        <w:tc>
          <w:tcPr>
            <w:tcW w:w="2297" w:type="dxa"/>
          </w:tcPr>
          <w:p w14:paraId="759CBE90">
            <w:pPr>
              <w:spacing w:line="360" w:lineRule="auto"/>
              <w:jc w:val="left"/>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TPO防水卷材</w:t>
            </w:r>
          </w:p>
        </w:tc>
        <w:tc>
          <w:tcPr>
            <w:tcW w:w="4607" w:type="dxa"/>
          </w:tcPr>
          <w:p w14:paraId="310BD04B">
            <w:pPr>
              <w:spacing w:line="360" w:lineRule="auto"/>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东方雨虹、科顺、莱仕德</w:t>
            </w:r>
          </w:p>
        </w:tc>
        <w:tc>
          <w:tcPr>
            <w:tcW w:w="2222" w:type="dxa"/>
          </w:tcPr>
          <w:p w14:paraId="2D923E58">
            <w:pPr>
              <w:spacing w:line="360" w:lineRule="auto"/>
              <w:rPr>
                <w:rFonts w:asciiTheme="minorEastAsia" w:hAnsiTheme="minorEastAsia" w:eastAsiaTheme="minorEastAsia" w:cstheme="minorEastAsia"/>
                <w:color w:val="auto"/>
                <w:kern w:val="2"/>
                <w:sz w:val="24"/>
                <w:szCs w:val="24"/>
              </w:rPr>
            </w:pPr>
          </w:p>
        </w:tc>
      </w:tr>
      <w:tr w14:paraId="4226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14:paraId="16CFF50C">
            <w:pPr>
              <w:spacing w:line="360" w:lineRule="auto"/>
              <w:jc w:val="center"/>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11</w:t>
            </w:r>
          </w:p>
        </w:tc>
        <w:tc>
          <w:tcPr>
            <w:tcW w:w="2297" w:type="dxa"/>
          </w:tcPr>
          <w:p w14:paraId="64B61128">
            <w:pPr>
              <w:spacing w:line="360" w:lineRule="auto"/>
              <w:jc w:val="left"/>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低压成套配电柜</w:t>
            </w:r>
          </w:p>
        </w:tc>
        <w:tc>
          <w:tcPr>
            <w:tcW w:w="4607" w:type="dxa"/>
          </w:tcPr>
          <w:p w14:paraId="1E0F74B3">
            <w:pPr>
              <w:spacing w:line="360" w:lineRule="auto"/>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德力西、常熟开关、正泰</w:t>
            </w:r>
          </w:p>
        </w:tc>
        <w:tc>
          <w:tcPr>
            <w:tcW w:w="2222" w:type="dxa"/>
          </w:tcPr>
          <w:p w14:paraId="78BA68DB">
            <w:pPr>
              <w:spacing w:line="360" w:lineRule="auto"/>
              <w:rPr>
                <w:rFonts w:asciiTheme="minorEastAsia" w:hAnsiTheme="minorEastAsia" w:eastAsiaTheme="minorEastAsia" w:cstheme="minorEastAsia"/>
                <w:color w:val="auto"/>
                <w:kern w:val="2"/>
                <w:sz w:val="24"/>
                <w:szCs w:val="24"/>
              </w:rPr>
            </w:pPr>
          </w:p>
        </w:tc>
      </w:tr>
    </w:tbl>
    <w:p w14:paraId="5C6F0640">
      <w:pPr>
        <w:topLinePunct/>
        <w:spacing w:line="360" w:lineRule="auto"/>
        <w:ind w:firstLine="480" w:firstLineChars="200"/>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注：</w:t>
      </w:r>
    </w:p>
    <w:p w14:paraId="16633AD8">
      <w:pPr>
        <w:topLinePunct/>
        <w:spacing w:line="360" w:lineRule="auto"/>
        <w:ind w:firstLine="480" w:firstLineChars="200"/>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（1）以上产品设备，不具有限制性和排他性；</w:t>
      </w:r>
    </w:p>
    <w:p w14:paraId="54FCBBDD">
      <w:pPr>
        <w:topLinePunct/>
        <w:spacing w:line="360" w:lineRule="auto"/>
        <w:ind w:firstLine="480" w:firstLineChars="200"/>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2）供应商可选用不低于以上品牌技术性能指标的其他品牌；采用其他品牌的应在响应文件中注明并提供相关技术性能指标等供磋商小组评审，未在响应文件中注明或未提供相关技术性能指标，或经磋商小组评审未通过的，成交后成交供应商只能从采购人以上品牌中进行选择，合同价格不予调整。</w:t>
      </w:r>
    </w:p>
    <w:p w14:paraId="2446D6E8">
      <w:pPr>
        <w:pStyle w:val="4"/>
        <w:spacing w:before="0" w:after="0"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val="en-US"/>
        </w:rPr>
        <w:t>、</w:t>
      </w:r>
      <w:r>
        <w:rPr>
          <w:rFonts w:hint="eastAsia" w:asciiTheme="minorEastAsia" w:hAnsiTheme="minorEastAsia" w:eastAsiaTheme="minorEastAsia" w:cstheme="minorEastAsia"/>
          <w:color w:val="auto"/>
          <w:sz w:val="24"/>
          <w:szCs w:val="24"/>
        </w:rPr>
        <w:t>工程量清单</w:t>
      </w:r>
      <w:bookmarkEnd w:id="19"/>
    </w:p>
    <w:bookmarkEnd w:id="20"/>
    <w:p w14:paraId="5B625488">
      <w:pPr>
        <w:pStyle w:val="11"/>
        <w:adjustRightInd/>
        <w:ind w:firstLine="48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另行发放。如工程量清单中涉及证明材料，供应商无须提供。如工程量清单中出现特定性、唯一性品牌的表述，该品牌仅作为参考，施工过程中不具有限定性。</w:t>
      </w:r>
    </w:p>
    <w:p w14:paraId="706B1E82">
      <w:pPr>
        <w:pStyle w:val="4"/>
        <w:spacing w:before="0" w:after="0" w:line="360" w:lineRule="auto"/>
        <w:rPr>
          <w:rFonts w:asciiTheme="minorEastAsia" w:hAnsiTheme="minorEastAsia" w:eastAsiaTheme="minorEastAsia" w:cstheme="minorEastAsia"/>
          <w:color w:val="auto"/>
          <w:sz w:val="24"/>
          <w:szCs w:val="24"/>
        </w:rPr>
      </w:pPr>
      <w:bookmarkStart w:id="23" w:name="_Toc31135"/>
      <w:bookmarkStart w:id="24" w:name="_Hlk165186373"/>
      <w:bookmarkStart w:id="25" w:name="_Toc527541659"/>
      <w:bookmarkStart w:id="26" w:name="OLE_LINK2"/>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val="en-US"/>
        </w:rPr>
        <w:t>、</w:t>
      </w:r>
      <w:r>
        <w:rPr>
          <w:rFonts w:hint="eastAsia" w:asciiTheme="minorEastAsia" w:hAnsiTheme="minorEastAsia" w:eastAsiaTheme="minorEastAsia" w:cstheme="minorEastAsia"/>
          <w:color w:val="auto"/>
          <w:sz w:val="24"/>
          <w:szCs w:val="24"/>
        </w:rPr>
        <w:t>图纸</w:t>
      </w:r>
      <w:bookmarkEnd w:id="23"/>
      <w:bookmarkEnd w:id="24"/>
      <w:bookmarkEnd w:id="25"/>
    </w:p>
    <w:bookmarkEnd w:id="26"/>
    <w:p w14:paraId="0FE267F9">
      <w:p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另行发放。如图纸中涉及证明材料，供应商无须提供。如图纸中出现特定性、唯一性品牌的表述，该品牌仅作为参考，施工过程中不具有限定性。</w:t>
      </w:r>
    </w:p>
    <w:p w14:paraId="0F0B2F4A">
      <w:pPr>
        <w:spacing w:line="360" w:lineRule="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其他要求</w:t>
      </w:r>
    </w:p>
    <w:p w14:paraId="119A8236">
      <w:r>
        <w:rPr>
          <w:rFonts w:hint="eastAsia" w:asciiTheme="minorEastAsia" w:hAnsiTheme="minorEastAsia" w:eastAsiaTheme="minorEastAsia" w:cstheme="minorEastAsia"/>
          <w:b/>
          <w:bCs/>
          <w:color w:val="auto"/>
          <w:sz w:val="24"/>
          <w:szCs w:val="24"/>
          <w:lang w:val="en-US" w:eastAsia="zh-CN"/>
        </w:rPr>
        <w:t>乒乓球PVC地垫、羽毛球PVC地垫进场施工前，须向采购人提供</w:t>
      </w:r>
      <w:r>
        <w:rPr>
          <w:rFonts w:hint="eastAsia" w:asciiTheme="minorEastAsia" w:hAnsiTheme="minorEastAsia" w:eastAsiaTheme="minorEastAsia" w:cstheme="minorEastAsia"/>
          <w:b/>
          <w:bCs/>
          <w:color w:val="auto"/>
          <w:sz w:val="24"/>
          <w:szCs w:val="24"/>
          <w:highlight w:val="none"/>
          <w:lang w:val="en-US" w:eastAsia="zh-CN"/>
        </w:rPr>
        <w:t>第三方检测</w:t>
      </w:r>
      <w:r>
        <w:rPr>
          <w:rFonts w:hint="eastAsia" w:asciiTheme="minorEastAsia" w:hAnsiTheme="minorEastAsia" w:eastAsiaTheme="minorEastAsia" w:cstheme="minorEastAsia"/>
          <w:b/>
          <w:bCs/>
          <w:color w:val="auto"/>
          <w:sz w:val="24"/>
          <w:szCs w:val="24"/>
          <w:lang w:val="en-US" w:eastAsia="zh-CN"/>
        </w:rPr>
        <w:t>合格证明，否则不允许进场施工。</w:t>
      </w:r>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B38A3"/>
    <w:rsid w:val="707B3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next w:val="3"/>
    <w:qFormat/>
    <w:uiPriority w:val="0"/>
    <w:pPr>
      <w:widowControl w:val="0"/>
      <w:ind w:firstLine="420"/>
      <w:jc w:val="both"/>
    </w:pPr>
    <w:rPr>
      <w:rFonts w:ascii="楷体_GB2312" w:hAnsi="Calibri" w:eastAsia="楷体_GB2312" w:cs="Times New Roman"/>
      <w:kern w:val="2"/>
      <w:sz w:val="32"/>
      <w:szCs w:val="22"/>
      <w:lang w:val="en-US" w:eastAsia="zh-CN" w:bidi="ar-SA"/>
    </w:rPr>
  </w:style>
  <w:style w:type="paragraph" w:styleId="3">
    <w:name w:val="List"/>
    <w:basedOn w:val="1"/>
    <w:qFormat/>
    <w:uiPriority w:val="0"/>
    <w:pPr>
      <w:ind w:left="200" w:hanging="200" w:hangingChars="200"/>
    </w:pPr>
    <w:rPr>
      <w:rFonts w:ascii="Calibri" w:hAnsi="Calibri" w:cs="Times New Roman"/>
      <w:kern w:val="2"/>
      <w:sz w:val="21"/>
      <w:szCs w:val="22"/>
    </w:rPr>
  </w:style>
  <w:style w:type="paragraph" w:styleId="5">
    <w:name w:val="Plain Text"/>
    <w:basedOn w:val="1"/>
    <w:qFormat/>
    <w:uiPriority w:val="0"/>
    <w:rPr>
      <w:rFonts w:hAnsi="Courier New" w:eastAsiaTheme="minorEastAsia"/>
      <w:szCs w:val="22"/>
    </w:rPr>
  </w:style>
  <w:style w:type="table" w:customStyle="1" w:styleId="8">
    <w:name w:val="网格型2"/>
    <w:basedOn w:val="6"/>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xl31"/>
    <w:basedOn w:val="1"/>
    <w:qFormat/>
    <w:uiPriority w:val="0"/>
    <w:pPr>
      <w:widowControl/>
      <w:spacing w:before="100" w:beforeAutospacing="1" w:after="100" w:afterAutospacing="1"/>
      <w:jc w:val="center"/>
    </w:pPr>
    <w:rPr>
      <w:b/>
      <w:bCs/>
      <w:sz w:val="28"/>
      <w:szCs w:val="28"/>
    </w:rPr>
  </w:style>
  <w:style w:type="character" w:customStyle="1" w:styleId="10">
    <w:name w:val="标题 2 Char Char"/>
    <w:qFormat/>
    <w:uiPriority w:val="0"/>
    <w:rPr>
      <w:rFonts w:ascii="Arial" w:hAnsi="Arial" w:eastAsia="黑体" w:cs="Times New Roman"/>
      <w:b/>
      <w:bCs/>
      <w:kern w:val="2"/>
      <w:sz w:val="32"/>
      <w:szCs w:val="32"/>
      <w:lang w:val="en-US" w:eastAsia="zh-CN" w:bidi="ar-SA"/>
    </w:rPr>
  </w:style>
  <w:style w:type="paragraph" w:customStyle="1" w:styleId="11">
    <w:name w:val="正文2"/>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2025-05-29T10:12:00Z</dcterms:created>
  <dc:creator>程龙</dc:creator>
  <cp:lastModifiedBy>程龙</cp:lastModifiedBy>
  <dcterms:modified xsi:type="dcterms:W3CDTF">2025-05-29T10:12:49Z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D09E99CB160740AEB5464312CC27F869_11</vt:lpwstr>
  </property>
  <property fmtid="{D5CDD505-2E9C-101B-9397-08002B2CF9AE}" pid="4" name="KSOTemplateDocerSaveRecord">
    <vt:lpwstr>eyJoZGlkIjoiOTI1OTI4OGI4OWZlMDYwMmVlMWY3YWRlZDgyOTRhNzEiLCJ1c2VySWQiOiIzMTQzNzUzMzcifQ==</vt:lpwstr>
  </property>
</Properties>
</file>