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0AA8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center"/>
        <w:outlineLvl w:val="0"/>
        <w:rPr>
          <w:rFonts w:hint="eastAsia" w:ascii="宋体" w:hAnsi="宋体" w:eastAsia="宋体" w:cs="宋体"/>
          <w:b/>
          <w:bCs w:val="0"/>
          <w:sz w:val="28"/>
          <w:szCs w:val="20"/>
          <w:lang w:val="en-US"/>
        </w:rPr>
      </w:pPr>
      <w:bookmarkStart w:id="0" w:name="_Toc22605"/>
      <w:r>
        <w:rPr>
          <w:rFonts w:hint="eastAsia" w:ascii="宋体" w:hAnsi="宋体" w:eastAsia="宋体" w:cs="宋体"/>
          <w:b/>
          <w:bCs w:val="0"/>
          <w:kern w:val="2"/>
          <w:sz w:val="28"/>
          <w:szCs w:val="20"/>
          <w:lang w:val="en-US" w:eastAsia="zh-CN" w:bidi="ar"/>
        </w:rPr>
        <w:t>采购需求</w:t>
      </w:r>
      <w:bookmarkEnd w:id="0"/>
      <w:bookmarkStart w:id="11" w:name="_GoBack"/>
      <w:bookmarkEnd w:id="11"/>
    </w:p>
    <w:p w14:paraId="01405E7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z w:val="24"/>
          <w:szCs w:val="2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0"/>
          <w:lang w:val="en-US" w:eastAsia="zh-CN" w:bidi="ar"/>
        </w:rPr>
        <w:t>前注：</w:t>
      </w:r>
    </w:p>
    <w:p w14:paraId="5F2926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35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66228B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2.政府采购政策（包括但不限于下列具体政策要求）：</w:t>
      </w:r>
    </w:p>
    <w:p w14:paraId="48FBD4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7385C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8F24C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sz w:val="24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3.如采购人允许采用分包方式履行合同的，应当明确可以分包履行的相关内容。</w:t>
      </w:r>
    </w:p>
    <w:p w14:paraId="6D5280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37"/>
        <w:jc w:val="both"/>
        <w:outlineLvl w:val="1"/>
        <w:rPr>
          <w:rFonts w:hint="eastAsia" w:ascii="宋体" w:hAnsi="宋体" w:eastAsia="宋体" w:cs="宋体"/>
          <w:b/>
          <w:bCs w:val="0"/>
          <w:sz w:val="24"/>
          <w:szCs w:val="18"/>
          <w:lang w:val="en-US"/>
        </w:rPr>
      </w:pPr>
      <w:bookmarkStart w:id="1" w:name="_Toc4148"/>
      <w:bookmarkStart w:id="2" w:name="_Toc21798"/>
      <w:bookmarkStart w:id="3" w:name="_Hlk23621890"/>
      <w:r>
        <w:rPr>
          <w:rFonts w:hint="eastAsia" w:ascii="宋体" w:hAnsi="宋体" w:eastAsia="宋体" w:cs="宋体"/>
          <w:b/>
          <w:bCs w:val="0"/>
          <w:kern w:val="2"/>
          <w:sz w:val="24"/>
          <w:szCs w:val="18"/>
          <w:lang w:val="en-US" w:eastAsia="zh-CN" w:bidi="ar"/>
        </w:rPr>
        <w:t>一、采购需求前附表</w:t>
      </w:r>
      <w:bookmarkEnd w:id="1"/>
      <w:bookmarkEnd w:id="2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113"/>
        <w:gridCol w:w="5696"/>
      </w:tblGrid>
      <w:tr w14:paraId="718D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87379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adjustRightInd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1875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条款名称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EF668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内容、说明与要求</w:t>
            </w:r>
          </w:p>
        </w:tc>
      </w:tr>
      <w:tr w14:paraId="14B3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1480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adjustRightInd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F7E8EC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付款方式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66983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各区域单元中标人确定后，采购人在该区域具体项目实施前，与中标人另行签订合同，并根据合同约定付款。</w:t>
            </w:r>
          </w:p>
        </w:tc>
      </w:tr>
      <w:tr w14:paraId="47B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7D1A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adjustRightInd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E2E0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服务地点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7AFB6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安徽省，具体按采购人指定地点</w:t>
            </w:r>
          </w:p>
        </w:tc>
      </w:tr>
      <w:tr w14:paraId="1DB7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8CC1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adjustRightInd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6FC1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服务期限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6CD5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2026年1月1日至2026年12月31日。</w:t>
            </w:r>
          </w:p>
        </w:tc>
      </w:tr>
      <w:tr w14:paraId="022F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AA9A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</w:tabs>
              <w:adjustRightInd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8D6E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本项目采购标的名称及所属行业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25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标的名称：安徽省文物考古研究所2026年度考古勘探合作</w:t>
            </w:r>
          </w:p>
          <w:p w14:paraId="0F8F8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所属行业：其他未列明行业</w:t>
            </w:r>
          </w:p>
        </w:tc>
      </w:tr>
    </w:tbl>
    <w:p w14:paraId="7D59521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outlineLvl w:val="1"/>
        <w:rPr>
          <w:rFonts w:hint="eastAsia" w:ascii="宋体" w:hAnsi="宋体" w:eastAsia="宋体" w:cs="宋体"/>
          <w:b/>
          <w:bCs w:val="0"/>
          <w:sz w:val="24"/>
          <w:szCs w:val="18"/>
          <w:lang w:val="en-US"/>
        </w:rPr>
      </w:pPr>
      <w:bookmarkStart w:id="4" w:name="_Toc8753"/>
      <w:bookmarkStart w:id="5" w:name="_Toc16543"/>
      <w:bookmarkStart w:id="6" w:name="_Hlk16461016"/>
      <w:r>
        <w:rPr>
          <w:rFonts w:hint="eastAsia" w:ascii="宋体" w:hAnsi="宋体" w:eastAsia="宋体" w:cs="宋体"/>
          <w:b/>
          <w:bCs w:val="0"/>
          <w:kern w:val="2"/>
          <w:sz w:val="24"/>
          <w:szCs w:val="18"/>
          <w:lang w:val="en-US" w:eastAsia="zh-CN" w:bidi="ar"/>
        </w:rPr>
        <w:t>二、项目概况</w:t>
      </w:r>
      <w:bookmarkEnd w:id="4"/>
      <w:bookmarkEnd w:id="5"/>
    </w:p>
    <w:p w14:paraId="34BC2DAD"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</w:pPr>
      <w:r>
        <w:rPr>
          <w:rFonts w:hint="eastAsia" w:ascii="宋体" w:hAnsi="宋体" w:eastAsia="宋体" w:cs="Times New Roman"/>
          <w:kern w:val="2"/>
          <w:sz w:val="24"/>
          <w:szCs w:val="32"/>
          <w:lang w:val="en-US" w:eastAsia="zh-CN" w:bidi="ar"/>
        </w:rPr>
        <w:t>根据安徽地区工作实际并参照政府采购限额相关规定，单个项目采购预算金额100万元以下实行分区域合作模式，本项目共分为6个包，具体为第1包：亳州、阜阳，第2包：宿州、淮北，第3包：蚌埠、淮南，第4包：合肥、滁州，第5包：六安、安庆、池州，第6包：马鞍山、芜湖、铜陵、宣城、黄山。单个项目采购预算达到100万元及以上时，由采购人单独实施采购。</w:t>
      </w:r>
    </w:p>
    <w:p w14:paraId="0FF9B9E0"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</w:pPr>
      <w:r>
        <w:rPr>
          <w:rFonts w:hint="eastAsia" w:ascii="宋体" w:hAnsi="宋体" w:eastAsia="宋体" w:cs="Times New Roman"/>
          <w:kern w:val="2"/>
          <w:sz w:val="24"/>
          <w:szCs w:val="32"/>
          <w:lang w:val="en-US" w:eastAsia="zh-CN" w:bidi="ar"/>
        </w:rPr>
        <w:t>主要工作职责或任务：协助采购人做好考古勘探现场放样测绘、土样提取、地层分析、标本采集、资料初整以及技师、探工、测绘员、资料员管理等基础性工作，按采购人要求开展项目其他相关工作。</w:t>
      </w:r>
    </w:p>
    <w:p w14:paraId="0C1FF1B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outlineLvl w:val="1"/>
        <w:rPr>
          <w:rFonts w:hint="eastAsia" w:ascii="宋体" w:hAnsi="宋体" w:eastAsia="宋体" w:cs="宋体"/>
          <w:b/>
          <w:bCs w:val="0"/>
          <w:sz w:val="24"/>
          <w:szCs w:val="18"/>
          <w:lang w:val="en-US"/>
        </w:rPr>
      </w:pPr>
      <w:bookmarkStart w:id="7" w:name="_Toc27920"/>
      <w:bookmarkStart w:id="8" w:name="_Toc13016"/>
      <w:r>
        <w:rPr>
          <w:rFonts w:hint="eastAsia" w:ascii="宋体" w:hAnsi="宋体" w:eastAsia="宋体" w:cs="宋体"/>
          <w:b/>
          <w:bCs w:val="0"/>
          <w:kern w:val="2"/>
          <w:sz w:val="24"/>
          <w:szCs w:val="18"/>
          <w:lang w:val="en-US" w:eastAsia="zh-CN" w:bidi="ar"/>
        </w:rPr>
        <w:t>三、服务需求</w:t>
      </w:r>
      <w:bookmarkEnd w:id="7"/>
      <w:bookmarkEnd w:id="8"/>
    </w:p>
    <w:p w14:paraId="0F44B64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/>
        </w:rPr>
      </w:pPr>
      <w:bookmarkStart w:id="9" w:name="_Toc20717"/>
      <w:bookmarkStart w:id="10" w:name="_Toc16414"/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 w:bidi="ar"/>
        </w:rPr>
        <w:t>（一）勘探合作费用</w:t>
      </w:r>
    </w:p>
    <w:p w14:paraId="4CD8A5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标准深度内普通勘探合作费用预算基本单价：(1×1)孔距为3.76元/平方米；(2×2)混合孔距为1.90元/平方米；(4×4)混合孔距为1.35元/平方米；(5×5)混合孔距为1.27元/平方米。混合孔距中(1×1)孔距的占比按30%确定。</w:t>
      </w:r>
    </w:p>
    <w:p w14:paraId="5B4E346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中标人应按具体项目协议约定的孔距要求实施，并执行上述勘探合作单价。超出标准勘探深度的区域按《考古调查、勘探、发掘经费预算定额管理办法》第七条规定计算。最终以审计单位审定的金额为准。</w:t>
      </w:r>
    </w:p>
    <w:p w14:paraId="6306E9C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 w:bidi="ar"/>
        </w:rPr>
        <w:t>（二）项目分配</w:t>
      </w:r>
    </w:p>
    <w:p w14:paraId="45FA2CF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1.单个项目采购预算达到100万元及以上时，由采购人单独实施采购。国家文物局批准的主动性考古发掘项目，采购人可根据任务具体情况，按分区域单元确定项目合作安排、也可以另行安排合作事宜。</w:t>
      </w:r>
    </w:p>
    <w:p w14:paraId="24B3C06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2.跨分包区域单元项目总金额超过20万元（含）的，原则上由涉及的区域单元中标人分别承担；若某个分包区域单元总金额低于5万元（不含）时，由邻近区域单元或其中工作量较小的中标人承担。项目总金额低于20万元（不含）时，由工作量占比较大的分包区域单元中标人承担。</w:t>
      </w:r>
    </w:p>
    <w:p w14:paraId="75966E0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3.鉴于考古勘探项目的不确定性，采购人不保证各区域单元中标人在服务期限内，相关区域单元内有可以开展工作的勘探项目。当年未实际承担项目的勘探合作单位，其年度考核不定等次。</w:t>
      </w:r>
    </w:p>
    <w:p w14:paraId="330937B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 w:bidi="ar"/>
        </w:rPr>
        <w:t>（三）其它要求</w:t>
      </w:r>
    </w:p>
    <w:p w14:paraId="010464C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1.中标人考古勘探技术标准应严格按照相关技术标准和要求实施。中标人应对勘探基础资料采集整理等工作的准确性承担全部责任，对不按规定操作出现错探、漏探、偏差等质量事故或安全管理事故的，采购人可要求中标人补充勘探并承担经济赔偿等相应责任。</w:t>
      </w:r>
    </w:p>
    <w:p w14:paraId="0B2AD03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2.勘探工作因建设方原因导致延期的，相关期限顺延；因中标人原因导致逾期的，采购人可进行经济处罚。勘探结束后，中标人应及时汇总勘探基础资料报项目负责人审核，内容应包括各种文字、图、表、照片等信息，要明确实际勘探区域面积和深度，编制考古勘探合作经费决算表报项目负责人确认。</w:t>
      </w:r>
    </w:p>
    <w:p w14:paraId="615DA8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Times New Roman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3.考古勘探期间，中标人应切实加强所属人员管理并自行承担相关安全责任，对勘探发现的文物遗存信息负有保密责任。出现因管理不善造成安全生产责任事故、因工作不负责任造成的重大错误或疏漏的、因文物遗存信息保密工作未做好造成文物被盗等现象时，采购人将视情解除与中标人合作。</w:t>
      </w:r>
    </w:p>
    <w:bookmarkEnd w:id="3"/>
    <w:bookmarkEnd w:id="6"/>
    <w:bookmarkEnd w:id="9"/>
    <w:bookmarkEnd w:id="10"/>
    <w:p w14:paraId="1D6955D9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0"/>
          <w:vertAlign w:val="baseline"/>
          <w:lang w:val="en-US"/>
        </w:rPr>
      </w:pPr>
      <w:r>
        <w:rPr>
          <w:rFonts w:hint="eastAsia" w:ascii="宋体" w:hAnsi="宋体" w:eastAsia="宋体" w:cs="@仿宋_GB2312"/>
          <w:b/>
          <w:bCs w:val="0"/>
          <w:kern w:val="2"/>
          <w:sz w:val="28"/>
          <w:szCs w:val="20"/>
          <w:lang w:val="en-US" w:eastAsia="zh-CN" w:bidi="ar"/>
        </w:rPr>
        <w:br w:type="page"/>
      </w:r>
    </w:p>
    <w:p w14:paraId="23E111C2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8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60" w:lineRule="auto"/>
      <w:ind w:left="0" w:right="0" w:firstLine="480" w:firstLineChars="200"/>
      <w:jc w:val="both"/>
    </w:pPr>
    <w:rPr>
      <w:rFonts w:hint="eastAsia" w:ascii="宋体" w:hAnsi="宋体" w:eastAsia="宋体" w:cs="Times New Roman"/>
      <w:kern w:val="2"/>
      <w:sz w:val="24"/>
      <w:szCs w:val="32"/>
      <w:lang w:val="en-US" w:eastAsia="zh-CN" w:bidi="ar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hint="eastAsia" w:ascii="@仿宋_GB2312" w:hAnsi="@仿宋_GB2312" w:eastAsia="@仿宋_GB2312" w:cs="@仿宋_GB2312"/>
      <w:kern w:val="2"/>
      <w:sz w:val="18"/>
      <w:szCs w:val="18"/>
    </w:rPr>
  </w:style>
  <w:style w:type="paragraph" w:customStyle="1" w:styleId="8">
    <w:name w:val="xl3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center"/>
    </w:pPr>
    <w:rPr>
      <w:rFonts w:hint="eastAsia" w:ascii="@仿宋_GB2312" w:hAnsi="@仿宋_GB2312" w:eastAsia="@仿宋_GB2312" w:cs="@仿宋_GB2312"/>
      <w:b/>
      <w:bCs/>
      <w:kern w:val="0"/>
      <w:sz w:val="28"/>
      <w:szCs w:val="28"/>
      <w:lang w:val="en-US" w:eastAsia="zh-CN" w:bidi="ar"/>
    </w:rPr>
  </w:style>
  <w:style w:type="character" w:customStyle="1" w:styleId="9">
    <w:name w:val="正文文本 Char"/>
    <w:basedOn w:val="6"/>
    <w:link w:val="2"/>
    <w:uiPriority w:val="0"/>
    <w:rPr>
      <w:rFonts w:hint="eastAsia" w:ascii="宋体" w:hAnsi="宋体" w:eastAsia="宋体" w:cs="宋体"/>
      <w:kern w:val="2"/>
      <w:sz w:val="24"/>
      <w:szCs w:val="32"/>
    </w:rPr>
  </w:style>
  <w:style w:type="paragraph" w:customStyle="1" w:styleId="10">
    <w:name w:val="D &amp;L"/>
    <w:basedOn w:val="3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thinThickSmallGap" w:color="auto" w:sz="18" w:space="1"/>
        <w:right w:val="none" w:color="auto" w:sz="0" w:space="0"/>
      </w:pBdr>
      <w:adjustRightInd w:val="0"/>
      <w:spacing w:before="0" w:beforeAutospacing="0" w:after="0" w:afterAutospacing="0" w:line="240" w:lineRule="atLeast"/>
      <w:ind w:left="0" w:right="0"/>
      <w:jc w:val="center"/>
    </w:pPr>
    <w:rPr>
      <w:rFonts w:hint="eastAsia" w:ascii="@仿宋_GB2312" w:hAnsi="@仿宋_GB2312" w:eastAsia="@仿宋_GB2312" w:cs="@仿宋_GB2312"/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2025-11-27T08:12:53Z</dcterms:created>
  <dc:creator>Lenovo</dc:creator>
  <cp:lastModifiedBy>初审</cp:lastModifiedBy>
  <dcterms:modified xsi:type="dcterms:W3CDTF">2025-11-27T08:13:19Z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eyJoZGlkIjoiNDAxM2E4MDVjODdjNTEwN2FhOTk1ZWNlNjUxMjYzZWQiLCJ1c2VySWQiOiIyNDQxNzM2OTYifQ==</vt:lpwstr>
  </property>
  <property fmtid="{D5CDD505-2E9C-101B-9397-08002B2CF9AE}" pid="4" name="ICV">
    <vt:lpwstr>753EACA9FC964618B840B9FFADC36A60_12</vt:lpwstr>
  </property>
</Properties>
</file>