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6975D">
      <w:pPr>
        <w:numPr>
          <w:ilvl w:val="0"/>
          <w:numId w:val="1"/>
        </w:numPr>
        <w:spacing w:line="360" w:lineRule="auto"/>
        <w:jc w:val="center"/>
        <w:outlineLvl w:val="0"/>
        <w:rPr>
          <w:rFonts w:hint="eastAsia" w:asciiTheme="minorEastAsia" w:hAnsiTheme="minorEastAsia" w:eastAsiaTheme="minorEastAsia"/>
          <w:b/>
          <w:sz w:val="28"/>
        </w:rPr>
      </w:pPr>
      <w:bookmarkStart w:id="0" w:name="_Toc22605"/>
      <w:r>
        <w:rPr>
          <w:rFonts w:hint="eastAsia" w:asciiTheme="minorEastAsia" w:hAnsiTheme="minorEastAsia" w:eastAsiaTheme="minorEastAsia"/>
          <w:b/>
          <w:sz w:val="28"/>
        </w:rPr>
        <w:t>采购需求</w:t>
      </w:r>
      <w:bookmarkEnd w:id="0"/>
    </w:p>
    <w:p w14:paraId="6A5DD343">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0553225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1B2FF7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5C5786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4B27F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BF277F">
      <w:pPr>
        <w:spacing w:line="360" w:lineRule="auto"/>
        <w:ind w:firstLine="480" w:firstLineChars="200"/>
        <w:rPr>
          <w:rFonts w:hint="eastAsia" w:ascii="宋体" w:hAnsi="宋体" w:eastAsia="宋体"/>
          <w:bCs/>
          <w:sz w:val="24"/>
          <w:szCs w:val="18"/>
        </w:rPr>
      </w:pPr>
      <w:r>
        <w:rPr>
          <w:rFonts w:hint="eastAsia" w:ascii="宋体" w:hAnsi="宋体" w:eastAsia="宋体" w:cs="宋体"/>
          <w:sz w:val="24"/>
          <w:szCs w:val="24"/>
        </w:rPr>
        <w:t>3.如采购人允许采用分包方式履行合同的，应当明确可以分包履行的相关内容。</w:t>
      </w:r>
    </w:p>
    <w:p w14:paraId="04C4E16E">
      <w:pPr>
        <w:spacing w:line="360" w:lineRule="auto"/>
        <w:ind w:firstLine="437"/>
        <w:outlineLvl w:val="1"/>
        <w:rPr>
          <w:rFonts w:hint="eastAsia" w:ascii="宋体" w:hAnsi="宋体" w:eastAsia="宋体"/>
          <w:b/>
          <w:sz w:val="24"/>
          <w:szCs w:val="18"/>
        </w:rPr>
      </w:pPr>
      <w:bookmarkStart w:id="1" w:name="_Toc21798"/>
      <w:bookmarkStart w:id="2" w:name="_Toc4148"/>
      <w:bookmarkStart w:id="3" w:name="_Hlk23621890"/>
      <w:r>
        <w:rPr>
          <w:rFonts w:hint="eastAsia" w:ascii="宋体" w:hAnsi="宋体" w:eastAsia="宋体"/>
          <w:b/>
          <w:sz w:val="24"/>
          <w:szCs w:val="18"/>
        </w:rPr>
        <w:t>一、采购需求前附表</w:t>
      </w:r>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142892">
            <w:pPr>
              <w:pStyle w:val="6"/>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192" w:type="pct"/>
            <w:vAlign w:val="center"/>
          </w:tcPr>
          <w:p w14:paraId="3383168B">
            <w:pPr>
              <w:pStyle w:val="7"/>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217" w:type="pct"/>
            <w:vAlign w:val="center"/>
          </w:tcPr>
          <w:p w14:paraId="58F59389">
            <w:pPr>
              <w:pStyle w:val="7"/>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3BE52A7">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192" w:type="pct"/>
            <w:vAlign w:val="center"/>
          </w:tcPr>
          <w:p w14:paraId="1BFE8AAF">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付款方式</w:t>
            </w:r>
          </w:p>
        </w:tc>
        <w:tc>
          <w:tcPr>
            <w:tcW w:w="3217" w:type="pct"/>
            <w:vAlign w:val="center"/>
          </w:tcPr>
          <w:p w14:paraId="73B802E7">
            <w:pPr>
              <w:pStyle w:val="7"/>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u w:val="single"/>
              </w:rPr>
              <w:t>按季度支付，每个季度支付合同款的1/4</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EC4161">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192" w:type="pct"/>
            <w:vAlign w:val="center"/>
          </w:tcPr>
          <w:p w14:paraId="1C182C68">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服务地点</w:t>
            </w:r>
          </w:p>
        </w:tc>
        <w:tc>
          <w:tcPr>
            <w:tcW w:w="3217" w:type="pct"/>
            <w:vAlign w:val="center"/>
          </w:tcPr>
          <w:p w14:paraId="3F86AE39">
            <w:pPr>
              <w:pStyle w:val="7"/>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安徽工业经济职业技术学院，采购人指定地点</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7C3119">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192" w:type="pct"/>
            <w:vAlign w:val="center"/>
          </w:tcPr>
          <w:p w14:paraId="616F3567">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服务期限</w:t>
            </w:r>
          </w:p>
        </w:tc>
        <w:tc>
          <w:tcPr>
            <w:tcW w:w="3217" w:type="pct"/>
            <w:vAlign w:val="center"/>
          </w:tcPr>
          <w:p w14:paraId="023B2E1E">
            <w:pPr>
              <w:spacing w:line="360" w:lineRule="auto"/>
              <w:rPr>
                <w:rFonts w:hint="eastAsia" w:ascii="宋体" w:hAnsi="宋体" w:eastAsia="宋体"/>
                <w:sz w:val="24"/>
              </w:rPr>
            </w:pPr>
            <w:r>
              <w:rPr>
                <w:rFonts w:hint="eastAsia" w:ascii="宋体" w:hAnsi="宋体" w:eastAsia="宋体" w:cs="宋体"/>
                <w:sz w:val="24"/>
                <w:szCs w:val="24"/>
              </w:rPr>
              <w:t>合同签订后一年，如中标人履约服务质量良好，经双方同意，在年度预算能保障的前提下，可以续签后1年度合同，合同一年一签，合同金额不变。</w:t>
            </w:r>
          </w:p>
        </w:tc>
      </w:tr>
      <w:tr w14:paraId="4FB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9363AF">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192" w:type="pct"/>
            <w:vAlign w:val="center"/>
          </w:tcPr>
          <w:p w14:paraId="51BB34FC">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本项目采购标的名称及所属行业</w:t>
            </w:r>
          </w:p>
        </w:tc>
        <w:tc>
          <w:tcPr>
            <w:tcW w:w="3217" w:type="pct"/>
            <w:vAlign w:val="center"/>
          </w:tcPr>
          <w:p w14:paraId="74EDA201">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标的名称：安徽工业经济职业技术学院校园安保服务</w:t>
            </w:r>
          </w:p>
          <w:p w14:paraId="5625FDBC">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所属行业：租赁和商务服务业</w:t>
            </w:r>
          </w:p>
        </w:tc>
      </w:tr>
    </w:tbl>
    <w:p w14:paraId="35AC6B93">
      <w:pPr>
        <w:spacing w:line="360" w:lineRule="auto"/>
        <w:rPr>
          <w:rFonts w:hint="eastAsia" w:ascii="宋体" w:hAnsi="宋体" w:eastAsia="宋体"/>
          <w:b/>
          <w:sz w:val="24"/>
          <w:szCs w:val="18"/>
        </w:rPr>
      </w:pPr>
      <w:bookmarkStart w:id="4" w:name="_Toc16543"/>
      <w:bookmarkStart w:id="5" w:name="_Hlk16461016"/>
    </w:p>
    <w:p w14:paraId="44B8D379">
      <w:pPr>
        <w:spacing w:line="360" w:lineRule="auto"/>
        <w:ind w:firstLine="482" w:firstLineChars="200"/>
        <w:outlineLvl w:val="1"/>
        <w:rPr>
          <w:rFonts w:hint="eastAsia" w:ascii="宋体" w:hAnsi="宋体" w:eastAsia="宋体"/>
          <w:b/>
          <w:sz w:val="24"/>
          <w:szCs w:val="18"/>
        </w:rPr>
      </w:pPr>
      <w:bookmarkStart w:id="6" w:name="_Toc8753"/>
      <w:r>
        <w:rPr>
          <w:rFonts w:hint="eastAsia" w:ascii="宋体" w:hAnsi="宋体" w:eastAsia="宋体"/>
          <w:b/>
          <w:sz w:val="24"/>
          <w:szCs w:val="18"/>
        </w:rPr>
        <w:t>二、项目概况</w:t>
      </w:r>
      <w:bookmarkEnd w:id="4"/>
      <w:bookmarkEnd w:id="6"/>
    </w:p>
    <w:p w14:paraId="3277E5B4">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安徽工业经济职业技术学院是省级示范院校，学院总面积600多亩，现有全日制在校生1万余人，下设七个二级学院。学院设安保处，全面负责学院安全保卫工作，本部和西区生活区共设3个门卫值班室。本项目拟采购安徽工业经济职业技术学院（西区黄山路校区、本部）校园安保服务：</w:t>
      </w:r>
    </w:p>
    <w:p w14:paraId="3CB3E7D5">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1、门卫值班。对进出校园的车辆、人员及物资进行管理，规范操作大门管理系统。</w:t>
      </w:r>
    </w:p>
    <w:p w14:paraId="5CD1AE1E">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2、校园巡逻、处理治安事件。负责监控全校监控范围内的校园周边安全动态，及时掌握校园安防信息，发现并报告可疑情况，加强巡逻、防火、防盗、防突发事件，提高应对和处置能力。</w:t>
      </w:r>
    </w:p>
    <w:p w14:paraId="7311A9A2">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3、协助安保处与公安部门处置校园内各类突发事件。</w:t>
      </w:r>
    </w:p>
    <w:p w14:paraId="07A5ABE8">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4、完成安保处交办的其它涉及校园安全、稳定方面的任务。</w:t>
      </w:r>
    </w:p>
    <w:p w14:paraId="79C0A717">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具体包括：</w:t>
      </w:r>
    </w:p>
    <w:p w14:paraId="6ED705F4">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一）负责学院本部和一个西区生活区日常开放的4个大门每日24小时门卫执勤。保障车辆、人员有序进出，严格控制校外车辆进入，禁止社会私家车进校园。阻止遛狗等闲杂人员进入校园，查验物资出门证件，处置校门内外一切事件案件，看管校门及其周边设施设备，维护校门秩序与环境卫生。</w:t>
      </w:r>
    </w:p>
    <w:p w14:paraId="4A0C515C">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二）负责夜间治安巡逻。及时发现各类安全隐患，制止、纠正违反校园管理规定的行为；发现、制止或协助处置校园治安、刑事案件，协助打击违法犯罪分子；为师生员工提供紧急求助服务，看管校园内设施设备等一切公共财产；协助安保处与公安部门处置校园内各类突发事件。</w:t>
      </w:r>
    </w:p>
    <w:p w14:paraId="559A09AB">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（三）积极配合安保处抓好各项安全管理制度落实，完成阶段性专项治理任务，做好学校承办的各类重大活动、重要接待任务的安全保卫和秩序维护工作，营造平安和谐校园。</w:t>
      </w:r>
    </w:p>
    <w:p w14:paraId="1171B765">
      <w:pPr>
        <w:spacing w:line="360" w:lineRule="auto"/>
        <w:ind w:firstLine="420"/>
        <w:rPr>
          <w:rFonts w:hint="eastAsia" w:ascii="宋体" w:hAnsi="宋体" w:eastAsia="宋体" w:cs="宋体"/>
          <w:sz w:val="24"/>
          <w:szCs w:val="24"/>
        </w:rPr>
      </w:pPr>
      <w:r>
        <w:rPr>
          <w:rFonts w:hint="eastAsia" w:ascii="宋体" w:hAnsi="宋体" w:eastAsia="宋体" w:cs="宋体"/>
          <w:bCs/>
          <w:kern w:val="0"/>
          <w:sz w:val="24"/>
          <w:szCs w:val="24"/>
        </w:rPr>
        <w:t>（四）接受安保处的监督检查、考核及业务指导，完成其它属于保安服务范围内的工作以及保卫处交办的其它安保任务</w:t>
      </w:r>
    </w:p>
    <w:p w14:paraId="7DFFD784">
      <w:pPr>
        <w:pStyle w:val="2"/>
        <w:rPr>
          <w:rFonts w:hint="eastAsia"/>
        </w:rPr>
      </w:pPr>
    </w:p>
    <w:p w14:paraId="73351B3C">
      <w:pPr>
        <w:spacing w:line="360" w:lineRule="auto"/>
        <w:ind w:left="437"/>
        <w:outlineLvl w:val="1"/>
        <w:rPr>
          <w:rFonts w:hint="eastAsia" w:ascii="宋体" w:hAnsi="宋体" w:eastAsia="宋体"/>
          <w:b/>
          <w:sz w:val="24"/>
          <w:szCs w:val="18"/>
        </w:rPr>
      </w:pPr>
      <w:bookmarkStart w:id="7" w:name="_Toc27920"/>
      <w:bookmarkStart w:id="8" w:name="_Toc13016"/>
      <w:r>
        <w:rPr>
          <w:rFonts w:hint="eastAsia" w:ascii="宋体" w:hAnsi="宋体" w:eastAsia="宋体"/>
          <w:b/>
          <w:sz w:val="24"/>
          <w:szCs w:val="18"/>
        </w:rPr>
        <w:t>三、服务需求</w:t>
      </w:r>
      <w:bookmarkEnd w:id="7"/>
      <w:bookmarkEnd w:id="8"/>
    </w:p>
    <w:p w14:paraId="2A3C81ED">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中标人依照学院规定与管理要求，结合校园安全保卫工作实际情况，制订切实可行校园安保服务整体方案、保安服务质量考评方案和突发事件应急处置预案，开展专业化安防业务。具体要求如下：</w:t>
      </w:r>
    </w:p>
    <w:p w14:paraId="6E513743">
      <w:pPr>
        <w:spacing w:line="360" w:lineRule="auto"/>
        <w:ind w:firstLine="437"/>
        <w:outlineLvl w:val="2"/>
        <w:rPr>
          <w:rFonts w:hint="eastAsia" w:ascii="宋体" w:hAnsi="宋体" w:eastAsia="宋体" w:cs="宋体"/>
          <w:bCs/>
          <w:kern w:val="0"/>
          <w:sz w:val="24"/>
          <w:szCs w:val="24"/>
        </w:rPr>
      </w:pPr>
      <w:r>
        <w:rPr>
          <w:rFonts w:hint="eastAsia" w:ascii="宋体" w:hAnsi="宋体" w:eastAsia="宋体" w:cs="宋体"/>
          <w:bCs/>
          <w:kern w:val="0"/>
          <w:sz w:val="24"/>
          <w:szCs w:val="24"/>
        </w:rPr>
        <w:t>（一）质量目标</w:t>
      </w:r>
    </w:p>
    <w:p w14:paraId="3CC20132">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1、切实按照“校园安保服务整体方案、保安服务质量考评方案和突发事件应急处置预案”组织安保服务工作。</w:t>
      </w:r>
    </w:p>
    <w:p w14:paraId="79B4BEBE">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2、遵守规定，按章办事，文明执勤，严格管理，保障学校财产和师生人身权益不受侵害，维护正常的教学、科研、生活秩序。</w:t>
      </w:r>
    </w:p>
    <w:p w14:paraId="2606683A">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3、全年无责任事故和责任案件发生。</w:t>
      </w:r>
    </w:p>
    <w:p w14:paraId="5ED92D72">
      <w:pPr>
        <w:spacing w:line="360" w:lineRule="auto"/>
        <w:ind w:firstLine="437"/>
        <w:outlineLvl w:val="2"/>
        <w:rPr>
          <w:rFonts w:hint="eastAsia" w:ascii="宋体" w:hAnsi="宋体" w:eastAsia="宋体" w:cs="宋体"/>
          <w:bCs/>
          <w:kern w:val="0"/>
          <w:sz w:val="24"/>
          <w:szCs w:val="24"/>
        </w:rPr>
      </w:pPr>
      <w:r>
        <w:rPr>
          <w:rFonts w:hint="eastAsia" w:ascii="宋体" w:hAnsi="宋体" w:eastAsia="宋体" w:cs="宋体"/>
          <w:bCs/>
          <w:kern w:val="0"/>
          <w:sz w:val="24"/>
          <w:szCs w:val="24"/>
        </w:rPr>
        <w:t>（二）服务要求</w:t>
      </w:r>
    </w:p>
    <w:p w14:paraId="4CB146FB">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1、自行配备保安服务所需的服装、劳保与器械等用品。</w:t>
      </w:r>
    </w:p>
    <w:p w14:paraId="47FCD97C">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2、保安执勤时统一穿保安制服，佩戴规范标识与携带必要的执勤器械（执勤手电、警棍、对讲机、雨衣等）。</w:t>
      </w:r>
    </w:p>
    <w:p w14:paraId="4A303CC4">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3、文明执勤、热情服务。上岗人员仪表整洁卫生，站岗姿势端庄，指挥车辆动作标准，与人对话用语规范，纠正问题态度和蔼。</w:t>
      </w:r>
    </w:p>
    <w:p w14:paraId="3798196C">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4、维护学院窗口形象，认真管理好进出校园的人员、车辆和物资等。</w:t>
      </w:r>
    </w:p>
    <w:p w14:paraId="6114257D">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5、积极维护校园秩序，主动配合处理消防等方面的突发事件，迅速排除各种险情，及时制止违法犯罪行为，及时向保卫处报告各类案件、事故及其他重要情况。</w:t>
      </w:r>
    </w:p>
    <w:p w14:paraId="5CEF23C5">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6、值班场所做到整洁、卫生、有序，负责门前三包：“包安全、包卫生、包秩序”；上岗人员做到“六不”：不擅离岗位，不打瞌睡，不闲聊嬉闹，不打牌下棋，不酒后上岗，不会客。</w:t>
      </w:r>
    </w:p>
    <w:p w14:paraId="5D3C23F7">
      <w:pPr>
        <w:spacing w:line="360" w:lineRule="auto"/>
        <w:ind w:firstLine="437"/>
        <w:outlineLvl w:val="2"/>
        <w:rPr>
          <w:rFonts w:hint="eastAsia" w:ascii="宋体" w:hAnsi="宋体" w:eastAsia="宋体" w:cs="宋体"/>
          <w:bCs/>
          <w:kern w:val="0"/>
          <w:sz w:val="24"/>
          <w:szCs w:val="24"/>
        </w:rPr>
      </w:pPr>
      <w:r>
        <w:rPr>
          <w:rFonts w:hint="eastAsia" w:ascii="宋体" w:hAnsi="宋体" w:eastAsia="宋体" w:cs="宋体"/>
          <w:bCs/>
          <w:kern w:val="0"/>
          <w:sz w:val="24"/>
          <w:szCs w:val="24"/>
        </w:rPr>
        <w:t>（三）保安队伍管理</w:t>
      </w:r>
    </w:p>
    <w:p w14:paraId="673CAE0B">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1、派驻保安上岗前须按规定接受专业培训，且持有保安上岗证。</w:t>
      </w:r>
    </w:p>
    <w:p w14:paraId="1DEDCABE">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2、结合学院安全实际，开展岗前“应知应会”培训，对在岗人员按计划组织学习有关管理规定、保安专业知识与开展经常性的技能培训。</w:t>
      </w:r>
    </w:p>
    <w:p w14:paraId="4687A055">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3、保安队伍内部管理制度健全，公司监管到位，日常监管人员落实，安保队伍管理规范。</w:t>
      </w:r>
    </w:p>
    <w:p w14:paraId="5C1EB764">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4、保持保安队伍稳定，严格控制人员轮换岗比例，合同期限内轮换岗保安人数不超过合同规定岗位人数的30%；更换保安队长能够提前半个月以书面形式通知保卫处，更换其他队员到保卫处及时备案，确保服务质量不因人员变动而受影响。</w:t>
      </w:r>
    </w:p>
    <w:p w14:paraId="216E615B">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5、派驻保安应聘、录用、离职等管理档案规范，手续齐全，无违法违纪人员进入校园执勤。</w:t>
      </w:r>
    </w:p>
    <w:p w14:paraId="2299945C">
      <w:pPr>
        <w:spacing w:line="360" w:lineRule="auto"/>
        <w:ind w:firstLine="437"/>
        <w:outlineLvl w:val="2"/>
        <w:rPr>
          <w:rFonts w:hint="eastAsia" w:ascii="宋体" w:hAnsi="宋体" w:eastAsia="宋体" w:cs="宋体"/>
          <w:bCs/>
          <w:kern w:val="0"/>
          <w:sz w:val="24"/>
          <w:szCs w:val="24"/>
        </w:rPr>
      </w:pPr>
      <w:r>
        <w:rPr>
          <w:rFonts w:hint="eastAsia" w:ascii="宋体" w:hAnsi="宋体" w:eastAsia="宋体" w:cs="宋体"/>
          <w:bCs/>
          <w:kern w:val="0"/>
          <w:sz w:val="24"/>
          <w:szCs w:val="24"/>
        </w:rPr>
        <w:t>（四）具体岗位及人员素质要求</w:t>
      </w:r>
      <w:r>
        <w:rPr>
          <w:rFonts w:hint="eastAsia" w:ascii="宋体" w:hAnsi="宋体" w:eastAsia="宋体" w:cs="宋体"/>
          <w:b/>
          <w:bCs/>
          <w:kern w:val="0"/>
          <w:sz w:val="24"/>
          <w:szCs w:val="24"/>
        </w:rPr>
        <w:t>（共29人）</w:t>
      </w:r>
    </w:p>
    <w:p w14:paraId="148A7B10">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1、项目经理1名。全面负责学校校园安全保卫项目的规划、组织、指挥、协调与控制，对项目内所有保安服务质量和安全结果负总责。作为校方与保安服务公司之间的核心接口，确保安保团队高效、专业地运作，维护校园秩序，保障全体师生员工的人身与财产安全，营造安全、和谐、稳定的育人环境。  熟悉国家安全法律法规、治安管理条例及校园安全相关规范。 具备出色的组织领导、沟通协调、应急决策和解决问题的能力。责任心、原则性强，能承受工作压力，适应24小时应急响应要求。 熟练使用办公软件，具备基本的公文撰写能力。</w:t>
      </w:r>
    </w:p>
    <w:p w14:paraId="5F93153C">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 xml:space="preserve">2、保安队长1名。应具备高中以上学历、从事保安行业五年以上，有较高的政治思想素养和业务水平，有较强的组织协调能力，受过专门的保安业务培训。组织落实校园保安执勤事务；负责保安日常管理和培训；参与保安值勤、巡逻与增援重点岗位；督促检查在岗人员履行岗位职责情况，纠正队员违规违纪行为，培养良好队风；处理各岗位突发事件，重大情况及时报告；组织指挥保安队员做好校园重大活动的安全保卫工作；汇总各岗位的执勤情况并定时报告；承担保安违规违纪的连带责任。 </w:t>
      </w:r>
    </w:p>
    <w:p w14:paraId="28A29782">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3、保安队员：应知法、懂法、守法、依法办事，熟悉保安从业规范和学校管理制度。原则上具有高中(含职高)以上文化程度（初中文化程度比例不得高于总数的10%）；年龄55周岁以内（至少有两名队员年龄在45周岁以下），身体健康，无传染病及精神病史，体貌端正，无违法犯罪记录。</w:t>
      </w:r>
    </w:p>
    <w:p w14:paraId="009B219C">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4、门卫职责：严格人员、车辆、物资进出管理；严格执行学校管理规定；文明执勤，树立良好窗口形象；保持大门内外环境整洁卫生和做好门前“三包”。</w:t>
      </w:r>
    </w:p>
    <w:p w14:paraId="5A6506CE">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5、校园巡逻：对校园全方位、有重点、全时段巡逻，熟练掌握消防器材或设备设施对初期火灾进行扑救的基本技能；具有一定的治安管理知识、安全防范意识、服务师生意识与处置一般事件的能力。</w:t>
      </w:r>
    </w:p>
    <w:p w14:paraId="70C30252">
      <w:pPr>
        <w:spacing w:line="360" w:lineRule="auto"/>
        <w:ind w:firstLine="437"/>
        <w:rPr>
          <w:rFonts w:hint="eastAsia" w:ascii="宋体" w:hAnsi="宋体" w:eastAsia="宋体" w:cs="宋体"/>
          <w:b/>
          <w:bCs/>
          <w:kern w:val="0"/>
          <w:sz w:val="24"/>
          <w:szCs w:val="24"/>
        </w:rPr>
      </w:pPr>
      <w:r>
        <w:rPr>
          <w:rFonts w:hint="eastAsia" w:ascii="宋体" w:hAnsi="宋体" w:eastAsia="宋体" w:cs="宋体"/>
          <w:b/>
          <w:bCs/>
          <w:kern w:val="0"/>
          <w:sz w:val="24"/>
          <w:szCs w:val="24"/>
        </w:rPr>
        <w:t>除评分标准中要求提供的相关证明材料作为评分条件外，投标文件中无需提供人员其他的相关证明材料，人员配置情况由采购人在合同签订后中标人进场服务前核查，人员须按照招标文件要求及投标文件内容配置到位，否则采购人有权解除合同，并报监管部门按有关规定处理。</w:t>
      </w:r>
    </w:p>
    <w:p w14:paraId="043D0844">
      <w:pPr>
        <w:spacing w:line="360" w:lineRule="auto"/>
        <w:ind w:firstLine="437"/>
        <w:outlineLvl w:val="2"/>
        <w:rPr>
          <w:rFonts w:hint="eastAsia" w:ascii="宋体" w:hAnsi="宋体" w:eastAsia="宋体" w:cs="宋体"/>
          <w:bCs/>
          <w:kern w:val="0"/>
          <w:sz w:val="24"/>
          <w:szCs w:val="24"/>
        </w:rPr>
      </w:pPr>
      <w:r>
        <w:rPr>
          <w:rFonts w:hint="eastAsia" w:ascii="宋体" w:hAnsi="宋体" w:eastAsia="宋体" w:cs="宋体"/>
          <w:bCs/>
          <w:kern w:val="0"/>
          <w:sz w:val="24"/>
          <w:szCs w:val="24"/>
        </w:rPr>
        <w:t>（五）工作衔接要求</w:t>
      </w:r>
    </w:p>
    <w:p w14:paraId="3472D193">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1、根据行业服务标准与学院规定要求，独立运作，落实校园安全保卫整体方案，并结合校园实际在实践中不断完善。</w:t>
      </w:r>
    </w:p>
    <w:p w14:paraId="33DEC913">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2、保安队长须与安保处保持密切的工作联系，每周至少两次向保卫处汇报所承担的安保工作开展情况，重大情况须及时报告。</w:t>
      </w:r>
    </w:p>
    <w:p w14:paraId="04D49B1F">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3、做好详细的执勤记录，原始台帐保存完好，以备学校核查。</w:t>
      </w:r>
    </w:p>
    <w:p w14:paraId="6B4FB718">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4、协同学院其它安全防范组织和人员，形成群防群治体系。</w:t>
      </w:r>
    </w:p>
    <w:p w14:paraId="6C3014D1">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5、与学生公寓值班人员协作，内外联动，开展一体化安全防范。</w:t>
      </w:r>
    </w:p>
    <w:p w14:paraId="0B9B94EF">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6、与当地派出所、综治部门加强合作与交流。</w:t>
      </w:r>
    </w:p>
    <w:p w14:paraId="6AAD43CD">
      <w:pPr>
        <w:spacing w:line="360" w:lineRule="auto"/>
        <w:ind w:firstLine="437"/>
        <w:outlineLvl w:val="2"/>
        <w:rPr>
          <w:rFonts w:hint="eastAsia" w:ascii="宋体" w:hAnsi="宋体" w:eastAsia="宋体" w:cs="宋体"/>
          <w:bCs/>
          <w:kern w:val="0"/>
          <w:sz w:val="24"/>
          <w:szCs w:val="24"/>
        </w:rPr>
      </w:pPr>
      <w:r>
        <w:rPr>
          <w:rFonts w:hint="eastAsia" w:ascii="宋体" w:hAnsi="宋体" w:eastAsia="宋体" w:cs="宋体"/>
          <w:bCs/>
          <w:kern w:val="0"/>
          <w:sz w:val="24"/>
          <w:szCs w:val="24"/>
        </w:rPr>
        <w:t>（六）岗位人员数量要求</w:t>
      </w:r>
    </w:p>
    <w:p w14:paraId="140F0B68">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中标人必须按岗位要求配备保安力量，并保证实际到岗；必须确保保安人员的正当权益；对用工行为承担一切法律责任。</w:t>
      </w:r>
    </w:p>
    <w:p w14:paraId="203558E5">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现根据安徽工业经济职业技术学院实际情况，将安保服务岗位安排如下：</w:t>
      </w:r>
    </w:p>
    <w:p w14:paraId="39A000F0">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1、校区本部，南门3个，两个消防控制室4个，校园巡逻岗2个（白天1人，晚班2人）。</w:t>
      </w:r>
    </w:p>
    <w:p w14:paraId="4A50D66C">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2、校园西区（生活区）门岗1个。</w:t>
      </w:r>
    </w:p>
    <w:p w14:paraId="1A3EC1E8">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总共10个岗位，按照每天24小时值班，每班次8小时，需要10*3=30人班次。去掉白班巡逻岗1个班次，共需要29人班次。</w:t>
      </w:r>
    </w:p>
    <w:p w14:paraId="143B5C39">
      <w:pPr>
        <w:spacing w:line="360" w:lineRule="auto"/>
        <w:ind w:left="437"/>
        <w:outlineLvl w:val="1"/>
        <w:rPr>
          <w:rFonts w:hint="eastAsia" w:ascii="宋体" w:hAnsi="宋体" w:eastAsia="宋体"/>
          <w:b/>
          <w:sz w:val="24"/>
          <w:szCs w:val="18"/>
        </w:rPr>
      </w:pPr>
      <w:bookmarkStart w:id="9" w:name="_Toc20717"/>
      <w:bookmarkStart w:id="10" w:name="_Toc16414"/>
      <w:r>
        <w:rPr>
          <w:rFonts w:hint="eastAsia" w:ascii="宋体" w:hAnsi="宋体" w:eastAsia="宋体"/>
          <w:b/>
          <w:sz w:val="24"/>
          <w:szCs w:val="18"/>
        </w:rPr>
        <w:br w:type="textWrapping"/>
      </w:r>
      <w:r>
        <w:rPr>
          <w:rFonts w:hint="eastAsia" w:ascii="宋体" w:hAnsi="宋体" w:eastAsia="宋体"/>
          <w:b/>
          <w:sz w:val="24"/>
          <w:szCs w:val="18"/>
        </w:rPr>
        <w:t>四、报价要求</w:t>
      </w:r>
      <w:bookmarkEnd w:id="9"/>
      <w:bookmarkEnd w:id="10"/>
    </w:p>
    <w:p w14:paraId="7A0558FA">
      <w:pPr>
        <w:spacing w:line="360" w:lineRule="auto"/>
        <w:ind w:firstLine="437"/>
        <w:rPr>
          <w:rFonts w:hint="eastAsia"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b/>
          <w:sz w:val="24"/>
          <w:szCs w:val="24"/>
        </w:rPr>
        <w:t>本项目按照一年保安服务费用进行报价，报价包含本项目所涉及的一年期内所有费用，采购人不再支付除合同价款以外的任何费用。最终报价超过130万元的，投标无效。</w:t>
      </w:r>
    </w:p>
    <w:p w14:paraId="3A336DD3">
      <w:pPr>
        <w:spacing w:line="360" w:lineRule="auto"/>
        <w:ind w:firstLine="437"/>
        <w:rPr>
          <w:rFonts w:hint="eastAsia" w:ascii="宋体" w:hAnsi="宋体" w:eastAsia="宋体" w:cs="宋体"/>
          <w:b/>
          <w:sz w:val="24"/>
          <w:szCs w:val="24"/>
        </w:rPr>
      </w:pPr>
      <w:r>
        <w:rPr>
          <w:rFonts w:hint="eastAsia" w:ascii="宋体" w:hAnsi="宋体" w:eastAsia="宋体" w:cs="宋体"/>
          <w:b/>
          <w:sz w:val="24"/>
          <w:szCs w:val="24"/>
        </w:rPr>
        <w:t>政策性费用测算如下：</w:t>
      </w:r>
    </w:p>
    <w:tbl>
      <w:tblPr>
        <w:tblStyle w:val="4"/>
        <w:tblW w:w="9301" w:type="dxa"/>
        <w:jc w:val="center"/>
        <w:tblLayout w:type="fixed"/>
        <w:tblCellMar>
          <w:top w:w="0" w:type="dxa"/>
          <w:left w:w="108" w:type="dxa"/>
          <w:bottom w:w="0" w:type="dxa"/>
          <w:right w:w="108" w:type="dxa"/>
        </w:tblCellMar>
      </w:tblPr>
      <w:tblGrid>
        <w:gridCol w:w="356"/>
        <w:gridCol w:w="2628"/>
        <w:gridCol w:w="956"/>
        <w:gridCol w:w="1435"/>
        <w:gridCol w:w="2027"/>
        <w:gridCol w:w="1899"/>
      </w:tblGrid>
      <w:tr w14:paraId="62FC36E5">
        <w:tblPrEx>
          <w:tblCellMar>
            <w:top w:w="0" w:type="dxa"/>
            <w:left w:w="108" w:type="dxa"/>
            <w:bottom w:w="0" w:type="dxa"/>
            <w:right w:w="108" w:type="dxa"/>
          </w:tblCellMar>
        </w:tblPrEx>
        <w:trPr>
          <w:trHeight w:val="585" w:hRule="atLeast"/>
          <w:jc w:val="center"/>
        </w:trPr>
        <w:tc>
          <w:tcPr>
            <w:tcW w:w="5375" w:type="dxa"/>
            <w:gridSpan w:val="4"/>
            <w:tcBorders>
              <w:top w:val="nil"/>
              <w:left w:val="nil"/>
              <w:bottom w:val="single" w:color="auto" w:sz="4" w:space="0"/>
              <w:right w:val="nil"/>
            </w:tcBorders>
            <w:noWrap/>
            <w:vAlign w:val="bottom"/>
          </w:tcPr>
          <w:p w14:paraId="62090CFE">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一般纳税人政策性费用测算：</w:t>
            </w:r>
          </w:p>
        </w:tc>
        <w:tc>
          <w:tcPr>
            <w:tcW w:w="2027" w:type="dxa"/>
            <w:tcBorders>
              <w:top w:val="nil"/>
              <w:left w:val="nil"/>
              <w:bottom w:val="single" w:color="auto" w:sz="4" w:space="0"/>
              <w:right w:val="nil"/>
            </w:tcBorders>
            <w:noWrap/>
            <w:vAlign w:val="bottom"/>
          </w:tcPr>
          <w:p w14:paraId="10446835">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899" w:type="dxa"/>
            <w:tcBorders>
              <w:top w:val="nil"/>
              <w:left w:val="nil"/>
              <w:bottom w:val="single" w:color="auto" w:sz="4" w:space="0"/>
              <w:right w:val="nil"/>
            </w:tcBorders>
            <w:noWrap/>
            <w:vAlign w:val="bottom"/>
          </w:tcPr>
          <w:p w14:paraId="2B5E7D5E">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75DC1753">
        <w:tblPrEx>
          <w:tblCellMar>
            <w:top w:w="0" w:type="dxa"/>
            <w:left w:w="108" w:type="dxa"/>
            <w:bottom w:w="0" w:type="dxa"/>
            <w:right w:w="108" w:type="dxa"/>
          </w:tblCellMar>
        </w:tblPrEx>
        <w:trPr>
          <w:trHeight w:val="525" w:hRule="atLeast"/>
          <w:jc w:val="center"/>
        </w:trPr>
        <w:tc>
          <w:tcPr>
            <w:tcW w:w="356" w:type="dxa"/>
            <w:tcBorders>
              <w:top w:val="nil"/>
              <w:left w:val="single" w:color="auto" w:sz="4" w:space="0"/>
              <w:bottom w:val="single" w:color="auto" w:sz="4" w:space="0"/>
              <w:right w:val="single" w:color="auto" w:sz="4" w:space="0"/>
            </w:tcBorders>
            <w:noWrap/>
            <w:vAlign w:val="bottom"/>
          </w:tcPr>
          <w:p w14:paraId="00D2CE6E">
            <w:pPr>
              <w:spacing w:line="360" w:lineRule="auto"/>
              <w:jc w:val="center"/>
              <w:rPr>
                <w:rFonts w:hint="eastAsia" w:ascii="宋体" w:hAnsi="宋体" w:eastAsia="宋体" w:cs="宋体"/>
                <w:kern w:val="0"/>
                <w:sz w:val="24"/>
                <w:szCs w:val="24"/>
              </w:rPr>
            </w:pPr>
          </w:p>
        </w:tc>
        <w:tc>
          <w:tcPr>
            <w:tcW w:w="2628" w:type="dxa"/>
            <w:tcBorders>
              <w:top w:val="nil"/>
              <w:left w:val="nil"/>
              <w:bottom w:val="single" w:color="auto" w:sz="4" w:space="0"/>
              <w:right w:val="single" w:color="auto" w:sz="4" w:space="0"/>
            </w:tcBorders>
            <w:noWrap/>
            <w:vAlign w:val="bottom"/>
          </w:tcPr>
          <w:p w14:paraId="32460045">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缴费项目</w:t>
            </w:r>
          </w:p>
        </w:tc>
        <w:tc>
          <w:tcPr>
            <w:tcW w:w="956" w:type="dxa"/>
            <w:tcBorders>
              <w:top w:val="nil"/>
              <w:left w:val="nil"/>
              <w:bottom w:val="single" w:color="auto" w:sz="4" w:space="0"/>
              <w:right w:val="single" w:color="auto" w:sz="4" w:space="0"/>
            </w:tcBorders>
            <w:noWrap/>
            <w:vAlign w:val="bottom"/>
          </w:tcPr>
          <w:p w14:paraId="42851449">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人数</w:t>
            </w:r>
          </w:p>
        </w:tc>
        <w:tc>
          <w:tcPr>
            <w:tcW w:w="1435" w:type="dxa"/>
            <w:tcBorders>
              <w:top w:val="nil"/>
              <w:left w:val="nil"/>
              <w:bottom w:val="single" w:color="auto" w:sz="4" w:space="0"/>
              <w:right w:val="single" w:color="auto" w:sz="4" w:space="0"/>
            </w:tcBorders>
            <w:noWrap/>
            <w:vAlign w:val="bottom"/>
          </w:tcPr>
          <w:p w14:paraId="066802DC">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费用（元）</w:t>
            </w:r>
          </w:p>
        </w:tc>
        <w:tc>
          <w:tcPr>
            <w:tcW w:w="2027" w:type="dxa"/>
            <w:tcBorders>
              <w:top w:val="nil"/>
              <w:left w:val="nil"/>
              <w:bottom w:val="single" w:color="auto" w:sz="4" w:space="0"/>
              <w:right w:val="single" w:color="auto" w:sz="4" w:space="0"/>
            </w:tcBorders>
            <w:noWrap/>
            <w:vAlign w:val="bottom"/>
          </w:tcPr>
          <w:p w14:paraId="5F4274E8">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月</w:t>
            </w:r>
          </w:p>
        </w:tc>
        <w:tc>
          <w:tcPr>
            <w:tcW w:w="1899" w:type="dxa"/>
            <w:tcBorders>
              <w:top w:val="nil"/>
              <w:left w:val="nil"/>
              <w:bottom w:val="single" w:color="auto" w:sz="4" w:space="0"/>
              <w:right w:val="single" w:color="auto" w:sz="4" w:space="0"/>
            </w:tcBorders>
            <w:noWrap/>
            <w:vAlign w:val="bottom"/>
          </w:tcPr>
          <w:p w14:paraId="138BD0F6">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小计（元）</w:t>
            </w:r>
          </w:p>
        </w:tc>
      </w:tr>
      <w:tr w14:paraId="02C100CD">
        <w:tblPrEx>
          <w:tblCellMar>
            <w:top w:w="0" w:type="dxa"/>
            <w:left w:w="108" w:type="dxa"/>
            <w:bottom w:w="0" w:type="dxa"/>
            <w:right w:w="108" w:type="dxa"/>
          </w:tblCellMar>
        </w:tblPrEx>
        <w:trPr>
          <w:trHeight w:val="525" w:hRule="atLeast"/>
          <w:jc w:val="center"/>
        </w:trPr>
        <w:tc>
          <w:tcPr>
            <w:tcW w:w="356" w:type="dxa"/>
            <w:tcBorders>
              <w:top w:val="nil"/>
              <w:left w:val="single" w:color="auto" w:sz="4" w:space="0"/>
              <w:bottom w:val="single" w:color="auto" w:sz="4" w:space="0"/>
              <w:right w:val="single" w:color="auto" w:sz="4" w:space="0"/>
            </w:tcBorders>
            <w:noWrap/>
            <w:vAlign w:val="bottom"/>
          </w:tcPr>
          <w:p w14:paraId="1777C091">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A</w:t>
            </w:r>
          </w:p>
        </w:tc>
        <w:tc>
          <w:tcPr>
            <w:tcW w:w="2628" w:type="dxa"/>
            <w:tcBorders>
              <w:top w:val="nil"/>
              <w:left w:val="nil"/>
              <w:bottom w:val="single" w:color="auto" w:sz="4" w:space="0"/>
              <w:right w:val="single" w:color="auto" w:sz="4" w:space="0"/>
            </w:tcBorders>
            <w:noWrap/>
            <w:vAlign w:val="bottom"/>
          </w:tcPr>
          <w:p w14:paraId="6823466D">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最低人员工资</w:t>
            </w:r>
          </w:p>
        </w:tc>
        <w:tc>
          <w:tcPr>
            <w:tcW w:w="956" w:type="dxa"/>
            <w:tcBorders>
              <w:top w:val="nil"/>
              <w:left w:val="nil"/>
              <w:bottom w:val="single" w:color="auto" w:sz="4" w:space="0"/>
              <w:right w:val="single" w:color="auto" w:sz="4" w:space="0"/>
            </w:tcBorders>
            <w:noWrap/>
            <w:vAlign w:val="bottom"/>
          </w:tcPr>
          <w:p w14:paraId="2C51B5F1">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29</w:t>
            </w:r>
          </w:p>
        </w:tc>
        <w:tc>
          <w:tcPr>
            <w:tcW w:w="1435" w:type="dxa"/>
            <w:tcBorders>
              <w:top w:val="nil"/>
              <w:left w:val="nil"/>
              <w:bottom w:val="single" w:color="auto" w:sz="4" w:space="0"/>
              <w:right w:val="single" w:color="auto" w:sz="4" w:space="0"/>
            </w:tcBorders>
            <w:noWrap/>
            <w:vAlign w:val="bottom"/>
          </w:tcPr>
          <w:p w14:paraId="55BD9912">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2320</w:t>
            </w:r>
          </w:p>
        </w:tc>
        <w:tc>
          <w:tcPr>
            <w:tcW w:w="2027" w:type="dxa"/>
            <w:tcBorders>
              <w:top w:val="nil"/>
              <w:left w:val="nil"/>
              <w:bottom w:val="single" w:color="auto" w:sz="4" w:space="0"/>
              <w:right w:val="single" w:color="auto" w:sz="4" w:space="0"/>
            </w:tcBorders>
            <w:noWrap/>
            <w:vAlign w:val="bottom"/>
          </w:tcPr>
          <w:p w14:paraId="65A61C0E">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12</w:t>
            </w:r>
          </w:p>
        </w:tc>
        <w:tc>
          <w:tcPr>
            <w:tcW w:w="1899" w:type="dxa"/>
            <w:tcBorders>
              <w:top w:val="nil"/>
              <w:left w:val="nil"/>
              <w:bottom w:val="single" w:color="auto" w:sz="4" w:space="0"/>
              <w:right w:val="single" w:color="auto" w:sz="4" w:space="0"/>
            </w:tcBorders>
            <w:noWrap/>
            <w:vAlign w:val="bottom"/>
          </w:tcPr>
          <w:p w14:paraId="308F4118">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807360</w:t>
            </w:r>
          </w:p>
        </w:tc>
      </w:tr>
      <w:tr w14:paraId="05E5C992">
        <w:tblPrEx>
          <w:tblCellMar>
            <w:top w:w="0" w:type="dxa"/>
            <w:left w:w="108" w:type="dxa"/>
            <w:bottom w:w="0" w:type="dxa"/>
            <w:right w:w="108" w:type="dxa"/>
          </w:tblCellMar>
        </w:tblPrEx>
        <w:trPr>
          <w:trHeight w:val="525" w:hRule="atLeast"/>
          <w:jc w:val="center"/>
        </w:trPr>
        <w:tc>
          <w:tcPr>
            <w:tcW w:w="356" w:type="dxa"/>
            <w:tcBorders>
              <w:top w:val="nil"/>
              <w:left w:val="single" w:color="auto" w:sz="4" w:space="0"/>
              <w:bottom w:val="single" w:color="auto" w:sz="4" w:space="0"/>
              <w:right w:val="single" w:color="auto" w:sz="4" w:space="0"/>
            </w:tcBorders>
            <w:noWrap/>
            <w:vAlign w:val="bottom"/>
          </w:tcPr>
          <w:p w14:paraId="41486C19">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B</w:t>
            </w:r>
          </w:p>
        </w:tc>
        <w:tc>
          <w:tcPr>
            <w:tcW w:w="2628" w:type="dxa"/>
            <w:tcBorders>
              <w:top w:val="nil"/>
              <w:left w:val="nil"/>
              <w:bottom w:val="single" w:color="auto" w:sz="4" w:space="0"/>
              <w:right w:val="single" w:color="auto" w:sz="4" w:space="0"/>
            </w:tcBorders>
            <w:noWrap/>
            <w:vAlign w:val="bottom"/>
          </w:tcPr>
          <w:p w14:paraId="1267DAB2">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社会保险</w:t>
            </w:r>
          </w:p>
        </w:tc>
        <w:tc>
          <w:tcPr>
            <w:tcW w:w="956" w:type="dxa"/>
            <w:tcBorders>
              <w:top w:val="nil"/>
              <w:left w:val="nil"/>
              <w:bottom w:val="single" w:color="auto" w:sz="4" w:space="0"/>
              <w:right w:val="single" w:color="auto" w:sz="4" w:space="0"/>
            </w:tcBorders>
            <w:noWrap/>
            <w:vAlign w:val="bottom"/>
          </w:tcPr>
          <w:p w14:paraId="353DA074">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29</w:t>
            </w:r>
          </w:p>
        </w:tc>
        <w:tc>
          <w:tcPr>
            <w:tcW w:w="1435" w:type="dxa"/>
            <w:tcBorders>
              <w:top w:val="nil"/>
              <w:left w:val="nil"/>
              <w:bottom w:val="single" w:color="auto" w:sz="4" w:space="0"/>
              <w:right w:val="single" w:color="auto" w:sz="4" w:space="0"/>
            </w:tcBorders>
            <w:noWrap/>
            <w:vAlign w:val="bottom"/>
          </w:tcPr>
          <w:p w14:paraId="1841480D">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1004.46</w:t>
            </w:r>
          </w:p>
        </w:tc>
        <w:tc>
          <w:tcPr>
            <w:tcW w:w="2027" w:type="dxa"/>
            <w:tcBorders>
              <w:top w:val="single" w:color="auto" w:sz="4" w:space="0"/>
              <w:left w:val="single" w:color="auto" w:sz="4" w:space="0"/>
              <w:bottom w:val="single" w:color="auto" w:sz="4" w:space="0"/>
              <w:right w:val="single" w:color="auto" w:sz="4" w:space="0"/>
            </w:tcBorders>
            <w:noWrap/>
            <w:vAlign w:val="bottom"/>
          </w:tcPr>
          <w:p w14:paraId="1B75E042">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12</w:t>
            </w:r>
          </w:p>
        </w:tc>
        <w:tc>
          <w:tcPr>
            <w:tcW w:w="1899" w:type="dxa"/>
            <w:tcBorders>
              <w:top w:val="single" w:color="auto" w:sz="4" w:space="0"/>
              <w:left w:val="single" w:color="auto" w:sz="4" w:space="0"/>
              <w:bottom w:val="single" w:color="auto" w:sz="4" w:space="0"/>
              <w:right w:val="single" w:color="auto" w:sz="4" w:space="0"/>
            </w:tcBorders>
            <w:noWrap/>
            <w:vAlign w:val="bottom"/>
          </w:tcPr>
          <w:p w14:paraId="14290D09">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349552.08</w:t>
            </w:r>
          </w:p>
        </w:tc>
      </w:tr>
      <w:tr w14:paraId="34E58074">
        <w:tblPrEx>
          <w:tblCellMar>
            <w:top w:w="0" w:type="dxa"/>
            <w:left w:w="108" w:type="dxa"/>
            <w:bottom w:w="0" w:type="dxa"/>
            <w:right w:w="108" w:type="dxa"/>
          </w:tblCellMar>
        </w:tblPrEx>
        <w:trPr>
          <w:trHeight w:val="525" w:hRule="atLeast"/>
          <w:jc w:val="center"/>
        </w:trPr>
        <w:tc>
          <w:tcPr>
            <w:tcW w:w="356" w:type="dxa"/>
            <w:tcBorders>
              <w:top w:val="nil"/>
              <w:left w:val="single" w:color="auto" w:sz="4" w:space="0"/>
              <w:bottom w:val="single" w:color="auto" w:sz="4" w:space="0"/>
              <w:right w:val="single" w:color="auto" w:sz="4" w:space="0"/>
            </w:tcBorders>
            <w:noWrap/>
            <w:vAlign w:val="bottom"/>
          </w:tcPr>
          <w:p w14:paraId="5B729B76">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C</w:t>
            </w:r>
          </w:p>
        </w:tc>
        <w:tc>
          <w:tcPr>
            <w:tcW w:w="7046" w:type="dxa"/>
            <w:gridSpan w:val="4"/>
            <w:tcBorders>
              <w:top w:val="single" w:color="auto" w:sz="4" w:space="0"/>
              <w:left w:val="single" w:color="auto" w:sz="4" w:space="0"/>
              <w:bottom w:val="single" w:color="auto" w:sz="4" w:space="0"/>
              <w:right w:val="single" w:color="auto" w:sz="4" w:space="0"/>
            </w:tcBorders>
            <w:noWrap/>
            <w:vAlign w:val="bottom"/>
          </w:tcPr>
          <w:p w14:paraId="56C2EB43">
            <w:pPr>
              <w:widowControl/>
              <w:spacing w:line="360" w:lineRule="auto"/>
              <w:jc w:val="left"/>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           工会教育经费=A*3.5%=A*0.035</w:t>
            </w:r>
          </w:p>
        </w:tc>
        <w:tc>
          <w:tcPr>
            <w:tcW w:w="1899" w:type="dxa"/>
            <w:tcBorders>
              <w:top w:val="single" w:color="auto" w:sz="4" w:space="0"/>
              <w:left w:val="single" w:color="auto" w:sz="4" w:space="0"/>
              <w:bottom w:val="single" w:color="auto" w:sz="4" w:space="0"/>
              <w:right w:val="single" w:color="auto" w:sz="4" w:space="0"/>
            </w:tcBorders>
            <w:noWrap/>
            <w:vAlign w:val="bottom"/>
          </w:tcPr>
          <w:p w14:paraId="0EC84AAD">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28257.6</w:t>
            </w:r>
          </w:p>
        </w:tc>
      </w:tr>
      <w:tr w14:paraId="3D4E113C">
        <w:tblPrEx>
          <w:tblCellMar>
            <w:top w:w="0" w:type="dxa"/>
            <w:left w:w="108" w:type="dxa"/>
            <w:bottom w:w="0" w:type="dxa"/>
            <w:right w:w="108" w:type="dxa"/>
          </w:tblCellMar>
        </w:tblPrEx>
        <w:trPr>
          <w:trHeight w:val="525" w:hRule="atLeast"/>
          <w:jc w:val="center"/>
        </w:trPr>
        <w:tc>
          <w:tcPr>
            <w:tcW w:w="356" w:type="dxa"/>
            <w:tcBorders>
              <w:top w:val="nil"/>
              <w:left w:val="single" w:color="auto" w:sz="4" w:space="0"/>
              <w:bottom w:val="single" w:color="auto" w:sz="4" w:space="0"/>
              <w:right w:val="single" w:color="auto" w:sz="4" w:space="0"/>
            </w:tcBorders>
            <w:noWrap/>
            <w:vAlign w:val="bottom"/>
          </w:tcPr>
          <w:p w14:paraId="637D9F0E">
            <w:pPr>
              <w:spacing w:line="360" w:lineRule="auto"/>
              <w:jc w:val="center"/>
              <w:rPr>
                <w:rFonts w:hint="eastAsia" w:ascii="宋体" w:hAnsi="宋体" w:eastAsia="宋体" w:cs="宋体"/>
                <w:kern w:val="0"/>
                <w:sz w:val="24"/>
                <w:szCs w:val="24"/>
              </w:rPr>
            </w:pPr>
          </w:p>
        </w:tc>
        <w:tc>
          <w:tcPr>
            <w:tcW w:w="7046" w:type="dxa"/>
            <w:gridSpan w:val="4"/>
            <w:tcBorders>
              <w:top w:val="single" w:color="auto" w:sz="4" w:space="0"/>
              <w:left w:val="single" w:color="auto" w:sz="4" w:space="0"/>
              <w:bottom w:val="single" w:color="auto" w:sz="4" w:space="0"/>
              <w:right w:val="single" w:color="auto" w:sz="4" w:space="0"/>
            </w:tcBorders>
            <w:noWrap/>
            <w:vAlign w:val="bottom"/>
          </w:tcPr>
          <w:p w14:paraId="654BCFC6">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小计（A+B+C）</w:t>
            </w:r>
          </w:p>
        </w:tc>
        <w:tc>
          <w:tcPr>
            <w:tcW w:w="1899" w:type="dxa"/>
            <w:tcBorders>
              <w:top w:val="single" w:color="auto" w:sz="4" w:space="0"/>
              <w:left w:val="single" w:color="auto" w:sz="4" w:space="0"/>
              <w:bottom w:val="single" w:color="auto" w:sz="4" w:space="0"/>
              <w:right w:val="single" w:color="auto" w:sz="4" w:space="0"/>
            </w:tcBorders>
            <w:noWrap/>
            <w:vAlign w:val="center"/>
          </w:tcPr>
          <w:p w14:paraId="286ECA27">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1185169.68</w:t>
            </w:r>
          </w:p>
        </w:tc>
      </w:tr>
      <w:tr w14:paraId="532051AD">
        <w:tblPrEx>
          <w:tblCellMar>
            <w:top w:w="0" w:type="dxa"/>
            <w:left w:w="108" w:type="dxa"/>
            <w:bottom w:w="0" w:type="dxa"/>
            <w:right w:w="108" w:type="dxa"/>
          </w:tblCellMar>
        </w:tblPrEx>
        <w:trPr>
          <w:trHeight w:val="525" w:hRule="atLeast"/>
          <w:jc w:val="center"/>
        </w:trPr>
        <w:tc>
          <w:tcPr>
            <w:tcW w:w="356" w:type="dxa"/>
            <w:tcBorders>
              <w:top w:val="nil"/>
              <w:left w:val="single" w:color="auto" w:sz="4" w:space="0"/>
              <w:bottom w:val="single" w:color="auto" w:sz="4" w:space="0"/>
              <w:right w:val="single" w:color="auto" w:sz="4" w:space="0"/>
            </w:tcBorders>
            <w:noWrap/>
            <w:vAlign w:val="center"/>
          </w:tcPr>
          <w:p w14:paraId="76F8072E">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D</w:t>
            </w:r>
          </w:p>
        </w:tc>
        <w:tc>
          <w:tcPr>
            <w:tcW w:w="7046" w:type="dxa"/>
            <w:gridSpan w:val="4"/>
            <w:tcBorders>
              <w:top w:val="single" w:color="auto" w:sz="4" w:space="0"/>
              <w:left w:val="single" w:color="auto" w:sz="4" w:space="0"/>
              <w:bottom w:val="single" w:color="auto" w:sz="4" w:space="0"/>
              <w:right w:val="single" w:color="auto" w:sz="4" w:space="0"/>
            </w:tcBorders>
            <w:vAlign w:val="center"/>
          </w:tcPr>
          <w:p w14:paraId="24386E7E">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一般纳税人税金=（A+B+C）*6.72%=(A+B+C)*0.0672</w:t>
            </w:r>
          </w:p>
        </w:tc>
        <w:tc>
          <w:tcPr>
            <w:tcW w:w="1899" w:type="dxa"/>
            <w:tcBorders>
              <w:top w:val="single" w:color="auto" w:sz="4" w:space="0"/>
              <w:left w:val="single" w:color="auto" w:sz="4" w:space="0"/>
              <w:bottom w:val="single" w:color="auto" w:sz="4" w:space="0"/>
              <w:right w:val="single" w:color="auto" w:sz="4" w:space="0"/>
            </w:tcBorders>
            <w:noWrap/>
            <w:vAlign w:val="center"/>
          </w:tcPr>
          <w:p w14:paraId="23F39824">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79643.4</w:t>
            </w:r>
          </w:p>
        </w:tc>
      </w:tr>
      <w:tr w14:paraId="7340716A">
        <w:tblPrEx>
          <w:tblCellMar>
            <w:top w:w="0" w:type="dxa"/>
            <w:left w:w="108" w:type="dxa"/>
            <w:bottom w:w="0" w:type="dxa"/>
            <w:right w:w="108" w:type="dxa"/>
          </w:tblCellMar>
        </w:tblPrEx>
        <w:trPr>
          <w:trHeight w:val="525" w:hRule="atLeast"/>
          <w:jc w:val="center"/>
        </w:trPr>
        <w:tc>
          <w:tcPr>
            <w:tcW w:w="7402" w:type="dxa"/>
            <w:gridSpan w:val="5"/>
            <w:tcBorders>
              <w:top w:val="single" w:color="auto" w:sz="4" w:space="0"/>
              <w:left w:val="single" w:color="auto" w:sz="4" w:space="0"/>
              <w:bottom w:val="single" w:color="auto" w:sz="4" w:space="0"/>
              <w:right w:val="single" w:color="000000" w:sz="4" w:space="0"/>
            </w:tcBorders>
            <w:noWrap/>
            <w:vAlign w:val="bottom"/>
          </w:tcPr>
          <w:p w14:paraId="19EA4752">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 xml:space="preserve">       总计（A+B+C+D）</w:t>
            </w:r>
          </w:p>
        </w:tc>
        <w:tc>
          <w:tcPr>
            <w:tcW w:w="1899" w:type="dxa"/>
            <w:tcBorders>
              <w:top w:val="nil"/>
              <w:left w:val="nil"/>
              <w:bottom w:val="single" w:color="auto" w:sz="4" w:space="0"/>
              <w:right w:val="single" w:color="auto" w:sz="4" w:space="0"/>
            </w:tcBorders>
            <w:noWrap/>
            <w:vAlign w:val="center"/>
          </w:tcPr>
          <w:p w14:paraId="4BBED6BA">
            <w:pPr>
              <w:widowControl/>
              <w:spacing w:line="360" w:lineRule="auto"/>
              <w:jc w:val="center"/>
              <w:textAlignment w:val="center"/>
              <w:rPr>
                <w:rFonts w:hint="eastAsia" w:ascii="宋体" w:hAnsi="宋体" w:eastAsia="宋体" w:cs="宋体"/>
                <w:b/>
                <w:bCs/>
                <w:kern w:val="0"/>
                <w:sz w:val="24"/>
                <w:szCs w:val="24"/>
              </w:rPr>
            </w:pPr>
            <w:r>
              <w:rPr>
                <w:rFonts w:hint="eastAsia" w:ascii="宋体" w:hAnsi="宋体" w:eastAsia="宋体" w:cs="宋体"/>
                <w:kern w:val="0"/>
                <w:sz w:val="24"/>
                <w:szCs w:val="24"/>
                <w:lang w:bidi="ar"/>
              </w:rPr>
              <w:t>1264813.08</w:t>
            </w:r>
          </w:p>
        </w:tc>
      </w:tr>
      <w:tr w14:paraId="5479DBFC">
        <w:tblPrEx>
          <w:tblCellMar>
            <w:top w:w="0" w:type="dxa"/>
            <w:left w:w="108" w:type="dxa"/>
            <w:bottom w:w="0" w:type="dxa"/>
            <w:right w:w="108" w:type="dxa"/>
          </w:tblCellMar>
        </w:tblPrEx>
        <w:trPr>
          <w:trHeight w:val="285" w:hRule="atLeast"/>
          <w:jc w:val="center"/>
        </w:trPr>
        <w:tc>
          <w:tcPr>
            <w:tcW w:w="356" w:type="dxa"/>
            <w:tcBorders>
              <w:top w:val="nil"/>
              <w:left w:val="nil"/>
              <w:bottom w:val="nil"/>
              <w:right w:val="nil"/>
            </w:tcBorders>
            <w:noWrap/>
            <w:vAlign w:val="bottom"/>
          </w:tcPr>
          <w:p w14:paraId="0A4BD32B">
            <w:pPr>
              <w:widowControl/>
              <w:spacing w:line="360" w:lineRule="auto"/>
              <w:jc w:val="left"/>
              <w:rPr>
                <w:rFonts w:hint="eastAsia" w:ascii="宋体" w:hAnsi="宋体" w:eastAsia="宋体" w:cs="宋体"/>
                <w:kern w:val="0"/>
                <w:sz w:val="24"/>
                <w:szCs w:val="24"/>
              </w:rPr>
            </w:pPr>
          </w:p>
        </w:tc>
        <w:tc>
          <w:tcPr>
            <w:tcW w:w="2628" w:type="dxa"/>
            <w:tcBorders>
              <w:top w:val="nil"/>
              <w:left w:val="nil"/>
              <w:bottom w:val="nil"/>
              <w:right w:val="nil"/>
            </w:tcBorders>
            <w:noWrap/>
            <w:vAlign w:val="bottom"/>
          </w:tcPr>
          <w:p w14:paraId="19F0BC37">
            <w:pPr>
              <w:widowControl/>
              <w:spacing w:line="360" w:lineRule="auto"/>
              <w:jc w:val="left"/>
              <w:rPr>
                <w:rFonts w:hint="eastAsia" w:ascii="宋体" w:hAnsi="宋体" w:eastAsia="宋体" w:cs="宋体"/>
                <w:kern w:val="0"/>
                <w:sz w:val="24"/>
                <w:szCs w:val="24"/>
              </w:rPr>
            </w:pPr>
          </w:p>
        </w:tc>
        <w:tc>
          <w:tcPr>
            <w:tcW w:w="956" w:type="dxa"/>
            <w:tcBorders>
              <w:top w:val="nil"/>
              <w:left w:val="nil"/>
              <w:bottom w:val="nil"/>
              <w:right w:val="nil"/>
            </w:tcBorders>
            <w:noWrap/>
            <w:vAlign w:val="bottom"/>
          </w:tcPr>
          <w:p w14:paraId="4371482C">
            <w:pPr>
              <w:widowControl/>
              <w:spacing w:line="360" w:lineRule="auto"/>
              <w:jc w:val="left"/>
              <w:rPr>
                <w:rFonts w:hint="eastAsia" w:ascii="宋体" w:hAnsi="宋体" w:eastAsia="宋体" w:cs="宋体"/>
                <w:kern w:val="0"/>
                <w:sz w:val="24"/>
                <w:szCs w:val="24"/>
              </w:rPr>
            </w:pPr>
          </w:p>
        </w:tc>
        <w:tc>
          <w:tcPr>
            <w:tcW w:w="1435" w:type="dxa"/>
            <w:tcBorders>
              <w:top w:val="nil"/>
              <w:left w:val="nil"/>
              <w:bottom w:val="nil"/>
              <w:right w:val="nil"/>
            </w:tcBorders>
            <w:noWrap/>
            <w:vAlign w:val="bottom"/>
          </w:tcPr>
          <w:p w14:paraId="6BEA90AE">
            <w:pPr>
              <w:widowControl/>
              <w:spacing w:line="360" w:lineRule="auto"/>
              <w:jc w:val="left"/>
              <w:rPr>
                <w:rFonts w:hint="eastAsia" w:ascii="宋体" w:hAnsi="宋体" w:eastAsia="宋体" w:cs="宋体"/>
                <w:kern w:val="0"/>
                <w:sz w:val="24"/>
                <w:szCs w:val="24"/>
              </w:rPr>
            </w:pPr>
          </w:p>
        </w:tc>
        <w:tc>
          <w:tcPr>
            <w:tcW w:w="2027" w:type="dxa"/>
            <w:tcBorders>
              <w:top w:val="nil"/>
              <w:left w:val="nil"/>
              <w:bottom w:val="nil"/>
              <w:right w:val="nil"/>
            </w:tcBorders>
            <w:noWrap/>
            <w:vAlign w:val="bottom"/>
          </w:tcPr>
          <w:p w14:paraId="20BD551B">
            <w:pPr>
              <w:widowControl/>
              <w:spacing w:line="360" w:lineRule="auto"/>
              <w:jc w:val="left"/>
              <w:rPr>
                <w:rFonts w:hint="eastAsia" w:ascii="宋体" w:hAnsi="宋体" w:eastAsia="宋体" w:cs="宋体"/>
                <w:kern w:val="0"/>
                <w:sz w:val="24"/>
                <w:szCs w:val="24"/>
              </w:rPr>
            </w:pPr>
          </w:p>
        </w:tc>
        <w:tc>
          <w:tcPr>
            <w:tcW w:w="1899" w:type="dxa"/>
            <w:tcBorders>
              <w:top w:val="nil"/>
              <w:left w:val="nil"/>
              <w:bottom w:val="nil"/>
              <w:right w:val="nil"/>
            </w:tcBorders>
            <w:noWrap/>
            <w:vAlign w:val="bottom"/>
          </w:tcPr>
          <w:p w14:paraId="1A76A3E2">
            <w:pPr>
              <w:widowControl/>
              <w:spacing w:line="360" w:lineRule="auto"/>
              <w:jc w:val="left"/>
              <w:rPr>
                <w:rFonts w:hint="eastAsia" w:ascii="宋体" w:hAnsi="宋体" w:eastAsia="宋体" w:cs="宋体"/>
                <w:kern w:val="0"/>
                <w:sz w:val="24"/>
                <w:szCs w:val="24"/>
              </w:rPr>
            </w:pPr>
          </w:p>
        </w:tc>
      </w:tr>
      <w:tr w14:paraId="08AE8019">
        <w:tblPrEx>
          <w:tblCellMar>
            <w:top w:w="0" w:type="dxa"/>
            <w:left w:w="108" w:type="dxa"/>
            <w:bottom w:w="0" w:type="dxa"/>
            <w:right w:w="108" w:type="dxa"/>
          </w:tblCellMar>
        </w:tblPrEx>
        <w:trPr>
          <w:trHeight w:val="525" w:hRule="atLeast"/>
          <w:jc w:val="center"/>
        </w:trPr>
        <w:tc>
          <w:tcPr>
            <w:tcW w:w="5375" w:type="dxa"/>
            <w:gridSpan w:val="4"/>
            <w:tcBorders>
              <w:top w:val="nil"/>
              <w:left w:val="nil"/>
              <w:bottom w:val="single" w:color="auto" w:sz="4" w:space="0"/>
              <w:right w:val="nil"/>
            </w:tcBorders>
            <w:noWrap/>
            <w:vAlign w:val="bottom"/>
          </w:tcPr>
          <w:p w14:paraId="61F925F1">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小规模纳税人政策性费用测算：</w:t>
            </w:r>
          </w:p>
        </w:tc>
        <w:tc>
          <w:tcPr>
            <w:tcW w:w="2027" w:type="dxa"/>
            <w:tcBorders>
              <w:top w:val="nil"/>
              <w:left w:val="nil"/>
              <w:bottom w:val="single" w:color="auto" w:sz="4" w:space="0"/>
              <w:right w:val="nil"/>
            </w:tcBorders>
            <w:noWrap/>
            <w:vAlign w:val="bottom"/>
          </w:tcPr>
          <w:p w14:paraId="2E316EC3">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899" w:type="dxa"/>
            <w:tcBorders>
              <w:top w:val="nil"/>
              <w:left w:val="nil"/>
              <w:bottom w:val="single" w:color="auto" w:sz="4" w:space="0"/>
              <w:right w:val="nil"/>
            </w:tcBorders>
            <w:noWrap/>
            <w:vAlign w:val="bottom"/>
          </w:tcPr>
          <w:p w14:paraId="3972EB02">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058091EB">
        <w:tblPrEx>
          <w:tblCellMar>
            <w:top w:w="0" w:type="dxa"/>
            <w:left w:w="108" w:type="dxa"/>
            <w:bottom w:w="0" w:type="dxa"/>
            <w:right w:w="108" w:type="dxa"/>
          </w:tblCellMar>
        </w:tblPrEx>
        <w:trPr>
          <w:trHeight w:val="540" w:hRule="atLeast"/>
          <w:jc w:val="center"/>
        </w:trPr>
        <w:tc>
          <w:tcPr>
            <w:tcW w:w="356" w:type="dxa"/>
            <w:tcBorders>
              <w:top w:val="nil"/>
              <w:left w:val="single" w:color="auto" w:sz="4" w:space="0"/>
              <w:bottom w:val="single" w:color="auto" w:sz="4" w:space="0"/>
              <w:right w:val="single" w:color="auto" w:sz="4" w:space="0"/>
            </w:tcBorders>
            <w:noWrap/>
            <w:vAlign w:val="bottom"/>
          </w:tcPr>
          <w:p w14:paraId="297506CA">
            <w:pPr>
              <w:spacing w:line="360" w:lineRule="auto"/>
              <w:jc w:val="center"/>
              <w:rPr>
                <w:rFonts w:hint="eastAsia" w:ascii="宋体" w:hAnsi="宋体" w:eastAsia="宋体" w:cs="宋体"/>
                <w:kern w:val="0"/>
                <w:sz w:val="24"/>
                <w:szCs w:val="24"/>
              </w:rPr>
            </w:pPr>
          </w:p>
        </w:tc>
        <w:tc>
          <w:tcPr>
            <w:tcW w:w="2628" w:type="dxa"/>
            <w:tcBorders>
              <w:top w:val="nil"/>
              <w:left w:val="nil"/>
              <w:bottom w:val="single" w:color="auto" w:sz="4" w:space="0"/>
              <w:right w:val="single" w:color="auto" w:sz="4" w:space="0"/>
            </w:tcBorders>
            <w:noWrap/>
            <w:vAlign w:val="bottom"/>
          </w:tcPr>
          <w:p w14:paraId="099246B5">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缴费项目</w:t>
            </w:r>
          </w:p>
        </w:tc>
        <w:tc>
          <w:tcPr>
            <w:tcW w:w="956" w:type="dxa"/>
            <w:tcBorders>
              <w:top w:val="nil"/>
              <w:left w:val="nil"/>
              <w:bottom w:val="single" w:color="auto" w:sz="4" w:space="0"/>
              <w:right w:val="single" w:color="auto" w:sz="4" w:space="0"/>
            </w:tcBorders>
            <w:noWrap/>
            <w:vAlign w:val="bottom"/>
          </w:tcPr>
          <w:p w14:paraId="4BAF40A1">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人数</w:t>
            </w:r>
          </w:p>
        </w:tc>
        <w:tc>
          <w:tcPr>
            <w:tcW w:w="1435" w:type="dxa"/>
            <w:tcBorders>
              <w:top w:val="nil"/>
              <w:left w:val="nil"/>
              <w:bottom w:val="single" w:color="auto" w:sz="4" w:space="0"/>
              <w:right w:val="single" w:color="auto" w:sz="4" w:space="0"/>
            </w:tcBorders>
            <w:noWrap/>
            <w:vAlign w:val="bottom"/>
          </w:tcPr>
          <w:p w14:paraId="1D4F4724">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费用（元）</w:t>
            </w:r>
          </w:p>
        </w:tc>
        <w:tc>
          <w:tcPr>
            <w:tcW w:w="2027" w:type="dxa"/>
            <w:tcBorders>
              <w:top w:val="nil"/>
              <w:left w:val="nil"/>
              <w:bottom w:val="single" w:color="auto" w:sz="4" w:space="0"/>
              <w:right w:val="single" w:color="auto" w:sz="4" w:space="0"/>
            </w:tcBorders>
            <w:noWrap/>
            <w:vAlign w:val="bottom"/>
          </w:tcPr>
          <w:p w14:paraId="05690414">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月</w:t>
            </w:r>
          </w:p>
        </w:tc>
        <w:tc>
          <w:tcPr>
            <w:tcW w:w="1899" w:type="dxa"/>
            <w:tcBorders>
              <w:top w:val="nil"/>
              <w:left w:val="nil"/>
              <w:bottom w:val="single" w:color="auto" w:sz="4" w:space="0"/>
              <w:right w:val="single" w:color="auto" w:sz="4" w:space="0"/>
            </w:tcBorders>
            <w:noWrap/>
            <w:vAlign w:val="bottom"/>
          </w:tcPr>
          <w:p w14:paraId="28CE1822">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小计（元）</w:t>
            </w:r>
          </w:p>
        </w:tc>
      </w:tr>
      <w:tr w14:paraId="73B22727">
        <w:tblPrEx>
          <w:tblCellMar>
            <w:top w:w="0" w:type="dxa"/>
            <w:left w:w="108" w:type="dxa"/>
            <w:bottom w:w="0" w:type="dxa"/>
            <w:right w:w="108" w:type="dxa"/>
          </w:tblCellMar>
        </w:tblPrEx>
        <w:trPr>
          <w:trHeight w:val="540" w:hRule="atLeast"/>
          <w:jc w:val="center"/>
        </w:trPr>
        <w:tc>
          <w:tcPr>
            <w:tcW w:w="356" w:type="dxa"/>
            <w:tcBorders>
              <w:top w:val="nil"/>
              <w:left w:val="single" w:color="auto" w:sz="4" w:space="0"/>
              <w:bottom w:val="single" w:color="auto" w:sz="4" w:space="0"/>
              <w:right w:val="single" w:color="auto" w:sz="4" w:space="0"/>
            </w:tcBorders>
            <w:noWrap/>
            <w:vAlign w:val="bottom"/>
          </w:tcPr>
          <w:p w14:paraId="306A9560">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A</w:t>
            </w:r>
          </w:p>
        </w:tc>
        <w:tc>
          <w:tcPr>
            <w:tcW w:w="2628" w:type="dxa"/>
            <w:tcBorders>
              <w:top w:val="nil"/>
              <w:left w:val="nil"/>
              <w:bottom w:val="single" w:color="auto" w:sz="4" w:space="0"/>
              <w:right w:val="single" w:color="auto" w:sz="4" w:space="0"/>
            </w:tcBorders>
            <w:noWrap/>
            <w:vAlign w:val="bottom"/>
          </w:tcPr>
          <w:p w14:paraId="03F155C7">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最低人员工资</w:t>
            </w:r>
          </w:p>
        </w:tc>
        <w:tc>
          <w:tcPr>
            <w:tcW w:w="956" w:type="dxa"/>
            <w:tcBorders>
              <w:top w:val="nil"/>
              <w:left w:val="nil"/>
              <w:bottom w:val="single" w:color="auto" w:sz="4" w:space="0"/>
              <w:right w:val="single" w:color="auto" w:sz="4" w:space="0"/>
            </w:tcBorders>
            <w:noWrap/>
            <w:vAlign w:val="bottom"/>
          </w:tcPr>
          <w:p w14:paraId="5C7454DC">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29</w:t>
            </w:r>
          </w:p>
        </w:tc>
        <w:tc>
          <w:tcPr>
            <w:tcW w:w="1435" w:type="dxa"/>
            <w:tcBorders>
              <w:top w:val="single" w:color="auto" w:sz="4" w:space="0"/>
              <w:left w:val="single" w:color="auto" w:sz="4" w:space="0"/>
              <w:bottom w:val="single" w:color="auto" w:sz="4" w:space="0"/>
              <w:right w:val="single" w:color="auto" w:sz="4" w:space="0"/>
            </w:tcBorders>
            <w:noWrap/>
            <w:vAlign w:val="bottom"/>
          </w:tcPr>
          <w:p w14:paraId="75E86425">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2320</w:t>
            </w:r>
          </w:p>
        </w:tc>
        <w:tc>
          <w:tcPr>
            <w:tcW w:w="2027" w:type="dxa"/>
            <w:tcBorders>
              <w:top w:val="single" w:color="auto" w:sz="4" w:space="0"/>
              <w:left w:val="single" w:color="auto" w:sz="4" w:space="0"/>
              <w:bottom w:val="single" w:color="auto" w:sz="4" w:space="0"/>
              <w:right w:val="single" w:color="auto" w:sz="4" w:space="0"/>
            </w:tcBorders>
            <w:noWrap/>
            <w:vAlign w:val="bottom"/>
          </w:tcPr>
          <w:p w14:paraId="6F56D2AE">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12</w:t>
            </w:r>
          </w:p>
        </w:tc>
        <w:tc>
          <w:tcPr>
            <w:tcW w:w="1899" w:type="dxa"/>
            <w:tcBorders>
              <w:top w:val="single" w:color="auto" w:sz="4" w:space="0"/>
              <w:left w:val="single" w:color="auto" w:sz="4" w:space="0"/>
              <w:bottom w:val="single" w:color="auto" w:sz="4" w:space="0"/>
              <w:right w:val="single" w:color="auto" w:sz="4" w:space="0"/>
            </w:tcBorders>
            <w:noWrap/>
            <w:vAlign w:val="bottom"/>
          </w:tcPr>
          <w:p w14:paraId="70DD4522">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rPr>
              <w:t>807360</w:t>
            </w:r>
          </w:p>
        </w:tc>
      </w:tr>
      <w:tr w14:paraId="38E5CD94">
        <w:tblPrEx>
          <w:tblCellMar>
            <w:top w:w="0" w:type="dxa"/>
            <w:left w:w="108" w:type="dxa"/>
            <w:bottom w:w="0" w:type="dxa"/>
            <w:right w:w="108" w:type="dxa"/>
          </w:tblCellMar>
        </w:tblPrEx>
        <w:trPr>
          <w:trHeight w:val="540" w:hRule="atLeast"/>
          <w:jc w:val="center"/>
        </w:trPr>
        <w:tc>
          <w:tcPr>
            <w:tcW w:w="356" w:type="dxa"/>
            <w:tcBorders>
              <w:top w:val="nil"/>
              <w:left w:val="single" w:color="auto" w:sz="4" w:space="0"/>
              <w:bottom w:val="single" w:color="auto" w:sz="4" w:space="0"/>
              <w:right w:val="single" w:color="auto" w:sz="4" w:space="0"/>
            </w:tcBorders>
            <w:noWrap/>
            <w:vAlign w:val="bottom"/>
          </w:tcPr>
          <w:p w14:paraId="14950279">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B</w:t>
            </w:r>
          </w:p>
        </w:tc>
        <w:tc>
          <w:tcPr>
            <w:tcW w:w="2628" w:type="dxa"/>
            <w:tcBorders>
              <w:top w:val="nil"/>
              <w:left w:val="nil"/>
              <w:bottom w:val="single" w:color="auto" w:sz="4" w:space="0"/>
              <w:right w:val="single" w:color="auto" w:sz="4" w:space="0"/>
            </w:tcBorders>
            <w:noWrap/>
            <w:vAlign w:val="bottom"/>
          </w:tcPr>
          <w:p w14:paraId="338CA6D0">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社会保险</w:t>
            </w:r>
          </w:p>
        </w:tc>
        <w:tc>
          <w:tcPr>
            <w:tcW w:w="956" w:type="dxa"/>
            <w:tcBorders>
              <w:top w:val="nil"/>
              <w:left w:val="nil"/>
              <w:bottom w:val="single" w:color="auto" w:sz="4" w:space="0"/>
              <w:right w:val="single" w:color="auto" w:sz="4" w:space="0"/>
            </w:tcBorders>
            <w:noWrap/>
            <w:vAlign w:val="bottom"/>
          </w:tcPr>
          <w:p w14:paraId="35E83EA6">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29</w:t>
            </w:r>
          </w:p>
        </w:tc>
        <w:tc>
          <w:tcPr>
            <w:tcW w:w="1435" w:type="dxa"/>
            <w:tcBorders>
              <w:top w:val="single" w:color="auto" w:sz="4" w:space="0"/>
              <w:left w:val="single" w:color="auto" w:sz="4" w:space="0"/>
              <w:bottom w:val="single" w:color="auto" w:sz="4" w:space="0"/>
              <w:right w:val="single" w:color="auto" w:sz="4" w:space="0"/>
            </w:tcBorders>
            <w:noWrap/>
            <w:vAlign w:val="bottom"/>
          </w:tcPr>
          <w:p w14:paraId="29B82BEA">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1004.46</w:t>
            </w:r>
          </w:p>
        </w:tc>
        <w:tc>
          <w:tcPr>
            <w:tcW w:w="2027" w:type="dxa"/>
            <w:tcBorders>
              <w:top w:val="single" w:color="auto" w:sz="4" w:space="0"/>
              <w:left w:val="single" w:color="auto" w:sz="4" w:space="0"/>
              <w:bottom w:val="single" w:color="auto" w:sz="4" w:space="0"/>
              <w:right w:val="single" w:color="auto" w:sz="4" w:space="0"/>
            </w:tcBorders>
            <w:noWrap/>
            <w:vAlign w:val="bottom"/>
          </w:tcPr>
          <w:p w14:paraId="19798009">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12</w:t>
            </w:r>
          </w:p>
        </w:tc>
        <w:tc>
          <w:tcPr>
            <w:tcW w:w="1899" w:type="dxa"/>
            <w:tcBorders>
              <w:top w:val="single" w:color="auto" w:sz="4" w:space="0"/>
              <w:left w:val="single" w:color="auto" w:sz="4" w:space="0"/>
              <w:bottom w:val="single" w:color="auto" w:sz="4" w:space="0"/>
              <w:right w:val="single" w:color="auto" w:sz="4" w:space="0"/>
            </w:tcBorders>
            <w:noWrap/>
            <w:vAlign w:val="bottom"/>
          </w:tcPr>
          <w:p w14:paraId="65318C72">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349552.08</w:t>
            </w:r>
          </w:p>
        </w:tc>
      </w:tr>
      <w:tr w14:paraId="76D07A46">
        <w:tblPrEx>
          <w:tblCellMar>
            <w:top w:w="0" w:type="dxa"/>
            <w:left w:w="108" w:type="dxa"/>
            <w:bottom w:w="0" w:type="dxa"/>
            <w:right w:w="108" w:type="dxa"/>
          </w:tblCellMar>
        </w:tblPrEx>
        <w:trPr>
          <w:trHeight w:val="540" w:hRule="atLeast"/>
          <w:jc w:val="center"/>
        </w:trPr>
        <w:tc>
          <w:tcPr>
            <w:tcW w:w="356" w:type="dxa"/>
            <w:tcBorders>
              <w:top w:val="nil"/>
              <w:left w:val="single" w:color="auto" w:sz="4" w:space="0"/>
              <w:bottom w:val="single" w:color="auto" w:sz="4" w:space="0"/>
              <w:right w:val="single" w:color="auto" w:sz="4" w:space="0"/>
            </w:tcBorders>
            <w:noWrap/>
            <w:vAlign w:val="bottom"/>
          </w:tcPr>
          <w:p w14:paraId="630C6A46">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C</w:t>
            </w:r>
          </w:p>
        </w:tc>
        <w:tc>
          <w:tcPr>
            <w:tcW w:w="7046" w:type="dxa"/>
            <w:gridSpan w:val="4"/>
            <w:tcBorders>
              <w:top w:val="single" w:color="auto" w:sz="4" w:space="0"/>
              <w:left w:val="single" w:color="auto" w:sz="4" w:space="0"/>
              <w:bottom w:val="single" w:color="auto" w:sz="4" w:space="0"/>
              <w:right w:val="single" w:color="auto" w:sz="4" w:space="0"/>
            </w:tcBorders>
            <w:noWrap/>
            <w:vAlign w:val="bottom"/>
          </w:tcPr>
          <w:p w14:paraId="6E55F284">
            <w:pPr>
              <w:widowControl/>
              <w:spacing w:line="360" w:lineRule="auto"/>
              <w:jc w:val="left"/>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           工会教育经费=A*3.5%=A*0.035</w:t>
            </w:r>
          </w:p>
        </w:tc>
        <w:tc>
          <w:tcPr>
            <w:tcW w:w="1899" w:type="dxa"/>
            <w:tcBorders>
              <w:top w:val="single" w:color="auto" w:sz="4" w:space="0"/>
              <w:left w:val="single" w:color="auto" w:sz="4" w:space="0"/>
              <w:bottom w:val="single" w:color="auto" w:sz="4" w:space="0"/>
              <w:right w:val="single" w:color="auto" w:sz="4" w:space="0"/>
            </w:tcBorders>
            <w:noWrap/>
            <w:vAlign w:val="bottom"/>
          </w:tcPr>
          <w:p w14:paraId="7245B227">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28257.6</w:t>
            </w:r>
          </w:p>
        </w:tc>
      </w:tr>
      <w:tr w14:paraId="0E1AD580">
        <w:tblPrEx>
          <w:tblCellMar>
            <w:top w:w="0" w:type="dxa"/>
            <w:left w:w="108" w:type="dxa"/>
            <w:bottom w:w="0" w:type="dxa"/>
            <w:right w:w="108" w:type="dxa"/>
          </w:tblCellMar>
        </w:tblPrEx>
        <w:trPr>
          <w:trHeight w:val="540" w:hRule="atLeast"/>
          <w:jc w:val="center"/>
        </w:trPr>
        <w:tc>
          <w:tcPr>
            <w:tcW w:w="356" w:type="dxa"/>
            <w:tcBorders>
              <w:top w:val="nil"/>
              <w:left w:val="single" w:color="auto" w:sz="4" w:space="0"/>
              <w:bottom w:val="single" w:color="auto" w:sz="4" w:space="0"/>
              <w:right w:val="single" w:color="auto" w:sz="4" w:space="0"/>
            </w:tcBorders>
            <w:noWrap/>
            <w:vAlign w:val="bottom"/>
          </w:tcPr>
          <w:p w14:paraId="36EFD63A">
            <w:pPr>
              <w:spacing w:line="360" w:lineRule="auto"/>
              <w:jc w:val="center"/>
              <w:rPr>
                <w:rFonts w:hint="eastAsia" w:ascii="宋体" w:hAnsi="宋体" w:eastAsia="宋体" w:cs="宋体"/>
                <w:kern w:val="0"/>
                <w:sz w:val="24"/>
                <w:szCs w:val="24"/>
              </w:rPr>
            </w:pPr>
          </w:p>
        </w:tc>
        <w:tc>
          <w:tcPr>
            <w:tcW w:w="7046" w:type="dxa"/>
            <w:gridSpan w:val="4"/>
            <w:tcBorders>
              <w:top w:val="single" w:color="auto" w:sz="4" w:space="0"/>
              <w:left w:val="single" w:color="auto" w:sz="4" w:space="0"/>
              <w:bottom w:val="single" w:color="auto" w:sz="4" w:space="0"/>
              <w:right w:val="single" w:color="auto" w:sz="4" w:space="0"/>
            </w:tcBorders>
            <w:noWrap/>
            <w:vAlign w:val="bottom"/>
          </w:tcPr>
          <w:p w14:paraId="29FA4038">
            <w:pPr>
              <w:widowControl/>
              <w:spacing w:line="360" w:lineRule="auto"/>
              <w:jc w:val="center"/>
              <w:textAlignment w:val="bottom"/>
              <w:rPr>
                <w:rFonts w:hint="eastAsia" w:ascii="宋体" w:hAnsi="宋体" w:eastAsia="宋体" w:cs="宋体"/>
                <w:kern w:val="0"/>
                <w:sz w:val="24"/>
                <w:szCs w:val="24"/>
              </w:rPr>
            </w:pPr>
            <w:r>
              <w:rPr>
                <w:rFonts w:hint="eastAsia" w:ascii="宋体" w:hAnsi="宋体" w:eastAsia="宋体" w:cs="宋体"/>
                <w:kern w:val="0"/>
                <w:sz w:val="24"/>
                <w:szCs w:val="24"/>
                <w:lang w:bidi="ar"/>
              </w:rPr>
              <w:t>小计（A+B+C）</w:t>
            </w:r>
          </w:p>
        </w:tc>
        <w:tc>
          <w:tcPr>
            <w:tcW w:w="1899" w:type="dxa"/>
            <w:tcBorders>
              <w:top w:val="single" w:color="auto" w:sz="4" w:space="0"/>
              <w:left w:val="single" w:color="auto" w:sz="4" w:space="0"/>
              <w:bottom w:val="single" w:color="auto" w:sz="4" w:space="0"/>
              <w:right w:val="single" w:color="auto" w:sz="4" w:space="0"/>
            </w:tcBorders>
            <w:noWrap/>
            <w:vAlign w:val="center"/>
          </w:tcPr>
          <w:p w14:paraId="007E7353">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1185169.68</w:t>
            </w:r>
          </w:p>
        </w:tc>
      </w:tr>
      <w:tr w14:paraId="0761533E">
        <w:tblPrEx>
          <w:tblCellMar>
            <w:top w:w="0" w:type="dxa"/>
            <w:left w:w="108" w:type="dxa"/>
            <w:bottom w:w="0" w:type="dxa"/>
            <w:right w:w="108" w:type="dxa"/>
          </w:tblCellMar>
        </w:tblPrEx>
        <w:trPr>
          <w:trHeight w:val="540" w:hRule="atLeast"/>
          <w:jc w:val="center"/>
        </w:trPr>
        <w:tc>
          <w:tcPr>
            <w:tcW w:w="356" w:type="dxa"/>
            <w:tcBorders>
              <w:top w:val="nil"/>
              <w:left w:val="single" w:color="auto" w:sz="4" w:space="0"/>
              <w:bottom w:val="single" w:color="auto" w:sz="4" w:space="0"/>
              <w:right w:val="single" w:color="auto" w:sz="4" w:space="0"/>
            </w:tcBorders>
            <w:noWrap/>
            <w:vAlign w:val="center"/>
          </w:tcPr>
          <w:p w14:paraId="367D58A2">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D</w:t>
            </w:r>
          </w:p>
        </w:tc>
        <w:tc>
          <w:tcPr>
            <w:tcW w:w="7046" w:type="dxa"/>
            <w:gridSpan w:val="4"/>
            <w:tcBorders>
              <w:top w:val="single" w:color="auto" w:sz="4" w:space="0"/>
              <w:left w:val="single" w:color="auto" w:sz="4" w:space="0"/>
              <w:bottom w:val="single" w:color="auto" w:sz="4" w:space="0"/>
              <w:right w:val="single" w:color="auto" w:sz="4" w:space="0"/>
            </w:tcBorders>
            <w:vAlign w:val="center"/>
          </w:tcPr>
          <w:p w14:paraId="01BE089F">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小规模纳税人税金=（A+B+C）*3.36%=(A+B+C)*0.0336</w:t>
            </w:r>
          </w:p>
        </w:tc>
        <w:tc>
          <w:tcPr>
            <w:tcW w:w="1899" w:type="dxa"/>
            <w:tcBorders>
              <w:top w:val="single" w:color="auto" w:sz="4" w:space="0"/>
              <w:left w:val="single" w:color="auto" w:sz="4" w:space="0"/>
              <w:bottom w:val="single" w:color="auto" w:sz="4" w:space="0"/>
              <w:right w:val="single" w:color="auto" w:sz="4" w:space="0"/>
            </w:tcBorders>
            <w:noWrap/>
            <w:vAlign w:val="center"/>
          </w:tcPr>
          <w:p w14:paraId="725D7BBF">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39821.7</w:t>
            </w:r>
          </w:p>
        </w:tc>
      </w:tr>
      <w:tr w14:paraId="65DB258D">
        <w:tblPrEx>
          <w:tblCellMar>
            <w:top w:w="0" w:type="dxa"/>
            <w:left w:w="108" w:type="dxa"/>
            <w:bottom w:w="0" w:type="dxa"/>
            <w:right w:w="108" w:type="dxa"/>
          </w:tblCellMar>
        </w:tblPrEx>
        <w:trPr>
          <w:trHeight w:val="540" w:hRule="atLeast"/>
          <w:jc w:val="center"/>
        </w:trPr>
        <w:tc>
          <w:tcPr>
            <w:tcW w:w="7402" w:type="dxa"/>
            <w:gridSpan w:val="5"/>
            <w:tcBorders>
              <w:top w:val="single" w:color="auto" w:sz="4" w:space="0"/>
              <w:left w:val="single" w:color="auto" w:sz="4" w:space="0"/>
              <w:bottom w:val="single" w:color="auto" w:sz="4" w:space="0"/>
              <w:right w:val="single" w:color="000000" w:sz="4" w:space="0"/>
            </w:tcBorders>
            <w:noWrap/>
            <w:vAlign w:val="bottom"/>
          </w:tcPr>
          <w:p w14:paraId="3BC31783">
            <w:pPr>
              <w:widowControl/>
              <w:spacing w:line="360" w:lineRule="auto"/>
              <w:jc w:val="center"/>
              <w:textAlignment w:val="bottom"/>
              <w:rPr>
                <w:rFonts w:hint="eastAsia" w:ascii="宋体" w:hAnsi="宋体" w:eastAsia="宋体" w:cs="宋体"/>
                <w:b/>
                <w:bCs/>
                <w:kern w:val="0"/>
                <w:sz w:val="24"/>
                <w:szCs w:val="24"/>
              </w:rPr>
            </w:pPr>
            <w:r>
              <w:rPr>
                <w:rFonts w:hint="eastAsia" w:ascii="宋体" w:hAnsi="宋体" w:eastAsia="宋体" w:cs="宋体"/>
                <w:b/>
                <w:kern w:val="0"/>
                <w:sz w:val="24"/>
                <w:szCs w:val="24"/>
                <w:lang w:bidi="ar"/>
              </w:rPr>
              <w:t xml:space="preserve">       总计（A+B+C+D）</w:t>
            </w:r>
          </w:p>
        </w:tc>
        <w:tc>
          <w:tcPr>
            <w:tcW w:w="1899" w:type="dxa"/>
            <w:tcBorders>
              <w:top w:val="nil"/>
              <w:left w:val="nil"/>
              <w:bottom w:val="single" w:color="auto" w:sz="4" w:space="0"/>
              <w:right w:val="single" w:color="auto" w:sz="4" w:space="0"/>
            </w:tcBorders>
            <w:noWrap/>
            <w:vAlign w:val="center"/>
          </w:tcPr>
          <w:p w14:paraId="4669D9F3">
            <w:pPr>
              <w:widowControl/>
              <w:spacing w:line="360" w:lineRule="auto"/>
              <w:jc w:val="center"/>
              <w:textAlignment w:val="center"/>
              <w:rPr>
                <w:rFonts w:hint="eastAsia" w:ascii="宋体" w:hAnsi="宋体" w:eastAsia="宋体" w:cs="宋体"/>
                <w:b/>
                <w:bCs/>
                <w:kern w:val="0"/>
                <w:sz w:val="24"/>
                <w:szCs w:val="24"/>
              </w:rPr>
            </w:pPr>
            <w:r>
              <w:rPr>
                <w:rFonts w:hint="eastAsia" w:ascii="宋体" w:hAnsi="宋体" w:eastAsia="宋体" w:cs="宋体"/>
                <w:kern w:val="0"/>
                <w:sz w:val="24"/>
                <w:szCs w:val="24"/>
                <w:lang w:bidi="ar"/>
              </w:rPr>
              <w:t>1224991.38</w:t>
            </w:r>
          </w:p>
        </w:tc>
      </w:tr>
      <w:tr w14:paraId="65711547">
        <w:tblPrEx>
          <w:tblCellMar>
            <w:top w:w="0" w:type="dxa"/>
            <w:left w:w="108" w:type="dxa"/>
            <w:bottom w:w="0" w:type="dxa"/>
            <w:right w:w="108" w:type="dxa"/>
          </w:tblCellMar>
        </w:tblPrEx>
        <w:trPr>
          <w:trHeight w:val="855" w:hRule="atLeast"/>
          <w:jc w:val="center"/>
        </w:trPr>
        <w:tc>
          <w:tcPr>
            <w:tcW w:w="9301" w:type="dxa"/>
            <w:gridSpan w:val="6"/>
            <w:tcBorders>
              <w:top w:val="single" w:color="auto" w:sz="4" w:space="0"/>
              <w:left w:val="nil"/>
              <w:bottom w:val="nil"/>
              <w:right w:val="nil"/>
            </w:tcBorders>
            <w:vAlign w:val="center"/>
          </w:tcPr>
          <w:p w14:paraId="233C901B">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注：如投标人以小规模纳税人税金费率报价，投标文件中须提供税务部门出具的小规模纳税人证明材料（如：企业税种核定材料等），否则将导致投标无效。</w:t>
            </w:r>
          </w:p>
        </w:tc>
      </w:tr>
    </w:tbl>
    <w:p w14:paraId="3E4A2AD9">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注：（1）人员工资不低于合肥市市区最低工资标准（2320元/人/月），社会保险个人缴纳费用含在最低工资标准中。</w:t>
      </w:r>
    </w:p>
    <w:p w14:paraId="3E5A8972">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（2）社会保险（五险）缴费基数最低为4311元，计算缴费金额以每人每月为基数。 社会保险 （五险） 企业缴纳费用 （缴费费率： 23.3%） 组成为： 养老保险 16%、工伤保险 0.4%、失业保险 0.5%、医疗保险 6.4%。</w:t>
      </w:r>
    </w:p>
    <w:p w14:paraId="3257A040">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（3）一般纳税人税金费率 6.72%，小规模纳税人税金费率 3.36%。</w:t>
      </w:r>
    </w:p>
    <w:p w14:paraId="66AB75D0">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（4）请投标人自行核算以上政策性费用，如投标人对以上费用有疑问，请在本项目网上询问期内提出。</w:t>
      </w:r>
      <w:r>
        <w:rPr>
          <w:rFonts w:hint="eastAsia" w:ascii="宋体" w:hAnsi="宋体" w:eastAsia="宋体" w:cs="宋体"/>
          <w:b/>
          <w:bCs/>
          <w:sz w:val="24"/>
          <w:szCs w:val="24"/>
        </w:rPr>
        <w:t>如无疑问，报价应不低于上述政策性费用价格，否则将导致投标无效。</w:t>
      </w:r>
    </w:p>
    <w:p w14:paraId="5AD3A01A">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（5）政策性费用不接受赠送及优惠，其他相关项，作为可竞争费用，由投标人自行考虑含在报价中。</w:t>
      </w:r>
    </w:p>
    <w:p w14:paraId="451263E7">
      <w:pPr>
        <w:spacing w:line="360" w:lineRule="auto"/>
        <w:ind w:firstLine="435"/>
        <w:rPr>
          <w:rFonts w:hint="eastAsia" w:ascii="宋体" w:hAnsi="宋体" w:eastAsia="宋体"/>
          <w:bCs/>
          <w:sz w:val="24"/>
          <w:szCs w:val="18"/>
        </w:rPr>
      </w:pPr>
      <w:r>
        <w:rPr>
          <w:rFonts w:hint="eastAsia" w:ascii="宋体" w:hAnsi="宋体" w:eastAsia="宋体" w:cs="宋体"/>
          <w:sz w:val="24"/>
          <w:szCs w:val="24"/>
        </w:rPr>
        <w:t>（6）</w:t>
      </w:r>
      <w:r>
        <w:rPr>
          <w:rFonts w:hint="eastAsia" w:ascii="宋体" w:hAnsi="宋体" w:eastAsia="宋体"/>
          <w:bCs/>
          <w:sz w:val="24"/>
          <w:szCs w:val="18"/>
        </w:rPr>
        <w:t>本项目报总价。投标报价为完成本次招标项目委托服务期限内所有服务内容的全费用总价，其组成包括但不限于人员工资、社会保险、工具物料、执勤服装、综合管理、利税及风险费用等为完成本次招标项目所发生的一切费用。中标人自行解决员工养老、失业、医疗、工伤、生育、纳税等保险及劳保、工资、福利、食宿、员工上下班交通以及投标人为完成服务所发生的一切费用等有关问题。</w:t>
      </w:r>
    </w:p>
    <w:p w14:paraId="5A53FF3E">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 xml:space="preserve">（7）投标人应考虑合同期内政策性费用调整的风险。报价应考虑合肥市最低工资标准上调等风险，履约期限内不得以最低工资标准上调以及物价指数上涨等理由要求增加管理费用。承包期内因省、市政府出台文件调整最低人员保障工资的，中标人须无条件予以调整，该风险投标人报价时须综合考虑并承担，以后采购人不再给予。 </w:t>
      </w:r>
    </w:p>
    <w:p w14:paraId="6373C929">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2、如采购人对中标人所提供的服务不满意（如出现偷盗采购人国有资产等违法案件），可以扣除履约保证金，具体事项及双方权利义务由双方在合同中约定。</w:t>
      </w:r>
    </w:p>
    <w:p w14:paraId="6BF9095A">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3、所有来往票据，中标人需提供国家正式税务发票。</w:t>
      </w:r>
    </w:p>
    <w:p w14:paraId="4BE8AB45">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4、寒暑假期间，中标人必须照常服务，采购人不再另外支付工资，员工必须服从中标人在本校范围内调剂工作。</w:t>
      </w:r>
    </w:p>
    <w:p w14:paraId="57FB761B">
      <w:pPr>
        <w:pStyle w:val="2"/>
        <w:ind w:left="437"/>
        <w:rPr>
          <w:rFonts w:hint="eastAsia"/>
        </w:rPr>
      </w:pPr>
    </w:p>
    <w:p w14:paraId="27A68CC2">
      <w:pPr>
        <w:spacing w:line="360" w:lineRule="auto"/>
        <w:ind w:firstLine="437"/>
        <w:outlineLvl w:val="1"/>
        <w:rPr>
          <w:rFonts w:hint="eastAsia" w:ascii="宋体" w:hAnsi="宋体" w:eastAsia="宋体"/>
          <w:b/>
          <w:sz w:val="24"/>
          <w:szCs w:val="18"/>
        </w:rPr>
      </w:pPr>
      <w:bookmarkStart w:id="11" w:name="_Toc8283"/>
      <w:bookmarkStart w:id="12" w:name="_Toc18794"/>
      <w:r>
        <w:rPr>
          <w:rFonts w:hint="eastAsia" w:ascii="宋体" w:hAnsi="宋体" w:eastAsia="宋体"/>
          <w:b/>
          <w:sz w:val="24"/>
          <w:szCs w:val="18"/>
        </w:rPr>
        <w:t>五、其他要求</w:t>
      </w:r>
      <w:bookmarkEnd w:id="11"/>
      <w:bookmarkEnd w:id="12"/>
    </w:p>
    <w:bookmarkEnd w:id="3"/>
    <w:bookmarkEnd w:id="5"/>
    <w:p w14:paraId="58478D59">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1、中标人具备良好的从业信誉，有完善的管理体系和健全的内部管理规章。</w:t>
      </w:r>
    </w:p>
    <w:p w14:paraId="4C0681BF">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2、中标人应认真研究高校安保服务的教育属性，熟悉校园管理特点，根据校园内不同服务对象，制订切实可行校园安保服务整体方案、保安服务质量考评方案和突发事件应急处置预案，完善专项管理制度。</w:t>
      </w:r>
    </w:p>
    <w:p w14:paraId="30AC643D">
      <w:pPr>
        <w:spacing w:line="360" w:lineRule="auto"/>
        <w:ind w:firstLine="437"/>
        <w:rPr>
          <w:rFonts w:hint="eastAsia" w:ascii="宋体" w:hAnsi="宋体" w:eastAsia="宋体" w:cs="宋体"/>
          <w:b/>
          <w:sz w:val="24"/>
          <w:szCs w:val="24"/>
        </w:rPr>
      </w:pPr>
      <w:r>
        <w:rPr>
          <w:rFonts w:hint="eastAsia" w:ascii="宋体" w:hAnsi="宋体" w:eastAsia="宋体" w:cs="宋体"/>
          <w:b/>
          <w:sz w:val="24"/>
          <w:szCs w:val="24"/>
        </w:rPr>
        <w:t>风险责任</w:t>
      </w:r>
    </w:p>
    <w:p w14:paraId="608E488E">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（一）安保处代表学院对中标人安保服务质量进行全过程监控，</w:t>
      </w:r>
      <w:r>
        <w:rPr>
          <w:rFonts w:hint="eastAsia" w:ascii="宋体" w:hAnsi="宋体" w:eastAsia="宋体" w:cs="宋体"/>
          <w:kern w:val="0"/>
          <w:sz w:val="24"/>
          <w:szCs w:val="24"/>
        </w:rPr>
        <w:t>本项目设置30000元的履约保证金，</w:t>
      </w:r>
      <w:r>
        <w:rPr>
          <w:rFonts w:hint="eastAsia" w:ascii="宋体" w:hAnsi="宋体" w:eastAsia="宋体" w:cs="宋体"/>
          <w:bCs/>
          <w:kern w:val="0"/>
          <w:sz w:val="24"/>
          <w:szCs w:val="24"/>
        </w:rPr>
        <w:t xml:space="preserve">每季度考核一次，考核期内中标人因工作过失造成学院人员伤害、财物损失，将予以扣除或处罚金。 </w:t>
      </w:r>
    </w:p>
    <w:p w14:paraId="4D826BF7">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中标人在合同执行期间，如果有下列情形之一者，采购人有权从履约保证金中视情节轻重扣除50－1000元/次。</w:t>
      </w:r>
    </w:p>
    <w:p w14:paraId="1F74D0A7">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1、未按合同规定派足保安或未执行合同规定任务的。</w:t>
      </w:r>
    </w:p>
    <w:p w14:paraId="5F755C0D">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2、未经保卫处同意，擅自更换队长或一次性更换2名以上保安队员的。</w:t>
      </w:r>
    </w:p>
    <w:p w14:paraId="34594035">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3、未经保卫处同意，擅自外调、外借队员的。</w:t>
      </w:r>
    </w:p>
    <w:p w14:paraId="5F00F0CB">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4、未及时配备派驻保安的统一服装及附属装备（执勤手电、警棍、对讲机、雨衣等）并给学院带来不良影响的。</w:t>
      </w:r>
    </w:p>
    <w:p w14:paraId="422276C9">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5、校园内发生盗窃案件，经分析认定为保安人员工作失责或失误有明显关系的。</w:t>
      </w:r>
    </w:p>
    <w:p w14:paraId="3F33CB18">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6、发生其他有损学院形象或影响正常工作造成损失的。</w:t>
      </w:r>
    </w:p>
    <w:p w14:paraId="41033BE6">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7、校园发生火灾应该发现而未能及时发现、及时扑救的。</w:t>
      </w:r>
    </w:p>
    <w:p w14:paraId="341DBAC6">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8、对学院指出的存在问题与不足未能在限期内及时整改的。</w:t>
      </w:r>
    </w:p>
    <w:p w14:paraId="73931E0F">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二）安保处结合中标人保安服务质量考评方案每学期对保安服务质量征求师生员工的意见，综合满意率必须达到80%以上，综合满意率每低一个百分点，要求中标人进行整改；综合满意率低于70%，学校有权不再续签下一年合同。</w:t>
      </w:r>
    </w:p>
    <w:p w14:paraId="6DF5275F">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（三）保安人员在岗履行工作职责期间，因自身原因发生人身伤害、伤亡，均由中标人负责处理并承担经济和道义上的责任。</w:t>
      </w:r>
    </w:p>
    <w:p w14:paraId="70F46683">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（四）中标人违反国家相关法规，与聘用人员发生劳务纠纷，均由中标人负责调解与处理。</w:t>
      </w:r>
    </w:p>
    <w:p w14:paraId="6B0DAB4B">
      <w:pPr>
        <w:spacing w:line="360" w:lineRule="auto"/>
        <w:ind w:firstLine="437"/>
        <w:rPr>
          <w:rFonts w:hint="eastAsia" w:ascii="宋体" w:hAnsi="宋体" w:eastAsia="宋体" w:cs="宋体"/>
          <w:bCs/>
          <w:kern w:val="0"/>
          <w:sz w:val="24"/>
          <w:szCs w:val="24"/>
        </w:rPr>
      </w:pPr>
      <w:r>
        <w:rPr>
          <w:rFonts w:hint="eastAsia" w:ascii="宋体" w:hAnsi="宋体" w:eastAsia="宋体" w:cs="宋体"/>
          <w:bCs/>
          <w:kern w:val="0"/>
          <w:sz w:val="24"/>
          <w:szCs w:val="24"/>
        </w:rPr>
        <w:t>（五）中标人在安保服务中违反国家相关法规或保安行业规范，因过失造成他人财产损失或人身伤亡的，均由中标人负责处理并承担法律责任和道义责任。</w:t>
      </w:r>
    </w:p>
    <w:p w14:paraId="28ADC93C">
      <w:pPr>
        <w:pStyle w:val="2"/>
        <w:rPr>
          <w:rFonts w:hint="eastAsia"/>
          <w:bCs/>
        </w:rPr>
      </w:pPr>
    </w:p>
    <w:p w14:paraId="64435928">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2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2026-05-22T03:23:34Z</dcterms:created>
  <dc:creator>Lenovo</dc:creator>
  <cp:lastModifiedBy>省招</cp:lastModifiedBy>
  <dcterms:modified xsi:type="dcterms:W3CDTF">2026-05-22T03:23:40Z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eyJoZGlkIjoiMmM2MTA4NWRhZjRiYWU5NDgyMzc3NDQyMDk2Y2ZlODgiLCJ1c2VySWQiOiI4ODgyMDUxMzUifQ==</vt:lpwstr>
  </property>
  <property fmtid="{D5CDD505-2E9C-101B-9397-08002B2CF9AE}" pid="4" name="ICV">
    <vt:lpwstr>1934C9DD72D444B1B63361F209810F1F_12</vt:lpwstr>
  </property>
</Properties>
</file>