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03FFB">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2EB7DC4C">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1581D788">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7B6B08E5">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1BB46197">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4446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51AFCB7D">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18D5E901">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31C3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4CD76A6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047FBA78">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5146954F">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5DE1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53CB738F">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75F9F8CE">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3BFA0044">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40CF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6F113A8F">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253E1D69">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6C313A14">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1B6C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1D531C2E">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28EB517D">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3BC3AC10">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77C5BB60">
      <w:pPr>
        <w:spacing w:line="360" w:lineRule="auto"/>
        <w:rPr>
          <w:rFonts w:hint="eastAsia" w:ascii="仿宋" w:hAnsi="仿宋" w:eastAsia="仿宋" w:cs="仿宋"/>
          <w:b/>
          <w:color w:val="000000"/>
          <w:sz w:val="24"/>
          <w:highlight w:val="none"/>
        </w:rPr>
      </w:pPr>
    </w:p>
    <w:p w14:paraId="41869BA8">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1CA3081F">
      <w:pPr>
        <w:pStyle w:val="5"/>
        <w:ind w:firstLine="0"/>
        <w:rPr>
          <w:rFonts w:hint="eastAsia" w:ascii="仿宋" w:hAnsi="仿宋" w:eastAsia="仿宋" w:cs="仿宋"/>
          <w:b/>
          <w:sz w:val="24"/>
          <w:highlight w:val="none"/>
        </w:rPr>
      </w:pPr>
    </w:p>
    <w:p w14:paraId="29CBCA5B">
      <w:pPr>
        <w:pStyle w:val="5"/>
        <w:rPr>
          <w:rFonts w:hint="eastAsia" w:ascii="仿宋" w:hAnsi="仿宋" w:eastAsia="仿宋" w:cs="仿宋"/>
          <w:b/>
          <w:sz w:val="24"/>
          <w:highlight w:val="none"/>
        </w:rPr>
      </w:pPr>
    </w:p>
    <w:p w14:paraId="4995E97E">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1C8109EB">
      <w:pPr>
        <w:pStyle w:val="4"/>
        <w:ind w:firstLine="0" w:firstLineChars="0"/>
        <w:rPr>
          <w:b/>
          <w:bCs/>
          <w:highlight w:val="none"/>
          <w:lang w:val="zh-CN"/>
        </w:rPr>
      </w:pPr>
    </w:p>
    <w:p w14:paraId="5084ADC8">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1995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3EC1AD72">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4D2231D9">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3026E29B">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23F0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0797905">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5A4CAE0C">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4FAD24C6">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1703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95BABED">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7217545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14B57F44">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5D26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0ADC00B6">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46FD9A16">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7C90D3D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1、主要用途：</w:t>
      </w:r>
    </w:p>
    <w:p w14:paraId="34C8F04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1.1提供持续高频振荡、持续呼气正压和雾化功能，促进患者气道分泌物的松动与排出，用于预防和治疗肺不张；</w:t>
      </w:r>
    </w:p>
    <w:p w14:paraId="1131D91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1.2与压缩氧气配合提供补充供氧；</w:t>
      </w:r>
    </w:p>
    <w:p w14:paraId="29F6267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1.3适用于儿童、成人、有创及无创患者，用于自主呼吸、面罩、气道插管及机械通气患者。</w:t>
      </w:r>
    </w:p>
    <w:p w14:paraId="1704AA2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2、设备组成：</w:t>
      </w:r>
    </w:p>
    <w:p w14:paraId="3550F84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2.1主机：压力计、模式选择器、回路三路连接端口、氧气连接器、ON/OFF主开关、CPEP流量调节器；</w:t>
      </w:r>
    </w:p>
    <w:p w14:paraId="01EE861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★2.2管路：单病人使用管路，适用于有创和无创患者；包含接口管、回路三路连接器/生物过滤器、导管、喷雾器、孔指示器、封闭环、喷雾器导管、手柄、选择器环；</w:t>
      </w:r>
    </w:p>
    <w:p w14:paraId="49542AA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2.3压缩氧气连接管；</w:t>
      </w:r>
    </w:p>
    <w:p w14:paraId="2E8CF80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2.4台车：可以与主机分离、轮子锁定装置。</w:t>
      </w:r>
    </w:p>
    <w:p w14:paraId="7750780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3、适应症：肺移植术后、心胸手术术后、脑瘫、肌萎缩侧索硬化、囊性纤维化病、肌肉萎缩症、脊椎损伤、COPD、肺膨胀治疗、肺不张的治疗和预防、呼吸机依赖等百种以上疾病和症状</w:t>
      </w:r>
    </w:p>
    <w:p w14:paraId="61C592D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技术原理：CHFO、CPEP、雾化治疗模式相结合及定时间切换，通过黏膜纤毛活动梯、咳嗽、自动头向流动三种机制，CHFO物理疗法增强粘液清除和治疗肺不张，CPEP疗法利用文丘里原理，固定节流孔阻力器及吸气和呼气气流，提供高于大气压的持续性的、临床医生设定的气道压力。</w:t>
      </w:r>
    </w:p>
    <w:p w14:paraId="37821B6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5、治疗模式</w:t>
      </w:r>
    </w:p>
    <w:p w14:paraId="62AEA21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★5.1 CHFO：一种气动物理疗法，在使用连续高压脉冲振荡气道期间提供医用雾化。</w:t>
      </w:r>
    </w:p>
    <w:p w14:paraId="7158DAC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★5.2 CPEP：持续正压结合提供医用雾化、有助于保持气道开放和扩张。</w:t>
      </w:r>
    </w:p>
    <w:p w14:paraId="7AE10E6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★5.3 喷雾：用于气雾剂输送，在此模式下，CHFO和CPEP均无法使用</w:t>
      </w:r>
    </w:p>
    <w:p w14:paraId="45EC872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color w:val="000000"/>
          <w:kern w:val="0"/>
          <w:sz w:val="24"/>
          <w:highlight w:val="none"/>
          <w:lang w:bidi="ar"/>
        </w:rPr>
        <w:t>6、技术参数：</w:t>
      </w:r>
    </w:p>
    <w:p w14:paraId="347D05F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★6.1 控制按键：CHFO和CPEP切换键、流量调节键、CHFO调节键；</w:t>
      </w:r>
    </w:p>
    <w:p w14:paraId="4147BAB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6.2 压力表范围：0-80cmH</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O</w:t>
      </w:r>
    </w:p>
    <w:p w14:paraId="347E9BC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★6.3 管路：材质：不含乳胶；动力要求：≥345Kpa(50psi),流速为60L/min医院级氧气；声响级别&lt;85dBA ，手柄调节阻力：高阻力、中等阻力、低阻力</w:t>
      </w:r>
    </w:p>
    <w:p w14:paraId="28835B7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6.4 喷雾剂性能：</w:t>
      </w:r>
    </w:p>
    <w:p w14:paraId="5901551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6.4.1 高频：CHFO 模式高频设置下，产品的雾化输出速率≥0.30 mL/min；雾化残液量≤ 1.40 mL；</w:t>
      </w:r>
    </w:p>
    <w:p w14:paraId="2EEB6D2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6.4.2 低频：CHFO 模式低频设置下，产品的雾化输出速率≥0.39 mL/min；雾化残液量≤ 1.31 mL；</w:t>
      </w:r>
    </w:p>
    <w:p w14:paraId="2EF6DFA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6.4.3 高流量：CPEP 模式高流量设置下，产品的雾化输出速率≥0.13 mL/min；雾化残液量≤ 1.36 mL；</w:t>
      </w:r>
    </w:p>
    <w:p w14:paraId="1797555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6.4.4 低流量：CPEP 模式低流量设置下，产品的雾化输出速率≥0.36 mL/min；雾化残液量≤ 1.25 mL；</w:t>
      </w:r>
    </w:p>
    <w:p w14:paraId="4ABEC0D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6.4.5单独雾化：仅雾化模式设置下，产品的雾化输出速率≥ 0.34 mL/min；雾化残液量≤ 1.23 mL。</w:t>
      </w:r>
    </w:p>
    <w:p w14:paraId="2B9B4A9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6.5 连续高频振荡（CHFO）模式：</w:t>
      </w:r>
    </w:p>
    <w:p w14:paraId="418F51F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6.5.1频率范围：</w:t>
      </w:r>
    </w:p>
    <w:p w14:paraId="308F2AE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      CHFO 模式高频设置下，产品输出的振动频率在 180 - 300 bpm 以内；</w:t>
      </w:r>
    </w:p>
    <w:p w14:paraId="6D8DCA5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CHFO 模式低频设置下，产品输出的振动频率在 100 - 180 bpm 以内。</w:t>
      </w:r>
    </w:p>
    <w:p w14:paraId="1FFD333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6.5.2 峰值压力：</w:t>
      </w:r>
    </w:p>
    <w:p w14:paraId="5BEF2A7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CHFO 模式高频设置下，产品输出的峰值压力在 44 - 68.5 cmH</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O以内；</w:t>
      </w:r>
    </w:p>
    <w:p w14:paraId="4C6066F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CHFO 模式低频设置下，产品输出的峰值压力在 26 - 55 cmH</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O以内。</w:t>
      </w:r>
    </w:p>
    <w:p w14:paraId="44780ED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6.5.3气道内峰值压力：</w:t>
      </w:r>
    </w:p>
    <w:p w14:paraId="0D8BBC9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CHFO 模式高频设置下产品输出的气道内峰值压力在 8 - 38 cmH</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O以内。</w:t>
      </w:r>
    </w:p>
    <w:p w14:paraId="5411A35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CHFO 模式低频设置下产品输出的气道内峰值压力在 8 - 30 cmH</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O以内；</w:t>
      </w:r>
    </w:p>
    <w:p w14:paraId="59EEED5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6.6 持续呼气期正压 (CPEP) 模式：</w:t>
      </w:r>
    </w:p>
    <w:p w14:paraId="45B2E42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CPEP 模式下产品的输出压力 ≤30 cmH</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O</w:t>
      </w:r>
    </w:p>
    <w:p w14:paraId="555C54F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6.7  工作电压：氧气驱动，无需电源；</w:t>
      </w:r>
    </w:p>
    <w:p w14:paraId="5A45D63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 耗材及易损件须单独报价（如有）</w:t>
      </w:r>
    </w:p>
    <w:p w14:paraId="39A38CBE">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宋体" w:hAnsi="宋体"/>
          <w:bCs w:val="0"/>
          <w:szCs w:val="21"/>
          <w:highlight w:val="none"/>
          <w:lang w:bidi="ar"/>
        </w:rPr>
        <w:t xml:space="preserve">   </w:t>
      </w:r>
      <w:r>
        <w:rPr>
          <w:rFonts w:hint="eastAsia" w:ascii="仿宋" w:hAnsi="仿宋" w:eastAsia="仿宋" w:cs="仿宋"/>
          <w:b/>
          <w:bCs/>
          <w:kern w:val="44"/>
          <w:sz w:val="24"/>
          <w:szCs w:val="24"/>
          <w:highlight w:val="none"/>
          <w:lang w:val="en-US" w:eastAsia="zh-CN" w:bidi="ar-SA"/>
        </w:rPr>
        <w:t>其他配套要求：</w:t>
      </w:r>
    </w:p>
    <w:p w14:paraId="55F86A7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47B0851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76AE952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1D99FEE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2718E27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426A784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16C90FA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5DA5C289">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6330BB64">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674568E8">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125F4725">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0E68C8F9">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779E73FA">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3ECE1A1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17AB62C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57BA584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02951D7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5800637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4CC193F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78FA9C2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6653225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625F0B4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6FF864A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5968AEA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2404B5E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224752F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6BD8AB6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A020BB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2BFB7B1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123EC"/>
    <w:rsid w:val="0B0C0891"/>
    <w:rsid w:val="129D77F1"/>
    <w:rsid w:val="1F2D5D92"/>
    <w:rsid w:val="1FB95ABE"/>
    <w:rsid w:val="30A969DB"/>
    <w:rsid w:val="461C03CC"/>
    <w:rsid w:val="4D743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qFormat/>
    <w:uiPriority w:val="99"/>
    <w:pPr>
      <w:spacing w:after="120" w:afterLines="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3955</Words>
  <Characters>4158</Characters>
  <Lines>0</Lines>
  <Paragraphs>0</Paragraphs>
  <TotalTime>0</TotalTime>
  <ScaleCrop>false</ScaleCrop>
  <LinksUpToDate>false</LinksUpToDate>
  <CharactersWithSpaces>4207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2025-11-30T11:47:00Z</dcterms:created>
  <dc:creator>1</dc:creator>
  <cp:lastModifiedBy>豆奶是个小胖子</cp:lastModifiedBy>
  <dcterms:modified xsi:type="dcterms:W3CDTF">2025-11-30T13:22:25Z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eyJoZGlkIjoiNzUyOTA3MTdkN2ZkZGNjNWU1MDc2NTE0MWNiZTE2MDkiLCJ1c2VySWQiOiIzMDI3OTc1ODcifQ==</vt:lpwstr>
  </property>
  <property fmtid="{D5CDD505-2E9C-101B-9397-08002B2CF9AE}" pid="4" name="ICV">
    <vt:lpwstr>BA952FDCD16147F987985432D78BE9C0_12</vt:lpwstr>
  </property>
</Properties>
</file>