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EA575E">
      <w:pPr>
        <w:spacing w:line="360" w:lineRule="auto"/>
        <w:jc w:val="center"/>
        <w:outlineLvl w:val="0"/>
        <w:rPr>
          <w:rFonts w:hint="eastAsia" w:ascii="宋体" w:hAnsi="宋体" w:eastAsia="宋体" w:cs="@仿宋_GB2312"/>
          <w:b/>
          <w:color w:val="auto"/>
          <w:sz w:val="28"/>
          <w:szCs w:val="20"/>
          <w:highlight w:val="none"/>
          <w:lang w:eastAsia="zh-CN"/>
        </w:rPr>
      </w:pPr>
      <w:r>
        <w:rPr>
          <w:rFonts w:hint="eastAsia" w:ascii="宋体" w:hAnsi="宋体" w:eastAsia="宋体" w:cs="@仿宋_GB2312"/>
          <w:b/>
          <w:color w:val="auto"/>
          <w:sz w:val="28"/>
          <w:szCs w:val="20"/>
          <w:highlight w:val="none"/>
        </w:rPr>
        <w:t>采购需求</w:t>
      </w:r>
    </w:p>
    <w:p w14:paraId="03DD73E5">
      <w:pPr>
        <w:keepNext w:val="0"/>
        <w:keepLines w:val="0"/>
        <w:pageBreakBefore w:val="0"/>
        <w:widowControl w:val="0"/>
        <w:kinsoku/>
        <w:wordWrap/>
        <w:overflowPunct/>
        <w:topLinePunct w:val="0"/>
        <w:autoSpaceDE/>
        <w:autoSpaceDN/>
        <w:bidi w:val="0"/>
        <w:adjustRightInd/>
        <w:snapToGrid w:val="0"/>
        <w:spacing w:line="360" w:lineRule="auto"/>
        <w:textAlignment w:val="auto"/>
        <w:rPr>
          <w:rFonts w:ascii="宋体" w:hAnsi="宋体" w:eastAsia="宋体" w:cs="@仿宋_GB2312"/>
          <w:b/>
          <w:color w:val="auto"/>
          <w:sz w:val="21"/>
          <w:szCs w:val="21"/>
          <w:highlight w:val="none"/>
        </w:rPr>
      </w:pPr>
      <w:r>
        <w:rPr>
          <w:rFonts w:hint="eastAsia" w:ascii="宋体" w:hAnsi="宋体" w:eastAsia="宋体" w:cs="@仿宋_GB2312"/>
          <w:b/>
          <w:color w:val="auto"/>
          <w:sz w:val="21"/>
          <w:szCs w:val="21"/>
          <w:highlight w:val="none"/>
        </w:rPr>
        <w:t>前注：</w:t>
      </w:r>
    </w:p>
    <w:p w14:paraId="730491BB">
      <w:pPr>
        <w:keepNext w:val="0"/>
        <w:keepLines w:val="0"/>
        <w:pageBreakBefore w:val="0"/>
        <w:widowControl w:val="0"/>
        <w:kinsoku/>
        <w:wordWrap/>
        <w:overflowPunct/>
        <w:topLinePunct w:val="0"/>
        <w:autoSpaceDE/>
        <w:autoSpaceDN/>
        <w:bidi w:val="0"/>
        <w:adjustRightInd/>
        <w:snapToGrid w:val="0"/>
        <w:spacing w:line="360" w:lineRule="auto"/>
        <w:ind w:firstLine="435"/>
        <w:textAlignment w:val="auto"/>
        <w:rPr>
          <w:rFonts w:ascii="宋体" w:hAnsi="宋体" w:eastAsia="宋体" w:cs="@仿宋_GB2312"/>
          <w:color w:val="auto"/>
          <w:sz w:val="21"/>
          <w:szCs w:val="21"/>
          <w:highlight w:val="none"/>
        </w:rPr>
      </w:pPr>
      <w:r>
        <w:rPr>
          <w:rFonts w:hint="eastAsia" w:ascii="宋体" w:hAnsi="宋体" w:eastAsia="宋体" w:cs="@仿宋_GB2312"/>
          <w:color w:val="auto"/>
          <w:sz w:val="21"/>
          <w:szCs w:val="21"/>
          <w:highlight w:val="none"/>
        </w:rPr>
        <w:t>1.</w:t>
      </w:r>
      <w:r>
        <w:rPr>
          <w:rFonts w:ascii="宋体" w:hAnsi="宋体" w:eastAsia="宋体" w:cs="@仿宋_GB2312"/>
          <w:color w:val="auto"/>
          <w:sz w:val="21"/>
          <w:szCs w:val="21"/>
          <w:highlight w:val="none"/>
        </w:rPr>
        <w:t>根据《</w:t>
      </w:r>
      <w:r>
        <w:rPr>
          <w:rFonts w:hint="eastAsia" w:ascii="宋体" w:hAnsi="宋体" w:eastAsia="宋体" w:cs="@仿宋_GB2312"/>
          <w:color w:val="auto"/>
          <w:sz w:val="21"/>
          <w:szCs w:val="21"/>
          <w:highlight w:val="none"/>
        </w:rPr>
        <w:t>政府采购进口产品管理办法</w:t>
      </w:r>
      <w:r>
        <w:rPr>
          <w:rFonts w:ascii="宋体" w:hAnsi="宋体" w:eastAsia="宋体" w:cs="@仿宋_GB2312"/>
          <w:color w:val="auto"/>
          <w:sz w:val="21"/>
          <w:szCs w:val="21"/>
          <w:highlight w:val="none"/>
        </w:rPr>
        <w:t>》及政府采购管理部门的相关规定，下列采购需求中</w:t>
      </w:r>
      <w:r>
        <w:rPr>
          <w:rFonts w:hint="eastAsia" w:ascii="宋体" w:hAnsi="宋体" w:eastAsia="宋体" w:cs="@仿宋_GB2312"/>
          <w:color w:val="auto"/>
          <w:sz w:val="21"/>
          <w:szCs w:val="21"/>
          <w:highlight w:val="none"/>
        </w:rPr>
        <w:t>标注进口产品的货物均</w:t>
      </w:r>
      <w:r>
        <w:rPr>
          <w:rFonts w:ascii="宋体" w:hAnsi="宋体" w:eastAsia="宋体" w:cs="@仿宋_GB2312"/>
          <w:color w:val="auto"/>
          <w:sz w:val="21"/>
          <w:szCs w:val="21"/>
          <w:highlight w:val="none"/>
        </w:rPr>
        <w:t>已履行相关论证手续，经核准采购进口</w:t>
      </w:r>
      <w:r>
        <w:rPr>
          <w:rFonts w:hint="eastAsia" w:ascii="宋体" w:hAnsi="宋体" w:eastAsia="宋体" w:cs="@仿宋_GB2312"/>
          <w:color w:val="auto"/>
          <w:sz w:val="21"/>
          <w:szCs w:val="21"/>
          <w:highlight w:val="none"/>
        </w:rPr>
        <w:t>产品</w:t>
      </w:r>
      <w:r>
        <w:rPr>
          <w:rFonts w:ascii="宋体" w:hAnsi="宋体" w:eastAsia="宋体" w:cs="@仿宋_GB2312"/>
          <w:color w:val="auto"/>
          <w:sz w:val="21"/>
          <w:szCs w:val="21"/>
          <w:highlight w:val="none"/>
        </w:rPr>
        <w:t>，但不限制满足招标文件要求的国内产品参与竞争</w:t>
      </w:r>
      <w:r>
        <w:rPr>
          <w:rFonts w:hint="eastAsia" w:ascii="宋体" w:hAnsi="宋体" w:eastAsia="宋体" w:cs="@仿宋_GB2312"/>
          <w:color w:val="auto"/>
          <w:sz w:val="21"/>
          <w:szCs w:val="21"/>
          <w:highlight w:val="none"/>
        </w:rPr>
        <w:t>。未标注进口产品的货物均</w:t>
      </w:r>
      <w:r>
        <w:rPr>
          <w:rFonts w:ascii="宋体" w:hAnsi="宋体" w:eastAsia="宋体" w:cs="@仿宋_GB2312"/>
          <w:color w:val="auto"/>
          <w:sz w:val="21"/>
          <w:szCs w:val="21"/>
          <w:highlight w:val="none"/>
        </w:rPr>
        <w:t>为拒绝采购进口产品</w:t>
      </w:r>
      <w:r>
        <w:rPr>
          <w:rFonts w:hint="eastAsia" w:ascii="宋体" w:hAnsi="宋体" w:eastAsia="宋体" w:cs="@仿宋_GB2312"/>
          <w:color w:val="auto"/>
          <w:sz w:val="21"/>
          <w:szCs w:val="21"/>
          <w:highlight w:val="none"/>
        </w:rPr>
        <w:t>。</w:t>
      </w:r>
    </w:p>
    <w:p w14:paraId="78F36BE9">
      <w:pPr>
        <w:keepNext w:val="0"/>
        <w:keepLines w:val="0"/>
        <w:pageBreakBefore w:val="0"/>
        <w:widowControl w:val="0"/>
        <w:kinsoku/>
        <w:wordWrap/>
        <w:overflowPunct/>
        <w:topLinePunct w:val="0"/>
        <w:autoSpaceDE/>
        <w:autoSpaceDN/>
        <w:bidi w:val="0"/>
        <w:adjustRightInd/>
        <w:snapToGrid w:val="0"/>
        <w:spacing w:line="360" w:lineRule="auto"/>
        <w:ind w:firstLine="435"/>
        <w:textAlignment w:val="auto"/>
        <w:rPr>
          <w:rFonts w:hint="eastAsia" w:ascii="宋体" w:hAnsi="宋体" w:eastAsia="宋体" w:cs="@仿宋_GB2312"/>
          <w:color w:val="auto"/>
          <w:sz w:val="21"/>
          <w:szCs w:val="21"/>
          <w:highlight w:val="none"/>
        </w:rPr>
      </w:pPr>
      <w:r>
        <w:rPr>
          <w:rFonts w:hint="eastAsia" w:ascii="宋体" w:hAnsi="宋体" w:eastAsia="宋体" w:cs="@仿宋_GB2312"/>
          <w:color w:val="auto"/>
          <w:sz w:val="21"/>
          <w:szCs w:val="21"/>
          <w:highlight w:val="none"/>
        </w:rPr>
        <w:t>2</w:t>
      </w:r>
      <w:r>
        <w:rPr>
          <w:rFonts w:hint="eastAsia" w:ascii="宋体" w:hAnsi="宋体" w:eastAsia="宋体" w:cs="@仿宋_GB2312"/>
          <w:color w:val="auto"/>
          <w:sz w:val="21"/>
          <w:szCs w:val="21"/>
          <w:highlight w:val="none"/>
          <w:lang w:eastAsia="zh-CN"/>
        </w:rPr>
        <w:t>.</w:t>
      </w:r>
      <w:r>
        <w:rPr>
          <w:rFonts w:ascii="宋体" w:hAnsi="宋体" w:eastAsia="宋体" w:cs="宋体"/>
          <w:color w:val="auto"/>
          <w:sz w:val="21"/>
          <w:szCs w:val="21"/>
          <w:highlight w:val="none"/>
        </w:rPr>
        <w:t>政府采购政策（包括但不限于下列具体政策要求</w:t>
      </w:r>
      <w:r>
        <w:rPr>
          <w:rFonts w:hint="eastAsia" w:ascii="宋体" w:hAnsi="宋体" w:eastAsia="宋体" w:cs="宋体"/>
          <w:color w:val="auto"/>
          <w:sz w:val="21"/>
          <w:szCs w:val="21"/>
          <w:highlight w:val="none"/>
          <w:lang w:eastAsia="zh-CN"/>
        </w:rPr>
        <w:t>）</w:t>
      </w:r>
      <w:r>
        <w:rPr>
          <w:rFonts w:hint="eastAsia" w:ascii="宋体" w:hAnsi="宋体" w:eastAsia="宋体" w:cs="@仿宋_GB2312"/>
          <w:color w:val="auto"/>
          <w:sz w:val="21"/>
          <w:szCs w:val="21"/>
          <w:highlight w:val="none"/>
        </w:rPr>
        <w:t>：</w:t>
      </w:r>
    </w:p>
    <w:p w14:paraId="30CEAF6A">
      <w:pPr>
        <w:keepNext w:val="0"/>
        <w:keepLines w:val="0"/>
        <w:pageBreakBefore w:val="0"/>
        <w:widowControl w:val="0"/>
        <w:kinsoku/>
        <w:wordWrap/>
        <w:overflowPunct/>
        <w:topLinePunct w:val="0"/>
        <w:autoSpaceDE/>
        <w:autoSpaceDN/>
        <w:bidi w:val="0"/>
        <w:adjustRightInd/>
        <w:snapToGrid w:val="0"/>
        <w:spacing w:line="360" w:lineRule="auto"/>
        <w:ind w:firstLine="43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45E14189">
      <w:pPr>
        <w:keepNext w:val="0"/>
        <w:keepLines w:val="0"/>
        <w:pageBreakBefore w:val="0"/>
        <w:widowControl w:val="0"/>
        <w:kinsoku/>
        <w:wordWrap/>
        <w:overflowPunct/>
        <w:topLinePunct w:val="0"/>
        <w:autoSpaceDE/>
        <w:autoSpaceDN/>
        <w:bidi w:val="0"/>
        <w:adjustRightInd/>
        <w:snapToGrid w:val="0"/>
        <w:spacing w:line="360" w:lineRule="auto"/>
        <w:ind w:firstLine="43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792471FB">
      <w:pPr>
        <w:keepNext w:val="0"/>
        <w:keepLines w:val="0"/>
        <w:pageBreakBefore w:val="0"/>
        <w:widowControl w:val="0"/>
        <w:kinsoku/>
        <w:wordWrap/>
        <w:overflowPunct/>
        <w:topLinePunct w:val="0"/>
        <w:autoSpaceDE/>
        <w:autoSpaceDN/>
        <w:bidi w:val="0"/>
        <w:adjustRightInd/>
        <w:snapToGrid w:val="0"/>
        <w:spacing w:line="360" w:lineRule="auto"/>
        <w:ind w:firstLine="435"/>
        <w:textAlignment w:val="auto"/>
        <w:rPr>
          <w:rFonts w:hint="eastAsia" w:ascii="宋体" w:hAnsi="宋体" w:eastAsia="宋体" w:cs="@仿宋_GB2312"/>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仿宋_GB2312"/>
          <w:color w:val="auto"/>
          <w:sz w:val="21"/>
          <w:szCs w:val="21"/>
          <w:highlight w:val="none"/>
        </w:rPr>
        <w:t>如采购人允许采用分包方式履行合同的，应当明确可以分包履行的相关内容。</w:t>
      </w:r>
    </w:p>
    <w:p w14:paraId="5733BA1B">
      <w:pPr>
        <w:keepNext w:val="0"/>
        <w:keepLines w:val="0"/>
        <w:pageBreakBefore w:val="0"/>
        <w:widowControl w:val="0"/>
        <w:kinsoku/>
        <w:wordWrap/>
        <w:overflowPunct/>
        <w:topLinePunct w:val="0"/>
        <w:autoSpaceDE/>
        <w:autoSpaceDN/>
        <w:bidi w:val="0"/>
        <w:adjustRightInd/>
        <w:snapToGrid w:val="0"/>
        <w:spacing w:line="360" w:lineRule="auto"/>
        <w:ind w:firstLine="435"/>
        <w:textAlignment w:val="auto"/>
        <w:rPr>
          <w:rFonts w:hint="default"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4.下列采购需求中：标注▲的产品为核心产品（主要中标标的）。</w:t>
      </w:r>
    </w:p>
    <w:p w14:paraId="6E4B9711">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ascii="宋体" w:hAnsi="宋体" w:eastAsia="宋体" w:cs="@仿宋_GB2312"/>
          <w:b/>
          <w:color w:val="auto"/>
          <w:sz w:val="21"/>
          <w:szCs w:val="21"/>
          <w:highlight w:val="none"/>
        </w:rPr>
      </w:pPr>
      <w:bookmarkStart w:id="0" w:name="_Toc32151"/>
      <w:bookmarkStart w:id="1" w:name="_Toc9011"/>
      <w:bookmarkStart w:id="2" w:name="_Toc2554"/>
      <w:r>
        <w:rPr>
          <w:rFonts w:hint="eastAsia" w:ascii="宋体" w:hAnsi="宋体" w:eastAsia="宋体" w:cs="@仿宋_GB2312"/>
          <w:b/>
          <w:color w:val="auto"/>
          <w:sz w:val="21"/>
          <w:szCs w:val="21"/>
          <w:highlight w:val="none"/>
        </w:rPr>
        <w:t>一、采购需求前附表</w:t>
      </w:r>
      <w:bookmarkEnd w:id="0"/>
      <w:bookmarkEnd w:id="1"/>
      <w:bookmarkEnd w:id="2"/>
    </w:p>
    <w:tbl>
      <w:tblPr>
        <w:tblStyle w:val="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2794E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11557D2D">
            <w:pPr>
              <w:keepNext w:val="0"/>
              <w:keepLines w:val="0"/>
              <w:pageBreakBefore w:val="0"/>
              <w:widowControl w:val="0"/>
              <w:suppressLineNumbers w:val="0"/>
              <w:pBdr>
                <w:bottom w:val="none" w:color="auto" w:sz="0" w:space="0"/>
              </w:pBdr>
              <w:kinsoku/>
              <w:wordWrap/>
              <w:overflowPunct/>
              <w:topLinePunct w:val="0"/>
              <w:autoSpaceDE/>
              <w:autoSpaceDN/>
              <w:bidi w:val="0"/>
              <w:adjustRightInd w:val="0"/>
              <w:snapToGrid w:val="0"/>
              <w:spacing w:before="0" w:beforeAutospacing="0" w:after="0" w:afterAutospacing="0" w:line="300" w:lineRule="auto"/>
              <w:ind w:left="0" w:right="0"/>
              <w:jc w:val="center"/>
              <w:textAlignment w:val="auto"/>
              <w:rPr>
                <w:rFonts w:hint="default" w:ascii="宋体" w:hAnsi="宋体" w:eastAsia="宋体" w:cs="@仿宋_GB2312"/>
                <w:b/>
                <w:color w:val="auto"/>
                <w:kern w:val="2"/>
                <w:sz w:val="21"/>
                <w:szCs w:val="21"/>
                <w:highlight w:val="none"/>
                <w:lang w:val="en-US" w:eastAsia="zh-CN" w:bidi="ar-SA"/>
              </w:rPr>
            </w:pPr>
            <w:r>
              <w:rPr>
                <w:rFonts w:hint="eastAsia" w:ascii="宋体" w:hAnsi="宋体" w:eastAsia="宋体" w:cs="@仿宋_GB2312"/>
                <w:b/>
                <w:color w:val="auto"/>
                <w:kern w:val="2"/>
                <w:sz w:val="21"/>
                <w:szCs w:val="21"/>
                <w:highlight w:val="none"/>
                <w:lang w:val="en-US" w:eastAsia="zh-CN" w:bidi="ar-SA"/>
              </w:rPr>
              <w:t>序号</w:t>
            </w:r>
          </w:p>
        </w:tc>
        <w:tc>
          <w:tcPr>
            <w:tcW w:w="1192" w:type="pct"/>
            <w:vAlign w:val="center"/>
          </w:tcPr>
          <w:p w14:paraId="6163EC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00" w:lineRule="auto"/>
              <w:ind w:left="0" w:right="0"/>
              <w:jc w:val="center"/>
              <w:textAlignment w:val="auto"/>
              <w:rPr>
                <w:rFonts w:hint="default" w:ascii="宋体" w:hAnsi="宋体" w:eastAsia="宋体" w:cs="@仿宋_GB2312"/>
                <w:b/>
                <w:bCs w:val="0"/>
                <w:color w:val="auto"/>
                <w:kern w:val="0"/>
                <w:sz w:val="21"/>
                <w:szCs w:val="21"/>
                <w:highlight w:val="none"/>
                <w:lang w:val="en-US" w:eastAsia="zh-CN" w:bidi="ar-SA"/>
              </w:rPr>
            </w:pPr>
            <w:r>
              <w:rPr>
                <w:rFonts w:hint="eastAsia" w:ascii="宋体" w:hAnsi="宋体" w:eastAsia="宋体" w:cs="@仿宋_GB2312"/>
                <w:b/>
                <w:bCs w:val="0"/>
                <w:color w:val="auto"/>
                <w:kern w:val="0"/>
                <w:sz w:val="21"/>
                <w:szCs w:val="21"/>
                <w:highlight w:val="none"/>
                <w:lang w:val="en-US" w:eastAsia="zh-CN" w:bidi="ar-SA"/>
              </w:rPr>
              <w:t>条款名称</w:t>
            </w:r>
          </w:p>
        </w:tc>
        <w:tc>
          <w:tcPr>
            <w:tcW w:w="3217" w:type="pct"/>
            <w:vAlign w:val="center"/>
          </w:tcPr>
          <w:p w14:paraId="0A67EC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00" w:lineRule="auto"/>
              <w:ind w:left="0" w:right="0"/>
              <w:jc w:val="center"/>
              <w:textAlignment w:val="auto"/>
              <w:rPr>
                <w:rFonts w:hint="default" w:ascii="宋体" w:hAnsi="宋体" w:eastAsia="宋体" w:cs="@仿宋_GB2312"/>
                <w:b/>
                <w:bCs w:val="0"/>
                <w:color w:val="auto"/>
                <w:kern w:val="0"/>
                <w:sz w:val="21"/>
                <w:szCs w:val="21"/>
                <w:highlight w:val="none"/>
                <w:lang w:val="en-US" w:eastAsia="zh-CN" w:bidi="ar-SA"/>
              </w:rPr>
            </w:pPr>
            <w:r>
              <w:rPr>
                <w:rFonts w:hint="eastAsia" w:ascii="宋体" w:hAnsi="宋体" w:eastAsia="宋体" w:cs="@仿宋_GB2312"/>
                <w:b/>
                <w:bCs w:val="0"/>
                <w:color w:val="auto"/>
                <w:kern w:val="0"/>
                <w:sz w:val="21"/>
                <w:szCs w:val="21"/>
                <w:highlight w:val="none"/>
                <w:lang w:val="en-US" w:eastAsia="zh-CN" w:bidi="ar-SA"/>
              </w:rPr>
              <w:t>内容、说明与要求</w:t>
            </w:r>
          </w:p>
        </w:tc>
      </w:tr>
      <w:tr w14:paraId="0E556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7F30565">
            <w:pPr>
              <w:keepNext w:val="0"/>
              <w:keepLines w:val="0"/>
              <w:pageBreakBefore w:val="0"/>
              <w:widowControl w:val="0"/>
              <w:suppressLineNumbers w:val="0"/>
              <w:pBdr>
                <w:bottom w:val="none" w:color="auto" w:sz="0" w:space="0"/>
              </w:pBdr>
              <w:kinsoku/>
              <w:wordWrap/>
              <w:overflowPunct/>
              <w:topLinePunct w:val="0"/>
              <w:autoSpaceDE/>
              <w:autoSpaceDN/>
              <w:bidi w:val="0"/>
              <w:adjustRightInd w:val="0"/>
              <w:snapToGrid w:val="0"/>
              <w:spacing w:before="0" w:beforeAutospacing="0" w:after="0" w:afterAutospacing="0" w:line="300" w:lineRule="auto"/>
              <w:ind w:left="0" w:right="0"/>
              <w:jc w:val="center"/>
              <w:textAlignment w:val="auto"/>
              <w:rPr>
                <w:rFonts w:hint="default" w:ascii="宋体" w:hAnsi="宋体" w:eastAsia="宋体" w:cs="@仿宋_GB2312"/>
                <w:bCs/>
                <w:color w:val="auto"/>
                <w:kern w:val="2"/>
                <w:sz w:val="21"/>
                <w:szCs w:val="21"/>
                <w:highlight w:val="none"/>
                <w:lang w:val="en-US" w:eastAsia="zh-CN" w:bidi="ar-SA"/>
              </w:rPr>
            </w:pPr>
            <w:r>
              <w:rPr>
                <w:rFonts w:hint="eastAsia" w:ascii="宋体" w:hAnsi="宋体" w:eastAsia="宋体" w:cs="@仿宋_GB2312"/>
                <w:bCs/>
                <w:color w:val="auto"/>
                <w:kern w:val="2"/>
                <w:sz w:val="21"/>
                <w:szCs w:val="21"/>
                <w:highlight w:val="none"/>
                <w:lang w:val="en-US" w:eastAsia="zh-CN" w:bidi="ar-SA"/>
              </w:rPr>
              <w:t>1</w:t>
            </w:r>
          </w:p>
        </w:tc>
        <w:tc>
          <w:tcPr>
            <w:tcW w:w="1192" w:type="pct"/>
            <w:vAlign w:val="center"/>
          </w:tcPr>
          <w:p w14:paraId="1651E4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00" w:lineRule="auto"/>
              <w:ind w:left="0" w:right="0"/>
              <w:jc w:val="center"/>
              <w:textAlignment w:val="auto"/>
              <w:rPr>
                <w:rFonts w:hint="default" w:ascii="宋体" w:hAnsi="宋体" w:eastAsia="宋体" w:cs="@仿宋_GB2312"/>
                <w:b w:val="0"/>
                <w:bCs/>
                <w:color w:val="auto"/>
                <w:kern w:val="0"/>
                <w:sz w:val="21"/>
                <w:szCs w:val="21"/>
                <w:highlight w:val="none"/>
                <w:lang w:val="en-US" w:eastAsia="zh-CN" w:bidi="ar-SA"/>
              </w:rPr>
            </w:pPr>
            <w:r>
              <w:rPr>
                <w:rFonts w:hint="eastAsia" w:ascii="宋体" w:hAnsi="宋体" w:eastAsia="宋体" w:cs="@仿宋_GB2312"/>
                <w:b w:val="0"/>
                <w:bCs/>
                <w:color w:val="auto"/>
                <w:kern w:val="0"/>
                <w:sz w:val="21"/>
                <w:szCs w:val="21"/>
                <w:highlight w:val="none"/>
                <w:lang w:val="en-US" w:eastAsia="zh-CN" w:bidi="ar-SA"/>
              </w:rPr>
              <w:t>付款方式</w:t>
            </w:r>
          </w:p>
        </w:tc>
        <w:tc>
          <w:tcPr>
            <w:tcW w:w="3217" w:type="pct"/>
            <w:vAlign w:val="center"/>
          </w:tcPr>
          <w:p w14:paraId="200D4111">
            <w:pPr>
              <w:keepNext w:val="0"/>
              <w:keepLines w:val="0"/>
              <w:widowControl w:val="0"/>
              <w:suppressLineNumbers w:val="0"/>
              <w:snapToGrid w:val="0"/>
              <w:spacing w:before="0" w:beforeAutospacing="0" w:after="0" w:afterAutospacing="0" w:line="300" w:lineRule="auto"/>
              <w:ind w:left="0" w:right="0"/>
              <w:jc w:val="left"/>
              <w:rPr>
                <w:rFonts w:hint="eastAsia" w:ascii="宋体" w:hAnsi="宋体" w:eastAsia="宋体" w:cs="@仿宋_GB2312"/>
                <w:b w:val="0"/>
                <w:bCs/>
                <w:color w:val="auto"/>
                <w:kern w:val="0"/>
                <w:sz w:val="21"/>
                <w:szCs w:val="21"/>
                <w:highlight w:val="none"/>
                <w:lang w:val="en-US" w:eastAsia="zh-CN" w:bidi="ar-SA"/>
              </w:rPr>
            </w:pPr>
            <w:r>
              <w:rPr>
                <w:rFonts w:hint="eastAsia" w:ascii="宋体" w:hAnsi="宋体" w:eastAsia="宋体" w:cs="@仿宋_GB2312"/>
                <w:b w:val="0"/>
                <w:bCs/>
                <w:color w:val="auto"/>
                <w:kern w:val="0"/>
                <w:sz w:val="21"/>
                <w:szCs w:val="21"/>
                <w:highlight w:val="none"/>
                <w:lang w:val="en-US" w:eastAsia="zh-CN" w:bidi="ar-SA"/>
              </w:rPr>
              <w:t>合同生效后，采购人付至合同价的40%（中标人须提供等额预付款担保），货物运送至采购人指定地点并经采购人核对设备清单后支付至合同价的70%，项目经验收合格且相关资料齐备己移交后，一次性付清合同价款。</w:t>
            </w:r>
          </w:p>
          <w:p w14:paraId="75DC456F">
            <w:pPr>
              <w:keepNext w:val="0"/>
              <w:keepLines w:val="0"/>
              <w:widowControl w:val="0"/>
              <w:suppressLineNumbers w:val="0"/>
              <w:snapToGrid w:val="0"/>
              <w:spacing w:before="0" w:beforeAutospacing="0" w:after="0" w:afterAutospacing="0" w:line="300" w:lineRule="auto"/>
              <w:ind w:left="0" w:right="0"/>
              <w:jc w:val="left"/>
              <w:rPr>
                <w:rFonts w:hint="eastAsia" w:ascii="宋体" w:hAnsi="宋体" w:eastAsia="宋体" w:cs="@仿宋_GB2312"/>
                <w:b/>
                <w:bCs w:val="0"/>
                <w:color w:val="auto"/>
                <w:kern w:val="0"/>
                <w:sz w:val="21"/>
                <w:szCs w:val="21"/>
                <w:highlight w:val="none"/>
                <w:lang w:val="en-US" w:eastAsia="zh-CN" w:bidi="ar-SA"/>
              </w:rPr>
            </w:pPr>
            <w:r>
              <w:rPr>
                <w:rFonts w:hint="eastAsia" w:ascii="宋体" w:hAnsi="宋体" w:eastAsia="宋体" w:cs="@仿宋_GB2312"/>
                <w:b/>
                <w:bCs w:val="0"/>
                <w:color w:val="auto"/>
                <w:kern w:val="0"/>
                <w:sz w:val="21"/>
                <w:szCs w:val="21"/>
                <w:highlight w:val="none"/>
                <w:lang w:val="en-US" w:eastAsia="zh-CN" w:bidi="ar-SA"/>
              </w:rPr>
              <w:t>注：</w:t>
            </w:r>
          </w:p>
          <w:p w14:paraId="6176ABA6">
            <w:pPr>
              <w:keepNext w:val="0"/>
              <w:keepLines w:val="0"/>
              <w:widowControl w:val="0"/>
              <w:suppressLineNumbers w:val="0"/>
              <w:snapToGrid w:val="0"/>
              <w:spacing w:before="0" w:beforeAutospacing="0" w:after="0" w:afterAutospacing="0" w:line="300" w:lineRule="auto"/>
              <w:ind w:left="0" w:right="0"/>
              <w:jc w:val="left"/>
              <w:rPr>
                <w:rFonts w:hint="eastAsia" w:ascii="宋体" w:hAnsi="宋体" w:eastAsia="宋体" w:cs="@仿宋_GB2312"/>
                <w:b/>
                <w:bCs w:val="0"/>
                <w:color w:val="auto"/>
                <w:kern w:val="0"/>
                <w:sz w:val="21"/>
                <w:szCs w:val="21"/>
                <w:highlight w:val="none"/>
                <w:lang w:val="en-US" w:eastAsia="zh-CN" w:bidi="ar-SA"/>
              </w:rPr>
            </w:pPr>
            <w:r>
              <w:rPr>
                <w:rFonts w:hint="eastAsia" w:ascii="宋体" w:hAnsi="宋体" w:eastAsia="宋体" w:cs="@仿宋_GB2312"/>
                <w:b/>
                <w:bCs w:val="0"/>
                <w:color w:val="auto"/>
                <w:kern w:val="0"/>
                <w:sz w:val="21"/>
                <w:szCs w:val="21"/>
                <w:highlight w:val="none"/>
                <w:lang w:val="en-US" w:eastAsia="zh-CN" w:bidi="ar-SA"/>
              </w:rPr>
              <w:t>（1）中标人未按规定提供预付款担保的，视为放弃预付款；</w:t>
            </w:r>
          </w:p>
          <w:p w14:paraId="63BC81B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00" w:lineRule="auto"/>
              <w:ind w:left="0" w:right="0"/>
              <w:jc w:val="both"/>
              <w:textAlignment w:val="auto"/>
              <w:rPr>
                <w:rFonts w:hint="default" w:ascii="宋体" w:hAnsi="宋体" w:eastAsia="宋体" w:cs="@仿宋_GB2312"/>
                <w:b w:val="0"/>
                <w:bCs/>
                <w:color w:val="auto"/>
                <w:kern w:val="0"/>
                <w:sz w:val="21"/>
                <w:szCs w:val="21"/>
                <w:highlight w:val="none"/>
                <w:u w:val="none"/>
                <w:lang w:val="en-US" w:eastAsia="zh-CN" w:bidi="ar-SA"/>
              </w:rPr>
            </w:pPr>
            <w:r>
              <w:rPr>
                <w:rFonts w:hint="eastAsia" w:ascii="宋体" w:hAnsi="宋体" w:eastAsia="宋体" w:cs="@仿宋_GB2312"/>
                <w:b/>
                <w:bCs w:val="0"/>
                <w:color w:val="auto"/>
                <w:kern w:val="0"/>
                <w:sz w:val="21"/>
                <w:szCs w:val="21"/>
                <w:highlight w:val="none"/>
                <w:lang w:val="en-US" w:eastAsia="zh-CN" w:bidi="ar-SA"/>
              </w:rPr>
              <w:t>（2）预付款担保要求：采用银行保函（或担保机构担保或保证保险）形式提交的，必须具有明确有效的查询途径（二维码；或网址链接及查询方式），否则该银行保函（或担保机构担保或保证保险）不予认可。以上各类机构出具的以担保函、保证保险承担责任的方式均须满足无条件见索即付条件。</w:t>
            </w:r>
          </w:p>
        </w:tc>
      </w:tr>
      <w:tr w14:paraId="300A4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3F25E54C">
            <w:pPr>
              <w:keepNext w:val="0"/>
              <w:keepLines w:val="0"/>
              <w:pageBreakBefore w:val="0"/>
              <w:widowControl w:val="0"/>
              <w:suppressLineNumbers w:val="0"/>
              <w:pBdr>
                <w:bottom w:val="none" w:color="auto" w:sz="0" w:space="0"/>
              </w:pBdr>
              <w:kinsoku/>
              <w:wordWrap/>
              <w:overflowPunct/>
              <w:topLinePunct w:val="0"/>
              <w:autoSpaceDE/>
              <w:autoSpaceDN/>
              <w:bidi w:val="0"/>
              <w:adjustRightInd w:val="0"/>
              <w:snapToGrid w:val="0"/>
              <w:spacing w:before="0" w:beforeAutospacing="0" w:after="0" w:afterAutospacing="0" w:line="300" w:lineRule="auto"/>
              <w:ind w:left="0" w:right="0"/>
              <w:jc w:val="center"/>
              <w:textAlignment w:val="auto"/>
              <w:rPr>
                <w:rFonts w:hint="default" w:ascii="宋体" w:hAnsi="宋体" w:eastAsia="宋体" w:cs="@仿宋_GB2312"/>
                <w:bCs/>
                <w:color w:val="auto"/>
                <w:kern w:val="2"/>
                <w:sz w:val="21"/>
                <w:szCs w:val="21"/>
                <w:highlight w:val="none"/>
                <w:lang w:val="en-US" w:eastAsia="zh-CN" w:bidi="ar-SA"/>
              </w:rPr>
            </w:pPr>
            <w:r>
              <w:rPr>
                <w:rFonts w:hint="eastAsia" w:ascii="宋体" w:hAnsi="宋体" w:eastAsia="宋体" w:cs="@仿宋_GB2312"/>
                <w:bCs/>
                <w:color w:val="auto"/>
                <w:kern w:val="2"/>
                <w:sz w:val="21"/>
                <w:szCs w:val="21"/>
                <w:highlight w:val="none"/>
                <w:lang w:val="en-US" w:eastAsia="zh-CN" w:bidi="ar-SA"/>
              </w:rPr>
              <w:t>2</w:t>
            </w:r>
          </w:p>
        </w:tc>
        <w:tc>
          <w:tcPr>
            <w:tcW w:w="1192" w:type="pct"/>
            <w:vAlign w:val="center"/>
          </w:tcPr>
          <w:p w14:paraId="0CDBB4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00" w:lineRule="auto"/>
              <w:ind w:left="0" w:right="0"/>
              <w:jc w:val="center"/>
              <w:textAlignment w:val="auto"/>
              <w:rPr>
                <w:rFonts w:hint="default" w:ascii="宋体" w:hAnsi="宋体" w:eastAsia="宋体" w:cs="@仿宋_GB2312"/>
                <w:b w:val="0"/>
                <w:bCs/>
                <w:color w:val="auto"/>
                <w:kern w:val="0"/>
                <w:sz w:val="21"/>
                <w:szCs w:val="21"/>
                <w:highlight w:val="none"/>
                <w:lang w:val="en-US" w:eastAsia="zh-CN" w:bidi="ar-SA"/>
              </w:rPr>
            </w:pPr>
            <w:r>
              <w:rPr>
                <w:rFonts w:hint="eastAsia" w:ascii="宋体" w:hAnsi="宋体" w:eastAsia="宋体" w:cs="@仿宋_GB2312"/>
                <w:b w:val="0"/>
                <w:bCs/>
                <w:color w:val="auto"/>
                <w:kern w:val="0"/>
                <w:sz w:val="21"/>
                <w:szCs w:val="21"/>
                <w:highlight w:val="none"/>
                <w:lang w:val="en-US" w:eastAsia="zh-CN" w:bidi="ar-SA"/>
              </w:rPr>
              <w:t>供货及安装地点</w:t>
            </w:r>
          </w:p>
        </w:tc>
        <w:tc>
          <w:tcPr>
            <w:tcW w:w="3217" w:type="pct"/>
            <w:vAlign w:val="center"/>
          </w:tcPr>
          <w:p w14:paraId="5D31A4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00" w:lineRule="auto"/>
              <w:ind w:left="0" w:right="0"/>
              <w:jc w:val="both"/>
              <w:textAlignment w:val="auto"/>
              <w:rPr>
                <w:rFonts w:hint="default" w:ascii="宋体" w:hAnsi="宋体" w:eastAsia="宋体" w:cs="@仿宋_GB2312"/>
                <w:b w:val="0"/>
                <w:bCs/>
                <w:color w:val="auto"/>
                <w:kern w:val="0"/>
                <w:sz w:val="21"/>
                <w:szCs w:val="21"/>
                <w:highlight w:val="none"/>
                <w:u w:val="none"/>
                <w:lang w:val="en-US" w:eastAsia="zh-CN" w:bidi="ar-SA"/>
              </w:rPr>
            </w:pPr>
            <w:r>
              <w:rPr>
                <w:rFonts w:hint="eastAsia" w:ascii="宋体" w:hAnsi="宋体" w:eastAsia="宋体" w:cs="@仿宋_GB2312"/>
                <w:b w:val="0"/>
                <w:bCs/>
                <w:color w:val="auto"/>
                <w:kern w:val="0"/>
                <w:sz w:val="21"/>
                <w:szCs w:val="21"/>
                <w:highlight w:val="none"/>
                <w:u w:val="none"/>
                <w:lang w:val="en-US" w:eastAsia="zh-CN" w:bidi="ar-SA"/>
              </w:rPr>
              <w:t>安徽省产品质量监督检验研究院，具体按采购人指定地点。</w:t>
            </w:r>
          </w:p>
        </w:tc>
      </w:tr>
      <w:tr w14:paraId="4B59D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B152E89">
            <w:pPr>
              <w:keepNext w:val="0"/>
              <w:keepLines w:val="0"/>
              <w:pageBreakBefore w:val="0"/>
              <w:widowControl w:val="0"/>
              <w:suppressLineNumbers w:val="0"/>
              <w:pBdr>
                <w:bottom w:val="none" w:color="auto" w:sz="0" w:space="0"/>
              </w:pBdr>
              <w:kinsoku/>
              <w:wordWrap/>
              <w:overflowPunct/>
              <w:topLinePunct w:val="0"/>
              <w:autoSpaceDE/>
              <w:autoSpaceDN/>
              <w:bidi w:val="0"/>
              <w:adjustRightInd w:val="0"/>
              <w:snapToGrid w:val="0"/>
              <w:spacing w:before="0" w:beforeAutospacing="0" w:after="0" w:afterAutospacing="0" w:line="300" w:lineRule="auto"/>
              <w:ind w:left="0" w:right="0"/>
              <w:jc w:val="center"/>
              <w:textAlignment w:val="auto"/>
              <w:rPr>
                <w:rFonts w:hint="default" w:ascii="宋体" w:hAnsi="宋体" w:eastAsia="宋体" w:cs="@仿宋_GB2312"/>
                <w:bCs/>
                <w:color w:val="auto"/>
                <w:kern w:val="2"/>
                <w:sz w:val="21"/>
                <w:szCs w:val="21"/>
                <w:highlight w:val="none"/>
                <w:lang w:val="en-US" w:eastAsia="zh-CN" w:bidi="ar-SA"/>
              </w:rPr>
            </w:pPr>
            <w:r>
              <w:rPr>
                <w:rFonts w:hint="eastAsia" w:ascii="宋体" w:hAnsi="宋体" w:eastAsia="宋体" w:cs="@仿宋_GB2312"/>
                <w:bCs/>
                <w:color w:val="auto"/>
                <w:kern w:val="2"/>
                <w:sz w:val="21"/>
                <w:szCs w:val="21"/>
                <w:highlight w:val="none"/>
                <w:lang w:val="en-US" w:eastAsia="zh-CN" w:bidi="ar-SA"/>
              </w:rPr>
              <w:t>3</w:t>
            </w:r>
          </w:p>
        </w:tc>
        <w:tc>
          <w:tcPr>
            <w:tcW w:w="1192" w:type="pct"/>
            <w:vAlign w:val="center"/>
          </w:tcPr>
          <w:p w14:paraId="15E391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00" w:lineRule="auto"/>
              <w:ind w:left="0" w:right="0"/>
              <w:jc w:val="center"/>
              <w:textAlignment w:val="auto"/>
              <w:rPr>
                <w:rFonts w:hint="default" w:ascii="宋体" w:hAnsi="宋体" w:eastAsia="宋体" w:cs="@仿宋_GB2312"/>
                <w:b w:val="0"/>
                <w:bCs/>
                <w:color w:val="auto"/>
                <w:kern w:val="0"/>
                <w:sz w:val="21"/>
                <w:szCs w:val="21"/>
                <w:highlight w:val="none"/>
                <w:lang w:val="en-US" w:eastAsia="zh-CN" w:bidi="ar-SA"/>
              </w:rPr>
            </w:pPr>
            <w:r>
              <w:rPr>
                <w:rFonts w:hint="eastAsia" w:ascii="宋体" w:hAnsi="宋体" w:eastAsia="宋体" w:cs="@仿宋_GB2312"/>
                <w:b w:val="0"/>
                <w:bCs/>
                <w:color w:val="auto"/>
                <w:kern w:val="0"/>
                <w:sz w:val="21"/>
                <w:szCs w:val="21"/>
                <w:highlight w:val="none"/>
                <w:lang w:val="en-US" w:eastAsia="zh-CN" w:bidi="ar-SA"/>
              </w:rPr>
              <w:t>供货及安装期限</w:t>
            </w:r>
          </w:p>
        </w:tc>
        <w:tc>
          <w:tcPr>
            <w:tcW w:w="3217" w:type="pct"/>
            <w:vAlign w:val="center"/>
          </w:tcPr>
          <w:p w14:paraId="11C14D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00" w:lineRule="auto"/>
              <w:ind w:left="0" w:right="0"/>
              <w:jc w:val="both"/>
              <w:textAlignment w:val="auto"/>
              <w:rPr>
                <w:rFonts w:hint="default" w:ascii="宋体" w:hAnsi="宋体" w:eastAsia="宋体" w:cs="@仿宋_GB2312"/>
                <w:b w:val="0"/>
                <w:bCs/>
                <w:color w:val="auto"/>
                <w:kern w:val="0"/>
                <w:sz w:val="21"/>
                <w:szCs w:val="21"/>
                <w:highlight w:val="none"/>
                <w:u w:val="none"/>
                <w:lang w:val="en-US" w:eastAsia="zh-CN" w:bidi="ar-SA"/>
              </w:rPr>
            </w:pPr>
            <w:r>
              <w:rPr>
                <w:rFonts w:hint="eastAsia" w:ascii="宋体" w:hAnsi="宋体" w:eastAsia="宋体" w:cs="@仿宋_GB2312"/>
                <w:b w:val="0"/>
                <w:bCs/>
                <w:color w:val="auto"/>
                <w:kern w:val="0"/>
                <w:sz w:val="21"/>
                <w:szCs w:val="21"/>
                <w:highlight w:val="none"/>
                <w:u w:val="none"/>
                <w:lang w:val="en-US" w:eastAsia="zh-CN" w:bidi="ar-SA"/>
              </w:rPr>
              <w:t>合同生效之日起，3个月内完成供货、安装、调试、培训、检定或校准等所有工作内容。</w:t>
            </w:r>
          </w:p>
        </w:tc>
      </w:tr>
      <w:tr w14:paraId="54CCB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3EF506E6">
            <w:pPr>
              <w:keepNext w:val="0"/>
              <w:keepLines w:val="0"/>
              <w:pageBreakBefore w:val="0"/>
              <w:widowControl w:val="0"/>
              <w:suppressLineNumbers w:val="0"/>
              <w:pBdr>
                <w:bottom w:val="none" w:color="auto" w:sz="0" w:space="0"/>
              </w:pBdr>
              <w:kinsoku/>
              <w:wordWrap/>
              <w:overflowPunct/>
              <w:topLinePunct w:val="0"/>
              <w:autoSpaceDE/>
              <w:autoSpaceDN/>
              <w:bidi w:val="0"/>
              <w:adjustRightInd w:val="0"/>
              <w:snapToGrid w:val="0"/>
              <w:spacing w:before="0" w:beforeAutospacing="0" w:after="0" w:afterAutospacing="0" w:line="300" w:lineRule="auto"/>
              <w:ind w:left="0" w:right="0"/>
              <w:jc w:val="center"/>
              <w:textAlignment w:val="auto"/>
              <w:rPr>
                <w:rFonts w:hint="default" w:ascii="宋体" w:hAnsi="宋体" w:eastAsia="宋体" w:cs="@仿宋_GB2312"/>
                <w:bCs/>
                <w:color w:val="auto"/>
                <w:kern w:val="2"/>
                <w:sz w:val="21"/>
                <w:szCs w:val="21"/>
                <w:highlight w:val="none"/>
                <w:lang w:val="en-US" w:eastAsia="zh-CN" w:bidi="ar-SA"/>
              </w:rPr>
            </w:pPr>
            <w:r>
              <w:rPr>
                <w:rFonts w:hint="eastAsia" w:ascii="宋体" w:hAnsi="宋体" w:eastAsia="宋体" w:cs="@仿宋_GB2312"/>
                <w:bCs/>
                <w:color w:val="auto"/>
                <w:kern w:val="2"/>
                <w:sz w:val="21"/>
                <w:szCs w:val="21"/>
                <w:highlight w:val="none"/>
                <w:lang w:val="en-US" w:eastAsia="zh-CN" w:bidi="ar-SA"/>
              </w:rPr>
              <w:t>4</w:t>
            </w:r>
          </w:p>
        </w:tc>
        <w:tc>
          <w:tcPr>
            <w:tcW w:w="1192" w:type="pct"/>
            <w:vAlign w:val="center"/>
          </w:tcPr>
          <w:p w14:paraId="0547718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00" w:lineRule="auto"/>
              <w:ind w:left="0" w:right="0"/>
              <w:jc w:val="center"/>
              <w:textAlignment w:val="auto"/>
              <w:rPr>
                <w:rFonts w:hint="default" w:ascii="宋体" w:hAnsi="宋体" w:eastAsia="宋体" w:cs="@仿宋_GB2312"/>
                <w:b w:val="0"/>
                <w:bCs/>
                <w:color w:val="auto"/>
                <w:kern w:val="0"/>
                <w:sz w:val="21"/>
                <w:szCs w:val="21"/>
                <w:highlight w:val="none"/>
                <w:lang w:val="en-US" w:eastAsia="zh-CN" w:bidi="ar-SA"/>
              </w:rPr>
            </w:pPr>
            <w:r>
              <w:rPr>
                <w:rFonts w:hint="eastAsia" w:ascii="宋体" w:hAnsi="宋体" w:eastAsia="宋体" w:cs="@仿宋_GB2312"/>
                <w:b w:val="0"/>
                <w:bCs/>
                <w:color w:val="auto"/>
                <w:kern w:val="0"/>
                <w:sz w:val="21"/>
                <w:szCs w:val="21"/>
                <w:highlight w:val="none"/>
                <w:lang w:val="en-US" w:eastAsia="zh-CN" w:bidi="ar-SA"/>
              </w:rPr>
              <w:t>免费质保期</w:t>
            </w:r>
          </w:p>
        </w:tc>
        <w:tc>
          <w:tcPr>
            <w:tcW w:w="3217" w:type="pct"/>
            <w:vAlign w:val="center"/>
          </w:tcPr>
          <w:p w14:paraId="43A3EA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00" w:lineRule="auto"/>
              <w:ind w:left="0" w:right="0"/>
              <w:jc w:val="both"/>
              <w:textAlignment w:val="auto"/>
              <w:rPr>
                <w:rFonts w:hint="default" w:ascii="宋体" w:hAnsi="宋体" w:eastAsia="宋体" w:cs="@仿宋_GB2312"/>
                <w:b w:val="0"/>
                <w:bCs/>
                <w:color w:val="auto"/>
                <w:kern w:val="0"/>
                <w:sz w:val="21"/>
                <w:szCs w:val="21"/>
                <w:highlight w:val="none"/>
                <w:u w:val="none"/>
                <w:lang w:val="en-US" w:eastAsia="zh-CN" w:bidi="ar-SA"/>
              </w:rPr>
            </w:pPr>
            <w:r>
              <w:rPr>
                <w:rFonts w:hint="eastAsia" w:ascii="宋体" w:hAnsi="宋体" w:eastAsia="宋体" w:cs="@仿宋_GB2312"/>
                <w:b w:val="0"/>
                <w:bCs/>
                <w:color w:val="auto"/>
                <w:kern w:val="0"/>
                <w:sz w:val="21"/>
                <w:szCs w:val="21"/>
                <w:highlight w:val="none"/>
                <w:u w:val="none"/>
                <w:lang w:val="en-US" w:eastAsia="zh-CN" w:bidi="ar-SA"/>
              </w:rPr>
              <w:t>货物需求清单中未明确的，免费质保期为自验收合格之日起3年；货物需求清单中明确的，免费质保期按货物需求清单执行。</w:t>
            </w:r>
          </w:p>
        </w:tc>
      </w:tr>
    </w:tbl>
    <w:p w14:paraId="4EBD0BF5">
      <w:pPr>
        <w:spacing w:line="360" w:lineRule="auto"/>
        <w:ind w:firstLine="437"/>
        <w:outlineLvl w:val="1"/>
        <w:rPr>
          <w:rFonts w:hint="eastAsia" w:ascii="宋体" w:hAnsi="宋体" w:eastAsia="宋体" w:cs="@仿宋_GB2312"/>
          <w:b/>
          <w:bCs/>
          <w:color w:val="auto"/>
          <w:sz w:val="21"/>
          <w:szCs w:val="21"/>
          <w:highlight w:val="none"/>
        </w:rPr>
      </w:pPr>
      <w:bookmarkStart w:id="3" w:name="_Toc7671"/>
      <w:bookmarkStart w:id="4" w:name="_Toc5944"/>
    </w:p>
    <w:p w14:paraId="0ED8AF30">
      <w:pPr>
        <w:spacing w:line="360" w:lineRule="auto"/>
        <w:ind w:firstLine="437"/>
        <w:outlineLvl w:val="1"/>
        <w:rPr>
          <w:rFonts w:hint="eastAsia" w:ascii="宋体" w:hAnsi="宋体" w:eastAsia="宋体" w:cs="@仿宋_GB2312"/>
          <w:b/>
          <w:bCs/>
          <w:color w:val="auto"/>
          <w:sz w:val="21"/>
          <w:szCs w:val="21"/>
          <w:highlight w:val="none"/>
        </w:rPr>
      </w:pPr>
      <w:bookmarkStart w:id="5" w:name="_Toc4578"/>
      <w:r>
        <w:rPr>
          <w:rFonts w:hint="eastAsia" w:ascii="宋体" w:hAnsi="宋体" w:eastAsia="宋体" w:cs="@仿宋_GB2312"/>
          <w:b/>
          <w:bCs/>
          <w:color w:val="auto"/>
          <w:sz w:val="21"/>
          <w:szCs w:val="21"/>
          <w:highlight w:val="none"/>
        </w:rPr>
        <w:t>二、</w:t>
      </w:r>
      <w:r>
        <w:rPr>
          <w:rFonts w:hint="eastAsia" w:ascii="宋体" w:hAnsi="宋体" w:eastAsia="宋体" w:cs="@仿宋_GB2312"/>
          <w:b/>
          <w:color w:val="auto"/>
          <w:sz w:val="21"/>
          <w:szCs w:val="21"/>
          <w:highlight w:val="none"/>
        </w:rPr>
        <w:t>货物</w:t>
      </w:r>
      <w:r>
        <w:rPr>
          <w:rFonts w:hint="eastAsia" w:ascii="宋体" w:hAnsi="宋体" w:eastAsia="宋体" w:cs="@仿宋_GB2312"/>
          <w:b/>
          <w:bCs/>
          <w:color w:val="auto"/>
          <w:sz w:val="21"/>
          <w:szCs w:val="21"/>
          <w:highlight w:val="none"/>
        </w:rPr>
        <w:t>需求</w:t>
      </w:r>
      <w:bookmarkEnd w:id="3"/>
      <w:bookmarkEnd w:id="4"/>
      <w:bookmarkEnd w:id="5"/>
    </w:p>
    <w:p w14:paraId="05C5BB52">
      <w:pPr>
        <w:widowControl/>
        <w:wordWrap/>
        <w:ind w:firstLine="422" w:firstLineChars="20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（一）</w:t>
      </w:r>
      <w:r>
        <w:rPr>
          <w:rFonts w:hint="eastAsia" w:ascii="宋体" w:hAnsi="宋体" w:eastAsia="宋体" w:cs="宋体"/>
          <w:b/>
          <w:bCs/>
          <w:color w:val="auto"/>
          <w:sz w:val="21"/>
          <w:szCs w:val="21"/>
          <w:highlight w:val="none"/>
        </w:rPr>
        <w:t>标识符号</w:t>
      </w:r>
    </w:p>
    <w:tbl>
      <w:tblPr>
        <w:tblStyle w:val="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363"/>
      </w:tblGrid>
      <w:tr w14:paraId="78E86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3FD925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标识类型</w:t>
            </w:r>
          </w:p>
        </w:tc>
        <w:tc>
          <w:tcPr>
            <w:tcW w:w="1365" w:type="dxa"/>
            <w:noWrap w:val="0"/>
            <w:vAlign w:val="center"/>
          </w:tcPr>
          <w:p w14:paraId="42CB79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标识符号</w:t>
            </w:r>
          </w:p>
        </w:tc>
        <w:tc>
          <w:tcPr>
            <w:tcW w:w="5363" w:type="dxa"/>
            <w:noWrap w:val="0"/>
            <w:vAlign w:val="center"/>
          </w:tcPr>
          <w:p w14:paraId="315557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标识符号含义</w:t>
            </w:r>
          </w:p>
        </w:tc>
      </w:tr>
      <w:tr w14:paraId="5CDF7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48EDAD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重要指标项</w:t>
            </w:r>
          </w:p>
        </w:tc>
        <w:tc>
          <w:tcPr>
            <w:tcW w:w="1365" w:type="dxa"/>
            <w:noWrap w:val="0"/>
            <w:vAlign w:val="center"/>
          </w:tcPr>
          <w:p w14:paraId="68E05E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p>
        </w:tc>
        <w:tc>
          <w:tcPr>
            <w:tcW w:w="5363" w:type="dxa"/>
            <w:noWrap w:val="0"/>
            <w:vAlign w:val="center"/>
          </w:tcPr>
          <w:p w14:paraId="03AC75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评分项，</w:t>
            </w:r>
            <w:r>
              <w:rPr>
                <w:rFonts w:hint="eastAsia" w:ascii="宋体" w:hAnsi="宋体" w:eastAsia="宋体" w:cs="宋体"/>
                <w:color w:val="auto"/>
                <w:sz w:val="21"/>
                <w:szCs w:val="21"/>
                <w:highlight w:val="none"/>
                <w:lang w:val="en-US" w:eastAsia="zh-CN"/>
              </w:rPr>
              <w:t>详见评标办法和标准。</w:t>
            </w:r>
          </w:p>
        </w:tc>
      </w:tr>
      <w:tr w14:paraId="1CB93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794" w:type="dxa"/>
            <w:noWrap w:val="0"/>
            <w:vAlign w:val="center"/>
          </w:tcPr>
          <w:p w14:paraId="5A1CCA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无标识项</w:t>
            </w:r>
          </w:p>
        </w:tc>
        <w:tc>
          <w:tcPr>
            <w:tcW w:w="1365" w:type="dxa"/>
            <w:noWrap w:val="0"/>
            <w:vAlign w:val="center"/>
          </w:tcPr>
          <w:p w14:paraId="7CF0DCAA">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00" w:lineRule="auto"/>
              <w:ind w:left="0" w:right="0" w:firstLine="0" w:firstLineChars="0"/>
              <w:jc w:val="center"/>
              <w:textAlignment w:val="auto"/>
              <w:rPr>
                <w:rFonts w:hint="eastAsia" w:ascii="宋体" w:hAnsi="宋体" w:eastAsia="宋体" w:cs="宋体"/>
                <w:bCs/>
                <w:color w:val="auto"/>
                <w:sz w:val="21"/>
                <w:szCs w:val="21"/>
                <w:highlight w:val="none"/>
              </w:rPr>
            </w:pPr>
          </w:p>
        </w:tc>
        <w:tc>
          <w:tcPr>
            <w:tcW w:w="5363" w:type="dxa"/>
            <w:noWrap w:val="0"/>
            <w:vAlign w:val="center"/>
          </w:tcPr>
          <w:p w14:paraId="41B7E70A">
            <w:pPr>
              <w:keepNext w:val="0"/>
              <w:keepLines w:val="0"/>
              <w:suppressLineNumbers w:val="0"/>
              <w:wordWrap w:val="0"/>
              <w:adjustRightInd w:val="0"/>
              <w:snapToGrid w:val="0"/>
              <w:spacing w:before="0" w:beforeAutospacing="0" w:after="0" w:afterAutospacing="0" w:line="300" w:lineRule="auto"/>
              <w:ind w:left="0" w:right="0"/>
              <w:jc w:val="left"/>
              <w:rPr>
                <w:rFonts w:hint="eastAsia" w:ascii="宋体" w:hAnsi="宋体" w:eastAsia="宋体" w:cs="宋体"/>
                <w:b w:val="0"/>
                <w:bCs/>
                <w:color w:val="auto"/>
                <w:sz w:val="21"/>
                <w:szCs w:val="21"/>
                <w:highlight w:val="none"/>
              </w:rPr>
            </w:pPr>
            <w:r>
              <w:rPr>
                <w:rFonts w:hint="eastAsia" w:ascii="宋体" w:hAnsi="宋体" w:eastAsia="宋体" w:cs="宋体"/>
                <w:b/>
                <w:bCs w:val="0"/>
                <w:color w:val="auto"/>
                <w:kern w:val="2"/>
                <w:sz w:val="21"/>
                <w:szCs w:val="21"/>
                <w:highlight w:val="none"/>
                <w:lang w:val="en-US" w:eastAsia="zh-CN" w:bidi="ar-SA"/>
              </w:rPr>
              <w:t>符合性审查项，该指标项不允许负偏离，否则投标无效</w:t>
            </w:r>
            <w:r>
              <w:rPr>
                <w:rFonts w:hint="eastAsia" w:ascii="宋体" w:hAnsi="宋体" w:eastAsia="宋体" w:cs="宋体"/>
                <w:b/>
                <w:bCs/>
                <w:color w:val="auto"/>
                <w:sz w:val="21"/>
                <w:szCs w:val="21"/>
                <w:highlight w:val="none"/>
              </w:rPr>
              <w:t>。</w:t>
            </w:r>
          </w:p>
          <w:p w14:paraId="66AF6A25">
            <w:pPr>
              <w:keepNext w:val="0"/>
              <w:keepLines w:val="0"/>
              <w:suppressLineNumbers w:val="0"/>
              <w:adjustRightInd w:val="0"/>
              <w:snapToGrid w:val="0"/>
              <w:spacing w:before="0" w:beforeAutospacing="0" w:after="0" w:afterAutospacing="0" w:line="300" w:lineRule="auto"/>
              <w:ind w:left="0" w:leftChars="0" w:right="0" w:firstLine="0" w:firstLineChars="0"/>
              <w:jc w:val="left"/>
              <w:rPr>
                <w:rFonts w:hint="eastAsia" w:ascii="宋体" w:hAnsi="宋体" w:eastAsia="宋体" w:cs="宋体"/>
                <w:b w:val="0"/>
                <w:bCs/>
                <w:color w:val="auto"/>
                <w:sz w:val="21"/>
                <w:szCs w:val="21"/>
                <w:highlight w:val="none"/>
                <w:lang w:val="en-US" w:eastAsia="zh-CN"/>
              </w:rPr>
            </w:pPr>
            <w:r>
              <w:rPr>
                <w:rFonts w:hint="eastAsia" w:ascii="宋体" w:hAnsi="宋体" w:eastAsia="宋体" w:cs="宋体"/>
                <w:color w:val="auto"/>
                <w:sz w:val="21"/>
                <w:szCs w:val="21"/>
                <w:highlight w:val="none"/>
              </w:rPr>
              <w:t>注：投标人须在投标文件中提供承诺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详见投标文件格式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r>
              <w:rPr>
                <w:rFonts w:hint="eastAsia" w:ascii="宋体" w:hAnsi="宋体" w:eastAsia="宋体" w:cs="宋体"/>
                <w:b w:val="0"/>
                <w:color w:val="auto"/>
                <w:sz w:val="21"/>
                <w:szCs w:val="21"/>
                <w:highlight w:val="none"/>
              </w:rPr>
              <w:t>我单位所投产品完全满足采购文件无标识项技术参数及要求，如履约验收期间所投产品不满足采购文件要求，采购人有权解除合同并上报政府采购监督管理部门</w:t>
            </w:r>
            <w:r>
              <w:rPr>
                <w:rFonts w:hint="eastAsia" w:ascii="宋体" w:hAnsi="宋体" w:eastAsia="宋体" w:cs="宋体"/>
                <w:color w:val="auto"/>
                <w:sz w:val="21"/>
                <w:szCs w:val="21"/>
                <w:highlight w:val="none"/>
              </w:rPr>
              <w:t>，中标人承担由此产生的一切后果及责任。投标文件中未提供相应承诺或承诺的内容不满足要求的，</w:t>
            </w:r>
            <w:r>
              <w:rPr>
                <w:rFonts w:hint="eastAsia" w:ascii="宋体" w:hAnsi="宋体" w:eastAsia="宋体" w:cs="宋体"/>
                <w:b/>
                <w:bCs/>
                <w:color w:val="auto"/>
                <w:sz w:val="21"/>
                <w:szCs w:val="21"/>
                <w:highlight w:val="none"/>
              </w:rPr>
              <w:t>投标无效。</w:t>
            </w:r>
          </w:p>
        </w:tc>
      </w:tr>
      <w:tr w14:paraId="04ED7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522" w:type="dxa"/>
            <w:gridSpan w:val="3"/>
            <w:noWrap w:val="0"/>
            <w:vAlign w:val="center"/>
          </w:tcPr>
          <w:p w14:paraId="4CE29D32">
            <w:pPr>
              <w:keepNext w:val="0"/>
              <w:keepLines w:val="0"/>
              <w:pageBreakBefore w:val="0"/>
              <w:widowControl w:val="0"/>
              <w:suppressLineNumbers w:val="0"/>
              <w:kinsoku/>
              <w:wordWrap/>
              <w:overflowPunct/>
              <w:topLinePunct w:val="0"/>
              <w:autoSpaceDE/>
              <w:autoSpaceDN/>
              <w:bidi w:val="0"/>
              <w:spacing w:before="0" w:beforeAutospacing="0" w:after="0" w:afterAutospacing="0" w:line="300" w:lineRule="auto"/>
              <w:ind w:left="0" w:right="0" w:firstLine="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068764F">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rPr>
              <w:t>标识条款中如包含多条子项技术参数或要求，则需满足或优于该标识条款内所有子项技术参数或要求方能得分。</w:t>
            </w:r>
          </w:p>
          <w:p w14:paraId="7E66FF4A">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kern w:val="0"/>
                <w:sz w:val="21"/>
                <w:szCs w:val="21"/>
                <w:highlight w:val="none"/>
              </w:rPr>
              <w:t>下述技术参数所涉及的具体物理尺寸</w:t>
            </w:r>
            <w:r>
              <w:rPr>
                <w:rFonts w:hint="eastAsia" w:ascii="宋体" w:hAnsi="宋体" w:eastAsia="宋体" w:cs="宋体"/>
                <w:color w:val="auto"/>
                <w:kern w:val="0"/>
                <w:sz w:val="21"/>
                <w:szCs w:val="21"/>
                <w:highlight w:val="none"/>
                <w:lang w:eastAsia="zh-CN"/>
              </w:rPr>
              <w:t>：货物需求清单</w:t>
            </w:r>
            <w:r>
              <w:rPr>
                <w:rFonts w:hint="eastAsia" w:ascii="宋体" w:hAnsi="宋体" w:eastAsia="宋体" w:cs="宋体"/>
                <w:color w:val="auto"/>
                <w:kern w:val="0"/>
                <w:sz w:val="21"/>
                <w:szCs w:val="21"/>
                <w:highlight w:val="none"/>
                <w:lang w:val="en-US" w:eastAsia="zh-CN"/>
              </w:rPr>
              <w:t>中明确允许偏离范围的，按货物</w:t>
            </w:r>
            <w:r>
              <w:rPr>
                <w:rFonts w:hint="eastAsia" w:ascii="宋体" w:hAnsi="宋体" w:eastAsia="宋体" w:cs="宋体"/>
                <w:b w:val="0"/>
                <w:bCs w:val="0"/>
                <w:color w:val="auto"/>
                <w:kern w:val="0"/>
                <w:sz w:val="21"/>
                <w:szCs w:val="21"/>
                <w:highlight w:val="none"/>
                <w:lang w:val="en-US" w:eastAsia="zh-CN"/>
              </w:rPr>
              <w:t>需求清单</w:t>
            </w:r>
            <w:r>
              <w:rPr>
                <w:rFonts w:hint="eastAsia" w:ascii="宋体" w:hAnsi="宋体" w:eastAsia="宋体" w:cs="宋体"/>
                <w:b w:val="0"/>
                <w:bCs w:val="0"/>
                <w:color w:val="auto"/>
                <w:sz w:val="21"/>
                <w:szCs w:val="21"/>
                <w:highlight w:val="none"/>
                <w:lang w:val="en-US" w:eastAsia="zh-CN"/>
              </w:rPr>
              <w:t>要求</w:t>
            </w:r>
            <w:r>
              <w:rPr>
                <w:rFonts w:hint="eastAsia" w:ascii="宋体" w:hAnsi="宋体" w:eastAsia="宋体" w:cs="宋体"/>
                <w:b w:val="0"/>
                <w:bCs w:val="0"/>
                <w:color w:val="auto"/>
                <w:kern w:val="0"/>
                <w:sz w:val="21"/>
                <w:szCs w:val="21"/>
                <w:highlight w:val="none"/>
                <w:lang w:val="en-US" w:eastAsia="zh-CN"/>
              </w:rPr>
              <w:t>执行；货物需求清单中未明确允许偏离范围的，</w:t>
            </w:r>
            <w:r>
              <w:rPr>
                <w:rFonts w:hint="eastAsia" w:ascii="宋体" w:hAnsi="宋体" w:eastAsia="宋体" w:cs="宋体"/>
                <w:b w:val="0"/>
                <w:bCs w:val="0"/>
                <w:color w:val="auto"/>
                <w:kern w:val="0"/>
                <w:sz w:val="21"/>
                <w:szCs w:val="21"/>
                <w:highlight w:val="none"/>
              </w:rPr>
              <w:t>允许±5%偏离</w:t>
            </w:r>
            <w:r>
              <w:rPr>
                <w:rFonts w:hint="eastAsia" w:ascii="宋体" w:hAnsi="宋体" w:eastAsia="宋体" w:cs="宋体"/>
                <w:b w:val="0"/>
                <w:bCs w:val="0"/>
                <w:color w:val="auto"/>
                <w:sz w:val="21"/>
                <w:szCs w:val="21"/>
                <w:highlight w:val="none"/>
              </w:rPr>
              <w:t>。</w:t>
            </w:r>
          </w:p>
          <w:p w14:paraId="15EE8CDD">
            <w:pPr>
              <w:keepNext w:val="0"/>
              <w:keepLines w:val="0"/>
              <w:widowControl w:val="0"/>
              <w:suppressLineNumbers w:val="0"/>
              <w:spacing w:before="0" w:beforeAutospacing="0" w:after="120" w:afterAutospacing="0"/>
              <w:ind w:left="0" w:right="0"/>
              <w:jc w:val="both"/>
              <w:rPr>
                <w:rFonts w:hint="eastAsia" w:ascii="@微软简标宋" w:hAnsi="@微软简标宋" w:eastAsia="@微软简标宋" w:cs="@微软简标宋"/>
                <w:color w:val="auto"/>
                <w:kern w:val="2"/>
                <w:sz w:val="21"/>
                <w:szCs w:val="24"/>
                <w:lang w:val="en-US" w:eastAsia="zh-CN" w:bidi="ar-SA"/>
              </w:rPr>
            </w:pPr>
            <w:r>
              <w:rPr>
                <w:rFonts w:hint="eastAsia" w:ascii="宋体" w:hAnsi="宋体" w:eastAsia="宋体" w:cs="宋体"/>
                <w:b w:val="0"/>
                <w:bCs w:val="0"/>
                <w:color w:val="auto"/>
                <w:kern w:val="0"/>
                <w:sz w:val="21"/>
                <w:szCs w:val="21"/>
                <w:highlight w:val="none"/>
                <w:lang w:val="en-US" w:eastAsia="zh-CN" w:bidi="ar-SA"/>
              </w:rPr>
              <w:t>（3）货物需求清单中未要求提供证明材料的参数以6.2技术响应表作为评审依据。货物需求清单中要求提供证明材料的参数：技术参数及要求中未明确证明材料类型的，证明材料为产品技术说明书或产品彩页或产品功能截图或产品官网截图或第三方机构出具的检测报告，提供其一即可（需能体现关键评审因素，建议标注关键评审因素便于评审）；技术参数及要求中明确要求证明材料类型的，按要求执行。</w:t>
            </w:r>
          </w:p>
        </w:tc>
      </w:tr>
    </w:tbl>
    <w:p w14:paraId="0226FEBB">
      <w:pPr>
        <w:keepNext w:val="0"/>
        <w:keepLines w:val="0"/>
        <w:pageBreakBefore w:val="0"/>
        <w:widowControl/>
        <w:kinsoku/>
        <w:wordWrap/>
        <w:overflowPunct/>
        <w:topLinePunct w:val="0"/>
        <w:autoSpaceDE/>
        <w:autoSpaceDN/>
        <w:bidi w:val="0"/>
        <w:adjustRightInd/>
        <w:snapToGrid w:val="0"/>
        <w:spacing w:line="360" w:lineRule="auto"/>
        <w:ind w:firstLine="422" w:firstLineChars="200"/>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（二）</w:t>
      </w:r>
      <w:r>
        <w:rPr>
          <w:rFonts w:hint="eastAsia" w:ascii="宋体" w:hAnsi="宋体" w:eastAsia="宋体" w:cs="宋体"/>
          <w:b/>
          <w:bCs/>
          <w:color w:val="auto"/>
          <w:sz w:val="21"/>
          <w:szCs w:val="21"/>
          <w:highlight w:val="none"/>
          <w:lang w:val="en-US" w:eastAsia="zh-CN"/>
        </w:rPr>
        <w:t>货物需求</w:t>
      </w:r>
      <w:r>
        <w:rPr>
          <w:rFonts w:hint="eastAsia" w:ascii="宋体" w:hAnsi="宋体" w:eastAsia="宋体" w:cs="宋体"/>
          <w:b/>
          <w:bCs/>
          <w:color w:val="auto"/>
          <w:sz w:val="21"/>
          <w:szCs w:val="21"/>
          <w:highlight w:val="none"/>
        </w:rPr>
        <w:t>清单</w:t>
      </w:r>
    </w:p>
    <w:tbl>
      <w:tblPr>
        <w:tblStyle w:val="2"/>
        <w:tblW w:w="50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1398"/>
        <w:gridCol w:w="4817"/>
        <w:gridCol w:w="785"/>
        <w:gridCol w:w="814"/>
      </w:tblGrid>
      <w:tr w14:paraId="32D12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000" w:type="pct"/>
            <w:gridSpan w:val="5"/>
            <w:vAlign w:val="center"/>
          </w:tcPr>
          <w:p w14:paraId="61B973D7">
            <w:pPr>
              <w:keepNext w:val="0"/>
              <w:keepLines w:val="0"/>
              <w:pageBreakBefore w:val="0"/>
              <w:suppressLineNumbers w:val="0"/>
              <w:kinsoku/>
              <w:wordWrap w:val="0"/>
              <w:overflowPunct/>
              <w:topLinePunct w:val="0"/>
              <w:autoSpaceDE/>
              <w:autoSpaceDN/>
              <w:bidi w:val="0"/>
              <w:adjustRightInd/>
              <w:snapToGrid w:val="0"/>
              <w:spacing w:before="0" w:beforeAutospacing="0" w:after="0" w:afterAutospacing="0" w:line="300" w:lineRule="auto"/>
              <w:ind w:left="0" w:right="0"/>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第1包</w:t>
            </w:r>
          </w:p>
        </w:tc>
      </w:tr>
      <w:tr w14:paraId="5D2E1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32" w:type="pct"/>
            <w:vAlign w:val="center"/>
          </w:tcPr>
          <w:p w14:paraId="2A894D85">
            <w:pPr>
              <w:keepNext w:val="0"/>
              <w:keepLines w:val="0"/>
              <w:pageBreakBefore w:val="0"/>
              <w:suppressLineNumbers w:val="0"/>
              <w:kinsoku/>
              <w:wordWrap w:val="0"/>
              <w:overflowPunct/>
              <w:topLinePunct w:val="0"/>
              <w:autoSpaceDE/>
              <w:autoSpaceDN/>
              <w:bidi w:val="0"/>
              <w:adjustRightInd/>
              <w:snapToGrid w:val="0"/>
              <w:spacing w:before="0" w:beforeAutospacing="0" w:after="0" w:afterAutospacing="0" w:line="300" w:lineRule="auto"/>
              <w:ind w:left="0" w:right="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817" w:type="pct"/>
            <w:vAlign w:val="center"/>
          </w:tcPr>
          <w:p w14:paraId="279C88F2">
            <w:pPr>
              <w:keepNext w:val="0"/>
              <w:keepLines w:val="0"/>
              <w:pageBreakBefore w:val="0"/>
              <w:suppressLineNumbers w:val="0"/>
              <w:kinsoku/>
              <w:wordWrap w:val="0"/>
              <w:overflowPunct/>
              <w:topLinePunct w:val="0"/>
              <w:autoSpaceDE/>
              <w:autoSpaceDN/>
              <w:bidi w:val="0"/>
              <w:adjustRightInd/>
              <w:snapToGrid w:val="0"/>
              <w:spacing w:before="0" w:beforeAutospacing="0" w:after="0" w:afterAutospacing="0" w:line="300" w:lineRule="auto"/>
              <w:ind w:left="0" w:right="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货物名称</w:t>
            </w:r>
          </w:p>
        </w:tc>
        <w:tc>
          <w:tcPr>
            <w:tcW w:w="2815" w:type="pct"/>
            <w:vAlign w:val="center"/>
          </w:tcPr>
          <w:p w14:paraId="51ADA2AF">
            <w:pPr>
              <w:keepNext w:val="0"/>
              <w:keepLines w:val="0"/>
              <w:pageBreakBefore w:val="0"/>
              <w:suppressLineNumbers w:val="0"/>
              <w:kinsoku/>
              <w:wordWrap w:val="0"/>
              <w:overflowPunct/>
              <w:topLinePunct w:val="0"/>
              <w:autoSpaceDE/>
              <w:autoSpaceDN/>
              <w:bidi w:val="0"/>
              <w:adjustRightInd/>
              <w:snapToGrid w:val="0"/>
              <w:spacing w:before="0" w:beforeAutospacing="0" w:after="0" w:afterAutospacing="0" w:line="300" w:lineRule="auto"/>
              <w:ind w:left="0" w:right="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技术参数及要求</w:t>
            </w:r>
          </w:p>
        </w:tc>
        <w:tc>
          <w:tcPr>
            <w:tcW w:w="458" w:type="pct"/>
            <w:vAlign w:val="center"/>
          </w:tcPr>
          <w:p w14:paraId="16B7EC29">
            <w:pPr>
              <w:keepNext w:val="0"/>
              <w:keepLines w:val="0"/>
              <w:pageBreakBefore w:val="0"/>
              <w:suppressLineNumbers w:val="0"/>
              <w:kinsoku/>
              <w:wordWrap w:val="0"/>
              <w:overflowPunct/>
              <w:topLinePunct w:val="0"/>
              <w:autoSpaceDE/>
              <w:autoSpaceDN/>
              <w:bidi w:val="0"/>
              <w:adjustRightInd/>
              <w:snapToGrid w:val="0"/>
              <w:spacing w:before="0" w:beforeAutospacing="0" w:after="0" w:afterAutospacing="0" w:line="300" w:lineRule="auto"/>
              <w:ind w:left="0" w:right="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数量</w:t>
            </w:r>
          </w:p>
          <w:p w14:paraId="1DB19FD2">
            <w:pPr>
              <w:keepNext w:val="0"/>
              <w:keepLines w:val="0"/>
              <w:pageBreakBefore w:val="0"/>
              <w:suppressLineNumbers w:val="0"/>
              <w:kinsoku/>
              <w:wordWrap w:val="0"/>
              <w:overflowPunct/>
              <w:topLinePunct w:val="0"/>
              <w:autoSpaceDE/>
              <w:autoSpaceDN/>
              <w:bidi w:val="0"/>
              <w:adjustRightInd/>
              <w:snapToGrid w:val="0"/>
              <w:spacing w:before="0" w:beforeAutospacing="0" w:after="0" w:afterAutospacing="0" w:line="300" w:lineRule="auto"/>
              <w:ind w:left="0" w:right="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（单位）</w:t>
            </w:r>
          </w:p>
        </w:tc>
        <w:tc>
          <w:tcPr>
            <w:tcW w:w="475" w:type="pct"/>
            <w:vAlign w:val="center"/>
          </w:tcPr>
          <w:p w14:paraId="63A5242C">
            <w:pPr>
              <w:keepNext w:val="0"/>
              <w:keepLines w:val="0"/>
              <w:pageBreakBefore w:val="0"/>
              <w:suppressLineNumbers w:val="0"/>
              <w:kinsoku/>
              <w:wordWrap w:val="0"/>
              <w:overflowPunct/>
              <w:topLinePunct w:val="0"/>
              <w:autoSpaceDE/>
              <w:autoSpaceDN/>
              <w:bidi w:val="0"/>
              <w:adjustRightInd/>
              <w:snapToGrid w:val="0"/>
              <w:spacing w:before="0" w:beforeAutospacing="0" w:after="0" w:afterAutospacing="0" w:line="300" w:lineRule="auto"/>
              <w:ind w:left="0" w:right="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所属</w:t>
            </w:r>
          </w:p>
          <w:p w14:paraId="4ED01030">
            <w:pPr>
              <w:keepNext w:val="0"/>
              <w:keepLines w:val="0"/>
              <w:pageBreakBefore w:val="0"/>
              <w:suppressLineNumbers w:val="0"/>
              <w:kinsoku/>
              <w:wordWrap w:val="0"/>
              <w:overflowPunct/>
              <w:topLinePunct w:val="0"/>
              <w:autoSpaceDE/>
              <w:autoSpaceDN/>
              <w:bidi w:val="0"/>
              <w:adjustRightInd/>
              <w:snapToGrid w:val="0"/>
              <w:spacing w:before="0" w:beforeAutospacing="0" w:after="0" w:afterAutospacing="0" w:line="300" w:lineRule="auto"/>
              <w:ind w:left="0" w:right="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行业</w:t>
            </w:r>
          </w:p>
        </w:tc>
      </w:tr>
      <w:tr w14:paraId="1417A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32" w:type="pct"/>
            <w:vAlign w:val="center"/>
          </w:tcPr>
          <w:p w14:paraId="3D824217">
            <w:pPr>
              <w:keepNext w:val="0"/>
              <w:keepLines w:val="0"/>
              <w:pageBreakBefore w:val="0"/>
              <w:suppressLineNumbers w:val="0"/>
              <w:kinsoku/>
              <w:wordWrap w:val="0"/>
              <w:overflowPunct/>
              <w:topLinePunct w:val="0"/>
              <w:autoSpaceDE/>
              <w:autoSpaceDN/>
              <w:bidi w:val="0"/>
              <w:adjustRightInd/>
              <w:snapToGrid w:val="0"/>
              <w:spacing w:before="0" w:beforeAutospacing="0" w:after="0" w:afterAutospacing="0" w:line="300" w:lineRule="auto"/>
              <w:ind w:left="0" w:right="0"/>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w:t>
            </w:r>
          </w:p>
        </w:tc>
        <w:tc>
          <w:tcPr>
            <w:tcW w:w="817" w:type="pct"/>
            <w:shd w:val="clear" w:color="auto" w:fill="FFFFFF"/>
            <w:vAlign w:val="center"/>
          </w:tcPr>
          <w:p w14:paraId="2232605C">
            <w:pPr>
              <w:keepNext w:val="0"/>
              <w:keepLines w:val="0"/>
              <w:pageBreakBefore w:val="0"/>
              <w:suppressLineNumbers w:val="0"/>
              <w:kinsoku/>
              <w:wordWrap w:val="0"/>
              <w:overflowPunct/>
              <w:topLinePunct w:val="0"/>
              <w:autoSpaceDE/>
              <w:autoSpaceDN/>
              <w:bidi w:val="0"/>
              <w:adjustRightInd/>
              <w:spacing w:before="0" w:beforeAutospacing="0" w:after="0" w:afterAutospacing="0" w:line="360" w:lineRule="auto"/>
              <w:ind w:left="0" w:right="0"/>
              <w:jc w:val="center"/>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w:t>
            </w:r>
            <w:r>
              <w:rPr>
                <w:rFonts w:hint="eastAsia" w:ascii="宋体" w:hAnsi="宋体" w:eastAsia="宋体" w:cs="宋体"/>
                <w:b w:val="0"/>
                <w:bCs/>
                <w:color w:val="auto"/>
                <w:sz w:val="21"/>
                <w:szCs w:val="21"/>
                <w:highlight w:val="none"/>
              </w:rPr>
              <w:t>功率分析仪</w:t>
            </w:r>
          </w:p>
        </w:tc>
        <w:tc>
          <w:tcPr>
            <w:tcW w:w="2815" w:type="pct"/>
            <w:shd w:val="clear" w:color="auto" w:fill="FFFFFF"/>
            <w:vAlign w:val="center"/>
          </w:tcPr>
          <w:p w14:paraId="0789263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1.功率:100kW以上；DC电压量程0-1500V，交流AC电压量程0-1200V；</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2.额定电流500A（4只）以上；</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3.适用200V和380V额定电压产品；</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4.总通道数≥5，电压电流测试≥4通道，电机≥1通道；</w:t>
            </w:r>
          </w:p>
          <w:p w14:paraId="4648592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color w:val="auto"/>
                <w:kern w:val="0"/>
                <w:sz w:val="21"/>
                <w:szCs w:val="21"/>
                <w:highlight w:val="none"/>
                <w:lang w:bidi="ar"/>
              </w:rPr>
              <w:t>5.</w:t>
            </w:r>
            <w:r>
              <w:rPr>
                <w:rFonts w:hint="eastAsia" w:ascii="宋体" w:hAnsi="宋体" w:eastAsia="宋体" w:cs="宋体"/>
                <w:color w:val="auto"/>
                <w:sz w:val="21"/>
                <w:szCs w:val="21"/>
                <w:highlight w:val="none"/>
              </w:rPr>
              <w:t>电流直接输入量程不少于：10m/20m/50m/100m/200m/500m/1/2/5[A]Arms（CF3）</w:t>
            </w:r>
            <w:r>
              <w:rPr>
                <w:rFonts w:hint="eastAsia" w:ascii="宋体" w:hAnsi="宋体" w:eastAsia="宋体" w:cs="宋体"/>
                <w:color w:val="auto"/>
                <w:kern w:val="0"/>
                <w:sz w:val="21"/>
                <w:szCs w:val="21"/>
                <w:highlight w:val="none"/>
                <w:lang w:bidi="ar"/>
              </w:rPr>
              <w:t>；</w:t>
            </w:r>
          </w:p>
          <w:p w14:paraId="3873BBF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6.</w:t>
            </w:r>
            <w:r>
              <w:rPr>
                <w:rFonts w:hint="eastAsia" w:ascii="宋体" w:hAnsi="宋体" w:eastAsia="宋体" w:cs="宋体"/>
                <w:color w:val="auto"/>
                <w:sz w:val="21"/>
                <w:szCs w:val="21"/>
                <w:highlight w:val="none"/>
              </w:rPr>
              <w:t>电压直接输入量程不少于：1.5/3V/6V/10V/15V/30V/60V/100V/150V/300V/600V/1000V/1500Vrms（CF3）</w:t>
            </w:r>
            <w:r>
              <w:rPr>
                <w:rFonts w:hint="eastAsia" w:ascii="宋体" w:hAnsi="宋体" w:eastAsia="宋体" w:cs="宋体"/>
                <w:color w:val="auto"/>
                <w:kern w:val="0"/>
                <w:sz w:val="21"/>
                <w:szCs w:val="21"/>
                <w:highlight w:val="none"/>
                <w:lang w:bidi="ar"/>
              </w:rPr>
              <w:t>；</w:t>
            </w:r>
          </w:p>
          <w:p w14:paraId="1611D5B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w:t>
            </w:r>
            <w:r>
              <w:rPr>
                <w:rFonts w:hint="eastAsia" w:ascii="宋体" w:hAnsi="宋体" w:eastAsia="宋体" w:cs="宋体"/>
                <w:color w:val="auto"/>
                <w:kern w:val="0"/>
                <w:sz w:val="21"/>
                <w:szCs w:val="21"/>
                <w:highlight w:val="none"/>
                <w:lang w:bidi="ar"/>
              </w:rPr>
              <w:t>7.</w:t>
            </w:r>
            <w:r>
              <w:rPr>
                <w:rFonts w:hint="eastAsia" w:ascii="宋体" w:hAnsi="宋体" w:eastAsia="宋体" w:cs="宋体"/>
                <w:color w:val="auto"/>
                <w:sz w:val="21"/>
                <w:szCs w:val="21"/>
                <w:highlight w:val="none"/>
              </w:rPr>
              <w:t>电流测量基本精度不低于0.05%rdg+0.05%rng</w:t>
            </w:r>
            <w:r>
              <w:rPr>
                <w:rFonts w:hint="eastAsia" w:ascii="宋体" w:hAnsi="宋体" w:eastAsia="宋体" w:cs="宋体"/>
                <w:color w:val="auto"/>
                <w:sz w:val="21"/>
                <w:szCs w:val="21"/>
                <w:highlight w:val="none"/>
                <w:lang w:eastAsia="zh-CN"/>
              </w:rPr>
              <w:t>；</w:t>
            </w:r>
          </w:p>
          <w:p w14:paraId="2AF2E90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bidi="ar"/>
              </w:rPr>
              <w:t>8.</w:t>
            </w:r>
            <w:r>
              <w:rPr>
                <w:rFonts w:hint="eastAsia" w:ascii="宋体" w:hAnsi="宋体" w:eastAsia="宋体" w:cs="宋体"/>
                <w:color w:val="auto"/>
                <w:sz w:val="21"/>
                <w:szCs w:val="21"/>
                <w:highlight w:val="none"/>
              </w:rPr>
              <w:t>电压测量基本精度不低于0.05%rdg+0.05%rng</w:t>
            </w:r>
            <w:r>
              <w:rPr>
                <w:rFonts w:hint="eastAsia" w:ascii="宋体" w:hAnsi="宋体" w:eastAsia="宋体" w:cs="宋体"/>
                <w:color w:val="auto"/>
                <w:sz w:val="21"/>
                <w:szCs w:val="21"/>
                <w:highlight w:val="none"/>
                <w:lang w:eastAsia="zh-CN"/>
              </w:rPr>
              <w:t>；</w:t>
            </w:r>
          </w:p>
          <w:p w14:paraId="7D70B7D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bCs/>
                <w:color w:val="auto"/>
                <w:sz w:val="21"/>
                <w:szCs w:val="21"/>
                <w:highlight w:val="none"/>
              </w:rPr>
              <w:t>★</w:t>
            </w:r>
            <w:r>
              <w:rPr>
                <w:rFonts w:hint="eastAsia" w:ascii="宋体" w:hAnsi="宋体" w:eastAsia="宋体" w:cs="宋体"/>
                <w:color w:val="auto"/>
                <w:kern w:val="0"/>
                <w:sz w:val="21"/>
                <w:szCs w:val="21"/>
                <w:highlight w:val="none"/>
                <w:lang w:bidi="ar"/>
              </w:rPr>
              <w:t>9.</w:t>
            </w:r>
            <w:r>
              <w:rPr>
                <w:rFonts w:hint="eastAsia" w:ascii="宋体" w:hAnsi="宋体" w:eastAsia="宋体" w:cs="宋体"/>
                <w:color w:val="auto"/>
                <w:sz w:val="21"/>
                <w:szCs w:val="21"/>
                <w:highlight w:val="none"/>
              </w:rPr>
              <w:t>功率测量基本精度不低0.05%rdg+0.05%rng</w:t>
            </w:r>
            <w:r>
              <w:rPr>
                <w:rFonts w:hint="eastAsia" w:ascii="宋体" w:hAnsi="宋体" w:eastAsia="宋体" w:cs="宋体"/>
                <w:color w:val="auto"/>
                <w:sz w:val="21"/>
                <w:szCs w:val="21"/>
                <w:highlight w:val="none"/>
                <w:lang w:eastAsia="zh-CN"/>
              </w:rPr>
              <w:t>；</w:t>
            </w:r>
          </w:p>
          <w:p w14:paraId="62F953E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bidi="ar"/>
              </w:rPr>
              <w:t>★10.频率测试范围满足DC，AC0.1Hz～500KHz</w:t>
            </w:r>
            <w:r>
              <w:rPr>
                <w:rFonts w:hint="eastAsia" w:ascii="宋体" w:hAnsi="宋体" w:eastAsia="宋体" w:cs="宋体"/>
                <w:color w:val="auto"/>
                <w:kern w:val="0"/>
                <w:sz w:val="21"/>
                <w:szCs w:val="21"/>
                <w:highlight w:val="none"/>
                <w:lang w:eastAsia="zh-CN" w:bidi="ar"/>
              </w:rPr>
              <w:t>；</w:t>
            </w:r>
          </w:p>
          <w:p w14:paraId="121514F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bidi="ar"/>
              </w:rPr>
              <w:t>★11.测试频率带宽不低于2MHz（-3dB）</w:t>
            </w:r>
            <w:r>
              <w:rPr>
                <w:rFonts w:hint="eastAsia" w:ascii="宋体" w:hAnsi="宋体" w:eastAsia="宋体" w:cs="宋体"/>
                <w:color w:val="auto"/>
                <w:kern w:val="0"/>
                <w:sz w:val="21"/>
                <w:szCs w:val="21"/>
                <w:highlight w:val="none"/>
                <w:lang w:eastAsia="zh-CN" w:bidi="ar"/>
              </w:rPr>
              <w:t>；</w:t>
            </w:r>
          </w:p>
          <w:p w14:paraId="6E3CC6B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★12.采样率不低于2MS/s；数据更新率满足50ms、100ms、200ms、500ms、1s、2s、5s、10s、20s或高速模式下最高10ms,并且支持自定义；</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★13.同步数据更新周期：50ms、100ms、200ms、500ms、1s、2s、5s、10s、20s，多种可选；</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★14.滤波功能：至少包含OFF，500Hz，5.5kHz、50kHz；</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15.测试功能：至少包含常规电参数、谐波测量、波形回放、FFT分析、双矢量图、IEC谐波测量、周期分析、电压波动及闪变测量；</w:t>
            </w:r>
          </w:p>
          <w:p w14:paraId="76A55FC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bidi="ar"/>
              </w:rPr>
              <w:t>16.通讯接口：USB、LAN，提供上位机软件，配置测量参数，获取测量数据和波形。</w:t>
            </w:r>
          </w:p>
        </w:tc>
        <w:tc>
          <w:tcPr>
            <w:tcW w:w="458" w:type="pct"/>
            <w:shd w:val="clear" w:color="auto" w:fill="FFFFFF"/>
            <w:vAlign w:val="center"/>
          </w:tcPr>
          <w:p w14:paraId="4E89EE88">
            <w:pPr>
              <w:keepNext w:val="0"/>
              <w:keepLines w:val="0"/>
              <w:pageBreakBefore w:val="0"/>
              <w:suppressLineNumbers w:val="0"/>
              <w:kinsoku/>
              <w:wordWrap w:val="0"/>
              <w:overflowPunct/>
              <w:topLinePunct w:val="0"/>
              <w:autoSpaceDE/>
              <w:autoSpaceDN/>
              <w:bidi w:val="0"/>
              <w:adjustRightInd/>
              <w:spacing w:before="0" w:beforeAutospacing="0" w:after="0" w:afterAutospacing="0" w:line="360" w:lineRule="auto"/>
              <w:ind w:left="0" w:right="0"/>
              <w:jc w:val="center"/>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sz w:val="21"/>
                <w:szCs w:val="21"/>
                <w:highlight w:val="none"/>
                <w:lang w:val="en-US" w:eastAsia="zh-CN"/>
              </w:rPr>
              <w:t>1套</w:t>
            </w:r>
          </w:p>
        </w:tc>
        <w:tc>
          <w:tcPr>
            <w:tcW w:w="475" w:type="pct"/>
            <w:shd w:val="clear" w:color="auto" w:fill="FFFFFF"/>
            <w:vAlign w:val="center"/>
          </w:tcPr>
          <w:p w14:paraId="66D5432A">
            <w:pPr>
              <w:keepNext w:val="0"/>
              <w:keepLines w:val="0"/>
              <w:pageBreakBefore w:val="0"/>
              <w:suppressLineNumbers w:val="0"/>
              <w:kinsoku/>
              <w:wordWrap w:val="0"/>
              <w:overflowPunct/>
              <w:topLinePunct w:val="0"/>
              <w:autoSpaceDE/>
              <w:autoSpaceDN/>
              <w:bidi w:val="0"/>
              <w:adjustRightInd/>
              <w:spacing w:before="0" w:beforeAutospacing="0" w:after="0" w:afterAutospacing="0" w:line="360" w:lineRule="auto"/>
              <w:ind w:left="0" w:right="0"/>
              <w:jc w:val="center"/>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sz w:val="21"/>
                <w:szCs w:val="21"/>
                <w:highlight w:val="none"/>
                <w:lang w:val="en-US" w:eastAsia="zh-CN"/>
              </w:rPr>
              <w:t>工业</w:t>
            </w:r>
          </w:p>
        </w:tc>
      </w:tr>
    </w:tbl>
    <w:p w14:paraId="791AEEBD">
      <w:pPr>
        <w:rPr>
          <w:rFonts w:hint="eastAsia" w:ascii="宋体" w:hAnsi="宋体" w:eastAsia="宋体" w:cs="@仿宋_GB2312"/>
          <w:b/>
          <w:bCs/>
          <w:color w:val="auto"/>
          <w:kern w:val="2"/>
          <w:sz w:val="21"/>
          <w:szCs w:val="15"/>
          <w:highlight w:val="none"/>
          <w:lang w:val="en-US" w:eastAsia="zh-CN" w:bidi="ar-SA"/>
        </w:rPr>
      </w:pPr>
      <w:bookmarkStart w:id="6" w:name="_Toc12179"/>
      <w:bookmarkStart w:id="7" w:name="_Toc4843"/>
      <w:bookmarkStart w:id="8" w:name="_Toc7421"/>
    </w:p>
    <w:p w14:paraId="6A1A7583">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37" w:firstLineChars="0"/>
        <w:textAlignment w:val="auto"/>
        <w:outlineLvl w:val="1"/>
        <w:rPr>
          <w:rFonts w:ascii="宋体" w:hAnsi="宋体" w:eastAsia="宋体" w:cs="@仿宋_GB2312"/>
          <w:b/>
          <w:bCs/>
          <w:color w:val="auto"/>
          <w:sz w:val="21"/>
          <w:szCs w:val="15"/>
          <w:highlight w:val="none"/>
        </w:rPr>
      </w:pPr>
      <w:r>
        <w:rPr>
          <w:rFonts w:hint="eastAsia" w:ascii="宋体" w:hAnsi="宋体" w:eastAsia="宋体" w:cs="@仿宋_GB2312"/>
          <w:b/>
          <w:bCs/>
          <w:color w:val="auto"/>
          <w:kern w:val="2"/>
          <w:sz w:val="21"/>
          <w:szCs w:val="15"/>
          <w:highlight w:val="none"/>
          <w:lang w:val="en-US" w:eastAsia="zh-CN" w:bidi="ar-SA"/>
        </w:rPr>
        <w:t>三、</w:t>
      </w:r>
      <w:r>
        <w:rPr>
          <w:rFonts w:hint="eastAsia" w:ascii="宋体" w:hAnsi="宋体" w:eastAsia="宋体" w:cs="@仿宋_GB2312"/>
          <w:b/>
          <w:bCs/>
          <w:color w:val="auto"/>
          <w:sz w:val="21"/>
          <w:szCs w:val="15"/>
          <w:highlight w:val="none"/>
          <w:lang w:val="en-US" w:eastAsia="zh-CN"/>
        </w:rPr>
        <w:t>其他要求</w:t>
      </w:r>
      <w:bookmarkEnd w:id="6"/>
    </w:p>
    <w:p w14:paraId="433FA303">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37" w:firstLineChars="0"/>
        <w:textAlignment w:val="auto"/>
        <w:rPr>
          <w:rFonts w:hint="eastAsia" w:ascii="宋体" w:hAnsi="宋体" w:eastAsia="宋体" w:cs="@仿宋_GB2312"/>
          <w:bCs/>
          <w:color w:val="auto"/>
          <w:sz w:val="21"/>
          <w:szCs w:val="15"/>
          <w:highlight w:val="none"/>
        </w:rPr>
      </w:pPr>
      <w:r>
        <w:rPr>
          <w:rFonts w:hint="eastAsia" w:ascii="宋体" w:hAnsi="宋体" w:eastAsia="宋体" w:cs="@仿宋_GB2312"/>
          <w:bCs/>
          <w:color w:val="auto"/>
          <w:kern w:val="2"/>
          <w:sz w:val="21"/>
          <w:szCs w:val="15"/>
          <w:highlight w:val="none"/>
          <w:lang w:val="en-US" w:eastAsia="zh-CN" w:bidi="ar-SA"/>
        </w:rPr>
        <w:t>1.</w:t>
      </w:r>
      <w:r>
        <w:rPr>
          <w:rFonts w:hint="eastAsia" w:ascii="宋体" w:hAnsi="宋体" w:eastAsia="宋体" w:cs="@仿宋_GB2312"/>
          <w:bCs/>
          <w:color w:val="auto"/>
          <w:sz w:val="21"/>
          <w:szCs w:val="15"/>
          <w:highlight w:val="none"/>
        </w:rPr>
        <w:t xml:space="preserve">中标人提供软、硬件设备的现场安装、调试和开通，并保证整个系统的正常运行；保证不同时期提供的同类设备（软件、硬件）兼容，所供设备在使用之前，必须提供现场培训。 </w:t>
      </w:r>
    </w:p>
    <w:p w14:paraId="48FD07C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37" w:firstLineChars="0"/>
        <w:textAlignment w:val="auto"/>
        <w:rPr>
          <w:rFonts w:hint="eastAsia" w:ascii="宋体" w:hAnsi="宋体" w:eastAsia="宋体" w:cs="@仿宋_GB2312"/>
          <w:bCs/>
          <w:color w:val="auto"/>
          <w:sz w:val="21"/>
          <w:szCs w:val="15"/>
          <w:highlight w:val="none"/>
        </w:rPr>
      </w:pPr>
      <w:r>
        <w:rPr>
          <w:rFonts w:hint="eastAsia" w:ascii="宋体" w:hAnsi="宋体" w:eastAsia="宋体" w:cs="@仿宋_GB2312"/>
          <w:bCs/>
          <w:color w:val="auto"/>
          <w:kern w:val="2"/>
          <w:sz w:val="21"/>
          <w:szCs w:val="15"/>
          <w:highlight w:val="none"/>
          <w:lang w:val="en-US" w:eastAsia="zh-CN" w:bidi="ar-SA"/>
        </w:rPr>
        <w:t>2.</w:t>
      </w:r>
      <w:r>
        <w:rPr>
          <w:rFonts w:hint="eastAsia" w:ascii="宋体" w:hAnsi="宋体" w:eastAsia="宋体" w:cs="@仿宋_GB2312"/>
          <w:bCs/>
          <w:color w:val="auto"/>
          <w:sz w:val="21"/>
          <w:szCs w:val="15"/>
          <w:highlight w:val="none"/>
        </w:rPr>
        <w:t xml:space="preserve">质保期内设备的软件升级、硬件保修由中标人承担。普通国产设备，质保期内，原生产厂提供全机免费保修。所有费用均包含在投标人的投标报价中，中标后采购人不再另行支付任何费用。 </w:t>
      </w:r>
    </w:p>
    <w:p w14:paraId="27502D1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37" w:firstLineChars="0"/>
        <w:textAlignment w:val="auto"/>
        <w:rPr>
          <w:rFonts w:hint="eastAsia" w:ascii="宋体" w:hAnsi="宋体" w:eastAsia="宋体" w:cs="@仿宋_GB2312"/>
          <w:bCs/>
          <w:color w:val="auto"/>
          <w:sz w:val="21"/>
          <w:szCs w:val="15"/>
          <w:highlight w:val="none"/>
        </w:rPr>
      </w:pPr>
      <w:r>
        <w:rPr>
          <w:rFonts w:hint="eastAsia" w:ascii="宋体" w:hAnsi="宋体" w:eastAsia="宋体" w:cs="@仿宋_GB2312"/>
          <w:bCs/>
          <w:color w:val="auto"/>
          <w:sz w:val="21"/>
          <w:szCs w:val="15"/>
          <w:highlight w:val="none"/>
        </w:rPr>
        <w:t xml:space="preserve">3.任何出具检测数据的仪器设备在安装调试阶段或仪器设备验收前，中标人（供应商）应需免费提供一份委托方为采购人（安徽省产品质量监督检验研究院）名义的检定/校准合格证书一份，且计量参数指标为采购人确认合格。需在本地安装或移动后影响计量性能的仪器设备，应提供本地量值溯源机构的检定/校准合格证书一份（本地机构不具备量值溯源能力的除外）。 </w:t>
      </w:r>
    </w:p>
    <w:p w14:paraId="3E23D9E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37" w:firstLineChars="0"/>
        <w:textAlignment w:val="auto"/>
        <w:rPr>
          <w:rFonts w:hint="eastAsia" w:ascii="宋体" w:hAnsi="宋体" w:eastAsia="宋体" w:cs="@仿宋_GB2312"/>
          <w:bCs/>
          <w:color w:val="auto"/>
          <w:sz w:val="21"/>
          <w:szCs w:val="15"/>
          <w:highlight w:val="none"/>
        </w:rPr>
      </w:pPr>
      <w:r>
        <w:rPr>
          <w:rFonts w:hint="eastAsia" w:ascii="宋体" w:hAnsi="宋体" w:eastAsia="宋体" w:cs="@仿宋_GB2312"/>
          <w:bCs/>
          <w:color w:val="auto"/>
          <w:sz w:val="21"/>
          <w:szCs w:val="15"/>
          <w:highlight w:val="none"/>
        </w:rPr>
        <w:t>4.根据设备安装的复杂程度，需现场装配、安装的大型设备，以及设备本身所需水、电、气安装条件超过实验室原有的基本配置，设备供应商应通过现场勘察，并与相关实验室进行沟通，该部分费用包含在投标报价中，由中标人负责实施。</w:t>
      </w:r>
    </w:p>
    <w:p w14:paraId="10C0BEF3">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37" w:firstLineChars="0"/>
        <w:textAlignment w:val="auto"/>
        <w:outlineLvl w:val="1"/>
        <w:rPr>
          <w:rFonts w:ascii="宋体" w:hAnsi="宋体" w:eastAsia="宋体" w:cs="@仿宋_GB2312"/>
          <w:b/>
          <w:bCs/>
          <w:color w:val="auto"/>
          <w:sz w:val="21"/>
          <w:szCs w:val="15"/>
          <w:highlight w:val="none"/>
        </w:rPr>
      </w:pPr>
      <w:bookmarkStart w:id="9" w:name="_Toc8438"/>
      <w:r>
        <w:rPr>
          <w:rFonts w:hint="eastAsia" w:ascii="宋体" w:hAnsi="宋体" w:eastAsia="宋体" w:cs="@仿宋_GB2312"/>
          <w:b/>
          <w:bCs/>
          <w:color w:val="auto"/>
          <w:kern w:val="2"/>
          <w:sz w:val="21"/>
          <w:szCs w:val="15"/>
          <w:highlight w:val="none"/>
          <w:lang w:val="en-US" w:eastAsia="zh-CN" w:bidi="ar-SA"/>
        </w:rPr>
        <w:t>四、</w:t>
      </w:r>
      <w:r>
        <w:rPr>
          <w:rFonts w:hint="eastAsia" w:ascii="宋体" w:hAnsi="宋体" w:eastAsia="宋体" w:cs="@仿宋_GB2312"/>
          <w:b/>
          <w:bCs/>
          <w:color w:val="auto"/>
          <w:sz w:val="21"/>
          <w:szCs w:val="15"/>
          <w:highlight w:val="none"/>
        </w:rPr>
        <w:t>报价要求</w:t>
      </w:r>
      <w:bookmarkEnd w:id="7"/>
      <w:bookmarkEnd w:id="8"/>
      <w:bookmarkEnd w:id="9"/>
    </w:p>
    <w:p w14:paraId="7A4B3E6A">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rPr>
          <w:rFonts w:ascii="宋体" w:hAnsi="宋体" w:eastAsia="宋体" w:cs="@仿宋_GB2312"/>
          <w:bCs/>
          <w:color w:val="auto"/>
          <w:sz w:val="21"/>
          <w:szCs w:val="15"/>
          <w:highlight w:val="none"/>
        </w:rPr>
      </w:pPr>
      <w:r>
        <w:rPr>
          <w:rFonts w:hint="eastAsia" w:ascii="宋体" w:hAnsi="宋体" w:eastAsia="宋体" w:cs="@仿宋_GB2312"/>
          <w:bCs/>
          <w:color w:val="auto"/>
          <w:sz w:val="21"/>
          <w:szCs w:val="15"/>
          <w:highlight w:val="none"/>
        </w:rPr>
        <w:t>本项目报总价，投标报价</w:t>
      </w:r>
      <w:r>
        <w:rPr>
          <w:rFonts w:ascii="宋体" w:hAnsi="宋体" w:eastAsia="宋体" w:cs="@仿宋_GB2312"/>
          <w:bCs/>
          <w:color w:val="auto"/>
          <w:sz w:val="21"/>
          <w:szCs w:val="15"/>
          <w:highlight w:val="none"/>
        </w:rPr>
        <w:t>包括</w:t>
      </w:r>
      <w:r>
        <w:rPr>
          <w:rFonts w:hint="eastAsia" w:ascii="宋体" w:hAnsi="宋体" w:eastAsia="宋体" w:cs="@仿宋_GB2312"/>
          <w:bCs/>
          <w:color w:val="auto"/>
          <w:sz w:val="21"/>
          <w:szCs w:val="15"/>
          <w:highlight w:val="none"/>
        </w:rPr>
        <w:t>本项目需求的全部货物及所需附件购置费、包装费、运输费、人工费、保险费</w:t>
      </w:r>
      <w:r>
        <w:rPr>
          <w:rFonts w:hint="eastAsia" w:ascii="宋体" w:hAnsi="宋体" w:eastAsia="宋体" w:cs="@仿宋_GB2312"/>
          <w:bCs/>
          <w:color w:val="auto"/>
          <w:sz w:val="21"/>
          <w:szCs w:val="15"/>
          <w:highlight w:val="none"/>
          <w:lang w:eastAsia="zh-CN"/>
        </w:rPr>
        <w:t>（</w:t>
      </w:r>
      <w:r>
        <w:rPr>
          <w:rFonts w:hint="eastAsia" w:ascii="宋体" w:hAnsi="宋体" w:eastAsia="宋体" w:cs="@仿宋_GB2312"/>
          <w:bCs/>
          <w:color w:val="auto"/>
          <w:sz w:val="21"/>
          <w:szCs w:val="15"/>
          <w:highlight w:val="none"/>
          <w:lang w:val="en-US" w:eastAsia="zh-CN"/>
        </w:rPr>
        <w:t>如有</w:t>
      </w:r>
      <w:r>
        <w:rPr>
          <w:rFonts w:hint="eastAsia" w:ascii="宋体" w:hAnsi="宋体" w:eastAsia="宋体" w:cs="@仿宋_GB2312"/>
          <w:bCs/>
          <w:color w:val="auto"/>
          <w:sz w:val="21"/>
          <w:szCs w:val="15"/>
          <w:highlight w:val="none"/>
          <w:lang w:eastAsia="zh-CN"/>
        </w:rPr>
        <w:t>）</w:t>
      </w:r>
      <w:r>
        <w:rPr>
          <w:rFonts w:hint="eastAsia" w:ascii="宋体" w:hAnsi="宋体" w:eastAsia="宋体" w:cs="@仿宋_GB2312"/>
          <w:bCs/>
          <w:color w:val="auto"/>
          <w:sz w:val="21"/>
          <w:szCs w:val="15"/>
          <w:highlight w:val="none"/>
        </w:rPr>
        <w:t>、安装调试费、各种税费、资料费、售后服务费及完成项目应有的全部费用。</w:t>
      </w:r>
    </w:p>
    <w:p w14:paraId="00E47243">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hint="eastAsia" w:ascii="宋体" w:hAnsi="宋体" w:eastAsia="宋体" w:cs="@仿宋_GB2312"/>
          <w:b/>
          <w:bCs/>
          <w:color w:val="auto"/>
          <w:sz w:val="21"/>
          <w:szCs w:val="15"/>
          <w:highlight w:val="none"/>
        </w:rPr>
      </w:pPr>
      <w:bookmarkStart w:id="10" w:name="_Toc5724"/>
      <w:r>
        <w:rPr>
          <w:rFonts w:hint="eastAsia" w:ascii="宋体" w:hAnsi="宋体" w:eastAsia="宋体" w:cs="@仿宋_GB2312"/>
          <w:b/>
          <w:bCs/>
          <w:color w:val="auto"/>
          <w:sz w:val="21"/>
          <w:szCs w:val="15"/>
          <w:highlight w:val="none"/>
          <w:lang w:val="en-US" w:eastAsia="zh-CN"/>
        </w:rPr>
        <w:t>五</w:t>
      </w:r>
      <w:r>
        <w:rPr>
          <w:rFonts w:hint="eastAsia" w:ascii="宋体" w:hAnsi="宋体" w:eastAsia="宋体" w:cs="@仿宋_GB2312"/>
          <w:b/>
          <w:bCs/>
          <w:color w:val="auto"/>
          <w:sz w:val="21"/>
          <w:szCs w:val="15"/>
          <w:highlight w:val="none"/>
        </w:rPr>
        <w:t>、备品备件及专用工具</w:t>
      </w:r>
      <w:bookmarkEnd w:id="10"/>
    </w:p>
    <w:p w14:paraId="7863DD07">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ascii="宋体" w:hAnsi="宋体" w:eastAsia="宋体" w:cs="@仿宋_GB2312"/>
          <w:bCs/>
          <w:color w:val="auto"/>
          <w:sz w:val="21"/>
          <w:szCs w:val="15"/>
          <w:highlight w:val="none"/>
        </w:rPr>
      </w:pPr>
      <w:bookmarkStart w:id="11" w:name="_Toc7851"/>
      <w:bookmarkStart w:id="12" w:name="_Toc455587093"/>
      <w:bookmarkStart w:id="13" w:name="_Toc445554752"/>
      <w:bookmarkStart w:id="14" w:name="_Toc455587277"/>
      <w:r>
        <w:rPr>
          <w:rFonts w:ascii="宋体" w:hAnsi="宋体" w:eastAsia="宋体" w:cs="@仿宋_GB2312"/>
          <w:bCs/>
          <w:color w:val="auto"/>
          <w:sz w:val="21"/>
          <w:szCs w:val="15"/>
          <w:highlight w:val="none"/>
        </w:rPr>
        <w:t>1</w:t>
      </w:r>
      <w:r>
        <w:rPr>
          <w:rFonts w:hint="eastAsia" w:ascii="宋体" w:hAnsi="宋体" w:eastAsia="宋体" w:cs="@仿宋_GB2312"/>
          <w:bCs/>
          <w:color w:val="auto"/>
          <w:sz w:val="21"/>
          <w:szCs w:val="15"/>
          <w:highlight w:val="none"/>
          <w:lang w:eastAsia="zh-CN"/>
        </w:rPr>
        <w:t>.</w:t>
      </w:r>
      <w:r>
        <w:rPr>
          <w:rFonts w:ascii="宋体" w:hAnsi="宋体" w:eastAsia="宋体" w:cs="@仿宋_GB2312"/>
          <w:bCs/>
          <w:color w:val="auto"/>
          <w:sz w:val="21"/>
          <w:szCs w:val="15"/>
          <w:highlight w:val="none"/>
        </w:rPr>
        <w:t>备品备件：中标人提供能够满足质量保证期内的设备维修要求的备品备件，备品备件应是新品。</w:t>
      </w:r>
      <w:bookmarkEnd w:id="11"/>
    </w:p>
    <w:p w14:paraId="1EFA2252">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ascii="宋体" w:hAnsi="宋体" w:eastAsia="宋体" w:cs="@仿宋_GB2312"/>
          <w:bCs/>
          <w:color w:val="auto"/>
          <w:sz w:val="21"/>
          <w:szCs w:val="15"/>
          <w:highlight w:val="none"/>
        </w:rPr>
      </w:pPr>
      <w:bookmarkStart w:id="15" w:name="_Toc15530"/>
      <w:r>
        <w:rPr>
          <w:rFonts w:ascii="宋体" w:hAnsi="宋体" w:eastAsia="宋体" w:cs="@仿宋_GB2312"/>
          <w:bCs/>
          <w:color w:val="auto"/>
          <w:sz w:val="21"/>
          <w:szCs w:val="15"/>
          <w:highlight w:val="none"/>
        </w:rPr>
        <w:t>2</w:t>
      </w:r>
      <w:r>
        <w:rPr>
          <w:rFonts w:hint="eastAsia" w:ascii="宋体" w:hAnsi="宋体" w:eastAsia="宋体" w:cs="@仿宋_GB2312"/>
          <w:bCs/>
          <w:color w:val="auto"/>
          <w:sz w:val="21"/>
          <w:szCs w:val="15"/>
          <w:highlight w:val="none"/>
          <w:lang w:eastAsia="zh-CN"/>
        </w:rPr>
        <w:t>.</w:t>
      </w:r>
      <w:r>
        <w:rPr>
          <w:rFonts w:ascii="宋体" w:hAnsi="宋体" w:eastAsia="宋体" w:cs="@仿宋_GB2312"/>
          <w:bCs/>
          <w:color w:val="auto"/>
          <w:sz w:val="21"/>
          <w:szCs w:val="15"/>
          <w:highlight w:val="none"/>
        </w:rPr>
        <w:t>专用工具：中标人提供设备安装、调试、验收、维修、保养所必要的专用工具、仪器、仪表等工具。</w:t>
      </w:r>
      <w:bookmarkEnd w:id="15"/>
    </w:p>
    <w:bookmarkEnd w:id="12"/>
    <w:bookmarkEnd w:id="13"/>
    <w:bookmarkEnd w:id="14"/>
    <w:p w14:paraId="414C6D46">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hint="eastAsia" w:ascii="宋体" w:hAnsi="宋体" w:eastAsia="宋体" w:cs="@仿宋_GB2312"/>
          <w:b/>
          <w:bCs/>
          <w:color w:val="auto"/>
          <w:sz w:val="21"/>
          <w:szCs w:val="15"/>
          <w:highlight w:val="none"/>
        </w:rPr>
      </w:pPr>
      <w:bookmarkStart w:id="16" w:name="_Toc532199625"/>
      <w:bookmarkStart w:id="17" w:name="_Toc11418"/>
      <w:bookmarkStart w:id="18" w:name="_Toc445554753"/>
      <w:bookmarkStart w:id="19" w:name="_Toc455587278"/>
      <w:bookmarkStart w:id="20" w:name="_Toc455587094"/>
      <w:r>
        <w:rPr>
          <w:rFonts w:hint="eastAsia" w:ascii="宋体" w:hAnsi="宋体" w:eastAsia="宋体" w:cs="@仿宋_GB2312"/>
          <w:b/>
          <w:bCs/>
          <w:color w:val="auto"/>
          <w:sz w:val="21"/>
          <w:szCs w:val="15"/>
          <w:highlight w:val="none"/>
          <w:lang w:val="en-US" w:eastAsia="zh-CN"/>
        </w:rPr>
        <w:t>六</w:t>
      </w:r>
      <w:r>
        <w:rPr>
          <w:rFonts w:hint="eastAsia" w:ascii="宋体" w:hAnsi="宋体" w:eastAsia="宋体" w:cs="@仿宋_GB2312"/>
          <w:b/>
          <w:bCs/>
          <w:color w:val="auto"/>
          <w:sz w:val="21"/>
          <w:szCs w:val="15"/>
          <w:highlight w:val="none"/>
        </w:rPr>
        <w:t>、安装调试、验收试验及质量保证</w:t>
      </w:r>
      <w:bookmarkEnd w:id="16"/>
      <w:bookmarkEnd w:id="17"/>
    </w:p>
    <w:p w14:paraId="40532935">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ascii="宋体" w:hAnsi="宋体" w:eastAsia="宋体" w:cs="@仿宋_GB2312"/>
          <w:bCs/>
          <w:color w:val="auto"/>
          <w:sz w:val="21"/>
          <w:szCs w:val="15"/>
          <w:highlight w:val="none"/>
        </w:rPr>
      </w:pPr>
      <w:bookmarkStart w:id="21" w:name="_Toc29429"/>
      <w:r>
        <w:rPr>
          <w:rFonts w:ascii="宋体" w:hAnsi="宋体" w:eastAsia="宋体" w:cs="@仿宋_GB2312"/>
          <w:bCs/>
          <w:color w:val="auto"/>
          <w:sz w:val="21"/>
          <w:szCs w:val="15"/>
          <w:highlight w:val="none"/>
        </w:rPr>
        <w:t>1</w:t>
      </w:r>
      <w:r>
        <w:rPr>
          <w:rFonts w:hint="eastAsia" w:ascii="宋体" w:hAnsi="宋体" w:eastAsia="宋体" w:cs="@仿宋_GB2312"/>
          <w:bCs/>
          <w:color w:val="auto"/>
          <w:sz w:val="21"/>
          <w:szCs w:val="15"/>
          <w:highlight w:val="none"/>
          <w:lang w:eastAsia="zh-CN"/>
        </w:rPr>
        <w:t>.</w:t>
      </w:r>
      <w:r>
        <w:rPr>
          <w:rFonts w:ascii="宋体" w:hAnsi="宋体" w:eastAsia="宋体" w:cs="@仿宋_GB2312"/>
          <w:bCs/>
          <w:color w:val="auto"/>
          <w:sz w:val="21"/>
          <w:szCs w:val="15"/>
          <w:highlight w:val="none"/>
        </w:rPr>
        <w:t>中标人在设备安装地点负责安装、调试。</w:t>
      </w:r>
      <w:bookmarkEnd w:id="21"/>
    </w:p>
    <w:p w14:paraId="25DD5F33">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ascii="宋体" w:hAnsi="宋体" w:eastAsia="宋体" w:cs="@仿宋_GB2312"/>
          <w:bCs/>
          <w:color w:val="auto"/>
          <w:sz w:val="21"/>
          <w:szCs w:val="15"/>
          <w:highlight w:val="none"/>
        </w:rPr>
      </w:pPr>
      <w:bookmarkStart w:id="22" w:name="_Toc16786"/>
      <w:r>
        <w:rPr>
          <w:rFonts w:ascii="宋体" w:hAnsi="宋体" w:eastAsia="宋体" w:cs="@仿宋_GB2312"/>
          <w:bCs/>
          <w:color w:val="auto"/>
          <w:sz w:val="21"/>
          <w:szCs w:val="15"/>
          <w:highlight w:val="none"/>
        </w:rPr>
        <w:t>2</w:t>
      </w:r>
      <w:r>
        <w:rPr>
          <w:rFonts w:hint="eastAsia" w:ascii="宋体" w:hAnsi="宋体" w:eastAsia="宋体" w:cs="@仿宋_GB2312"/>
          <w:bCs/>
          <w:color w:val="auto"/>
          <w:sz w:val="21"/>
          <w:szCs w:val="15"/>
          <w:highlight w:val="none"/>
          <w:lang w:eastAsia="zh-CN"/>
        </w:rPr>
        <w:t>.</w:t>
      </w:r>
      <w:r>
        <w:rPr>
          <w:rFonts w:ascii="宋体" w:hAnsi="宋体" w:eastAsia="宋体" w:cs="@仿宋_GB2312"/>
          <w:bCs/>
          <w:color w:val="auto"/>
          <w:sz w:val="21"/>
          <w:szCs w:val="15"/>
          <w:highlight w:val="none"/>
        </w:rPr>
        <w:t>具体设备验收标准和程序按采购人要求执行，下列验收程序可参照执行：</w:t>
      </w:r>
      <w:bookmarkEnd w:id="22"/>
    </w:p>
    <w:p w14:paraId="3015719C">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ascii="宋体" w:hAnsi="宋体" w:eastAsia="宋体" w:cs="@仿宋_GB2312"/>
          <w:bCs/>
          <w:color w:val="auto"/>
          <w:sz w:val="21"/>
          <w:szCs w:val="15"/>
          <w:highlight w:val="none"/>
        </w:rPr>
      </w:pPr>
      <w:bookmarkStart w:id="23" w:name="_Toc1056"/>
      <w:r>
        <w:rPr>
          <w:rFonts w:ascii="宋体" w:hAnsi="宋体" w:eastAsia="宋体" w:cs="@仿宋_GB2312"/>
          <w:bCs/>
          <w:color w:val="auto"/>
          <w:sz w:val="21"/>
          <w:szCs w:val="15"/>
          <w:highlight w:val="none"/>
        </w:rPr>
        <w:t>2.1 采购人和相关部门按照招标文件和投标文件承诺进行验收。招标文件没有规定和投标文件没有相应承诺的，按照下列原则进行验收：有国家标准的按照国家标准验收，没有国家标准的按行业标准验收，无行业标准的按地方或企业标准验收，中标人予以配合。涉及需要由质检或行业主管部门验收的项目，采购人须约请相关部门和专家参加项目验收。所有需要质检部门进行检测才能使用的设备，投标报价中必须包含首次检测费用。</w:t>
      </w:r>
      <w:bookmarkEnd w:id="23"/>
    </w:p>
    <w:p w14:paraId="19CA1255">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ascii="宋体" w:hAnsi="宋体" w:eastAsia="宋体" w:cs="@仿宋_GB2312"/>
          <w:bCs/>
          <w:color w:val="auto"/>
          <w:sz w:val="21"/>
          <w:szCs w:val="15"/>
          <w:highlight w:val="none"/>
        </w:rPr>
      </w:pPr>
      <w:bookmarkStart w:id="24" w:name="_Toc14068"/>
      <w:r>
        <w:rPr>
          <w:rFonts w:ascii="宋体" w:hAnsi="宋体" w:eastAsia="宋体" w:cs="@仿宋_GB2312"/>
          <w:bCs/>
          <w:color w:val="auto"/>
          <w:sz w:val="21"/>
          <w:szCs w:val="15"/>
          <w:highlight w:val="none"/>
        </w:rPr>
        <w:t>2.2货物在验收时，中标人应提供发票、制造厂家出具的产品合格证书、装箱清单等,涉及进口的部件须提供中国海关进口货物报关单、完税证明及商检证明等材料；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 (如产品质量检验报告、国家相关检测机构出具的检验报告等）等文件汇集成册交付采购人和应由中标人提供的必要文件。</w:t>
      </w:r>
      <w:bookmarkEnd w:id="24"/>
    </w:p>
    <w:p w14:paraId="37C78A70">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ascii="宋体" w:hAnsi="宋体" w:eastAsia="宋体" w:cs="@仿宋_GB2312"/>
          <w:bCs/>
          <w:color w:val="auto"/>
          <w:sz w:val="21"/>
          <w:szCs w:val="15"/>
          <w:highlight w:val="none"/>
        </w:rPr>
      </w:pPr>
      <w:bookmarkStart w:id="25" w:name="_Toc24043"/>
      <w:r>
        <w:rPr>
          <w:rFonts w:ascii="宋体" w:hAnsi="宋体" w:eastAsia="宋体" w:cs="@仿宋_GB2312"/>
          <w:bCs/>
          <w:color w:val="auto"/>
          <w:sz w:val="21"/>
          <w:szCs w:val="15"/>
          <w:highlight w:val="none"/>
        </w:rPr>
        <w:t>2.3 中标人应根据采购人使用单位的技术要求提供相应的产品。由中标人所提供的设备部件间的连线和插接件均应视为设备内部器件，包含在相应的设备之中。</w:t>
      </w:r>
      <w:bookmarkEnd w:id="25"/>
    </w:p>
    <w:p w14:paraId="713DD100">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ascii="宋体" w:hAnsi="宋体" w:eastAsia="宋体" w:cs="@仿宋_GB2312"/>
          <w:bCs/>
          <w:color w:val="auto"/>
          <w:sz w:val="21"/>
          <w:szCs w:val="15"/>
          <w:highlight w:val="none"/>
        </w:rPr>
      </w:pPr>
      <w:bookmarkStart w:id="26" w:name="_Toc24031"/>
      <w:r>
        <w:rPr>
          <w:rFonts w:ascii="宋体" w:hAnsi="宋体" w:eastAsia="宋体" w:cs="@仿宋_GB2312"/>
          <w:bCs/>
          <w:color w:val="auto"/>
          <w:sz w:val="21"/>
          <w:szCs w:val="15"/>
          <w:highlight w:val="none"/>
        </w:rPr>
        <w:t>2.4 运行测试及最终验收。在系统安装、调试结束后，采购人对其进行全面的测试，对测试中暴露出来的问题，中标人应及时进行整改，系统最终测试完毕经验收合格后，采购人应向中标人签发最终验收证明。</w:t>
      </w:r>
      <w:bookmarkEnd w:id="26"/>
    </w:p>
    <w:p w14:paraId="6243187D">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ascii="宋体" w:hAnsi="宋体" w:eastAsia="宋体" w:cs="@仿宋_GB2312"/>
          <w:bCs/>
          <w:color w:val="auto"/>
          <w:sz w:val="21"/>
          <w:szCs w:val="15"/>
          <w:highlight w:val="none"/>
        </w:rPr>
      </w:pPr>
      <w:bookmarkStart w:id="27" w:name="_Toc9709"/>
      <w:r>
        <w:rPr>
          <w:rFonts w:ascii="宋体" w:hAnsi="宋体" w:eastAsia="宋体" w:cs="@仿宋_GB2312"/>
          <w:bCs/>
          <w:color w:val="auto"/>
          <w:sz w:val="21"/>
          <w:szCs w:val="15"/>
          <w:highlight w:val="none"/>
        </w:rPr>
        <w:t>2.5 中标人应向采购人提供安装调试过程中的各种文档资料,以便采购人今后能掌握操作和维护方法。依据合同与合同有关条件、本招标文件的技术规范、系统配置要求、设备技术文件和系统说明书，以及国家和省部级等要求进行验收，验收分为预验收和竣工验收。</w:t>
      </w:r>
      <w:bookmarkEnd w:id="27"/>
    </w:p>
    <w:p w14:paraId="0601BE33">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ascii="宋体" w:hAnsi="宋体" w:eastAsia="宋体" w:cs="@仿宋_GB2312"/>
          <w:bCs/>
          <w:color w:val="auto"/>
          <w:sz w:val="21"/>
          <w:szCs w:val="15"/>
          <w:highlight w:val="none"/>
        </w:rPr>
      </w:pPr>
      <w:bookmarkStart w:id="28" w:name="_Toc17072"/>
      <w:r>
        <w:rPr>
          <w:rFonts w:ascii="宋体" w:hAnsi="宋体" w:eastAsia="宋体" w:cs="@仿宋_GB2312"/>
          <w:bCs/>
          <w:color w:val="auto"/>
          <w:sz w:val="21"/>
          <w:szCs w:val="15"/>
          <w:highlight w:val="none"/>
        </w:rPr>
        <w:t>3</w:t>
      </w:r>
      <w:r>
        <w:rPr>
          <w:rFonts w:hint="eastAsia" w:ascii="宋体" w:hAnsi="宋体" w:eastAsia="宋体" w:cs="@仿宋_GB2312"/>
          <w:bCs/>
          <w:color w:val="auto"/>
          <w:sz w:val="21"/>
          <w:szCs w:val="15"/>
          <w:highlight w:val="none"/>
          <w:lang w:eastAsia="zh-CN"/>
        </w:rPr>
        <w:t>.</w:t>
      </w:r>
      <w:r>
        <w:rPr>
          <w:rFonts w:ascii="宋体" w:hAnsi="宋体" w:eastAsia="宋体" w:cs="@仿宋_GB2312"/>
          <w:bCs/>
          <w:color w:val="auto"/>
          <w:sz w:val="21"/>
          <w:szCs w:val="15"/>
          <w:highlight w:val="none"/>
        </w:rPr>
        <w:t>如设备在验收时有一个或多个指标未能达到要求而属于中标人责任时，则中标人自费采取有效措施，在规定时间内使之达到保证指标。如在规定的时间内仍达不到合格标准时，则中标人应向采购人赔偿。</w:t>
      </w:r>
      <w:bookmarkEnd w:id="28"/>
    </w:p>
    <w:p w14:paraId="2BEA25AA">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hint="eastAsia" w:ascii="宋体" w:hAnsi="宋体" w:eastAsia="宋体" w:cs="@仿宋_GB2312"/>
          <w:b/>
          <w:bCs/>
          <w:color w:val="auto"/>
          <w:sz w:val="21"/>
          <w:szCs w:val="15"/>
          <w:highlight w:val="none"/>
        </w:rPr>
      </w:pPr>
      <w:bookmarkStart w:id="29" w:name="_Toc26512"/>
      <w:bookmarkStart w:id="30" w:name="_Toc532199626"/>
      <w:r>
        <w:rPr>
          <w:rFonts w:hint="eastAsia" w:ascii="宋体" w:hAnsi="宋体" w:eastAsia="宋体" w:cs="@仿宋_GB2312"/>
          <w:b/>
          <w:bCs/>
          <w:color w:val="auto"/>
          <w:sz w:val="21"/>
          <w:szCs w:val="15"/>
          <w:highlight w:val="none"/>
          <w:lang w:val="en-US" w:eastAsia="zh-CN"/>
        </w:rPr>
        <w:t>七</w:t>
      </w:r>
      <w:r>
        <w:rPr>
          <w:rFonts w:hint="eastAsia" w:ascii="宋体" w:hAnsi="宋体" w:eastAsia="宋体" w:cs="@仿宋_GB2312"/>
          <w:b/>
          <w:bCs/>
          <w:color w:val="auto"/>
          <w:sz w:val="21"/>
          <w:szCs w:val="15"/>
          <w:highlight w:val="none"/>
        </w:rPr>
        <w:t>、包装运输</w:t>
      </w:r>
      <w:bookmarkEnd w:id="18"/>
      <w:bookmarkEnd w:id="19"/>
      <w:bookmarkEnd w:id="20"/>
      <w:bookmarkEnd w:id="29"/>
      <w:bookmarkEnd w:id="30"/>
    </w:p>
    <w:p w14:paraId="757E0B8C">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ascii="宋体" w:hAnsi="宋体" w:eastAsia="宋体" w:cs="@仿宋_GB2312"/>
          <w:bCs/>
          <w:color w:val="auto"/>
          <w:sz w:val="21"/>
          <w:szCs w:val="15"/>
          <w:highlight w:val="none"/>
        </w:rPr>
      </w:pPr>
      <w:bookmarkStart w:id="31" w:name="_Toc14762"/>
      <w:bookmarkStart w:id="32" w:name="_Toc455587279"/>
      <w:bookmarkStart w:id="33" w:name="_Toc455587095"/>
      <w:bookmarkStart w:id="34" w:name="_Toc445554754"/>
      <w:r>
        <w:rPr>
          <w:rFonts w:ascii="宋体" w:hAnsi="宋体" w:eastAsia="宋体" w:cs="@仿宋_GB2312"/>
          <w:bCs/>
          <w:color w:val="auto"/>
          <w:sz w:val="21"/>
          <w:szCs w:val="15"/>
          <w:highlight w:val="none"/>
        </w:rPr>
        <w:t>1</w:t>
      </w:r>
      <w:r>
        <w:rPr>
          <w:rFonts w:hint="eastAsia" w:ascii="宋体" w:hAnsi="宋体" w:eastAsia="宋体" w:cs="@仿宋_GB2312"/>
          <w:bCs/>
          <w:color w:val="auto"/>
          <w:sz w:val="21"/>
          <w:szCs w:val="15"/>
          <w:highlight w:val="none"/>
          <w:lang w:eastAsia="zh-CN"/>
        </w:rPr>
        <w:t>.</w:t>
      </w:r>
      <w:r>
        <w:rPr>
          <w:rFonts w:ascii="宋体" w:hAnsi="宋体" w:eastAsia="宋体" w:cs="@仿宋_GB2312"/>
          <w:bCs/>
          <w:color w:val="auto"/>
          <w:sz w:val="21"/>
          <w:szCs w:val="15"/>
          <w:highlight w:val="none"/>
        </w:rPr>
        <w:t>中标人负责设备包装、办理运输和保险，将设备安全运抵交货地点。</w:t>
      </w:r>
      <w:bookmarkEnd w:id="31"/>
    </w:p>
    <w:p w14:paraId="5CA1FDCD">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ascii="宋体" w:hAnsi="宋体" w:eastAsia="宋体" w:cs="@仿宋_GB2312"/>
          <w:bCs/>
          <w:color w:val="auto"/>
          <w:sz w:val="21"/>
          <w:szCs w:val="15"/>
          <w:highlight w:val="none"/>
        </w:rPr>
      </w:pPr>
      <w:bookmarkStart w:id="35" w:name="_Toc10904"/>
      <w:r>
        <w:rPr>
          <w:rFonts w:ascii="宋体" w:hAnsi="宋体" w:eastAsia="宋体" w:cs="@仿宋_GB2312"/>
          <w:bCs/>
          <w:color w:val="auto"/>
          <w:sz w:val="21"/>
          <w:szCs w:val="15"/>
          <w:highlight w:val="none"/>
        </w:rPr>
        <w:t>2</w:t>
      </w:r>
      <w:r>
        <w:rPr>
          <w:rFonts w:hint="eastAsia" w:ascii="宋体" w:hAnsi="宋体" w:eastAsia="宋体" w:cs="@仿宋_GB2312"/>
          <w:bCs/>
          <w:color w:val="auto"/>
          <w:sz w:val="21"/>
          <w:szCs w:val="15"/>
          <w:highlight w:val="none"/>
          <w:lang w:eastAsia="zh-CN"/>
        </w:rPr>
        <w:t>.</w:t>
      </w:r>
      <w:r>
        <w:rPr>
          <w:rFonts w:ascii="宋体" w:hAnsi="宋体" w:eastAsia="宋体" w:cs="@仿宋_GB2312"/>
          <w:bCs/>
          <w:color w:val="auto"/>
          <w:sz w:val="21"/>
          <w:szCs w:val="15"/>
          <w:highlight w:val="none"/>
        </w:rPr>
        <w:t>设备制造完成并通过试验后应及时包装，否则应得到切实的保护，确保其不受污损。</w:t>
      </w:r>
      <w:bookmarkEnd w:id="35"/>
    </w:p>
    <w:p w14:paraId="22B1E1D4">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ascii="宋体" w:hAnsi="宋体" w:eastAsia="宋体" w:cs="@仿宋_GB2312"/>
          <w:bCs/>
          <w:color w:val="auto"/>
          <w:sz w:val="21"/>
          <w:szCs w:val="15"/>
          <w:highlight w:val="none"/>
        </w:rPr>
      </w:pPr>
      <w:bookmarkStart w:id="36" w:name="_Toc26055"/>
      <w:r>
        <w:rPr>
          <w:rFonts w:ascii="宋体" w:hAnsi="宋体" w:eastAsia="宋体" w:cs="@仿宋_GB2312"/>
          <w:bCs/>
          <w:color w:val="auto"/>
          <w:sz w:val="21"/>
          <w:szCs w:val="15"/>
          <w:highlight w:val="none"/>
        </w:rPr>
        <w:t>3</w:t>
      </w:r>
      <w:r>
        <w:rPr>
          <w:rFonts w:hint="eastAsia" w:ascii="宋体" w:hAnsi="宋体" w:eastAsia="宋体" w:cs="@仿宋_GB2312"/>
          <w:bCs/>
          <w:color w:val="auto"/>
          <w:sz w:val="21"/>
          <w:szCs w:val="15"/>
          <w:highlight w:val="none"/>
          <w:lang w:eastAsia="zh-CN"/>
        </w:rPr>
        <w:t>.</w:t>
      </w:r>
      <w:r>
        <w:rPr>
          <w:rFonts w:ascii="宋体" w:hAnsi="宋体" w:eastAsia="宋体" w:cs="@仿宋_GB2312"/>
          <w:bCs/>
          <w:color w:val="auto"/>
          <w:sz w:val="21"/>
          <w:szCs w:val="15"/>
          <w:highlight w:val="none"/>
        </w:rPr>
        <w:t>在包装箱外应标明采购人的订货号、发货号。</w:t>
      </w:r>
      <w:bookmarkEnd w:id="36"/>
    </w:p>
    <w:p w14:paraId="408E445C">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ascii="宋体" w:hAnsi="宋体" w:eastAsia="宋体" w:cs="@仿宋_GB2312"/>
          <w:bCs/>
          <w:color w:val="auto"/>
          <w:sz w:val="21"/>
          <w:szCs w:val="15"/>
          <w:highlight w:val="none"/>
        </w:rPr>
      </w:pPr>
      <w:bookmarkStart w:id="37" w:name="_Toc32577"/>
      <w:r>
        <w:rPr>
          <w:rFonts w:ascii="宋体" w:hAnsi="宋体" w:eastAsia="宋体" w:cs="@仿宋_GB2312"/>
          <w:bCs/>
          <w:color w:val="auto"/>
          <w:sz w:val="21"/>
          <w:szCs w:val="15"/>
          <w:highlight w:val="none"/>
        </w:rPr>
        <w:t>4</w:t>
      </w:r>
      <w:r>
        <w:rPr>
          <w:rFonts w:hint="eastAsia" w:ascii="宋体" w:hAnsi="宋体" w:eastAsia="宋体" w:cs="@仿宋_GB2312"/>
          <w:bCs/>
          <w:color w:val="auto"/>
          <w:sz w:val="21"/>
          <w:szCs w:val="15"/>
          <w:highlight w:val="none"/>
          <w:lang w:eastAsia="zh-CN"/>
        </w:rPr>
        <w:t>.</w:t>
      </w:r>
      <w:r>
        <w:rPr>
          <w:rFonts w:ascii="宋体" w:hAnsi="宋体" w:eastAsia="宋体" w:cs="@仿宋_GB2312"/>
          <w:bCs/>
          <w:color w:val="auto"/>
          <w:sz w:val="21"/>
          <w:szCs w:val="15"/>
          <w:highlight w:val="none"/>
        </w:rPr>
        <w:t>各种包装应能确保各零部件在运输过程中不致遭到损坏、丢失、变形、受潮和腐蚀。</w:t>
      </w:r>
      <w:bookmarkEnd w:id="37"/>
    </w:p>
    <w:p w14:paraId="2152117F">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ascii="宋体" w:hAnsi="宋体" w:eastAsia="宋体" w:cs="@仿宋_GB2312"/>
          <w:bCs/>
          <w:color w:val="auto"/>
          <w:sz w:val="21"/>
          <w:szCs w:val="15"/>
          <w:highlight w:val="none"/>
        </w:rPr>
      </w:pPr>
      <w:bookmarkStart w:id="38" w:name="_Toc13041"/>
      <w:r>
        <w:rPr>
          <w:rFonts w:ascii="宋体" w:hAnsi="宋体" w:eastAsia="宋体" w:cs="@仿宋_GB2312"/>
          <w:bCs/>
          <w:color w:val="auto"/>
          <w:sz w:val="21"/>
          <w:szCs w:val="15"/>
          <w:highlight w:val="none"/>
        </w:rPr>
        <w:t>5</w:t>
      </w:r>
      <w:r>
        <w:rPr>
          <w:rFonts w:hint="eastAsia" w:ascii="宋体" w:hAnsi="宋体" w:eastAsia="宋体" w:cs="@仿宋_GB2312"/>
          <w:bCs/>
          <w:color w:val="auto"/>
          <w:sz w:val="21"/>
          <w:szCs w:val="15"/>
          <w:highlight w:val="none"/>
          <w:lang w:eastAsia="zh-CN"/>
        </w:rPr>
        <w:t>.</w:t>
      </w:r>
      <w:r>
        <w:rPr>
          <w:rFonts w:ascii="宋体" w:hAnsi="宋体" w:eastAsia="宋体" w:cs="@仿宋_GB2312"/>
          <w:bCs/>
          <w:color w:val="auto"/>
          <w:sz w:val="21"/>
          <w:szCs w:val="15"/>
          <w:highlight w:val="none"/>
        </w:rPr>
        <w:t>包装箱上应有明显的包装储运图示标志。</w:t>
      </w:r>
      <w:bookmarkEnd w:id="38"/>
    </w:p>
    <w:p w14:paraId="2F2B420E">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ascii="宋体" w:hAnsi="宋体" w:eastAsia="宋体" w:cs="@仿宋_GB2312"/>
          <w:bCs/>
          <w:color w:val="auto"/>
          <w:sz w:val="21"/>
          <w:szCs w:val="15"/>
          <w:highlight w:val="none"/>
        </w:rPr>
      </w:pPr>
      <w:bookmarkStart w:id="39" w:name="_Toc13306"/>
      <w:r>
        <w:rPr>
          <w:rFonts w:ascii="宋体" w:hAnsi="宋体" w:eastAsia="宋体" w:cs="@仿宋_GB2312"/>
          <w:bCs/>
          <w:color w:val="auto"/>
          <w:sz w:val="21"/>
          <w:szCs w:val="15"/>
          <w:highlight w:val="none"/>
        </w:rPr>
        <w:t>6</w:t>
      </w:r>
      <w:r>
        <w:rPr>
          <w:rFonts w:hint="eastAsia" w:ascii="宋体" w:hAnsi="宋体" w:eastAsia="宋体" w:cs="@仿宋_GB2312"/>
          <w:bCs/>
          <w:color w:val="auto"/>
          <w:sz w:val="21"/>
          <w:szCs w:val="15"/>
          <w:highlight w:val="none"/>
          <w:lang w:eastAsia="zh-CN"/>
        </w:rPr>
        <w:t>.</w:t>
      </w:r>
      <w:r>
        <w:rPr>
          <w:rFonts w:ascii="宋体" w:hAnsi="宋体" w:eastAsia="宋体" w:cs="@仿宋_GB2312"/>
          <w:bCs/>
          <w:color w:val="auto"/>
          <w:sz w:val="21"/>
          <w:szCs w:val="15"/>
          <w:highlight w:val="none"/>
        </w:rPr>
        <w:t>整体产品或分别运输的部件都要适应运输和装载的要求。</w:t>
      </w:r>
      <w:bookmarkEnd w:id="39"/>
    </w:p>
    <w:p w14:paraId="3A8B2377">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ascii="宋体" w:hAnsi="宋体" w:eastAsia="宋体" w:cs="@仿宋_GB2312"/>
          <w:bCs/>
          <w:color w:val="auto"/>
          <w:sz w:val="21"/>
          <w:szCs w:val="15"/>
          <w:highlight w:val="none"/>
        </w:rPr>
      </w:pPr>
      <w:bookmarkStart w:id="40" w:name="_Toc18238"/>
      <w:r>
        <w:rPr>
          <w:rFonts w:ascii="宋体" w:hAnsi="宋体" w:eastAsia="宋体" w:cs="@仿宋_GB2312"/>
          <w:bCs/>
          <w:color w:val="auto"/>
          <w:sz w:val="21"/>
          <w:szCs w:val="15"/>
          <w:highlight w:val="none"/>
        </w:rPr>
        <w:t>7</w:t>
      </w:r>
      <w:r>
        <w:rPr>
          <w:rFonts w:hint="eastAsia" w:ascii="宋体" w:hAnsi="宋体" w:eastAsia="宋体" w:cs="@仿宋_GB2312"/>
          <w:bCs/>
          <w:color w:val="auto"/>
          <w:sz w:val="21"/>
          <w:szCs w:val="15"/>
          <w:highlight w:val="none"/>
          <w:lang w:eastAsia="zh-CN"/>
        </w:rPr>
        <w:t>.</w:t>
      </w:r>
      <w:r>
        <w:rPr>
          <w:rFonts w:ascii="宋体" w:hAnsi="宋体" w:eastAsia="宋体" w:cs="@仿宋_GB2312"/>
          <w:bCs/>
          <w:color w:val="auto"/>
          <w:sz w:val="21"/>
          <w:szCs w:val="15"/>
          <w:highlight w:val="none"/>
        </w:rPr>
        <w:t>随产品提供的技术资料应完整无缺。</w:t>
      </w:r>
      <w:bookmarkEnd w:id="40"/>
    </w:p>
    <w:p w14:paraId="55AE11B2">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hint="eastAsia" w:ascii="宋体" w:hAnsi="宋体" w:eastAsia="宋体" w:cs="@仿宋_GB2312"/>
          <w:b/>
          <w:bCs/>
          <w:color w:val="auto"/>
          <w:sz w:val="21"/>
          <w:szCs w:val="15"/>
          <w:highlight w:val="none"/>
        </w:rPr>
      </w:pPr>
      <w:bookmarkStart w:id="41" w:name="_Toc19176"/>
      <w:bookmarkStart w:id="42" w:name="_Toc532199627"/>
      <w:r>
        <w:rPr>
          <w:rFonts w:hint="eastAsia" w:ascii="宋体" w:hAnsi="宋体" w:eastAsia="宋体" w:cs="@仿宋_GB2312"/>
          <w:b/>
          <w:bCs/>
          <w:color w:val="auto"/>
          <w:sz w:val="21"/>
          <w:szCs w:val="15"/>
          <w:highlight w:val="none"/>
          <w:lang w:val="en-US" w:eastAsia="zh-CN"/>
        </w:rPr>
        <w:t>八</w:t>
      </w:r>
      <w:r>
        <w:rPr>
          <w:rFonts w:hint="eastAsia" w:ascii="宋体" w:hAnsi="宋体" w:eastAsia="宋体" w:cs="@仿宋_GB2312"/>
          <w:b/>
          <w:bCs/>
          <w:color w:val="auto"/>
          <w:sz w:val="21"/>
          <w:szCs w:val="15"/>
          <w:highlight w:val="none"/>
        </w:rPr>
        <w:t>、技术培训</w:t>
      </w:r>
      <w:bookmarkEnd w:id="32"/>
      <w:bookmarkEnd w:id="33"/>
      <w:bookmarkEnd w:id="34"/>
      <w:bookmarkEnd w:id="41"/>
      <w:bookmarkEnd w:id="42"/>
    </w:p>
    <w:p w14:paraId="56A5A742">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ascii="宋体" w:hAnsi="宋体" w:eastAsia="宋体" w:cs="@仿宋_GB2312"/>
          <w:bCs/>
          <w:color w:val="auto"/>
          <w:sz w:val="21"/>
          <w:szCs w:val="15"/>
          <w:highlight w:val="none"/>
        </w:rPr>
      </w:pPr>
      <w:bookmarkStart w:id="43" w:name="_Toc11077"/>
      <w:r>
        <w:rPr>
          <w:rFonts w:ascii="宋体" w:hAnsi="宋体" w:eastAsia="宋体" w:cs="@仿宋_GB2312"/>
          <w:bCs/>
          <w:color w:val="auto"/>
          <w:sz w:val="21"/>
          <w:szCs w:val="15"/>
          <w:highlight w:val="none"/>
        </w:rPr>
        <w:t>1</w:t>
      </w:r>
      <w:r>
        <w:rPr>
          <w:rFonts w:hint="eastAsia" w:ascii="宋体" w:hAnsi="宋体" w:eastAsia="宋体" w:cs="@仿宋_GB2312"/>
          <w:bCs/>
          <w:color w:val="auto"/>
          <w:sz w:val="21"/>
          <w:szCs w:val="15"/>
          <w:highlight w:val="none"/>
          <w:lang w:eastAsia="zh-CN"/>
        </w:rPr>
        <w:t>.</w:t>
      </w:r>
      <w:r>
        <w:rPr>
          <w:rFonts w:ascii="宋体" w:hAnsi="宋体" w:eastAsia="宋体" w:cs="@仿宋_GB2312"/>
          <w:bCs/>
          <w:color w:val="auto"/>
          <w:sz w:val="21"/>
          <w:szCs w:val="15"/>
          <w:highlight w:val="none"/>
        </w:rPr>
        <w:t>为使合同设备能正常安装和运行，由中标人提供相应的技术培训</w:t>
      </w:r>
      <w:bookmarkEnd w:id="43"/>
      <w:bookmarkStart w:id="44" w:name="_Toc9488"/>
      <w:r>
        <w:rPr>
          <w:rFonts w:hint="eastAsia" w:ascii="宋体" w:hAnsi="宋体" w:eastAsia="宋体" w:cs="@仿宋_GB2312"/>
          <w:bCs/>
          <w:color w:val="auto"/>
          <w:sz w:val="21"/>
          <w:szCs w:val="15"/>
          <w:highlight w:val="none"/>
          <w:lang w:eastAsia="zh-CN"/>
        </w:rPr>
        <w:t>，</w:t>
      </w:r>
      <w:r>
        <w:rPr>
          <w:rFonts w:hint="eastAsia" w:ascii="宋体" w:hAnsi="宋体" w:eastAsia="宋体" w:cs="@仿宋_GB2312"/>
          <w:bCs/>
          <w:color w:val="auto"/>
          <w:sz w:val="21"/>
          <w:szCs w:val="15"/>
          <w:highlight w:val="none"/>
          <w:lang w:val="en-US" w:eastAsia="zh-CN"/>
        </w:rPr>
        <w:t>相关费用包含在本项目投标报价中</w:t>
      </w:r>
      <w:r>
        <w:rPr>
          <w:rFonts w:ascii="宋体" w:hAnsi="宋体" w:eastAsia="宋体" w:cs="@仿宋_GB2312"/>
          <w:bCs/>
          <w:color w:val="auto"/>
          <w:sz w:val="21"/>
          <w:szCs w:val="15"/>
          <w:highlight w:val="none"/>
        </w:rPr>
        <w:t>。</w:t>
      </w:r>
    </w:p>
    <w:p w14:paraId="20D31280">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ascii="宋体" w:hAnsi="宋体" w:eastAsia="宋体" w:cs="@仿宋_GB2312"/>
          <w:bCs/>
          <w:color w:val="auto"/>
          <w:sz w:val="21"/>
          <w:szCs w:val="15"/>
          <w:highlight w:val="none"/>
        </w:rPr>
      </w:pPr>
      <w:r>
        <w:rPr>
          <w:rFonts w:ascii="宋体" w:hAnsi="宋体" w:eastAsia="宋体" w:cs="@仿宋_GB2312"/>
          <w:bCs/>
          <w:color w:val="auto"/>
          <w:sz w:val="21"/>
          <w:szCs w:val="15"/>
          <w:highlight w:val="none"/>
        </w:rPr>
        <w:t>2</w:t>
      </w:r>
      <w:r>
        <w:rPr>
          <w:rFonts w:hint="eastAsia" w:ascii="宋体" w:hAnsi="宋体" w:eastAsia="宋体" w:cs="@仿宋_GB2312"/>
          <w:bCs/>
          <w:color w:val="auto"/>
          <w:sz w:val="21"/>
          <w:szCs w:val="15"/>
          <w:highlight w:val="none"/>
          <w:lang w:eastAsia="zh-CN"/>
        </w:rPr>
        <w:t>.</w:t>
      </w:r>
      <w:r>
        <w:rPr>
          <w:rFonts w:ascii="宋体" w:hAnsi="宋体" w:eastAsia="宋体" w:cs="@仿宋_GB2312"/>
          <w:bCs/>
          <w:color w:val="auto"/>
          <w:sz w:val="21"/>
          <w:szCs w:val="15"/>
          <w:highlight w:val="none"/>
        </w:rPr>
        <w:t>培训的时间、人数、地点等具体内容由买卖双方商定，内容至少包括：设备原理、使用、维护、运行操作、常见故障处理等。</w:t>
      </w:r>
      <w:bookmarkEnd w:id="44"/>
    </w:p>
    <w:p w14:paraId="4F57FC6D">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hint="eastAsia" w:ascii="宋体" w:hAnsi="宋体" w:eastAsia="宋体" w:cs="@仿宋_GB2312"/>
          <w:b/>
          <w:bCs/>
          <w:color w:val="auto"/>
          <w:sz w:val="21"/>
          <w:szCs w:val="15"/>
          <w:highlight w:val="none"/>
        </w:rPr>
      </w:pPr>
      <w:bookmarkStart w:id="45" w:name="_Toc25081"/>
      <w:bookmarkStart w:id="46" w:name="_Toc532199628"/>
      <w:r>
        <w:rPr>
          <w:rFonts w:hint="eastAsia" w:ascii="宋体" w:hAnsi="宋体" w:eastAsia="宋体" w:cs="@仿宋_GB2312"/>
          <w:b/>
          <w:bCs/>
          <w:color w:val="auto"/>
          <w:sz w:val="21"/>
          <w:szCs w:val="15"/>
          <w:highlight w:val="none"/>
          <w:lang w:val="en-US" w:eastAsia="zh-CN"/>
        </w:rPr>
        <w:t>九</w:t>
      </w:r>
      <w:r>
        <w:rPr>
          <w:rFonts w:hint="eastAsia" w:ascii="宋体" w:hAnsi="宋体" w:eastAsia="宋体" w:cs="@仿宋_GB2312"/>
          <w:b/>
          <w:bCs/>
          <w:color w:val="auto"/>
          <w:sz w:val="21"/>
          <w:szCs w:val="15"/>
          <w:highlight w:val="none"/>
        </w:rPr>
        <w:t>、质保及售后服务</w:t>
      </w:r>
      <w:bookmarkEnd w:id="45"/>
    </w:p>
    <w:p w14:paraId="5332080E">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ascii="宋体" w:hAnsi="宋体" w:eastAsia="宋体" w:cs="@仿宋_GB2312"/>
          <w:bCs/>
          <w:color w:val="auto"/>
          <w:sz w:val="21"/>
          <w:szCs w:val="15"/>
          <w:highlight w:val="none"/>
        </w:rPr>
      </w:pPr>
      <w:bookmarkStart w:id="47" w:name="_Toc31632"/>
      <w:r>
        <w:rPr>
          <w:rFonts w:ascii="宋体" w:hAnsi="宋体" w:eastAsia="宋体" w:cs="@仿宋_GB2312"/>
          <w:bCs/>
          <w:color w:val="auto"/>
          <w:sz w:val="21"/>
          <w:szCs w:val="15"/>
          <w:highlight w:val="none"/>
        </w:rPr>
        <w:t>1</w:t>
      </w:r>
      <w:r>
        <w:rPr>
          <w:rFonts w:hint="eastAsia" w:ascii="宋体" w:hAnsi="宋体" w:eastAsia="宋体" w:cs="@仿宋_GB2312"/>
          <w:bCs/>
          <w:color w:val="auto"/>
          <w:sz w:val="21"/>
          <w:szCs w:val="15"/>
          <w:highlight w:val="none"/>
          <w:lang w:eastAsia="zh-CN"/>
        </w:rPr>
        <w:t>.</w:t>
      </w:r>
      <w:r>
        <w:rPr>
          <w:rFonts w:ascii="宋体" w:hAnsi="宋体" w:eastAsia="宋体" w:cs="@仿宋_GB2312"/>
          <w:bCs/>
          <w:color w:val="auto"/>
          <w:sz w:val="21"/>
          <w:szCs w:val="15"/>
          <w:highlight w:val="none"/>
        </w:rPr>
        <w:t>自双方签订《验收报告》起进入免费质保期。</w:t>
      </w:r>
      <w:bookmarkEnd w:id="47"/>
    </w:p>
    <w:p w14:paraId="0F1BBCD2">
      <w:pPr>
        <w:keepNext w:val="0"/>
        <w:keepLines w:val="0"/>
        <w:pageBreakBefore w:val="0"/>
        <w:widowControl w:val="0"/>
        <w:kinsoku/>
        <w:wordWrap/>
        <w:overflowPunct/>
        <w:topLinePunct w:val="0"/>
        <w:autoSpaceDE/>
        <w:autoSpaceDN/>
        <w:bidi w:val="0"/>
        <w:adjustRightInd/>
        <w:snapToGrid w:val="0"/>
        <w:spacing w:line="360" w:lineRule="auto"/>
        <w:ind w:firstLine="437"/>
        <w:textAlignment w:val="auto"/>
        <w:outlineLvl w:val="1"/>
        <w:rPr>
          <w:rFonts w:ascii="宋体" w:hAnsi="宋体" w:eastAsia="宋体" w:cs="@仿宋_GB2312"/>
          <w:bCs/>
          <w:color w:val="auto"/>
          <w:sz w:val="24"/>
          <w:szCs w:val="18"/>
          <w:highlight w:val="none"/>
        </w:rPr>
      </w:pPr>
      <w:bookmarkStart w:id="48" w:name="_Toc4165"/>
      <w:r>
        <w:rPr>
          <w:rFonts w:ascii="宋体" w:hAnsi="宋体" w:eastAsia="宋体" w:cs="@仿宋_GB2312"/>
          <w:bCs/>
          <w:color w:val="auto"/>
          <w:sz w:val="21"/>
          <w:szCs w:val="15"/>
          <w:highlight w:val="none"/>
        </w:rPr>
        <w:t>2</w:t>
      </w:r>
      <w:r>
        <w:rPr>
          <w:rFonts w:hint="eastAsia" w:ascii="宋体" w:hAnsi="宋体" w:eastAsia="宋体" w:cs="@仿宋_GB2312"/>
          <w:bCs/>
          <w:color w:val="auto"/>
          <w:sz w:val="21"/>
          <w:szCs w:val="15"/>
          <w:highlight w:val="none"/>
          <w:lang w:eastAsia="zh-CN"/>
        </w:rPr>
        <w:t>.</w:t>
      </w:r>
      <w:r>
        <w:rPr>
          <w:rFonts w:ascii="宋体" w:hAnsi="宋体" w:eastAsia="宋体" w:cs="@仿宋_GB2312"/>
          <w:bCs/>
          <w:color w:val="auto"/>
          <w:sz w:val="21"/>
          <w:szCs w:val="15"/>
          <w:highlight w:val="none"/>
        </w:rPr>
        <w:t>在质保期间内，非采购人过失和故意并且在正常使用的情况下发现商品有缺陷，中标人将免费修理或替换该设备；在质保期间内，非采购人过失和故意并且在正常使用的情况下设备发生故障，中标人应及时提供免费服务。</w:t>
      </w:r>
      <w:bookmarkEnd w:id="46"/>
      <w:bookmarkEnd w:id="48"/>
    </w:p>
    <w:p w14:paraId="0AD7D75B">
      <w:bookmarkStart w:id="49" w:name="_GoBack"/>
      <w:bookmarkEnd w:id="49"/>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AB5396"/>
    <w:rsid w:val="48BA78DE"/>
    <w:rsid w:val="5FAB53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2026-09-16T06:33:00Z</dcterms:created>
  <dc:creator>冯楠</dc:creator>
  <cp:lastModifiedBy>冯楠</cp:lastModifiedBy>
  <dcterms:modified xsi:type="dcterms:W3CDTF">2026-09-16T06:35:52Z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28C3DB0549D44D8DBB1D91117C90A6F9_11</vt:lpwstr>
  </property>
  <property fmtid="{D5CDD505-2E9C-101B-9397-08002B2CF9AE}" pid="4" name="KSOTemplateDocerSaveRecord">
    <vt:lpwstr>eyJoZGlkIjoiMjAwMTRmNzk2MDg1ZDRmNzI2ZmUwNzYxOGM5MmNiNGUiLCJ1c2VySWQiOiIxNzU0NDMzODI4In0=</vt:lpwstr>
  </property>
</Properties>
</file>