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C76" w:rsidRPr="007B37CD" w:rsidRDefault="00633C76" w:rsidP="00633C76">
      <w:pPr>
        <w:numPr>
          <w:ilvl w:val="0"/>
          <w:numId w:val="1"/>
        </w:numPr>
        <w:spacing w:line="360" w:lineRule="auto"/>
        <w:jc w:val="center"/>
        <w:outlineLvl w:val="0"/>
        <w:rPr>
          <w:rFonts w:asciiTheme="minorEastAsia" w:eastAsiaTheme="minorEastAsia" w:hAnsiTheme="minorEastAsia" w:cstheme="minorEastAsia"/>
          <w:b/>
          <w:sz w:val="28"/>
        </w:rPr>
      </w:pPr>
      <w:bookmarkStart w:id="0" w:name="_Toc22605"/>
      <w:r w:rsidRPr="007B37CD">
        <w:rPr>
          <w:rFonts w:asciiTheme="minorEastAsia" w:eastAsiaTheme="minorEastAsia" w:hAnsiTheme="minorEastAsia" w:cstheme="minorEastAsia" w:hint="eastAsia"/>
          <w:b/>
          <w:sz w:val="28"/>
        </w:rPr>
        <w:t>采购需求</w:t>
      </w:r>
      <w:bookmarkEnd w:id="0"/>
    </w:p>
    <w:p w:rsidR="00633C76" w:rsidRPr="007B37CD" w:rsidRDefault="00633C76" w:rsidP="00633C76">
      <w:pPr>
        <w:adjustRightInd w:val="0"/>
        <w:snapToGrid w:val="0"/>
        <w:spacing w:line="360" w:lineRule="auto"/>
        <w:rPr>
          <w:rFonts w:ascii="宋体" w:eastAsia="宋体" w:hAnsi="宋体" w:cs="宋体"/>
          <w:b/>
          <w:szCs w:val="21"/>
        </w:rPr>
      </w:pPr>
      <w:bookmarkStart w:id="1" w:name="_Hlk192705607"/>
      <w:r w:rsidRPr="007B37CD">
        <w:rPr>
          <w:rFonts w:ascii="宋体" w:eastAsia="宋体" w:hAnsi="宋体" w:cs="宋体" w:hint="eastAsia"/>
          <w:b/>
          <w:szCs w:val="21"/>
        </w:rPr>
        <w:t>前注：</w:t>
      </w:r>
    </w:p>
    <w:p w:rsidR="00633C76" w:rsidRPr="007B37CD" w:rsidRDefault="00633C76" w:rsidP="00633C76">
      <w:pPr>
        <w:adjustRightInd w:val="0"/>
        <w:snapToGrid w:val="0"/>
        <w:spacing w:line="360" w:lineRule="auto"/>
        <w:ind w:firstLine="435"/>
        <w:rPr>
          <w:rFonts w:ascii="宋体" w:eastAsia="宋体" w:hAnsi="宋体" w:cs="宋体"/>
          <w:szCs w:val="21"/>
        </w:rPr>
      </w:pPr>
      <w:r w:rsidRPr="007B37CD">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633C76" w:rsidRPr="007B37CD" w:rsidRDefault="00633C76" w:rsidP="00633C76">
      <w:pPr>
        <w:adjustRightInd w:val="0"/>
        <w:snapToGrid w:val="0"/>
        <w:spacing w:line="360" w:lineRule="auto"/>
        <w:ind w:firstLineChars="200" w:firstLine="420"/>
        <w:rPr>
          <w:rFonts w:ascii="宋体" w:eastAsia="宋体" w:hAnsi="宋体" w:cs="宋体"/>
          <w:szCs w:val="21"/>
        </w:rPr>
      </w:pPr>
      <w:r w:rsidRPr="007B37CD">
        <w:rPr>
          <w:rFonts w:ascii="宋体" w:eastAsia="宋体" w:hAnsi="宋体" w:cs="宋体" w:hint="eastAsia"/>
          <w:szCs w:val="21"/>
        </w:rPr>
        <w:t>2.政府采购政策（包括但不限于下列具体政策要求）：</w:t>
      </w:r>
    </w:p>
    <w:p w:rsidR="00633C76" w:rsidRPr="007B37CD" w:rsidRDefault="00633C76" w:rsidP="00633C76">
      <w:pPr>
        <w:adjustRightInd w:val="0"/>
        <w:snapToGrid w:val="0"/>
        <w:spacing w:line="360" w:lineRule="auto"/>
        <w:ind w:firstLineChars="200" w:firstLine="420"/>
        <w:rPr>
          <w:rFonts w:ascii="宋体" w:eastAsia="宋体" w:hAnsi="宋体" w:cs="宋体"/>
          <w:szCs w:val="21"/>
        </w:rPr>
      </w:pPr>
      <w:r w:rsidRPr="007B37CD">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633C76" w:rsidRPr="007B37CD" w:rsidRDefault="00633C76" w:rsidP="00633C76">
      <w:pPr>
        <w:adjustRightInd w:val="0"/>
        <w:snapToGrid w:val="0"/>
        <w:spacing w:line="360" w:lineRule="auto"/>
        <w:ind w:firstLineChars="200" w:firstLine="420"/>
        <w:rPr>
          <w:rFonts w:ascii="宋体" w:eastAsia="宋体" w:hAnsi="宋体" w:cs="宋体"/>
          <w:szCs w:val="21"/>
        </w:rPr>
      </w:pPr>
      <w:r w:rsidRPr="007B37CD">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633C76" w:rsidRPr="007B37CD" w:rsidRDefault="00633C76" w:rsidP="00633C76">
      <w:pPr>
        <w:adjustRightInd w:val="0"/>
        <w:snapToGrid w:val="0"/>
        <w:spacing w:line="360" w:lineRule="auto"/>
        <w:ind w:firstLineChars="200" w:firstLine="420"/>
        <w:rPr>
          <w:rFonts w:ascii="宋体" w:eastAsia="宋体" w:hAnsi="宋体" w:cs="宋体"/>
          <w:bCs/>
          <w:szCs w:val="21"/>
        </w:rPr>
      </w:pPr>
      <w:r w:rsidRPr="007B37CD">
        <w:rPr>
          <w:rFonts w:ascii="宋体" w:eastAsia="宋体" w:hAnsi="宋体" w:cs="宋体" w:hint="eastAsia"/>
          <w:szCs w:val="21"/>
        </w:rPr>
        <w:t>3.如采购人允许采用分包方式履行合同的，应当明确可以分包履行的相关内容。</w:t>
      </w:r>
    </w:p>
    <w:p w:rsidR="00633C76" w:rsidRPr="007B37CD" w:rsidRDefault="00633C76" w:rsidP="00633C76">
      <w:pPr>
        <w:spacing w:line="360" w:lineRule="auto"/>
        <w:ind w:firstLine="437"/>
        <w:outlineLvl w:val="1"/>
        <w:rPr>
          <w:rFonts w:ascii="宋体" w:eastAsia="宋体" w:hAnsi="宋体" w:cs="宋体"/>
          <w:b/>
          <w:szCs w:val="21"/>
        </w:rPr>
      </w:pPr>
      <w:bookmarkStart w:id="2" w:name="_Toc21798"/>
      <w:bookmarkStart w:id="3" w:name="_Toc4148"/>
      <w:bookmarkStart w:id="4" w:name="_Hlk23621890"/>
      <w:r w:rsidRPr="007B37CD">
        <w:rPr>
          <w:rFonts w:ascii="宋体" w:eastAsia="宋体" w:hAnsi="宋体" w:cs="宋体" w:hint="eastAsia"/>
          <w:b/>
          <w:szCs w:val="21"/>
        </w:rPr>
        <w:t>一、采购需求前附表</w:t>
      </w:r>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032"/>
        <w:gridCol w:w="5483"/>
      </w:tblGrid>
      <w:tr w:rsidR="00633C76" w:rsidRPr="007B37CD" w:rsidTr="00CA73EA">
        <w:trPr>
          <w:trHeight w:val="502"/>
          <w:jc w:val="center"/>
        </w:trPr>
        <w:tc>
          <w:tcPr>
            <w:tcW w:w="591" w:type="pct"/>
            <w:vAlign w:val="center"/>
          </w:tcPr>
          <w:p w:rsidR="00633C76" w:rsidRPr="007B37CD" w:rsidRDefault="00633C76" w:rsidP="00CA73EA">
            <w:pPr>
              <w:tabs>
                <w:tab w:val="center" w:pos="4153"/>
                <w:tab w:val="right" w:pos="8306"/>
              </w:tabs>
              <w:adjustRightInd w:val="0"/>
              <w:snapToGrid w:val="0"/>
              <w:spacing w:line="300" w:lineRule="auto"/>
              <w:jc w:val="center"/>
              <w:rPr>
                <w:rFonts w:ascii="宋体" w:eastAsia="宋体" w:hAnsi="宋体" w:cs="宋体"/>
                <w:b/>
                <w:bCs/>
                <w:szCs w:val="21"/>
              </w:rPr>
            </w:pPr>
            <w:r w:rsidRPr="007B37CD">
              <w:rPr>
                <w:rFonts w:ascii="宋体" w:eastAsia="宋体" w:hAnsi="宋体" w:cs="宋体" w:hint="eastAsia"/>
                <w:b/>
                <w:bCs/>
                <w:szCs w:val="21"/>
              </w:rPr>
              <w:t>序号</w:t>
            </w:r>
          </w:p>
        </w:tc>
        <w:tc>
          <w:tcPr>
            <w:tcW w:w="1192" w:type="pct"/>
            <w:vAlign w:val="center"/>
          </w:tcPr>
          <w:p w:rsidR="00633C76" w:rsidRPr="007B37CD" w:rsidRDefault="00633C76" w:rsidP="00CA73EA">
            <w:pPr>
              <w:adjustRightInd w:val="0"/>
              <w:snapToGrid w:val="0"/>
              <w:spacing w:line="300" w:lineRule="auto"/>
              <w:rPr>
                <w:rFonts w:ascii="宋体" w:eastAsia="宋体" w:hAnsi="宋体" w:cs="宋体"/>
                <w:b/>
                <w:bCs/>
                <w:kern w:val="0"/>
                <w:szCs w:val="21"/>
              </w:rPr>
            </w:pPr>
            <w:r w:rsidRPr="007B37CD">
              <w:rPr>
                <w:rFonts w:ascii="宋体" w:eastAsia="宋体" w:hAnsi="宋体" w:cs="宋体" w:hint="eastAsia"/>
                <w:b/>
                <w:bCs/>
                <w:kern w:val="0"/>
                <w:szCs w:val="21"/>
              </w:rPr>
              <w:t>条款名称</w:t>
            </w:r>
          </w:p>
        </w:tc>
        <w:tc>
          <w:tcPr>
            <w:tcW w:w="3217" w:type="pct"/>
            <w:vAlign w:val="center"/>
          </w:tcPr>
          <w:p w:rsidR="00633C76" w:rsidRPr="007B37CD" w:rsidRDefault="00633C76" w:rsidP="00CA73EA">
            <w:pPr>
              <w:adjustRightInd w:val="0"/>
              <w:snapToGrid w:val="0"/>
              <w:spacing w:line="300" w:lineRule="auto"/>
              <w:rPr>
                <w:rFonts w:ascii="宋体" w:eastAsia="宋体" w:hAnsi="宋体" w:cs="宋体"/>
                <w:b/>
                <w:bCs/>
                <w:kern w:val="0"/>
                <w:szCs w:val="21"/>
              </w:rPr>
            </w:pPr>
            <w:r w:rsidRPr="007B37CD">
              <w:rPr>
                <w:rFonts w:ascii="宋体" w:eastAsia="宋体" w:hAnsi="宋体" w:cs="宋体" w:hint="eastAsia"/>
                <w:b/>
                <w:bCs/>
                <w:kern w:val="0"/>
                <w:szCs w:val="21"/>
              </w:rPr>
              <w:t>内容、说明与要求</w:t>
            </w:r>
          </w:p>
        </w:tc>
      </w:tr>
      <w:tr w:rsidR="00633C76" w:rsidRPr="007B37CD" w:rsidTr="00CA73EA">
        <w:trPr>
          <w:trHeight w:val="502"/>
          <w:jc w:val="center"/>
        </w:trPr>
        <w:tc>
          <w:tcPr>
            <w:tcW w:w="591" w:type="pct"/>
            <w:vAlign w:val="center"/>
          </w:tcPr>
          <w:p w:rsidR="00633C76" w:rsidRPr="007B37CD" w:rsidRDefault="00633C76" w:rsidP="00CA73EA">
            <w:pPr>
              <w:tabs>
                <w:tab w:val="center" w:pos="4153"/>
                <w:tab w:val="right" w:pos="8306"/>
              </w:tabs>
              <w:adjustRightInd w:val="0"/>
              <w:snapToGrid w:val="0"/>
              <w:spacing w:line="300" w:lineRule="auto"/>
              <w:jc w:val="center"/>
              <w:rPr>
                <w:rFonts w:ascii="宋体" w:eastAsia="宋体" w:hAnsi="宋体" w:cs="宋体"/>
                <w:bCs/>
                <w:szCs w:val="21"/>
              </w:rPr>
            </w:pPr>
            <w:r w:rsidRPr="007B37CD">
              <w:rPr>
                <w:rFonts w:ascii="宋体" w:eastAsia="宋体" w:hAnsi="宋体" w:cs="宋体" w:hint="eastAsia"/>
                <w:bCs/>
                <w:szCs w:val="21"/>
              </w:rPr>
              <w:t>1</w:t>
            </w:r>
          </w:p>
        </w:tc>
        <w:tc>
          <w:tcPr>
            <w:tcW w:w="1192" w:type="pct"/>
            <w:vAlign w:val="center"/>
          </w:tcPr>
          <w:p w:rsidR="00633C76" w:rsidRPr="007B37CD" w:rsidRDefault="00633C76" w:rsidP="00CA73EA">
            <w:pPr>
              <w:adjustRightInd w:val="0"/>
              <w:snapToGrid w:val="0"/>
              <w:spacing w:line="300" w:lineRule="auto"/>
              <w:rPr>
                <w:rFonts w:asciiTheme="minorEastAsia" w:eastAsiaTheme="minorEastAsia" w:hAnsiTheme="minorEastAsia" w:cs="宋体"/>
                <w:b/>
                <w:bCs/>
                <w:kern w:val="0"/>
                <w:szCs w:val="21"/>
              </w:rPr>
            </w:pPr>
            <w:r w:rsidRPr="007B37CD">
              <w:rPr>
                <w:rFonts w:asciiTheme="minorEastAsia" w:eastAsiaTheme="minorEastAsia" w:hAnsiTheme="minorEastAsia" w:cs="宋体" w:hint="eastAsia"/>
                <w:bCs/>
                <w:kern w:val="0"/>
                <w:szCs w:val="21"/>
              </w:rPr>
              <w:t>付款方式</w:t>
            </w:r>
          </w:p>
        </w:tc>
        <w:tc>
          <w:tcPr>
            <w:tcW w:w="3217" w:type="pct"/>
            <w:vAlign w:val="center"/>
          </w:tcPr>
          <w:p w:rsidR="00633C76" w:rsidRPr="007B37CD" w:rsidRDefault="00633C76" w:rsidP="00CA73EA">
            <w:pPr>
              <w:adjustRightInd w:val="0"/>
              <w:snapToGrid w:val="0"/>
              <w:spacing w:line="300" w:lineRule="auto"/>
            </w:pPr>
            <w:r w:rsidRPr="007B37CD">
              <w:rPr>
                <w:rFonts w:ascii="宋体" w:eastAsia="宋体" w:hAnsi="宋体" w:cs="宋体" w:hint="eastAsia"/>
                <w:bCs/>
                <w:kern w:val="0"/>
                <w:szCs w:val="21"/>
              </w:rPr>
              <w:t>合同生效后，支付合同价款的</w:t>
            </w:r>
            <w:r w:rsidRPr="007B37CD">
              <w:rPr>
                <w:rFonts w:ascii="宋体" w:eastAsia="宋体" w:hAnsi="宋体" w:cs="宋体"/>
                <w:bCs/>
                <w:kern w:val="0"/>
                <w:szCs w:val="21"/>
              </w:rPr>
              <w:t>70%，合同期满后经采购人验收合格后支付合同剩余价款。</w:t>
            </w:r>
          </w:p>
        </w:tc>
      </w:tr>
      <w:tr w:rsidR="00633C76" w:rsidRPr="007B37CD" w:rsidTr="00CA73EA">
        <w:trPr>
          <w:trHeight w:val="502"/>
          <w:jc w:val="center"/>
        </w:trPr>
        <w:tc>
          <w:tcPr>
            <w:tcW w:w="591" w:type="pct"/>
            <w:vAlign w:val="center"/>
          </w:tcPr>
          <w:p w:rsidR="00633C76" w:rsidRPr="007B37CD" w:rsidRDefault="00633C76" w:rsidP="00CA73EA">
            <w:pPr>
              <w:tabs>
                <w:tab w:val="center" w:pos="4153"/>
                <w:tab w:val="right" w:pos="8306"/>
              </w:tabs>
              <w:adjustRightInd w:val="0"/>
              <w:snapToGrid w:val="0"/>
              <w:spacing w:line="300" w:lineRule="auto"/>
              <w:jc w:val="center"/>
              <w:rPr>
                <w:rFonts w:ascii="宋体" w:eastAsia="宋体" w:hAnsi="宋体" w:cs="宋体"/>
                <w:bCs/>
                <w:szCs w:val="21"/>
              </w:rPr>
            </w:pPr>
            <w:r w:rsidRPr="007B37CD">
              <w:rPr>
                <w:rFonts w:ascii="宋体" w:eastAsia="宋体" w:hAnsi="宋体" w:cs="宋体" w:hint="eastAsia"/>
                <w:bCs/>
                <w:szCs w:val="21"/>
              </w:rPr>
              <w:t>2</w:t>
            </w:r>
          </w:p>
        </w:tc>
        <w:tc>
          <w:tcPr>
            <w:tcW w:w="1192" w:type="pct"/>
            <w:vAlign w:val="center"/>
          </w:tcPr>
          <w:p w:rsidR="00633C76" w:rsidRPr="007B37CD" w:rsidRDefault="00633C76" w:rsidP="00CA73EA">
            <w:pPr>
              <w:adjustRightInd w:val="0"/>
              <w:snapToGrid w:val="0"/>
              <w:spacing w:line="300" w:lineRule="auto"/>
              <w:rPr>
                <w:rFonts w:ascii="宋体" w:eastAsia="宋体" w:hAnsi="宋体" w:cs="宋体"/>
                <w:b/>
                <w:bCs/>
                <w:kern w:val="0"/>
                <w:szCs w:val="21"/>
              </w:rPr>
            </w:pPr>
            <w:r w:rsidRPr="007B37CD">
              <w:rPr>
                <w:rFonts w:ascii="宋体" w:eastAsia="宋体" w:hAnsi="宋体" w:cs="宋体" w:hint="eastAsia"/>
                <w:bCs/>
                <w:kern w:val="0"/>
                <w:szCs w:val="21"/>
              </w:rPr>
              <w:t>服务地点</w:t>
            </w:r>
          </w:p>
        </w:tc>
        <w:tc>
          <w:tcPr>
            <w:tcW w:w="3217" w:type="pct"/>
            <w:vAlign w:val="center"/>
          </w:tcPr>
          <w:p w:rsidR="00633C76" w:rsidRPr="007B37CD" w:rsidRDefault="00633C76" w:rsidP="00CA73EA">
            <w:pPr>
              <w:adjustRightInd w:val="0"/>
              <w:snapToGrid w:val="0"/>
              <w:spacing w:line="300" w:lineRule="auto"/>
              <w:rPr>
                <w:rFonts w:ascii="宋体" w:eastAsia="宋体" w:hAnsi="宋体" w:cs="宋体"/>
                <w:bCs/>
                <w:kern w:val="0"/>
                <w:szCs w:val="21"/>
              </w:rPr>
            </w:pPr>
            <w:r w:rsidRPr="007B37CD">
              <w:rPr>
                <w:rFonts w:ascii="宋体" w:eastAsia="宋体" w:hAnsi="宋体" w:cs="宋体" w:hint="eastAsia"/>
                <w:bCs/>
                <w:kern w:val="0"/>
                <w:szCs w:val="21"/>
              </w:rPr>
              <w:t>安徽省内</w:t>
            </w:r>
            <w:r w:rsidRPr="007B37CD">
              <w:rPr>
                <w:rFonts w:ascii="宋体" w:eastAsia="宋体" w:hAnsi="宋体" w:cs="宋体"/>
                <w:bCs/>
                <w:kern w:val="0"/>
                <w:szCs w:val="21"/>
              </w:rPr>
              <w:t>，具体按采购人指定地点。</w:t>
            </w:r>
          </w:p>
        </w:tc>
      </w:tr>
      <w:tr w:rsidR="00633C76" w:rsidRPr="007B37CD" w:rsidTr="00CA73EA">
        <w:trPr>
          <w:trHeight w:val="502"/>
          <w:jc w:val="center"/>
        </w:trPr>
        <w:tc>
          <w:tcPr>
            <w:tcW w:w="591" w:type="pct"/>
            <w:vAlign w:val="center"/>
          </w:tcPr>
          <w:p w:rsidR="00633C76" w:rsidRPr="007B37CD" w:rsidRDefault="00633C76" w:rsidP="00CA73EA">
            <w:pPr>
              <w:tabs>
                <w:tab w:val="center" w:pos="4153"/>
                <w:tab w:val="right" w:pos="8306"/>
              </w:tabs>
              <w:adjustRightInd w:val="0"/>
              <w:snapToGrid w:val="0"/>
              <w:spacing w:line="300" w:lineRule="auto"/>
              <w:jc w:val="center"/>
              <w:rPr>
                <w:rFonts w:ascii="宋体" w:eastAsia="宋体" w:hAnsi="宋体" w:cs="宋体"/>
                <w:bCs/>
                <w:szCs w:val="21"/>
              </w:rPr>
            </w:pPr>
            <w:r w:rsidRPr="007B37CD">
              <w:rPr>
                <w:rFonts w:ascii="宋体" w:eastAsia="宋体" w:hAnsi="宋体" w:cs="宋体" w:hint="eastAsia"/>
                <w:bCs/>
                <w:szCs w:val="21"/>
              </w:rPr>
              <w:t>3</w:t>
            </w:r>
          </w:p>
        </w:tc>
        <w:tc>
          <w:tcPr>
            <w:tcW w:w="1192" w:type="pct"/>
            <w:vAlign w:val="center"/>
          </w:tcPr>
          <w:p w:rsidR="00633C76" w:rsidRPr="007B37CD" w:rsidRDefault="00633C76" w:rsidP="00CA73EA">
            <w:pPr>
              <w:adjustRightInd w:val="0"/>
              <w:snapToGrid w:val="0"/>
              <w:spacing w:line="300" w:lineRule="auto"/>
              <w:rPr>
                <w:rFonts w:ascii="宋体" w:eastAsia="宋体" w:hAnsi="宋体" w:cs="宋体"/>
                <w:b/>
                <w:bCs/>
                <w:kern w:val="0"/>
                <w:szCs w:val="21"/>
              </w:rPr>
            </w:pPr>
            <w:r w:rsidRPr="007B37CD">
              <w:rPr>
                <w:rFonts w:ascii="宋体" w:eastAsia="宋体" w:hAnsi="宋体" w:cs="宋体" w:hint="eastAsia"/>
                <w:bCs/>
                <w:kern w:val="0"/>
                <w:szCs w:val="21"/>
              </w:rPr>
              <w:t>服务期限</w:t>
            </w:r>
          </w:p>
        </w:tc>
        <w:tc>
          <w:tcPr>
            <w:tcW w:w="3217" w:type="pct"/>
            <w:vAlign w:val="center"/>
          </w:tcPr>
          <w:p w:rsidR="00633C76" w:rsidRPr="007B37CD" w:rsidRDefault="00633C76" w:rsidP="00CA73EA">
            <w:pPr>
              <w:adjustRightInd w:val="0"/>
              <w:snapToGrid w:val="0"/>
              <w:spacing w:line="300" w:lineRule="auto"/>
              <w:rPr>
                <w:rFonts w:ascii="宋体" w:eastAsia="宋体" w:hAnsi="宋体" w:cs="宋体"/>
                <w:szCs w:val="21"/>
              </w:rPr>
            </w:pPr>
            <w:r w:rsidRPr="007B37CD">
              <w:rPr>
                <w:rFonts w:ascii="宋体" w:eastAsia="宋体" w:hAnsi="宋体" w:cs="宋体" w:hint="eastAsia"/>
                <w:szCs w:val="21"/>
              </w:rPr>
              <w:t>合同生效之日起至2025年12月30日。</w:t>
            </w:r>
          </w:p>
        </w:tc>
      </w:tr>
      <w:tr w:rsidR="00633C76" w:rsidRPr="007B37CD" w:rsidTr="00CA73EA">
        <w:trPr>
          <w:trHeight w:val="502"/>
          <w:jc w:val="center"/>
        </w:trPr>
        <w:tc>
          <w:tcPr>
            <w:tcW w:w="591" w:type="pct"/>
            <w:vAlign w:val="center"/>
          </w:tcPr>
          <w:p w:rsidR="00633C76" w:rsidRPr="007B37CD" w:rsidRDefault="00633C76" w:rsidP="00CA73EA">
            <w:pPr>
              <w:tabs>
                <w:tab w:val="center" w:pos="4153"/>
                <w:tab w:val="right" w:pos="8306"/>
              </w:tabs>
              <w:adjustRightInd w:val="0"/>
              <w:snapToGrid w:val="0"/>
              <w:spacing w:line="300" w:lineRule="auto"/>
              <w:jc w:val="center"/>
              <w:rPr>
                <w:rFonts w:ascii="宋体" w:eastAsia="宋体" w:hAnsi="宋体" w:cs="宋体"/>
                <w:bCs/>
                <w:szCs w:val="21"/>
              </w:rPr>
            </w:pPr>
            <w:r w:rsidRPr="007B37CD">
              <w:rPr>
                <w:rFonts w:ascii="宋体" w:eastAsia="宋体" w:hAnsi="宋体" w:cs="宋体" w:hint="eastAsia"/>
                <w:bCs/>
                <w:szCs w:val="21"/>
              </w:rPr>
              <w:t>4</w:t>
            </w:r>
          </w:p>
        </w:tc>
        <w:tc>
          <w:tcPr>
            <w:tcW w:w="1192" w:type="pct"/>
            <w:vAlign w:val="center"/>
          </w:tcPr>
          <w:p w:rsidR="00633C76" w:rsidRPr="007B37CD" w:rsidRDefault="00633C76" w:rsidP="00CA73EA">
            <w:pPr>
              <w:adjustRightInd w:val="0"/>
              <w:snapToGrid w:val="0"/>
              <w:spacing w:line="300" w:lineRule="auto"/>
              <w:rPr>
                <w:rFonts w:ascii="宋体" w:eastAsia="宋体" w:hAnsi="宋体" w:cs="宋体"/>
                <w:b/>
                <w:bCs/>
                <w:kern w:val="0"/>
                <w:szCs w:val="21"/>
              </w:rPr>
            </w:pPr>
            <w:r w:rsidRPr="007B37CD">
              <w:rPr>
                <w:rFonts w:ascii="宋体" w:eastAsia="宋体" w:hAnsi="宋体" w:cs="宋体" w:hint="eastAsia"/>
                <w:bCs/>
                <w:kern w:val="0"/>
                <w:szCs w:val="21"/>
              </w:rPr>
              <w:t>本项目采购标的名称及所属行业</w:t>
            </w:r>
          </w:p>
        </w:tc>
        <w:tc>
          <w:tcPr>
            <w:tcW w:w="3217" w:type="pct"/>
            <w:vAlign w:val="center"/>
          </w:tcPr>
          <w:p w:rsidR="00633C76" w:rsidRPr="007B37CD" w:rsidRDefault="00633C76" w:rsidP="00CA73EA">
            <w:pPr>
              <w:adjustRightInd w:val="0"/>
              <w:snapToGrid w:val="0"/>
              <w:spacing w:line="300" w:lineRule="auto"/>
              <w:rPr>
                <w:rFonts w:ascii="宋体" w:eastAsia="宋体" w:hAnsi="宋体" w:cs="宋体"/>
                <w:b/>
                <w:szCs w:val="21"/>
              </w:rPr>
            </w:pPr>
            <w:r w:rsidRPr="007B37CD">
              <w:rPr>
                <w:rFonts w:ascii="宋体" w:eastAsia="宋体" w:hAnsi="宋体" w:cs="宋体" w:hint="eastAsia"/>
                <w:b/>
                <w:szCs w:val="21"/>
              </w:rPr>
              <w:t>标的名称：安徽省文化馆学才艺项目</w:t>
            </w:r>
          </w:p>
          <w:p w:rsidR="00633C76" w:rsidRPr="007B37CD" w:rsidRDefault="00633C76" w:rsidP="00CA73EA">
            <w:pPr>
              <w:adjustRightInd w:val="0"/>
              <w:snapToGrid w:val="0"/>
              <w:spacing w:line="300" w:lineRule="auto"/>
              <w:rPr>
                <w:rFonts w:ascii="宋体" w:eastAsia="宋体" w:hAnsi="宋体" w:cs="宋体"/>
                <w:szCs w:val="21"/>
              </w:rPr>
            </w:pPr>
            <w:r w:rsidRPr="007B37CD">
              <w:rPr>
                <w:rFonts w:ascii="宋体" w:eastAsia="宋体" w:hAnsi="宋体" w:cs="宋体" w:hint="eastAsia"/>
                <w:b/>
                <w:szCs w:val="21"/>
              </w:rPr>
              <w:t>所属行业：其他未列明行业</w:t>
            </w:r>
          </w:p>
        </w:tc>
      </w:tr>
    </w:tbl>
    <w:p w:rsidR="00633C76" w:rsidRPr="007B37CD" w:rsidRDefault="00633C76" w:rsidP="00633C76">
      <w:pPr>
        <w:adjustRightInd w:val="0"/>
        <w:snapToGrid w:val="0"/>
        <w:spacing w:line="360" w:lineRule="auto"/>
        <w:ind w:firstLineChars="200" w:firstLine="422"/>
        <w:outlineLvl w:val="1"/>
        <w:rPr>
          <w:rFonts w:ascii="宋体" w:eastAsia="宋体" w:hAnsi="宋体" w:cs="宋体"/>
          <w:b/>
          <w:szCs w:val="21"/>
        </w:rPr>
      </w:pPr>
      <w:bookmarkStart w:id="5" w:name="_Toc16543"/>
      <w:bookmarkStart w:id="6" w:name="_Toc8753"/>
      <w:bookmarkStart w:id="7" w:name="_Hlk16461016"/>
    </w:p>
    <w:p w:rsidR="00633C76" w:rsidRPr="007B37CD" w:rsidRDefault="00633C76" w:rsidP="00633C76">
      <w:pPr>
        <w:adjustRightInd w:val="0"/>
        <w:snapToGrid w:val="0"/>
        <w:spacing w:line="360" w:lineRule="auto"/>
        <w:ind w:firstLineChars="200" w:firstLine="422"/>
        <w:outlineLvl w:val="1"/>
        <w:rPr>
          <w:rFonts w:ascii="宋体" w:eastAsia="宋体" w:hAnsi="宋体" w:cs="宋体"/>
          <w:b/>
          <w:szCs w:val="21"/>
        </w:rPr>
      </w:pPr>
      <w:r w:rsidRPr="007B37CD">
        <w:rPr>
          <w:rFonts w:ascii="宋体" w:eastAsia="宋体" w:hAnsi="宋体" w:cs="宋体" w:hint="eastAsia"/>
          <w:b/>
          <w:szCs w:val="21"/>
        </w:rPr>
        <w:t>二、项目概况</w:t>
      </w:r>
      <w:bookmarkEnd w:id="5"/>
      <w:bookmarkEnd w:id="6"/>
    </w:p>
    <w:p w:rsidR="00633C76" w:rsidRPr="007B37CD" w:rsidRDefault="00633C76" w:rsidP="00633C76">
      <w:pPr>
        <w:adjustRightInd w:val="0"/>
        <w:snapToGrid w:val="0"/>
        <w:spacing w:line="360" w:lineRule="auto"/>
        <w:ind w:firstLineChars="200" w:firstLine="420"/>
        <w:rPr>
          <w:rFonts w:ascii="宋体" w:eastAsia="宋体" w:hAnsi="宋体" w:cs="宋体"/>
          <w:szCs w:val="21"/>
        </w:rPr>
      </w:pPr>
      <w:r w:rsidRPr="007B37CD">
        <w:rPr>
          <w:rFonts w:ascii="宋体" w:eastAsia="宋体" w:hAnsi="宋体" w:cs="宋体" w:hint="eastAsia"/>
          <w:szCs w:val="21"/>
        </w:rPr>
        <w:t>根据文化和旅游部公共服务司、财务司《关于做好2025年全国智慧图书馆体系建设项目和公共文化云建设项目实施工作的通知》要求，在安徽省文化和旅游厅指导下，安徽省文化馆开展2025年度“学才艺”项目工作，推出全民艺术普及课程64门，每门课不少于6个章节；课程涵盖音乐、舞蹈、戏剧、曲艺、文学、美术、书法、摄影、传统文化、生活美学等艺术门类；课程梯度分为初级、中级、高级，其中高级课程不少于50%；提供在线培训、课程点播、在线直播、作品上传、互动交流等服务，并利用AI技术对课程进行智能理解、辅助推荐等，选取部分课程打造线上美育课堂；以地市级以上（含地市级）为重点，持续建设由文化馆（站）业务骨干、文化志愿者、艺术专业人才组成的，以提升群众艺术素养为目</w:t>
      </w:r>
      <w:r w:rsidRPr="007B37CD">
        <w:rPr>
          <w:rFonts w:ascii="宋体" w:eastAsia="宋体" w:hAnsi="宋体" w:cs="宋体" w:hint="eastAsia"/>
          <w:szCs w:val="21"/>
        </w:rPr>
        <w:lastRenderedPageBreak/>
        <w:t>的的安徽省艺术普及师资库；课程及师资通过国家公共文化云、安徽公共文化云集成后向社会提供服务。</w:t>
      </w:r>
    </w:p>
    <w:p w:rsidR="00633C76" w:rsidRPr="007B37CD" w:rsidRDefault="00633C76" w:rsidP="00633C76">
      <w:pPr>
        <w:adjustRightInd w:val="0"/>
        <w:snapToGrid w:val="0"/>
        <w:spacing w:line="360" w:lineRule="auto"/>
        <w:ind w:firstLineChars="200" w:firstLine="422"/>
        <w:outlineLvl w:val="1"/>
        <w:rPr>
          <w:rFonts w:ascii="宋体" w:eastAsia="宋体" w:hAnsi="宋体" w:cs="宋体"/>
          <w:b/>
          <w:szCs w:val="21"/>
        </w:rPr>
      </w:pPr>
      <w:r w:rsidRPr="007B37CD">
        <w:rPr>
          <w:rFonts w:ascii="宋体" w:eastAsia="宋体" w:hAnsi="宋体" w:cs="宋体" w:hint="eastAsia"/>
          <w:b/>
          <w:szCs w:val="21"/>
        </w:rPr>
        <w:t>三、服务内容</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1. 课程标准</w:t>
      </w:r>
    </w:p>
    <w:p w:rsidR="00633C76" w:rsidRPr="007B37CD" w:rsidRDefault="00633C76" w:rsidP="00633C76">
      <w:pPr>
        <w:spacing w:line="300" w:lineRule="auto"/>
        <w:ind w:firstLineChars="200" w:firstLine="420"/>
        <w:jc w:val="left"/>
        <w:rPr>
          <w:rFonts w:ascii="宋体" w:eastAsia="宋体" w:hAnsi="宋体" w:cs="Times New Roman"/>
          <w:szCs w:val="21"/>
          <w:lang w:bidi="en-US"/>
        </w:rPr>
      </w:pPr>
      <w:r w:rsidRPr="007B37CD">
        <w:rPr>
          <w:rFonts w:ascii="宋体" w:eastAsia="宋体" w:hAnsi="宋体" w:cs="Times New Roman" w:hint="eastAsia"/>
          <w:szCs w:val="21"/>
          <w:lang w:bidi="en-US"/>
        </w:rPr>
        <w:t>（1）内容要求</w:t>
      </w:r>
    </w:p>
    <w:p w:rsidR="00633C76" w:rsidRPr="007B37CD" w:rsidRDefault="00633C76" w:rsidP="00633C76">
      <w:pPr>
        <w:spacing w:line="300" w:lineRule="auto"/>
        <w:ind w:firstLineChars="200" w:firstLine="420"/>
        <w:jc w:val="left"/>
        <w:rPr>
          <w:rFonts w:ascii="宋体" w:eastAsia="宋体" w:hAnsi="宋体" w:cs="Times New Roman"/>
          <w:szCs w:val="21"/>
          <w:lang w:bidi="en-US"/>
        </w:rPr>
      </w:pPr>
      <w:r w:rsidRPr="007B37CD">
        <w:rPr>
          <w:rFonts w:ascii="宋体" w:eastAsia="宋体" w:hAnsi="宋体" w:cs="Times New Roman" w:hint="eastAsia"/>
          <w:szCs w:val="21"/>
          <w:lang w:bidi="en-US"/>
        </w:rPr>
        <w:t>导向正确，符合社会主义核心价值观，以全民艺术普及和优秀传统文化传承为重点，力求高质量、有新意、有趣味、有互动；不得建设任何有违国家法律法规、内容低俗、有色情诱导性内容的视频，不得含有涉及版权问题的影视片段，不得在视频中添加制作公司宣传logo及文字等。</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（2）制作标准</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①每场8门课程可从音乐、舞蹈、戏剧、曲艺、文学、美术、书法、摄影、传统文化、国学、新媒体应用等门类中，选择全部或部分门类进行制作。允许2-3门课程为同一门类，允许同一位教师录制2-3门课程，允许多位教师参与同一门课程中不同课时的录制。</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②每门课程不少于6个章节；每个章节时长在8-10分钟之间为宜；每门课程总时长不少于45分钟。</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③每门课程制作1-2分钟介绍短片。</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④课程要求画质高清、声音清楚。</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（3）拍摄建议</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①整体建议</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背景不要过于杂乱或喧宾夺主；</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场地无噪音（如风声、无关人员说话声、手机铃声等）干扰，保证人或乐器的声音清晰；</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声音要求与画面同步，声音无明显失真，避免过高或者过低；</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拍摄构图，人物比例位置参考黄金比例，避免出现人物过小或充满整个画面；</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拍摄时注意亮度、色调以及镜头的稳定性。</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②镜头/机位建议</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音乐类：主讲人应有一个镜头至少保持半身像，以看清整体状态，同时讲解细节时，需搭配特写镜头，可分别看出左右手或其他细节；</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美术类：主讲人应有一个镜头至少保持半身像，以看清整体状态，同时不同种类搭配不同的细节特写镜头（如画板的特写、笔触的特写、调色板的特写等）；</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舞蹈类：大景别镜头，保证大动作或移动时能够保全整体的状态，同时不同种类搭配不同的细节特写镜头（如头部特写、手部特写、脚部特写等）。</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（4）课程信息</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课程信息包含：课程名称、授课教师、课程简介、课程门类、课程专业（如音乐分类中的器乐）、教学大纲、教学对象、课程海报、直播/录播（直播课程排期播出）、课程梯度、版权方、版权有效期、建设单位、经费来源等信息。</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lastRenderedPageBreak/>
        <w:t>课程梯度分为：①初级课程，以知识普及、入门内容为主；课程内容兼具基本理论与基础技术的学习，目的在于提高艺术初学者、爱好者的学习兴趣，提升大众艺术审美，并为日后艺术进阶学习打下坚实的基础。②中级课程，以巩固基础、强化提升内容为主；课程内容进一步讲解专业理论与进阶技术的综合应用，包含专业教师示范讲解、作品分析等，适合有一定基础的艺术学习者，有效提升学员的艺术综合能力。③高级课程，以深度强化、综合训练内容为主。课程内容包含经典难度作品讲解示范、不同艺术风格作品赏析、艺术家创作思路分享等。课程针对的人群包含艺考生、专业艺术院校学生、基层教师等，有助于学员提高技巧与作品赏析能力、拓展个人作品风格。</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2.师资标准</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（1）个人师资信息</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个人师资信息包含：教师姓名、性别、民族、身份证件号、头像照片、教师类型、推荐单位、工作单位、单位地址、联系电话、工作职务、教学门类、教学专业、职称等级（无职称、助理馆员/初级、馆员/中级、副研究馆员/副高级、研究馆员/高级）、专业等级（编剧、导演、演员、演奏员、指挥、作曲、舞台美术设计等对应等级）、教学经历、教学成果、资格证书、教学照片等。</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 xml:space="preserve">教师类型分为：①艺术教育工作者（艺术院校、机构教师或专业社会团体成员；文化馆干部或学术研究专业人员；拥有教师资格证，具备相关教学经验）。②艺术表演工作者（国家级演员；非物质文化遗产传承人；艺术领域社会知名人士；毕业于艺术院校并从事相关工作；获艺术相关领域证书，如社会艺术水平等级考试证书、权威机构举办的艺术比赛获奖证书等）。③文化志愿者（具有权威机构颁发的志愿者证、聘书、服务奖状；具有相关领域艺术文化服务经验；具备一定的文化专业知识或文艺专长）。 </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（2）团队师资信息</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团队师资信息包含：团队名称（机构或企业全称,机构全称需与事业单位法人证明/组织机构代码证一致，企业全称需与营业执照上一致）、团队类型（与营业执照上主营范围一致的行业）、所在地址、联系电话、艺术门类、艺术专业、形象照片、教学照片、团队资质（统一社会信用代码、事业单位证明/营业执照证明、企业规模及注册资金）等。</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团队类型分为：①公共文化机构（文化馆、图书馆、博物馆、美术馆等）。②社会艺术教育机构（依法取得工商营业执照及办学资质的艺术教育机构；从事艺术教育、学术等有关的事业单位或相关专业社会团体）。③艺术文化类公益性组织（合法注册登记的艺术文化公益组织；曾组织艺术文化领域公益活动的组织）。</w:t>
      </w:r>
    </w:p>
    <w:p w:rsidR="00633C76" w:rsidRPr="007B37CD" w:rsidRDefault="00633C76" w:rsidP="00633C76">
      <w:pPr>
        <w:spacing w:line="300" w:lineRule="auto"/>
        <w:ind w:firstLineChars="200" w:firstLine="422"/>
        <w:jc w:val="left"/>
        <w:rPr>
          <w:rFonts w:ascii="宋体" w:eastAsia="宋体" w:hAnsi="宋体" w:cs="Times New Roman"/>
          <w:b/>
          <w:bCs/>
        </w:rPr>
      </w:pPr>
      <w:r w:rsidRPr="007B37CD">
        <w:rPr>
          <w:rFonts w:ascii="宋体" w:eastAsia="宋体" w:hAnsi="宋体" w:cs="Times New Roman" w:hint="eastAsia"/>
          <w:b/>
          <w:bCs/>
        </w:rPr>
        <w:t>（3）师资教学动态信息</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整合发布个人及团队师资开展的线上、线下教学实时信息，包括教学的起止时间、时长、地点、内容、照片、链接等，通过国家公共文化云、安徽公共文化云的“学才艺”板块发布，提供报名学习、与学员互动交流等服务，并进行持续更新。</w:t>
      </w:r>
    </w:p>
    <w:p w:rsidR="00633C76" w:rsidRPr="007B37CD" w:rsidRDefault="00633C76" w:rsidP="00633C76">
      <w:pPr>
        <w:adjustRightInd w:val="0"/>
        <w:snapToGrid w:val="0"/>
        <w:spacing w:line="300" w:lineRule="auto"/>
        <w:ind w:firstLineChars="200" w:firstLine="422"/>
        <w:rPr>
          <w:rFonts w:ascii="宋体" w:eastAsia="宋体" w:hAnsi="宋体" w:cs="Times New Roman"/>
          <w:b/>
        </w:rPr>
      </w:pPr>
      <w:r w:rsidRPr="007B37CD">
        <w:rPr>
          <w:rFonts w:ascii="宋体" w:eastAsia="宋体" w:hAnsi="宋体" w:cs="Times New Roman" w:hint="eastAsia"/>
          <w:b/>
        </w:rPr>
        <w:t>3.成果提交</w:t>
      </w:r>
    </w:p>
    <w:p w:rsidR="00633C76" w:rsidRPr="007B37CD" w:rsidRDefault="00633C76" w:rsidP="00633C76">
      <w:pPr>
        <w:adjustRightInd w:val="0"/>
        <w:snapToGrid w:val="0"/>
        <w:spacing w:line="300" w:lineRule="auto"/>
        <w:ind w:firstLineChars="200" w:firstLine="422"/>
        <w:rPr>
          <w:rFonts w:ascii="宋体" w:eastAsia="宋体" w:hAnsi="宋体" w:cs="Times New Roman"/>
          <w:b/>
        </w:rPr>
      </w:pPr>
      <w:r w:rsidRPr="007B37CD">
        <w:rPr>
          <w:rFonts w:ascii="宋体" w:eastAsia="宋体" w:hAnsi="宋体" w:cs="Times New Roman" w:hint="eastAsia"/>
          <w:b/>
        </w:rPr>
        <w:t>（1）师资及课程</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lastRenderedPageBreak/>
        <w:t>按照“边建设、边服务”的原则，建设成果经安徽省文化馆评审后，实时提交国家公共文化云“学才艺”板块、安徽公共文化云“云上学艺”板块开展服务。 提交成果后，需在公共文化云项目跟踪管理系统上及时同步相关工作进度。</w:t>
      </w:r>
    </w:p>
    <w:p w:rsidR="00633C76" w:rsidRPr="007B37CD" w:rsidRDefault="00633C76" w:rsidP="00633C76">
      <w:pPr>
        <w:adjustRightInd w:val="0"/>
        <w:snapToGrid w:val="0"/>
        <w:spacing w:line="300" w:lineRule="auto"/>
        <w:ind w:firstLineChars="200" w:firstLine="422"/>
        <w:rPr>
          <w:rFonts w:ascii="宋体" w:eastAsia="宋体" w:hAnsi="宋体" w:cs="Times New Roman"/>
          <w:b/>
        </w:rPr>
      </w:pPr>
      <w:r w:rsidRPr="007B37CD">
        <w:rPr>
          <w:rFonts w:ascii="宋体" w:eastAsia="宋体" w:hAnsi="宋体" w:cs="Times New Roman" w:hint="eastAsia"/>
          <w:b/>
        </w:rPr>
        <w:t>（2）项目档案</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每场活动需整理课程信息、师资信息、活动数据、留言评论等过程文件，以文档、视频、照片、ppt等文件格式存入硬盘，并提交项目总结报告。</w:t>
      </w:r>
    </w:p>
    <w:p w:rsidR="00633C76" w:rsidRPr="007B37CD" w:rsidRDefault="00633C76" w:rsidP="00633C76">
      <w:pPr>
        <w:adjustRightInd w:val="0"/>
        <w:snapToGrid w:val="0"/>
        <w:spacing w:line="300" w:lineRule="auto"/>
        <w:ind w:firstLineChars="200" w:firstLine="422"/>
        <w:rPr>
          <w:rFonts w:ascii="宋体" w:eastAsia="宋体" w:hAnsi="宋体" w:cs="Times New Roman"/>
          <w:b/>
        </w:rPr>
      </w:pPr>
      <w:r w:rsidRPr="007B37CD">
        <w:rPr>
          <w:rFonts w:ascii="宋体" w:eastAsia="宋体" w:hAnsi="宋体" w:cs="Times New Roman" w:hint="eastAsia"/>
          <w:b/>
        </w:rPr>
        <w:t>4.宣传推广</w:t>
      </w:r>
    </w:p>
    <w:p w:rsidR="00633C76" w:rsidRPr="007B37CD" w:rsidRDefault="00633C76" w:rsidP="00633C76">
      <w:pPr>
        <w:spacing w:line="300" w:lineRule="auto"/>
        <w:ind w:firstLineChars="200" w:firstLine="420"/>
        <w:jc w:val="left"/>
        <w:rPr>
          <w:rFonts w:ascii="宋体" w:eastAsia="宋体" w:hAnsi="宋体" w:cs="Times New Roman"/>
        </w:rPr>
      </w:pPr>
      <w:r w:rsidRPr="007B37CD">
        <w:rPr>
          <w:rFonts w:ascii="宋体" w:eastAsia="宋体" w:hAnsi="宋体" w:cs="Times New Roman" w:hint="eastAsia"/>
        </w:rPr>
        <w:t>加强成果的服务推广，积极依托国家公共文化云、安徽公共文化云和安徽省文化馆新媒体账号进行宣传推广。每场活动需设计海报，制作宣传物料，将推文、预告（短视频）、花絮（短视频）、精彩集锦（短视频）、成片（含1-2分钟介绍短片、8-10分钟分章节短片）等内容通过国家公共文化云、安徽公共文化云和安徽省文化馆微信（订阅号、服务号、视频号）、微博、抖音、快手、人民号、今日头条号、央视频等新媒体平台上线发布，开展师资和课程的宣传、推送，记录、整理、分析，重视点击率、点赞率、评论率、转发率、关注率、完播率等观看情况，积极回复留言评论，注重学员互动，提升实际服务成效。</w:t>
      </w:r>
    </w:p>
    <w:p w:rsidR="00633C76" w:rsidRPr="007B37CD" w:rsidRDefault="00633C76" w:rsidP="00633C76">
      <w:pPr>
        <w:adjustRightInd w:val="0"/>
        <w:snapToGrid w:val="0"/>
        <w:spacing w:line="300" w:lineRule="auto"/>
        <w:ind w:firstLineChars="200" w:firstLine="422"/>
        <w:rPr>
          <w:rFonts w:ascii="宋体" w:eastAsia="宋体" w:hAnsi="宋体" w:cs="Times New Roman"/>
          <w:b/>
        </w:rPr>
      </w:pPr>
      <w:r w:rsidRPr="007B37CD">
        <w:rPr>
          <w:rFonts w:ascii="宋体" w:eastAsia="宋体" w:hAnsi="宋体" w:cs="Times New Roman" w:hint="eastAsia"/>
          <w:b/>
        </w:rPr>
        <w:t>5.版权解决</w:t>
      </w:r>
    </w:p>
    <w:p w:rsidR="00633C76" w:rsidRPr="007B37CD" w:rsidRDefault="00633C76" w:rsidP="00633C76">
      <w:pPr>
        <w:adjustRightInd w:val="0"/>
        <w:snapToGrid w:val="0"/>
        <w:spacing w:line="300" w:lineRule="auto"/>
        <w:ind w:firstLineChars="200" w:firstLine="420"/>
        <w:rPr>
          <w:rFonts w:ascii="Times New Roman" w:eastAsia="宋体" w:hAnsi="Times New Roman" w:cs="Times New Roman"/>
          <w:bCs/>
        </w:rPr>
      </w:pPr>
      <w:r w:rsidRPr="007B37CD">
        <w:rPr>
          <w:rFonts w:ascii="宋体" w:eastAsia="宋体" w:hAnsi="宋体" w:cs="Times New Roman" w:hint="eastAsia"/>
        </w:rPr>
        <w:t>该项目资源版权归文化和旅游部全国公共文化发展中心、安徽省文化馆共有。课程上线后，师资可获得相应补助。</w:t>
      </w:r>
    </w:p>
    <w:p w:rsidR="00633C76" w:rsidRPr="007B37CD" w:rsidRDefault="00633C76" w:rsidP="00633C76">
      <w:pPr>
        <w:autoSpaceDE w:val="0"/>
        <w:adjustRightInd w:val="0"/>
        <w:snapToGrid w:val="0"/>
        <w:spacing w:line="360" w:lineRule="auto"/>
        <w:ind w:firstLineChars="200" w:firstLine="422"/>
        <w:rPr>
          <w:rFonts w:ascii="宋体" w:eastAsia="宋体" w:hAnsi="宋体"/>
          <w:b/>
          <w:bCs/>
          <w:szCs w:val="21"/>
        </w:rPr>
      </w:pPr>
    </w:p>
    <w:p w:rsidR="00633C76" w:rsidRPr="007B37CD" w:rsidRDefault="00633C76" w:rsidP="00633C76">
      <w:pPr>
        <w:autoSpaceDE w:val="0"/>
        <w:adjustRightInd w:val="0"/>
        <w:snapToGrid w:val="0"/>
        <w:spacing w:line="360" w:lineRule="auto"/>
        <w:ind w:firstLineChars="200" w:firstLine="422"/>
        <w:rPr>
          <w:rFonts w:ascii="宋体" w:eastAsia="宋体" w:hAnsi="宋体"/>
          <w:b/>
          <w:bCs/>
          <w:szCs w:val="21"/>
        </w:rPr>
      </w:pPr>
      <w:r w:rsidRPr="007B37CD">
        <w:rPr>
          <w:rFonts w:ascii="宋体" w:eastAsia="宋体" w:hAnsi="宋体" w:hint="eastAsia"/>
          <w:b/>
          <w:bCs/>
          <w:szCs w:val="21"/>
        </w:rPr>
        <w:t>五、报价要求</w:t>
      </w:r>
    </w:p>
    <w:bookmarkEnd w:id="1"/>
    <w:bookmarkEnd w:id="4"/>
    <w:bookmarkEnd w:id="7"/>
    <w:p w:rsidR="00633C76" w:rsidRPr="007B37CD" w:rsidRDefault="00633C76" w:rsidP="00633C76">
      <w:pPr>
        <w:widowControl/>
        <w:adjustRightInd w:val="0"/>
        <w:snapToGrid w:val="0"/>
        <w:spacing w:line="360" w:lineRule="auto"/>
        <w:ind w:firstLineChars="200" w:firstLine="420"/>
        <w:rPr>
          <w:rFonts w:ascii="宋体" w:eastAsia="宋体" w:hAnsi="宋体" w:cs="Times New Roman"/>
          <w:szCs w:val="21"/>
          <w:lang w:bidi="en-US"/>
        </w:rPr>
      </w:pPr>
      <w:r w:rsidRPr="007B37CD">
        <w:rPr>
          <w:rFonts w:ascii="宋体" w:eastAsia="宋体" w:hAnsi="宋体" w:cs="Times New Roman" w:hint="eastAsia"/>
          <w:szCs w:val="21"/>
          <w:lang w:bidi="en-US"/>
        </w:rPr>
        <w:t>1.投标人的响应报价包括提供服务的一切成本和费用、管理费、利润和税金，以及采购合同中明示或暗示的所有责任、义务和风险。</w:t>
      </w:r>
    </w:p>
    <w:p w:rsidR="00633C76" w:rsidRPr="007B37CD" w:rsidRDefault="00633C76" w:rsidP="00633C76">
      <w:pPr>
        <w:widowControl/>
        <w:adjustRightInd w:val="0"/>
        <w:snapToGrid w:val="0"/>
        <w:spacing w:line="360" w:lineRule="auto"/>
        <w:ind w:firstLineChars="200" w:firstLine="420"/>
        <w:rPr>
          <w:rFonts w:ascii="宋体" w:eastAsia="宋体" w:hAnsi="宋体" w:cs="Times New Roman"/>
          <w:szCs w:val="21"/>
          <w:lang w:bidi="en-US"/>
        </w:rPr>
      </w:pPr>
      <w:r w:rsidRPr="007B37CD">
        <w:rPr>
          <w:rFonts w:ascii="宋体" w:eastAsia="宋体" w:hAnsi="宋体" w:cs="Times New Roman" w:hint="eastAsia"/>
          <w:szCs w:val="21"/>
          <w:lang w:bidi="en-US"/>
        </w:rPr>
        <w:t>2.采购人后期不再追加费用，投标人自行考虑报价风险。</w:t>
      </w:r>
    </w:p>
    <w:p w:rsidR="00B846F7" w:rsidRPr="00633C76" w:rsidRDefault="00B846F7"/>
    <w:sectPr w:rsidR="00B846F7" w:rsidRPr="00633C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6F7" w:rsidRDefault="00B846F7" w:rsidP="00633C76">
      <w:r>
        <w:separator/>
      </w:r>
    </w:p>
  </w:endnote>
  <w:endnote w:type="continuationSeparator" w:id="1">
    <w:p w:rsidR="00B846F7" w:rsidRDefault="00B846F7" w:rsidP="00633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6F7" w:rsidRDefault="00B846F7" w:rsidP="00633C76">
      <w:r>
        <w:separator/>
      </w:r>
    </w:p>
  </w:footnote>
  <w:footnote w:type="continuationSeparator" w:id="1">
    <w:p w:rsidR="00B846F7" w:rsidRDefault="00B846F7" w:rsidP="00633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64A37"/>
    <w:multiLevelType w:val="singleLevel"/>
    <w:tmpl w:val="2A064A37"/>
    <w:lvl w:ilvl="0">
      <w:start w:val="3"/>
      <w:numFmt w:val="chineseCounting"/>
      <w:suff w:val="space"/>
      <w:lvlText w:val="第%1章"/>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3C76"/>
    <w:rsid w:val="00633C76"/>
    <w:rsid w:val="00B846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C76"/>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3C7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3C76"/>
    <w:rPr>
      <w:sz w:val="18"/>
      <w:szCs w:val="18"/>
    </w:rPr>
  </w:style>
  <w:style w:type="paragraph" w:styleId="a4">
    <w:name w:val="footer"/>
    <w:basedOn w:val="a"/>
    <w:link w:val="Char0"/>
    <w:uiPriority w:val="99"/>
    <w:semiHidden/>
    <w:unhideWhenUsed/>
    <w:rsid w:val="00633C7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33C7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审核-李真</dc:creator>
  <cp:keywords/>
  <dc:description/>
  <cp:lastModifiedBy>审核-李真</cp:lastModifiedBy>
  <cp:revision>2</cp:revision>
  <dcterms:created xsi:type="dcterms:W3CDTF">2025-04-10T06:20:00Z</dcterms:created>
  <dcterms:modified xsi:type="dcterms:W3CDTF">2025-04-10T06:20:00Z</dcterms:modified>
</cp:coreProperties>
</file>