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2DB4B">
      <w:pPr>
        <w:pStyle w:val="2"/>
        <w:widowControl/>
        <w:snapToGrid w:val="0"/>
        <w:spacing w:before="0" w:after="0" w:line="360" w:lineRule="auto"/>
        <w:jc w:val="center"/>
        <w:rPr>
          <w:rFonts w:hint="eastAsia" w:ascii="宋体" w:hAnsi="宋体" w:eastAsia="仿宋"/>
          <w:color w:val="auto"/>
        </w:rPr>
      </w:pPr>
      <w:bookmarkStart w:id="0" w:name="_Toc24366"/>
      <w:bookmarkStart w:id="1" w:name="_Toc466024555"/>
      <w:bookmarkStart w:id="2" w:name="_Toc445554746"/>
      <w:r>
        <w:rPr>
          <w:rFonts w:hint="eastAsia" w:ascii="宋体" w:hAnsi="宋体" w:eastAsia="仿宋"/>
          <w:color w:val="auto"/>
        </w:rPr>
        <w:t>第三章  采购需求</w:t>
      </w:r>
      <w:bookmarkEnd w:id="0"/>
      <w:bookmarkEnd w:id="1"/>
      <w:bookmarkEnd w:id="2"/>
    </w:p>
    <w:p w14:paraId="53007C6D">
      <w:pPr>
        <w:pStyle w:val="3"/>
        <w:rPr>
          <w:rStyle w:val="7"/>
          <w:rFonts w:ascii="宋体" w:hAnsi="宋体" w:eastAsia="仿宋"/>
          <w:b/>
          <w:bCs/>
          <w:color w:val="auto"/>
          <w:sz w:val="24"/>
          <w:szCs w:val="24"/>
        </w:rPr>
      </w:pPr>
      <w:bookmarkStart w:id="3" w:name="_Toc455587089"/>
      <w:bookmarkStart w:id="4" w:name="_Toc466024556"/>
      <w:bookmarkStart w:id="5" w:name="_Toc455587273"/>
      <w:bookmarkStart w:id="6" w:name="_Toc445554747"/>
      <w:r>
        <w:rPr>
          <w:rStyle w:val="7"/>
          <w:rFonts w:hint="eastAsia" w:ascii="宋体" w:hAnsi="宋体" w:eastAsia="仿宋"/>
          <w:b/>
          <w:bCs/>
          <w:color w:val="auto"/>
          <w:sz w:val="24"/>
          <w:szCs w:val="24"/>
        </w:rPr>
        <w:t xml:space="preserve">1. </w:t>
      </w:r>
      <w:bookmarkEnd w:id="3"/>
      <w:bookmarkEnd w:id="4"/>
      <w:bookmarkEnd w:id="5"/>
      <w:r>
        <w:rPr>
          <w:rStyle w:val="7"/>
          <w:rFonts w:hint="eastAsia" w:ascii="宋体" w:hAnsi="宋体" w:eastAsia="仿宋"/>
          <w:b/>
          <w:bCs/>
          <w:color w:val="auto"/>
          <w:sz w:val="24"/>
          <w:szCs w:val="24"/>
        </w:rPr>
        <w:t>总体说明</w:t>
      </w:r>
    </w:p>
    <w:p w14:paraId="1C6D2D0A">
      <w:pPr>
        <w:widowControl/>
        <w:tabs>
          <w:tab w:val="left" w:pos="1406"/>
        </w:tabs>
        <w:snapToGrid w:val="0"/>
        <w:spacing w:line="360" w:lineRule="auto"/>
        <w:ind w:firstLine="480" w:firstLineChars="200"/>
        <w:rPr>
          <w:rFonts w:hint="eastAsia" w:ascii="宋体" w:hAnsi="宋体" w:eastAsia="仿宋"/>
          <w:color w:val="auto"/>
          <w:sz w:val="24"/>
        </w:rPr>
      </w:pPr>
      <w:r>
        <w:rPr>
          <w:rFonts w:hint="eastAsia" w:ascii="宋体" w:hAnsi="宋体" w:eastAsia="仿宋"/>
          <w:color w:val="auto"/>
          <w:sz w:val="24"/>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3DF9195B">
      <w:pPr>
        <w:widowControl/>
        <w:tabs>
          <w:tab w:val="left" w:pos="1406"/>
        </w:tabs>
        <w:snapToGrid w:val="0"/>
        <w:spacing w:line="360" w:lineRule="auto"/>
        <w:ind w:firstLine="480" w:firstLineChars="200"/>
        <w:rPr>
          <w:rFonts w:hint="eastAsia" w:ascii="宋体" w:hAnsi="宋体" w:eastAsia="仿宋"/>
          <w:color w:val="auto"/>
          <w:sz w:val="24"/>
        </w:rPr>
      </w:pPr>
      <w:r>
        <w:rPr>
          <w:rFonts w:hint="eastAsia" w:ascii="宋体" w:hAnsi="宋体" w:eastAsia="仿宋"/>
          <w:color w:val="auto"/>
          <w:sz w:val="24"/>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18702835">
      <w:pPr>
        <w:widowControl/>
        <w:tabs>
          <w:tab w:val="left" w:pos="1406"/>
        </w:tabs>
        <w:snapToGrid w:val="0"/>
        <w:spacing w:line="360" w:lineRule="auto"/>
        <w:ind w:firstLine="480" w:firstLineChars="200"/>
        <w:rPr>
          <w:rFonts w:hint="eastAsia" w:ascii="宋体" w:hAnsi="宋体" w:eastAsia="仿宋"/>
          <w:color w:val="auto"/>
          <w:sz w:val="24"/>
        </w:rPr>
      </w:pPr>
      <w:r>
        <w:rPr>
          <w:rFonts w:hint="eastAsia" w:ascii="宋体" w:hAnsi="宋体" w:eastAsia="仿宋"/>
          <w:color w:val="auto"/>
          <w:sz w:val="24"/>
        </w:rPr>
        <w:t>1.3 除非有特别说明，本章中所列的具体参数或参数范围，均理解为采购人可接受的最低要求。</w:t>
      </w:r>
    </w:p>
    <w:p w14:paraId="2E99E0B7">
      <w:pPr>
        <w:widowControl/>
        <w:tabs>
          <w:tab w:val="left" w:pos="1406"/>
        </w:tabs>
        <w:snapToGrid w:val="0"/>
        <w:spacing w:line="360" w:lineRule="auto"/>
        <w:ind w:firstLine="480" w:firstLineChars="200"/>
        <w:rPr>
          <w:rFonts w:hint="eastAsia" w:ascii="宋体" w:hAnsi="宋体" w:eastAsia="仿宋"/>
          <w:color w:val="auto"/>
          <w:sz w:val="24"/>
        </w:rPr>
      </w:pPr>
      <w:r>
        <w:rPr>
          <w:rFonts w:hint="eastAsia" w:ascii="宋体" w:hAnsi="宋体" w:eastAsia="仿宋"/>
          <w:color w:val="auto"/>
          <w:sz w:val="24"/>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rPr>
        <w:t>进口产品的认定按照财政部文件《关于政府采购进口产品管理有关问题的通知》（财办库〔2008〕248号）规定，整机设备内元器件不做限制。</w:t>
      </w:r>
    </w:p>
    <w:p w14:paraId="023AA928">
      <w:pPr>
        <w:widowControl/>
        <w:tabs>
          <w:tab w:val="left" w:pos="1406"/>
        </w:tabs>
        <w:snapToGrid w:val="0"/>
        <w:spacing w:line="360" w:lineRule="auto"/>
        <w:ind w:firstLine="480" w:firstLineChars="200"/>
        <w:rPr>
          <w:rFonts w:hint="eastAsia" w:ascii="宋体" w:hAnsi="宋体" w:eastAsia="仿宋"/>
          <w:color w:val="auto"/>
          <w:sz w:val="24"/>
        </w:rPr>
      </w:pPr>
      <w:r>
        <w:rPr>
          <w:rFonts w:hint="eastAsia" w:ascii="宋体" w:hAnsi="宋体" w:eastAsia="仿宋"/>
          <w:color w:val="auto"/>
          <w:sz w:val="24"/>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5B2C760A">
      <w:pPr>
        <w:pStyle w:val="3"/>
        <w:rPr>
          <w:rStyle w:val="7"/>
          <w:rFonts w:hint="eastAsia" w:ascii="宋体" w:hAnsi="宋体" w:eastAsia="仿宋"/>
          <w:b/>
          <w:bCs/>
          <w:color w:val="auto"/>
          <w:sz w:val="24"/>
          <w:szCs w:val="24"/>
        </w:rPr>
      </w:pPr>
      <w:bookmarkStart w:id="7" w:name="_Toc455587274"/>
      <w:bookmarkStart w:id="8" w:name="_Toc466024557"/>
      <w:bookmarkStart w:id="9" w:name="_Toc455587090"/>
      <w:r>
        <w:rPr>
          <w:rStyle w:val="7"/>
          <w:rFonts w:hint="eastAsia" w:ascii="宋体" w:hAnsi="宋体" w:eastAsia="仿宋"/>
          <w:b/>
          <w:bCs/>
          <w:color w:val="auto"/>
          <w:sz w:val="24"/>
          <w:szCs w:val="24"/>
        </w:rPr>
        <w:t>2. 采购内容及范围</w:t>
      </w:r>
      <w:bookmarkEnd w:id="7"/>
      <w:bookmarkEnd w:id="8"/>
      <w:bookmarkEnd w:id="9"/>
    </w:p>
    <w:p w14:paraId="26745B3C">
      <w:pPr>
        <w:widowControl/>
        <w:tabs>
          <w:tab w:val="left" w:pos="1406"/>
        </w:tabs>
        <w:snapToGrid w:val="0"/>
        <w:spacing w:line="360" w:lineRule="auto"/>
        <w:ind w:firstLine="412" w:firstLineChars="171"/>
        <w:rPr>
          <w:rFonts w:hint="eastAsia" w:ascii="宋体" w:hAnsi="宋体" w:eastAsia="仿宋"/>
          <w:b/>
          <w:color w:val="auto"/>
          <w:sz w:val="24"/>
        </w:rPr>
      </w:pPr>
      <w:r>
        <w:rPr>
          <w:rFonts w:hint="eastAsia" w:ascii="宋体" w:hAnsi="宋体" w:eastAsia="仿宋"/>
          <w:b/>
          <w:color w:val="auto"/>
          <w:sz w:val="24"/>
        </w:rPr>
        <w:t>2.1 采购内容</w:t>
      </w:r>
    </w:p>
    <w:p w14:paraId="6C54030E">
      <w:pPr>
        <w:widowControl/>
        <w:tabs>
          <w:tab w:val="left" w:pos="1406"/>
        </w:tabs>
        <w:snapToGrid w:val="0"/>
        <w:spacing w:line="360" w:lineRule="auto"/>
        <w:ind w:firstLine="410" w:firstLineChars="171"/>
        <w:rPr>
          <w:rFonts w:ascii="宋体" w:hAnsi="宋体" w:eastAsia="仿宋"/>
          <w:b/>
          <w:color w:val="auto"/>
          <w:sz w:val="24"/>
        </w:rPr>
      </w:pPr>
      <w:r>
        <w:rPr>
          <w:rFonts w:hint="eastAsia" w:ascii="宋体" w:hAnsi="宋体" w:eastAsia="仿宋"/>
          <w:color w:val="auto"/>
          <w:sz w:val="24"/>
        </w:rPr>
        <w:fldChar w:fldCharType="begin"/>
      </w:r>
      <w:r>
        <w:rPr>
          <w:rFonts w:hint="eastAsia" w:ascii="宋体" w:hAnsi="宋体" w:eastAsia="仿宋"/>
          <w:color w:val="auto"/>
          <w:sz w:val="24"/>
        </w:rPr>
        <w:instrText xml:space="preserve"> HYPERLINK "http://192.168.8.28/AHTG/Tab/ShowProject2020.asp?id=117134" </w:instrText>
      </w:r>
      <w:r>
        <w:rPr>
          <w:rFonts w:hint="eastAsia" w:ascii="宋体" w:hAnsi="宋体" w:eastAsia="仿宋"/>
          <w:color w:val="auto"/>
          <w:sz w:val="24"/>
        </w:rPr>
        <w:fldChar w:fldCharType="separate"/>
      </w:r>
      <w:r>
        <w:rPr>
          <w:rFonts w:hint="eastAsia" w:ascii="宋体" w:hAnsi="宋体" w:eastAsia="仿宋"/>
          <w:color w:val="auto"/>
          <w:sz w:val="24"/>
        </w:rPr>
        <w:t>安徽水利水电职业技术学院实时控制教学综合实训中心设备更新项目第二阶段（新能源汽车专业群建设项目）</w:t>
      </w:r>
      <w:r>
        <w:rPr>
          <w:rFonts w:hint="eastAsia" w:ascii="宋体" w:hAnsi="宋体" w:eastAsia="仿宋"/>
          <w:color w:val="auto"/>
          <w:sz w:val="24"/>
        </w:rPr>
        <w:fldChar w:fldCharType="end"/>
      </w:r>
      <w:r>
        <w:rPr>
          <w:rFonts w:hint="eastAsia" w:ascii="宋体" w:hAnsi="宋体" w:eastAsia="仿宋"/>
          <w:color w:val="auto"/>
          <w:sz w:val="24"/>
        </w:rPr>
        <w:t>，具体详见技术要求表。</w:t>
      </w:r>
    </w:p>
    <w:p w14:paraId="26F2DA20">
      <w:pPr>
        <w:widowControl/>
        <w:tabs>
          <w:tab w:val="left" w:pos="1406"/>
        </w:tabs>
        <w:snapToGrid w:val="0"/>
        <w:spacing w:line="360" w:lineRule="auto"/>
        <w:ind w:firstLine="412" w:firstLineChars="171"/>
        <w:rPr>
          <w:rFonts w:hint="eastAsia" w:ascii="宋体" w:hAnsi="宋体" w:eastAsia="仿宋"/>
          <w:b/>
          <w:color w:val="auto"/>
          <w:sz w:val="24"/>
        </w:rPr>
      </w:pPr>
      <w:r>
        <w:rPr>
          <w:rFonts w:hint="eastAsia" w:ascii="宋体" w:hAnsi="宋体" w:eastAsia="仿宋"/>
          <w:b/>
          <w:color w:val="auto"/>
          <w:sz w:val="24"/>
        </w:rPr>
        <w:t>2.2 采购范围</w:t>
      </w:r>
    </w:p>
    <w:p w14:paraId="1241AFF6">
      <w:pPr>
        <w:pStyle w:val="4"/>
        <w:widowControl/>
        <w:snapToGrid w:val="0"/>
        <w:spacing w:line="360" w:lineRule="auto"/>
        <w:ind w:firstLine="480" w:firstLineChars="200"/>
        <w:rPr>
          <w:rFonts w:hint="eastAsia" w:hAnsi="宋体" w:eastAsia="仿宋"/>
          <w:color w:val="auto"/>
          <w:sz w:val="24"/>
          <w:szCs w:val="24"/>
        </w:rPr>
      </w:pPr>
      <w:r>
        <w:rPr>
          <w:rFonts w:hint="eastAsia" w:hAnsi="宋体" w:eastAsia="仿宋"/>
          <w:color w:val="auto"/>
          <w:sz w:val="24"/>
          <w:szCs w:val="24"/>
        </w:rPr>
        <w:t>包括所有货物的供货、包装运输（包括卸车及就位至采购人指定的安装地点）、安装、调试、技术服务、培训、售后服务等所有内容。</w:t>
      </w:r>
    </w:p>
    <w:p w14:paraId="00BA3180">
      <w:pPr>
        <w:widowControl/>
        <w:tabs>
          <w:tab w:val="left" w:pos="1406"/>
        </w:tabs>
        <w:snapToGrid w:val="0"/>
        <w:spacing w:line="360" w:lineRule="auto"/>
        <w:ind w:firstLine="480" w:firstLineChars="200"/>
        <w:rPr>
          <w:rFonts w:hint="eastAsia" w:ascii="宋体" w:hAnsi="宋体" w:eastAsia="仿宋"/>
          <w:color w:val="auto"/>
          <w:sz w:val="24"/>
        </w:rPr>
      </w:pPr>
    </w:p>
    <w:p w14:paraId="03195D1C">
      <w:pPr>
        <w:pStyle w:val="3"/>
        <w:rPr>
          <w:rFonts w:ascii="宋体" w:hAnsi="宋体" w:eastAsia="仿宋"/>
          <w:color w:val="auto"/>
          <w:sz w:val="24"/>
        </w:rPr>
      </w:pPr>
      <w:r>
        <w:rPr>
          <w:rFonts w:hint="eastAsia" w:ascii="宋体" w:hAnsi="宋体" w:eastAsia="仿宋"/>
          <w:color w:val="auto"/>
          <w:sz w:val="24"/>
        </w:rPr>
        <w:t>3</w:t>
      </w:r>
      <w:r>
        <w:rPr>
          <w:rFonts w:ascii="宋体" w:hAnsi="宋体" w:eastAsia="仿宋"/>
          <w:color w:val="auto"/>
          <w:sz w:val="24"/>
        </w:rPr>
        <w:t>. 商务要求</w:t>
      </w:r>
    </w:p>
    <w:p w14:paraId="3404F81A">
      <w:pPr>
        <w:rPr>
          <w:rFonts w:hint="eastAsia" w:ascii="仿宋" w:hAnsi="仿宋" w:eastAsia="仿宋" w:cs="仿宋"/>
          <w:b/>
          <w:bCs/>
          <w:color w:val="auto"/>
          <w:sz w:val="24"/>
          <w:szCs w:val="32"/>
        </w:rPr>
      </w:pPr>
      <w:r>
        <w:rPr>
          <w:rFonts w:hint="eastAsia" w:ascii="仿宋" w:hAnsi="仿宋" w:eastAsia="仿宋" w:cs="仿宋"/>
          <w:b/>
          <w:bCs/>
          <w:color w:val="auto"/>
          <w:sz w:val="24"/>
          <w:szCs w:val="32"/>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6D4DE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0C85DC2F">
            <w:pPr>
              <w:widowControl/>
              <w:jc w:val="left"/>
              <w:rPr>
                <w:rFonts w:hint="eastAsia" w:ascii="宋体" w:hAnsi="宋体" w:eastAsia="仿宋"/>
                <w:color w:val="auto"/>
                <w:sz w:val="24"/>
              </w:rPr>
            </w:pPr>
            <w:r>
              <w:rPr>
                <w:rFonts w:hint="eastAsia" w:ascii="宋体" w:hAnsi="宋体" w:eastAsia="仿宋"/>
                <w:color w:val="auto"/>
                <w:sz w:val="24"/>
              </w:rPr>
              <w:t>交付（实施）的时间（期限）</w:t>
            </w:r>
          </w:p>
        </w:tc>
        <w:tc>
          <w:tcPr>
            <w:tcW w:w="7479" w:type="dxa"/>
            <w:noWrap w:val="0"/>
            <w:vAlign w:val="top"/>
          </w:tcPr>
          <w:p w14:paraId="59C84A20">
            <w:pPr>
              <w:widowControl/>
              <w:adjustRightInd w:val="0"/>
              <w:snapToGrid w:val="0"/>
              <w:spacing w:line="288" w:lineRule="auto"/>
              <w:rPr>
                <w:rFonts w:hint="eastAsia" w:ascii="楷体" w:hAnsi="楷体" w:eastAsia="仿宋" w:cs="Calibri"/>
                <w:color w:val="auto"/>
                <w:sz w:val="24"/>
              </w:rPr>
            </w:pPr>
            <w:r>
              <w:rPr>
                <w:rFonts w:hint="eastAsia" w:ascii="楷体" w:hAnsi="楷体" w:eastAsia="仿宋" w:cs="Calibri"/>
                <w:color w:val="auto"/>
                <w:sz w:val="24"/>
              </w:rPr>
              <w:t>合同签订后30日历天内，完成供货安装及调试。</w:t>
            </w:r>
          </w:p>
          <w:p w14:paraId="41C08323">
            <w:pPr>
              <w:widowControl/>
              <w:adjustRightInd w:val="0"/>
              <w:snapToGrid w:val="0"/>
              <w:spacing w:line="288" w:lineRule="auto"/>
              <w:rPr>
                <w:rFonts w:hint="eastAsia" w:ascii="楷体" w:hAnsi="楷体" w:eastAsia="仿宋" w:cs="Calibri"/>
                <w:color w:val="auto"/>
                <w:sz w:val="24"/>
              </w:rPr>
            </w:pPr>
            <w:r>
              <w:rPr>
                <w:rFonts w:hint="eastAsia" w:ascii="宋体" w:hAnsi="宋体" w:eastAsia="仿宋" w:cs="Calibri"/>
                <w:color w:val="auto"/>
                <w:sz w:val="24"/>
              </w:rPr>
              <w:t>是否接受负偏离：</w:t>
            </w:r>
            <w:r>
              <w:rPr>
                <w:rFonts w:hint="eastAsia" w:ascii="楷体" w:hAnsi="楷体" w:eastAsia="仿宋" w:cs="Calibri"/>
                <w:color w:val="auto"/>
                <w:sz w:val="24"/>
              </w:rPr>
              <w:t>☑不接受</w:t>
            </w:r>
          </w:p>
          <w:p w14:paraId="2F15E527">
            <w:pPr>
              <w:pStyle w:val="8"/>
              <w:ind w:firstLine="480"/>
              <w:rPr>
                <w:rFonts w:hint="eastAsia" w:ascii="楷体" w:hAnsi="楷体" w:eastAsia="仿宋" w:cs="Calibri"/>
                <w:color w:val="auto"/>
                <w:sz w:val="24"/>
              </w:rPr>
            </w:pPr>
            <w:r>
              <w:rPr>
                <w:rFonts w:hint="eastAsia" w:ascii="楷体" w:hAnsi="楷体" w:eastAsia="仿宋" w:cs="Calibri"/>
                <w:color w:val="auto"/>
                <w:sz w:val="24"/>
              </w:rPr>
              <w:t xml:space="preserve">            □接受：</w:t>
            </w:r>
          </w:p>
          <w:p w14:paraId="064E0CF4">
            <w:pPr>
              <w:pStyle w:val="8"/>
              <w:ind w:firstLine="2160" w:firstLineChars="900"/>
              <w:rPr>
                <w:rFonts w:hint="eastAsia" w:ascii="宋体" w:hAnsi="宋体" w:eastAsia="仿宋"/>
                <w:color w:val="auto"/>
                <w:sz w:val="24"/>
              </w:rPr>
            </w:pPr>
            <w:r>
              <w:rPr>
                <w:rFonts w:hint="eastAsia" w:ascii="楷体" w:hAnsi="楷体" w:eastAsia="仿宋" w:cs="Calibri"/>
                <w:color w:val="auto"/>
                <w:sz w:val="24"/>
              </w:rPr>
              <w:t>允许偏离的幅度：</w:t>
            </w:r>
            <w:r>
              <w:rPr>
                <w:rFonts w:hint="eastAsia" w:ascii="宋体" w:hAnsi="宋体" w:eastAsia="仿宋" w:cs="Calibri"/>
                <w:color w:val="auto"/>
                <w:sz w:val="24"/>
              </w:rPr>
              <w:t>/</w:t>
            </w:r>
          </w:p>
        </w:tc>
      </w:tr>
      <w:tr w14:paraId="7079C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59BCD936">
            <w:pPr>
              <w:widowControl/>
              <w:jc w:val="left"/>
              <w:rPr>
                <w:rFonts w:hint="eastAsia" w:ascii="宋体" w:hAnsi="宋体" w:eastAsia="仿宋"/>
                <w:color w:val="auto"/>
                <w:sz w:val="24"/>
              </w:rPr>
            </w:pPr>
            <w:r>
              <w:rPr>
                <w:rFonts w:hint="eastAsia" w:ascii="宋体" w:hAnsi="宋体" w:eastAsia="仿宋"/>
                <w:color w:val="auto"/>
                <w:sz w:val="24"/>
              </w:rPr>
              <w:t>交付（实施）的地点（范围）</w:t>
            </w:r>
          </w:p>
        </w:tc>
        <w:tc>
          <w:tcPr>
            <w:tcW w:w="7479" w:type="dxa"/>
            <w:noWrap w:val="0"/>
            <w:vAlign w:val="top"/>
          </w:tcPr>
          <w:p w14:paraId="09868989">
            <w:pPr>
              <w:pStyle w:val="8"/>
              <w:ind w:firstLine="0" w:firstLineChars="0"/>
              <w:rPr>
                <w:rFonts w:ascii="宋体" w:hAnsi="宋体" w:eastAsia="仿宋"/>
                <w:color w:val="auto"/>
                <w:sz w:val="24"/>
              </w:rPr>
            </w:pPr>
            <w:r>
              <w:rPr>
                <w:rFonts w:ascii="宋体" w:hAnsi="宋体" w:eastAsia="仿宋"/>
                <w:color w:val="auto"/>
                <w:sz w:val="24"/>
              </w:rPr>
              <w:t>安徽水利水电职业技术学院，采购人指定地点</w:t>
            </w:r>
          </w:p>
        </w:tc>
      </w:tr>
      <w:tr w14:paraId="7DCF6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center"/>
          </w:tcPr>
          <w:p w14:paraId="3EE42871">
            <w:pPr>
              <w:pStyle w:val="8"/>
              <w:ind w:firstLine="0" w:firstLineChars="0"/>
              <w:jc w:val="center"/>
              <w:rPr>
                <w:rFonts w:ascii="宋体" w:hAnsi="宋体" w:eastAsia="仿宋"/>
                <w:color w:val="auto"/>
                <w:sz w:val="24"/>
              </w:rPr>
            </w:pPr>
            <w:r>
              <w:rPr>
                <w:rFonts w:hint="eastAsia" w:ascii="宋体" w:hAnsi="宋体" w:eastAsia="仿宋"/>
                <w:color w:val="auto"/>
                <w:sz w:val="24"/>
              </w:rPr>
              <w:t>付款方式</w:t>
            </w:r>
          </w:p>
        </w:tc>
        <w:tc>
          <w:tcPr>
            <w:tcW w:w="7479" w:type="dxa"/>
            <w:noWrap w:val="0"/>
            <w:vAlign w:val="top"/>
          </w:tcPr>
          <w:p w14:paraId="07400AC2">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b/>
                <w:bCs/>
                <w:color w:val="auto"/>
                <w:sz w:val="24"/>
              </w:rPr>
              <w:t>预付款支付比例：预付款为合同金额的40%。</w:t>
            </w:r>
          </w:p>
          <w:p w14:paraId="3A44A1A6">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color w:val="auto"/>
                <w:sz w:val="24"/>
              </w:rPr>
              <w:t>中标人需提供预付款保函，预付款在合同、担保措施生效以及具备实施条件后5个工作日内支付。在签订合同时，中标人书面明确表示无需预付款或者主动要求降低预付款比例的，采购人可不适用前述规定。</w:t>
            </w:r>
          </w:p>
          <w:p w14:paraId="10FCBB94">
            <w:pPr>
              <w:widowControl/>
              <w:adjustRightInd w:val="0"/>
              <w:snapToGrid w:val="0"/>
              <w:spacing w:line="288" w:lineRule="auto"/>
              <w:rPr>
                <w:rFonts w:hint="eastAsia" w:ascii="宋体" w:hAnsi="宋体" w:eastAsia="仿宋" w:cs="Calibri"/>
                <w:color w:val="auto"/>
                <w:sz w:val="24"/>
              </w:rPr>
            </w:pPr>
          </w:p>
          <w:p w14:paraId="2CF56116">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color w:val="auto"/>
                <w:sz w:val="24"/>
              </w:rPr>
              <w:t>预付款保函要求：</w:t>
            </w:r>
          </w:p>
          <w:p w14:paraId="1F404771">
            <w:pPr>
              <w:widowControl/>
              <w:adjustRightInd w:val="0"/>
              <w:snapToGrid w:val="0"/>
              <w:spacing w:line="288" w:lineRule="auto"/>
              <w:rPr>
                <w:rFonts w:ascii="宋体" w:hAnsi="宋体" w:eastAsia="仿宋" w:cs="Calibri"/>
                <w:color w:val="auto"/>
                <w:sz w:val="24"/>
              </w:rPr>
            </w:pPr>
            <w:r>
              <w:rPr>
                <w:rFonts w:hint="eastAsia" w:ascii="宋体" w:hAnsi="宋体" w:eastAsia="仿宋" w:cs="Calibri"/>
                <w:color w:val="auto"/>
                <w:sz w:val="24"/>
              </w:rPr>
              <w:t>（1）中标人提供保函的受益人和收取单位须为采购人，担保期限不少于合同履约期限。</w:t>
            </w:r>
          </w:p>
          <w:p w14:paraId="25A0A809">
            <w:pPr>
              <w:widowControl/>
              <w:adjustRightInd w:val="0"/>
              <w:snapToGrid w:val="0"/>
              <w:spacing w:line="288" w:lineRule="auto"/>
              <w:rPr>
                <w:rFonts w:ascii="宋体" w:hAnsi="宋体" w:cs="Calibri"/>
                <w:color w:val="auto"/>
                <w:sz w:val="24"/>
              </w:rPr>
            </w:pPr>
            <w:r>
              <w:rPr>
                <w:rFonts w:hint="eastAsia" w:ascii="宋体" w:hAnsi="宋体" w:eastAsia="仿宋" w:cs="Calibri"/>
                <w:color w:val="auto"/>
                <w:sz w:val="24"/>
              </w:rPr>
              <w:t>（2）保函形式：☑银行保函☑担保机构担保</w:t>
            </w:r>
            <w:r>
              <w:rPr>
                <w:rFonts w:hint="eastAsia" w:ascii="MS Mincho" w:hAnsi="MS Mincho" w:eastAsia="MS Mincho" w:cs="MS Mincho"/>
                <w:color w:val="auto"/>
                <w:sz w:val="24"/>
              </w:rPr>
              <w:t>☑</w:t>
            </w:r>
            <w:r>
              <w:rPr>
                <w:rFonts w:hint="eastAsia" w:ascii="宋体" w:hAnsi="宋体" w:eastAsia="仿宋" w:cs="Calibri"/>
                <w:color w:val="auto"/>
                <w:sz w:val="24"/>
              </w:rPr>
              <w:t>保证保险</w:t>
            </w:r>
            <w:r>
              <w:rPr>
                <w:rFonts w:hint="eastAsia" w:ascii="MS Mincho" w:hAnsi="MS Mincho" w:eastAsia="MS Mincho" w:cs="MS Mincho"/>
                <w:color w:val="auto"/>
                <w:sz w:val="24"/>
              </w:rPr>
              <w:t>☑</w:t>
            </w:r>
            <w:r>
              <w:rPr>
                <w:rFonts w:hint="eastAsia" w:ascii="宋体" w:hAnsi="宋体" w:eastAsia="仿宋" w:cs="Calibri"/>
                <w:color w:val="auto"/>
                <w:sz w:val="24"/>
              </w:rPr>
              <w:t>电子保函</w:t>
            </w:r>
          </w:p>
          <w:p w14:paraId="00E3CB8F">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color w:val="auto"/>
                <w:sz w:val="24"/>
              </w:rPr>
              <w:t>（3）保函递交要求：</w:t>
            </w:r>
          </w:p>
          <w:p w14:paraId="0BF38972">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color w:val="auto"/>
                <w:sz w:val="24"/>
              </w:rPr>
              <w:t>①如采用银行保函，银行保函应为见索即付无条件独立保函，且应将原件交至采购人保管。</w:t>
            </w:r>
          </w:p>
          <w:p w14:paraId="6599614C">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color w:val="auto"/>
                <w:sz w:val="24"/>
              </w:rPr>
              <w:t>②采用担保机构担保的，应为依法取得融资担保业务经营许可证的融资担保机构出具的不可撤销、不可转让的见索即付独立保函。</w:t>
            </w:r>
          </w:p>
          <w:p w14:paraId="46B3A70D">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color w:val="auto"/>
                <w:sz w:val="24"/>
              </w:rPr>
              <w:t>③采用保证保险的，应为保险公司出具的不可撤销、不可转让的见索即付保证保险。</w:t>
            </w:r>
          </w:p>
          <w:p w14:paraId="3E4A72DD">
            <w:pPr>
              <w:widowControl/>
              <w:adjustRightInd w:val="0"/>
              <w:snapToGrid w:val="0"/>
              <w:spacing w:line="288" w:lineRule="auto"/>
              <w:rPr>
                <w:rFonts w:hint="eastAsia" w:ascii="宋体" w:hAnsi="宋体" w:eastAsia="仿宋"/>
                <w:color w:val="auto"/>
                <w:sz w:val="24"/>
              </w:rPr>
            </w:pPr>
            <w:r>
              <w:rPr>
                <w:rFonts w:hint="eastAsia" w:ascii="仿宋" w:hAnsi="仿宋" w:eastAsia="仿宋" w:cs="仿宋"/>
                <w:color w:val="auto"/>
                <w:sz w:val="24"/>
                <w:lang w:bidi="ar"/>
              </w:rPr>
              <w:t>④</w:t>
            </w:r>
            <w:r>
              <w:rPr>
                <w:rFonts w:hint="eastAsia" w:ascii="宋体" w:hAnsi="宋体" w:eastAsia="仿宋" w:cs="Calibri"/>
                <w:color w:val="auto"/>
                <w:sz w:val="24"/>
                <w:lang w:bidi="ar"/>
              </w:rPr>
              <w:t>采用电子保函的，</w:t>
            </w:r>
            <w:r>
              <w:rPr>
                <w:rFonts w:hint="eastAsia" w:ascii="宋体" w:hAnsi="宋体" w:eastAsia="仿宋"/>
                <w:color w:val="auto"/>
                <w:sz w:val="24"/>
              </w:rPr>
              <w:t>可访问安徽省政府采购网“融资/保函”栏目进行申请。</w:t>
            </w:r>
          </w:p>
          <w:p w14:paraId="6577007D">
            <w:pPr>
              <w:widowControl/>
              <w:adjustRightInd w:val="0"/>
              <w:snapToGrid w:val="0"/>
              <w:spacing w:line="288" w:lineRule="auto"/>
              <w:rPr>
                <w:rFonts w:hint="eastAsia" w:ascii="宋体" w:hAnsi="宋体" w:eastAsia="仿宋"/>
                <w:color w:val="auto"/>
                <w:sz w:val="24"/>
              </w:rPr>
            </w:pPr>
          </w:p>
          <w:p w14:paraId="456AA80E">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olor w:val="auto"/>
                <w:sz w:val="24"/>
              </w:rPr>
              <w:t>余款支付方式：待主要设备送达验收后支付至合同金额的70%，项目最终完工验收后支付剩余款项。付款前中标人需开具相应增值税专票给采购人。</w:t>
            </w:r>
          </w:p>
          <w:p w14:paraId="510B4229">
            <w:pPr>
              <w:rPr>
                <w:color w:val="auto"/>
              </w:rPr>
            </w:pPr>
          </w:p>
          <w:p w14:paraId="69CC488E">
            <w:pPr>
              <w:widowControl/>
              <w:adjustRightInd w:val="0"/>
              <w:snapToGrid w:val="0"/>
              <w:spacing w:line="288" w:lineRule="auto"/>
              <w:rPr>
                <w:rFonts w:hint="eastAsia" w:ascii="楷体" w:hAnsi="楷体" w:eastAsia="仿宋" w:cs="Calibri"/>
                <w:color w:val="auto"/>
                <w:sz w:val="24"/>
              </w:rPr>
            </w:pPr>
            <w:r>
              <w:rPr>
                <w:rFonts w:hint="eastAsia" w:ascii="宋体" w:hAnsi="宋体" w:eastAsia="仿宋" w:cs="Calibri"/>
                <w:color w:val="auto"/>
                <w:sz w:val="24"/>
              </w:rPr>
              <w:t>是否接受负偏离：</w:t>
            </w:r>
            <w:r>
              <w:rPr>
                <w:rFonts w:hint="eastAsia" w:ascii="楷体" w:hAnsi="楷体" w:eastAsia="仿宋" w:cs="Calibri"/>
                <w:color w:val="auto"/>
                <w:sz w:val="24"/>
              </w:rPr>
              <w:t>☑不接受</w:t>
            </w:r>
          </w:p>
          <w:p w14:paraId="665B26D2">
            <w:pPr>
              <w:widowControl/>
              <w:adjustRightInd w:val="0"/>
              <w:snapToGrid w:val="0"/>
              <w:spacing w:line="288" w:lineRule="auto"/>
              <w:rPr>
                <w:rFonts w:hint="eastAsia" w:ascii="楷体" w:hAnsi="楷体" w:eastAsia="仿宋" w:cs="Calibri"/>
                <w:color w:val="auto"/>
                <w:sz w:val="24"/>
              </w:rPr>
            </w:pPr>
            <w:r>
              <w:rPr>
                <w:rFonts w:hint="eastAsia" w:ascii="楷体" w:hAnsi="楷体" w:eastAsia="仿宋" w:cs="Calibri"/>
                <w:color w:val="auto"/>
                <w:sz w:val="24"/>
              </w:rPr>
              <w:t xml:space="preserve">                □接受：</w:t>
            </w:r>
          </w:p>
          <w:p w14:paraId="7EC07CA1">
            <w:pPr>
              <w:widowControl/>
              <w:adjustRightInd w:val="0"/>
              <w:snapToGrid w:val="0"/>
              <w:spacing w:line="288" w:lineRule="auto"/>
              <w:ind w:firstLine="1920" w:firstLineChars="800"/>
              <w:rPr>
                <w:rFonts w:ascii="宋体" w:hAnsi="宋体" w:eastAsia="仿宋"/>
                <w:color w:val="auto"/>
                <w:sz w:val="24"/>
              </w:rPr>
            </w:pPr>
            <w:r>
              <w:rPr>
                <w:rFonts w:hint="eastAsia" w:ascii="楷体" w:hAnsi="楷体" w:eastAsia="仿宋" w:cs="Calibri"/>
                <w:color w:val="auto"/>
                <w:sz w:val="24"/>
              </w:rPr>
              <w:t>允许偏离的幅度：</w:t>
            </w:r>
            <w:r>
              <w:rPr>
                <w:rFonts w:hint="eastAsia" w:ascii="仿宋" w:hAnsi="仿宋" w:eastAsia="仿宋" w:cs="仿宋"/>
                <w:iCs/>
                <w:color w:val="auto"/>
                <w:sz w:val="24"/>
              </w:rPr>
              <w:t>/</w:t>
            </w:r>
          </w:p>
        </w:tc>
      </w:tr>
      <w:tr w14:paraId="2294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02647565">
            <w:pPr>
              <w:pStyle w:val="8"/>
              <w:ind w:firstLine="0" w:firstLineChars="0"/>
              <w:rPr>
                <w:rFonts w:ascii="宋体" w:hAnsi="宋体" w:eastAsia="仿宋"/>
                <w:color w:val="auto"/>
                <w:sz w:val="24"/>
              </w:rPr>
            </w:pPr>
            <w:r>
              <w:rPr>
                <w:rFonts w:hint="eastAsia" w:ascii="宋体" w:hAnsi="宋体" w:eastAsia="仿宋" w:cs="Calibri"/>
                <w:color w:val="auto"/>
                <w:sz w:val="24"/>
              </w:rPr>
              <w:t>质量保证期</w:t>
            </w:r>
          </w:p>
        </w:tc>
        <w:tc>
          <w:tcPr>
            <w:tcW w:w="7479" w:type="dxa"/>
            <w:noWrap w:val="0"/>
            <w:vAlign w:val="top"/>
          </w:tcPr>
          <w:p w14:paraId="17B45F27">
            <w:pPr>
              <w:widowControl/>
              <w:adjustRightInd w:val="0"/>
              <w:snapToGrid w:val="0"/>
              <w:spacing w:line="288" w:lineRule="auto"/>
              <w:rPr>
                <w:rFonts w:hint="eastAsia" w:ascii="宋体" w:hAnsi="宋体" w:eastAsia="仿宋" w:cs="Calibri"/>
                <w:color w:val="auto"/>
                <w:sz w:val="24"/>
              </w:rPr>
            </w:pPr>
            <w:r>
              <w:rPr>
                <w:rFonts w:hint="eastAsia" w:ascii="宋体" w:hAnsi="宋体" w:eastAsia="仿宋" w:cs="Calibri"/>
                <w:color w:val="auto"/>
                <w:sz w:val="24"/>
              </w:rPr>
              <w:t>质量保证期：自验收合格之日起3</w:t>
            </w:r>
            <w:r>
              <w:rPr>
                <w:rFonts w:hint="eastAsia" w:ascii="仿宋" w:hAnsi="仿宋" w:eastAsia="仿宋" w:cs="仿宋"/>
                <w:iCs/>
                <w:color w:val="auto"/>
                <w:sz w:val="24"/>
              </w:rPr>
              <w:t>年</w:t>
            </w:r>
            <w:r>
              <w:rPr>
                <w:rFonts w:hint="eastAsia" w:ascii="宋体" w:hAnsi="宋体" w:eastAsia="仿宋" w:cs="Calibri"/>
                <w:color w:val="auto"/>
                <w:sz w:val="24"/>
              </w:rPr>
              <w:t>，更换后的零部件质保期从更换之日起计算。货物需求中另有要求的，按货物需求执行。</w:t>
            </w:r>
          </w:p>
          <w:p w14:paraId="49612614">
            <w:pPr>
              <w:widowControl/>
              <w:adjustRightInd w:val="0"/>
              <w:snapToGrid w:val="0"/>
              <w:spacing w:line="288" w:lineRule="auto"/>
              <w:rPr>
                <w:rFonts w:hint="eastAsia" w:ascii="楷体" w:hAnsi="楷体" w:eastAsia="仿宋" w:cs="Calibri"/>
                <w:color w:val="auto"/>
                <w:sz w:val="24"/>
              </w:rPr>
            </w:pPr>
            <w:r>
              <w:rPr>
                <w:rFonts w:hint="eastAsia" w:ascii="宋体" w:hAnsi="宋体" w:eastAsia="仿宋" w:cs="Calibri"/>
                <w:color w:val="auto"/>
                <w:sz w:val="24"/>
              </w:rPr>
              <w:t>是否接受负偏离：</w:t>
            </w:r>
            <w:r>
              <w:rPr>
                <w:rFonts w:hint="eastAsia" w:ascii="楷体" w:hAnsi="楷体" w:eastAsia="仿宋" w:cs="Calibri"/>
                <w:color w:val="auto"/>
                <w:sz w:val="24"/>
              </w:rPr>
              <w:t>☑不接受</w:t>
            </w:r>
          </w:p>
          <w:p w14:paraId="52387E73">
            <w:pPr>
              <w:pStyle w:val="8"/>
              <w:ind w:firstLine="480"/>
              <w:rPr>
                <w:rFonts w:hint="eastAsia" w:ascii="楷体" w:hAnsi="楷体" w:eastAsia="仿宋" w:cs="Calibri"/>
                <w:color w:val="auto"/>
                <w:sz w:val="24"/>
              </w:rPr>
            </w:pPr>
            <w:r>
              <w:rPr>
                <w:rFonts w:hint="eastAsia" w:ascii="楷体" w:hAnsi="楷体" w:eastAsia="仿宋" w:cs="Calibri"/>
                <w:color w:val="auto"/>
                <w:sz w:val="24"/>
              </w:rPr>
              <w:t xml:space="preserve">            □接受：</w:t>
            </w:r>
          </w:p>
          <w:p w14:paraId="07140A8B">
            <w:pPr>
              <w:pStyle w:val="8"/>
              <w:ind w:firstLine="1920" w:firstLineChars="800"/>
              <w:rPr>
                <w:rFonts w:ascii="宋体" w:hAnsi="宋体" w:eastAsia="仿宋"/>
                <w:color w:val="auto"/>
                <w:sz w:val="24"/>
              </w:rPr>
            </w:pPr>
            <w:r>
              <w:rPr>
                <w:rFonts w:hint="eastAsia" w:ascii="楷体" w:hAnsi="楷体" w:eastAsia="仿宋" w:cs="Calibri"/>
                <w:color w:val="auto"/>
                <w:sz w:val="24"/>
              </w:rPr>
              <w:t>允许偏离的幅度：</w:t>
            </w:r>
            <w:r>
              <w:rPr>
                <w:rFonts w:hint="eastAsia" w:ascii="仿宋" w:hAnsi="仿宋" w:eastAsia="仿宋" w:cs="仿宋"/>
                <w:iCs/>
                <w:color w:val="auto"/>
                <w:sz w:val="24"/>
              </w:rPr>
              <w:t>/</w:t>
            </w:r>
          </w:p>
        </w:tc>
      </w:tr>
      <w:bookmarkEnd w:id="6"/>
    </w:tbl>
    <w:p w14:paraId="47FE75E4">
      <w:pPr>
        <w:pStyle w:val="4"/>
        <w:widowControl/>
        <w:snapToGrid w:val="0"/>
        <w:spacing w:line="360" w:lineRule="auto"/>
        <w:outlineLvl w:val="1"/>
        <w:rPr>
          <w:rStyle w:val="7"/>
          <w:rFonts w:hint="eastAsia" w:ascii="宋体" w:hAnsi="宋体" w:eastAsia="仿宋"/>
          <w:color w:val="auto"/>
          <w:sz w:val="24"/>
          <w:szCs w:val="24"/>
        </w:rPr>
      </w:pPr>
      <w:r>
        <w:rPr>
          <w:rFonts w:hint="eastAsia" w:hAnsi="宋体" w:eastAsia="仿宋"/>
          <w:color w:val="auto"/>
          <w:sz w:val="24"/>
          <w:szCs w:val="24"/>
        </w:rPr>
        <w:br w:type="page"/>
      </w:r>
      <w:bookmarkStart w:id="10" w:name="_Toc445554749"/>
      <w:bookmarkStart w:id="11" w:name="_Toc455587275"/>
      <w:bookmarkStart w:id="12" w:name="_Toc466024558"/>
      <w:bookmarkStart w:id="13" w:name="_Toc455587091"/>
      <w:r>
        <w:rPr>
          <w:rStyle w:val="7"/>
          <w:rFonts w:hint="eastAsia" w:ascii="宋体" w:hAnsi="宋体" w:eastAsia="仿宋"/>
          <w:color w:val="auto"/>
          <w:sz w:val="24"/>
          <w:szCs w:val="24"/>
        </w:rPr>
        <w:t>4. 技术要求</w:t>
      </w:r>
      <w:bookmarkEnd w:id="10"/>
      <w:bookmarkEnd w:id="11"/>
      <w:bookmarkEnd w:id="12"/>
      <w:bookmarkEnd w:id="13"/>
    </w:p>
    <w:p w14:paraId="426B337D">
      <w:pPr>
        <w:pStyle w:val="4"/>
        <w:widowControl/>
        <w:snapToGrid w:val="0"/>
        <w:spacing w:line="360" w:lineRule="auto"/>
        <w:ind w:firstLine="482" w:firstLineChars="200"/>
        <w:outlineLvl w:val="2"/>
        <w:rPr>
          <w:rFonts w:hint="eastAsia" w:hAnsi="宋体" w:eastAsia="仿宋"/>
          <w:b/>
          <w:bCs/>
          <w:color w:val="auto"/>
          <w:sz w:val="24"/>
          <w:szCs w:val="24"/>
        </w:rPr>
      </w:pPr>
      <w:r>
        <w:rPr>
          <w:rFonts w:hint="eastAsia" w:hAnsi="宋体" w:eastAsia="仿宋"/>
          <w:b/>
          <w:bCs/>
          <w:color w:val="auto"/>
          <w:sz w:val="24"/>
          <w:szCs w:val="24"/>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2A84F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41" w:type="pct"/>
            <w:noWrap w:val="0"/>
            <w:vAlign w:val="center"/>
          </w:tcPr>
          <w:p w14:paraId="73EA41E1">
            <w:pPr>
              <w:jc w:val="center"/>
              <w:rPr>
                <w:rFonts w:hint="eastAsia" w:ascii="仿宋" w:hAnsi="仿宋" w:eastAsia="仿宋" w:cs="仿宋"/>
                <w:b/>
                <w:color w:val="auto"/>
                <w:sz w:val="24"/>
              </w:rPr>
            </w:pPr>
            <w:r>
              <w:rPr>
                <w:rFonts w:hint="eastAsia" w:ascii="仿宋" w:hAnsi="仿宋" w:eastAsia="仿宋" w:cs="仿宋"/>
                <w:b/>
                <w:color w:val="auto"/>
                <w:sz w:val="24"/>
              </w:rPr>
              <w:t>标识类型</w:t>
            </w:r>
          </w:p>
        </w:tc>
        <w:tc>
          <w:tcPr>
            <w:tcW w:w="785" w:type="pct"/>
            <w:noWrap w:val="0"/>
            <w:vAlign w:val="center"/>
          </w:tcPr>
          <w:p w14:paraId="03A9E841">
            <w:pPr>
              <w:jc w:val="center"/>
              <w:rPr>
                <w:rFonts w:hint="eastAsia" w:ascii="仿宋" w:hAnsi="仿宋" w:eastAsia="仿宋" w:cs="仿宋"/>
                <w:b/>
                <w:color w:val="auto"/>
                <w:sz w:val="24"/>
              </w:rPr>
            </w:pPr>
            <w:r>
              <w:rPr>
                <w:rFonts w:hint="eastAsia" w:ascii="仿宋" w:hAnsi="仿宋" w:eastAsia="仿宋" w:cs="仿宋"/>
                <w:b/>
                <w:color w:val="auto"/>
                <w:sz w:val="24"/>
              </w:rPr>
              <w:t>标识符号</w:t>
            </w:r>
          </w:p>
        </w:tc>
        <w:tc>
          <w:tcPr>
            <w:tcW w:w="3173" w:type="pct"/>
            <w:noWrap w:val="0"/>
            <w:vAlign w:val="center"/>
          </w:tcPr>
          <w:p w14:paraId="02C4EA13">
            <w:pPr>
              <w:jc w:val="center"/>
              <w:rPr>
                <w:rFonts w:hint="eastAsia" w:ascii="仿宋" w:hAnsi="仿宋" w:eastAsia="仿宋" w:cs="仿宋"/>
                <w:b/>
                <w:color w:val="auto"/>
                <w:sz w:val="24"/>
              </w:rPr>
            </w:pPr>
            <w:r>
              <w:rPr>
                <w:rFonts w:hint="eastAsia" w:ascii="仿宋" w:hAnsi="仿宋" w:eastAsia="仿宋" w:cs="仿宋"/>
                <w:b/>
                <w:color w:val="auto"/>
                <w:sz w:val="24"/>
              </w:rPr>
              <w:t>标识符号含义</w:t>
            </w:r>
          </w:p>
        </w:tc>
      </w:tr>
      <w:tr w14:paraId="7C72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252DD8DE">
            <w:pPr>
              <w:jc w:val="center"/>
              <w:rPr>
                <w:rFonts w:ascii="仿宋" w:hAnsi="仿宋" w:eastAsia="仿宋" w:cs="仿宋"/>
                <w:color w:val="auto"/>
                <w:sz w:val="24"/>
              </w:rPr>
            </w:pPr>
            <w:r>
              <w:rPr>
                <w:rFonts w:hint="eastAsia" w:ascii="仿宋" w:hAnsi="仿宋" w:eastAsia="仿宋" w:cs="仿宋"/>
                <w:color w:val="auto"/>
                <w:sz w:val="24"/>
              </w:rPr>
              <w:t>核心产品</w:t>
            </w:r>
          </w:p>
        </w:tc>
        <w:tc>
          <w:tcPr>
            <w:tcW w:w="785" w:type="pct"/>
            <w:noWrap w:val="0"/>
            <w:vAlign w:val="center"/>
          </w:tcPr>
          <w:p w14:paraId="3D61EE5D">
            <w:pPr>
              <w:jc w:val="center"/>
              <w:rPr>
                <w:rFonts w:hint="eastAsia" w:ascii="仿宋" w:hAnsi="仿宋" w:eastAsia="仿宋" w:cs="仿宋"/>
                <w:color w:val="auto"/>
                <w:sz w:val="24"/>
              </w:rPr>
            </w:pPr>
            <w:r>
              <w:rPr>
                <w:rFonts w:hint="eastAsia" w:ascii="仿宋" w:hAnsi="仿宋" w:eastAsia="仿宋" w:cs="仿宋"/>
                <w:color w:val="auto"/>
                <w:sz w:val="24"/>
              </w:rPr>
              <w:t>▲</w:t>
            </w:r>
          </w:p>
        </w:tc>
        <w:tc>
          <w:tcPr>
            <w:tcW w:w="3173" w:type="pct"/>
            <w:noWrap w:val="0"/>
            <w:vAlign w:val="center"/>
          </w:tcPr>
          <w:p w14:paraId="58877959">
            <w:pPr>
              <w:jc w:val="center"/>
              <w:rPr>
                <w:rFonts w:ascii="仿宋" w:hAnsi="仿宋" w:eastAsia="仿宋" w:cs="仿宋"/>
                <w:b/>
                <w:bCs/>
                <w:color w:val="auto"/>
                <w:sz w:val="24"/>
              </w:rPr>
            </w:pPr>
            <w:r>
              <w:rPr>
                <w:rFonts w:hint="eastAsia" w:ascii="仿宋" w:hAnsi="仿宋" w:eastAsia="仿宋" w:cs="仿宋"/>
                <w:b/>
                <w:bCs/>
                <w:color w:val="auto"/>
                <w:sz w:val="24"/>
              </w:rPr>
              <w:t>标的属于核心产品</w:t>
            </w:r>
          </w:p>
        </w:tc>
      </w:tr>
      <w:tr w14:paraId="58F1F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41" w:type="pct"/>
            <w:noWrap w:val="0"/>
            <w:vAlign w:val="center"/>
          </w:tcPr>
          <w:p w14:paraId="7EA3EB23">
            <w:pPr>
              <w:jc w:val="center"/>
              <w:rPr>
                <w:rFonts w:ascii="仿宋" w:hAnsi="仿宋" w:eastAsia="仿宋" w:cs="仿宋"/>
                <w:color w:val="auto"/>
                <w:sz w:val="24"/>
              </w:rPr>
            </w:pPr>
            <w:r>
              <w:rPr>
                <w:rFonts w:hint="eastAsia" w:ascii="仿宋" w:hAnsi="仿宋" w:eastAsia="仿宋" w:cs="仿宋"/>
                <w:color w:val="auto"/>
                <w:sz w:val="24"/>
              </w:rPr>
              <w:t>重要参数</w:t>
            </w:r>
          </w:p>
        </w:tc>
        <w:tc>
          <w:tcPr>
            <w:tcW w:w="785" w:type="pct"/>
            <w:noWrap w:val="0"/>
            <w:vAlign w:val="center"/>
          </w:tcPr>
          <w:p w14:paraId="1A0A3601">
            <w:pPr>
              <w:jc w:val="center"/>
              <w:rPr>
                <w:rFonts w:hint="eastAsia" w:ascii="仿宋" w:hAnsi="仿宋" w:eastAsia="仿宋" w:cs="仿宋"/>
                <w:color w:val="auto"/>
                <w:sz w:val="24"/>
              </w:rPr>
            </w:pPr>
            <w:r>
              <w:rPr>
                <w:rFonts w:hint="eastAsia" w:ascii="宋体" w:hAnsi="宋体" w:cs="宋体"/>
                <w:color w:val="auto"/>
                <w:kern w:val="0"/>
                <w:sz w:val="24"/>
                <w:lang w:bidi="ar"/>
              </w:rPr>
              <w:t>★</w:t>
            </w:r>
          </w:p>
        </w:tc>
        <w:tc>
          <w:tcPr>
            <w:tcW w:w="3173" w:type="pct"/>
            <w:noWrap w:val="0"/>
            <w:vAlign w:val="center"/>
          </w:tcPr>
          <w:p w14:paraId="7B6A5AB8">
            <w:pPr>
              <w:jc w:val="center"/>
              <w:rPr>
                <w:rFonts w:ascii="仿宋" w:hAnsi="仿宋" w:eastAsia="仿宋" w:cs="仿宋"/>
                <w:color w:val="auto"/>
                <w:sz w:val="24"/>
              </w:rPr>
            </w:pPr>
            <w:r>
              <w:rPr>
                <w:rFonts w:hint="eastAsia" w:ascii="仿宋" w:hAnsi="仿宋" w:eastAsia="仿宋" w:cs="仿宋"/>
                <w:color w:val="auto"/>
                <w:sz w:val="24"/>
              </w:rPr>
              <w:t>评分项</w:t>
            </w:r>
          </w:p>
        </w:tc>
      </w:tr>
      <w:tr w14:paraId="7E3D7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1041" w:type="pct"/>
            <w:noWrap w:val="0"/>
            <w:vAlign w:val="center"/>
          </w:tcPr>
          <w:p w14:paraId="58C7C033">
            <w:pPr>
              <w:jc w:val="center"/>
              <w:rPr>
                <w:rFonts w:hint="eastAsia" w:ascii="仿宋" w:hAnsi="仿宋" w:eastAsia="仿宋" w:cs="仿宋"/>
                <w:color w:val="auto"/>
                <w:sz w:val="24"/>
              </w:rPr>
            </w:pPr>
            <w:r>
              <w:rPr>
                <w:rFonts w:hint="eastAsia" w:ascii="仿宋" w:hAnsi="仿宋" w:eastAsia="仿宋" w:cs="仿宋"/>
                <w:color w:val="auto"/>
                <w:sz w:val="24"/>
              </w:rPr>
              <w:t>关键参数</w:t>
            </w:r>
          </w:p>
        </w:tc>
        <w:tc>
          <w:tcPr>
            <w:tcW w:w="785" w:type="pct"/>
            <w:noWrap w:val="0"/>
            <w:vAlign w:val="center"/>
          </w:tcPr>
          <w:p w14:paraId="3762626E">
            <w:pPr>
              <w:jc w:val="center"/>
              <w:rPr>
                <w:rFonts w:hint="eastAsia" w:ascii="仿宋" w:hAnsi="仿宋" w:eastAsia="仿宋" w:cs="仿宋"/>
                <w:color w:val="auto"/>
                <w:sz w:val="24"/>
              </w:rPr>
            </w:pPr>
            <w:r>
              <w:rPr>
                <w:rFonts w:hint="eastAsia" w:ascii="仿宋" w:hAnsi="仿宋" w:eastAsia="仿宋" w:cs="仿宋"/>
                <w:color w:val="auto"/>
                <w:sz w:val="24"/>
              </w:rPr>
              <w:t>无标识</w:t>
            </w:r>
          </w:p>
        </w:tc>
        <w:tc>
          <w:tcPr>
            <w:tcW w:w="3173" w:type="pct"/>
            <w:noWrap w:val="0"/>
            <w:vAlign w:val="center"/>
          </w:tcPr>
          <w:p w14:paraId="2750793B">
            <w:pPr>
              <w:jc w:val="left"/>
              <w:rPr>
                <w:rFonts w:ascii="仿宋" w:hAnsi="仿宋" w:eastAsia="仿宋" w:cs="仿宋"/>
                <w:color w:val="auto"/>
                <w:sz w:val="24"/>
              </w:rPr>
            </w:pPr>
            <w:r>
              <w:rPr>
                <w:rFonts w:hint="eastAsia" w:ascii="仿宋" w:hAnsi="仿宋" w:eastAsia="仿宋" w:cs="仿宋"/>
                <w:color w:val="auto"/>
                <w:sz w:val="24"/>
              </w:rPr>
              <w:t>（1）无标识项为关键性技术参数，必须无条件满足，如有一项不能满足，视为未实质性响应采购需求。</w:t>
            </w:r>
          </w:p>
          <w:p w14:paraId="3A382EC1">
            <w:pPr>
              <w:jc w:val="left"/>
              <w:rPr>
                <w:rFonts w:ascii="仿宋" w:hAnsi="仿宋" w:eastAsia="仿宋" w:cs="仿宋"/>
                <w:color w:val="auto"/>
                <w:sz w:val="24"/>
              </w:rPr>
            </w:pPr>
            <w:r>
              <w:rPr>
                <w:rFonts w:hint="eastAsia" w:ascii="仿宋" w:hAnsi="仿宋" w:eastAsia="仿宋" w:cs="仿宋"/>
                <w:color w:val="auto"/>
                <w:sz w:val="24"/>
              </w:rPr>
              <w:t>（2）投标人须在投标文件中提供承诺，承诺无标识项完全满足招标文件要求，投标文件中未提供相应承诺或承诺的内容不满足要求的，作无效响应处理。</w:t>
            </w:r>
          </w:p>
          <w:p w14:paraId="19245043">
            <w:pPr>
              <w:jc w:val="left"/>
              <w:rPr>
                <w:rFonts w:ascii="Times New Roman" w:hAnsi="Times New Roman" w:eastAsia="仿宋"/>
                <w:color w:val="auto"/>
              </w:rPr>
            </w:pPr>
            <w:r>
              <w:rPr>
                <w:rFonts w:hint="eastAsia" w:ascii="仿宋" w:hAnsi="仿宋" w:eastAsia="仿宋" w:cs="仿宋"/>
                <w:color w:val="auto"/>
                <w:sz w:val="24"/>
              </w:rPr>
              <w:t>（3）如合同签订或履约验收期间发现所投产品不满足招标文件要求，招标人有权解除合同并追究违约责任，中标人承担由此产生的一切后果及责任。</w:t>
            </w:r>
          </w:p>
        </w:tc>
      </w:tr>
      <w:tr w14:paraId="1150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0DD85ABE">
            <w:pPr>
              <w:jc w:val="left"/>
              <w:rPr>
                <w:rFonts w:hint="eastAsia" w:ascii="仿宋" w:hAnsi="仿宋" w:eastAsia="仿宋" w:cs="仿宋"/>
                <w:color w:val="auto"/>
                <w:sz w:val="24"/>
              </w:rPr>
            </w:pPr>
            <w:r>
              <w:rPr>
                <w:rFonts w:hint="eastAsia" w:ascii="仿宋" w:hAnsi="仿宋" w:eastAsia="仿宋" w:cs="仿宋"/>
                <w:color w:val="auto"/>
                <w:sz w:val="24"/>
              </w:rPr>
              <w:t>注：</w:t>
            </w:r>
          </w:p>
          <w:p w14:paraId="63F24410">
            <w:pPr>
              <w:jc w:val="left"/>
              <w:rPr>
                <w:rFonts w:hint="eastAsia" w:ascii="仿宋" w:hAnsi="仿宋" w:eastAsia="仿宋" w:cs="仿宋"/>
                <w:color w:val="auto"/>
                <w:sz w:val="24"/>
              </w:rPr>
            </w:pPr>
            <w:r>
              <w:rPr>
                <w:rFonts w:hint="eastAsia" w:ascii="仿宋" w:hAnsi="仿宋" w:eastAsia="仿宋" w:cs="仿宋"/>
                <w:color w:val="auto"/>
                <w:sz w:val="24"/>
              </w:rPr>
              <w:t>（1）标识条款中如包含多条子项技术参数或要求，则需满足或优于该标识条款内所有子项技术参数或要求方能得分。</w:t>
            </w:r>
          </w:p>
          <w:p w14:paraId="2B0BAD4B">
            <w:pPr>
              <w:jc w:val="left"/>
              <w:rPr>
                <w:rFonts w:hint="eastAsia" w:ascii="仿宋" w:hAnsi="仿宋" w:eastAsia="仿宋" w:cs="仿宋"/>
                <w:color w:val="auto"/>
                <w:sz w:val="24"/>
              </w:rPr>
            </w:pPr>
            <w:r>
              <w:rPr>
                <w:rFonts w:hint="eastAsia" w:ascii="仿宋" w:hAnsi="仿宋" w:eastAsia="仿宋" w:cs="仿宋"/>
                <w:color w:val="auto"/>
                <w:sz w:val="24"/>
              </w:rPr>
              <w:t>（2）须按照第六章投标文件格式，提供技术要求偏离表和技术响应资料。</w:t>
            </w:r>
          </w:p>
        </w:tc>
      </w:tr>
    </w:tbl>
    <w:p w14:paraId="1656DDC8">
      <w:pPr>
        <w:pStyle w:val="4"/>
        <w:widowControl/>
        <w:snapToGrid w:val="0"/>
        <w:spacing w:line="360" w:lineRule="auto"/>
        <w:ind w:firstLine="480" w:firstLineChars="200"/>
        <w:rPr>
          <w:rFonts w:hint="eastAsia" w:hAnsi="宋体" w:eastAsia="仿宋"/>
          <w:color w:val="auto"/>
          <w:sz w:val="24"/>
          <w:szCs w:val="24"/>
        </w:rPr>
      </w:pPr>
    </w:p>
    <w:p w14:paraId="0415558A">
      <w:pPr>
        <w:pStyle w:val="4"/>
        <w:widowControl/>
        <w:snapToGrid w:val="0"/>
        <w:spacing w:line="360" w:lineRule="auto"/>
        <w:ind w:firstLine="482" w:firstLineChars="200"/>
        <w:outlineLvl w:val="2"/>
        <w:rPr>
          <w:rFonts w:hint="eastAsia" w:hAnsi="宋体" w:eastAsia="仿宋"/>
          <w:b/>
          <w:bCs/>
          <w:color w:val="auto"/>
          <w:sz w:val="24"/>
          <w:szCs w:val="24"/>
        </w:rPr>
      </w:pPr>
      <w:r>
        <w:rPr>
          <w:rFonts w:hint="eastAsia" w:hAnsi="宋体" w:eastAsia="仿宋"/>
          <w:b/>
          <w:bCs/>
          <w:color w:val="auto"/>
          <w:sz w:val="24"/>
          <w:szCs w:val="24"/>
        </w:rPr>
        <w:t>4.2技术要求表</w:t>
      </w:r>
    </w:p>
    <w:tbl>
      <w:tblPr>
        <w:tblStyle w:val="5"/>
        <w:tblW w:w="4997" w:type="pct"/>
        <w:tblInd w:w="0" w:type="dxa"/>
        <w:tblLayout w:type="autofit"/>
        <w:tblCellMar>
          <w:top w:w="0" w:type="dxa"/>
          <w:left w:w="108" w:type="dxa"/>
          <w:bottom w:w="0" w:type="dxa"/>
          <w:right w:w="108" w:type="dxa"/>
        </w:tblCellMar>
      </w:tblPr>
      <w:tblGrid>
        <w:gridCol w:w="457"/>
        <w:gridCol w:w="711"/>
        <w:gridCol w:w="5743"/>
        <w:gridCol w:w="457"/>
        <w:gridCol w:w="458"/>
        <w:gridCol w:w="691"/>
      </w:tblGrid>
      <w:tr w14:paraId="48CA5AC0">
        <w:tblPrEx>
          <w:tblCellMar>
            <w:top w:w="0" w:type="dxa"/>
            <w:left w:w="108" w:type="dxa"/>
            <w:bottom w:w="0" w:type="dxa"/>
            <w:right w:w="108" w:type="dxa"/>
          </w:tblCellMar>
        </w:tblPrEx>
        <w:trPr>
          <w:trHeight w:val="38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353439E1">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序号</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3CFD67B9">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设备名称</w:t>
            </w:r>
          </w:p>
        </w:tc>
        <w:tc>
          <w:tcPr>
            <w:tcW w:w="3383" w:type="pct"/>
            <w:tcBorders>
              <w:top w:val="single" w:color="000000" w:sz="4" w:space="0"/>
              <w:left w:val="single" w:color="000000" w:sz="4" w:space="0"/>
              <w:bottom w:val="single" w:color="000000" w:sz="4" w:space="0"/>
              <w:right w:val="single" w:color="000000" w:sz="4" w:space="0"/>
            </w:tcBorders>
            <w:noWrap w:val="0"/>
            <w:vAlign w:val="center"/>
          </w:tcPr>
          <w:p w14:paraId="64C5C379">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技术参数</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329C367A">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单位</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2D9554C5">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数量</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3B0C0ABB">
            <w:pPr>
              <w:spacing w:line="360" w:lineRule="auto"/>
              <w:jc w:val="left"/>
              <w:rPr>
                <w:rFonts w:hint="eastAsia" w:ascii="仿宋" w:hAnsi="仿宋" w:eastAsia="仿宋" w:cs="仿宋"/>
                <w:b/>
                <w:bCs/>
                <w:color w:val="auto"/>
                <w:sz w:val="24"/>
              </w:rPr>
            </w:pPr>
            <w:r>
              <w:rPr>
                <w:rFonts w:hint="eastAsia" w:ascii="仿宋" w:hAnsi="仿宋" w:eastAsia="仿宋" w:cs="仿宋"/>
                <w:b/>
                <w:bCs/>
                <w:color w:val="auto"/>
                <w:sz w:val="24"/>
              </w:rPr>
              <w:t>所属行业</w:t>
            </w:r>
          </w:p>
        </w:tc>
      </w:tr>
      <w:tr w14:paraId="31106FAA">
        <w:tblPrEx>
          <w:tblCellMar>
            <w:top w:w="0" w:type="dxa"/>
            <w:left w:w="108" w:type="dxa"/>
            <w:bottom w:w="0" w:type="dxa"/>
            <w:right w:w="108" w:type="dxa"/>
          </w:tblCellMar>
        </w:tblPrEx>
        <w:trPr>
          <w:trHeight w:val="380" w:hRule="atLeast"/>
        </w:trPr>
        <w:tc>
          <w:tcPr>
            <w:tcW w:w="251" w:type="pct"/>
            <w:tcBorders>
              <w:top w:val="single" w:color="000000" w:sz="4" w:space="0"/>
              <w:left w:val="single" w:color="000000" w:sz="4" w:space="0"/>
              <w:bottom w:val="single" w:color="000000" w:sz="4" w:space="0"/>
              <w:right w:val="single" w:color="000000" w:sz="4" w:space="0"/>
            </w:tcBorders>
            <w:noWrap w:val="0"/>
            <w:vAlign w:val="center"/>
          </w:tcPr>
          <w:p w14:paraId="715B80C3">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1</w:t>
            </w:r>
          </w:p>
        </w:tc>
        <w:tc>
          <w:tcPr>
            <w:tcW w:w="430" w:type="pct"/>
            <w:tcBorders>
              <w:top w:val="single" w:color="000000" w:sz="4" w:space="0"/>
              <w:left w:val="single" w:color="000000" w:sz="4" w:space="0"/>
              <w:bottom w:val="single" w:color="000000" w:sz="4" w:space="0"/>
              <w:right w:val="single" w:color="000000" w:sz="4" w:space="0"/>
            </w:tcBorders>
            <w:noWrap w:val="0"/>
            <w:vAlign w:val="center"/>
          </w:tcPr>
          <w:p w14:paraId="2ABFAFE6">
            <w:pPr>
              <w:spacing w:line="360" w:lineRule="auto"/>
              <w:jc w:val="left"/>
              <w:rPr>
                <w:rFonts w:hint="eastAsia" w:ascii="仿宋" w:hAnsi="仿宋" w:eastAsia="仿宋" w:cs="仿宋"/>
                <w:color w:val="auto"/>
                <w:sz w:val="24"/>
              </w:rPr>
            </w:pPr>
            <w:r>
              <w:rPr>
                <w:rFonts w:hint="eastAsia" w:ascii="仿宋" w:hAnsi="仿宋" w:eastAsia="仿宋" w:cs="仿宋"/>
                <w:color w:val="auto"/>
                <w:sz w:val="24"/>
              </w:rPr>
              <w:t>▲物联控制管控设备实操装置</w:t>
            </w:r>
          </w:p>
        </w:tc>
        <w:tc>
          <w:tcPr>
            <w:tcW w:w="3383" w:type="pct"/>
            <w:tcBorders>
              <w:top w:val="single" w:color="000000" w:sz="4" w:space="0"/>
              <w:left w:val="single" w:color="000000" w:sz="4" w:space="0"/>
              <w:bottom w:val="single" w:color="000000" w:sz="4" w:space="0"/>
              <w:right w:val="single" w:color="000000" w:sz="4" w:space="0"/>
            </w:tcBorders>
            <w:noWrap w:val="0"/>
            <w:vAlign w:val="center"/>
          </w:tcPr>
          <w:p w14:paraId="62FDDB9D">
            <w:pPr>
              <w:spacing w:line="360" w:lineRule="auto"/>
              <w:rPr>
                <w:rFonts w:ascii="仿宋" w:hAnsi="仿宋" w:eastAsia="仿宋" w:cs="仿宋"/>
                <w:color w:val="auto"/>
                <w:sz w:val="24"/>
              </w:rPr>
            </w:pPr>
            <w:r>
              <w:rPr>
                <w:rFonts w:hint="eastAsia" w:ascii="仿宋" w:hAnsi="仿宋" w:eastAsia="仿宋" w:cs="仿宋"/>
                <w:color w:val="auto"/>
                <w:sz w:val="24"/>
              </w:rPr>
              <w:t>一、</w:t>
            </w:r>
            <w:r>
              <w:rPr>
                <w:rFonts w:ascii="仿宋" w:hAnsi="仿宋" w:eastAsia="仿宋" w:cs="仿宋"/>
                <w:color w:val="auto"/>
                <w:sz w:val="24"/>
              </w:rPr>
              <w:t>先进技术模块</w:t>
            </w:r>
          </w:p>
          <w:p w14:paraId="7DE49155">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w:t>
            </w:r>
            <w:r>
              <w:rPr>
                <w:rFonts w:hint="eastAsia" w:ascii="仿宋" w:hAnsi="仿宋" w:eastAsia="仿宋" w:cs="仿宋"/>
                <w:color w:val="auto"/>
                <w:sz w:val="24"/>
              </w:rPr>
              <w:t>系统构架</w:t>
            </w:r>
          </w:p>
          <w:p w14:paraId="5BB182D0">
            <w:pPr>
              <w:spacing w:line="360" w:lineRule="auto"/>
              <w:rPr>
                <w:rFonts w:ascii="仿宋" w:hAnsi="仿宋" w:eastAsia="仿宋" w:cs="仿宋"/>
                <w:color w:val="auto"/>
                <w:sz w:val="24"/>
              </w:rPr>
            </w:pPr>
            <w:r>
              <w:rPr>
                <w:rFonts w:hint="eastAsia" w:ascii="仿宋" w:hAnsi="仿宋" w:eastAsia="仿宋" w:cs="仿宋"/>
                <w:color w:val="auto"/>
                <w:sz w:val="24"/>
              </w:rPr>
              <w:t>（1）★支持对重要文件夹进行密码锁定，提供快捷右键密码解锁，避免误删，保障数据安全性；</w:t>
            </w:r>
            <w:r>
              <w:rPr>
                <w:rFonts w:hint="eastAsia" w:ascii="仿宋" w:hAnsi="仿宋" w:eastAsia="仿宋" w:cs="仿宋"/>
                <w:b/>
                <w:bCs/>
                <w:color w:val="auto"/>
                <w:sz w:val="24"/>
              </w:rPr>
              <w:t>（投标文件需提供产品功能截图）</w:t>
            </w:r>
          </w:p>
          <w:p w14:paraId="60EB04BC">
            <w:pPr>
              <w:spacing w:line="360" w:lineRule="auto"/>
              <w:rPr>
                <w:rFonts w:ascii="仿宋" w:hAnsi="仿宋" w:eastAsia="仿宋" w:cs="仿宋"/>
                <w:color w:val="auto"/>
                <w:sz w:val="24"/>
              </w:rPr>
            </w:pPr>
            <w:r>
              <w:rPr>
                <w:rFonts w:hint="eastAsia" w:ascii="仿宋" w:hAnsi="仿宋" w:eastAsia="仿宋" w:cs="仿宋"/>
                <w:color w:val="auto"/>
                <w:sz w:val="24"/>
              </w:rPr>
              <w:t>（2）可无缝对接WSUS实现操作系统补丁包的过滤与更新，保证内网的安全；主控端网络侦测功能可以便利协助定位网络的通信问题，查找网卡、网线、交换机网口的故障；光驱、硬盘启动三种方式执行同传，内建同传智能测速排序机制，支持正版软件的激活，支持CAD等软件批量注册；</w:t>
            </w:r>
          </w:p>
          <w:p w14:paraId="324370A6">
            <w:pPr>
              <w:spacing w:line="360" w:lineRule="auto"/>
              <w:rPr>
                <w:rFonts w:ascii="仿宋" w:hAnsi="仿宋" w:eastAsia="仿宋" w:cs="仿宋"/>
                <w:color w:val="auto"/>
                <w:sz w:val="24"/>
              </w:rPr>
            </w:pPr>
            <w:r>
              <w:rPr>
                <w:rFonts w:hint="eastAsia" w:ascii="仿宋" w:hAnsi="仿宋" w:eastAsia="仿宋" w:cs="仿宋"/>
                <w:color w:val="auto"/>
                <w:sz w:val="24"/>
              </w:rPr>
              <w:t>（3）wifi无线网络环境对拷和使用。支持多个操作系统安装，以及不同格式的数据分区；支持独立环境功能，可以基于当前还原点创建无数个互不干扰的系统环境；</w:t>
            </w:r>
          </w:p>
          <w:p w14:paraId="4EB85F11">
            <w:pPr>
              <w:spacing w:line="360" w:lineRule="auto"/>
              <w:rPr>
                <w:rFonts w:ascii="仿宋" w:hAnsi="仿宋" w:eastAsia="仿宋" w:cs="仿宋"/>
                <w:color w:val="auto"/>
                <w:sz w:val="24"/>
              </w:rPr>
            </w:pPr>
            <w:r>
              <w:rPr>
                <w:rFonts w:hint="eastAsia" w:ascii="仿宋" w:hAnsi="仿宋" w:eastAsia="仿宋" w:cs="仿宋"/>
                <w:color w:val="auto"/>
                <w:sz w:val="24"/>
              </w:rPr>
              <w:t>（4）可对终端机同时进行差异数据部署，并可自动分配IP地址、计算机名，支持固态硬盘保护，支持M.2硬盘数据保护；支持保护分区的某一目录与不保护分区或外插U盘、硬盘进行自动/定时同步；在指定的时间点自动切换到指定的还原点，且支持离线任务；</w:t>
            </w:r>
          </w:p>
          <w:p w14:paraId="3B1E94D7">
            <w:pPr>
              <w:spacing w:line="360" w:lineRule="auto"/>
              <w:rPr>
                <w:rFonts w:ascii="仿宋" w:hAnsi="仿宋" w:eastAsia="仿宋" w:cs="仿宋"/>
                <w:color w:val="auto"/>
                <w:sz w:val="24"/>
              </w:rPr>
            </w:pPr>
            <w:r>
              <w:rPr>
                <w:rFonts w:hint="eastAsia" w:ascii="仿宋" w:hAnsi="仿宋" w:eastAsia="仿宋" w:cs="仿宋"/>
                <w:color w:val="auto"/>
                <w:sz w:val="24"/>
              </w:rPr>
              <w:t>（5）★目录管理，可在全盘保护的分区中设定文件夹给学生存放作业不被还原，可指定文件后缀名，文件被修改自动同步备份到U盘或其他目录中；</w:t>
            </w:r>
            <w:r>
              <w:rPr>
                <w:rFonts w:hint="eastAsia" w:ascii="仿宋" w:hAnsi="仿宋" w:eastAsia="仿宋" w:cs="仿宋"/>
                <w:b/>
                <w:bCs/>
                <w:color w:val="auto"/>
                <w:sz w:val="24"/>
              </w:rPr>
              <w:t>（投标文件需提供产品功能截图）</w:t>
            </w:r>
          </w:p>
          <w:p w14:paraId="53B33218">
            <w:pPr>
              <w:spacing w:line="360" w:lineRule="auto"/>
              <w:rPr>
                <w:rFonts w:ascii="仿宋" w:hAnsi="仿宋" w:eastAsia="仿宋" w:cs="仿宋"/>
                <w:color w:val="auto"/>
                <w:sz w:val="24"/>
              </w:rPr>
            </w:pPr>
            <w:r>
              <w:rPr>
                <w:rFonts w:hint="eastAsia" w:ascii="仿宋" w:hAnsi="仿宋" w:eastAsia="仿宋" w:cs="仿宋"/>
                <w:color w:val="auto"/>
                <w:sz w:val="24"/>
              </w:rPr>
              <w:t>（6）支持备份型还原，可把操作系统、教学应用还原点数据备份至移动硬盘，遇有硬盘损坏，亦可以快速恢复硬盘数据；</w:t>
            </w:r>
          </w:p>
          <w:p w14:paraId="1842AEFB">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7</w:t>
            </w:r>
            <w:r>
              <w:rPr>
                <w:rFonts w:hint="eastAsia" w:ascii="仿宋" w:hAnsi="仿宋" w:eastAsia="仿宋" w:cs="仿宋"/>
                <w:color w:val="auto"/>
                <w:sz w:val="24"/>
              </w:rPr>
              <w:t>）支持主控端批量化管理功能，主控端可远程批量修改被控端的保护模式、密码、切换还原点、删除还原点、锁定设备、资产管理、屏幕监看、远程命令、远程监看、远程开关机、远程重启、远程登录、远程遥控，及远程指定被控端进行网络同传与增量同传；</w:t>
            </w:r>
            <w:r>
              <w:rPr>
                <w:rFonts w:ascii="仿宋" w:hAnsi="仿宋" w:eastAsia="仿宋" w:cs="仿宋"/>
                <w:color w:val="auto"/>
                <w:sz w:val="24"/>
              </w:rPr>
              <w:t xml:space="preserve"> </w:t>
            </w:r>
          </w:p>
          <w:p w14:paraId="6B4041B9">
            <w:pPr>
              <w:spacing w:line="360" w:lineRule="auto"/>
              <w:rPr>
                <w:rFonts w:ascii="仿宋" w:hAnsi="仿宋" w:eastAsia="仿宋" w:cs="仿宋"/>
                <w:color w:val="auto"/>
                <w:sz w:val="24"/>
              </w:rPr>
            </w:pPr>
            <w:r>
              <w:rPr>
                <w:rFonts w:hint="eastAsia" w:ascii="仿宋" w:hAnsi="仿宋" w:eastAsia="仿宋" w:cs="仿宋"/>
                <w:color w:val="auto"/>
                <w:sz w:val="24"/>
              </w:rPr>
              <w:t>（8）★支持免卸载的动态设置分区保护模式，Windows下不同分区任意切换不同的保护模式，可将C、D、E等多个分区设置成自动还原、不还原、或跟随全局（包含自动还原、不还原、自动保存、定时还原、定时保存等模式）。</w:t>
            </w:r>
            <w:r>
              <w:rPr>
                <w:rFonts w:hint="eastAsia" w:ascii="仿宋" w:hAnsi="仿宋" w:eastAsia="仿宋" w:cs="仿宋"/>
                <w:b/>
                <w:bCs/>
                <w:color w:val="auto"/>
                <w:sz w:val="24"/>
              </w:rPr>
              <w:t>（投标文件需提供产品功能截图）</w:t>
            </w:r>
          </w:p>
          <w:p w14:paraId="4E2FC615">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9</w:t>
            </w:r>
            <w:r>
              <w:rPr>
                <w:rFonts w:hint="eastAsia" w:ascii="仿宋" w:hAnsi="仿宋" w:eastAsia="仿宋" w:cs="仿宋"/>
                <w:color w:val="auto"/>
                <w:sz w:val="24"/>
              </w:rPr>
              <w:t>）★管理端可设定客户端在多久时间没操作后自动关闭显示器、自动进入待机状态、自动关机；可根据预先设定费率生成能源使用报告，精确掌握节省的电费。（投标文件需提供产品功能截图）</w:t>
            </w:r>
          </w:p>
          <w:p w14:paraId="1E893538">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10</w:t>
            </w:r>
            <w:r>
              <w:rPr>
                <w:rFonts w:hint="eastAsia" w:ascii="仿宋" w:hAnsi="仿宋" w:eastAsia="仿宋" w:cs="仿宋"/>
                <w:color w:val="auto"/>
                <w:sz w:val="24"/>
              </w:rPr>
              <w:t>）</w:t>
            </w:r>
            <w:r>
              <w:rPr>
                <w:rFonts w:ascii="仿宋" w:hAnsi="仿宋" w:eastAsia="仿宋" w:cs="仿宋"/>
                <w:color w:val="auto"/>
                <w:sz w:val="24"/>
              </w:rPr>
              <w:t>技术指标点</w:t>
            </w:r>
            <w:r>
              <w:rPr>
                <w:rFonts w:hint="eastAsia" w:ascii="仿宋" w:hAnsi="仿宋" w:eastAsia="仿宋" w:cs="仿宋"/>
                <w:color w:val="auto"/>
                <w:sz w:val="24"/>
              </w:rPr>
              <w:t>≥1</w:t>
            </w:r>
            <w:r>
              <w:rPr>
                <w:rFonts w:ascii="仿宋" w:hAnsi="仿宋" w:eastAsia="仿宋" w:cs="仿宋"/>
                <w:color w:val="auto"/>
                <w:sz w:val="24"/>
              </w:rPr>
              <w:t>66</w:t>
            </w:r>
          </w:p>
          <w:p w14:paraId="6202E4FE">
            <w:pPr>
              <w:spacing w:line="360" w:lineRule="auto"/>
              <w:rPr>
                <w:rFonts w:ascii="仿宋" w:hAnsi="仿宋" w:eastAsia="仿宋" w:cs="仿宋"/>
                <w:color w:val="auto"/>
                <w:sz w:val="24"/>
              </w:rPr>
            </w:pPr>
            <w:r>
              <w:rPr>
                <w:rFonts w:hint="eastAsia" w:ascii="仿宋" w:hAnsi="仿宋" w:eastAsia="仿宋" w:cs="仿宋"/>
                <w:color w:val="auto"/>
                <w:sz w:val="24"/>
              </w:rPr>
              <w:t>2</w:t>
            </w:r>
            <w:r>
              <w:rPr>
                <w:rFonts w:ascii="仿宋" w:hAnsi="仿宋" w:eastAsia="仿宋" w:cs="仿宋"/>
                <w:color w:val="auto"/>
                <w:sz w:val="24"/>
              </w:rPr>
              <w:t>.</w:t>
            </w:r>
            <w:r>
              <w:rPr>
                <w:rFonts w:hint="eastAsia" w:ascii="仿宋" w:hAnsi="仿宋" w:eastAsia="仿宋" w:cs="仿宋"/>
                <w:color w:val="auto"/>
                <w:sz w:val="24"/>
              </w:rPr>
              <w:t>系统后台</w:t>
            </w:r>
          </w:p>
          <w:p w14:paraId="7CFAD773">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w:t>
            </w:r>
            <w:r>
              <w:rPr>
                <w:rFonts w:hint="eastAsia" w:ascii="仿宋" w:hAnsi="仿宋" w:eastAsia="仿宋" w:cs="仿宋"/>
                <w:color w:val="auto"/>
                <w:sz w:val="24"/>
              </w:rPr>
              <w:t>）角色管理：系统至少具有高级管理员、管理员、服务台、工程师4种角色，每种角色可以自定义功能权限。</w:t>
            </w:r>
          </w:p>
          <w:p w14:paraId="684E5AF5">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）备件统计：支持根据选择时间范围和是否赠送作为条件进行统计，统计结果包含名称、品牌、型号、数量及金额。备件需要和服务单进行关联，可以通过备件查询服务单或通过服务单查询备件。</w:t>
            </w:r>
          </w:p>
          <w:p w14:paraId="150DAEA0">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）★运维服务管理系统多端数据统一由PC网页端进行管理，PC网页端需具有微信用户管理和绑定微信功能，微信用户管理</w:t>
            </w:r>
            <w:r>
              <w:rPr>
                <w:rFonts w:ascii="仿宋" w:hAnsi="仿宋" w:eastAsia="仿宋" w:cs="仿宋"/>
                <w:color w:val="auto"/>
                <w:sz w:val="24"/>
              </w:rPr>
              <w:t>可以对微信用户进行禁用、启用及删除操作，绑定微信可以将</w:t>
            </w:r>
            <w:r>
              <w:rPr>
                <w:rFonts w:hint="eastAsia" w:ascii="仿宋" w:hAnsi="仿宋" w:eastAsia="仿宋" w:cs="仿宋"/>
                <w:color w:val="auto"/>
                <w:sz w:val="24"/>
              </w:rPr>
              <w:t>PC网页端系统用户和微信用户进行绑定</w:t>
            </w:r>
            <w:r>
              <w:rPr>
                <w:rFonts w:ascii="仿宋" w:hAnsi="仿宋" w:eastAsia="仿宋" w:cs="仿宋"/>
                <w:color w:val="auto"/>
                <w:sz w:val="24"/>
              </w:rPr>
              <w:t>。</w:t>
            </w:r>
            <w:r>
              <w:rPr>
                <w:rFonts w:hint="eastAsia" w:ascii="仿宋" w:hAnsi="仿宋" w:eastAsia="仿宋" w:cs="仿宋"/>
                <w:b/>
                <w:bCs/>
                <w:color w:val="auto"/>
                <w:sz w:val="24"/>
              </w:rPr>
              <w:t>（投标文件中需提供功能截图或官网证明材料）</w:t>
            </w:r>
          </w:p>
          <w:p w14:paraId="616154A4">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w:t>
            </w:r>
            <w:r>
              <w:rPr>
                <w:rFonts w:ascii="仿宋" w:hAnsi="仿宋" w:eastAsia="仿宋" w:cs="仿宋"/>
                <w:color w:val="auto"/>
                <w:sz w:val="24"/>
              </w:rPr>
              <w:t>知识库管理</w:t>
            </w:r>
            <w:r>
              <w:rPr>
                <w:rFonts w:hint="eastAsia" w:ascii="仿宋" w:hAnsi="仿宋" w:eastAsia="仿宋" w:cs="仿宋"/>
                <w:color w:val="auto"/>
                <w:sz w:val="24"/>
              </w:rPr>
              <w:t>：</w:t>
            </w:r>
            <w:r>
              <w:rPr>
                <w:rFonts w:ascii="仿宋" w:hAnsi="仿宋" w:eastAsia="仿宋" w:cs="仿宋"/>
                <w:color w:val="auto"/>
                <w:sz w:val="24"/>
              </w:rPr>
              <w:t>知识库可以自定义知识点名称，支持将服务处理中的维修记录加入到知识库，知识库管理具有对知识内容进行审核、编辑、删除功能，知识库具有根据知识点类型进行分类和模糊查询。</w:t>
            </w:r>
            <w:r>
              <w:rPr>
                <w:rFonts w:hint="eastAsia" w:ascii="仿宋" w:hAnsi="仿宋" w:eastAsia="仿宋" w:cs="仿宋"/>
                <w:b/>
                <w:bCs/>
                <w:color w:val="auto"/>
                <w:sz w:val="24"/>
              </w:rPr>
              <w:t>（投标文件中需提供功能截图或官网证明材料）</w:t>
            </w:r>
          </w:p>
          <w:p w14:paraId="5DDD4A04">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）数据统计：</w:t>
            </w:r>
            <w:r>
              <w:rPr>
                <w:rFonts w:ascii="仿宋" w:hAnsi="仿宋" w:eastAsia="仿宋" w:cs="仿宋"/>
                <w:color w:val="auto"/>
                <w:sz w:val="24"/>
              </w:rPr>
              <w:t>平台提供配置工具，可以将（工程师服务效率、服务台工作效率、工程师工作量、运维数据统计、工单类型统计、服务方式统计、服务类别统计、赠送物品统计、保外维修费用统计）以图表或表格的形式进行展示，并且展示数据源可以自行配置。</w:t>
            </w:r>
          </w:p>
          <w:p w14:paraId="3E8C9D18">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6</w:t>
            </w:r>
            <w:r>
              <w:rPr>
                <w:rFonts w:hint="eastAsia" w:ascii="仿宋" w:hAnsi="仿宋" w:eastAsia="仿宋" w:cs="仿宋"/>
                <w:color w:val="auto"/>
                <w:sz w:val="24"/>
              </w:rPr>
              <w:t>）★运维管理微信小程序端具有扫一扫、知识库、工单录入、工单派遣、工单处理、待料审核、工单回访、转单处理、工单查询及服务统计功能。</w:t>
            </w:r>
            <w:r>
              <w:rPr>
                <w:rFonts w:hint="eastAsia" w:ascii="仿宋" w:hAnsi="仿宋" w:eastAsia="仿宋" w:cs="仿宋"/>
                <w:b/>
                <w:bCs/>
                <w:color w:val="auto"/>
                <w:sz w:val="24"/>
              </w:rPr>
              <w:t>（投标文件中需提供功能截图或官网证明材料）</w:t>
            </w:r>
          </w:p>
          <w:p w14:paraId="5322539C">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7</w:t>
            </w:r>
            <w:r>
              <w:rPr>
                <w:rFonts w:hint="eastAsia" w:ascii="仿宋" w:hAnsi="仿宋" w:eastAsia="仿宋" w:cs="仿宋"/>
                <w:color w:val="auto"/>
                <w:sz w:val="24"/>
              </w:rPr>
              <w:t>）运维管理具有</w:t>
            </w:r>
            <w:r>
              <w:rPr>
                <w:rFonts w:ascii="仿宋" w:hAnsi="仿宋" w:eastAsia="仿宋" w:cs="仿宋"/>
                <w:color w:val="auto"/>
                <w:sz w:val="24"/>
              </w:rPr>
              <w:t>设备信息查询、维修记录查询、服务登记及服务评价</w:t>
            </w:r>
            <w:r>
              <w:rPr>
                <w:rFonts w:hint="eastAsia" w:ascii="仿宋" w:hAnsi="仿宋" w:eastAsia="仿宋" w:cs="仿宋"/>
                <w:color w:val="auto"/>
                <w:sz w:val="24"/>
              </w:rPr>
              <w:t>功能，</w:t>
            </w:r>
            <w:r>
              <w:rPr>
                <w:rFonts w:ascii="仿宋" w:hAnsi="仿宋" w:eastAsia="仿宋" w:cs="仿宋"/>
                <w:color w:val="auto"/>
                <w:sz w:val="24"/>
              </w:rPr>
              <w:t>设备信息查询包含内容有序列号、服务编号、设备名称、设备品牌、设备型号和详细配置。</w:t>
            </w:r>
          </w:p>
          <w:p w14:paraId="24FFAF8E">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8</w:t>
            </w:r>
            <w:r>
              <w:rPr>
                <w:rFonts w:hint="eastAsia" w:ascii="仿宋" w:hAnsi="仿宋" w:eastAsia="仿宋" w:cs="仿宋"/>
                <w:color w:val="auto"/>
                <w:sz w:val="24"/>
              </w:rPr>
              <w:t>）</w:t>
            </w:r>
            <w:r>
              <w:rPr>
                <w:rFonts w:ascii="仿宋" w:hAnsi="仿宋" w:eastAsia="仿宋" w:cs="仿宋"/>
                <w:color w:val="auto"/>
                <w:sz w:val="24"/>
              </w:rPr>
              <w:t>二维码打印系统端需和</w:t>
            </w:r>
            <w:r>
              <w:rPr>
                <w:rFonts w:hint="eastAsia" w:ascii="仿宋" w:hAnsi="仿宋" w:eastAsia="仿宋" w:cs="仿宋"/>
                <w:color w:val="auto"/>
                <w:sz w:val="24"/>
              </w:rPr>
              <w:t>运维服务管理系统PC端数据无缝衔接，支持在线生成运维标签二维码并且打印，运维标签二维码</w:t>
            </w:r>
            <w:r>
              <w:rPr>
                <w:rFonts w:ascii="仿宋" w:hAnsi="仿宋" w:eastAsia="仿宋" w:cs="仿宋"/>
                <w:color w:val="auto"/>
                <w:sz w:val="24"/>
              </w:rPr>
              <w:t>打印可以设置打印参数，打印参数包含二维码标题、二维码大小、标题字大小、标题左边距，上边距，下边距、码左边距及打印数量，打印过程中为了打印</w:t>
            </w:r>
            <w:r>
              <w:rPr>
                <w:rFonts w:hint="eastAsia" w:ascii="仿宋" w:hAnsi="仿宋" w:eastAsia="仿宋" w:cs="仿宋"/>
                <w:color w:val="auto"/>
                <w:sz w:val="24"/>
              </w:rPr>
              <w:t>运维标签</w:t>
            </w:r>
            <w:r>
              <w:rPr>
                <w:rFonts w:ascii="仿宋" w:hAnsi="仿宋" w:eastAsia="仿宋" w:cs="仿宋"/>
                <w:color w:val="auto"/>
                <w:sz w:val="24"/>
              </w:rPr>
              <w:t>数据安全</w:t>
            </w:r>
            <w:r>
              <w:rPr>
                <w:rFonts w:hint="eastAsia" w:ascii="仿宋" w:hAnsi="仿宋" w:eastAsia="仿宋" w:cs="仿宋"/>
                <w:color w:val="auto"/>
                <w:sz w:val="24"/>
              </w:rPr>
              <w:t>，</w:t>
            </w:r>
            <w:r>
              <w:rPr>
                <w:rFonts w:ascii="仿宋" w:hAnsi="仿宋" w:eastAsia="仿宋" w:cs="仿宋"/>
                <w:color w:val="auto"/>
                <w:sz w:val="24"/>
              </w:rPr>
              <w:t>打印时需提供</w:t>
            </w:r>
            <w:r>
              <w:rPr>
                <w:rFonts w:hint="eastAsia" w:ascii="仿宋" w:hAnsi="仿宋" w:eastAsia="仿宋" w:cs="仿宋"/>
                <w:color w:val="auto"/>
                <w:sz w:val="24"/>
              </w:rPr>
              <w:t>运维服务管理系统PC端</w:t>
            </w:r>
            <w:r>
              <w:rPr>
                <w:rFonts w:ascii="仿宋" w:hAnsi="仿宋" w:eastAsia="仿宋" w:cs="仿宋"/>
                <w:color w:val="auto"/>
                <w:sz w:val="24"/>
              </w:rPr>
              <w:t>用户名和密码进行认证。</w:t>
            </w:r>
          </w:p>
          <w:p w14:paraId="7BB9B069">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9</w:t>
            </w:r>
            <w:r>
              <w:rPr>
                <w:rFonts w:hint="eastAsia" w:ascii="仿宋" w:hAnsi="仿宋" w:eastAsia="仿宋" w:cs="仿宋"/>
                <w:color w:val="auto"/>
                <w:sz w:val="24"/>
              </w:rPr>
              <w:t>）技术指标点≥</w:t>
            </w:r>
            <w:r>
              <w:rPr>
                <w:rFonts w:ascii="仿宋" w:hAnsi="仿宋" w:eastAsia="仿宋" w:cs="仿宋"/>
                <w:color w:val="auto"/>
                <w:sz w:val="24"/>
              </w:rPr>
              <w:t>1</w:t>
            </w:r>
          </w:p>
          <w:p w14:paraId="55BE32E3">
            <w:pPr>
              <w:spacing w:line="360" w:lineRule="auto"/>
              <w:rPr>
                <w:rFonts w:ascii="仿宋" w:hAnsi="仿宋" w:eastAsia="仿宋" w:cs="仿宋"/>
                <w:color w:val="auto"/>
                <w:sz w:val="24"/>
              </w:rPr>
            </w:pPr>
            <w:r>
              <w:rPr>
                <w:rFonts w:hint="eastAsia" w:ascii="仿宋" w:hAnsi="仿宋" w:eastAsia="仿宋" w:cs="仿宋"/>
                <w:color w:val="auto"/>
                <w:sz w:val="24"/>
              </w:rPr>
              <w:t>3</w:t>
            </w:r>
            <w:r>
              <w:rPr>
                <w:rFonts w:ascii="仿宋" w:hAnsi="仿宋" w:eastAsia="仿宋" w:cs="仿宋"/>
                <w:color w:val="auto"/>
                <w:sz w:val="24"/>
              </w:rPr>
              <w:t>.</w:t>
            </w:r>
            <w:r>
              <w:rPr>
                <w:rFonts w:hint="eastAsia" w:ascii="仿宋" w:hAnsi="仿宋" w:eastAsia="仿宋" w:cs="仿宋"/>
                <w:color w:val="auto"/>
                <w:sz w:val="24"/>
              </w:rPr>
              <w:t>物联装置实训套件</w:t>
            </w:r>
          </w:p>
          <w:p w14:paraId="1D1D7F50">
            <w:pPr>
              <w:spacing w:line="360" w:lineRule="auto"/>
              <w:rPr>
                <w:rFonts w:hint="eastAsia" w:ascii="仿宋" w:hAnsi="仿宋" w:eastAsia="仿宋" w:cs="仿宋"/>
                <w:color w:val="auto"/>
                <w:sz w:val="24"/>
              </w:rPr>
            </w:pPr>
            <w:r>
              <w:rPr>
                <w:rFonts w:hint="eastAsia" w:ascii="仿宋" w:hAnsi="仿宋" w:eastAsia="仿宋" w:cs="仿宋"/>
                <w:color w:val="auto"/>
                <w:sz w:val="24"/>
              </w:rPr>
              <w:t>（1）主板内置PCIe 插槽数量：≥3个;主板其他内置接口：M.2&gt;3个，SATA 接口≥4个，内存扩展接口（板载内存不涉及）：≥2个：</w:t>
            </w:r>
          </w:p>
          <w:p w14:paraId="1990E068">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）内存配置容量：≥</w:t>
            </w:r>
            <w:r>
              <w:rPr>
                <w:rFonts w:ascii="仿宋" w:hAnsi="仿宋" w:eastAsia="仿宋" w:cs="仿宋"/>
                <w:color w:val="auto"/>
                <w:sz w:val="24"/>
              </w:rPr>
              <w:t>32</w:t>
            </w:r>
            <w:r>
              <w:rPr>
                <w:rFonts w:hint="eastAsia" w:ascii="仿宋" w:hAnsi="仿宋" w:eastAsia="仿宋" w:cs="仿宋"/>
                <w:color w:val="auto"/>
                <w:sz w:val="24"/>
              </w:rPr>
              <w:t>GB，DDR4 及以上：内存读写速率：≥3200MT/s;内存插槽满配时提供的最高内存总容量：≥64G;</w:t>
            </w:r>
          </w:p>
          <w:p w14:paraId="6C324A9D">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）固态盘：数量≥1，容量≥</w:t>
            </w:r>
            <w:r>
              <w:rPr>
                <w:rFonts w:ascii="仿宋" w:hAnsi="仿宋" w:eastAsia="仿宋" w:cs="仿宋"/>
                <w:color w:val="auto"/>
                <w:sz w:val="24"/>
              </w:rPr>
              <w:t>1TB</w:t>
            </w:r>
            <w:r>
              <w:rPr>
                <w:rFonts w:hint="eastAsia" w:ascii="仿宋" w:hAnsi="仿宋" w:eastAsia="仿宋" w:cs="仿宋"/>
                <w:color w:val="auto"/>
                <w:sz w:val="24"/>
              </w:rPr>
              <w:t>;存储形态：nvme 协议接口，存储设备扩展盘位：冗余≥1个M.2固态盘位及2个3.5寸机械硬盘位;</w:t>
            </w:r>
          </w:p>
          <w:p w14:paraId="6FF3187C">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）USB 接口数量：  前置≥4个USB 3.2 Gen2，≥2个USB3.2 Gen1， 1个麦克风插孔，1个耳机/麦克风combo插孔；</w:t>
            </w:r>
          </w:p>
          <w:p w14:paraId="41696B83">
            <w:pPr>
              <w:spacing w:line="360" w:lineRule="auto"/>
              <w:rPr>
                <w:rFonts w:ascii="仿宋" w:hAnsi="仿宋" w:eastAsia="仿宋" w:cs="仿宋"/>
                <w:color w:val="auto"/>
                <w:sz w:val="24"/>
              </w:rPr>
            </w:pPr>
            <w:r>
              <w:rPr>
                <w:rFonts w:hint="eastAsia" w:ascii="仿宋" w:hAnsi="仿宋" w:eastAsia="仿宋" w:cs="仿宋"/>
                <w:color w:val="auto"/>
                <w:sz w:val="24"/>
              </w:rPr>
              <w:t>后置≥4个USB 2.0，2个PS/2，1个串口，1个VGA，1个HDMI，1个DP，1个RJ-45，1个耳机插孔，1个麦克风插孔，1个Line-in插孔;</w:t>
            </w:r>
          </w:p>
          <w:p w14:paraId="6CC94389">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）电源：电源功率≥500W，运行电压在 90V-265V 之间可稳定运行，80Plus；</w:t>
            </w:r>
          </w:p>
          <w:p w14:paraId="420A3DC6">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6</w:t>
            </w:r>
            <w:r>
              <w:rPr>
                <w:rFonts w:hint="eastAsia" w:ascii="仿宋" w:hAnsi="仿宋" w:eastAsia="仿宋" w:cs="仿宋"/>
                <w:color w:val="auto"/>
                <w:sz w:val="24"/>
              </w:rPr>
              <w:t>）</w:t>
            </w:r>
            <w:r>
              <w:rPr>
                <w:rFonts w:ascii="仿宋" w:hAnsi="仿宋" w:eastAsia="仿宋" w:cs="仿宋"/>
                <w:color w:val="auto"/>
                <w:sz w:val="24"/>
              </w:rPr>
              <w:t>GeForce RTX 3060 12G基于安培架构，</w:t>
            </w:r>
            <w:r>
              <w:rPr>
                <w:rFonts w:hint="eastAsia" w:ascii="仿宋" w:hAnsi="仿宋" w:eastAsia="仿宋" w:cs="仿宋"/>
                <w:color w:val="auto"/>
                <w:sz w:val="24"/>
              </w:rPr>
              <w:t>显存位宽：192bit，</w:t>
            </w:r>
            <w:r>
              <w:rPr>
                <w:rFonts w:ascii="仿宋" w:hAnsi="仿宋" w:eastAsia="仿宋" w:cs="仿宋"/>
                <w:color w:val="auto"/>
                <w:sz w:val="24"/>
              </w:rPr>
              <w:t>拥有3584个CUDA核心，基础频率为1320MHz，提升频率可达1777MHz</w:t>
            </w:r>
            <w:r>
              <w:rPr>
                <w:rFonts w:hint="eastAsia" w:ascii="仿宋" w:hAnsi="仿宋" w:eastAsia="仿宋" w:cs="仿宋"/>
                <w:color w:val="auto"/>
                <w:sz w:val="24"/>
              </w:rPr>
              <w:t>；</w:t>
            </w:r>
          </w:p>
          <w:p w14:paraId="59FE0747">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7</w:t>
            </w:r>
            <w:r>
              <w:rPr>
                <w:rFonts w:hint="eastAsia" w:ascii="仿宋" w:hAnsi="仿宋" w:eastAsia="仿宋" w:cs="仿宋"/>
                <w:color w:val="auto"/>
                <w:sz w:val="24"/>
              </w:rPr>
              <w:t>）CPU 物理核数：≥</w:t>
            </w:r>
            <w:r>
              <w:rPr>
                <w:rFonts w:ascii="仿宋" w:hAnsi="仿宋" w:eastAsia="仿宋" w:cs="仿宋"/>
                <w:color w:val="auto"/>
                <w:sz w:val="24"/>
              </w:rPr>
              <w:t>20</w:t>
            </w:r>
            <w:r>
              <w:rPr>
                <w:rFonts w:hint="eastAsia" w:ascii="仿宋" w:hAnsi="仿宋" w:eastAsia="仿宋" w:cs="仿宋"/>
                <w:color w:val="auto"/>
                <w:sz w:val="24"/>
              </w:rPr>
              <w:t>，总线程数：≥2</w:t>
            </w:r>
            <w:r>
              <w:rPr>
                <w:rFonts w:ascii="仿宋" w:hAnsi="仿宋" w:eastAsia="仿宋" w:cs="仿宋"/>
                <w:color w:val="auto"/>
                <w:sz w:val="24"/>
              </w:rPr>
              <w:t>8</w:t>
            </w:r>
            <w:r>
              <w:rPr>
                <w:rFonts w:hint="eastAsia" w:ascii="仿宋" w:hAnsi="仿宋" w:eastAsia="仿宋" w:cs="仿宋"/>
                <w:color w:val="auto"/>
                <w:sz w:val="24"/>
              </w:rPr>
              <w:t>，基本主频≥ 2.</w:t>
            </w:r>
            <w:r>
              <w:rPr>
                <w:rFonts w:ascii="仿宋" w:hAnsi="仿宋" w:eastAsia="仿宋" w:cs="仿宋"/>
                <w:color w:val="auto"/>
                <w:sz w:val="24"/>
              </w:rPr>
              <w:t>1</w:t>
            </w:r>
            <w:r>
              <w:rPr>
                <w:rFonts w:hint="eastAsia" w:ascii="仿宋" w:hAnsi="仿宋" w:eastAsia="仿宋" w:cs="仿宋"/>
                <w:color w:val="auto"/>
                <w:sz w:val="24"/>
              </w:rPr>
              <w:t>GHz，最大睿频≥5</w:t>
            </w:r>
            <w:r>
              <w:rPr>
                <w:rFonts w:ascii="仿宋" w:hAnsi="仿宋" w:eastAsia="仿宋" w:cs="仿宋"/>
                <w:color w:val="auto"/>
                <w:sz w:val="24"/>
              </w:rPr>
              <w:t>.4</w:t>
            </w:r>
            <w:r>
              <w:rPr>
                <w:rFonts w:hint="eastAsia" w:ascii="仿宋" w:hAnsi="仿宋" w:eastAsia="仿宋" w:cs="仿宋"/>
                <w:color w:val="auto"/>
                <w:sz w:val="24"/>
              </w:rPr>
              <w:t>GHz；末级缓存容量：≥</w:t>
            </w:r>
            <w:r>
              <w:rPr>
                <w:rFonts w:ascii="仿宋" w:hAnsi="仿宋" w:eastAsia="仿宋" w:cs="仿宋"/>
                <w:color w:val="auto"/>
                <w:sz w:val="24"/>
              </w:rPr>
              <w:t>33</w:t>
            </w:r>
            <w:r>
              <w:rPr>
                <w:rFonts w:hint="eastAsia" w:ascii="仿宋" w:hAnsi="仿宋" w:eastAsia="仿宋" w:cs="仿宋"/>
                <w:color w:val="auto"/>
                <w:sz w:val="24"/>
              </w:rPr>
              <w:t>MB ，热设计功耗：≥65W ；</w:t>
            </w:r>
          </w:p>
          <w:p w14:paraId="3F608346">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8</w:t>
            </w:r>
            <w:r>
              <w:rPr>
                <w:rFonts w:hint="eastAsia" w:ascii="仿宋" w:hAnsi="仿宋" w:eastAsia="仿宋" w:cs="仿宋"/>
                <w:color w:val="auto"/>
                <w:sz w:val="24"/>
              </w:rPr>
              <w:t>）机箱尺寸容量：≥</w:t>
            </w:r>
            <w:r>
              <w:rPr>
                <w:rFonts w:ascii="仿宋" w:hAnsi="仿宋" w:eastAsia="仿宋" w:cs="仿宋"/>
                <w:color w:val="auto"/>
                <w:sz w:val="24"/>
              </w:rPr>
              <w:t xml:space="preserve">25 </w:t>
            </w:r>
            <w:r>
              <w:rPr>
                <w:rFonts w:hint="eastAsia" w:ascii="仿宋" w:hAnsi="仿宋" w:eastAsia="仿宋" w:cs="仿宋"/>
                <w:color w:val="auto"/>
                <w:sz w:val="24"/>
              </w:rPr>
              <w:t>L 立式机箱</w:t>
            </w:r>
          </w:p>
          <w:p w14:paraId="31CAFFA0">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9</w:t>
            </w:r>
            <w:r>
              <w:rPr>
                <w:rFonts w:hint="eastAsia" w:ascii="仿宋" w:hAnsi="仿宋" w:eastAsia="仿宋" w:cs="仿宋"/>
                <w:color w:val="auto"/>
                <w:sz w:val="24"/>
              </w:rPr>
              <w:t>）</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184</w:t>
            </w:r>
          </w:p>
          <w:p w14:paraId="55D989FE">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10</w:t>
            </w:r>
            <w:r>
              <w:rPr>
                <w:rFonts w:hint="eastAsia" w:ascii="仿宋" w:hAnsi="仿宋" w:eastAsia="仿宋" w:cs="仿宋"/>
                <w:color w:val="auto"/>
                <w:sz w:val="24"/>
              </w:rPr>
              <w:t>）★整机可靠性要求：MTBF 测试：MTBF（m1）≥1</w:t>
            </w:r>
            <w:r>
              <w:rPr>
                <w:rFonts w:ascii="仿宋" w:hAnsi="仿宋" w:eastAsia="仿宋" w:cs="仿宋"/>
                <w:color w:val="auto"/>
                <w:sz w:val="24"/>
              </w:rPr>
              <w:t>0</w:t>
            </w:r>
            <w:r>
              <w:rPr>
                <w:rFonts w:hint="eastAsia" w:ascii="仿宋" w:hAnsi="仿宋" w:eastAsia="仿宋" w:cs="仿宋"/>
                <w:color w:val="auto"/>
                <w:sz w:val="24"/>
              </w:rPr>
              <w:t>0 万小时；考虑机器工作环境差异，要求产品通过高低温、湿热试验，达到工作温度：</w:t>
            </w:r>
            <w:r>
              <w:rPr>
                <w:rFonts w:ascii="仿宋" w:hAnsi="仿宋" w:eastAsia="仿宋" w:cs="仿宋"/>
                <w:color w:val="auto"/>
                <w:sz w:val="24"/>
              </w:rPr>
              <w:t>-25℃~60℃（60小时）；储存运输温度：-50℃~65℃（24小时）；工作条件下相对湿度：20%-93%（48小时）储存运输条件下相对湿度：20%-93%（120小时）；</w:t>
            </w:r>
            <w:r>
              <w:rPr>
                <w:rFonts w:hint="eastAsia" w:ascii="仿宋" w:hAnsi="仿宋" w:eastAsia="仿宋" w:cs="仿宋"/>
                <w:color w:val="auto"/>
                <w:sz w:val="24"/>
              </w:rPr>
              <w:t>为</w:t>
            </w:r>
            <w:r>
              <w:rPr>
                <w:rFonts w:ascii="仿宋" w:hAnsi="仿宋" w:eastAsia="仿宋" w:cs="仿宋"/>
                <w:color w:val="auto"/>
                <w:sz w:val="24"/>
              </w:rPr>
              <w:t>工作环境的静音舒适，要求设备的噪声声功率级≤3Bel，</w:t>
            </w:r>
            <w:r>
              <w:rPr>
                <w:rFonts w:hint="eastAsia" w:ascii="仿宋" w:hAnsi="仿宋" w:eastAsia="仿宋" w:cs="仿宋"/>
                <w:color w:val="auto"/>
                <w:sz w:val="24"/>
              </w:rPr>
              <w:t>噪声声压级≤</w:t>
            </w:r>
            <w:r>
              <w:rPr>
                <w:rFonts w:ascii="仿宋" w:hAnsi="仿宋" w:eastAsia="仿宋" w:cs="仿宋"/>
                <w:color w:val="auto"/>
                <w:sz w:val="24"/>
              </w:rPr>
              <w:t>5</w:t>
            </w:r>
            <w:r>
              <w:rPr>
                <w:rFonts w:hint="eastAsia" w:ascii="仿宋" w:hAnsi="仿宋" w:eastAsia="仿宋" w:cs="仿宋"/>
                <w:color w:val="auto"/>
                <w:sz w:val="24"/>
              </w:rPr>
              <w:t>dB；</w:t>
            </w:r>
            <w:r>
              <w:rPr>
                <w:rFonts w:hint="eastAsia" w:ascii="仿宋" w:hAnsi="仿宋" w:eastAsia="仿宋" w:cs="仿宋"/>
                <w:b/>
                <w:bCs/>
                <w:color w:val="auto"/>
                <w:sz w:val="24"/>
              </w:rPr>
              <w:t>（投标文件中需提供第三方检测机构出具的带有</w:t>
            </w:r>
            <w:r>
              <w:rPr>
                <w:rFonts w:ascii="仿宋" w:hAnsi="仿宋" w:eastAsia="仿宋" w:cs="仿宋"/>
                <w:b/>
                <w:bCs/>
                <w:color w:val="auto"/>
                <w:sz w:val="24"/>
              </w:rPr>
              <w:t>CMA或CANS标识的检测证书</w:t>
            </w:r>
            <w:r>
              <w:rPr>
                <w:rFonts w:hint="eastAsia" w:ascii="仿宋" w:hAnsi="仿宋" w:eastAsia="仿宋" w:cs="仿宋"/>
                <w:b/>
                <w:bCs/>
                <w:color w:val="auto"/>
                <w:sz w:val="24"/>
              </w:rPr>
              <w:t>）</w:t>
            </w:r>
          </w:p>
          <w:p w14:paraId="0B2B09C1">
            <w:pPr>
              <w:spacing w:line="360" w:lineRule="auto"/>
              <w:rPr>
                <w:rFonts w:ascii="仿宋" w:hAnsi="仿宋" w:eastAsia="仿宋" w:cs="仿宋"/>
                <w:b/>
                <w:bCs/>
                <w:color w:val="auto"/>
                <w:sz w:val="24"/>
              </w:rPr>
            </w:pPr>
            <w:r>
              <w:rPr>
                <w:rFonts w:hint="eastAsia" w:ascii="仿宋" w:hAnsi="仿宋" w:eastAsia="仿宋" w:cs="仿宋"/>
                <w:color w:val="auto"/>
                <w:sz w:val="24"/>
              </w:rPr>
              <w:t>（1</w:t>
            </w:r>
            <w:r>
              <w:rPr>
                <w:rFonts w:ascii="仿宋" w:hAnsi="仿宋" w:eastAsia="仿宋" w:cs="仿宋"/>
                <w:color w:val="auto"/>
                <w:sz w:val="24"/>
              </w:rPr>
              <w:t>1</w:t>
            </w:r>
            <w:r>
              <w:rPr>
                <w:rFonts w:hint="eastAsia" w:ascii="仿宋" w:hAnsi="仿宋" w:eastAsia="仿宋" w:cs="仿宋"/>
                <w:color w:val="auto"/>
                <w:sz w:val="24"/>
              </w:rPr>
              <w:t>）★为了保护人体辐射安全，要求通过人体低频磁场辐射测试且低频电磁辐射值不大于</w:t>
            </w:r>
            <w:r>
              <w:rPr>
                <w:rFonts w:ascii="仿宋" w:hAnsi="仿宋" w:eastAsia="仿宋" w:cs="仿宋"/>
                <w:color w:val="auto"/>
                <w:sz w:val="24"/>
              </w:rPr>
              <w:t>1%；</w:t>
            </w:r>
            <w:r>
              <w:rPr>
                <w:rFonts w:hint="eastAsia" w:ascii="仿宋" w:hAnsi="仿宋" w:eastAsia="仿宋" w:cs="仿宋"/>
                <w:b/>
                <w:bCs/>
                <w:color w:val="auto"/>
                <w:sz w:val="24"/>
              </w:rPr>
              <w:t>（投标文件中需提供第三方检测机构出具的带有</w:t>
            </w:r>
            <w:r>
              <w:rPr>
                <w:rFonts w:ascii="仿宋" w:hAnsi="仿宋" w:eastAsia="仿宋" w:cs="仿宋"/>
                <w:b/>
                <w:bCs/>
                <w:color w:val="auto"/>
                <w:sz w:val="24"/>
              </w:rPr>
              <w:t>CMA或CANS标识的检测证书</w:t>
            </w:r>
            <w:r>
              <w:rPr>
                <w:rFonts w:hint="eastAsia" w:ascii="仿宋" w:hAnsi="仿宋" w:eastAsia="仿宋" w:cs="仿宋"/>
                <w:b/>
                <w:bCs/>
                <w:color w:val="auto"/>
                <w:sz w:val="24"/>
              </w:rPr>
              <w:t>）</w:t>
            </w:r>
          </w:p>
          <w:p w14:paraId="180E15E3">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12</w:t>
            </w:r>
            <w:r>
              <w:rPr>
                <w:rFonts w:hint="eastAsia" w:ascii="仿宋" w:hAnsi="仿宋" w:eastAsia="仿宋" w:cs="仿宋"/>
                <w:color w:val="auto"/>
                <w:sz w:val="24"/>
              </w:rPr>
              <w:t>）显示屏可视角度≥170°，分辨率：≥ 1920x1080，尺寸：≥2</w:t>
            </w:r>
            <w:r>
              <w:rPr>
                <w:rFonts w:ascii="仿宋" w:hAnsi="仿宋" w:eastAsia="仿宋" w:cs="仿宋"/>
                <w:color w:val="auto"/>
                <w:sz w:val="24"/>
              </w:rPr>
              <w:t>7</w:t>
            </w:r>
            <w:r>
              <w:rPr>
                <w:rFonts w:hint="eastAsia" w:ascii="仿宋" w:hAnsi="仿宋" w:eastAsia="仿宋" w:cs="仿宋"/>
                <w:color w:val="auto"/>
                <w:sz w:val="24"/>
              </w:rPr>
              <w:t xml:space="preserve"> 英寸，刷新率：≥100Hz；显示接口：HDMI</w:t>
            </w:r>
            <w:r>
              <w:rPr>
                <w:rFonts w:ascii="仿宋" w:hAnsi="仿宋" w:eastAsia="仿宋" w:cs="仿宋"/>
                <w:color w:val="auto"/>
                <w:sz w:val="24"/>
              </w:rPr>
              <w:t xml:space="preserve"> 2.0</w:t>
            </w:r>
            <w:r>
              <w:rPr>
                <w:rFonts w:hint="eastAsia" w:ascii="仿宋" w:hAnsi="仿宋" w:eastAsia="仿宋" w:cs="仿宋"/>
                <w:color w:val="auto"/>
                <w:sz w:val="24"/>
              </w:rPr>
              <w:t>≥1，VGA≥1；</w:t>
            </w:r>
            <w:r>
              <w:rPr>
                <w:rFonts w:ascii="仿宋" w:hAnsi="仿宋" w:eastAsia="仿宋" w:cs="仿宋"/>
                <w:color w:val="auto"/>
                <w:sz w:val="24"/>
              </w:rPr>
              <w:t>响应时间</w:t>
            </w:r>
            <w:r>
              <w:rPr>
                <w:rFonts w:hint="eastAsia" w:ascii="仿宋" w:hAnsi="仿宋" w:eastAsia="仿宋" w:cs="仿宋"/>
                <w:color w:val="auto"/>
                <w:sz w:val="24"/>
              </w:rPr>
              <w:t>‌</w:t>
            </w:r>
            <w:r>
              <w:rPr>
                <w:rFonts w:ascii="仿宋" w:hAnsi="仿宋" w:eastAsia="仿宋" w:cs="仿宋"/>
                <w:color w:val="auto"/>
                <w:sz w:val="24"/>
              </w:rPr>
              <w:t>：≤5ms</w:t>
            </w:r>
            <w:r>
              <w:rPr>
                <w:rFonts w:hint="eastAsia" w:ascii="仿宋" w:hAnsi="仿宋" w:eastAsia="仿宋" w:cs="仿宋"/>
                <w:color w:val="auto"/>
                <w:sz w:val="24"/>
              </w:rPr>
              <w:t xml:space="preserve">；显示屏对比度不低于 </w:t>
            </w:r>
            <w:r>
              <w:rPr>
                <w:rFonts w:ascii="仿宋" w:hAnsi="仿宋" w:eastAsia="仿宋" w:cs="仿宋"/>
                <w:color w:val="auto"/>
                <w:sz w:val="24"/>
              </w:rPr>
              <w:t>3</w:t>
            </w:r>
            <w:r>
              <w:rPr>
                <w:rFonts w:hint="eastAsia" w:ascii="仿宋" w:hAnsi="仿宋" w:eastAsia="仿宋" w:cs="仿宋"/>
                <w:color w:val="auto"/>
                <w:sz w:val="24"/>
              </w:rPr>
              <w:t>000：1；</w:t>
            </w:r>
          </w:p>
          <w:p w14:paraId="06CE43B8">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3</w:t>
            </w:r>
            <w:r>
              <w:rPr>
                <w:rFonts w:hint="eastAsia" w:ascii="仿宋" w:hAnsi="仿宋" w:eastAsia="仿宋" w:cs="仿宋"/>
                <w:color w:val="auto"/>
                <w:sz w:val="24"/>
              </w:rPr>
              <w:t>）</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350</w:t>
            </w:r>
          </w:p>
          <w:p w14:paraId="7D2D8A36">
            <w:pPr>
              <w:spacing w:line="360" w:lineRule="auto"/>
              <w:rPr>
                <w:rFonts w:ascii="仿宋" w:hAnsi="仿宋" w:eastAsia="仿宋" w:cs="仿宋"/>
                <w:color w:val="auto"/>
                <w:sz w:val="24"/>
              </w:rPr>
            </w:pPr>
            <w:r>
              <w:rPr>
                <w:rFonts w:ascii="仿宋" w:hAnsi="仿宋" w:eastAsia="仿宋" w:cs="仿宋"/>
                <w:color w:val="auto"/>
                <w:sz w:val="24"/>
              </w:rPr>
              <w:t>4</w:t>
            </w:r>
            <w:r>
              <w:rPr>
                <w:rFonts w:hint="eastAsia" w:ascii="仿宋" w:hAnsi="仿宋" w:eastAsia="仿宋" w:cs="仿宋"/>
                <w:color w:val="auto"/>
                <w:sz w:val="24"/>
              </w:rPr>
              <w:t>.智能教学用具；</w:t>
            </w:r>
            <w:r>
              <w:rPr>
                <w:rFonts w:ascii="仿宋" w:hAnsi="仿宋" w:eastAsia="仿宋" w:cs="仿宋"/>
                <w:color w:val="auto"/>
                <w:sz w:val="24"/>
              </w:rPr>
              <w:t xml:space="preserve"> </w:t>
            </w:r>
          </w:p>
          <w:p w14:paraId="0963212A">
            <w:pPr>
              <w:spacing w:line="360" w:lineRule="auto"/>
              <w:rPr>
                <w:rFonts w:ascii="仿宋" w:hAnsi="仿宋" w:eastAsia="仿宋" w:cs="仿宋"/>
                <w:color w:val="auto"/>
                <w:sz w:val="24"/>
              </w:rPr>
            </w:pPr>
            <w:r>
              <w:rPr>
                <w:rFonts w:hint="eastAsia" w:ascii="仿宋" w:hAnsi="仿宋" w:eastAsia="仿宋" w:cs="仿宋"/>
                <w:color w:val="auto"/>
                <w:sz w:val="24"/>
              </w:rPr>
              <w:t xml:space="preserve">（1）智能显示尺寸≥86英寸，分辨率：3840*2160，采用直下式背光D-LED； </w:t>
            </w:r>
          </w:p>
          <w:p w14:paraId="3BC4D5B2">
            <w:pPr>
              <w:spacing w:line="360" w:lineRule="auto"/>
              <w:rPr>
                <w:rFonts w:ascii="仿宋" w:hAnsi="仿宋" w:eastAsia="仿宋" w:cs="仿宋"/>
                <w:color w:val="auto"/>
                <w:sz w:val="24"/>
              </w:rPr>
            </w:pPr>
            <w:r>
              <w:rPr>
                <w:rFonts w:hint="eastAsia" w:ascii="仿宋" w:hAnsi="仿宋" w:eastAsia="仿宋" w:cs="仿宋"/>
                <w:color w:val="auto"/>
                <w:sz w:val="24"/>
              </w:rPr>
              <w:t>（2）支持预设仅允许用细笔书写模式或允许用细笔或手指书写模式，细笔可用于书写，手指可用于拖动漫游，实现手笔分离的教学效果；</w:t>
            </w:r>
            <w:r>
              <w:rPr>
                <w:rFonts w:ascii="仿宋" w:hAnsi="仿宋" w:eastAsia="仿宋" w:cs="仿宋"/>
                <w:color w:val="auto"/>
                <w:sz w:val="24"/>
              </w:rPr>
              <w:t xml:space="preserve"> </w:t>
            </w:r>
          </w:p>
          <w:p w14:paraId="120680AD">
            <w:pPr>
              <w:spacing w:line="360" w:lineRule="auto"/>
              <w:rPr>
                <w:rFonts w:ascii="仿宋" w:hAnsi="仿宋" w:eastAsia="仿宋" w:cs="仿宋"/>
                <w:color w:val="auto"/>
                <w:sz w:val="24"/>
              </w:rPr>
            </w:pPr>
            <w:r>
              <w:rPr>
                <w:rFonts w:hint="eastAsia" w:ascii="仿宋" w:hAnsi="仿宋" w:eastAsia="仿宋" w:cs="仿宋"/>
                <w:color w:val="auto"/>
                <w:sz w:val="24"/>
              </w:rPr>
              <w:t>（3）采用80 Pin Intel通用标准接口，模块化即插即用，易于维护；</w:t>
            </w:r>
          </w:p>
          <w:p w14:paraId="2BF2D891">
            <w:pPr>
              <w:spacing w:line="360" w:lineRule="auto"/>
              <w:rPr>
                <w:rFonts w:ascii="仿宋" w:hAnsi="仿宋" w:eastAsia="仿宋" w:cs="仿宋"/>
                <w:color w:val="auto"/>
                <w:sz w:val="24"/>
              </w:rPr>
            </w:pPr>
            <w:r>
              <w:rPr>
                <w:rFonts w:hint="eastAsia" w:ascii="仿宋" w:hAnsi="仿宋" w:eastAsia="仿宋" w:cs="仿宋"/>
                <w:color w:val="auto"/>
                <w:sz w:val="24"/>
              </w:rPr>
              <w:t>（4）★内置一体化超高清摄像头，单颗摄像头有效像素≥1800W，可输出最大分辨率5104*3864的图片与视频，支持搭配AI软件实现自动点名点数功能，支持远程巡课功能，具备指示灯工作状态提示；</w:t>
            </w:r>
            <w:r>
              <w:rPr>
                <w:rFonts w:hint="eastAsia" w:ascii="仿宋" w:hAnsi="仿宋" w:eastAsia="仿宋" w:cs="仿宋"/>
                <w:b/>
                <w:bCs/>
                <w:color w:val="auto"/>
                <w:sz w:val="24"/>
              </w:rPr>
              <w:t>（投标文件需提供CMA或CNAS认证检测机构出具的检测报告）</w:t>
            </w:r>
          </w:p>
          <w:p w14:paraId="30A9AA8E">
            <w:pPr>
              <w:spacing w:line="360" w:lineRule="auto"/>
              <w:rPr>
                <w:rFonts w:ascii="仿宋" w:hAnsi="仿宋" w:eastAsia="仿宋" w:cs="仿宋"/>
                <w:color w:val="auto"/>
                <w:sz w:val="24"/>
              </w:rPr>
            </w:pPr>
            <w:r>
              <w:rPr>
                <w:rFonts w:hint="eastAsia" w:ascii="仿宋" w:hAnsi="仿宋" w:eastAsia="仿宋" w:cs="仿宋"/>
                <w:color w:val="auto"/>
                <w:sz w:val="24"/>
              </w:rPr>
              <w:t>（5）具备屏体温度实时监控、高温预警及断电保护等功能；</w:t>
            </w:r>
          </w:p>
          <w:p w14:paraId="6B2D9ED1">
            <w:pPr>
              <w:spacing w:line="360" w:lineRule="auto"/>
              <w:rPr>
                <w:rFonts w:ascii="仿宋" w:hAnsi="仿宋" w:eastAsia="仿宋" w:cs="仿宋"/>
                <w:color w:val="auto"/>
                <w:sz w:val="24"/>
              </w:rPr>
            </w:pPr>
            <w:r>
              <w:rPr>
                <w:rFonts w:hint="eastAsia" w:ascii="仿宋" w:hAnsi="仿宋" w:eastAsia="仿宋" w:cs="仿宋"/>
                <w:color w:val="auto"/>
                <w:sz w:val="24"/>
              </w:rPr>
              <w:t>（6）★为方便用户外接拓展设备，智能交互平板非转接HDMI输入≥2路，HDMI输出≥1路（支持安卓及其他通道信号输出），智能交互平板前置按键≥7个，可实现音量加减、窗口关闭、触控开关等功能，且按键均支持功能复用。无需打开智能交互平板背板，前置接口面板支持单独前拆维护。</w:t>
            </w:r>
            <w:r>
              <w:rPr>
                <w:rFonts w:hint="eastAsia" w:ascii="仿宋" w:hAnsi="仿宋" w:eastAsia="仿宋" w:cs="仿宋"/>
                <w:b/>
                <w:bCs/>
                <w:color w:val="auto"/>
                <w:sz w:val="24"/>
              </w:rPr>
              <w:t>（投标文件需提供CMA或CNAS认证检测机构出具的检测报告）</w:t>
            </w:r>
          </w:p>
          <w:p w14:paraId="41A76C04">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7</w:t>
            </w:r>
            <w:r>
              <w:rPr>
                <w:rFonts w:hint="eastAsia" w:ascii="仿宋" w:hAnsi="仿宋" w:eastAsia="仿宋" w:cs="仿宋"/>
                <w:color w:val="auto"/>
                <w:sz w:val="24"/>
              </w:rPr>
              <w:t>）★支持全选页面或部分页面进行二维码分享，支持PNG、JPEG、PDF等多种格式，支持加密分享，支持快速保存到USB设备。</w:t>
            </w:r>
            <w:r>
              <w:rPr>
                <w:rFonts w:hint="eastAsia" w:ascii="仿宋" w:hAnsi="仿宋" w:eastAsia="仿宋" w:cs="仿宋"/>
                <w:b/>
                <w:bCs/>
                <w:color w:val="auto"/>
                <w:sz w:val="24"/>
              </w:rPr>
              <w:t>（投标文件需提供CMA或CNAS认证检测机构出具的检测报告）</w:t>
            </w:r>
            <w:r>
              <w:rPr>
                <w:rFonts w:hint="eastAsia" w:ascii="仿宋" w:hAnsi="仿宋" w:eastAsia="仿宋" w:cs="仿宋"/>
                <w:color w:val="auto"/>
                <w:sz w:val="24"/>
              </w:rPr>
              <w:br w:type="textWrapping"/>
            </w:r>
            <w:r>
              <w:rPr>
                <w:rFonts w:hint="eastAsia" w:ascii="仿宋" w:hAnsi="仿宋" w:eastAsia="仿宋" w:cs="仿宋"/>
                <w:color w:val="auto"/>
                <w:sz w:val="24"/>
              </w:rPr>
              <w:t>（</w:t>
            </w:r>
            <w:r>
              <w:rPr>
                <w:rFonts w:ascii="仿宋" w:hAnsi="仿宋" w:eastAsia="仿宋" w:cs="仿宋"/>
                <w:color w:val="auto"/>
                <w:sz w:val="24"/>
              </w:rPr>
              <w:t>8</w:t>
            </w:r>
            <w:r>
              <w:rPr>
                <w:rFonts w:hint="eastAsia" w:ascii="仿宋" w:hAnsi="仿宋" w:eastAsia="仿宋" w:cs="仿宋"/>
                <w:color w:val="auto"/>
                <w:sz w:val="24"/>
              </w:rPr>
              <w:t>）CPU采用不低于8核12线程处理器；内存：≥8G DDR4；硬盘：≥256GSSD固态硬盘；接口：非外扩展具备6个USB接口（其中包含3路USB 3.0）；</w:t>
            </w:r>
          </w:p>
          <w:p w14:paraId="0B5EE32C">
            <w:pPr>
              <w:spacing w:line="360" w:lineRule="auto"/>
              <w:rPr>
                <w:rFonts w:ascii="仿宋" w:hAnsi="仿宋" w:eastAsia="仿宋" w:cs="仿宋"/>
                <w:color w:val="auto"/>
                <w:sz w:val="24"/>
              </w:rPr>
            </w:pPr>
            <w:r>
              <w:rPr>
                <w:rFonts w:hint="eastAsia" w:ascii="仿宋" w:hAnsi="仿宋" w:eastAsia="仿宋" w:cs="仿宋"/>
                <w:color w:val="auto"/>
                <w:sz w:val="24"/>
              </w:rPr>
              <w:t>（9）</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w:t>
            </w:r>
          </w:p>
          <w:p w14:paraId="09DE1FA7">
            <w:pPr>
              <w:spacing w:line="360" w:lineRule="auto"/>
              <w:rPr>
                <w:rFonts w:ascii="仿宋" w:hAnsi="仿宋" w:eastAsia="仿宋" w:cs="仿宋"/>
                <w:color w:val="auto"/>
                <w:sz w:val="24"/>
              </w:rPr>
            </w:pPr>
            <w:r>
              <w:rPr>
                <w:rFonts w:ascii="仿宋" w:hAnsi="仿宋" w:eastAsia="仿宋" w:cs="仿宋"/>
                <w:color w:val="auto"/>
                <w:sz w:val="24"/>
              </w:rPr>
              <w:t>二、基础技能模块</w:t>
            </w:r>
          </w:p>
          <w:p w14:paraId="03054C0E">
            <w:pPr>
              <w:spacing w:line="360" w:lineRule="auto"/>
              <w:rPr>
                <w:rFonts w:ascii="仿宋" w:hAnsi="仿宋" w:eastAsia="仿宋" w:cs="仿宋"/>
                <w:color w:val="auto"/>
                <w:sz w:val="24"/>
              </w:rPr>
            </w:pPr>
            <w:r>
              <w:rPr>
                <w:rFonts w:hint="eastAsia" w:ascii="仿宋" w:hAnsi="仿宋" w:eastAsia="仿宋" w:cs="仿宋"/>
                <w:color w:val="auto"/>
                <w:sz w:val="24"/>
              </w:rPr>
              <w:t>1.控制器系统</w:t>
            </w:r>
          </w:p>
          <w:p w14:paraId="3F1CAD9E">
            <w:pPr>
              <w:spacing w:line="360" w:lineRule="auto"/>
              <w:rPr>
                <w:rFonts w:ascii="仿宋" w:hAnsi="仿宋" w:eastAsia="仿宋" w:cs="仿宋"/>
                <w:color w:val="auto"/>
                <w:sz w:val="24"/>
              </w:rPr>
            </w:pPr>
            <w:r>
              <w:rPr>
                <w:rFonts w:hint="eastAsia" w:ascii="仿宋" w:hAnsi="仿宋" w:eastAsia="仿宋" w:cs="仿宋"/>
                <w:color w:val="auto"/>
                <w:sz w:val="24"/>
              </w:rPr>
              <w:t>（1）采用卡侬6.35MM二合一插座（具有48V幻象供电功能；</w:t>
            </w:r>
          </w:p>
          <w:p w14:paraId="07A709E8">
            <w:pPr>
              <w:spacing w:line="360" w:lineRule="auto"/>
              <w:rPr>
                <w:rFonts w:ascii="仿宋" w:hAnsi="仿宋" w:eastAsia="仿宋" w:cs="仿宋"/>
                <w:color w:val="auto"/>
                <w:sz w:val="24"/>
              </w:rPr>
            </w:pPr>
            <w:r>
              <w:rPr>
                <w:rFonts w:hint="eastAsia" w:ascii="仿宋" w:hAnsi="仿宋" w:eastAsia="仿宋" w:cs="仿宋"/>
                <w:color w:val="auto"/>
                <w:sz w:val="24"/>
              </w:rPr>
              <w:t>（2）3路线路输入，采用RCA莲花插座，1路线路输出，采用RCA莲花插座，具有U盘播放功能；</w:t>
            </w:r>
          </w:p>
          <w:p w14:paraId="75DDB80D">
            <w:pPr>
              <w:spacing w:line="360" w:lineRule="auto"/>
              <w:rPr>
                <w:rFonts w:ascii="仿宋" w:hAnsi="仿宋" w:eastAsia="仿宋" w:cs="仿宋"/>
                <w:color w:val="auto"/>
                <w:sz w:val="24"/>
              </w:rPr>
            </w:pPr>
            <w:r>
              <w:rPr>
                <w:rFonts w:hint="eastAsia" w:ascii="仿宋" w:hAnsi="仿宋" w:eastAsia="仿宋" w:cs="仿宋"/>
                <w:color w:val="auto"/>
                <w:sz w:val="24"/>
              </w:rPr>
              <w:t>（3）采用接线柱方式，带RS232接口，采用DB9针母座；</w:t>
            </w:r>
          </w:p>
          <w:p w14:paraId="0D4419DB">
            <w:pPr>
              <w:spacing w:line="360" w:lineRule="auto"/>
              <w:rPr>
                <w:rFonts w:ascii="仿宋" w:hAnsi="仿宋" w:eastAsia="仿宋" w:cs="仿宋"/>
                <w:color w:val="auto"/>
                <w:sz w:val="24"/>
              </w:rPr>
            </w:pPr>
            <w:r>
              <w:rPr>
                <w:rFonts w:hint="eastAsia" w:ascii="仿宋" w:hAnsi="仿宋" w:eastAsia="仿宋" w:cs="仿宋"/>
                <w:color w:val="auto"/>
                <w:sz w:val="24"/>
              </w:rPr>
              <w:t>（4）带电源开关，采用按键方式，可手打开设备电源或远程打开设备电源；</w:t>
            </w:r>
          </w:p>
          <w:p w14:paraId="0EF82240">
            <w:pPr>
              <w:spacing w:line="360" w:lineRule="auto"/>
              <w:rPr>
                <w:rFonts w:ascii="仿宋" w:hAnsi="仿宋" w:eastAsia="仿宋" w:cs="仿宋"/>
                <w:color w:val="auto"/>
                <w:sz w:val="24"/>
              </w:rPr>
            </w:pPr>
            <w:r>
              <w:rPr>
                <w:rFonts w:hint="eastAsia" w:ascii="仿宋" w:hAnsi="仿宋" w:eastAsia="仿宋" w:cs="仿宋"/>
                <w:color w:val="auto"/>
                <w:sz w:val="24"/>
              </w:rPr>
              <w:t>（5）带一键静音按键，开机情况下按下该按键设备静音，再次按下关闭静音；</w:t>
            </w:r>
          </w:p>
          <w:p w14:paraId="1B9ACB0D">
            <w:pPr>
              <w:spacing w:line="360" w:lineRule="auto"/>
              <w:rPr>
                <w:rFonts w:ascii="仿宋" w:hAnsi="仿宋" w:eastAsia="仿宋" w:cs="仿宋"/>
                <w:color w:val="auto"/>
                <w:sz w:val="24"/>
              </w:rPr>
            </w:pPr>
            <w:r>
              <w:rPr>
                <w:rFonts w:hint="eastAsia" w:ascii="仿宋" w:hAnsi="仿宋" w:eastAsia="仿宋" w:cs="仿宋"/>
                <w:color w:val="auto"/>
                <w:sz w:val="24"/>
              </w:rPr>
              <w:t>（6）能单独调节每路输入音源音量，电位器高度应不超高面板高度；</w:t>
            </w:r>
          </w:p>
          <w:p w14:paraId="39111777">
            <w:pPr>
              <w:spacing w:line="360" w:lineRule="auto"/>
              <w:rPr>
                <w:rFonts w:ascii="仿宋" w:hAnsi="仿宋" w:eastAsia="仿宋" w:cs="仿宋"/>
                <w:color w:val="auto"/>
                <w:sz w:val="24"/>
              </w:rPr>
            </w:pPr>
            <w:r>
              <w:rPr>
                <w:rFonts w:hint="eastAsia" w:ascii="仿宋" w:hAnsi="仿宋" w:eastAsia="仿宋" w:cs="仿宋"/>
                <w:color w:val="auto"/>
                <w:sz w:val="24"/>
              </w:rPr>
              <w:t>（7）配套技术指标点≥1</w:t>
            </w:r>
          </w:p>
          <w:p w14:paraId="55BC5286">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8</w:t>
            </w:r>
            <w:r>
              <w:rPr>
                <w:rFonts w:hint="eastAsia" w:ascii="仿宋" w:hAnsi="仿宋" w:eastAsia="仿宋" w:cs="仿宋"/>
                <w:color w:val="auto"/>
                <w:sz w:val="24"/>
              </w:rPr>
              <w:t>）1路总线式闪避器（Ducker）；8段英式参量均衡，提供5种滤波器选择：Parametric，Lowshelf，Highshelf，Lowpass，Highpass；提供终端用户订制操作界面，最大支持30台设备同一个界面管理；</w:t>
            </w:r>
          </w:p>
          <w:p w14:paraId="47D7311A">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9</w:t>
            </w:r>
            <w:r>
              <w:rPr>
                <w:rFonts w:hint="eastAsia" w:ascii="仿宋" w:hAnsi="仿宋" w:eastAsia="仿宋" w:cs="仿宋"/>
                <w:color w:val="auto"/>
                <w:sz w:val="24"/>
              </w:rPr>
              <w:t>）★1路总线式的AFC（反馈抑制），采用自适应算法，16K采样率，128ms尾长，传声增益提升幅度：10dB，具有自适应底噪消除功能；</w:t>
            </w:r>
            <w:r>
              <w:rPr>
                <w:rFonts w:hint="eastAsia" w:ascii="仿宋" w:hAnsi="仿宋" w:eastAsia="仿宋" w:cs="仿宋"/>
                <w:b/>
                <w:bCs/>
                <w:color w:val="auto"/>
                <w:sz w:val="24"/>
              </w:rPr>
              <w:t>（投标文件中需提供产品功能截图）</w:t>
            </w:r>
          </w:p>
          <w:p w14:paraId="4CE045E2">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10</w:t>
            </w:r>
            <w:r>
              <w:rPr>
                <w:rFonts w:hint="eastAsia" w:ascii="仿宋" w:hAnsi="仿宋" w:eastAsia="仿宋" w:cs="仿宋"/>
                <w:color w:val="auto"/>
                <w:sz w:val="24"/>
              </w:rPr>
              <w:t>）处理器：ADI SHARC 21489@450 MHz SIMD；DSP处理能力：400 MIPS，1.6 GFLOPS;采样率：48 kHz，± 100 ppm;内置一进一出的USB声卡，支持音乐播放、录制和软视频会议;1路总线式AEC，采样率16K，尾长时间：200ms，收敛率：60dB/S， 回声消除幅度：60dB；</w:t>
            </w:r>
          </w:p>
          <w:p w14:paraId="0D07166C">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11</w:t>
            </w:r>
            <w:r>
              <w:rPr>
                <w:rFonts w:hint="eastAsia" w:ascii="仿宋" w:hAnsi="仿宋" w:eastAsia="仿宋" w:cs="仿宋"/>
                <w:color w:val="auto"/>
                <w:sz w:val="24"/>
              </w:rPr>
              <w:t>）★具有中央控制功能，支持RS232、RS485、UDP三种控制方式，可对系统中的电源、信号切换、环境控制、音频等整体控制，具有智慧多媒体设备调试管控功能；</w:t>
            </w:r>
            <w:r>
              <w:rPr>
                <w:rFonts w:hint="eastAsia" w:ascii="仿宋" w:hAnsi="仿宋" w:eastAsia="仿宋" w:cs="仿宋"/>
                <w:b/>
                <w:bCs/>
                <w:color w:val="auto"/>
                <w:sz w:val="24"/>
              </w:rPr>
              <w:t>（投标文件中需提供产品功能截图）</w:t>
            </w:r>
          </w:p>
          <w:p w14:paraId="72657FC3">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12</w:t>
            </w:r>
            <w:r>
              <w:rPr>
                <w:rFonts w:hint="eastAsia" w:ascii="仿宋" w:hAnsi="仿宋" w:eastAsia="仿宋" w:cs="仿宋"/>
                <w:color w:val="auto"/>
                <w:sz w:val="24"/>
              </w:rPr>
              <w:t>）</w:t>
            </w:r>
            <w:r>
              <w:rPr>
                <w:rFonts w:ascii="仿宋" w:hAnsi="仿宋" w:eastAsia="仿宋" w:cs="仿宋"/>
                <w:color w:val="auto"/>
                <w:sz w:val="24"/>
              </w:rPr>
              <w:t>物理干涉电容式</w:t>
            </w:r>
            <w:r>
              <w:rPr>
                <w:rFonts w:hint="eastAsia" w:ascii="仿宋" w:hAnsi="仿宋" w:eastAsia="仿宋" w:cs="仿宋"/>
                <w:color w:val="auto"/>
                <w:sz w:val="24"/>
              </w:rPr>
              <w:t>；</w:t>
            </w:r>
            <w:r>
              <w:rPr>
                <w:rFonts w:ascii="仿宋" w:hAnsi="仿宋" w:eastAsia="仿宋" w:cs="仿宋"/>
                <w:color w:val="auto"/>
                <w:sz w:val="24"/>
              </w:rPr>
              <w:t>频率响应：80Hz～16KHz; 输出阻抗：近1kΩ  远距2.3kΩ;单一指向性;近距-44dB  远距-39dB灵敏度; 48V供电电压</w:t>
            </w:r>
            <w:r>
              <w:rPr>
                <w:rFonts w:hint="eastAsia" w:ascii="仿宋" w:hAnsi="仿宋" w:eastAsia="仿宋" w:cs="仿宋"/>
                <w:color w:val="auto"/>
                <w:sz w:val="24"/>
              </w:rPr>
              <w:t>；</w:t>
            </w:r>
          </w:p>
          <w:p w14:paraId="1623107D">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13</w:t>
            </w:r>
            <w:r>
              <w:rPr>
                <w:rFonts w:hint="eastAsia" w:ascii="仿宋" w:hAnsi="仿宋" w:eastAsia="仿宋" w:cs="仿宋"/>
                <w:color w:val="auto"/>
                <w:sz w:val="24"/>
              </w:rPr>
              <w:t>）高音采用3"全纸盆，55磁磁钢</w:t>
            </w:r>
            <w:r>
              <w:rPr>
                <w:rFonts w:ascii="仿宋" w:hAnsi="仿宋" w:eastAsia="仿宋" w:cs="仿宋"/>
                <w:color w:val="auto"/>
                <w:sz w:val="24"/>
              </w:rPr>
              <w:t>额</w:t>
            </w:r>
            <w:r>
              <w:rPr>
                <w:rFonts w:hint="eastAsia" w:ascii="仿宋" w:hAnsi="仿宋" w:eastAsia="仿宋" w:cs="仿宋"/>
                <w:color w:val="auto"/>
                <w:sz w:val="24"/>
              </w:rPr>
              <w:t>，</w:t>
            </w:r>
            <w:r>
              <w:rPr>
                <w:rFonts w:ascii="仿宋" w:hAnsi="仿宋" w:eastAsia="仿宋" w:cs="仿宋"/>
                <w:color w:val="auto"/>
                <w:sz w:val="24"/>
              </w:rPr>
              <w:t>定功率：60W峰值功率：120W额定阻抗：6Ω</w:t>
            </w:r>
            <w:r>
              <w:rPr>
                <w:rFonts w:hint="eastAsia" w:ascii="仿宋" w:hAnsi="仿宋" w:eastAsia="仿宋" w:cs="仿宋"/>
                <w:color w:val="auto"/>
                <w:sz w:val="24"/>
              </w:rPr>
              <w:t>，</w:t>
            </w:r>
            <w:r>
              <w:rPr>
                <w:rFonts w:ascii="仿宋" w:hAnsi="仿宋" w:eastAsia="仿宋" w:cs="仿宋"/>
                <w:color w:val="auto"/>
                <w:sz w:val="24"/>
              </w:rPr>
              <w:t>89±3dB</w:t>
            </w:r>
            <w:r>
              <w:rPr>
                <w:rFonts w:hint="eastAsia" w:ascii="仿宋" w:hAnsi="仿宋" w:eastAsia="仿宋" w:cs="仿宋"/>
                <w:color w:val="auto"/>
                <w:sz w:val="24"/>
              </w:rPr>
              <w:t>（</w:t>
            </w:r>
            <w:r>
              <w:rPr>
                <w:rFonts w:ascii="仿宋" w:hAnsi="仿宋" w:eastAsia="仿宋" w:cs="仿宋"/>
                <w:color w:val="auto"/>
                <w:sz w:val="24"/>
              </w:rPr>
              <w:t>1W/1m</w:t>
            </w:r>
            <w:r>
              <w:rPr>
                <w:rFonts w:hint="eastAsia" w:ascii="仿宋" w:hAnsi="仿宋" w:eastAsia="仿宋" w:cs="仿宋"/>
                <w:color w:val="auto"/>
                <w:sz w:val="24"/>
              </w:rPr>
              <w:t>）</w:t>
            </w:r>
            <w:r>
              <w:rPr>
                <w:rFonts w:ascii="仿宋" w:hAnsi="仿宋" w:eastAsia="仿宋" w:cs="仿宋"/>
                <w:color w:val="auto"/>
                <w:sz w:val="24"/>
              </w:rPr>
              <w:t xml:space="preserve"> 灵敏度</w:t>
            </w:r>
            <w:r>
              <w:rPr>
                <w:rFonts w:hint="eastAsia" w:ascii="仿宋" w:hAnsi="仿宋" w:eastAsia="仿宋" w:cs="仿宋"/>
                <w:color w:val="auto"/>
                <w:sz w:val="24"/>
              </w:rPr>
              <w:t>，</w:t>
            </w:r>
            <w:r>
              <w:rPr>
                <w:rFonts w:ascii="仿宋" w:hAnsi="仿宋" w:eastAsia="仿宋" w:cs="仿宋"/>
                <w:color w:val="auto"/>
                <w:sz w:val="24"/>
              </w:rPr>
              <w:t xml:space="preserve"> 65Hz-18KHz频率响应</w:t>
            </w:r>
            <w:r>
              <w:rPr>
                <w:rFonts w:hint="eastAsia" w:ascii="仿宋" w:hAnsi="仿宋" w:eastAsia="仿宋" w:cs="仿宋"/>
                <w:color w:val="auto"/>
                <w:sz w:val="24"/>
              </w:rPr>
              <w:t>，</w:t>
            </w:r>
            <w:r>
              <w:rPr>
                <w:rFonts w:ascii="仿宋" w:hAnsi="仿宋" w:eastAsia="仿宋" w:cs="仿宋"/>
                <w:color w:val="auto"/>
                <w:sz w:val="24"/>
              </w:rPr>
              <w:t>二单元二分频</w:t>
            </w:r>
            <w:r>
              <w:rPr>
                <w:rFonts w:hint="eastAsia" w:ascii="仿宋" w:hAnsi="仿宋" w:eastAsia="仿宋" w:cs="仿宋"/>
                <w:color w:val="auto"/>
                <w:sz w:val="24"/>
              </w:rPr>
              <w:t>，</w:t>
            </w:r>
            <w:r>
              <w:rPr>
                <w:rFonts w:ascii="仿宋" w:hAnsi="仿宋" w:eastAsia="仿宋" w:cs="仿宋"/>
                <w:color w:val="auto"/>
                <w:sz w:val="24"/>
              </w:rPr>
              <w:t xml:space="preserve">采用3"全纸盆，55磁磁钢 </w:t>
            </w:r>
            <w:r>
              <w:rPr>
                <w:rFonts w:hint="eastAsia" w:ascii="仿宋" w:hAnsi="仿宋" w:eastAsia="仿宋" w:cs="仿宋"/>
                <w:color w:val="auto"/>
                <w:sz w:val="24"/>
              </w:rPr>
              <w:t>，低音</w:t>
            </w:r>
            <w:r>
              <w:rPr>
                <w:rFonts w:ascii="仿宋" w:hAnsi="仿宋" w:eastAsia="仿宋" w:cs="仿宋"/>
                <w:color w:val="auto"/>
                <w:sz w:val="24"/>
              </w:rPr>
              <w:t>6.5"橡边原色盆</w:t>
            </w:r>
            <w:r>
              <w:rPr>
                <w:rFonts w:hint="eastAsia" w:ascii="仿宋" w:hAnsi="仿宋" w:eastAsia="仿宋" w:cs="仿宋"/>
                <w:color w:val="auto"/>
                <w:sz w:val="24"/>
              </w:rPr>
              <w:t>；</w:t>
            </w:r>
          </w:p>
          <w:p w14:paraId="4A22757C">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14）</w:t>
            </w:r>
            <w:r>
              <w:rPr>
                <w:rFonts w:hint="eastAsia" w:ascii="仿宋" w:hAnsi="仿宋" w:eastAsia="仿宋" w:cs="仿宋"/>
                <w:color w:val="auto"/>
                <w:sz w:val="24"/>
              </w:rPr>
              <w:t>配套</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2</w:t>
            </w:r>
          </w:p>
          <w:p w14:paraId="1498B063">
            <w:pPr>
              <w:spacing w:line="360" w:lineRule="auto"/>
              <w:rPr>
                <w:rFonts w:ascii="仿宋" w:hAnsi="仿宋" w:eastAsia="仿宋" w:cs="仿宋"/>
                <w:color w:val="auto"/>
                <w:sz w:val="24"/>
              </w:rPr>
            </w:pPr>
            <w:r>
              <w:rPr>
                <w:rFonts w:ascii="仿宋" w:hAnsi="仿宋" w:eastAsia="仿宋" w:cs="仿宋"/>
                <w:color w:val="auto"/>
                <w:sz w:val="24"/>
              </w:rPr>
              <w:t>2.</w:t>
            </w:r>
            <w:r>
              <w:rPr>
                <w:rFonts w:hint="eastAsia" w:ascii="仿宋" w:hAnsi="仿宋" w:eastAsia="仿宋" w:cs="仿宋"/>
                <w:color w:val="auto"/>
                <w:sz w:val="24"/>
              </w:rPr>
              <w:t>实训通讯装置</w:t>
            </w:r>
          </w:p>
          <w:p w14:paraId="531AA3B9">
            <w:pPr>
              <w:spacing w:line="360" w:lineRule="auto"/>
              <w:rPr>
                <w:rFonts w:ascii="仿宋" w:hAnsi="仿宋" w:eastAsia="仿宋" w:cs="仿宋"/>
                <w:color w:val="auto"/>
                <w:sz w:val="24"/>
              </w:rPr>
            </w:pPr>
            <w:r>
              <w:rPr>
                <w:rFonts w:hint="eastAsia" w:ascii="仿宋" w:hAnsi="仿宋" w:eastAsia="仿宋" w:cs="仿宋"/>
                <w:color w:val="auto"/>
                <w:sz w:val="24"/>
              </w:rPr>
              <w:t>（1）交换容量≥600Gbps/6Tbps，包转发率≥160Mpps/210Mpps；</w:t>
            </w:r>
          </w:p>
          <w:p w14:paraId="78C44C5B">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）千兆电口≥48个，千兆SFP光口≥4个；Console口≥1个，Manage口≥1个；</w:t>
            </w:r>
          </w:p>
          <w:p w14:paraId="59000F0F">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）★支持M-LAG技术，跨设备链路聚合（非堆叠技术实现），要求配对的设备有独立的控制平面；</w:t>
            </w:r>
            <w:r>
              <w:rPr>
                <w:rFonts w:hint="eastAsia" w:ascii="仿宋" w:hAnsi="仿宋" w:eastAsia="仿宋" w:cs="仿宋"/>
                <w:b/>
                <w:bCs/>
                <w:color w:val="auto"/>
                <w:sz w:val="24"/>
              </w:rPr>
              <w:t>（投标文件需提供CMA或CNAS认证检测机构出具的检测报告）</w:t>
            </w:r>
          </w:p>
          <w:p w14:paraId="3056C515">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）★支持以下上线方式：支持二层广播自动发现网管中心平台；支持配置静态IP地址三层发现网管中心平台；支持DHCP Option43方式发现网管中心平台；支持DNS域名发现网管中心平台；</w:t>
            </w:r>
            <w:r>
              <w:rPr>
                <w:rFonts w:hint="eastAsia" w:ascii="仿宋" w:hAnsi="仿宋" w:eastAsia="仿宋" w:cs="仿宋"/>
                <w:b/>
                <w:bCs/>
                <w:color w:val="auto"/>
                <w:sz w:val="24"/>
              </w:rPr>
              <w:t>（投标文件需提供CMA或CNAS认证检测机构出具的检测报告）</w:t>
            </w:r>
          </w:p>
          <w:p w14:paraId="307024E5">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）★支持终端类型库，基于指纹自动识别PC、路由器、摄像头设备、无线AP等；</w:t>
            </w:r>
            <w:r>
              <w:rPr>
                <w:rFonts w:hint="eastAsia" w:ascii="仿宋" w:hAnsi="仿宋" w:eastAsia="仿宋" w:cs="仿宋"/>
                <w:b/>
                <w:bCs/>
                <w:color w:val="auto"/>
                <w:sz w:val="24"/>
              </w:rPr>
              <w:t>（投标文件需提供CMA或CNAS认证检测机构出具的检测报告）</w:t>
            </w:r>
          </w:p>
          <w:p w14:paraId="54FBF552">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6</w:t>
            </w:r>
            <w:r>
              <w:rPr>
                <w:rFonts w:hint="eastAsia" w:ascii="仿宋" w:hAnsi="仿宋" w:eastAsia="仿宋" w:cs="仿宋"/>
                <w:color w:val="auto"/>
                <w:sz w:val="24"/>
              </w:rPr>
              <w:t>）配套</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4</w:t>
            </w:r>
          </w:p>
          <w:p w14:paraId="2B72E8BB">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7</w:t>
            </w:r>
            <w:r>
              <w:rPr>
                <w:rFonts w:hint="eastAsia" w:ascii="仿宋" w:hAnsi="仿宋" w:eastAsia="仿宋" w:cs="仿宋"/>
                <w:color w:val="auto"/>
                <w:sz w:val="24"/>
              </w:rPr>
              <w:t>）千兆电口≥24个， 千兆光口≥4个；Console口≥1个；</w:t>
            </w:r>
          </w:p>
          <w:p w14:paraId="2E45B380">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8</w:t>
            </w:r>
            <w:r>
              <w:rPr>
                <w:rFonts w:hint="eastAsia" w:ascii="仿宋" w:hAnsi="仿宋" w:eastAsia="仿宋" w:cs="仿宋"/>
                <w:color w:val="auto"/>
                <w:sz w:val="24"/>
              </w:rPr>
              <w:t>）交换容量≥600Gbps/6Tbps，包转发率≥120Mpps/170Mpps；</w:t>
            </w:r>
            <w:r>
              <w:rPr>
                <w:rFonts w:ascii="仿宋" w:hAnsi="仿宋" w:eastAsia="仿宋" w:cs="仿宋"/>
                <w:color w:val="auto"/>
                <w:sz w:val="24"/>
              </w:rPr>
              <w:t xml:space="preserve"> </w:t>
            </w:r>
          </w:p>
          <w:p w14:paraId="71220CA4">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9</w:t>
            </w:r>
            <w:r>
              <w:rPr>
                <w:rFonts w:hint="eastAsia" w:ascii="仿宋" w:hAnsi="仿宋" w:eastAsia="仿宋" w:cs="仿宋"/>
                <w:color w:val="auto"/>
                <w:sz w:val="24"/>
              </w:rPr>
              <w:t>）支持MAC地址自动学习，支持源MAC地址过滤，支持接口MAC地址学习个数限制；支持IGMP v1/v2/v3 Snooping，支持STP、RSTP、MSTP协议，支持端口聚合，支持手工和静态LACP，支持静态路由支持DHCP Server；</w:t>
            </w:r>
          </w:p>
          <w:p w14:paraId="0A0030EC">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10</w:t>
            </w:r>
            <w:r>
              <w:rPr>
                <w:rFonts w:hint="eastAsia" w:ascii="仿宋" w:hAnsi="仿宋" w:eastAsia="仿宋" w:cs="仿宋"/>
                <w:color w:val="auto"/>
                <w:sz w:val="24"/>
              </w:rPr>
              <w:t>）★支持通过网管中心平台一键替换“按钮”即可完成故障设备替换；</w:t>
            </w:r>
            <w:r>
              <w:rPr>
                <w:rFonts w:hint="eastAsia" w:ascii="仿宋" w:hAnsi="仿宋" w:eastAsia="仿宋" w:cs="仿宋"/>
                <w:b/>
                <w:bCs/>
                <w:color w:val="auto"/>
                <w:sz w:val="24"/>
              </w:rPr>
              <w:t>（投标文件需提供CMA或CNAS认证检测机构出具的检测报告）</w:t>
            </w:r>
          </w:p>
          <w:p w14:paraId="5E6AEEAC">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11</w:t>
            </w:r>
            <w:r>
              <w:rPr>
                <w:rFonts w:hint="eastAsia" w:ascii="仿宋" w:hAnsi="仿宋" w:eastAsia="仿宋" w:cs="仿宋"/>
                <w:color w:val="auto"/>
                <w:sz w:val="24"/>
              </w:rPr>
              <w:t>）支持防网关ARP欺骗，支持端口保护、隔离、防止ARP泛洪攻击功能；</w:t>
            </w:r>
            <w:r>
              <w:rPr>
                <w:rFonts w:ascii="仿宋" w:hAnsi="仿宋" w:eastAsia="仿宋" w:cs="仿宋"/>
                <w:color w:val="auto"/>
                <w:sz w:val="24"/>
              </w:rPr>
              <w:t xml:space="preserve"> </w:t>
            </w:r>
          </w:p>
          <w:p w14:paraId="3859E0A6">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12</w:t>
            </w:r>
            <w:r>
              <w:rPr>
                <w:rFonts w:hint="eastAsia" w:ascii="仿宋" w:hAnsi="仿宋" w:eastAsia="仿宋" w:cs="仿宋"/>
                <w:color w:val="auto"/>
                <w:sz w:val="24"/>
              </w:rPr>
              <w:t>）支持通过网管中心平台查看交换机面板端口工作状态，通过端口颜色显示状态即可判断端口是否在线工作；支持MAC地址自动学习；</w:t>
            </w:r>
          </w:p>
          <w:p w14:paraId="4B46E88A">
            <w:pPr>
              <w:spacing w:line="360" w:lineRule="auto"/>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3</w:t>
            </w:r>
            <w:r>
              <w:rPr>
                <w:rFonts w:hint="eastAsia" w:ascii="仿宋" w:hAnsi="仿宋" w:eastAsia="仿宋" w:cs="仿宋"/>
                <w:color w:val="auto"/>
                <w:sz w:val="24"/>
              </w:rPr>
              <w:t>）支持在交换机上创建东西向安全策略，实现全网安全风险拦截；</w:t>
            </w:r>
          </w:p>
          <w:p w14:paraId="345687CB">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14</w:t>
            </w:r>
            <w:r>
              <w:rPr>
                <w:rFonts w:hint="eastAsia" w:ascii="仿宋" w:hAnsi="仿宋" w:eastAsia="仿宋" w:cs="仿宋"/>
                <w:color w:val="auto"/>
                <w:sz w:val="24"/>
              </w:rPr>
              <w:t xml:space="preserve">）支持通过APP进行远程管理，并且可以修改交换机网络配置； </w:t>
            </w:r>
          </w:p>
          <w:p w14:paraId="562A651C">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15</w:t>
            </w:r>
            <w:r>
              <w:rPr>
                <w:rFonts w:hint="eastAsia" w:ascii="仿宋" w:hAnsi="仿宋" w:eastAsia="仿宋" w:cs="仿宋"/>
                <w:color w:val="auto"/>
                <w:sz w:val="24"/>
              </w:rPr>
              <w:t>）冷轧钢板材质可放实训通讯装置；</w:t>
            </w:r>
          </w:p>
          <w:p w14:paraId="61F7C8A8">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16</w:t>
            </w:r>
            <w:r>
              <w:rPr>
                <w:rFonts w:hint="eastAsia" w:ascii="仿宋" w:hAnsi="仿宋" w:eastAsia="仿宋" w:cs="仿宋"/>
                <w:color w:val="auto"/>
                <w:sz w:val="24"/>
              </w:rPr>
              <w:t>）配套</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2</w:t>
            </w:r>
          </w:p>
          <w:p w14:paraId="6BFD50C1">
            <w:pPr>
              <w:spacing w:line="360" w:lineRule="auto"/>
              <w:rPr>
                <w:rFonts w:ascii="仿宋" w:hAnsi="仿宋" w:eastAsia="仿宋" w:cs="仿宋"/>
                <w:color w:val="auto"/>
                <w:sz w:val="24"/>
              </w:rPr>
            </w:pPr>
            <w:r>
              <w:rPr>
                <w:rFonts w:hint="eastAsia" w:ascii="仿宋" w:hAnsi="仿宋" w:eastAsia="仿宋" w:cs="仿宋"/>
                <w:color w:val="auto"/>
                <w:sz w:val="24"/>
              </w:rPr>
              <w:t>三、支撑实训模块</w:t>
            </w:r>
          </w:p>
          <w:p w14:paraId="3B332D94">
            <w:pPr>
              <w:spacing w:line="360" w:lineRule="auto"/>
              <w:rPr>
                <w:rFonts w:ascii="仿宋" w:hAnsi="仿宋" w:eastAsia="仿宋" w:cs="仿宋"/>
                <w:color w:val="auto"/>
                <w:sz w:val="24"/>
              </w:rPr>
            </w:pPr>
            <w:r>
              <w:rPr>
                <w:rFonts w:ascii="仿宋" w:hAnsi="仿宋" w:eastAsia="仿宋" w:cs="仿宋"/>
                <w:color w:val="auto"/>
                <w:sz w:val="24"/>
              </w:rPr>
              <w:t>1</w:t>
            </w:r>
            <w:r>
              <w:rPr>
                <w:rFonts w:hint="eastAsia" w:ascii="仿宋" w:hAnsi="仿宋" w:eastAsia="仿宋" w:cs="仿宋"/>
                <w:color w:val="auto"/>
                <w:sz w:val="24"/>
              </w:rPr>
              <w:t>.实训配套组：采用规格： 钢木结构（具体尺寸摆放根据实际场地定制）</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116</w:t>
            </w:r>
            <w:r>
              <w:rPr>
                <w:rFonts w:hint="eastAsia" w:ascii="仿宋" w:hAnsi="仿宋" w:eastAsia="仿宋" w:cs="仿宋"/>
                <w:color w:val="auto"/>
                <w:sz w:val="24"/>
              </w:rPr>
              <w:t>；</w:t>
            </w:r>
          </w:p>
          <w:p w14:paraId="6AD23B82">
            <w:pPr>
              <w:spacing w:line="360" w:lineRule="auto"/>
              <w:rPr>
                <w:rFonts w:ascii="仿宋" w:hAnsi="仿宋" w:eastAsia="仿宋" w:cs="仿宋"/>
                <w:color w:val="auto"/>
                <w:sz w:val="24"/>
              </w:rPr>
            </w:pPr>
            <w:r>
              <w:rPr>
                <w:rFonts w:ascii="仿宋" w:hAnsi="仿宋" w:eastAsia="仿宋" w:cs="仿宋"/>
                <w:color w:val="auto"/>
                <w:sz w:val="24"/>
              </w:rPr>
              <w:t>2</w:t>
            </w:r>
            <w:r>
              <w:rPr>
                <w:rFonts w:hint="eastAsia" w:ascii="仿宋" w:hAnsi="仿宋" w:eastAsia="仿宋" w:cs="仿宋"/>
                <w:color w:val="auto"/>
                <w:sz w:val="24"/>
              </w:rPr>
              <w:t>.★存放装置：多媒体讲台规格：1400*780*1000 mm厚度为 25mm；（具体尺寸摆放根据实际场地定制）</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 xml:space="preserve"> </w:t>
            </w:r>
            <w:r>
              <w:rPr>
                <w:rFonts w:hint="eastAsia" w:ascii="仿宋" w:hAnsi="仿宋" w:eastAsia="仿宋" w:cs="仿宋"/>
                <w:b/>
                <w:bCs/>
                <w:color w:val="auto"/>
                <w:sz w:val="24"/>
              </w:rPr>
              <w:t>（投标文件需提供</w:t>
            </w:r>
            <w:r>
              <w:rPr>
                <w:rFonts w:ascii="仿宋" w:hAnsi="仿宋" w:eastAsia="仿宋" w:cs="仿宋"/>
                <w:b/>
                <w:bCs/>
                <w:color w:val="auto"/>
                <w:sz w:val="24"/>
              </w:rPr>
              <w:t>经</w:t>
            </w:r>
            <w:r>
              <w:rPr>
                <w:rFonts w:hint="eastAsia" w:ascii="仿宋" w:hAnsi="仿宋" w:eastAsia="仿宋" w:cs="仿宋"/>
                <w:b/>
                <w:bCs/>
                <w:color w:val="auto"/>
                <w:sz w:val="24"/>
              </w:rPr>
              <w:t>中国国家认证认可监督管理委员会认证机构颁发的</w:t>
            </w:r>
            <w:r>
              <w:rPr>
                <w:rFonts w:ascii="仿宋" w:hAnsi="仿宋" w:eastAsia="仿宋" w:cs="仿宋"/>
                <w:b/>
                <w:bCs/>
                <w:color w:val="auto"/>
                <w:sz w:val="24"/>
              </w:rPr>
              <w:t>低甲醛家具产品认证</w:t>
            </w:r>
            <w:r>
              <w:rPr>
                <w:rFonts w:hint="eastAsia" w:ascii="仿宋" w:hAnsi="仿宋" w:eastAsia="仿宋" w:cs="仿宋"/>
                <w:b/>
                <w:bCs/>
                <w:color w:val="auto"/>
                <w:sz w:val="24"/>
              </w:rPr>
              <w:t>证书）</w:t>
            </w:r>
          </w:p>
          <w:p w14:paraId="279BE7E9">
            <w:pPr>
              <w:spacing w:line="360" w:lineRule="auto"/>
              <w:rPr>
                <w:rFonts w:ascii="仿宋" w:hAnsi="仿宋" w:eastAsia="仿宋" w:cs="仿宋"/>
                <w:color w:val="auto"/>
                <w:sz w:val="24"/>
              </w:rPr>
            </w:pPr>
            <w:r>
              <w:rPr>
                <w:rFonts w:hint="eastAsia" w:ascii="仿宋" w:hAnsi="仿宋" w:eastAsia="仿宋" w:cs="仿宋"/>
                <w:color w:val="auto"/>
                <w:sz w:val="24"/>
              </w:rPr>
              <w:t>3</w:t>
            </w:r>
            <w:r>
              <w:rPr>
                <w:rFonts w:ascii="仿宋" w:hAnsi="仿宋" w:eastAsia="仿宋" w:cs="仿宋"/>
                <w:color w:val="auto"/>
                <w:sz w:val="24"/>
              </w:rPr>
              <w:t>.</w:t>
            </w:r>
            <w:r>
              <w:rPr>
                <w:rFonts w:hint="eastAsia" w:ascii="仿宋" w:hAnsi="仿宋" w:eastAsia="仿宋" w:cs="仿宋"/>
                <w:color w:val="auto"/>
                <w:sz w:val="24"/>
              </w:rPr>
              <w:t>支撑组件：环保PP+纤材料，11mm实心钢筋、座板；</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48</w:t>
            </w:r>
            <w:r>
              <w:rPr>
                <w:rFonts w:hint="eastAsia" w:ascii="仿宋" w:hAnsi="仿宋" w:eastAsia="仿宋" w:cs="仿宋"/>
                <w:color w:val="auto"/>
                <w:sz w:val="24"/>
              </w:rPr>
              <w:br w:type="textWrapping"/>
            </w:r>
            <w:r>
              <w:rPr>
                <w:rFonts w:hint="eastAsia" w:ascii="仿宋" w:hAnsi="仿宋" w:eastAsia="仿宋" w:cs="仿宋"/>
                <w:color w:val="auto"/>
                <w:sz w:val="24"/>
              </w:rPr>
              <w:t>4.装置组件：黑色尼龙加玻纤背架；</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 xml:space="preserve"> </w:t>
            </w:r>
          </w:p>
          <w:p w14:paraId="6549CD95">
            <w:pPr>
              <w:spacing w:line="360" w:lineRule="auto"/>
              <w:rPr>
                <w:rFonts w:ascii="仿宋" w:hAnsi="仿宋" w:eastAsia="仿宋" w:cs="仿宋"/>
                <w:color w:val="auto"/>
                <w:sz w:val="24"/>
              </w:rPr>
            </w:pPr>
            <w:r>
              <w:rPr>
                <w:rFonts w:ascii="仿宋" w:hAnsi="仿宋" w:eastAsia="仿宋" w:cs="仿宋"/>
                <w:color w:val="auto"/>
                <w:sz w:val="24"/>
              </w:rPr>
              <w:t>5.</w:t>
            </w:r>
            <w:r>
              <w:rPr>
                <w:rFonts w:hint="eastAsia" w:ascii="仿宋" w:hAnsi="仿宋" w:eastAsia="仿宋" w:cs="仿宋"/>
                <w:color w:val="auto"/>
                <w:sz w:val="24"/>
              </w:rPr>
              <w:t>辅助工位：内架：坐垫18mm单层板+40密度切割棉，靠背25mm双层板+40密度切割棉，电镀弓形架；</w:t>
            </w:r>
            <w:r>
              <w:rPr>
                <w:rFonts w:ascii="仿宋" w:hAnsi="仿宋" w:eastAsia="仿宋" w:cs="仿宋"/>
                <w:color w:val="auto"/>
                <w:sz w:val="24"/>
              </w:rPr>
              <w:t>技术指标点</w:t>
            </w:r>
            <w:r>
              <w:rPr>
                <w:rFonts w:hint="eastAsia" w:ascii="仿宋" w:hAnsi="仿宋" w:eastAsia="仿宋" w:cs="仿宋"/>
                <w:color w:val="auto"/>
                <w:sz w:val="24"/>
              </w:rPr>
              <w:t>≥</w:t>
            </w:r>
            <w:r>
              <w:rPr>
                <w:rFonts w:ascii="仿宋" w:hAnsi="仿宋" w:eastAsia="仿宋" w:cs="仿宋"/>
                <w:color w:val="auto"/>
                <w:sz w:val="24"/>
              </w:rPr>
              <w:t>50</w:t>
            </w:r>
          </w:p>
          <w:p w14:paraId="3E1E29BD">
            <w:pPr>
              <w:spacing w:line="360" w:lineRule="auto"/>
              <w:rPr>
                <w:rFonts w:ascii="仿宋" w:hAnsi="仿宋" w:eastAsia="仿宋" w:cs="仿宋"/>
                <w:color w:val="auto"/>
                <w:sz w:val="24"/>
              </w:rPr>
            </w:pPr>
            <w:r>
              <w:rPr>
                <w:rFonts w:ascii="仿宋" w:hAnsi="仿宋" w:eastAsia="仿宋" w:cs="仿宋"/>
                <w:color w:val="auto"/>
                <w:sz w:val="24"/>
              </w:rPr>
              <w:t>6</w:t>
            </w:r>
            <w:r>
              <w:rPr>
                <w:rFonts w:hint="eastAsia" w:ascii="仿宋" w:hAnsi="仿宋" w:eastAsia="仿宋" w:cs="仿宋"/>
                <w:color w:val="auto"/>
                <w:sz w:val="24"/>
              </w:rPr>
              <w:t>.指标配套规格：</w:t>
            </w:r>
          </w:p>
          <w:p w14:paraId="24AFD9CD">
            <w:pPr>
              <w:spacing w:line="360" w:lineRule="auto"/>
              <w:rPr>
                <w:rFonts w:ascii="仿宋" w:hAnsi="仿宋" w:eastAsia="仿宋" w:cs="仿宋"/>
                <w:color w:val="auto"/>
                <w:sz w:val="24"/>
              </w:rPr>
            </w:pPr>
            <w:r>
              <w:rPr>
                <w:rFonts w:hint="eastAsia" w:ascii="仿宋" w:hAnsi="仿宋" w:eastAsia="仿宋" w:cs="仿宋"/>
                <w:color w:val="auto"/>
                <w:sz w:val="24"/>
              </w:rPr>
              <w:t>（1）采用钢板、水泥填充物、瓷砖、防静电材料组成的且满足不小于</w:t>
            </w:r>
            <w:r>
              <w:rPr>
                <w:rFonts w:ascii="仿宋" w:hAnsi="仿宋" w:eastAsia="仿宋" w:cs="仿宋"/>
                <w:color w:val="auto"/>
                <w:sz w:val="24"/>
              </w:rPr>
              <w:t>370</w:t>
            </w:r>
            <w:r>
              <w:rPr>
                <w:rFonts w:hint="eastAsia" w:ascii="仿宋" w:hAnsi="仿宋" w:eastAsia="仿宋" w:cs="仿宋"/>
                <w:color w:val="auto"/>
                <w:sz w:val="24"/>
              </w:rPr>
              <w:t>平米的通讯配套装置设施；采用优质钢板经拉伸、成型、焊接、喷塑，支座、横梁整体镀锌，支座高度可调并能自锁；具有防火、防水、耐磨、承载力大、不易变形、经久耐用；</w:t>
            </w:r>
          </w:p>
          <w:p w14:paraId="3E0EDDC3">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2</w:t>
            </w:r>
            <w:r>
              <w:rPr>
                <w:rFonts w:hint="eastAsia" w:ascii="仿宋" w:hAnsi="仿宋" w:eastAsia="仿宋" w:cs="仿宋"/>
                <w:color w:val="auto"/>
                <w:sz w:val="24"/>
              </w:rPr>
              <w:t>）采用高分子聚合物配方，粘结强，耐水防潮。油漆附着力强，耐擦洗，覆盖力强，适用于墙面基层处理及装饰涂装，环保耐用；</w:t>
            </w:r>
            <w:r>
              <w:rPr>
                <w:rFonts w:ascii="仿宋" w:hAnsi="仿宋" w:eastAsia="仿宋" w:cs="仿宋"/>
                <w:color w:val="auto"/>
                <w:sz w:val="24"/>
              </w:rPr>
              <w:t xml:space="preserve"> </w:t>
            </w:r>
          </w:p>
          <w:p w14:paraId="1F5474F8">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3</w:t>
            </w:r>
            <w:r>
              <w:rPr>
                <w:rFonts w:hint="eastAsia" w:ascii="仿宋" w:hAnsi="仿宋" w:eastAsia="仿宋" w:cs="仿宋"/>
                <w:color w:val="auto"/>
                <w:sz w:val="24"/>
              </w:rPr>
              <w:t>）采用铝方通厚 1mm格栅，专业扣板T型烤漆龙骨吊装，优质宽边烤漆收边条收边， 根据设计标高弹标准线，采用直径为8mm的钢筋制作，吊点间距≤1200㎜；高纯度铝合金抗腐蚀耐酸碱，抗菌处理，耐用、美观需求；</w:t>
            </w:r>
          </w:p>
          <w:p w14:paraId="532C9AD3">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4</w:t>
            </w:r>
            <w:r>
              <w:rPr>
                <w:rFonts w:hint="eastAsia" w:ascii="仿宋" w:hAnsi="仿宋" w:eastAsia="仿宋" w:cs="仿宋"/>
                <w:color w:val="auto"/>
                <w:sz w:val="24"/>
              </w:rPr>
              <w:t>）采用高密度聚酯纤维面料，遮光率≥85%，耐磨抗菌易清洁，窗帘长度按窗户长度 2 倍计算；</w:t>
            </w:r>
          </w:p>
          <w:p w14:paraId="3E1B829F">
            <w:pPr>
              <w:spacing w:line="360" w:lineRule="auto"/>
              <w:rPr>
                <w:rFonts w:ascii="仿宋" w:hAnsi="仿宋" w:eastAsia="仿宋" w:cs="仿宋"/>
                <w:color w:val="auto"/>
                <w:sz w:val="24"/>
              </w:rPr>
            </w:pPr>
            <w:r>
              <w:rPr>
                <w:rFonts w:hint="eastAsia" w:ascii="仿宋" w:hAnsi="仿宋" w:eastAsia="仿宋" w:cs="仿宋"/>
                <w:color w:val="auto"/>
                <w:sz w:val="24"/>
              </w:rPr>
              <w:t>（</w:t>
            </w:r>
            <w:r>
              <w:rPr>
                <w:rFonts w:ascii="仿宋" w:hAnsi="仿宋" w:eastAsia="仿宋" w:cs="仿宋"/>
                <w:color w:val="auto"/>
                <w:sz w:val="24"/>
              </w:rPr>
              <w:t>5</w:t>
            </w:r>
            <w:r>
              <w:rPr>
                <w:rFonts w:hint="eastAsia" w:ascii="仿宋" w:hAnsi="仿宋" w:eastAsia="仿宋" w:cs="仿宋"/>
                <w:color w:val="auto"/>
                <w:sz w:val="24"/>
              </w:rPr>
              <w:t>）采用内部LED 光源，亮度高，采用阻燃 PC 材质外壳。适配仪器、照明设备，插孔间距合理，防干扰设计保障用电稳定安全。</w:t>
            </w:r>
          </w:p>
        </w:tc>
        <w:tc>
          <w:tcPr>
            <w:tcW w:w="235" w:type="pct"/>
            <w:tcBorders>
              <w:top w:val="single" w:color="000000" w:sz="4" w:space="0"/>
              <w:left w:val="single" w:color="000000" w:sz="4" w:space="0"/>
              <w:bottom w:val="single" w:color="000000" w:sz="4" w:space="0"/>
              <w:right w:val="single" w:color="000000" w:sz="4" w:space="0"/>
            </w:tcBorders>
            <w:noWrap w:val="0"/>
            <w:vAlign w:val="center"/>
          </w:tcPr>
          <w:p w14:paraId="70926A78">
            <w:pPr>
              <w:spacing w:line="360" w:lineRule="auto"/>
              <w:jc w:val="left"/>
              <w:rPr>
                <w:rFonts w:ascii="仿宋" w:hAnsi="仿宋" w:eastAsia="仿宋" w:cs="仿宋"/>
                <w:color w:val="auto"/>
                <w:sz w:val="24"/>
              </w:rPr>
            </w:pPr>
            <w:r>
              <w:rPr>
                <w:rFonts w:hint="eastAsia" w:ascii="仿宋" w:hAnsi="仿宋" w:eastAsia="仿宋" w:cs="仿宋"/>
                <w:color w:val="auto"/>
                <w:sz w:val="24"/>
              </w:rPr>
              <w:t>套</w:t>
            </w:r>
          </w:p>
        </w:tc>
        <w:tc>
          <w:tcPr>
            <w:tcW w:w="277" w:type="pct"/>
            <w:tcBorders>
              <w:top w:val="single" w:color="000000" w:sz="4" w:space="0"/>
              <w:left w:val="single" w:color="000000" w:sz="4" w:space="0"/>
              <w:bottom w:val="single" w:color="000000" w:sz="4" w:space="0"/>
              <w:right w:val="single" w:color="000000" w:sz="4" w:space="0"/>
            </w:tcBorders>
            <w:noWrap w:val="0"/>
            <w:vAlign w:val="center"/>
          </w:tcPr>
          <w:p w14:paraId="697078C0">
            <w:pPr>
              <w:spacing w:line="360" w:lineRule="auto"/>
              <w:jc w:val="left"/>
              <w:rPr>
                <w:rFonts w:ascii="仿宋" w:hAnsi="仿宋" w:eastAsia="仿宋" w:cs="仿宋"/>
                <w:color w:val="auto"/>
                <w:sz w:val="24"/>
              </w:rPr>
            </w:pPr>
            <w:r>
              <w:rPr>
                <w:rFonts w:hint="eastAsia" w:ascii="仿宋" w:hAnsi="仿宋" w:eastAsia="仿宋" w:cs="仿宋"/>
                <w:color w:val="auto"/>
                <w:sz w:val="24"/>
              </w:rPr>
              <w:t>1</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14:paraId="177F1B32">
            <w:pPr>
              <w:spacing w:line="360" w:lineRule="auto"/>
              <w:jc w:val="left"/>
              <w:rPr>
                <w:rFonts w:ascii="仿宋" w:hAnsi="仿宋" w:eastAsia="仿宋" w:cs="仿宋"/>
                <w:color w:val="auto"/>
                <w:sz w:val="24"/>
              </w:rPr>
            </w:pPr>
            <w:r>
              <w:rPr>
                <w:rFonts w:hint="eastAsia" w:ascii="仿宋" w:hAnsi="仿宋" w:eastAsia="仿宋" w:cs="仿宋"/>
                <w:color w:val="auto"/>
                <w:sz w:val="24"/>
              </w:rPr>
              <w:t>工业</w:t>
            </w:r>
          </w:p>
        </w:tc>
      </w:tr>
    </w:tbl>
    <w:p w14:paraId="63D955D2">
      <w:pPr>
        <w:jc w:val="left"/>
        <w:rPr>
          <w:rFonts w:hint="eastAsia" w:ascii="仿宋" w:hAnsi="仿宋" w:eastAsia="仿宋" w:cs="仿宋"/>
          <w:color w:val="auto"/>
          <w:sz w:val="24"/>
        </w:rPr>
      </w:pPr>
    </w:p>
    <w:p w14:paraId="1C6482C5">
      <w:pPr>
        <w:pStyle w:val="4"/>
        <w:widowControl/>
        <w:snapToGrid w:val="0"/>
        <w:spacing w:line="360" w:lineRule="auto"/>
        <w:ind w:firstLine="482" w:firstLineChars="200"/>
        <w:outlineLvl w:val="2"/>
        <w:rPr>
          <w:rFonts w:hAnsi="宋体" w:eastAsia="仿宋"/>
          <w:b/>
          <w:bCs/>
          <w:color w:val="auto"/>
          <w:sz w:val="24"/>
          <w:szCs w:val="24"/>
        </w:rPr>
      </w:pPr>
      <w:bookmarkStart w:id="14" w:name="_Toc493440974"/>
      <w:bookmarkStart w:id="15" w:name="_Toc512544433"/>
      <w:bookmarkStart w:id="16" w:name="_Toc493440806"/>
      <w:bookmarkStart w:id="17" w:name="_Toc517011813"/>
      <w:bookmarkStart w:id="18" w:name="_Toc525819966"/>
      <w:bookmarkStart w:id="19" w:name="_Toc493432669"/>
      <w:bookmarkStart w:id="20" w:name="_Toc512611688"/>
      <w:bookmarkStart w:id="21" w:name="_Toc515539871"/>
      <w:bookmarkStart w:id="22" w:name="_Toc526265690"/>
      <w:r>
        <w:rPr>
          <w:rFonts w:hint="eastAsia" w:hAnsi="宋体" w:eastAsia="仿宋"/>
          <w:b/>
          <w:bCs/>
          <w:color w:val="auto"/>
          <w:sz w:val="24"/>
          <w:szCs w:val="24"/>
        </w:rPr>
        <w:t xml:space="preserve">4.3 </w:t>
      </w:r>
      <w:bookmarkEnd w:id="14"/>
      <w:bookmarkEnd w:id="15"/>
      <w:bookmarkEnd w:id="16"/>
      <w:bookmarkEnd w:id="17"/>
      <w:bookmarkEnd w:id="18"/>
      <w:bookmarkEnd w:id="19"/>
      <w:bookmarkEnd w:id="20"/>
      <w:bookmarkEnd w:id="21"/>
      <w:bookmarkEnd w:id="22"/>
      <w:r>
        <w:rPr>
          <w:rFonts w:hint="eastAsia" w:hAnsi="宋体" w:eastAsia="仿宋"/>
          <w:b/>
          <w:bCs/>
          <w:color w:val="auto"/>
          <w:sz w:val="24"/>
          <w:szCs w:val="24"/>
        </w:rPr>
        <w:t>安装调试、培训、质保及售后服务要求</w:t>
      </w:r>
    </w:p>
    <w:p w14:paraId="0BE1F103">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1、人员培训要求：中标人应提供现场系统运维培训服务，详细讲解相关系统的实现技术原理与运维注意事项，针对各用户的实际生产环境与部署场景，设计个性化的、关键性的巡检、运维内容，以提高用户对系统的掌握程度和运维能力，并提供完整的培训方案，直至采购人掌握基本操作原则，能够定期安排培训，及时为采购人解决操作过程中的问题，并随时提供技术支持等。</w:t>
      </w:r>
    </w:p>
    <w:p w14:paraId="297849D0">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2、在安装施工前，中标人与采购人最后确定部署方案，制定详细的施工方案，经采购人审定后再行施工。</w:t>
      </w:r>
    </w:p>
    <w:p w14:paraId="750D1CA7">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3、自验收合格后开始计算保修期起始时间，对本项目提供不少于3年原厂整体免费保修（包含本项目采购的所有内容以及本项目安装调试过程中涉及的所有设施、设备、线材、辅材、软硬件测试调试等一切内容），该部分内容涉及的所有费用均包含在本项目报价中，不单独列项。</w:t>
      </w:r>
    </w:p>
    <w:p w14:paraId="36D6AB62">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4、根据采购人现场情况将本项目所有设备安装到位，并提供本项目设备安装调试所需的所有线材（包含但不限于电源线、网线、音箱线等内容）、所有辅材（包含但不限于各种规格型号的线槽、线卡、膨胀螺丝等内容）及施工中的道路开挖修复等内容，此部分内容涉及的所有费用均包含在本项目报价中，不单独列项。</w:t>
      </w:r>
    </w:p>
    <w:p w14:paraId="62CC35F4">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5、提供本项目涉及的各子系统之间的连接与调试（包含但不限于各类物理连接、软件测试与调试等内容），此部分内容涉及的所有费用均包含在本项目报价中，不单独列项。</w:t>
      </w:r>
    </w:p>
    <w:p w14:paraId="53DE2041">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6、本项目报价包含实施本项目过程中所需要的所有设施设备的采购、运输、保险、安装、调试、培训、税费等一切内容。本项目报价包含实施本项目过程中所需要的所有设施设备的采购、运输保险、安装、调试、培训、税费等一切内容。</w:t>
      </w:r>
    </w:p>
    <w:p w14:paraId="478129A5">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7、本项目涉及所有软硬件产品需终身免费提供数据接口，以便于满足采购人后续采购其他系统平台的对接需求。费用包含在报价中，不单独列项。</w:t>
      </w:r>
    </w:p>
    <w:p w14:paraId="7D8F78BA">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8、项目实施过程中参与人员必须严格遵守学校及施工相关的安全管理规定中标人应制定避免人身伤害、伤亡和财产损失相关预案，同时提供劳动保护、意外补偿和相关保障措施，相关费用包含在本项目报价中。如发生人员人身伤害或伤亡、财产损失的，中标人应及时处理并承担相关经济和道义上的责任。</w:t>
      </w:r>
    </w:p>
    <w:p w14:paraId="0D175693">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9、现场具体情况由各投标人自行勘测，由于投标人对项目的理解偏差，造成成本偏差或损失，由投标人自行承担。</w:t>
      </w:r>
    </w:p>
    <w:p w14:paraId="2FB66008">
      <w:pPr>
        <w:adjustRightInd w:val="0"/>
        <w:snapToGrid w:val="0"/>
        <w:spacing w:before="120" w:after="120" w:line="440" w:lineRule="exact"/>
        <w:ind w:firstLine="480" w:firstLineChars="200"/>
        <w:rPr>
          <w:rFonts w:eastAsia="仿宋"/>
          <w:color w:val="auto"/>
          <w:sz w:val="24"/>
        </w:rPr>
      </w:pPr>
      <w:r>
        <w:rPr>
          <w:rFonts w:hint="eastAsia" w:eastAsia="仿宋"/>
          <w:color w:val="auto"/>
          <w:sz w:val="24"/>
        </w:rPr>
        <w:t>10、</w:t>
      </w:r>
      <w:r>
        <w:rPr>
          <w:rFonts w:eastAsia="仿宋"/>
          <w:color w:val="auto"/>
          <w:sz w:val="24"/>
        </w:rPr>
        <w:t>完全按使用方要求布置场地，并负责前期安装和后期调试工作，配备保障实训设备正常运行的线路连接线、配线架、插排插头、线标、跳线等所有辅材；线材需满足国标标准，布线按照国家相关电器标准执行，布线合理、美观；管路或线槽安装需横平竖直，连接稳固，不易脱落；按要求构建个性化局域网；室内配电箱及总控开关，起到安全用电</w:t>
      </w:r>
      <w:r>
        <w:rPr>
          <w:rFonts w:hint="eastAsia" w:eastAsia="仿宋"/>
          <w:color w:val="auto"/>
          <w:sz w:val="24"/>
        </w:rPr>
        <w:t>，</w:t>
      </w:r>
      <w:r>
        <w:rPr>
          <w:rFonts w:eastAsia="仿宋"/>
          <w:color w:val="auto"/>
          <w:sz w:val="24"/>
        </w:rPr>
        <w:t>强电线符合安全用电要求，保证用电安全稳定。</w:t>
      </w:r>
    </w:p>
    <w:p w14:paraId="092927F1">
      <w:pPr>
        <w:pStyle w:val="4"/>
        <w:widowControl/>
        <w:snapToGrid w:val="0"/>
        <w:spacing w:line="360" w:lineRule="auto"/>
        <w:ind w:firstLine="482" w:firstLineChars="200"/>
        <w:outlineLvl w:val="2"/>
        <w:rPr>
          <w:rFonts w:hint="eastAsia" w:hAnsi="宋体" w:eastAsia="仿宋"/>
          <w:b/>
          <w:bCs/>
          <w:color w:val="auto"/>
          <w:sz w:val="24"/>
          <w:szCs w:val="24"/>
        </w:rPr>
      </w:pPr>
      <w:bookmarkStart w:id="23" w:name="_Toc515539872"/>
      <w:bookmarkStart w:id="24" w:name="_Toc512611689"/>
      <w:bookmarkStart w:id="25" w:name="_Toc493432670"/>
      <w:bookmarkStart w:id="26" w:name="_Toc493440975"/>
      <w:bookmarkStart w:id="27" w:name="_Toc517011814"/>
      <w:bookmarkStart w:id="28" w:name="_Toc525819967"/>
      <w:bookmarkStart w:id="29" w:name="_Toc526265691"/>
      <w:bookmarkStart w:id="30" w:name="_Toc512544434"/>
      <w:bookmarkStart w:id="31" w:name="_Toc493440807"/>
      <w:r>
        <w:rPr>
          <w:rFonts w:hint="eastAsia" w:hAnsi="宋体" w:eastAsia="仿宋"/>
          <w:b/>
          <w:bCs/>
          <w:color w:val="auto"/>
          <w:sz w:val="24"/>
          <w:szCs w:val="24"/>
        </w:rPr>
        <w:t>4.4 质量要求与验收标准</w:t>
      </w:r>
      <w:bookmarkEnd w:id="23"/>
      <w:bookmarkEnd w:id="24"/>
      <w:bookmarkEnd w:id="25"/>
      <w:bookmarkEnd w:id="26"/>
      <w:bookmarkEnd w:id="27"/>
      <w:bookmarkEnd w:id="28"/>
      <w:bookmarkEnd w:id="29"/>
      <w:bookmarkEnd w:id="30"/>
      <w:bookmarkEnd w:id="31"/>
    </w:p>
    <w:p w14:paraId="3A9563E0">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本项目为交钥匙工程，按照施工工艺及标准进行施工，所有软硬件均需安装调试到正常使用状态，满足学校使用要求。</w:t>
      </w:r>
    </w:p>
    <w:p w14:paraId="04CB510B">
      <w:pPr>
        <w:pStyle w:val="4"/>
        <w:widowControl/>
        <w:snapToGrid w:val="0"/>
        <w:spacing w:line="360" w:lineRule="auto"/>
        <w:ind w:firstLine="482" w:firstLineChars="200"/>
        <w:outlineLvl w:val="2"/>
        <w:rPr>
          <w:rFonts w:hint="eastAsia" w:hAnsi="宋体" w:eastAsia="仿宋"/>
          <w:b/>
          <w:bCs/>
          <w:color w:val="auto"/>
          <w:sz w:val="24"/>
          <w:szCs w:val="24"/>
        </w:rPr>
      </w:pPr>
      <w:bookmarkStart w:id="32" w:name="_Toc517011815"/>
      <w:bookmarkStart w:id="33" w:name="_Toc515539873"/>
      <w:bookmarkStart w:id="34" w:name="_Toc526265692"/>
      <w:bookmarkStart w:id="35" w:name="_Toc512544435"/>
      <w:bookmarkStart w:id="36" w:name="_Toc493440976"/>
      <w:bookmarkStart w:id="37" w:name="_Toc512611690"/>
      <w:bookmarkStart w:id="38" w:name="_Toc493440808"/>
      <w:bookmarkStart w:id="39" w:name="_Toc525819968"/>
      <w:bookmarkStart w:id="40" w:name="_Toc493432671"/>
      <w:r>
        <w:rPr>
          <w:rFonts w:hint="eastAsia" w:hAnsi="宋体" w:eastAsia="仿宋"/>
          <w:b/>
          <w:bCs/>
          <w:color w:val="auto"/>
          <w:sz w:val="24"/>
          <w:szCs w:val="24"/>
        </w:rPr>
        <w:t>4.</w:t>
      </w:r>
      <w:bookmarkEnd w:id="32"/>
      <w:bookmarkEnd w:id="33"/>
      <w:bookmarkEnd w:id="34"/>
      <w:bookmarkEnd w:id="35"/>
      <w:bookmarkEnd w:id="36"/>
      <w:bookmarkEnd w:id="37"/>
      <w:bookmarkEnd w:id="38"/>
      <w:bookmarkEnd w:id="39"/>
      <w:bookmarkEnd w:id="40"/>
      <w:bookmarkStart w:id="41" w:name="_Toc493432672"/>
      <w:bookmarkStart w:id="42" w:name="_Toc512611691"/>
      <w:bookmarkStart w:id="43" w:name="_Toc517011816"/>
      <w:bookmarkStart w:id="44" w:name="_Toc493440977"/>
      <w:bookmarkStart w:id="45" w:name="_Toc512544436"/>
      <w:bookmarkStart w:id="46" w:name="_Toc515539874"/>
      <w:bookmarkStart w:id="47" w:name="_Toc525819969"/>
      <w:bookmarkStart w:id="48" w:name="_Toc493440809"/>
      <w:bookmarkStart w:id="49" w:name="_Toc526265693"/>
      <w:r>
        <w:rPr>
          <w:rFonts w:hint="eastAsia" w:hAnsi="宋体" w:eastAsia="仿宋"/>
          <w:b/>
          <w:bCs/>
          <w:color w:val="auto"/>
          <w:sz w:val="24"/>
          <w:szCs w:val="24"/>
        </w:rPr>
        <w:t>5 质量保证期服务要求</w:t>
      </w:r>
      <w:bookmarkEnd w:id="41"/>
      <w:bookmarkEnd w:id="42"/>
      <w:bookmarkEnd w:id="43"/>
      <w:bookmarkEnd w:id="44"/>
      <w:bookmarkEnd w:id="45"/>
      <w:bookmarkEnd w:id="46"/>
      <w:bookmarkEnd w:id="47"/>
      <w:bookmarkEnd w:id="48"/>
      <w:bookmarkEnd w:id="49"/>
    </w:p>
    <w:p w14:paraId="2C6F77F4">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1、产品质量要求：所投产品需为全新产品，符合国家技术规范和质量标准；</w:t>
      </w:r>
    </w:p>
    <w:p w14:paraId="098546DF">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2、服务热线要求：在质保期内投标人必须为最终用户提供技术服务热线（7*24小时），负责解答用户在设备使用中遇到的问题；</w:t>
      </w:r>
    </w:p>
    <w:p w14:paraId="4B7FC206">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3、远程服务要求：远程技术支持时间应为7*24小时，响应时间应在1小时内。现场支持服务：如发生远程技术支持无法解决的问题，接到采购人通知后应2小时内到达现场进行服务，一般性故障应在24小时内解决，复杂性问题应48小时内解决。如在规定时间内不能修复，则应提供同类型同规格产品给用户方作为代替使用，并确保系统的正常运作和使用；</w:t>
      </w:r>
    </w:p>
    <w:p w14:paraId="40C652FE">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4、定期巡检及技术支持：在合同货物正式投入运行使用后，中标人应成立不少于2人的售后服务团队，会根据采购人实际使用情况，通过定期巡检、上门面访、电话回访等方式，对系统使用情况进行定期总结，并及时提供技术培训、咨询服务和技术支持等。</w:t>
      </w:r>
    </w:p>
    <w:p w14:paraId="719EF034">
      <w:pPr>
        <w:pStyle w:val="3"/>
        <w:numPr>
          <w:ilvl w:val="0"/>
          <w:numId w:val="1"/>
        </w:numPr>
        <w:rPr>
          <w:rStyle w:val="7"/>
          <w:rFonts w:hint="eastAsia" w:ascii="宋体" w:hAnsi="宋体" w:eastAsia="仿宋"/>
          <w:b/>
          <w:bCs/>
          <w:color w:val="auto"/>
          <w:sz w:val="24"/>
          <w:szCs w:val="24"/>
        </w:rPr>
      </w:pPr>
      <w:bookmarkStart w:id="50" w:name="_Toc493440811"/>
      <w:bookmarkStart w:id="51" w:name="_Toc526265694"/>
      <w:bookmarkStart w:id="52" w:name="_Toc515539875"/>
      <w:bookmarkStart w:id="53" w:name="_Toc525819970"/>
      <w:bookmarkStart w:id="54" w:name="_Toc493440979"/>
      <w:bookmarkStart w:id="55" w:name="_Toc493432674"/>
      <w:bookmarkStart w:id="56" w:name="_Toc517011817"/>
      <w:bookmarkStart w:id="57" w:name="_Toc512544437"/>
      <w:bookmarkStart w:id="58" w:name="_Toc512611692"/>
      <w:r>
        <w:rPr>
          <w:rStyle w:val="7"/>
          <w:rFonts w:hint="eastAsia" w:ascii="宋体" w:hAnsi="宋体" w:eastAsia="仿宋"/>
          <w:b/>
          <w:bCs/>
          <w:color w:val="auto"/>
          <w:sz w:val="24"/>
          <w:szCs w:val="24"/>
        </w:rPr>
        <w:t>其他</w:t>
      </w:r>
      <w:bookmarkEnd w:id="50"/>
      <w:bookmarkEnd w:id="51"/>
      <w:bookmarkEnd w:id="52"/>
      <w:bookmarkEnd w:id="53"/>
      <w:bookmarkEnd w:id="54"/>
      <w:bookmarkEnd w:id="55"/>
      <w:bookmarkEnd w:id="56"/>
      <w:bookmarkEnd w:id="57"/>
      <w:bookmarkEnd w:id="58"/>
    </w:p>
    <w:p w14:paraId="36DCDD22">
      <w:pPr>
        <w:numPr>
          <w:ilvl w:val="0"/>
          <w:numId w:val="2"/>
        </w:num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本项目报总价，报价为完成本项目所产生的一切费用，包含但不限于所有货品、安装调试、售后服务、运输、搬运上楼、人工、利润、税金、政策性文件规定及合同包含的所有风险、责任、义务等产生的所有费用，报价时已知悉并充分综合考虑风险。</w:t>
      </w:r>
    </w:p>
    <w:p w14:paraId="7776E556">
      <w:pPr>
        <w:adjustRightInd w:val="0"/>
        <w:snapToGrid w:val="0"/>
        <w:spacing w:before="120" w:after="120" w:line="440" w:lineRule="exact"/>
        <w:ind w:firstLine="480" w:firstLineChars="200"/>
        <w:rPr>
          <w:rFonts w:hint="eastAsia" w:eastAsia="仿宋"/>
          <w:color w:val="auto"/>
          <w:sz w:val="24"/>
        </w:rPr>
      </w:pPr>
      <w:r>
        <w:rPr>
          <w:rFonts w:hint="eastAsia" w:eastAsia="仿宋"/>
          <w:color w:val="auto"/>
          <w:sz w:val="24"/>
        </w:rPr>
        <w:t>2、投标文件中提供第三方有权机构出具的具有CNAS或CMA标识的检测报告，且采购人保留在中国国家认证认可监督管理委员会官网查询权限，若提供虚假检测报告，则按中标人违约处理，由此引起的一切责任及后果由中标人承担。</w:t>
      </w:r>
    </w:p>
    <w:p w14:paraId="092BE333">
      <w:r>
        <w:rPr>
          <w:rFonts w:hint="eastAsia" w:eastAsia="仿宋"/>
          <w:color w:val="auto"/>
          <w:sz w:val="24"/>
          <w:lang w:val="en-US" w:eastAsia="zh-CN"/>
        </w:rPr>
        <w:t>3</w:t>
      </w:r>
      <w:r>
        <w:rPr>
          <w:rFonts w:hint="eastAsia" w:eastAsia="仿宋"/>
          <w:color w:val="auto"/>
          <w:sz w:val="24"/>
        </w:rPr>
        <w:t>、中标人需要结合实验室设备实际使用需求，完成实验室的网络、供电的综合布线和系统集成。综合布线和系统集成完成后，需由包括采购人和中标人在内的测试团队，进行实际应用测试，以确保整个系统可以正常使用。若测试不合格，则按中标人违约处理，由此引起的一切责任及后果由中标人承担。</w:t>
      </w:r>
      <w:bookmarkStart w:id="59" w:name="_GoBack"/>
      <w:bookmarkEnd w:id="5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0002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3AA70C"/>
    <w:multiLevelType w:val="singleLevel"/>
    <w:tmpl w:val="0E3AA70C"/>
    <w:lvl w:ilvl="0" w:tentative="0">
      <w:start w:val="1"/>
      <w:numFmt w:val="decimal"/>
      <w:suff w:val="nothing"/>
      <w:lvlText w:val="%1、"/>
      <w:lvlJc w:val="left"/>
    </w:lvl>
  </w:abstractNum>
  <w:abstractNum w:abstractNumId="1">
    <w:nsid w:val="36CF60B6"/>
    <w:multiLevelType w:val="singleLevel"/>
    <w:tmpl w:val="36CF60B6"/>
    <w:lvl w:ilvl="0" w:tentative="0">
      <w:start w:val="5"/>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9042D"/>
    <w:rsid w:val="0F0904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2025-10-24T09:39:00Z</dcterms:created>
  <dc:creator>二审-徐怀珍</dc:creator>
  <cp:lastModifiedBy>二审-徐怀珍</cp:lastModifiedBy>
  <dcterms:modified xsi:type="dcterms:W3CDTF">2025-10-24T09:39:50Z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ABCD2B4819D7489C86E209DF903426FF_11</vt:lpwstr>
  </property>
  <property fmtid="{D5CDD505-2E9C-101B-9397-08002B2CF9AE}" pid="4" name="KSOTemplateDocerSaveRecord">
    <vt:lpwstr>eyJoZGlkIjoiMzEwNTM5NzYwMDRjMzkwZTVkZjY2ODkwMGIxNGU0OTUiLCJ1c2VySWQiOiIyNjg1OTk4MjEifQ==</vt:lpwstr>
  </property>
</Properties>
</file>