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F47DF6">
      <w:pPr>
        <w:keepNext/>
        <w:keepLines/>
        <w:widowControl w:val="0"/>
        <w:spacing w:line="360" w:lineRule="auto"/>
        <w:jc w:val="center"/>
        <w:outlineLvl w:val="0"/>
        <w:rPr>
          <w:rFonts w:hint="eastAsia" w:ascii="方正小标宋_GBK" w:hAnsi="方正小标宋_GBK" w:eastAsia="华文中宋" w:cs="方正小标宋_GBK"/>
          <w:bCs/>
          <w:color w:val="000000"/>
          <w:sz w:val="44"/>
          <w:szCs w:val="44"/>
          <w:lang w:val="en-US" w:eastAsia="zh-CN" w:bidi="ar-SA"/>
        </w:rPr>
      </w:pPr>
      <w:bookmarkStart w:id="0" w:name="_Toc1698162705"/>
      <w:bookmarkStart w:id="1" w:name="_Toc1919576966"/>
      <w:bookmarkStart w:id="2" w:name="_Toc1127235811"/>
      <w:bookmarkStart w:id="3" w:name="_Toc1408663617_WPSOffice_Level1"/>
      <w:bookmarkStart w:id="4" w:name="_Toc517905978"/>
      <w:bookmarkStart w:id="5" w:name="_Toc1695149163"/>
      <w:bookmarkStart w:id="6" w:name="_Toc998780686"/>
      <w:bookmarkStart w:id="7" w:name="_Toc1932310260"/>
      <w:bookmarkStart w:id="8" w:name="_Toc2039865327"/>
      <w:bookmarkStart w:id="31" w:name="_GoBack"/>
      <w:r>
        <w:rPr>
          <w:rFonts w:hint="eastAsia" w:ascii="方正小标宋_GBK" w:hAnsi="方正小标宋_GBK" w:eastAsia="华文中宋" w:cs="方正小标宋_GBK"/>
          <w:bCs/>
          <w:color w:val="000000"/>
          <w:sz w:val="44"/>
          <w:szCs w:val="44"/>
          <w:lang w:val="en-US" w:eastAsia="zh-CN" w:bidi="ar-SA"/>
        </w:rPr>
        <w:t>采购需求</w:t>
      </w:r>
      <w:bookmarkEnd w:id="0"/>
      <w:bookmarkEnd w:id="1"/>
      <w:bookmarkEnd w:id="2"/>
      <w:bookmarkEnd w:id="3"/>
      <w:bookmarkEnd w:id="4"/>
      <w:bookmarkEnd w:id="5"/>
      <w:bookmarkEnd w:id="6"/>
      <w:bookmarkEnd w:id="7"/>
      <w:bookmarkEnd w:id="8"/>
    </w:p>
    <w:bookmarkEnd w:id="31"/>
    <w:p w14:paraId="79103483">
      <w:pPr>
        <w:spacing w:line="360" w:lineRule="auto"/>
        <w:rPr>
          <w:rFonts w:hint="eastAsia" w:ascii="宋体" w:hAnsi="宋体" w:eastAsia="宋体"/>
          <w:b/>
          <w:color w:val="000000"/>
          <w:sz w:val="24"/>
        </w:rPr>
      </w:pPr>
      <w:r>
        <w:rPr>
          <w:rFonts w:hint="eastAsia" w:ascii="宋体" w:hAnsi="宋体" w:eastAsia="宋体"/>
          <w:b/>
          <w:color w:val="000000"/>
          <w:sz w:val="24"/>
        </w:rPr>
        <w:t>前注：</w:t>
      </w:r>
    </w:p>
    <w:p w14:paraId="7F0B4263">
      <w:pPr>
        <w:spacing w:line="360" w:lineRule="auto"/>
        <w:ind w:firstLine="480"/>
        <w:rPr>
          <w:rFonts w:hint="eastAsia" w:ascii="宋体" w:hAnsi="宋体" w:eastAsia="宋体" w:cs="宋体"/>
          <w:color w:val="000000"/>
          <w:sz w:val="24"/>
          <w:szCs w:val="18"/>
        </w:rPr>
      </w:pPr>
      <w:bookmarkStart w:id="9" w:name="_Hlk16461016"/>
      <w:r>
        <w:rPr>
          <w:rFonts w:hint="eastAsia" w:ascii="宋体" w:hAnsi="宋体" w:eastAsia="宋体" w:cs="宋体"/>
          <w:color w:val="000000"/>
          <w:sz w:val="24"/>
        </w:rPr>
        <w:t>1.</w:t>
      </w:r>
      <w:r>
        <w:rPr>
          <w:rFonts w:hint="eastAsia" w:ascii="宋体" w:hAnsi="宋体" w:eastAsia="宋体" w:cs="宋体"/>
          <w:color w:val="000000"/>
          <w:sz w:val="24"/>
          <w:szCs w:val="18"/>
        </w:rPr>
        <w:t>根据《关于规范政府采购进口产品有关工作的通知》及政府采购管理部门的相关规定，下列采购需求中标注进口产品的货物（科研仪器设备）均已履行相关论证手续，经核准采购进口产品，但不限制满足招标文件要求的国内产品参与竞争。未标注进口产品的货物均为拒绝采购进口产品。</w:t>
      </w:r>
    </w:p>
    <w:p w14:paraId="0433E5C2">
      <w:pPr>
        <w:spacing w:line="360" w:lineRule="auto"/>
        <w:ind w:firstLine="435"/>
        <w:rPr>
          <w:rFonts w:hint="eastAsia" w:ascii="宋体" w:hAnsi="宋体" w:eastAsia="宋体" w:cs="宋体"/>
          <w:color w:val="000000"/>
          <w:sz w:val="24"/>
          <w:szCs w:val="18"/>
        </w:rPr>
      </w:pPr>
      <w:r>
        <w:rPr>
          <w:rFonts w:hint="eastAsia" w:ascii="宋体" w:hAnsi="宋体" w:eastAsia="宋体" w:cs="宋体"/>
          <w:color w:val="000000"/>
          <w:sz w:val="24"/>
          <w:szCs w:val="18"/>
        </w:rPr>
        <w:t>2.下列采购需求中：</w:t>
      </w:r>
    </w:p>
    <w:p w14:paraId="0024AE7F">
      <w:pPr>
        <w:spacing w:line="360" w:lineRule="auto"/>
        <w:ind w:firstLine="435"/>
        <w:rPr>
          <w:rFonts w:hint="eastAsia" w:ascii="宋体" w:hAnsi="宋体" w:eastAsia="宋体" w:cs="宋体"/>
          <w:color w:val="000000"/>
          <w:sz w:val="24"/>
          <w:szCs w:val="18"/>
        </w:rPr>
      </w:pPr>
      <w:r>
        <w:rPr>
          <w:rFonts w:hint="eastAsia" w:ascii="宋体" w:hAnsi="宋体" w:eastAsia="宋体" w:cs="宋体"/>
          <w:color w:val="000000"/>
          <w:sz w:val="24"/>
          <w:szCs w:val="18"/>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18FFC632">
      <w:pPr>
        <w:spacing w:line="360" w:lineRule="auto"/>
        <w:ind w:firstLine="480"/>
        <w:rPr>
          <w:rFonts w:hint="eastAsia" w:ascii="宋体" w:hAnsi="宋体" w:eastAsia="宋体" w:cs="宋体"/>
          <w:color w:val="000000"/>
          <w:sz w:val="24"/>
          <w:szCs w:val="18"/>
        </w:rPr>
      </w:pPr>
      <w:r>
        <w:rPr>
          <w:rFonts w:hint="eastAsia" w:ascii="宋体" w:hAnsi="宋体" w:eastAsia="宋体" w:cs="宋体"/>
          <w:color w:val="000000"/>
          <w:sz w:val="24"/>
          <w:szCs w:val="24"/>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71C8E997">
      <w:pPr>
        <w:spacing w:line="360" w:lineRule="auto"/>
        <w:ind w:firstLine="480"/>
        <w:jc w:val="left"/>
        <w:rPr>
          <w:rFonts w:hint="eastAsia" w:ascii="宋体" w:hAnsi="宋体" w:eastAsia="宋体" w:cs="宋体"/>
          <w:color w:val="000000"/>
          <w:sz w:val="24"/>
          <w:szCs w:val="18"/>
        </w:rPr>
      </w:pPr>
      <w:r>
        <w:rPr>
          <w:rFonts w:hint="eastAsia" w:ascii="宋体" w:hAnsi="宋体" w:eastAsia="宋体" w:cs="宋体"/>
          <w:color w:val="000000"/>
          <w:sz w:val="24"/>
          <w:szCs w:val="18"/>
        </w:rPr>
        <w:t>3.下列采购需求中：标注</w:t>
      </w:r>
      <w:r>
        <w:rPr>
          <w:rFonts w:hint="eastAsia" w:ascii="宋体" w:hAnsi="宋体" w:eastAsia="宋体" w:cs="宋体"/>
          <w:color w:val="000000"/>
          <w:sz w:val="24"/>
          <w:szCs w:val="24"/>
        </w:rPr>
        <w:t>▲</w:t>
      </w:r>
      <w:r>
        <w:rPr>
          <w:rFonts w:hint="eastAsia" w:ascii="宋体" w:hAnsi="宋体" w:eastAsia="宋体" w:cs="宋体"/>
          <w:color w:val="000000"/>
          <w:sz w:val="24"/>
          <w:szCs w:val="18"/>
        </w:rPr>
        <w:t>的产品（核心产品），投标人在投标文件《主要中标标的承诺函》中填写名称、品牌、规格、型号、数量、单价等信息。</w:t>
      </w:r>
    </w:p>
    <w:p w14:paraId="6532F348">
      <w:pPr>
        <w:keepNext/>
        <w:keepLines/>
        <w:widowControl w:val="0"/>
        <w:spacing w:before="240" w:line="360" w:lineRule="auto"/>
        <w:ind w:firstLine="0"/>
        <w:jc w:val="left"/>
        <w:outlineLvl w:val="1"/>
        <w:rPr>
          <w:rFonts w:ascii="Arial" w:hAnsi="Arial" w:eastAsia="黑体" w:cs="Times New Roman"/>
          <w:bCs/>
          <w:color w:val="000000"/>
          <w:sz w:val="28"/>
          <w:szCs w:val="32"/>
          <w:lang w:val="en-US" w:eastAsia="zh-CN" w:bidi="ar-SA"/>
        </w:rPr>
      </w:pPr>
      <w:bookmarkStart w:id="10" w:name="_Toc382548620"/>
      <w:bookmarkStart w:id="11" w:name="_Toc1899401549"/>
      <w:bookmarkStart w:id="12" w:name="_Toc1064185329"/>
      <w:bookmarkStart w:id="13" w:name="_Toc1437377518_WPSOffice_Level2"/>
      <w:bookmarkStart w:id="14" w:name="_Toc1452677390"/>
      <w:bookmarkStart w:id="15" w:name="_Toc337877615"/>
      <w:bookmarkStart w:id="16" w:name="_Toc2025078090"/>
      <w:bookmarkStart w:id="17" w:name="_Toc292361325"/>
      <w:r>
        <w:rPr>
          <w:rFonts w:hint="eastAsia" w:ascii="Arial" w:hAnsi="Arial" w:eastAsia="黑体" w:cs="Times New Roman"/>
          <w:bCs/>
          <w:color w:val="000000"/>
          <w:sz w:val="28"/>
          <w:szCs w:val="32"/>
          <w:lang w:val="en-US" w:eastAsia="zh-CN" w:bidi="ar-SA"/>
        </w:rPr>
        <w:t>一、采购需求前附表</w:t>
      </w:r>
      <w:bookmarkEnd w:id="10"/>
      <w:bookmarkEnd w:id="11"/>
      <w:bookmarkEnd w:id="12"/>
      <w:bookmarkEnd w:id="13"/>
      <w:bookmarkEnd w:id="14"/>
      <w:bookmarkEnd w:id="15"/>
      <w:bookmarkEnd w:id="16"/>
      <w:bookmarkEnd w:id="17"/>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054"/>
        <w:gridCol w:w="5544"/>
      </w:tblGrid>
      <w:tr w14:paraId="7C9A2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04D9609D">
            <w:pPr>
              <w:widowControl w:val="0"/>
              <w:pBdr>
                <w:bottom w:val="none" w:color="auto" w:sz="0" w:space="0"/>
              </w:pBdr>
              <w:spacing w:line="240" w:lineRule="auto"/>
              <w:jc w:val="center"/>
              <w:rPr>
                <w:rFonts w:hint="eastAsia" w:ascii="宋体" w:hAnsi="宋体" w:eastAsia="宋体" w:cs="宋体"/>
                <w:b/>
                <w:color w:val="000000"/>
                <w:sz w:val="24"/>
                <w:szCs w:val="20"/>
                <w:lang w:val="en-US" w:eastAsia="zh-CN" w:bidi="ar-SA"/>
              </w:rPr>
            </w:pPr>
            <w:r>
              <w:rPr>
                <w:rFonts w:hint="eastAsia" w:ascii="宋体" w:hAnsi="宋体" w:eastAsia="宋体" w:cs="宋体"/>
                <w:b/>
                <w:color w:val="000000"/>
                <w:sz w:val="24"/>
                <w:szCs w:val="20"/>
                <w:lang w:val="en-US" w:eastAsia="zh-CN" w:bidi="ar-SA"/>
              </w:rPr>
              <w:t>序号</w:t>
            </w:r>
          </w:p>
        </w:tc>
        <w:tc>
          <w:tcPr>
            <w:tcW w:w="2054" w:type="dxa"/>
            <w:vAlign w:val="center"/>
          </w:tcPr>
          <w:p w14:paraId="065EA4FA">
            <w:pPr>
              <w:widowControl w:val="0"/>
              <w:spacing w:before="0" w:beforeAutospacing="0" w:after="0" w:afterAutospacing="0" w:line="360" w:lineRule="auto"/>
              <w:jc w:val="center"/>
              <w:rPr>
                <w:rFonts w:hint="eastAsia" w:ascii="宋体" w:hAnsi="宋体" w:eastAsia="宋体" w:cs="宋体"/>
                <w:b/>
                <w:bCs w:val="0"/>
                <w:color w:val="000000"/>
                <w:sz w:val="24"/>
                <w:szCs w:val="28"/>
                <w:lang w:val="en-US" w:eastAsia="zh-CN" w:bidi="ar-SA"/>
              </w:rPr>
            </w:pPr>
            <w:r>
              <w:rPr>
                <w:rFonts w:hint="eastAsia" w:ascii="宋体" w:hAnsi="宋体" w:eastAsia="宋体" w:cs="宋体"/>
                <w:b/>
                <w:bCs w:val="0"/>
                <w:color w:val="000000"/>
                <w:sz w:val="24"/>
                <w:szCs w:val="28"/>
                <w:lang w:val="en-US" w:eastAsia="zh-CN" w:bidi="ar-SA"/>
              </w:rPr>
              <w:t>条款名称</w:t>
            </w:r>
          </w:p>
        </w:tc>
        <w:tc>
          <w:tcPr>
            <w:tcW w:w="5544" w:type="dxa"/>
            <w:vAlign w:val="center"/>
          </w:tcPr>
          <w:p w14:paraId="15373D3A">
            <w:pPr>
              <w:widowControl w:val="0"/>
              <w:spacing w:before="0" w:beforeAutospacing="0" w:after="0" w:afterAutospacing="0" w:line="360" w:lineRule="auto"/>
              <w:jc w:val="center"/>
              <w:rPr>
                <w:rFonts w:hint="eastAsia" w:ascii="宋体" w:hAnsi="宋体" w:eastAsia="宋体" w:cs="宋体"/>
                <w:b/>
                <w:bCs w:val="0"/>
                <w:color w:val="000000"/>
                <w:sz w:val="24"/>
                <w:szCs w:val="28"/>
                <w:lang w:val="en-US" w:eastAsia="zh-CN" w:bidi="ar-SA"/>
              </w:rPr>
            </w:pPr>
            <w:r>
              <w:rPr>
                <w:rFonts w:hint="eastAsia" w:ascii="宋体" w:hAnsi="宋体" w:eastAsia="宋体" w:cs="宋体"/>
                <w:b/>
                <w:bCs w:val="0"/>
                <w:color w:val="000000"/>
                <w:sz w:val="24"/>
                <w:szCs w:val="28"/>
                <w:lang w:val="en-US" w:eastAsia="zh-CN" w:bidi="ar-SA"/>
              </w:rPr>
              <w:t>内容、说明与要求</w:t>
            </w:r>
          </w:p>
        </w:tc>
      </w:tr>
      <w:tr w14:paraId="6157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6A9B2255">
            <w:pPr>
              <w:widowControl w:val="0"/>
              <w:pBdr>
                <w:bottom w:val="none" w:color="auto" w:sz="0" w:space="0"/>
              </w:pBdr>
              <w:spacing w:line="240" w:lineRule="auto"/>
              <w:jc w:val="center"/>
              <w:rPr>
                <w:rFonts w:hint="eastAsia" w:ascii="宋体" w:hAnsi="宋体" w:eastAsia="宋体" w:cs="宋体"/>
                <w:bCs/>
                <w:color w:val="000000"/>
                <w:sz w:val="24"/>
                <w:szCs w:val="20"/>
                <w:lang w:val="en-US" w:eastAsia="zh-CN" w:bidi="ar-SA"/>
              </w:rPr>
            </w:pPr>
            <w:r>
              <w:rPr>
                <w:rFonts w:hint="eastAsia" w:ascii="宋体" w:hAnsi="宋体" w:eastAsia="宋体" w:cs="宋体"/>
                <w:bCs/>
                <w:color w:val="000000"/>
                <w:sz w:val="24"/>
                <w:szCs w:val="20"/>
                <w:lang w:val="en-US" w:eastAsia="zh-CN" w:bidi="ar-SA"/>
              </w:rPr>
              <w:t>1</w:t>
            </w:r>
          </w:p>
        </w:tc>
        <w:tc>
          <w:tcPr>
            <w:tcW w:w="2054" w:type="dxa"/>
            <w:vAlign w:val="center"/>
          </w:tcPr>
          <w:p w14:paraId="3577FE42">
            <w:pPr>
              <w:widowControl w:val="0"/>
              <w:spacing w:before="0" w:beforeAutospacing="0" w:after="0" w:afterAutospacing="0" w:line="360" w:lineRule="auto"/>
              <w:jc w:val="center"/>
              <w:rPr>
                <w:rFonts w:hint="eastAsia" w:ascii="宋体" w:hAnsi="宋体" w:eastAsia="宋体" w:cs="宋体"/>
                <w:b w:val="0"/>
                <w:bCs/>
                <w:color w:val="000000"/>
                <w:sz w:val="24"/>
                <w:szCs w:val="28"/>
                <w:lang w:val="en-US" w:eastAsia="zh-CN" w:bidi="ar-SA"/>
              </w:rPr>
            </w:pPr>
            <w:r>
              <w:rPr>
                <w:rFonts w:hint="eastAsia" w:ascii="宋体" w:hAnsi="宋体" w:eastAsia="宋体" w:cs="宋体"/>
                <w:b w:val="0"/>
                <w:bCs/>
                <w:color w:val="000000"/>
                <w:sz w:val="24"/>
                <w:szCs w:val="28"/>
                <w:lang w:val="en-US" w:eastAsia="zh-CN" w:bidi="ar-SA"/>
              </w:rPr>
              <w:t>付款方式</w:t>
            </w:r>
          </w:p>
        </w:tc>
        <w:tc>
          <w:tcPr>
            <w:tcW w:w="5544" w:type="dxa"/>
            <w:vAlign w:val="center"/>
          </w:tcPr>
          <w:p w14:paraId="10A5A840">
            <w:pPr>
              <w:widowControl w:val="0"/>
              <w:spacing w:before="0" w:beforeAutospacing="0" w:after="0" w:afterAutospacing="0" w:line="360" w:lineRule="auto"/>
              <w:jc w:val="left"/>
              <w:rPr>
                <w:rFonts w:hint="eastAsia" w:ascii="宋体" w:hAnsi="宋体" w:eastAsia="宋体" w:cs="宋体"/>
                <w:b w:val="0"/>
                <w:bCs w:val="0"/>
                <w:color w:val="000000"/>
                <w:sz w:val="24"/>
                <w:szCs w:val="28"/>
                <w:lang w:val="en-US" w:eastAsia="zh-CN" w:bidi="ar-SA"/>
              </w:rPr>
            </w:pPr>
            <w:r>
              <w:rPr>
                <w:rFonts w:hint="eastAsia" w:ascii="宋体" w:hAnsi="宋体" w:eastAsia="宋体" w:cs="宋体"/>
                <w:b w:val="0"/>
                <w:bCs w:val="0"/>
                <w:color w:val="000000"/>
                <w:sz w:val="24"/>
                <w:szCs w:val="28"/>
                <w:lang w:val="en-US" w:eastAsia="zh-CN" w:bidi="ar-SA"/>
              </w:rPr>
              <w:t>1、本项目预付款为合同金额的60%，中标人须提供等额的预付款担保，预付款在本项目合同签订、相关担保措施生效以及具备实施条件后支付；</w:t>
            </w:r>
          </w:p>
          <w:p w14:paraId="09CE25A0">
            <w:pPr>
              <w:widowControl w:val="0"/>
              <w:spacing w:before="0" w:beforeAutospacing="0" w:after="0" w:afterAutospacing="0" w:line="360" w:lineRule="auto"/>
              <w:jc w:val="left"/>
              <w:rPr>
                <w:rFonts w:hint="eastAsia" w:ascii="宋体" w:hAnsi="宋体" w:eastAsia="宋体" w:cs="宋体"/>
                <w:b w:val="0"/>
                <w:bCs w:val="0"/>
                <w:color w:val="000000"/>
                <w:sz w:val="24"/>
                <w:szCs w:val="28"/>
                <w:lang w:val="en-US" w:eastAsia="zh-CN" w:bidi="ar-SA"/>
              </w:rPr>
            </w:pPr>
            <w:r>
              <w:rPr>
                <w:rFonts w:hint="eastAsia" w:ascii="宋体" w:hAnsi="宋体" w:eastAsia="宋体" w:cs="宋体"/>
                <w:b w:val="0"/>
                <w:bCs w:val="0"/>
                <w:color w:val="000000"/>
                <w:sz w:val="24"/>
                <w:szCs w:val="28"/>
                <w:lang w:val="en-US" w:eastAsia="zh-CN" w:bidi="ar-SA"/>
              </w:rPr>
              <w:t>2、所有设备安装调试完毕且经过验收合格正常使用后一次性付清剩余合同价款。</w:t>
            </w:r>
          </w:p>
          <w:p w14:paraId="32C8EB12">
            <w:pPr>
              <w:widowControl w:val="0"/>
              <w:spacing w:before="0" w:beforeAutospacing="0" w:after="0" w:afterAutospacing="0" w:line="360" w:lineRule="auto"/>
              <w:jc w:val="left"/>
              <w:rPr>
                <w:rFonts w:hint="eastAsia" w:ascii="宋体" w:hAnsi="宋体" w:eastAsia="宋体" w:cs="宋体"/>
                <w:b w:val="0"/>
                <w:bCs w:val="0"/>
                <w:color w:val="000000"/>
                <w:sz w:val="24"/>
                <w:szCs w:val="28"/>
                <w:lang w:val="en-US" w:eastAsia="zh-CN" w:bidi="ar-SA"/>
              </w:rPr>
            </w:pPr>
            <w:r>
              <w:rPr>
                <w:rFonts w:hint="eastAsia" w:ascii="宋体" w:hAnsi="宋体" w:eastAsia="宋体" w:cs="宋体"/>
                <w:b w:val="0"/>
                <w:bCs w:val="0"/>
                <w:color w:val="000000"/>
                <w:sz w:val="24"/>
                <w:szCs w:val="28"/>
                <w:lang w:val="en-US" w:eastAsia="zh-CN" w:bidi="ar-SA"/>
              </w:rPr>
              <w:t>备注：</w:t>
            </w:r>
          </w:p>
          <w:p w14:paraId="32CA6A26">
            <w:pPr>
              <w:widowControl w:val="0"/>
              <w:spacing w:before="0" w:beforeAutospacing="0" w:after="0" w:afterAutospacing="0" w:line="360" w:lineRule="auto"/>
              <w:jc w:val="left"/>
              <w:rPr>
                <w:rFonts w:hint="eastAsia" w:ascii="宋体" w:hAnsi="宋体" w:eastAsia="宋体" w:cs="宋体"/>
                <w:b w:val="0"/>
                <w:bCs w:val="0"/>
                <w:color w:val="000000"/>
                <w:sz w:val="24"/>
                <w:szCs w:val="28"/>
                <w:lang w:val="en-US" w:eastAsia="zh-CN" w:bidi="ar-SA"/>
              </w:rPr>
            </w:pPr>
            <w:r>
              <w:rPr>
                <w:rFonts w:hint="eastAsia" w:ascii="宋体" w:hAnsi="宋体" w:eastAsia="宋体" w:cs="宋体"/>
                <w:b w:val="0"/>
                <w:bCs w:val="0"/>
                <w:color w:val="000000"/>
                <w:sz w:val="24"/>
                <w:szCs w:val="28"/>
                <w:lang w:val="en-US" w:eastAsia="zh-CN" w:bidi="ar-SA"/>
              </w:rPr>
              <w:t>（1）预付款担保形式：银行保函、担保机构担保。</w:t>
            </w:r>
          </w:p>
          <w:p w14:paraId="66EDA8CF">
            <w:pPr>
              <w:widowControl w:val="0"/>
              <w:spacing w:before="0" w:beforeAutospacing="0" w:after="0" w:afterAutospacing="0" w:line="360" w:lineRule="auto"/>
              <w:jc w:val="left"/>
              <w:rPr>
                <w:rFonts w:hint="eastAsia" w:ascii="宋体" w:hAnsi="宋体" w:eastAsia="宋体" w:cs="宋体"/>
                <w:b w:val="0"/>
                <w:bCs w:val="0"/>
                <w:color w:val="000000"/>
                <w:sz w:val="24"/>
                <w:szCs w:val="28"/>
                <w:lang w:val="en-US" w:eastAsia="zh-CN" w:bidi="ar-SA"/>
              </w:rPr>
            </w:pPr>
            <w:r>
              <w:rPr>
                <w:rFonts w:hint="eastAsia" w:ascii="宋体" w:hAnsi="宋体" w:eastAsia="宋体" w:cs="宋体"/>
                <w:b w:val="0"/>
                <w:bCs w:val="0"/>
                <w:color w:val="000000"/>
                <w:sz w:val="24"/>
                <w:szCs w:val="28"/>
                <w:lang w:val="en-US" w:eastAsia="zh-CN" w:bidi="ar-SA"/>
              </w:rPr>
              <w:t>（2）预付款担保递交要求：①如采用银行保函，银行保函应为银行出具的见索即付无条件保函。且应将原件交至采购人保管。②如采用担保机构担保，应为经地方金融监督管理局备案的融资担保机构出具的见索即付无条件担保，且应将原件交至采购人保管。</w:t>
            </w:r>
          </w:p>
          <w:p w14:paraId="6745C461">
            <w:pPr>
              <w:widowControl w:val="0"/>
              <w:spacing w:before="0" w:beforeAutospacing="0" w:after="0" w:afterAutospacing="0" w:line="360" w:lineRule="auto"/>
              <w:jc w:val="left"/>
              <w:rPr>
                <w:rFonts w:hint="eastAsia" w:ascii="宋体" w:hAnsi="宋体" w:eastAsia="宋体" w:cs="宋体"/>
                <w:b w:val="0"/>
                <w:bCs w:val="0"/>
                <w:color w:val="000000"/>
                <w:sz w:val="24"/>
                <w:szCs w:val="28"/>
                <w:lang w:val="en-US" w:eastAsia="zh-CN" w:bidi="ar-SA"/>
              </w:rPr>
            </w:pPr>
            <w:r>
              <w:rPr>
                <w:rFonts w:hint="eastAsia" w:ascii="宋体" w:hAnsi="宋体" w:eastAsia="宋体" w:cs="宋体"/>
                <w:b w:val="0"/>
                <w:bCs w:val="0"/>
                <w:color w:val="000000"/>
                <w:sz w:val="24"/>
                <w:szCs w:val="28"/>
                <w:lang w:val="en-US" w:eastAsia="zh-CN" w:bidi="ar-SA"/>
              </w:rPr>
              <w:t>（3）在签订合同时，中标人书面明确表示无需预付款或者主动要求降低预付款比例的，采购人可不适用前述预付款规定。</w:t>
            </w:r>
          </w:p>
        </w:tc>
      </w:tr>
      <w:tr w14:paraId="66112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018" w:type="dxa"/>
            <w:vAlign w:val="center"/>
          </w:tcPr>
          <w:p w14:paraId="096E46D8">
            <w:pPr>
              <w:widowControl w:val="0"/>
              <w:pBdr>
                <w:bottom w:val="none" w:color="auto" w:sz="0" w:space="0"/>
              </w:pBdr>
              <w:spacing w:line="240" w:lineRule="auto"/>
              <w:jc w:val="center"/>
              <w:rPr>
                <w:rFonts w:hint="eastAsia" w:ascii="宋体" w:hAnsi="宋体" w:eastAsia="宋体" w:cs="宋体"/>
                <w:bCs/>
                <w:color w:val="000000"/>
                <w:sz w:val="24"/>
                <w:szCs w:val="20"/>
                <w:lang w:val="en-US" w:eastAsia="zh-CN" w:bidi="ar-SA"/>
              </w:rPr>
            </w:pPr>
            <w:r>
              <w:rPr>
                <w:rFonts w:hint="eastAsia" w:ascii="宋体" w:hAnsi="宋体" w:eastAsia="宋体" w:cs="宋体"/>
                <w:bCs/>
                <w:color w:val="000000"/>
                <w:sz w:val="24"/>
                <w:szCs w:val="20"/>
                <w:lang w:val="en-US" w:eastAsia="zh-CN" w:bidi="ar-SA"/>
              </w:rPr>
              <w:t>2</w:t>
            </w:r>
          </w:p>
        </w:tc>
        <w:tc>
          <w:tcPr>
            <w:tcW w:w="2054" w:type="dxa"/>
            <w:vAlign w:val="center"/>
          </w:tcPr>
          <w:p w14:paraId="3CE6BD13">
            <w:pPr>
              <w:widowControl w:val="0"/>
              <w:spacing w:before="0" w:beforeAutospacing="0" w:after="0" w:afterAutospacing="0" w:line="360" w:lineRule="auto"/>
              <w:jc w:val="center"/>
              <w:rPr>
                <w:rFonts w:hint="eastAsia" w:ascii="宋体" w:hAnsi="宋体" w:eastAsia="宋体" w:cs="宋体"/>
                <w:b w:val="0"/>
                <w:bCs/>
                <w:color w:val="000000"/>
                <w:sz w:val="24"/>
                <w:szCs w:val="28"/>
                <w:lang w:val="en-US" w:eastAsia="zh-CN" w:bidi="ar-SA"/>
              </w:rPr>
            </w:pPr>
            <w:r>
              <w:rPr>
                <w:rFonts w:hint="eastAsia" w:ascii="宋体" w:hAnsi="宋体" w:eastAsia="宋体" w:cs="宋体"/>
                <w:b w:val="0"/>
                <w:bCs/>
                <w:color w:val="000000"/>
                <w:sz w:val="24"/>
                <w:szCs w:val="28"/>
                <w:lang w:val="en-US" w:eastAsia="zh-CN" w:bidi="ar-SA"/>
              </w:rPr>
              <w:t>供货及安装地点</w:t>
            </w:r>
          </w:p>
        </w:tc>
        <w:tc>
          <w:tcPr>
            <w:tcW w:w="5544" w:type="dxa"/>
            <w:vAlign w:val="center"/>
          </w:tcPr>
          <w:p w14:paraId="5C702434">
            <w:pPr>
              <w:widowControl w:val="0"/>
              <w:spacing w:before="0" w:beforeAutospacing="0" w:after="0" w:afterAutospacing="0" w:line="360" w:lineRule="auto"/>
              <w:jc w:val="left"/>
              <w:rPr>
                <w:rFonts w:hint="eastAsia" w:ascii="宋体" w:hAnsi="宋体" w:eastAsia="宋体" w:cs="宋体"/>
                <w:b w:val="0"/>
                <w:bCs/>
                <w:color w:val="000000"/>
                <w:sz w:val="24"/>
                <w:szCs w:val="28"/>
                <w:lang w:val="en-US" w:eastAsia="zh-CN" w:bidi="ar-SA"/>
              </w:rPr>
            </w:pPr>
            <w:r>
              <w:rPr>
                <w:rFonts w:hint="eastAsia" w:ascii="宋体" w:hAnsi="宋体" w:eastAsia="宋体" w:cs="宋体"/>
                <w:b w:val="0"/>
                <w:bCs/>
                <w:color w:val="000000"/>
                <w:sz w:val="24"/>
                <w:szCs w:val="28"/>
                <w:lang w:val="en-US" w:eastAsia="zh-CN" w:bidi="ar-SA"/>
              </w:rPr>
              <w:t>铜陵学院，具体按采购人指定。</w:t>
            </w:r>
          </w:p>
        </w:tc>
      </w:tr>
      <w:tr w14:paraId="0D47C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018" w:type="dxa"/>
            <w:vAlign w:val="center"/>
          </w:tcPr>
          <w:p w14:paraId="5CC8E5A6">
            <w:pPr>
              <w:widowControl w:val="0"/>
              <w:pBdr>
                <w:bottom w:val="none" w:color="auto" w:sz="0" w:space="0"/>
              </w:pBdr>
              <w:spacing w:line="240" w:lineRule="auto"/>
              <w:jc w:val="center"/>
              <w:rPr>
                <w:rFonts w:hint="eastAsia" w:ascii="宋体" w:hAnsi="宋体" w:eastAsia="宋体" w:cs="宋体"/>
                <w:bCs/>
                <w:color w:val="000000"/>
                <w:sz w:val="24"/>
                <w:szCs w:val="20"/>
                <w:lang w:val="en-US" w:eastAsia="zh-CN" w:bidi="ar-SA"/>
              </w:rPr>
            </w:pPr>
            <w:r>
              <w:rPr>
                <w:rFonts w:hint="eastAsia" w:ascii="宋体" w:hAnsi="宋体" w:eastAsia="宋体" w:cs="宋体"/>
                <w:bCs/>
                <w:color w:val="000000"/>
                <w:sz w:val="24"/>
                <w:szCs w:val="20"/>
                <w:lang w:val="en-US" w:eastAsia="zh-CN" w:bidi="ar-SA"/>
              </w:rPr>
              <w:t>3</w:t>
            </w:r>
          </w:p>
        </w:tc>
        <w:tc>
          <w:tcPr>
            <w:tcW w:w="2054" w:type="dxa"/>
            <w:vAlign w:val="center"/>
          </w:tcPr>
          <w:p w14:paraId="30FA134F">
            <w:pPr>
              <w:widowControl w:val="0"/>
              <w:spacing w:before="0" w:beforeAutospacing="0" w:after="0" w:afterAutospacing="0" w:line="360" w:lineRule="auto"/>
              <w:jc w:val="center"/>
              <w:rPr>
                <w:rFonts w:hint="eastAsia" w:ascii="宋体" w:hAnsi="宋体" w:eastAsia="宋体" w:cs="宋体"/>
                <w:b w:val="0"/>
                <w:bCs/>
                <w:color w:val="000000"/>
                <w:sz w:val="24"/>
                <w:szCs w:val="28"/>
                <w:lang w:val="en-US" w:eastAsia="zh-CN" w:bidi="ar-SA"/>
              </w:rPr>
            </w:pPr>
            <w:r>
              <w:rPr>
                <w:rFonts w:hint="eastAsia" w:ascii="宋体" w:hAnsi="宋体" w:eastAsia="宋体" w:cs="宋体"/>
                <w:b w:val="0"/>
                <w:bCs/>
                <w:color w:val="000000"/>
                <w:sz w:val="24"/>
                <w:szCs w:val="28"/>
                <w:lang w:val="en-US" w:eastAsia="zh-CN" w:bidi="ar-SA"/>
              </w:rPr>
              <w:t>供货及安装期限</w:t>
            </w:r>
          </w:p>
        </w:tc>
        <w:tc>
          <w:tcPr>
            <w:tcW w:w="5544" w:type="dxa"/>
            <w:vAlign w:val="center"/>
          </w:tcPr>
          <w:p w14:paraId="0F6FBAC5">
            <w:pPr>
              <w:widowControl w:val="0"/>
              <w:spacing w:before="0" w:beforeAutospacing="0" w:after="0" w:afterAutospacing="0" w:line="360" w:lineRule="auto"/>
              <w:jc w:val="left"/>
              <w:rPr>
                <w:rFonts w:hint="eastAsia" w:ascii="宋体" w:hAnsi="宋体" w:eastAsia="宋体" w:cs="宋体"/>
                <w:b w:val="0"/>
                <w:bCs/>
                <w:color w:val="000000"/>
                <w:sz w:val="24"/>
                <w:szCs w:val="28"/>
                <w:lang w:val="en-US" w:eastAsia="zh-CN" w:bidi="ar-SA"/>
              </w:rPr>
            </w:pPr>
            <w:r>
              <w:rPr>
                <w:rFonts w:hint="eastAsia" w:ascii="宋体" w:hAnsi="宋体" w:eastAsia="宋体" w:cs="宋体"/>
                <w:b w:val="0"/>
                <w:bCs/>
                <w:color w:val="000000"/>
                <w:sz w:val="24"/>
                <w:szCs w:val="28"/>
                <w:lang w:val="en-US" w:eastAsia="zh-CN" w:bidi="ar-SA"/>
              </w:rPr>
              <w:t>合同签订后，60日历天内完成交货、安装、调试等内容。</w:t>
            </w:r>
          </w:p>
        </w:tc>
      </w:tr>
      <w:tr w14:paraId="397B2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679C8281">
            <w:pPr>
              <w:widowControl w:val="0"/>
              <w:pBdr>
                <w:bottom w:val="none" w:color="auto" w:sz="0" w:space="0"/>
              </w:pBdr>
              <w:spacing w:line="240" w:lineRule="auto"/>
              <w:jc w:val="center"/>
              <w:rPr>
                <w:rFonts w:hint="eastAsia" w:ascii="宋体" w:hAnsi="宋体" w:eastAsia="宋体" w:cs="宋体"/>
                <w:bCs/>
                <w:color w:val="000000"/>
                <w:sz w:val="24"/>
                <w:szCs w:val="20"/>
                <w:lang w:val="en-US" w:eastAsia="zh-CN" w:bidi="ar-SA"/>
              </w:rPr>
            </w:pPr>
            <w:r>
              <w:rPr>
                <w:rFonts w:hint="eastAsia" w:ascii="宋体" w:hAnsi="宋体" w:eastAsia="宋体" w:cs="宋体"/>
                <w:bCs/>
                <w:color w:val="000000"/>
                <w:sz w:val="24"/>
                <w:szCs w:val="20"/>
                <w:lang w:val="en-US" w:eastAsia="zh-CN" w:bidi="ar-SA"/>
              </w:rPr>
              <w:t>4</w:t>
            </w:r>
          </w:p>
        </w:tc>
        <w:tc>
          <w:tcPr>
            <w:tcW w:w="2054" w:type="dxa"/>
            <w:vAlign w:val="center"/>
          </w:tcPr>
          <w:p w14:paraId="5CF750E3">
            <w:pPr>
              <w:widowControl w:val="0"/>
              <w:spacing w:before="0" w:beforeAutospacing="0" w:after="0" w:afterAutospacing="0" w:line="360" w:lineRule="auto"/>
              <w:jc w:val="center"/>
              <w:rPr>
                <w:rFonts w:hint="eastAsia" w:ascii="宋体" w:hAnsi="宋体" w:eastAsia="宋体" w:cs="宋体"/>
                <w:b w:val="0"/>
                <w:bCs/>
                <w:color w:val="000000"/>
                <w:sz w:val="24"/>
                <w:szCs w:val="28"/>
                <w:lang w:val="en-US" w:eastAsia="zh-CN" w:bidi="ar-SA"/>
              </w:rPr>
            </w:pPr>
            <w:r>
              <w:rPr>
                <w:rFonts w:hint="eastAsia" w:ascii="宋体" w:hAnsi="宋体" w:eastAsia="宋体" w:cs="宋体"/>
                <w:b w:val="0"/>
                <w:bCs/>
                <w:color w:val="000000"/>
                <w:sz w:val="24"/>
                <w:szCs w:val="28"/>
                <w:lang w:val="en-US" w:eastAsia="zh-CN" w:bidi="ar-SA"/>
              </w:rPr>
              <w:t>免费质保期</w:t>
            </w:r>
          </w:p>
        </w:tc>
        <w:tc>
          <w:tcPr>
            <w:tcW w:w="5544" w:type="dxa"/>
            <w:vAlign w:val="center"/>
          </w:tcPr>
          <w:p w14:paraId="7A8380DF">
            <w:pPr>
              <w:widowControl w:val="0"/>
              <w:spacing w:before="0" w:beforeAutospacing="0" w:after="0" w:afterAutospacing="0" w:line="360" w:lineRule="auto"/>
              <w:jc w:val="left"/>
              <w:rPr>
                <w:rFonts w:hint="eastAsia" w:ascii="宋体" w:hAnsi="宋体" w:eastAsia="宋体" w:cs="宋体"/>
                <w:b w:val="0"/>
                <w:bCs/>
                <w:color w:val="000000"/>
                <w:sz w:val="24"/>
                <w:szCs w:val="28"/>
                <w:lang w:val="en-US" w:eastAsia="zh-CN" w:bidi="ar-SA"/>
              </w:rPr>
            </w:pPr>
            <w:r>
              <w:rPr>
                <w:rFonts w:hint="eastAsia" w:ascii="宋体" w:hAnsi="宋体" w:eastAsia="宋体" w:cs="宋体"/>
                <w:b w:val="0"/>
                <w:bCs/>
                <w:color w:val="000000"/>
                <w:sz w:val="24"/>
                <w:szCs w:val="28"/>
                <w:lang w:val="en-US" w:eastAsia="zh-CN" w:bidi="ar-SA"/>
              </w:rPr>
              <w:t>自验收合格后3年。</w:t>
            </w:r>
          </w:p>
          <w:p w14:paraId="034EC5EC">
            <w:pPr>
              <w:widowControl w:val="0"/>
              <w:spacing w:before="0" w:beforeAutospacing="0" w:after="0" w:afterAutospacing="0" w:line="360" w:lineRule="auto"/>
              <w:jc w:val="left"/>
              <w:rPr>
                <w:rFonts w:hint="eastAsia" w:ascii="@仿宋_GB2312" w:hAnsi="@仿宋_GB2312" w:eastAsia="@仿宋_GB2312" w:cs="@仿宋_GB2312"/>
                <w:b/>
                <w:bCs/>
                <w:color w:val="000000"/>
                <w:sz w:val="28"/>
                <w:szCs w:val="28"/>
                <w:lang w:val="en-US" w:eastAsia="zh-CN" w:bidi="ar-SA"/>
              </w:rPr>
            </w:pPr>
            <w:r>
              <w:rPr>
                <w:rFonts w:hint="eastAsia" w:ascii="宋体" w:hAnsi="宋体" w:eastAsia="宋体" w:cs="宋体"/>
                <w:b w:val="0"/>
                <w:bCs/>
                <w:color w:val="000000"/>
                <w:sz w:val="24"/>
                <w:szCs w:val="28"/>
                <w:lang w:val="en-US" w:eastAsia="zh-CN" w:bidi="ar-SA"/>
              </w:rPr>
              <w:t>注：免费质保期从验收合格之日起开始计算。</w:t>
            </w:r>
          </w:p>
        </w:tc>
      </w:tr>
    </w:tbl>
    <w:p w14:paraId="3747979F">
      <w:pPr>
        <w:keepNext/>
        <w:keepLines/>
        <w:widowControl w:val="0"/>
        <w:spacing w:before="240" w:line="360" w:lineRule="auto"/>
        <w:ind w:firstLine="0"/>
        <w:jc w:val="left"/>
        <w:outlineLvl w:val="1"/>
        <w:rPr>
          <w:rFonts w:ascii="Arial" w:hAnsi="Arial" w:eastAsia="黑体" w:cs="Times New Roman"/>
          <w:bCs/>
          <w:color w:val="000000"/>
          <w:sz w:val="28"/>
          <w:szCs w:val="32"/>
          <w:lang w:val="en-US" w:eastAsia="zh-CN" w:bidi="ar-SA"/>
        </w:rPr>
      </w:pPr>
      <w:bookmarkStart w:id="18" w:name="_Toc302804901"/>
      <w:bookmarkStart w:id="19" w:name="_Toc1693477008"/>
      <w:bookmarkStart w:id="20" w:name="_Toc717369146"/>
      <w:bookmarkStart w:id="21" w:name="_Toc1715351726"/>
      <w:bookmarkStart w:id="22" w:name="_Toc626387511"/>
      <w:bookmarkStart w:id="23" w:name="_Toc58935147"/>
      <w:bookmarkStart w:id="24" w:name="_Toc369119811"/>
      <w:bookmarkStart w:id="25" w:name="_Toc1191965283_WPSOffice_Level2"/>
      <w:r>
        <w:rPr>
          <w:rFonts w:hint="eastAsia" w:ascii="Arial" w:hAnsi="Arial" w:eastAsia="黑体" w:cs="Times New Roman"/>
          <w:bCs/>
          <w:color w:val="000000"/>
          <w:sz w:val="28"/>
          <w:szCs w:val="32"/>
          <w:lang w:val="en-US" w:eastAsia="zh-CN" w:bidi="ar-SA"/>
        </w:rPr>
        <w:t>二、货物需求</w:t>
      </w:r>
      <w:bookmarkEnd w:id="18"/>
      <w:bookmarkEnd w:id="19"/>
      <w:bookmarkEnd w:id="20"/>
      <w:bookmarkEnd w:id="21"/>
      <w:bookmarkEnd w:id="22"/>
      <w:bookmarkEnd w:id="23"/>
      <w:bookmarkEnd w:id="24"/>
      <w:bookmarkEnd w:id="25"/>
    </w:p>
    <w:p w14:paraId="43C649C1">
      <w:pPr>
        <w:widowControl/>
        <w:ind w:firstLine="482"/>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（一）标识符号</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6F291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ign w:val="center"/>
          </w:tcPr>
          <w:p w14:paraId="5FF688BE">
            <w:pPr>
              <w:spacing w:line="300" w:lineRule="auto"/>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标识类型</w:t>
            </w:r>
          </w:p>
        </w:tc>
        <w:tc>
          <w:tcPr>
            <w:tcW w:w="1365" w:type="dxa"/>
            <w:noWrap/>
            <w:vAlign w:val="center"/>
          </w:tcPr>
          <w:p w14:paraId="2ED04520">
            <w:pPr>
              <w:spacing w:line="300" w:lineRule="auto"/>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标识符号</w:t>
            </w:r>
          </w:p>
        </w:tc>
        <w:tc>
          <w:tcPr>
            <w:tcW w:w="5363" w:type="dxa"/>
            <w:noWrap/>
            <w:vAlign w:val="center"/>
          </w:tcPr>
          <w:p w14:paraId="097ABB1E">
            <w:pPr>
              <w:spacing w:line="300" w:lineRule="auto"/>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标识符号含义</w:t>
            </w:r>
          </w:p>
        </w:tc>
      </w:tr>
      <w:tr w14:paraId="7C38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794" w:type="dxa"/>
            <w:noWrap/>
            <w:vAlign w:val="center"/>
          </w:tcPr>
          <w:p w14:paraId="5DAADAF5">
            <w:pPr>
              <w:spacing w:line="30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核心指标项</w:t>
            </w:r>
          </w:p>
        </w:tc>
        <w:tc>
          <w:tcPr>
            <w:tcW w:w="1365" w:type="dxa"/>
            <w:noWrap/>
            <w:vAlign w:val="center"/>
          </w:tcPr>
          <w:p w14:paraId="1EC8173D">
            <w:pPr>
              <w:spacing w:line="300" w:lineRule="auto"/>
              <w:jc w:val="center"/>
              <w:rPr>
                <w:rFonts w:hint="eastAsia" w:ascii="宋体" w:hAnsi="宋体" w:eastAsia="宋体" w:cs="宋体"/>
                <w:bCs/>
                <w:color w:val="000000"/>
                <w:sz w:val="24"/>
                <w:szCs w:val="24"/>
              </w:rPr>
            </w:pPr>
            <w:r>
              <w:rPr>
                <w:rFonts w:hint="eastAsia" w:ascii="宋体" w:hAnsi="宋体" w:eastAsia="宋体" w:cs="宋体"/>
                <w:color w:val="000000"/>
                <w:sz w:val="24"/>
                <w:szCs w:val="24"/>
              </w:rPr>
              <w:t>★</w:t>
            </w:r>
          </w:p>
        </w:tc>
        <w:tc>
          <w:tcPr>
            <w:tcW w:w="5363" w:type="dxa"/>
            <w:noWrap/>
            <w:vAlign w:val="center"/>
          </w:tcPr>
          <w:p w14:paraId="473D8C99">
            <w:pPr>
              <w:spacing w:line="300" w:lineRule="auto"/>
              <w:jc w:val="left"/>
              <w:rPr>
                <w:rFonts w:hint="eastAsia" w:ascii="宋体" w:hAnsi="宋体" w:eastAsia="宋体" w:cs="宋体"/>
                <w:color w:val="000000"/>
                <w:sz w:val="24"/>
                <w:szCs w:val="24"/>
              </w:rPr>
            </w:pPr>
            <w:r>
              <w:rPr>
                <w:rFonts w:hint="eastAsia" w:ascii="宋体" w:hAnsi="宋体" w:eastAsia="宋体" w:cs="宋体"/>
                <w:bCs/>
                <w:color w:val="000000"/>
                <w:sz w:val="24"/>
                <w:szCs w:val="24"/>
              </w:rPr>
              <w:t>符合性审查项，该指标项负偏离或未响应的，投标无效。</w:t>
            </w:r>
          </w:p>
        </w:tc>
      </w:tr>
      <w:tr w14:paraId="6F55A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794" w:type="dxa"/>
            <w:noWrap/>
            <w:vAlign w:val="center"/>
          </w:tcPr>
          <w:p w14:paraId="711E240F">
            <w:pPr>
              <w:spacing w:line="30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重要指标项</w:t>
            </w:r>
          </w:p>
        </w:tc>
        <w:tc>
          <w:tcPr>
            <w:tcW w:w="1365" w:type="dxa"/>
            <w:noWrap/>
            <w:vAlign w:val="center"/>
          </w:tcPr>
          <w:p w14:paraId="560245EE">
            <w:pPr>
              <w:spacing w:line="300" w:lineRule="auto"/>
              <w:jc w:val="center"/>
              <w:rPr>
                <w:rFonts w:hint="eastAsia" w:ascii="宋体" w:hAnsi="宋体" w:eastAsia="宋体" w:cs="宋体"/>
                <w:bCs/>
                <w:color w:val="000000"/>
                <w:sz w:val="24"/>
                <w:szCs w:val="24"/>
              </w:rPr>
            </w:pPr>
            <w:r>
              <w:rPr>
                <w:rFonts w:hint="eastAsia" w:ascii="宋体" w:hAnsi="宋体" w:eastAsia="宋体" w:cs="宋体"/>
                <w:color w:val="000000"/>
                <w:szCs w:val="21"/>
              </w:rPr>
              <w:t>█</w:t>
            </w:r>
          </w:p>
        </w:tc>
        <w:tc>
          <w:tcPr>
            <w:tcW w:w="5363" w:type="dxa"/>
            <w:noWrap/>
            <w:vAlign w:val="center"/>
          </w:tcPr>
          <w:p w14:paraId="6229ECAA">
            <w:pPr>
              <w:spacing w:line="300" w:lineRule="auto"/>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评分项，</w:t>
            </w:r>
            <w:r>
              <w:rPr>
                <w:rFonts w:hint="eastAsia" w:ascii="宋体" w:hAnsi="宋体" w:eastAsia="宋体" w:cs="宋体"/>
                <w:color w:val="000000"/>
                <w:sz w:val="24"/>
                <w:szCs w:val="24"/>
              </w:rPr>
              <w:t>详见评标办法和标准。</w:t>
            </w:r>
          </w:p>
        </w:tc>
      </w:tr>
      <w:tr w14:paraId="50395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ign w:val="center"/>
          </w:tcPr>
          <w:p w14:paraId="7340CEBE">
            <w:pPr>
              <w:spacing w:line="30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无标识项</w:t>
            </w:r>
          </w:p>
        </w:tc>
        <w:tc>
          <w:tcPr>
            <w:tcW w:w="1365" w:type="dxa"/>
            <w:noWrap/>
            <w:vAlign w:val="center"/>
          </w:tcPr>
          <w:p w14:paraId="4E246407">
            <w:pPr>
              <w:spacing w:line="300" w:lineRule="auto"/>
              <w:jc w:val="center"/>
              <w:rPr>
                <w:rFonts w:hint="eastAsia" w:ascii="宋体" w:hAnsi="宋体" w:eastAsia="宋体" w:cs="宋体"/>
                <w:bCs/>
                <w:color w:val="000000"/>
                <w:sz w:val="24"/>
                <w:szCs w:val="24"/>
              </w:rPr>
            </w:pPr>
          </w:p>
        </w:tc>
        <w:tc>
          <w:tcPr>
            <w:tcW w:w="5363" w:type="dxa"/>
            <w:noWrap/>
            <w:vAlign w:val="center"/>
          </w:tcPr>
          <w:p w14:paraId="26FDE934">
            <w:pPr>
              <w:spacing w:line="300" w:lineRule="auto"/>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符合性审查项，该指标项最大允许负偏离</w:t>
            </w:r>
            <w:r>
              <w:rPr>
                <w:rFonts w:hint="eastAsia" w:ascii="宋体" w:hAnsi="宋体" w:eastAsia="宋体" w:cs="宋体"/>
                <w:bCs/>
                <w:color w:val="000000"/>
                <w:sz w:val="24"/>
                <w:szCs w:val="24"/>
                <w:u w:val="single"/>
              </w:rPr>
              <w:t>8</w:t>
            </w:r>
            <w:r>
              <w:rPr>
                <w:rFonts w:hint="eastAsia" w:ascii="宋体" w:hAnsi="宋体" w:eastAsia="宋体" w:cs="宋体"/>
                <w:bCs/>
                <w:color w:val="000000"/>
                <w:sz w:val="24"/>
                <w:szCs w:val="24"/>
              </w:rPr>
              <w:t>项，超过最大允许负偏离项数的，</w:t>
            </w:r>
            <w:r>
              <w:rPr>
                <w:rFonts w:hint="eastAsia" w:ascii="宋体" w:hAnsi="宋体" w:eastAsia="宋体" w:cs="宋体"/>
                <w:b/>
                <w:color w:val="000000"/>
                <w:sz w:val="24"/>
                <w:szCs w:val="24"/>
              </w:rPr>
              <w:t>投标无效</w:t>
            </w:r>
            <w:r>
              <w:rPr>
                <w:rFonts w:hint="eastAsia" w:ascii="宋体" w:hAnsi="宋体" w:eastAsia="宋体" w:cs="宋体"/>
                <w:bCs/>
                <w:color w:val="000000"/>
                <w:sz w:val="24"/>
                <w:szCs w:val="24"/>
              </w:rPr>
              <w:t>。</w:t>
            </w:r>
          </w:p>
        </w:tc>
      </w:tr>
      <w:tr w14:paraId="2A866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noWrap/>
            <w:vAlign w:val="center"/>
          </w:tcPr>
          <w:p w14:paraId="71622387">
            <w:pPr>
              <w:spacing w:line="30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注：</w:t>
            </w:r>
          </w:p>
          <w:p w14:paraId="502B9752">
            <w:pPr>
              <w:spacing w:line="30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（1）标识条款中如包含多条子项技术参数或要求，则需满足或优于该标识条款内所有子项技术参数或要求，否则不予认可。</w:t>
            </w:r>
          </w:p>
          <w:p w14:paraId="731984B2">
            <w:pPr>
              <w:spacing w:line="30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（2）下述技术参数所涉及的具体物理尺寸：货物需求清单中明确允许偏离范围的，按货物需求清单要求执行；货物需求清单中未明确允许偏离范围的，允许±5%偏离。</w:t>
            </w:r>
          </w:p>
          <w:p w14:paraId="578C99D0">
            <w:pPr>
              <w:spacing w:line="300" w:lineRule="auto"/>
              <w:jc w:val="left"/>
              <w:rPr>
                <w:rFonts w:hint="eastAsia" w:ascii="宋体" w:hAnsi="宋体" w:eastAsia="宋体" w:cs="宋体"/>
                <w:color w:val="000000"/>
                <w:sz w:val="24"/>
                <w:szCs w:val="24"/>
              </w:rPr>
            </w:pPr>
            <w:r>
              <w:rPr>
                <w:rFonts w:ascii="宋体" w:hAnsi="宋体" w:eastAsia="宋体" w:cs="宋体"/>
                <w:color w:val="000000"/>
                <w:sz w:val="24"/>
                <w:szCs w:val="24"/>
              </w:rPr>
              <w:t>（3）货物需求清单中明确要求提供证明材料的</w:t>
            </w:r>
            <w:r>
              <w:rPr>
                <w:rFonts w:hint="eastAsia" w:ascii="宋体" w:hAnsi="宋体" w:eastAsia="宋体" w:cs="宋体"/>
                <w:color w:val="000000"/>
                <w:sz w:val="24"/>
                <w:szCs w:val="24"/>
              </w:rPr>
              <w:t>条款，投标文件中</w:t>
            </w:r>
            <w:r>
              <w:rPr>
                <w:rFonts w:ascii="宋体" w:hAnsi="宋体" w:eastAsia="宋体" w:cs="宋体"/>
                <w:color w:val="000000"/>
                <w:sz w:val="24"/>
                <w:szCs w:val="24"/>
              </w:rPr>
              <w:t>按货物需求清单</w:t>
            </w:r>
            <w:r>
              <w:rPr>
                <w:rFonts w:hint="eastAsia" w:ascii="宋体" w:hAnsi="宋体" w:eastAsia="宋体" w:cs="宋体"/>
                <w:color w:val="000000"/>
                <w:sz w:val="24"/>
                <w:szCs w:val="24"/>
              </w:rPr>
              <w:t>中</w:t>
            </w:r>
            <w:r>
              <w:rPr>
                <w:rFonts w:ascii="宋体" w:hAnsi="宋体" w:eastAsia="宋体" w:cs="宋体"/>
                <w:color w:val="000000"/>
                <w:sz w:val="24"/>
                <w:szCs w:val="24"/>
              </w:rPr>
              <w:t>要求提供以证明参数响应性，不提供相关证明材料视为负偏离。货物需求清单中未明确要求提供证明材料的</w:t>
            </w:r>
            <w:r>
              <w:rPr>
                <w:rFonts w:hint="eastAsia" w:ascii="宋体" w:hAnsi="宋体" w:eastAsia="宋体" w:cs="宋体"/>
                <w:color w:val="000000"/>
                <w:sz w:val="24"/>
                <w:szCs w:val="24"/>
              </w:rPr>
              <w:t>条款，</w:t>
            </w:r>
            <w:r>
              <w:rPr>
                <w:rFonts w:ascii="宋体" w:hAnsi="宋体" w:eastAsia="宋体" w:cs="宋体"/>
                <w:color w:val="000000"/>
                <w:sz w:val="24"/>
                <w:szCs w:val="24"/>
              </w:rPr>
              <w:t>以投标响应表中的响应情况作为评审依据。</w:t>
            </w:r>
          </w:p>
          <w:p w14:paraId="52446251">
            <w:pPr>
              <w:spacing w:line="30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（4）所属行业中标注“/”的品目，无须在《中小企业声明函》中列明。</w:t>
            </w:r>
          </w:p>
        </w:tc>
      </w:tr>
    </w:tbl>
    <w:p w14:paraId="748658DE">
      <w:pPr>
        <w:widowControl/>
        <w:spacing w:line="360" w:lineRule="auto"/>
        <w:ind w:firstLine="482"/>
        <w:rPr>
          <w:rFonts w:hint="eastAsia" w:ascii="宋体" w:hAnsi="宋体" w:eastAsia="宋体" w:cs="宋体"/>
          <w:b/>
          <w:bCs/>
          <w:color w:val="000000"/>
          <w:sz w:val="24"/>
          <w:szCs w:val="24"/>
        </w:rPr>
      </w:pPr>
    </w:p>
    <w:p w14:paraId="4EA201C2">
      <w:pPr>
        <w:rPr>
          <w:rFonts w:hint="eastAsia" w:ascii="宋体" w:hAnsi="宋体" w:eastAsia="宋体" w:cs="宋体"/>
          <w:b/>
          <w:bCs/>
          <w:color w:val="000000"/>
          <w:sz w:val="24"/>
          <w:szCs w:val="24"/>
        </w:rPr>
      </w:pPr>
      <w:r>
        <w:rPr>
          <w:rFonts w:hint="eastAsia" w:ascii="宋体" w:hAnsi="宋体" w:eastAsia="宋体" w:cs="宋体"/>
          <w:b/>
          <w:bCs/>
          <w:color w:val="000000"/>
          <w:sz w:val="24"/>
          <w:szCs w:val="24"/>
        </w:rPr>
        <w:br w:type="page"/>
      </w:r>
    </w:p>
    <w:p w14:paraId="4EEB8FA0">
      <w:pPr>
        <w:widowControl/>
        <w:spacing w:line="360" w:lineRule="auto"/>
        <w:ind w:firstLine="482"/>
        <w:outlineLvl w:val="2"/>
        <w:rPr>
          <w:rFonts w:hint="eastAsia" w:ascii="宋体" w:hAnsi="宋体" w:eastAsia="宋体"/>
          <w:b/>
          <w:bCs/>
          <w:color w:val="000000"/>
          <w:sz w:val="24"/>
          <w:szCs w:val="18"/>
        </w:rPr>
      </w:pPr>
      <w:r>
        <w:rPr>
          <w:rFonts w:hint="eastAsia" w:ascii="宋体" w:hAnsi="宋体" w:eastAsia="宋体" w:cs="宋体"/>
          <w:b/>
          <w:bCs/>
          <w:color w:val="000000"/>
          <w:sz w:val="24"/>
          <w:szCs w:val="24"/>
        </w:rPr>
        <w:t>（二）货物需求清单</w:t>
      </w:r>
    </w:p>
    <w:tbl>
      <w:tblPr>
        <w:tblStyle w:val="8"/>
        <w:tblW w:w="58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58"/>
        <w:gridCol w:w="819"/>
        <w:gridCol w:w="5935"/>
        <w:gridCol w:w="706"/>
        <w:gridCol w:w="775"/>
        <w:gridCol w:w="773"/>
      </w:tblGrid>
      <w:tr w14:paraId="3C8A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80" w:type="pct"/>
            <w:shd w:val="clear" w:color="auto" w:fill="auto"/>
            <w:noWrap/>
            <w:vAlign w:val="center"/>
          </w:tcPr>
          <w:p w14:paraId="6B906726">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序号</w:t>
            </w:r>
          </w:p>
        </w:tc>
        <w:tc>
          <w:tcPr>
            <w:tcW w:w="411" w:type="pct"/>
            <w:shd w:val="clear" w:color="auto" w:fill="auto"/>
            <w:noWrap/>
            <w:vAlign w:val="center"/>
          </w:tcPr>
          <w:p w14:paraId="55F370AB">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货物名称</w:t>
            </w:r>
          </w:p>
        </w:tc>
        <w:tc>
          <w:tcPr>
            <w:tcW w:w="2977" w:type="pct"/>
            <w:shd w:val="clear" w:color="auto" w:fill="auto"/>
            <w:noWrap/>
            <w:vAlign w:val="center"/>
          </w:tcPr>
          <w:p w14:paraId="1B562830">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技术参数及要求</w:t>
            </w:r>
          </w:p>
        </w:tc>
        <w:tc>
          <w:tcPr>
            <w:tcW w:w="354" w:type="pct"/>
            <w:shd w:val="clear" w:color="auto" w:fill="auto"/>
            <w:noWrap/>
            <w:vAlign w:val="center"/>
          </w:tcPr>
          <w:p w14:paraId="680820AE">
            <w:pPr>
              <w:widowControl/>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数量</w:t>
            </w:r>
          </w:p>
        </w:tc>
        <w:tc>
          <w:tcPr>
            <w:tcW w:w="388" w:type="pct"/>
            <w:shd w:val="clear" w:color="auto" w:fill="auto"/>
            <w:noWrap/>
            <w:vAlign w:val="center"/>
          </w:tcPr>
          <w:p w14:paraId="0528E04E">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所属行业</w:t>
            </w:r>
          </w:p>
        </w:tc>
        <w:tc>
          <w:tcPr>
            <w:tcW w:w="388" w:type="pct"/>
            <w:shd w:val="clear" w:color="auto" w:fill="auto"/>
            <w:noWrap/>
            <w:vAlign w:val="center"/>
          </w:tcPr>
          <w:p w14:paraId="4A71550D">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备注</w:t>
            </w:r>
          </w:p>
        </w:tc>
      </w:tr>
      <w:tr w14:paraId="67C3C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11" w:type="pct"/>
            <w:gridSpan w:val="5"/>
            <w:shd w:val="clear" w:color="auto" w:fill="auto"/>
            <w:noWrap/>
            <w:vAlign w:val="center"/>
          </w:tcPr>
          <w:p w14:paraId="3165896C">
            <w:pPr>
              <w:widowControl/>
              <w:spacing w:line="360" w:lineRule="auto"/>
              <w:rPr>
                <w:rFonts w:hint="eastAsia" w:ascii="宋体" w:hAnsi="宋体" w:eastAsia="宋体" w:cs="宋体"/>
                <w:color w:val="auto"/>
                <w:szCs w:val="21"/>
              </w:rPr>
            </w:pPr>
            <w:r>
              <w:rPr>
                <w:rFonts w:hint="eastAsia" w:ascii="宋体" w:hAnsi="宋体" w:eastAsia="宋体" w:cs="宋体"/>
                <w:b/>
                <w:bCs/>
                <w:color w:val="auto"/>
                <w:szCs w:val="21"/>
              </w:rPr>
              <w:t>一、GPU计算型节点</w:t>
            </w:r>
          </w:p>
        </w:tc>
        <w:tc>
          <w:tcPr>
            <w:tcW w:w="388" w:type="pct"/>
            <w:shd w:val="clear" w:color="auto" w:fill="auto"/>
            <w:noWrap/>
            <w:vAlign w:val="center"/>
          </w:tcPr>
          <w:p w14:paraId="34851DCF">
            <w:pPr>
              <w:widowControl/>
              <w:spacing w:line="360" w:lineRule="auto"/>
              <w:rPr>
                <w:rFonts w:hint="eastAsia" w:ascii="宋体" w:hAnsi="宋体" w:eastAsia="宋体" w:cs="宋体"/>
                <w:b/>
                <w:bCs/>
                <w:color w:val="auto"/>
                <w:szCs w:val="21"/>
              </w:rPr>
            </w:pPr>
          </w:p>
        </w:tc>
      </w:tr>
      <w:tr w14:paraId="068E8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00DC7468">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（一）</w:t>
            </w:r>
          </w:p>
        </w:tc>
        <w:tc>
          <w:tcPr>
            <w:tcW w:w="3388" w:type="pct"/>
            <w:gridSpan w:val="2"/>
            <w:shd w:val="clear" w:color="auto" w:fill="auto"/>
            <w:noWrap/>
            <w:vAlign w:val="center"/>
          </w:tcPr>
          <w:p w14:paraId="4D2AEFF9">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智算服务器部分</w:t>
            </w:r>
          </w:p>
        </w:tc>
        <w:tc>
          <w:tcPr>
            <w:tcW w:w="354" w:type="pct"/>
            <w:shd w:val="clear" w:color="auto" w:fill="auto"/>
            <w:noWrap/>
            <w:vAlign w:val="center"/>
          </w:tcPr>
          <w:p w14:paraId="4F477C03">
            <w:pPr>
              <w:spacing w:line="360" w:lineRule="auto"/>
              <w:rPr>
                <w:rFonts w:hint="eastAsia" w:ascii="宋体" w:hAnsi="宋体" w:eastAsia="宋体" w:cs="宋体"/>
                <w:color w:val="auto"/>
                <w:szCs w:val="21"/>
              </w:rPr>
            </w:pPr>
          </w:p>
        </w:tc>
        <w:tc>
          <w:tcPr>
            <w:tcW w:w="388" w:type="pct"/>
            <w:shd w:val="clear" w:color="auto" w:fill="auto"/>
            <w:noWrap/>
            <w:vAlign w:val="center"/>
          </w:tcPr>
          <w:p w14:paraId="6F04BAC4">
            <w:pPr>
              <w:spacing w:line="360" w:lineRule="auto"/>
              <w:jc w:val="center"/>
              <w:rPr>
                <w:rFonts w:hint="eastAsia" w:ascii="宋体" w:hAnsi="宋体" w:eastAsia="宋体" w:cs="宋体"/>
                <w:color w:val="auto"/>
                <w:szCs w:val="21"/>
              </w:rPr>
            </w:pPr>
          </w:p>
        </w:tc>
        <w:tc>
          <w:tcPr>
            <w:tcW w:w="388" w:type="pct"/>
            <w:shd w:val="clear" w:color="auto" w:fill="auto"/>
            <w:noWrap/>
            <w:vAlign w:val="center"/>
          </w:tcPr>
          <w:p w14:paraId="73BA8B63">
            <w:pPr>
              <w:spacing w:line="360" w:lineRule="auto"/>
              <w:jc w:val="center"/>
              <w:rPr>
                <w:rFonts w:hint="eastAsia" w:ascii="宋体" w:hAnsi="宋体" w:eastAsia="宋体" w:cs="宋体"/>
                <w:color w:val="auto"/>
                <w:szCs w:val="21"/>
              </w:rPr>
            </w:pPr>
          </w:p>
        </w:tc>
      </w:tr>
      <w:tr w14:paraId="3B14C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6D5BC76A">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411" w:type="pct"/>
            <w:shd w:val="clear" w:color="auto" w:fill="auto"/>
            <w:noWrap/>
            <w:vAlign w:val="center"/>
          </w:tcPr>
          <w:p w14:paraId="539C0F18">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虚拟化服务器</w:t>
            </w:r>
          </w:p>
        </w:tc>
        <w:tc>
          <w:tcPr>
            <w:tcW w:w="2977" w:type="pct"/>
            <w:shd w:val="clear" w:color="auto" w:fill="auto"/>
            <w:noWrap/>
            <w:vAlign w:val="center"/>
          </w:tcPr>
          <w:p w14:paraId="5875E7A9">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★1.本设备为通用服务器，须严格执行《通用服务器政府采购需求标准（2023年版）》，</w:t>
            </w:r>
            <w:r>
              <w:rPr>
                <w:rFonts w:hint="eastAsia" w:ascii="宋体" w:hAnsi="宋体" w:eastAsia="宋体" w:cs="宋体"/>
                <w:color w:val="auto"/>
                <w:szCs w:val="21"/>
              </w:rPr>
              <w:t>除本采购需求列明的参数外，其余所有参数须</w:t>
            </w:r>
            <w:r>
              <w:rPr>
                <w:rFonts w:ascii="宋体" w:hAnsi="宋体" w:eastAsia="宋体" w:cs="宋体"/>
                <w:color w:val="auto"/>
                <w:szCs w:val="21"/>
              </w:rPr>
              <w:t>完全满足</w:t>
            </w:r>
            <w:r>
              <w:rPr>
                <w:rFonts w:hint="eastAsia" w:ascii="宋体" w:hAnsi="宋体" w:eastAsia="宋体" w:cs="宋体"/>
                <w:color w:val="auto"/>
                <w:szCs w:val="21"/>
              </w:rPr>
              <w:t>《通用服务器政府采购需求标准（2023年版）》</w:t>
            </w:r>
            <w:r>
              <w:rPr>
                <w:rFonts w:ascii="宋体" w:hAnsi="宋体" w:eastAsia="宋体" w:cs="宋体"/>
                <w:color w:val="auto"/>
                <w:szCs w:val="21"/>
              </w:rPr>
              <w:t>全部标注</w:t>
            </w:r>
            <w:r>
              <w:rPr>
                <w:rFonts w:hint="eastAsia" w:ascii="宋体" w:hAnsi="宋体" w:eastAsia="宋体" w:cs="宋体"/>
                <w:color w:val="auto"/>
                <w:szCs w:val="21"/>
              </w:rPr>
              <w:t>“*”</w:t>
            </w:r>
            <w:r>
              <w:rPr>
                <w:rFonts w:ascii="宋体" w:hAnsi="宋体" w:eastAsia="宋体" w:cs="宋体"/>
                <w:color w:val="auto"/>
                <w:szCs w:val="21"/>
              </w:rPr>
              <w:t>的指标</w:t>
            </w:r>
            <w:r>
              <w:rPr>
                <w:rFonts w:hint="eastAsia" w:ascii="宋体" w:hAnsi="宋体" w:eastAsia="宋体" w:cs="宋体"/>
                <w:b/>
                <w:bCs/>
                <w:color w:val="auto"/>
                <w:szCs w:val="21"/>
              </w:rPr>
              <w:t>（投标文件须提供</w:t>
            </w:r>
            <w:r>
              <w:rPr>
                <w:rFonts w:ascii="宋体" w:hAnsi="宋体" w:eastAsia="宋体" w:cs="宋体"/>
                <w:b/>
                <w:bCs/>
                <w:color w:val="auto"/>
                <w:szCs w:val="21"/>
              </w:rPr>
              <w:t>承诺函</w:t>
            </w:r>
            <w:r>
              <w:rPr>
                <w:rFonts w:hint="eastAsia" w:ascii="宋体" w:hAnsi="宋体" w:eastAsia="宋体" w:cs="宋体"/>
                <w:b/>
                <w:bCs/>
                <w:color w:val="auto"/>
                <w:szCs w:val="21"/>
              </w:rPr>
              <w:t>，格式自拟）</w:t>
            </w:r>
            <w:r>
              <w:rPr>
                <w:rFonts w:hint="eastAsia" w:ascii="宋体" w:hAnsi="宋体" w:eastAsia="宋体" w:cs="宋体"/>
                <w:color w:val="auto"/>
                <w:szCs w:val="21"/>
              </w:rPr>
              <w:t>；</w:t>
            </w:r>
          </w:p>
          <w:p w14:paraId="5DB1D14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★2.总体要求：设备应为 2U 机架式双路服务器，配置≥2 颗 x86 架构服务器处理器，单颗处理器物理核心数≥32 核；实配≥256GB ECC DDR5 内存；配置≥2 块企业级 SSD 系统盘；支持 RAID 或等效数据保护能力；配置远程带外管理功能和冗余电源；</w:t>
            </w:r>
          </w:p>
          <w:p w14:paraId="75CC210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★3.单颗</w:t>
            </w:r>
            <w:r>
              <w:rPr>
                <w:rFonts w:hint="eastAsia" w:ascii="宋体" w:hAnsi="宋体" w:eastAsia="宋体" w:cs="宋体"/>
                <w:color w:val="auto"/>
                <w:szCs w:val="21"/>
                <w:shd w:val="clear"/>
              </w:rPr>
              <w:t>CPU主频≥2.1GHz</w:t>
            </w:r>
            <w:r>
              <w:rPr>
                <w:rFonts w:hint="eastAsia" w:ascii="宋体" w:hAnsi="宋体" w:eastAsia="宋体" w:cs="宋体"/>
                <w:color w:val="auto"/>
                <w:szCs w:val="21"/>
                <w:shd w:val="clear"/>
                <w:lang w:eastAsia="zh-CN"/>
              </w:rPr>
              <w:t>，</w:t>
            </w:r>
            <w:r>
              <w:rPr>
                <w:rFonts w:hint="eastAsia" w:ascii="宋体" w:hAnsi="宋体" w:eastAsia="宋体" w:cs="宋体"/>
                <w:color w:val="auto"/>
                <w:szCs w:val="21"/>
                <w:shd w:val="clear"/>
                <w:lang w:val="en-US" w:eastAsia="zh-CN"/>
              </w:rPr>
              <w:t>内存规格</w:t>
            </w:r>
            <w:r>
              <w:rPr>
                <w:rFonts w:hint="eastAsia" w:ascii="宋体" w:hAnsi="宋体" w:eastAsia="宋体" w:cs="宋体"/>
                <w:color w:val="auto"/>
                <w:szCs w:val="21"/>
                <w:shd w:val="clear"/>
              </w:rPr>
              <w:t>≥</w:t>
            </w:r>
            <w:r>
              <w:rPr>
                <w:rFonts w:ascii="宋体" w:hAnsi="宋体" w:eastAsia="宋体" w:cs="宋体"/>
                <w:color w:val="auto"/>
                <w:szCs w:val="21"/>
              </w:rPr>
              <w:t>DDR5</w:t>
            </w:r>
            <w:r>
              <w:rPr>
                <w:rFonts w:hint="eastAsia" w:ascii="宋体" w:hAnsi="宋体" w:eastAsia="宋体" w:cs="宋体"/>
                <w:color w:val="auto"/>
                <w:szCs w:val="21"/>
              </w:rPr>
              <w:t>；</w:t>
            </w:r>
          </w:p>
          <w:p w14:paraId="76C448BD">
            <w:pPr>
              <w:widowControl/>
              <w:spacing w:line="360" w:lineRule="auto"/>
              <w:jc w:val="left"/>
              <w:rPr>
                <w:rFonts w:hint="eastAsia" w:ascii="宋体" w:hAnsi="宋体" w:eastAsia="宋体" w:cs="宋体"/>
                <w:color w:val="auto"/>
                <w:szCs w:val="21"/>
              </w:rPr>
            </w:pPr>
            <w:r>
              <w:rPr>
                <w:rFonts w:hint="eastAsia" w:ascii="宋体" w:hAnsi="宋体" w:eastAsia="宋体" w:cs="宋体"/>
                <w:bCs/>
                <w:color w:val="auto"/>
                <w:szCs w:val="21"/>
              </w:rPr>
              <w:t>█</w:t>
            </w:r>
            <w:r>
              <w:rPr>
                <w:rFonts w:hint="eastAsia" w:ascii="宋体" w:hAnsi="宋体" w:eastAsia="宋体" w:cs="宋体"/>
                <w:color w:val="auto"/>
                <w:szCs w:val="21"/>
              </w:rPr>
              <w:t>4.内存要求：单内存模块容量≥32GB，单内存速率</w:t>
            </w:r>
            <w:r>
              <w:rPr>
                <w:rFonts w:ascii="宋体" w:hAnsi="宋体" w:eastAsia="宋体" w:cs="宋体"/>
                <w:color w:val="auto"/>
                <w:szCs w:val="21"/>
              </w:rPr>
              <w:t>≥4800MT/s</w:t>
            </w:r>
            <w:r>
              <w:rPr>
                <w:rFonts w:hint="eastAsia" w:ascii="宋体" w:hAnsi="宋体" w:eastAsia="宋体" w:cs="宋体"/>
                <w:color w:val="auto"/>
                <w:szCs w:val="21"/>
              </w:rPr>
              <w:t>，主板</w:t>
            </w:r>
            <w:r>
              <w:rPr>
                <w:rFonts w:ascii="宋体" w:hAnsi="宋体" w:eastAsia="宋体" w:cs="宋体"/>
                <w:color w:val="auto"/>
                <w:szCs w:val="21"/>
              </w:rPr>
              <w:t>内存槽数量≥16 个或最大内存扩展容量≥2TB</w:t>
            </w:r>
            <w:r>
              <w:rPr>
                <w:rFonts w:hint="eastAsia" w:ascii="宋体" w:hAnsi="宋体" w:eastAsia="宋体" w:cs="宋体"/>
                <w:color w:val="auto"/>
                <w:szCs w:val="21"/>
              </w:rPr>
              <w:t>；</w:t>
            </w:r>
          </w:p>
          <w:p w14:paraId="55CA2EC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★5.硬盘：配置</w:t>
            </w:r>
            <w:r>
              <w:rPr>
                <w:rFonts w:hint="eastAsia" w:ascii="宋体" w:hAnsi="宋体" w:eastAsia="宋体" w:cs="宋体"/>
                <w:color w:val="auto"/>
                <w:szCs w:val="21"/>
                <w:lang w:val="en-US" w:eastAsia="zh-CN"/>
              </w:rPr>
              <w:t>容量</w:t>
            </w:r>
            <w:r>
              <w:rPr>
                <w:rFonts w:hint="eastAsia" w:ascii="宋体" w:hAnsi="宋体" w:eastAsia="宋体" w:cs="宋体"/>
                <w:color w:val="auto"/>
                <w:szCs w:val="21"/>
              </w:rPr>
              <w:t>≥960GB ，支持热插拔；</w:t>
            </w:r>
          </w:p>
          <w:p w14:paraId="4B410EE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6.RAID：≥1个标准PCIe槽位阵列卡，支持RAID0/1/10/5/6/50/60，≥4GB缓存，含掉电保护模块；</w:t>
            </w:r>
          </w:p>
          <w:p w14:paraId="31C5302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7.网络接口：本次配置≥4个千兆网口</w:t>
            </w:r>
            <w:r>
              <w:rPr>
                <w:rFonts w:hint="eastAsia" w:ascii="宋体" w:hAnsi="宋体" w:eastAsia="宋体" w:cs="宋体"/>
                <w:color w:val="auto"/>
                <w:szCs w:val="21"/>
                <w:lang w:eastAsia="zh-CN"/>
              </w:rPr>
              <w:t>、</w:t>
            </w:r>
            <w:r>
              <w:rPr>
                <w:rFonts w:hint="eastAsia" w:ascii="宋体" w:hAnsi="宋体" w:eastAsia="宋体" w:cs="宋体"/>
                <w:color w:val="auto"/>
                <w:szCs w:val="21"/>
              </w:rPr>
              <w:t>≥2个25G网口（含对应光模块）、≥2个10G网口（含对应光模块）；</w:t>
            </w:r>
          </w:p>
          <w:p w14:paraId="49464FE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★8.电源：配置≥2 个热插拔冗余电源，支持 1+1 冗余；电源容量应满足整机满配 CPU、内存、硬盘、网卡等部件稳定运行要求，电源能效达到 80 PLUS Platinum/Titanium 或同等能效标准；</w:t>
            </w:r>
          </w:p>
          <w:p w14:paraId="1848F909">
            <w:pPr>
              <w:spacing w:line="360" w:lineRule="auto"/>
              <w:rPr>
                <w:rFonts w:hint="eastAsia" w:ascii="宋体" w:hAnsi="宋体" w:eastAsia="宋体" w:cs="宋体"/>
                <w:color w:val="auto"/>
                <w:szCs w:val="21"/>
              </w:rPr>
            </w:pPr>
            <w:r>
              <w:rPr>
                <w:rFonts w:hint="eastAsia" w:ascii="宋体" w:hAnsi="宋体" w:eastAsia="宋体" w:cs="宋体"/>
                <w:color w:val="auto"/>
                <w:szCs w:val="21"/>
              </w:rPr>
              <w:t>★9.可靠性：硬件MTBF平均无故障时间≥24万小时；</w:t>
            </w:r>
          </w:p>
          <w:p w14:paraId="2B8C5FE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10.数据安全：配置硬盘数据擦除功能；</w:t>
            </w:r>
          </w:p>
          <w:p w14:paraId="46BA47AF">
            <w:pPr>
              <w:widowControl/>
              <w:spacing w:line="360" w:lineRule="auto"/>
              <w:jc w:val="left"/>
              <w:rPr>
                <w:rFonts w:hint="eastAsia" w:ascii="宋体" w:hAnsi="宋体" w:eastAsia="宋体" w:cs="宋体"/>
                <w:color w:val="auto"/>
                <w:szCs w:val="21"/>
              </w:rPr>
            </w:pPr>
            <w:r>
              <w:rPr>
                <w:rFonts w:hint="eastAsia" w:ascii="宋体" w:hAnsi="宋体" w:eastAsia="宋体" w:cs="宋体"/>
                <w:bCs/>
                <w:color w:val="auto"/>
                <w:szCs w:val="21"/>
              </w:rPr>
              <w:t>█</w:t>
            </w:r>
            <w:r>
              <w:rPr>
                <w:rFonts w:hint="eastAsia" w:ascii="宋体" w:hAnsi="宋体" w:eastAsia="宋体" w:cs="宋体"/>
                <w:color w:val="auto"/>
                <w:szCs w:val="21"/>
              </w:rPr>
              <w:t>11.冗余安全：配置BMC双镜像，确保在检测到固件被破坏后可进行恢复；</w:t>
            </w:r>
          </w:p>
          <w:p w14:paraId="05DD1AFB">
            <w:pPr>
              <w:widowControl/>
              <w:spacing w:line="360" w:lineRule="auto"/>
              <w:jc w:val="left"/>
              <w:rPr>
                <w:rFonts w:hint="eastAsia" w:ascii="宋体" w:hAnsi="宋体" w:eastAsia="宋体" w:cs="宋体"/>
                <w:strike/>
                <w:color w:val="auto"/>
                <w:szCs w:val="21"/>
              </w:rPr>
            </w:pPr>
            <w:r>
              <w:rPr>
                <w:rFonts w:ascii="宋体" w:hAnsi="宋体" w:eastAsia="宋体" w:cs="宋体"/>
                <w:color w:val="auto"/>
                <w:szCs w:val="21"/>
              </w:rPr>
              <w:t>1</w:t>
            </w:r>
            <w:r>
              <w:rPr>
                <w:rFonts w:hint="eastAsia" w:ascii="宋体" w:hAnsi="宋体" w:eastAsia="宋体" w:cs="宋体"/>
                <w:color w:val="auto"/>
                <w:szCs w:val="21"/>
              </w:rPr>
              <w:t>2.</w:t>
            </w:r>
            <w:r>
              <w:rPr>
                <w:rFonts w:ascii="宋体" w:hAnsi="宋体" w:eastAsia="宋体" w:cs="宋体"/>
                <w:color w:val="auto"/>
                <w:szCs w:val="21"/>
              </w:rPr>
              <w:t>配置独立 BMC 带外管理模块，支持通过 Web 管理界面或标准管理协议对服务器进行远程管理；支持 IPMI 2.0、Redfish、SNMP 等一种或多种标准接口；支持对服务器 CPU、内存、硬盘/RAID、网卡、风扇、电源、温度、电压、功耗等关键硬件状态进行监控；支持远程开关机、重启、告警通知、事件日志查询和导出；支持温度、功耗等运行状态以图表、曲线、仪表盘或其他可视化方式展示。</w:t>
            </w:r>
          </w:p>
        </w:tc>
        <w:tc>
          <w:tcPr>
            <w:tcW w:w="354" w:type="pct"/>
            <w:shd w:val="clear" w:color="auto" w:fill="auto"/>
            <w:noWrap/>
            <w:vAlign w:val="center"/>
          </w:tcPr>
          <w:p w14:paraId="732BAB8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3台</w:t>
            </w:r>
          </w:p>
        </w:tc>
        <w:tc>
          <w:tcPr>
            <w:tcW w:w="388" w:type="pct"/>
            <w:shd w:val="clear" w:color="auto" w:fill="auto"/>
            <w:noWrap/>
            <w:vAlign w:val="center"/>
          </w:tcPr>
          <w:p w14:paraId="0C0F8BB1">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1E897613">
            <w:pPr>
              <w:widowControl/>
              <w:spacing w:line="360" w:lineRule="auto"/>
              <w:jc w:val="center"/>
              <w:rPr>
                <w:rFonts w:hint="eastAsia" w:ascii="宋体" w:hAnsi="宋体" w:eastAsia="宋体" w:cs="宋体"/>
                <w:color w:val="auto"/>
                <w:szCs w:val="21"/>
              </w:rPr>
            </w:pPr>
          </w:p>
        </w:tc>
      </w:tr>
      <w:tr w14:paraId="5609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28FBC2A3">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411" w:type="pct"/>
            <w:shd w:val="clear" w:color="auto" w:fill="auto"/>
            <w:noWrap/>
            <w:vAlign w:val="center"/>
          </w:tcPr>
          <w:p w14:paraId="63A1535F">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云融合虚拟化引擎</w:t>
            </w:r>
          </w:p>
        </w:tc>
        <w:tc>
          <w:tcPr>
            <w:tcW w:w="2977" w:type="pct"/>
            <w:shd w:val="clear" w:color="auto" w:fill="auto"/>
            <w:noWrap/>
            <w:vAlign w:val="center"/>
          </w:tcPr>
          <w:p w14:paraId="06EA78E5">
            <w:pPr>
              <w:widowControl w:val="0"/>
              <w:spacing w:line="360" w:lineRule="auto"/>
              <w:jc w:val="both"/>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1.平台授权应覆盖本项目不少于 6 颗物理 CPU，支持虚拟机创建、删除、启动、停止、迁移、快照、克隆、资源池管理、网络与存储管理、监控告警和备份或持续数据保护功能，并提供部署、授权、培训和售后服务；</w:t>
            </w:r>
          </w:p>
          <w:p w14:paraId="75E86290">
            <w:pPr>
              <w:spacing w:line="360" w:lineRule="auto"/>
              <w:rPr>
                <w:rFonts w:hint="eastAsia" w:ascii="宋体" w:hAnsi="宋体" w:eastAsia="宋体" w:cs="宋体"/>
                <w:color w:val="auto"/>
                <w:szCs w:val="21"/>
              </w:rPr>
            </w:pPr>
            <w:r>
              <w:rPr>
                <w:rFonts w:hint="eastAsia" w:ascii="宋体" w:hAnsi="宋体" w:eastAsia="宋体" w:cs="宋体"/>
                <w:color w:val="auto"/>
                <w:sz w:val="24"/>
                <w:szCs w:val="24"/>
              </w:rPr>
              <w:t>★</w:t>
            </w:r>
            <w:r>
              <w:rPr>
                <w:rFonts w:hint="eastAsia" w:ascii="宋体" w:hAnsi="宋体" w:eastAsia="宋体" w:cs="宋体"/>
                <w:color w:val="auto"/>
                <w:szCs w:val="21"/>
              </w:rPr>
              <w:t>2.</w:t>
            </w:r>
            <w:r>
              <w:rPr>
                <w:rFonts w:ascii="宋体" w:hAnsi="宋体" w:eastAsia="宋体" w:cs="宋体"/>
                <w:color w:val="auto"/>
                <w:szCs w:val="21"/>
              </w:rPr>
              <w:t>虚拟机应支持配置虚拟 CPU、内存、磁盘、网卡、虚拟光驱、虚拟显示设备等资源，支持自定义虚拟机 IP 地址、MAC 地址、主机名等基础配置</w:t>
            </w:r>
            <w:r>
              <w:rPr>
                <w:rFonts w:hint="eastAsia" w:ascii="宋体" w:hAnsi="宋体" w:eastAsia="宋体" w:cs="宋体"/>
                <w:color w:val="auto"/>
                <w:szCs w:val="21"/>
              </w:rPr>
              <w:t>；</w:t>
            </w:r>
          </w:p>
          <w:p w14:paraId="3E31DD02">
            <w:pPr>
              <w:spacing w:line="360" w:lineRule="auto"/>
              <w:rPr>
                <w:rFonts w:hint="eastAsia" w:ascii="宋体" w:hAnsi="宋体" w:eastAsia="宋体" w:cs="宋体"/>
                <w:color w:val="auto"/>
                <w:szCs w:val="21"/>
              </w:rPr>
            </w:pPr>
            <w:r>
              <w:rPr>
                <w:rFonts w:hint="eastAsia" w:ascii="宋体" w:hAnsi="宋体" w:eastAsia="宋体" w:cs="宋体"/>
                <w:color w:val="auto"/>
                <w:szCs w:val="21"/>
              </w:rPr>
              <w:t>3.支持在30秒内完成≥80台云主机快照(快照大小≥2T)批量删除；</w:t>
            </w:r>
          </w:p>
          <w:p w14:paraId="0E35C18E">
            <w:pPr>
              <w:spacing w:line="360" w:lineRule="auto"/>
              <w:rPr>
                <w:rFonts w:hint="eastAsia" w:ascii="宋体" w:hAnsi="宋体" w:eastAsia="宋体" w:cs="宋体"/>
                <w:color w:val="auto"/>
                <w:szCs w:val="21"/>
              </w:rPr>
            </w:pPr>
            <w:r>
              <w:rPr>
                <w:rFonts w:hint="eastAsia" w:ascii="宋体" w:hAnsi="宋体" w:eastAsia="宋体" w:cs="宋体"/>
                <w:bCs/>
                <w:color w:val="auto"/>
                <w:szCs w:val="21"/>
              </w:rPr>
              <w:t>█</w:t>
            </w:r>
            <w:r>
              <w:rPr>
                <w:rFonts w:hint="eastAsia" w:ascii="宋体" w:hAnsi="宋体" w:eastAsia="宋体" w:cs="宋体"/>
                <w:color w:val="auto"/>
                <w:szCs w:val="21"/>
              </w:rPr>
              <w:t>4.支持快速全量克隆，快速全量克隆支持在100秒内完成≥80台的虚拟机(磁盘规格：非精简置备≥2T）的批量部署；</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3C8499DB">
            <w:pPr>
              <w:widowControl w:val="0"/>
              <w:spacing w:line="360" w:lineRule="auto"/>
              <w:jc w:val="both"/>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5.支持显示SSD物理磁盘磨损度寿命，界面支持点亮/熄灭硬盘指示灯；</w:t>
            </w:r>
          </w:p>
          <w:p w14:paraId="3744F2BB">
            <w:pPr>
              <w:widowControl w:val="0"/>
              <w:spacing w:line="360" w:lineRule="auto"/>
              <w:jc w:val="both"/>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6.支持自定义时间段监控虚拟化主机上每块磁盘的平均时延大小，磁盘闲忙度，支持监控主机根分区和日志分区的使用率；</w:t>
            </w:r>
          </w:p>
          <w:p w14:paraId="42D43823">
            <w:pPr>
              <w:widowControl w:val="0"/>
              <w:spacing w:line="360" w:lineRule="auto"/>
              <w:jc w:val="both"/>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7.支持物理网卡定位功能，可在平台发现网卡故障后，在管理界面直接点亮损坏网卡，支持主备上行链路倒换；</w:t>
            </w:r>
          </w:p>
          <w:p w14:paraId="207B92FB">
            <w:pPr>
              <w:spacing w:line="360" w:lineRule="auto"/>
              <w:rPr>
                <w:rFonts w:hint="eastAsia" w:ascii="宋体" w:hAnsi="宋体" w:eastAsia="宋体" w:cs="宋体"/>
                <w:color w:val="auto"/>
                <w:szCs w:val="21"/>
              </w:rPr>
            </w:pPr>
            <w:r>
              <w:rPr>
                <w:rFonts w:hint="eastAsia" w:ascii="宋体" w:hAnsi="宋体" w:eastAsia="宋体" w:cs="宋体"/>
                <w:color w:val="auto"/>
                <w:szCs w:val="21"/>
              </w:rPr>
              <w:t>8.提供≥300个虚拟机CDP持续数据保护功能模块授权，通过托拽进度条，虚拟机可恢复到任意I/O时刻。</w:t>
            </w:r>
          </w:p>
        </w:tc>
        <w:tc>
          <w:tcPr>
            <w:tcW w:w="354" w:type="pct"/>
            <w:shd w:val="clear" w:color="auto" w:fill="auto"/>
            <w:noWrap/>
            <w:vAlign w:val="center"/>
          </w:tcPr>
          <w:p w14:paraId="5C3EEE4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1套</w:t>
            </w:r>
          </w:p>
        </w:tc>
        <w:tc>
          <w:tcPr>
            <w:tcW w:w="388" w:type="pct"/>
            <w:shd w:val="clear" w:color="auto" w:fill="auto"/>
            <w:noWrap/>
            <w:vAlign w:val="center"/>
          </w:tcPr>
          <w:p w14:paraId="6E763E26">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7C179B67">
            <w:pPr>
              <w:widowControl/>
              <w:spacing w:line="360" w:lineRule="auto"/>
              <w:jc w:val="center"/>
              <w:rPr>
                <w:rFonts w:hint="eastAsia" w:ascii="宋体" w:hAnsi="宋体" w:eastAsia="宋体" w:cs="宋体"/>
                <w:color w:val="auto"/>
                <w:szCs w:val="21"/>
              </w:rPr>
            </w:pPr>
          </w:p>
        </w:tc>
      </w:tr>
      <w:tr w14:paraId="20250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08A2B0F9">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411" w:type="pct"/>
            <w:shd w:val="clear" w:color="auto" w:fill="auto"/>
            <w:noWrap/>
            <w:vAlign w:val="center"/>
          </w:tcPr>
          <w:p w14:paraId="54B09859">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25G交换机</w:t>
            </w:r>
          </w:p>
        </w:tc>
        <w:tc>
          <w:tcPr>
            <w:tcW w:w="2977" w:type="pct"/>
            <w:shd w:val="clear" w:color="auto" w:fill="auto"/>
            <w:noWrap/>
            <w:vAlign w:val="center"/>
          </w:tcPr>
          <w:p w14:paraId="70DA194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1.硬件芯片：设备具备独立的CPU和交换芯片且均采用国产芯片；</w:t>
            </w:r>
          </w:p>
          <w:p w14:paraId="1EC302D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2.交换能力：交换容量≥8Tbps；</w:t>
            </w:r>
          </w:p>
          <w:p w14:paraId="1A3E6EE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█3.接口要求：配置≥48 个 1G/10G/25Gbps SFP28 端口，≥8 个 40G/100G QSFP28 端口，QSFP28 端口应支持拆分为 10G/25G 逻辑端口使用；配置≥1 个扩展插槽；</w:t>
            </w:r>
          </w:p>
          <w:p w14:paraId="600699A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4.支持可热插拔的冗余电源，实现1：1冗余，风扇数量≥4个；</w:t>
            </w:r>
          </w:p>
          <w:p w14:paraId="1D9E378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5.支持IPv4静态路由，RIPv1&amp;v2，OSPF，BGP，ECMP，PBR，支持uRPF检测和VRF；支持IPv6静态路由，OSPFV3，RIPng，ICMPv6，NDP；</w:t>
            </w:r>
          </w:p>
          <w:p w14:paraId="1E45050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6.支持IGMPv1/v2/v3，PIM-SM，PIM-SSM，MLDv1/v2，MLDSnooping，PIM-SMv6，MVR6，IPv6overIPv4Tunnel；</w:t>
            </w:r>
          </w:p>
          <w:p w14:paraId="1DCF4D8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7.可靠性：支持VPC或M-LAG技术，实现多台设备间的链路聚合；</w:t>
            </w:r>
          </w:p>
          <w:p w14:paraId="32C6806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w:t>
            </w:r>
            <w:r>
              <w:rPr>
                <w:rFonts w:ascii="宋体" w:hAnsi="宋体" w:eastAsia="宋体" w:cs="宋体"/>
                <w:color w:val="auto"/>
                <w:szCs w:val="21"/>
              </w:rPr>
              <w:t>支持数据中心网络扩展和无损网络相关能力，例如，BGPEVPNVXLAN、RDMA技术、RoCE、无损网络，ECN等</w:t>
            </w:r>
            <w:r>
              <w:rPr>
                <w:rFonts w:hint="eastAsia" w:ascii="宋体" w:hAnsi="宋体" w:eastAsia="宋体" w:cs="宋体"/>
                <w:color w:val="auto"/>
                <w:szCs w:val="21"/>
              </w:rPr>
              <w:t>；</w:t>
            </w:r>
          </w:p>
          <w:p w14:paraId="4504DF5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9.配置：满配风扇，冗余双电源；本项目合计配置≥48 个 25G SFP28 多模光模块，配置≥2 条 100G AOC/DAC 线缆或等效高速互联线缆，长度根据现场机柜布置确定。</w:t>
            </w:r>
          </w:p>
        </w:tc>
        <w:tc>
          <w:tcPr>
            <w:tcW w:w="354" w:type="pct"/>
            <w:shd w:val="clear" w:color="auto" w:fill="auto"/>
            <w:noWrap/>
            <w:vAlign w:val="center"/>
          </w:tcPr>
          <w:p w14:paraId="2D4896A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2台</w:t>
            </w:r>
          </w:p>
        </w:tc>
        <w:tc>
          <w:tcPr>
            <w:tcW w:w="388" w:type="pct"/>
            <w:shd w:val="clear" w:color="auto" w:fill="auto"/>
            <w:noWrap/>
            <w:vAlign w:val="center"/>
          </w:tcPr>
          <w:p w14:paraId="12430A3A">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2EC3A2AD">
            <w:pPr>
              <w:widowControl/>
              <w:spacing w:line="360" w:lineRule="auto"/>
              <w:jc w:val="center"/>
              <w:rPr>
                <w:rFonts w:hint="eastAsia" w:ascii="宋体" w:hAnsi="宋体" w:eastAsia="宋体" w:cs="宋体"/>
                <w:color w:val="auto"/>
                <w:szCs w:val="21"/>
              </w:rPr>
            </w:pPr>
          </w:p>
        </w:tc>
      </w:tr>
      <w:tr w14:paraId="6297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72267B43">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4</w:t>
            </w:r>
          </w:p>
        </w:tc>
        <w:tc>
          <w:tcPr>
            <w:tcW w:w="411" w:type="pct"/>
            <w:shd w:val="clear" w:color="auto" w:fill="auto"/>
            <w:noWrap/>
            <w:vAlign w:val="center"/>
          </w:tcPr>
          <w:p w14:paraId="76F87D11">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集中式存储</w:t>
            </w:r>
          </w:p>
        </w:tc>
        <w:tc>
          <w:tcPr>
            <w:tcW w:w="2977" w:type="pct"/>
            <w:shd w:val="clear" w:color="auto" w:fill="auto"/>
            <w:noWrap/>
            <w:vAlign w:val="center"/>
          </w:tcPr>
          <w:p w14:paraId="3D9AC7B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1.厂商资质：非OEM或者贴牌；控制器采用国产多核处理器；</w:t>
            </w:r>
          </w:p>
          <w:p w14:paraId="2CE4F56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2.控制器架构：控制器冗余设计，支持在线更换控制器；在线升级存储系统，无须停机；具备控制器故障自动切换和自动重建功能，无单点故障影响数据的有效性，上层业务零感知；</w:t>
            </w:r>
          </w:p>
          <w:p w14:paraId="08D61F99">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w:t>
            </w:r>
            <w:r>
              <w:rPr>
                <w:rFonts w:hint="eastAsia" w:ascii="宋体" w:hAnsi="宋体" w:eastAsia="宋体" w:cs="宋体"/>
                <w:color w:val="auto"/>
                <w:szCs w:val="21"/>
              </w:rPr>
              <w:t>3.</w:t>
            </w:r>
            <w:r>
              <w:rPr>
                <w:rFonts w:ascii="宋体" w:hAnsi="宋体" w:eastAsia="宋体" w:cs="宋体"/>
                <w:color w:val="auto"/>
                <w:szCs w:val="21"/>
              </w:rPr>
              <w:t>设备应为企业级双控或多控集中式存储，实配控制器数量≥2 个，整机缓存≥256GB；配置企业级 HDD 裸容量≥336TB、企业级 SSD 裸容量≥15.36TB；配置≥8 个 25G 主机接口；支持 RAID 或等效数据保护、快照、精简配置、克隆、卷复制或远程复制、SSD 健康状态监测功能</w:t>
            </w:r>
            <w:r>
              <w:rPr>
                <w:rFonts w:hint="eastAsia" w:ascii="宋体" w:hAnsi="宋体" w:eastAsia="宋体" w:cs="宋体"/>
                <w:color w:val="auto"/>
                <w:szCs w:val="21"/>
              </w:rPr>
              <w:t>；</w:t>
            </w:r>
            <w:r>
              <w:rPr>
                <w:rFonts w:hint="eastAsia" w:ascii="宋体" w:hAnsi="宋体" w:eastAsia="宋体" w:cs="宋体"/>
                <w:b/>
                <w:bCs/>
                <w:color w:val="auto"/>
                <w:szCs w:val="21"/>
              </w:rPr>
              <w:t xml:space="preserve"> (投标文件中须提供证明材料，如技术系统功能演示截图、产品彩页(产品功能截图)、厂家(制造商)官网截图，提供其中任意一种即可）</w:t>
            </w:r>
          </w:p>
          <w:p w14:paraId="0F9A99A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4.控制柜：配置2U盘控一体的高扩展性控制柜；</w:t>
            </w:r>
          </w:p>
          <w:p w14:paraId="105B50F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█5.扩展柜：支持12、25、48盘位多规格扩展柜供选择，本次配置3U48扩展柜；</w:t>
            </w:r>
          </w:p>
          <w:p w14:paraId="5901063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6.处理器：每控配置1颗CPU（每CPU核数≥24核）；</w:t>
            </w:r>
          </w:p>
          <w:p w14:paraId="43C6DFE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7.系统盘：采用内置SSD盘作为存储系统盘，非机械硬盘做RAID模式，不占用硬盘槽位；同时系统盘可以做cache数据掉电保护；</w:t>
            </w:r>
          </w:p>
          <w:p w14:paraId="391CF54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8.主机接口：每个控制器可扩展最大4张外插卡；</w:t>
            </w:r>
          </w:p>
          <w:p w14:paraId="5F133CA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9.本次配置≥8口25G端口（含对应光模块），≥8口1G端口；</w:t>
            </w:r>
          </w:p>
          <w:p w14:paraId="591F4C0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10.电源模块：电源模块采用1+1冗余设计，以避免发生单点故障；存储电源模块支持均流冗余和主备冗余两种供电模式，可根据负载自动转换，节约能耗；</w:t>
            </w:r>
          </w:p>
          <w:p w14:paraId="181B47F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11.二次备电：支持缓存保护，并配置BBU电池保护模组，可以支撑连续2次整机掉电数据保护，保证掉电时Cache数据可安全写入SSD永久保存，确保掉电后业务快速恢复；</w:t>
            </w:r>
          </w:p>
          <w:p w14:paraId="241BC3F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12.闪断保护：BBU模块充满电时支持电力闪断保护，确保系统在电压不稳，电源误操作等场景下仍可正常运行2～5秒，实现系统不重启、业务不中断；</w:t>
            </w:r>
          </w:p>
          <w:p w14:paraId="5D665B5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13.系统缓存：本次要求整机配置≥256G缓存（不包含SSD磁盘、PCI-ESSD、闪存、压缩或重删缓存和NAS控制器缓存）；</w:t>
            </w:r>
          </w:p>
          <w:p w14:paraId="1A47FF0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█14.RAID：支持传统RAID和分布式RAID技术，且可以共存，可根据不同的业务类型自行选择；支持两种热备技术（热备盘或者热备空间），且可以共存；</w:t>
            </w:r>
            <w:r>
              <w:rPr>
                <w:rFonts w:ascii="宋体" w:hAnsi="宋体" w:eastAsia="宋体" w:cs="宋体"/>
                <w:color w:val="auto"/>
                <w:szCs w:val="21"/>
              </w:rPr>
              <w:t xml:space="preserve"> </w:t>
            </w:r>
          </w:p>
          <w:p w14:paraId="1679DE1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15.SSD寿命监控：</w:t>
            </w:r>
            <w:r>
              <w:rPr>
                <w:rFonts w:ascii="宋体" w:hAnsi="宋体" w:eastAsia="宋体" w:cs="宋体"/>
                <w:color w:val="auto"/>
                <w:szCs w:val="21"/>
              </w:rPr>
              <w:t>支持显示 SSD 寿命消耗情况，并可提供基于厂商健康信息的预估剩余寿命百分比或等效健康度指标</w:t>
            </w:r>
            <w:r>
              <w:rPr>
                <w:rFonts w:hint="eastAsia" w:ascii="宋体" w:hAnsi="宋体" w:eastAsia="宋体" w:cs="宋体"/>
                <w:color w:val="auto"/>
                <w:szCs w:val="21"/>
              </w:rPr>
              <w:t>；</w:t>
            </w:r>
          </w:p>
          <w:p w14:paraId="4534D8C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16.自动精简：配置全容量许可精简功能，实现存储空间超分配，精简粒度32K、64K、128K、256K可调节，后续扩容无需额外购买许可。支持创建单卷≥256TB的容量；</w:t>
            </w:r>
          </w:p>
          <w:p w14:paraId="4FEBBDB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17.克隆：配置全容量许可的克隆功能，对源卷进行完全精准拷贝，可指定拷贝速度，后续扩容无需额外购买许可；</w:t>
            </w:r>
          </w:p>
          <w:p w14:paraId="36A141B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18.快照：配置全容量许可快照功能且提供可视化管理界面，快照无需预留空间，后续扩容无需额外购买许可；</w:t>
            </w:r>
          </w:p>
          <w:p w14:paraId="407D824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19.卷备份：配置全容量许可卷备份功能。无需预留备份空间，后续扩容无需额外购买许可；</w:t>
            </w:r>
          </w:p>
          <w:p w14:paraId="775F974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20.卷镜像：配置卷镜像功能，可实现存储内部，或者不同存储之间的数据同步功能，当其中一个卷离线时，可实现业务无中断，后续扩容无需额外购买许可；</w:t>
            </w:r>
          </w:p>
          <w:p w14:paraId="767F01A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21.在线数据压缩：</w:t>
            </w:r>
            <w:r>
              <w:rPr>
                <w:rFonts w:ascii="宋体" w:hAnsi="宋体" w:eastAsia="宋体" w:cs="宋体"/>
                <w:color w:val="auto"/>
                <w:szCs w:val="21"/>
              </w:rPr>
              <w:t>支持在线无损数据压缩，并具备硬件辅助压缩或专用硬件加速能力</w:t>
            </w:r>
            <w:r>
              <w:rPr>
                <w:rFonts w:hint="eastAsia" w:ascii="宋体" w:hAnsi="宋体" w:eastAsia="宋体" w:cs="宋体"/>
                <w:color w:val="auto"/>
                <w:szCs w:val="21"/>
              </w:rPr>
              <w:t>；</w:t>
            </w:r>
          </w:p>
          <w:p w14:paraId="2DE2BFE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22.自动分层：本次配置全容量许可的存储自动分层功能，后续扩容无需额外购买许可；</w:t>
            </w:r>
          </w:p>
          <w:p w14:paraId="2F6BC5C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23.远程容灾复制：支持存储远程复制功能（IP和FC协议均支持），配置IP灾备复制接口≥4个；支持全面的企业级容灾功能，至少必须包含同步、异步周期和具有变更卷的异步复制三种主流模式用以应对不同的容灾环境；</w:t>
            </w:r>
          </w:p>
          <w:p w14:paraId="7A3600A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24.智能双活支持A-A双活架构，同时支持两种仲裁方式（基于IP链路的仲裁服务器.基于FC链路的外部仲裁存储），双活站点间数据传输必须采用FC协议、非IP协议/IP链路；</w:t>
            </w:r>
          </w:p>
          <w:p w14:paraId="57CBC37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█25.异构虚拟化：</w:t>
            </w:r>
            <w:r>
              <w:rPr>
                <w:rFonts w:ascii="宋体" w:hAnsi="宋体" w:eastAsia="宋体" w:cs="宋体"/>
                <w:color w:val="auto"/>
                <w:szCs w:val="21"/>
              </w:rPr>
              <w:t>具备异构存储统一虚拟化能力，可对接华为、浪潮、曙光、宏杉、星辰天合、Dell EMC、HPE、Hitachi Vantara、NetApp、IBM等国内外主流企业级存储设备（包括但不限于上述品牌），屏蔽不同架构、协议存储资源底层差异，实现新旧存储资源统一池化整合与存量设备利旧；整合后异构资源池统一对外提供快照、克隆、数据重删、压缩、分层、双活等与全新高端集中存储同等完备的企业级高级功能。支持异构存储在线无感知数据迁移，迁移全程上层业务无需停机、性能无明显卡顿；配套专业数据迁移实施服务，兼容上述全部品牌集中式存储阵列。</w:t>
            </w:r>
            <w:r>
              <w:rPr>
                <w:rFonts w:hint="eastAsia" w:ascii="宋体" w:hAnsi="宋体" w:eastAsia="宋体" w:cs="宋体"/>
                <w:b/>
                <w:bCs/>
                <w:color w:val="auto"/>
                <w:szCs w:val="21"/>
              </w:rPr>
              <w:t xml:space="preserve"> (投标文件中须提供证明材料，如技术系统功能演示截图、产品彩页(产品功能截图)、厂家(制造商)官网截图，提供其中任意一种即可）</w:t>
            </w:r>
          </w:p>
          <w:p w14:paraId="42A98A7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26.国产操作系统：支</w:t>
            </w:r>
            <w:r>
              <w:rPr>
                <w:rFonts w:hint="eastAsia" w:ascii="宋体" w:hAnsi="宋体" w:eastAsia="宋体" w:cs="宋体"/>
                <w:strike/>
                <w:color w:val="auto"/>
                <w:szCs w:val="21"/>
              </w:rPr>
              <w:t>持</w:t>
            </w:r>
            <w:r>
              <w:rPr>
                <w:rFonts w:hint="eastAsia" w:ascii="宋体" w:hAnsi="宋体" w:eastAsia="宋体" w:cs="宋体"/>
                <w:color w:val="auto"/>
                <w:szCs w:val="21"/>
              </w:rPr>
              <w:t>主流国产操作系统。</w:t>
            </w:r>
          </w:p>
        </w:tc>
        <w:tc>
          <w:tcPr>
            <w:tcW w:w="354" w:type="pct"/>
            <w:shd w:val="clear" w:color="auto" w:fill="auto"/>
            <w:noWrap/>
            <w:vAlign w:val="center"/>
          </w:tcPr>
          <w:p w14:paraId="390DDC6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1台</w:t>
            </w:r>
          </w:p>
        </w:tc>
        <w:tc>
          <w:tcPr>
            <w:tcW w:w="388" w:type="pct"/>
            <w:shd w:val="clear" w:color="auto" w:fill="auto"/>
            <w:noWrap/>
            <w:vAlign w:val="center"/>
          </w:tcPr>
          <w:p w14:paraId="203A906F">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4BCB7A5F">
            <w:pPr>
              <w:widowControl/>
              <w:spacing w:line="360" w:lineRule="auto"/>
              <w:jc w:val="center"/>
              <w:rPr>
                <w:rFonts w:hint="eastAsia" w:ascii="宋体" w:hAnsi="宋体" w:eastAsia="宋体" w:cs="宋体"/>
                <w:color w:val="auto"/>
                <w:szCs w:val="21"/>
              </w:rPr>
            </w:pPr>
          </w:p>
        </w:tc>
      </w:tr>
      <w:tr w14:paraId="7FE88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63103DF1">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5</w:t>
            </w:r>
          </w:p>
        </w:tc>
        <w:tc>
          <w:tcPr>
            <w:tcW w:w="411" w:type="pct"/>
            <w:shd w:val="clear" w:color="auto" w:fill="auto"/>
            <w:noWrap/>
            <w:vAlign w:val="center"/>
          </w:tcPr>
          <w:p w14:paraId="31FF7F5F">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▲GPU计算节点</w:t>
            </w:r>
          </w:p>
          <w:p w14:paraId="35621C0A">
            <w:pPr>
              <w:widowControl/>
              <w:spacing w:line="360" w:lineRule="auto"/>
              <w:jc w:val="center"/>
              <w:rPr>
                <w:rFonts w:hint="eastAsia" w:ascii="宋体" w:hAnsi="宋体" w:eastAsia="宋体" w:cs="宋体"/>
                <w:strike/>
                <w:color w:val="auto"/>
                <w:szCs w:val="21"/>
              </w:rPr>
            </w:pPr>
          </w:p>
        </w:tc>
        <w:tc>
          <w:tcPr>
            <w:tcW w:w="2977" w:type="pct"/>
            <w:shd w:val="clear" w:color="auto" w:fill="auto"/>
            <w:noWrap/>
            <w:vAlign w:val="center"/>
          </w:tcPr>
          <w:p w14:paraId="6EA6F92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1.规格：非OEM,机架式服务器，高度≤5U；</w:t>
            </w:r>
          </w:p>
          <w:p w14:paraId="0BFFA88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█2.处理器：配置≥2颗X86架构处理器，单颗处理器：核数≥32、基频≥2.1GHz.线程数≥64、支持AdvancedMatrixExtensions(AMX)；</w:t>
            </w:r>
          </w:p>
          <w:p w14:paraId="57F5F14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█3.内存：本次配置≥1TB ECC DDR5 内存，内存主频≥4800MT/s，支持扩展至≥2TB；</w:t>
            </w:r>
          </w:p>
          <w:p w14:paraId="19E2037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4.硬盘：配置≥2块1.92TSSD硬盘；</w:t>
            </w:r>
          </w:p>
          <w:p w14:paraId="625F387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█5.RAID：配置≥1块4G缓存RAID卡，支持RAID0/1/5/6，支持2张内置标准RAID卡；</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368B70C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6.网络：≥2个25G网口（含对应光模块），≥2个千兆电口，2个10G网口（含对应光模块）；</w:t>
            </w:r>
          </w:p>
          <w:p w14:paraId="3F0B22A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★7.算力卡：实配数据中心级 GPU/AI 加速卡数量≥6 张，单卡显存容量≥80GB，支持 FP16/BF16/FP8 或等效低精度张量计算；整机支持多卡并行训练和主流 AI 深度学习框架运行。投标人须明确所投加速卡形态为 PCIe 插卡式、SXM/HGX 模组式或其他等效架构，并说明 GPU 间互联方式、主机通信带宽、驱动和软件生态兼容情况；</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5E7527C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8.电源：热插拔冗余电源；</w:t>
            </w:r>
          </w:p>
          <w:p w14:paraId="6CE29B66">
            <w:pPr>
              <w:widowControl/>
              <w:spacing w:line="360" w:lineRule="auto"/>
              <w:jc w:val="left"/>
              <w:rPr>
                <w:rFonts w:hint="eastAsia" w:ascii="宋体" w:hAnsi="宋体" w:eastAsia="宋体" w:cs="宋体"/>
                <w:color w:val="auto"/>
                <w:szCs w:val="21"/>
              </w:rPr>
            </w:pPr>
            <w:r>
              <w:rPr>
                <w:rFonts w:hint="eastAsia" w:ascii="宋体" w:hAnsi="宋体" w:eastAsia="宋体" w:cs="宋体"/>
                <w:bCs/>
                <w:color w:val="auto"/>
                <w:szCs w:val="21"/>
              </w:rPr>
              <w:t>█</w:t>
            </w:r>
            <w:r>
              <w:rPr>
                <w:rFonts w:hint="eastAsia" w:ascii="宋体" w:hAnsi="宋体" w:eastAsia="宋体" w:cs="宋体"/>
                <w:color w:val="auto"/>
                <w:szCs w:val="21"/>
              </w:rPr>
              <w:t>9.告警管理：实现管理实时告警、历史告警、事件、屏蔽的告警和事件；其中实时告警可以查看告警详情，包括可能的原因以及修复建议；支持对告警的确认、屏蔽、清除、诊断、备注、APP查看功能，支持告警的相关性分析及告警预测功能。</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tc>
        <w:tc>
          <w:tcPr>
            <w:tcW w:w="354" w:type="pct"/>
            <w:shd w:val="clear" w:color="auto" w:fill="auto"/>
            <w:noWrap/>
            <w:vAlign w:val="center"/>
          </w:tcPr>
          <w:p w14:paraId="0361C24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1台</w:t>
            </w:r>
          </w:p>
        </w:tc>
        <w:tc>
          <w:tcPr>
            <w:tcW w:w="388" w:type="pct"/>
            <w:shd w:val="clear" w:color="auto" w:fill="auto"/>
            <w:noWrap/>
            <w:vAlign w:val="center"/>
          </w:tcPr>
          <w:p w14:paraId="6F0EFD7C">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60A9BBEB">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允许进口</w:t>
            </w:r>
          </w:p>
        </w:tc>
      </w:tr>
      <w:tr w14:paraId="029F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51414565">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6</w:t>
            </w:r>
          </w:p>
        </w:tc>
        <w:tc>
          <w:tcPr>
            <w:tcW w:w="411" w:type="pct"/>
            <w:shd w:val="clear" w:color="auto" w:fill="auto"/>
            <w:noWrap/>
            <w:vAlign w:val="center"/>
          </w:tcPr>
          <w:p w14:paraId="333EC9ED">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千兆交换机</w:t>
            </w:r>
          </w:p>
        </w:tc>
        <w:tc>
          <w:tcPr>
            <w:tcW w:w="2977" w:type="pct"/>
            <w:shd w:val="clear" w:color="auto" w:fill="auto"/>
            <w:noWrap/>
            <w:vAlign w:val="center"/>
          </w:tcPr>
          <w:p w14:paraId="41FD074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1.接口要求：≥48个10/100/1000RJ45电口，≥4个10GSFP+端口；配置4个万兆多模光模块</w:t>
            </w:r>
            <w:r>
              <w:rPr>
                <w:rFonts w:ascii="宋体" w:hAnsi="宋体" w:eastAsia="宋体" w:cs="宋体"/>
                <w:color w:val="auto"/>
                <w:szCs w:val="21"/>
              </w:rPr>
              <w:t>，提供不少于 3 年质保服务</w:t>
            </w:r>
            <w:r>
              <w:rPr>
                <w:rFonts w:hint="eastAsia" w:ascii="宋体" w:hAnsi="宋体" w:eastAsia="宋体" w:cs="宋体"/>
                <w:color w:val="auto"/>
                <w:szCs w:val="21"/>
              </w:rPr>
              <w:t>；</w:t>
            </w:r>
          </w:p>
          <w:p w14:paraId="674506A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2.支持VPC或M-LAG技术，实现多台设备间的链路聚合。</w:t>
            </w:r>
          </w:p>
        </w:tc>
        <w:tc>
          <w:tcPr>
            <w:tcW w:w="354" w:type="pct"/>
            <w:shd w:val="clear" w:color="auto" w:fill="auto"/>
            <w:noWrap/>
            <w:vAlign w:val="center"/>
          </w:tcPr>
          <w:p w14:paraId="1435AF0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3台</w:t>
            </w:r>
          </w:p>
        </w:tc>
        <w:tc>
          <w:tcPr>
            <w:tcW w:w="388" w:type="pct"/>
            <w:shd w:val="clear" w:color="auto" w:fill="auto"/>
            <w:noWrap/>
            <w:vAlign w:val="center"/>
          </w:tcPr>
          <w:p w14:paraId="30205504">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4A707A99">
            <w:pPr>
              <w:widowControl/>
              <w:spacing w:line="360" w:lineRule="auto"/>
              <w:jc w:val="center"/>
              <w:rPr>
                <w:rFonts w:hint="eastAsia" w:ascii="宋体" w:hAnsi="宋体" w:eastAsia="宋体" w:cs="宋体"/>
                <w:color w:val="auto"/>
                <w:szCs w:val="21"/>
              </w:rPr>
            </w:pPr>
          </w:p>
        </w:tc>
      </w:tr>
      <w:tr w14:paraId="79595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22986352">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7</w:t>
            </w:r>
          </w:p>
        </w:tc>
        <w:tc>
          <w:tcPr>
            <w:tcW w:w="411" w:type="pct"/>
            <w:shd w:val="clear" w:color="auto" w:fill="auto"/>
            <w:noWrap/>
            <w:vAlign w:val="center"/>
          </w:tcPr>
          <w:p w14:paraId="5183878D">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万兆交换机</w:t>
            </w:r>
          </w:p>
        </w:tc>
        <w:tc>
          <w:tcPr>
            <w:tcW w:w="2977" w:type="pct"/>
            <w:shd w:val="clear" w:color="auto" w:fill="auto"/>
            <w:noWrap/>
            <w:vAlign w:val="center"/>
          </w:tcPr>
          <w:p w14:paraId="7E3FEB7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1.交换能力：交换容量≥4.8Tbps,三层包转发率≥2000Mpps；</w:t>
            </w:r>
          </w:p>
          <w:p w14:paraId="04AE218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2.接口配置要求：固定配置≥48 个 1/10Gbps SFP+ 端口，≥6 个 40G/100G QSFP28 端口；QSFP28 端口应支持拆分为 10G/25G 逻辑端口使用，拆分后可提供不少于 72 个 10G/25G 逻辑端口；配置≥2 个扩展插槽；</w:t>
            </w:r>
          </w:p>
          <w:p w14:paraId="3489A81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3.三层功能：支持IPv4路由，支持IPv6路由，支持VRF功能；</w:t>
            </w:r>
          </w:p>
          <w:p w14:paraId="347A3E4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4.可靠性：支持VPC或M-LAG技术，实现多台设备间的链路聚合；</w:t>
            </w:r>
          </w:p>
          <w:p w14:paraId="3BA0DA8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5.支持IPv4静态路由，RIPv1&amp;v2，OSPF，BGP，ECMP，PBR，支持uRPF检测和VRF；支持IPv6静态路由，OSPFV3，RIPng，ICMPv6，NDP；</w:t>
            </w:r>
          </w:p>
          <w:p w14:paraId="6B5BE62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6.支持VARP技术，实现网关双活，满足三层负载均衡转发要求；</w:t>
            </w:r>
          </w:p>
          <w:p w14:paraId="74D6CBE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7.支持IPSLA，与静态路由结合，可用于测量网络性能；</w:t>
            </w:r>
          </w:p>
          <w:p w14:paraId="65B8244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8.电源：实配可热插拔的冗余交流电源，实现1：1冗余；</w:t>
            </w:r>
          </w:p>
          <w:p w14:paraId="26D2BBA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9.风扇：实配可热插拔的冗余的风扇模块，风扇数量≥4个，支持严格前后送风；</w:t>
            </w:r>
          </w:p>
          <w:p w14:paraId="6C6919D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10.配置：满配电源风扇；本项目合计配置≥48 个 10G SFP+ 多模光模块，每台不少于 24 个；配置用于交换机互联或上联的 40G/100G AOC/DAC 线缆不少于 2 条，线缆长度根据现场机柜布置确定。</w:t>
            </w:r>
          </w:p>
        </w:tc>
        <w:tc>
          <w:tcPr>
            <w:tcW w:w="354" w:type="pct"/>
            <w:shd w:val="clear" w:color="auto" w:fill="auto"/>
            <w:noWrap/>
            <w:vAlign w:val="center"/>
          </w:tcPr>
          <w:p w14:paraId="312F5D9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2台</w:t>
            </w:r>
          </w:p>
        </w:tc>
        <w:tc>
          <w:tcPr>
            <w:tcW w:w="388" w:type="pct"/>
            <w:shd w:val="clear" w:color="auto" w:fill="auto"/>
            <w:noWrap/>
            <w:vAlign w:val="center"/>
          </w:tcPr>
          <w:p w14:paraId="6AD7F536">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43BAAE37">
            <w:pPr>
              <w:widowControl/>
              <w:spacing w:line="360" w:lineRule="auto"/>
              <w:jc w:val="center"/>
              <w:rPr>
                <w:rFonts w:hint="eastAsia" w:ascii="宋体" w:hAnsi="宋体" w:eastAsia="宋体" w:cs="宋体"/>
                <w:color w:val="auto"/>
                <w:szCs w:val="21"/>
              </w:rPr>
            </w:pPr>
          </w:p>
        </w:tc>
      </w:tr>
      <w:tr w14:paraId="18EC2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22D2BCE3">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8</w:t>
            </w:r>
          </w:p>
        </w:tc>
        <w:tc>
          <w:tcPr>
            <w:tcW w:w="411" w:type="pct"/>
            <w:shd w:val="clear" w:color="auto" w:fill="auto"/>
            <w:noWrap/>
            <w:vAlign w:val="center"/>
          </w:tcPr>
          <w:p w14:paraId="3C7F3DC1">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全域智能管控平台</w:t>
            </w:r>
          </w:p>
        </w:tc>
        <w:tc>
          <w:tcPr>
            <w:tcW w:w="2977" w:type="pct"/>
            <w:shd w:val="clear" w:color="auto" w:fill="auto"/>
            <w:noWrap/>
            <w:vAlign w:val="center"/>
          </w:tcPr>
          <w:p w14:paraId="7A9B801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平台应为面向服务器、存储、网络设备、安全设备、边缘设备及机房基础设施的统一运维管控平台，支持部件和整机的全生命周期管理，包括采购、库存、配置、部署、运行、维护、维保、变更和报废等阶段；能够对部件和整机进行统一管理和跟踪，支持记录硬件配置、序列号、资产编号、采购信息、维保信息、所在位置、责任人、使用状态等关键属性。平台不得仅以普通资产台账、单一监控软件或手工登记系统作为实质性响应；</w:t>
            </w:r>
          </w:p>
          <w:p w14:paraId="1BE7BD4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2.支持多种类型设备统一纳管，至少包括机架式服务器、多节点服务器、边缘设备、智能机柜或机房基础设施、集中式存储或分布式存储、交换机、路由器、防火墙、负载均衡等设备；对于 WAF、DDoS 防护设备、SDN 设备等其他类型设备，应支持通过标准协议、接口对接、批量导入或手工录入等方式纳入统一管理。平台授权和架构应覆盖本次采购范围内的全部设备，并支持后续扩展纳管；</w:t>
            </w:r>
          </w:p>
          <w:p w14:paraId="0502C1C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支持到货验收流程管理，能够对到货设备进行批量验收；支持通过自动采集、接口获取、批量导入或人工录入等方式获取设备实际配置信息，并与采购合同、设备清单或配置清单中的型号、序列号、CPU、内存、硬盘、网卡、电源、GPU、RAID 等关键配置进行比对，生成验收记录或验收报告。平台应支持验收结果留痕、差异项标记和验收报告导出，不得仅以手工 Excel 台账替代验收流程；</w:t>
            </w:r>
          </w:p>
          <w:p w14:paraId="7A1199C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支持设备维保信息管理，能够记录设备原厂维保、第三方维保、自维保等多种维保方式，支持服务级别、服务开始时间、服务到期时间、服务商、联系人、维保状态和到期提醒等信息维护；对于厂商开放维保接口的设备，宜支持自动查询或接口同步；对于非原厂维保或以上架时间作为维保起点的设备，应支持批量导入或人工录入，并支持按设备类型、维保状态、到期时间、服务商等维度进行维保信息统计和到期预警；</w:t>
            </w:r>
          </w:p>
          <w:p w14:paraId="6F960FA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支持库房存货管理、出入库管理和库存盘点等功能；支持库存设备、部件、耗材和备件的分类、标识、查询、定位和状态管理；支持按设备类型、资产编号、序列号、库位、状态等条件进行检索，并能够生成库存报表和统计分析结果。平台应支持库存变更记录留痕，能够追溯设备或备件的入库、出库、领用、退库和盘点记录；</w:t>
            </w:r>
          </w:p>
          <w:p w14:paraId="5E41926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6.支持通过 IPMI、SNMP、Redfish 等主流管理协议对服务器及相关设备进行发现、扫描和信息采集；支持按 IP 地址、IP 地址段、设备类型、协议类型、凭据模板等方式进行设备发现，并支持手动发现、定时发现和发现结果确认入库。平台应至少支持 SNMP v2c/v3、IPMI 2.0、Redfish 中的两类协议，并支持发现失败记录、扫描日志和异常原因查看；</w:t>
            </w:r>
          </w:p>
          <w:p w14:paraId="0D44091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7.支持对服务器带外管理系统进行账号和密码托管，能够对 BMC、带外管理口或其他设备管理账号进行统一维护；支持凭据加密存储、权限控制、密码策略设置、定期轮换或轮换提醒、访问记录和操作审计，保障带外管理访问安全。平台不得以明文保存密码或仅通过浏览器记忆密码方式作为密码托管能力响应；</w:t>
            </w:r>
          </w:p>
          <w:p w14:paraId="6D93221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8.支持用户自定义告警订阅策略，能够基于设备、资源对象、设备分组、告警级别、告警类型、协议来源等条件进行订阅配置；支持 Redfish、SNMP Trap、Syslog 或等效事件接入方式，支持目标地址配置、订阅启停、失败重试、事件消息记录查看和解析规则配置或模板扩展。平台应能够保留事件接收记录和解析结果，便于告警追溯和问题定位；</w:t>
            </w:r>
          </w:p>
          <w:p w14:paraId="7CBBC78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9.支持自定义告警阈值设定功能，能够针对不同设备类型、不同资源对象和不同性能指标设置阈值；支持 CPU、内存、磁盘、网络、温度、风扇、电源、容量、链路状态等常见监控指标的多级阈值告警，并支持不同级别告警策略配置。平台应支持阈值生效范围设置、阈值启停、告警恢复条件和阈值变更记录；</w:t>
            </w:r>
          </w:p>
          <w:p w14:paraId="6645B59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支持告警重定义和告警治理功能，能够对告警名称、告警级别、告警描述、处理建议等内容进行配置或调整；支持告警归并、重复告警合并、告警抑制和告警降噪，能够对同一设备、同一资源、同一故障原因或短时间内重复触发的告警进行合并展示，同时保留原始告警记录以便审计和追溯。平台不得仅以“告警列表过滤”作为告警归并和降噪能力响应；</w:t>
            </w:r>
          </w:p>
          <w:p w14:paraId="2913AD7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支持多种系统内告警提醒方式，至少包括系统弹窗、声音提醒、邮件提醒等方式；告警发生或恢复时，系统能够根据告警级别、设备分组、责任人或订阅策略自动向相关人员发送提醒。平台应支持通知策略配置、通知对象配置和通知记录查询，便于确认告警是否已发送和已处理；</w:t>
            </w:r>
          </w:p>
          <w:p w14:paraId="5AF7125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12.支持告警信息对外推送，能够通过 Syslog 或等效标准接口将监测到的告警信息推送至第三方监控平台、日志平台、态势感知平台或统一运维平台；支持配置不少于 2 个目标地址，支持 UTF-8 编码，并宜兼容 GBK 等常见编码格式。平台应支持推送启停、推送失败记录、重试机制或推送日志查询；</w:t>
            </w:r>
          </w:p>
          <w:p w14:paraId="033EC05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13.支持微信、企业微信、短信、邮件、工单等多种外部通知或联动方式中的至少三类；告警发生、升级、恢复或关闭时，系统能够按照通知策略自动发送信息或触发工单流程，提醒相关人员及时处理。若相关通知方式依赖第三方短信、企业微信或邮件服务，投标人应说明对接方式、配置要求和责任边界；</w:t>
            </w:r>
          </w:p>
          <w:p w14:paraId="6FA5F1D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14.支持告警相关性分析，能够结合设备拓扑、资源关系、告警时间、告警对象、告警类型和历史告警记录，对相关告警进行关联展示；支持通过列表、图表、拓扑图或关系图等方式展示不同告警之间的依赖关系、影响范围和可能传播路径，并能够辅助运维人员进行故障定位、溯源分析或风险判断。平台不得仅以简单告警排序、告警筛选或人工备注作为相关性分析能力响应；</w:t>
            </w:r>
          </w:p>
          <w:p w14:paraId="45D4E80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15.支持自定义报修设置和报修策略，能够根据设备类型、故障类型、告警级别、设备分组、责任人等条件配置报修规则；支持告警触发自动报修或人工创建报修工单，支持故障报修工单的创建、派发、处理、关闭、查询、检索和统计。平台应支持工单状态流转、处理过程记录、处理结果记录和工单统计报表；</w:t>
            </w:r>
          </w:p>
          <w:p w14:paraId="733434E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16.支持故障趋势分析或健康状态评估功能，能够设定分析时间范围和评估周期，例如按日、按周或按自定义周期进行分析；能够基于设备监控数据、告警记录、日志信息、硬盘健康状态、内存状态等数据，对硬盘、内存、电源、风扇、温度、容量等常见风险进行趋势分析、风险提示或预测性维护建议。平台应说明趋势分析或健康评估所依赖的数据来源和适用范围，不得仅以人工填写巡检结论作为健康评估能力响应；</w:t>
            </w:r>
          </w:p>
          <w:p w14:paraId="149CC72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17.支持设备日志分析，日志类型应包括 SEL、BMC 黑盒或 Black Box 日志、RAID 日志、Syslog 日志、系统事件日志等常见日志类型中的多类；支持按设备、时间、级别、关键字、日志类型等条件进行检索和筛选，并能够基于日志、告警和设备状态生成诊断记录或设备诊断报告。平台应支持日志留存策略、日志导出和诊断结果记录；</w:t>
            </w:r>
          </w:p>
          <w:p w14:paraId="66BFC95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18.支持基于 Web 的远程 Shell 或命令行访问能力，允许运维人员通过浏览器或统一运维入口对授权设备进行远程命令行操作；支持通过 SSH、系统代理、带外接口或等效安全方式接入不同操作系统和设备环境，并提供身份认证、权限控制、访问控制和操作审计功能。平台应支持远程访问记录查询，不得以直接跳转第三方工具且无审计记录的方式作为完整远程运维能力响应；</w:t>
            </w:r>
          </w:p>
          <w:p w14:paraId="780CF45A">
            <w:pPr>
              <w:widowControl/>
              <w:spacing w:line="360" w:lineRule="auto"/>
              <w:jc w:val="left"/>
              <w:rPr>
                <w:rFonts w:hint="eastAsia" w:ascii="宋体" w:hAnsi="宋体" w:eastAsia="宋体" w:cs="宋体"/>
                <w:color w:val="auto"/>
                <w:szCs w:val="21"/>
              </w:rPr>
            </w:pPr>
            <w:r>
              <w:rPr>
                <w:rFonts w:hint="eastAsia" w:ascii="宋体" w:hAnsi="宋体" w:eastAsia="宋体" w:cs="宋体"/>
                <w:bCs/>
                <w:color w:val="auto"/>
                <w:szCs w:val="21"/>
              </w:rPr>
              <w:t>█</w:t>
            </w:r>
            <w:r>
              <w:rPr>
                <w:rFonts w:hint="eastAsia" w:ascii="宋体" w:hAnsi="宋体" w:eastAsia="宋体" w:cs="宋体"/>
                <w:color w:val="auto"/>
                <w:szCs w:val="21"/>
              </w:rPr>
              <w:t>19.支持远程桌面、远程控制或远程 KVM 访问能力，能够对具备远程访问条件的服务器或计算设备进行实时维护；接入方式可采用 VNC、HTML5、原厂 BMC KVM、远程桌面协议或等效方式，不限定特定插件或实现形式；支持远程会话审计，审计内容应包括访问人员、访问时间、访问对象、连接方式和操作结果等信息；如支持录屏、截图或会话记录，应支持按策略配置保存周期;</w:t>
            </w:r>
            <w:r>
              <w:rPr>
                <w:rFonts w:ascii="宋体" w:hAnsi="宋体" w:eastAsia="宋体" w:cs="宋体"/>
                <w:color w:val="auto"/>
                <w:szCs w:val="21"/>
              </w:rPr>
              <w:t xml:space="preserve"> </w:t>
            </w:r>
          </w:p>
          <w:p w14:paraId="74D95783">
            <w:pPr>
              <w:widowControl/>
              <w:spacing w:line="360" w:lineRule="auto"/>
              <w:jc w:val="left"/>
              <w:rPr>
                <w:rFonts w:hint="eastAsia" w:ascii="宋体" w:hAnsi="宋体" w:eastAsia="宋体" w:cs="宋体"/>
                <w:b/>
                <w:bCs/>
                <w:color w:val="auto"/>
                <w:szCs w:val="21"/>
              </w:rPr>
            </w:pPr>
            <w:r>
              <w:rPr>
                <w:rFonts w:hint="eastAsia" w:ascii="宋体" w:hAnsi="宋体" w:eastAsia="宋体" w:cs="宋体"/>
                <w:bCs/>
                <w:color w:val="auto"/>
                <w:szCs w:val="21"/>
              </w:rPr>
              <w:t>█</w:t>
            </w:r>
            <w:r>
              <w:rPr>
                <w:rFonts w:hint="eastAsia" w:ascii="宋体" w:hAnsi="宋体" w:eastAsia="宋体" w:cs="宋体"/>
                <w:color w:val="auto"/>
                <w:szCs w:val="21"/>
              </w:rPr>
              <w:t>20.支持开局交付和自动化运维能力，能够通过 PXE、镜像部署、带外管理、脚本执行、模板配置或等效方式完成服务器和计算节点的批量初始化；至少支持系统安装、RAID 查询或配置、基础压力测试或健康检查、固件信息采集或升级、固件配置、硬盘擦除、板卡信息采集或升级、主机管理、文件分发、脚本执行、驱动管理、分组管理等功能中的多类能力。涉及固件升级、硬盘擦除、板卡升级等高风险操作时，应具备权限控制、操作确认、执行记录和审计追踪。相关功能应支持通过产品文档、系统演示或验收测试进行证明，不得仅以人工脚本集合且无统一平台调度、权限控制和执行记录的方式作为自动化运维能力响应；</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6C0C1A9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21.提供满足本次项目采购设备统一纳管、资产管理、监控告警、日志分析、远程运维、自动化交付和基础运维需求的软件授权；授权范围应覆盖本次采购设备，并明确授权对象、授权数量、授权期限、功能模块、扩容方式、升级服务、部署服务、培训服务和售后服务内容。投标人应提供产品功能说明、部署架构、授权清单、实施方案、培训方案和验收方案；核心功能应支持现场演示、系统试用或验收测试，不得以后续定制开发作为满足核心功能参数的主要方式。</w:t>
            </w:r>
          </w:p>
        </w:tc>
        <w:tc>
          <w:tcPr>
            <w:tcW w:w="354" w:type="pct"/>
            <w:shd w:val="clear" w:color="auto" w:fill="auto"/>
            <w:noWrap/>
            <w:vAlign w:val="center"/>
          </w:tcPr>
          <w:p w14:paraId="656F5CD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1套</w:t>
            </w:r>
          </w:p>
        </w:tc>
        <w:tc>
          <w:tcPr>
            <w:tcW w:w="388" w:type="pct"/>
            <w:shd w:val="clear" w:color="auto" w:fill="auto"/>
            <w:noWrap/>
            <w:vAlign w:val="center"/>
          </w:tcPr>
          <w:p w14:paraId="357FB860">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2EF4C420">
            <w:pPr>
              <w:widowControl/>
              <w:spacing w:line="360" w:lineRule="auto"/>
              <w:jc w:val="center"/>
              <w:rPr>
                <w:rFonts w:hint="eastAsia" w:ascii="宋体" w:hAnsi="宋体" w:eastAsia="宋体" w:cs="宋体"/>
                <w:color w:val="auto"/>
                <w:szCs w:val="21"/>
              </w:rPr>
            </w:pPr>
          </w:p>
        </w:tc>
      </w:tr>
      <w:tr w14:paraId="637E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1D0EF9AA">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9</w:t>
            </w:r>
          </w:p>
        </w:tc>
        <w:tc>
          <w:tcPr>
            <w:tcW w:w="411" w:type="pct"/>
            <w:shd w:val="clear" w:color="auto" w:fill="auto"/>
            <w:noWrap/>
            <w:vAlign w:val="center"/>
          </w:tcPr>
          <w:p w14:paraId="0A89FD20">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智能算力调度平台</w:t>
            </w:r>
          </w:p>
        </w:tc>
        <w:tc>
          <w:tcPr>
            <w:tcW w:w="2977" w:type="pct"/>
            <w:shd w:val="clear" w:color="auto" w:fill="auto"/>
            <w:noWrap/>
            <w:vAlign w:val="center"/>
          </w:tcPr>
          <w:p w14:paraId="785F37F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1.平台应为面向 AI 开发、训练、推理和 GPU/异构算力资源管理的一体化算力调度平台，不接受仅具备单一 Jupyter 服务、单一容器管理、单一 GPU 监控、单一文件管理或单一任务队列功能的软件产品作为实质性响应；</w:t>
            </w:r>
          </w:p>
          <w:p w14:paraId="0C18439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2.平台应支持私有化部署，能够部署在本项目采购的 GPU 计算节点及配套计算、存储、网络环境中；应支持统一 Web 管理入口，提供用户管理、资源管理、数据管理、开发环境、训练任务、推理服务、监控告警、统计计量和审计管理等核心模块；</w:t>
            </w:r>
          </w:p>
          <w:p w14:paraId="167E180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3.平台授权应覆盖本次采购 GPU 计算节点及其全部 GPU/加速卡资源，并应明确授权对象、授权数量、授权期限、功能模块、扩容方式和升级服务。投标人不得以基础授权响应核心功能，验收时再另行要求采购人购买训练、推理、调度、监控、计量、数据管理等必要模块；</w:t>
            </w:r>
          </w:p>
          <w:p w14:paraId="2EE947E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█4.平台应具备横向扩展能力，</w:t>
            </w:r>
            <w:r>
              <w:rPr>
                <w:rFonts w:ascii="宋体" w:hAnsi="宋体" w:eastAsia="宋体" w:cs="宋体"/>
                <w:color w:val="auto"/>
                <w:szCs w:val="21"/>
              </w:rPr>
              <w:t>除本次采购 GPU 计算节点外，整体架构原生支持统一纳管不少于 8 台计算节点、总计不少于 64 张 GPU / 异构加速卡；平台软件授权需适配分期扩容模式，本次授权按本次采购规模配置。投标文件须专项清晰说明</w:t>
            </w:r>
            <w:r>
              <w:rPr>
                <w:rFonts w:hint="eastAsia" w:ascii="宋体" w:hAnsi="宋体" w:eastAsia="宋体" w:cs="宋体"/>
                <w:color w:val="auto"/>
                <w:szCs w:val="21"/>
              </w:rPr>
              <w:t>：（1）</w:t>
            </w:r>
            <w:r>
              <w:rPr>
                <w:rFonts w:ascii="宋体" w:hAnsi="宋体" w:eastAsia="宋体" w:cs="宋体"/>
                <w:color w:val="auto"/>
                <w:szCs w:val="21"/>
              </w:rPr>
              <w:t>平台后续算力节点、加速卡扩容实施方式、扩容周期</w:t>
            </w:r>
            <w:r>
              <w:rPr>
                <w:rFonts w:hint="eastAsia" w:ascii="宋体" w:hAnsi="宋体" w:eastAsia="宋体" w:cs="宋体"/>
                <w:color w:val="auto"/>
                <w:szCs w:val="21"/>
              </w:rPr>
              <w:t>；（2）</w:t>
            </w:r>
            <w:r>
              <w:rPr>
                <w:rFonts w:ascii="宋体" w:hAnsi="宋体" w:eastAsia="宋体" w:cs="宋体"/>
                <w:color w:val="auto"/>
                <w:szCs w:val="21"/>
              </w:rPr>
              <w:t>软件扩容授权计费模式、扩容单价、是否存在强制打包年费 / 绑定维保等附加约束</w:t>
            </w:r>
            <w:r>
              <w:rPr>
                <w:rFonts w:hint="eastAsia" w:ascii="宋体" w:hAnsi="宋体" w:eastAsia="宋体" w:cs="宋体"/>
                <w:color w:val="auto"/>
                <w:szCs w:val="21"/>
              </w:rPr>
              <w:t>；</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00F0FB2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5.平台应支持多用户、多用户组、多项目并行使用，支持用户、用户组、项目、资源组之间的权限隔离和资源配额管理；应支持不少于 20 个用户账号、5 个用户组、10 个并发开发环境或训练/推理任务的管理能力；</w:t>
            </w:r>
          </w:p>
          <w:p w14:paraId="5223A45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█6.平台应支持 GPU 资源统一调度，至少支持整卡独占、多卡任务、单机多卡任务和资源组调度；在硬件和驱动支持的情况下，应支持 MIG、vGPU、显存隔离、GPU 共享或等效 GPU 细粒度分配能力。平台不得仅以“人工指定 GPU 设备号”作为 GPU 调度能力响应；</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60C0DF8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7.平台应支持 AI 训练任务管理，至少支持 PyTorch、TensorFlow、MPI、DeepSpeed、Megatron-LM、Horovod 或等效训练框架中的三类；应支持训练任务提交、排队、启动、停止、日志查看、资源占用查看、失败告警和历史记录查询；</w:t>
            </w:r>
          </w:p>
          <w:p w14:paraId="22AE6CB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8.平台应支持多机多卡分布式训练任务管理，能够配置任务角色、节点数量、GPU 数量、启动命令、环境变量、数据路径和输出路径；应支持查看分布式训练任务的整体状态和各节点子任务状态；</w:t>
            </w:r>
          </w:p>
          <w:p w14:paraId="0E9E0BA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9.平台应支持训练任务容错或恢复能力，至少应支持失败重试、日志保留、异常节点告警、断点续训或基于检查点恢复中的三类能力。投标人应说明该能力适用的任务类型、训练框架和使用前提；</w:t>
            </w:r>
          </w:p>
          <w:p w14:paraId="68F50A4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10.平台应支持推理服务部署与管理，能够将模型或应用容器部署为在线推理服务，支持 HTTP、gRPC、TCP 或等效访问协议中的至少两类；应支持服务版本管理、实例数配置、日志查看、健康检查、访问地址查看和服务启停；</w:t>
            </w:r>
          </w:p>
          <w:p w14:paraId="5FC5C100">
            <w:pPr>
              <w:widowControl/>
              <w:spacing w:line="360" w:lineRule="auto"/>
              <w:jc w:val="left"/>
              <w:rPr>
                <w:rFonts w:hint="eastAsia" w:ascii="宋体" w:hAnsi="宋体" w:eastAsia="宋体" w:cs="宋体"/>
                <w:b/>
                <w:bCs/>
                <w:color w:val="auto"/>
                <w:szCs w:val="21"/>
              </w:rPr>
            </w:pPr>
            <w:r>
              <w:rPr>
                <w:rFonts w:hint="eastAsia" w:ascii="宋体" w:hAnsi="宋体" w:eastAsia="宋体" w:cs="宋体"/>
                <w:bCs/>
                <w:color w:val="auto"/>
                <w:szCs w:val="21"/>
              </w:rPr>
              <w:t>█</w:t>
            </w:r>
            <w:r>
              <w:rPr>
                <w:rFonts w:hint="eastAsia" w:ascii="宋体" w:hAnsi="宋体" w:eastAsia="宋体" w:cs="宋体"/>
                <w:color w:val="auto"/>
                <w:szCs w:val="21"/>
              </w:rPr>
              <w:t>11.</w:t>
            </w:r>
            <w:r>
              <w:rPr>
                <w:rFonts w:ascii="宋体" w:hAnsi="宋体" w:eastAsia="宋体" w:cs="宋体"/>
                <w:b/>
                <w:bCs/>
                <w:color w:val="auto"/>
                <w:szCs w:val="21"/>
              </w:rPr>
              <w:t xml:space="preserve"> </w:t>
            </w:r>
            <w:r>
              <w:rPr>
                <w:rFonts w:ascii="宋体" w:hAnsi="宋体" w:eastAsia="宋体" w:cs="宋体"/>
                <w:color w:val="auto"/>
                <w:szCs w:val="21"/>
              </w:rPr>
              <w:t>平台支持推理服务弹性扩缩容，可基于并发请求、CPU 利用率、GPU 利用率、显存利用率及自定义指标配置扩缩容策略，支持自定义最小实例数、最大实例数、触发阈值、冷却时长并完整留存扩缩容操作日志；若产品具备实例缩容至零能力，投标文件须完整清晰说明缩容至零适配业务场景与适用限制、模型冷启动加载机制及最大冷启动耗时、流量缓冲、请求排队、自动恢复、失败重试等业务保障恢复机制</w:t>
            </w:r>
            <w:r>
              <w:rPr>
                <w:rFonts w:hint="eastAsia" w:ascii="宋体" w:hAnsi="宋体" w:eastAsia="宋体" w:cs="宋体"/>
                <w:color w:val="auto"/>
                <w:szCs w:val="21"/>
              </w:rPr>
              <w:t>；</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4C4C89A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12.平台应支持资源统计和计量能力，至少能够按用户、用户组、项目、任务、资源组、时间范围统计 CPU 核时、GPU 卡时、内存使用量、显存使用量、任务数量和任务运行时长；应支持统计结果查询、导出和归档；</w:t>
            </w:r>
          </w:p>
          <w:p w14:paraId="0954756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13.平台应支持集群、节点和 GPU/加速卡的多层级监控，能够展示 CPU、内存、GPU 利用率、显存使用率、温度、功耗、磁盘、网络、存储 I/O 等关键指标；对于其他加速卡，应支持对应厂商提供的健康监测接口或等效能力；</w:t>
            </w:r>
          </w:p>
          <w:p w14:paraId="1AB63E3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14.平台应支持告警管理，至少支持 CPU、内存、磁盘、网络、GPU/加速卡、任务失败、服务异常等对象的告警；支持告警阈值设置、告警级别、告警恢复、告警历史查询和通知策略配置；</w:t>
            </w:r>
          </w:p>
          <w:p w14:paraId="4A28AA7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15.平台应支持数据管理能力，至少包括用户目录、组共享目录、项目目录或全局共享目录中的三类；支持 Web 上传、SFTP/SCP/rsync 或等效方式上传下载文件；支持大文件断点续传、权限控制和数据访问审计；</w:t>
            </w:r>
          </w:p>
          <w:p w14:paraId="594F50F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16.平台应支持数据集管理和数据缓存能力，能够对数据集进行创建、版本管理、权限管理、缓存加速、缓存进度查看、缓存清理和缓存生命周期管理；不得仅以普通文件夹上传功能响应数据集管理能力；</w:t>
            </w:r>
          </w:p>
          <w:p w14:paraId="393A102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17.平台应支持交互式开发环境，至少支持 Jupyter Notebook/JupyterLab、Web Shell 或在线终端中的两类，并支持通过 SSH、端口转发、远程开发插件或等效方式对接第三方 IDE；</w:t>
            </w:r>
          </w:p>
          <w:p w14:paraId="7C8BB86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18.平台应支持工作流或任务编排能力，能够将数据处理、训练、评估、转换、推理验证、模型发布等环节进行流程化管理，支持手动启动、定时启动、参数化运行、日志查看和结果归档；</w:t>
            </w:r>
          </w:p>
          <w:p w14:paraId="1238810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19.平台应支持操作审计和安全管理，至少记录用户登录、资源申请、任务提交、任务停止、开发环境访问、推理服务变更、文件操作、权限变更等关键行为；审计记录应支持查询和导出；</w:t>
            </w:r>
          </w:p>
          <w:p w14:paraId="657A1DC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20.投标人应提供产品功能说明、部署架构、授权清单、兼容性说明、实施方案、培训方案和售后服务方案。核心功能不得仅以宣传材料或静态截图作为唯一证明，应支持现场演示、系统试用、接口测试或验收测试；</w:t>
            </w:r>
          </w:p>
          <w:p w14:paraId="658E049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21.验收时应至少完成以下测试：创建用户和资源配额；上传不少于 10GB 的测试数据并验证断点续传；创建带 GPU 的 Jupyter 或 Shell 开发环境；提交单机多卡训练任务；提交或模拟多机分布式训练任务；部署一个 HTTP 或 gRPC 推理服务；配置一次弹性扩缩容策略；查看 GPU 监控和健康状态；导出用户或项目维度的资源使用报表；</w:t>
            </w:r>
          </w:p>
          <w:p w14:paraId="6D290BC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22.若投标产品无法完成 GPU 资源调度、AI 训练任务管理、推理服务部署、资源统计计量、GPU 健康监控、用户权限隔离中的任意两项核心能力，应认定为不满足本平台核心需求；</w:t>
            </w:r>
          </w:p>
          <w:p w14:paraId="71629D4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23.投标人应承诺所投平台为成熟可交付产品，能够在项目现场完成安装部署、功能调试、用户培训和验收测试；不得以后续定制开发作为满足核心功能参数的主要方式。</w:t>
            </w:r>
          </w:p>
        </w:tc>
        <w:tc>
          <w:tcPr>
            <w:tcW w:w="354" w:type="pct"/>
            <w:shd w:val="clear" w:color="auto" w:fill="auto"/>
            <w:noWrap/>
            <w:vAlign w:val="center"/>
          </w:tcPr>
          <w:p w14:paraId="203986D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1套</w:t>
            </w:r>
          </w:p>
        </w:tc>
        <w:tc>
          <w:tcPr>
            <w:tcW w:w="388" w:type="pct"/>
            <w:shd w:val="clear" w:color="auto" w:fill="auto"/>
            <w:noWrap/>
            <w:vAlign w:val="center"/>
          </w:tcPr>
          <w:p w14:paraId="29B3DDEF">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457C3A2A">
            <w:pPr>
              <w:widowControl/>
              <w:spacing w:line="360" w:lineRule="auto"/>
              <w:jc w:val="center"/>
              <w:rPr>
                <w:rFonts w:hint="eastAsia" w:ascii="宋体" w:hAnsi="宋体" w:eastAsia="宋体" w:cs="宋体"/>
                <w:color w:val="auto"/>
                <w:szCs w:val="21"/>
              </w:rPr>
            </w:pPr>
          </w:p>
        </w:tc>
      </w:tr>
      <w:tr w14:paraId="5E9C9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34314350">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10</w:t>
            </w:r>
          </w:p>
        </w:tc>
        <w:tc>
          <w:tcPr>
            <w:tcW w:w="411" w:type="pct"/>
            <w:shd w:val="clear" w:color="auto" w:fill="auto"/>
            <w:noWrap/>
            <w:vAlign w:val="center"/>
          </w:tcPr>
          <w:p w14:paraId="339648A7">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并行文件存储</w:t>
            </w:r>
          </w:p>
        </w:tc>
        <w:tc>
          <w:tcPr>
            <w:tcW w:w="2977" w:type="pct"/>
            <w:shd w:val="clear" w:color="auto" w:fill="auto"/>
            <w:noWrap/>
            <w:vAlign w:val="center"/>
          </w:tcPr>
          <w:p w14:paraId="6BA2833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1.本次并行文件存储应为面向 AI 训练、科研计算、大文件共享和多客户端并发访问场景的分布式或并行文件存储系统，不接受普通单机 NAS、单服务器文件共享、无高可用机制的本地盘共享、单纯 JBOD 直连扩展柜或仅通过操作系统共享目录实现的方案作为实质性响应；</w:t>
            </w:r>
          </w:p>
          <w:p w14:paraId="2CEB1DD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 w:val="24"/>
                <w:szCs w:val="24"/>
              </w:rPr>
              <w:t>★</w:t>
            </w:r>
            <w:r>
              <w:rPr>
                <w:rFonts w:hint="eastAsia" w:ascii="宋体" w:hAnsi="宋体" w:eastAsia="宋体" w:cs="宋体"/>
                <w:color w:val="auto"/>
                <w:szCs w:val="21"/>
              </w:rPr>
              <w:t>2.系统应不少于 3 个存储节点起步部署，支持统一命名空间、多节点并发访问、节点故障容错和后续横向扩展。投标人应说明系统最大扩展能力、节点扩容方式、容量扩容方式、客户端访问方式和故障恢复机制；</w:t>
            </w:r>
          </w:p>
          <w:p w14:paraId="573CC9A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本次配置应包含完整的软件授权、硬件设备、存储节点、管理软件、文件系统授权、必要协议授权、客户端软件、光模块、线缆、安装部署、调试、培训和验收服务。不得以基础硬件报价响应，验收或交付时再另行要求采购人购买必要软件模块、协议授权或实施服务；</w:t>
            </w:r>
          </w:p>
          <w:p w14:paraId="79F0E0E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█4.系统应支持至少一种主流文件访问协议或客户端方式，包括 POSIX 客户端、NFS、SMB、并行文件系统客户端等；本次授权范围应包含：响应对象、块、HDFS 或 S3 等接口；</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4D1B099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5.系统应支持数据可靠性保护机制，包括副本、纠删码、RAID、故障域隔离或等效机制中的至少两类；单节点、单磁盘或单网络链路故障时，系统应保持数据可访问，并能够进行自动告警、故障隔离和数据恢复；</w:t>
            </w:r>
          </w:p>
          <w:p w14:paraId="7580D63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6.系统应支持在线扩容，能够在不中断业务访问的情况下增加存储节点或磁盘，并支持扩容后的容量均衡、数据重分布或等效机制。验收时应支持查看扩容任务状态、容量变化和均衡结果；</w:t>
            </w:r>
          </w:p>
          <w:p w14:paraId="4D240F9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7.系统应支持访问控制和安全管理，至少支持用户/用户组权限、目录权限、ACL、配额管理、审计日志中的多类能力，满足多课题组、多用户共享使用和权限隔离需求；</w:t>
            </w:r>
          </w:p>
          <w:p w14:paraId="32398E1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█8.系统应支持数据保护能力，至少支持快照、WORM、不可变快照、目录保护、回收站或保留期策略中的两类能力，用于防止误删除、误修改或非授权篡改；</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262A0AC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9.系统应支持监控告警和运维管理，能够监控节点、磁盘、SSD/NVMe、网络端口、容量水位、性能指标、服务状态和故障事件；支持通过 SNMP、Syslog、邮件、短信、Webhook 或等效方式进行告警通知或第三方平台对接；</w:t>
            </w:r>
          </w:p>
          <w:p w14:paraId="6723BEE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验收时应至少完成以下测试：创建并挂载共享文件系统；多客户端并发读写；创建用户/用户组和目录权限；创建快照或保护策略；模拟单磁盘或单节点故障后的访问连续性；查看告警记录；导出容量或性能报表；验证三节点集群状态和存储容量；</w:t>
            </w:r>
          </w:p>
          <w:p w14:paraId="19269EFD">
            <w:pPr>
              <w:spacing w:line="360" w:lineRule="auto"/>
              <w:rPr>
                <w:rFonts w:hint="eastAsia" w:ascii="宋体" w:hAnsi="宋体" w:eastAsia="宋体" w:cs="宋体"/>
                <w:color w:val="auto"/>
                <w:szCs w:val="21"/>
              </w:rPr>
            </w:pPr>
            <w:r>
              <w:rPr>
                <w:rFonts w:hint="eastAsia" w:ascii="宋体" w:hAnsi="宋体" w:eastAsia="宋体" w:cs="宋体"/>
                <w:color w:val="auto"/>
                <w:szCs w:val="21"/>
              </w:rPr>
              <w:t>11.</w:t>
            </w:r>
            <w:r>
              <w:rPr>
                <w:rFonts w:ascii="宋体" w:hAnsi="宋体" w:eastAsia="宋体" w:cs="宋体"/>
                <w:color w:val="auto"/>
                <w:szCs w:val="21"/>
              </w:rPr>
              <w:t>投标人在合同签订后，须按采购人要求提供完整的产品功能说明、设备配置清单、软件授权清单、项目部署方案、验收方案及售后服务承诺等全套项目资料，确保资料齐全、真实、有效，保障项目顺利实施、验收及运维。</w:t>
            </w:r>
          </w:p>
        </w:tc>
        <w:tc>
          <w:tcPr>
            <w:tcW w:w="354" w:type="pct"/>
            <w:shd w:val="clear" w:color="auto" w:fill="auto"/>
            <w:noWrap/>
            <w:vAlign w:val="center"/>
          </w:tcPr>
          <w:p w14:paraId="53AA160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1套</w:t>
            </w:r>
          </w:p>
        </w:tc>
        <w:tc>
          <w:tcPr>
            <w:tcW w:w="388" w:type="pct"/>
            <w:shd w:val="clear" w:color="auto" w:fill="auto"/>
            <w:noWrap/>
            <w:vAlign w:val="center"/>
          </w:tcPr>
          <w:p w14:paraId="455D74A1">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095128C7">
            <w:pPr>
              <w:widowControl/>
              <w:spacing w:line="360" w:lineRule="auto"/>
              <w:jc w:val="center"/>
              <w:rPr>
                <w:rFonts w:hint="eastAsia" w:ascii="宋体" w:hAnsi="宋体" w:eastAsia="宋体" w:cs="宋体"/>
                <w:color w:val="auto"/>
                <w:szCs w:val="21"/>
              </w:rPr>
            </w:pPr>
          </w:p>
        </w:tc>
      </w:tr>
      <w:tr w14:paraId="5829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41BB7A12">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11</w:t>
            </w:r>
          </w:p>
        </w:tc>
        <w:tc>
          <w:tcPr>
            <w:tcW w:w="411" w:type="pct"/>
            <w:shd w:val="clear" w:color="auto" w:fill="auto"/>
            <w:noWrap/>
            <w:vAlign w:val="center"/>
          </w:tcPr>
          <w:p w14:paraId="46B3A0D2">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web服务器</w:t>
            </w:r>
          </w:p>
        </w:tc>
        <w:tc>
          <w:tcPr>
            <w:tcW w:w="2977" w:type="pct"/>
            <w:shd w:val="clear" w:color="auto" w:fill="auto"/>
            <w:noWrap/>
            <w:vAlign w:val="center"/>
          </w:tcPr>
          <w:p w14:paraId="5F5683B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1.机型：5U双路服务器，国产自研品牌，非OEM贴牌；</w:t>
            </w:r>
          </w:p>
          <w:p w14:paraId="0DDD7B0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2.处理器要求：配置≥2颗X86架构处理器，单颗处理器：核数≥12、基频≥2.4GHz、线程数≥24；</w:t>
            </w:r>
          </w:p>
          <w:p w14:paraId="6A720E8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3.内存要求：本次配置≥64GBECCDDR4内存，配置≥16个DDR4内存插槽；</w:t>
            </w:r>
          </w:p>
          <w:p w14:paraId="7165127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4.硬盘：本次配置≥2块960GBSATASSD；配置≥1块4TBSATA；</w:t>
            </w:r>
          </w:p>
          <w:p w14:paraId="477BB4C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5.RAID：≥1个标准PCIe槽位阵列卡，支持RAID0/1/10/5/6/50/60；</w:t>
            </w:r>
          </w:p>
          <w:p w14:paraId="0F36E7B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6.网络接口：本次配置≥2个千兆网口；</w:t>
            </w:r>
          </w:p>
          <w:p w14:paraId="6DDEB3F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7.电源：配置≥2块冗余电源；</w:t>
            </w:r>
          </w:p>
          <w:p w14:paraId="6C13FF4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告警管理：支持服务器硬件健康状态、系统事件和运行异常的告警管理功能，可通过服务器带外管理模块、原厂管理软件、操作系统管理工具或统一运维平台实现；支持实时告警、历史告警、事件日志和已屏蔽告警的查询与管理；支持查看告警详情，包括告警对象、告警级别、发生时间、恢复状态、可能原因和处理建议；支持对告警进行确认、屏蔽、清除、备注、导出或诊断操作；支持通过 Web 页面、管理客户端、邮件、SNMP、Syslog 或等效方式进行告警查看和通知，不限定必须采用特定 APP。平台应具备基础告警归并、重复告警抑制或故障定位辅助能力，不得仅以普通日志列表作为完整告警管理能力响应；</w:t>
            </w:r>
          </w:p>
          <w:p w14:paraId="2DF4299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9.性能监控：支持服务器关键运行指标的监测和展示，可通过服务器带外管理模块、原厂管理软件、操作系统管理工具或统一运维平台实现；至少支持 CPU 利用率、内存利用率、磁盘或存储状态、网络状态、设备功耗、温度、风扇、电源状态等指标监测；支持实时状态查看、历史性能记录、趋势曲线、指标对比和监测数据导出；支持监测阈值设置、告警规则设置和阈值触发后的告警通知。</w:t>
            </w:r>
          </w:p>
        </w:tc>
        <w:tc>
          <w:tcPr>
            <w:tcW w:w="354" w:type="pct"/>
            <w:shd w:val="clear" w:color="auto" w:fill="auto"/>
            <w:noWrap/>
            <w:vAlign w:val="center"/>
          </w:tcPr>
          <w:p w14:paraId="6D9CD25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1台</w:t>
            </w:r>
          </w:p>
        </w:tc>
        <w:tc>
          <w:tcPr>
            <w:tcW w:w="388" w:type="pct"/>
            <w:shd w:val="clear" w:color="auto" w:fill="auto"/>
            <w:noWrap/>
            <w:vAlign w:val="center"/>
          </w:tcPr>
          <w:p w14:paraId="3F477671">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12AF8182">
            <w:pPr>
              <w:widowControl/>
              <w:spacing w:line="360" w:lineRule="auto"/>
              <w:jc w:val="center"/>
              <w:rPr>
                <w:rFonts w:hint="eastAsia" w:ascii="宋体" w:hAnsi="宋体" w:eastAsia="宋体" w:cs="宋体"/>
                <w:color w:val="auto"/>
                <w:szCs w:val="21"/>
              </w:rPr>
            </w:pPr>
          </w:p>
        </w:tc>
      </w:tr>
      <w:tr w14:paraId="79C0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671522D5">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12</w:t>
            </w:r>
          </w:p>
        </w:tc>
        <w:tc>
          <w:tcPr>
            <w:tcW w:w="411" w:type="pct"/>
            <w:shd w:val="clear" w:color="auto" w:fill="auto"/>
            <w:noWrap/>
            <w:vAlign w:val="center"/>
          </w:tcPr>
          <w:p w14:paraId="25BE6B23">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便携式高性能工作服务站</w:t>
            </w:r>
          </w:p>
        </w:tc>
        <w:tc>
          <w:tcPr>
            <w:tcW w:w="2977" w:type="pct"/>
            <w:shd w:val="clear" w:color="auto" w:fill="auto"/>
            <w:noWrap/>
            <w:vAlign w:val="center"/>
          </w:tcPr>
          <w:p w14:paraId="29C4C541">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★1.本设备属于图形工作站，须严格执行《通用工作站政府采购需求标准（2023 年版）》（财库〔2023〕32 号），</w:t>
            </w:r>
            <w:r>
              <w:rPr>
                <w:rFonts w:hint="eastAsia" w:ascii="宋体" w:hAnsi="宋体" w:eastAsia="宋体" w:cs="宋体"/>
                <w:color w:val="auto"/>
                <w:szCs w:val="21"/>
              </w:rPr>
              <w:t>除本采购需求列明的参数外，其余所有参数须</w:t>
            </w:r>
            <w:r>
              <w:rPr>
                <w:rFonts w:ascii="宋体" w:hAnsi="宋体" w:eastAsia="宋体" w:cs="宋体"/>
                <w:color w:val="auto"/>
                <w:szCs w:val="21"/>
              </w:rPr>
              <w:t>完全满足《通用工作站政府采购需求标准（2023 年版）》内全部标注</w:t>
            </w:r>
            <w:r>
              <w:rPr>
                <w:rFonts w:hint="eastAsia" w:ascii="宋体" w:hAnsi="宋体" w:eastAsia="宋体" w:cs="宋体"/>
                <w:color w:val="auto"/>
                <w:szCs w:val="21"/>
              </w:rPr>
              <w:t>“*”</w:t>
            </w:r>
            <w:r>
              <w:rPr>
                <w:rFonts w:ascii="宋体" w:hAnsi="宋体" w:eastAsia="宋体" w:cs="宋体"/>
                <w:color w:val="auto"/>
                <w:szCs w:val="21"/>
              </w:rPr>
              <w:t>的指标</w:t>
            </w:r>
            <w:r>
              <w:rPr>
                <w:rFonts w:hint="eastAsia" w:ascii="宋体" w:hAnsi="宋体" w:eastAsia="宋体" w:cs="宋体"/>
                <w:b/>
                <w:bCs/>
                <w:color w:val="auto"/>
                <w:szCs w:val="21"/>
              </w:rPr>
              <w:t>（投标文件须提供</w:t>
            </w:r>
            <w:r>
              <w:rPr>
                <w:rFonts w:ascii="宋体" w:hAnsi="宋体" w:eastAsia="宋体" w:cs="宋体"/>
                <w:b/>
                <w:bCs/>
                <w:color w:val="auto"/>
                <w:szCs w:val="21"/>
              </w:rPr>
              <w:t>承诺函</w:t>
            </w:r>
            <w:r>
              <w:rPr>
                <w:rFonts w:hint="eastAsia" w:ascii="宋体" w:hAnsi="宋体" w:eastAsia="宋体" w:cs="宋体"/>
                <w:b/>
                <w:bCs/>
                <w:color w:val="auto"/>
                <w:szCs w:val="21"/>
              </w:rPr>
              <w:t>，格式自拟）</w:t>
            </w:r>
            <w:r>
              <w:rPr>
                <w:rFonts w:hint="eastAsia" w:ascii="宋体" w:hAnsi="宋体" w:eastAsia="宋体" w:cs="宋体"/>
                <w:color w:val="auto"/>
                <w:szCs w:val="21"/>
              </w:rPr>
              <w:t>；</w:t>
            </w:r>
          </w:p>
          <w:p w14:paraId="18F765B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2.机型：高性能图形工作站或可移动式高性能工作站，非机架式服务器；整机应满足工业视觉算法开发、模型训练/推理、图像数据处理和现场调试需求；</w:t>
            </w:r>
          </w:p>
          <w:p w14:paraId="0E50E65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3.处理器要求：配置≥2颗X86架构处理器</w:t>
            </w:r>
          </w:p>
          <w:p w14:paraId="06E0A359">
            <w:pPr>
              <w:widowControl/>
              <w:shd w:val="clear"/>
              <w:spacing w:line="360" w:lineRule="auto"/>
              <w:jc w:val="left"/>
              <w:rPr>
                <w:rFonts w:hint="eastAsia" w:ascii="宋体" w:hAnsi="宋体" w:eastAsia="宋体" w:cs="宋体"/>
                <w:color w:val="auto"/>
                <w:szCs w:val="21"/>
              </w:rPr>
            </w:pPr>
            <w:r>
              <w:rPr>
                <w:rFonts w:ascii="宋体" w:hAnsi="宋体" w:eastAsia="宋体" w:cs="宋体"/>
                <w:color w:val="auto"/>
                <w:szCs w:val="21"/>
              </w:rPr>
              <w:t>★</w:t>
            </w:r>
            <w:r>
              <w:rPr>
                <w:rFonts w:hint="eastAsia" w:ascii="宋体" w:hAnsi="宋体" w:eastAsia="宋体" w:cs="宋体"/>
                <w:color w:val="auto"/>
                <w:szCs w:val="21"/>
                <w:lang w:val="en-US" w:eastAsia="zh-CN"/>
              </w:rPr>
              <w:t>4.</w:t>
            </w:r>
            <w:r>
              <w:rPr>
                <w:rFonts w:hint="eastAsia" w:ascii="宋体" w:hAnsi="宋体" w:eastAsia="宋体" w:cs="宋体"/>
                <w:color w:val="auto"/>
                <w:szCs w:val="21"/>
                <w:shd w:val="clear"/>
              </w:rPr>
              <w:t>单颗处理器：CPU物理核数≥16、CPU主频≥2.0GHz、线程数≥32；</w:t>
            </w:r>
          </w:p>
          <w:p w14:paraId="37A9F6BD">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w:t>
            </w:r>
            <w:r>
              <w:rPr>
                <w:rFonts w:hint="eastAsia" w:ascii="宋体" w:hAnsi="宋体" w:eastAsia="宋体" w:cs="宋体"/>
                <w:color w:val="auto"/>
                <w:szCs w:val="21"/>
                <w:lang w:val="en-US" w:eastAsia="zh-CN"/>
              </w:rPr>
              <w:t>5.内存规格要求：</w:t>
            </w:r>
            <w:r>
              <w:rPr>
                <w:rFonts w:hint="eastAsia" w:ascii="宋体" w:hAnsi="宋体" w:eastAsia="宋体" w:cs="宋体"/>
                <w:color w:val="auto"/>
                <w:szCs w:val="21"/>
              </w:rPr>
              <w:t>ECC</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DDR4内存，配置≥16个DDR4内存插槽</w:t>
            </w:r>
            <w:r>
              <w:rPr>
                <w:rFonts w:hint="eastAsia" w:ascii="宋体" w:hAnsi="宋体" w:eastAsia="宋体" w:cs="宋体"/>
                <w:color w:val="auto"/>
                <w:szCs w:val="21"/>
                <w:lang w:eastAsia="zh-CN"/>
              </w:rPr>
              <w:t>；</w:t>
            </w:r>
          </w:p>
          <w:p w14:paraId="3C78C6D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6</w:t>
            </w:r>
            <w:r>
              <w:rPr>
                <w:rFonts w:hint="eastAsia" w:ascii="宋体" w:hAnsi="宋体" w:eastAsia="宋体" w:cs="宋体"/>
                <w:color w:val="auto"/>
                <w:szCs w:val="21"/>
              </w:rPr>
              <w:t>.内存</w:t>
            </w:r>
            <w:r>
              <w:rPr>
                <w:rFonts w:hint="eastAsia" w:ascii="宋体" w:hAnsi="宋体" w:eastAsia="宋体" w:cs="宋体"/>
                <w:color w:val="auto"/>
                <w:szCs w:val="21"/>
                <w:lang w:val="en-US" w:eastAsia="zh-CN"/>
              </w:rPr>
              <w:t>容量</w:t>
            </w:r>
            <w:r>
              <w:rPr>
                <w:rFonts w:hint="eastAsia" w:ascii="宋体" w:hAnsi="宋体" w:eastAsia="宋体" w:cs="宋体"/>
                <w:color w:val="auto"/>
                <w:szCs w:val="21"/>
              </w:rPr>
              <w:t>要求：内存配置容量≥128GB ；</w:t>
            </w:r>
          </w:p>
          <w:p w14:paraId="176E9F81">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w:t>
            </w:r>
            <w:r>
              <w:rPr>
                <w:rFonts w:hint="eastAsia" w:ascii="宋体" w:hAnsi="宋体" w:eastAsia="宋体" w:cs="宋体"/>
                <w:color w:val="auto"/>
                <w:szCs w:val="21"/>
                <w:lang w:val="en-US" w:eastAsia="zh-CN"/>
              </w:rPr>
              <w:t>7.</w:t>
            </w:r>
            <w:r>
              <w:rPr>
                <w:rFonts w:hint="eastAsia" w:ascii="宋体" w:hAnsi="宋体" w:eastAsia="宋体" w:cs="宋体"/>
                <w:color w:val="auto"/>
                <w:szCs w:val="21"/>
              </w:rPr>
              <w:t>硬盘：配置≥2 块 960GB SSD，支持 RAID1 或等效系统盘冗余；配置≥2 块 4TB SATA/NVMe 数据盘，支持 RAID1、存储空间镜像或等效数据冗余保护；</w:t>
            </w:r>
          </w:p>
          <w:p w14:paraId="4CF891B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lang w:val="en-US" w:eastAsia="zh-CN"/>
              </w:rPr>
              <w:t>8</w:t>
            </w:r>
            <w:r>
              <w:rPr>
                <w:rFonts w:hint="eastAsia" w:ascii="宋体" w:hAnsi="宋体" w:eastAsia="宋体" w:cs="宋体"/>
                <w:color w:val="auto"/>
                <w:szCs w:val="21"/>
              </w:rPr>
              <w:t>.RAID：≥1个标准PCIe槽位阵列卡，支持RAID0/1/10/5/6/50/60；</w:t>
            </w:r>
          </w:p>
          <w:p w14:paraId="19E3709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lang w:val="en-US" w:eastAsia="zh-CN"/>
              </w:rPr>
              <w:t>9</w:t>
            </w:r>
            <w:r>
              <w:rPr>
                <w:rFonts w:hint="eastAsia" w:ascii="宋体" w:hAnsi="宋体" w:eastAsia="宋体" w:cs="宋体"/>
                <w:color w:val="auto"/>
                <w:szCs w:val="21"/>
              </w:rPr>
              <w:t>.网络接口：配置≥2个千兆网口；</w:t>
            </w:r>
          </w:p>
          <w:p w14:paraId="04DF7D62">
            <w:pPr>
              <w:widowControl/>
              <w:spacing w:line="360" w:lineRule="auto"/>
              <w:jc w:val="left"/>
              <w:rPr>
                <w:rFonts w:hint="eastAsia" w:ascii="宋体" w:hAnsi="宋体" w:eastAsia="宋体" w:cs="宋体"/>
                <w:color w:val="auto"/>
                <w:szCs w:val="21"/>
                <w:lang w:val="en-US" w:eastAsia="zh-CN"/>
              </w:rPr>
            </w:pPr>
            <w:r>
              <w:rPr>
                <w:rFonts w:ascii="宋体" w:hAnsi="宋体" w:eastAsia="宋体" w:cs="宋体"/>
                <w:color w:val="auto"/>
                <w:szCs w:val="21"/>
              </w:rPr>
              <w:t>★</w:t>
            </w:r>
            <w:r>
              <w:rPr>
                <w:rFonts w:hint="eastAsia" w:ascii="宋体" w:hAnsi="宋体" w:eastAsia="宋体" w:cs="宋体"/>
                <w:color w:val="auto"/>
                <w:szCs w:val="21"/>
                <w:lang w:val="en-US" w:eastAsia="zh-CN"/>
              </w:rPr>
              <w:t>10.</w:t>
            </w:r>
            <w:r>
              <w:rPr>
                <w:rFonts w:hint="eastAsia" w:ascii="宋体" w:hAnsi="宋体" w:eastAsia="宋体" w:cs="宋体"/>
                <w:color w:val="auto"/>
                <w:szCs w:val="21"/>
              </w:rPr>
              <w:t>GPU卡</w:t>
            </w:r>
            <w:r>
              <w:rPr>
                <w:rFonts w:hint="eastAsia" w:ascii="宋体" w:hAnsi="宋体" w:eastAsia="宋体" w:cs="宋体"/>
                <w:color w:val="auto"/>
                <w:szCs w:val="21"/>
                <w:lang w:val="en-US" w:eastAsia="zh-CN"/>
              </w:rPr>
              <w:t>类型：独立显卡，</w:t>
            </w:r>
            <w:r>
              <w:rPr>
                <w:rFonts w:hint="eastAsia" w:ascii="宋体" w:hAnsi="宋体" w:eastAsia="宋体" w:cs="宋体"/>
                <w:color w:val="auto"/>
                <w:szCs w:val="21"/>
              </w:rPr>
              <w:t>显卡实配数量≥1，单卡显存容量≥24GB</w:t>
            </w:r>
            <w:r>
              <w:rPr>
                <w:rFonts w:hint="eastAsia" w:ascii="宋体" w:hAnsi="宋体" w:eastAsia="宋体" w:cs="宋体"/>
                <w:color w:val="auto"/>
                <w:szCs w:val="21"/>
                <w:lang w:eastAsia="zh-CN"/>
              </w:rPr>
              <w:t>；</w:t>
            </w:r>
          </w:p>
          <w:p w14:paraId="29FB9306">
            <w:pPr>
              <w:widowControl/>
              <w:spacing w:line="360" w:lineRule="auto"/>
              <w:jc w:val="left"/>
              <w:rPr>
                <w:rFonts w:hint="eastAsia" w:ascii="宋体" w:hAnsi="宋体" w:eastAsia="宋体" w:cs="宋体"/>
                <w:b/>
                <w:bCs/>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11</w:t>
            </w:r>
            <w:r>
              <w:rPr>
                <w:rFonts w:hint="eastAsia" w:ascii="宋体" w:hAnsi="宋体" w:eastAsia="宋体" w:cs="宋体"/>
                <w:color w:val="auto"/>
                <w:szCs w:val="21"/>
              </w:rPr>
              <w:t>.GPU卡</w:t>
            </w:r>
            <w:r>
              <w:rPr>
                <w:rFonts w:hint="eastAsia" w:ascii="宋体" w:hAnsi="宋体" w:eastAsia="宋体" w:cs="宋体"/>
                <w:color w:val="auto"/>
                <w:szCs w:val="21"/>
                <w:lang w:val="en-US" w:eastAsia="zh-CN"/>
              </w:rPr>
              <w:t>性能</w:t>
            </w:r>
            <w:r>
              <w:rPr>
                <w:rFonts w:hint="eastAsia" w:ascii="宋体" w:hAnsi="宋体" w:eastAsia="宋体" w:cs="宋体"/>
                <w:color w:val="auto"/>
                <w:szCs w:val="21"/>
              </w:rPr>
              <w:t>：FP32 理论算力≥70TFLOPS 或等效性能，支持主流深度学习框架和 GPU 加速计算；</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2D95932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lang w:val="en-US" w:eastAsia="zh-CN"/>
              </w:rPr>
              <w:t>12</w:t>
            </w:r>
            <w:r>
              <w:rPr>
                <w:rFonts w:hint="eastAsia" w:ascii="宋体" w:hAnsi="宋体" w:eastAsia="宋体" w:cs="宋体"/>
                <w:color w:val="auto"/>
                <w:szCs w:val="21"/>
              </w:rPr>
              <w:t>.电源：配置≥1块高性能电源；</w:t>
            </w:r>
          </w:p>
          <w:p w14:paraId="1B61EDE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lang w:val="en-US" w:eastAsia="zh-CN"/>
              </w:rPr>
              <w:t>13</w:t>
            </w:r>
            <w:r>
              <w:rPr>
                <w:rFonts w:hint="eastAsia" w:ascii="宋体" w:hAnsi="宋体" w:eastAsia="宋体" w:cs="宋体"/>
                <w:color w:val="auto"/>
                <w:szCs w:val="21"/>
              </w:rPr>
              <w:t>.告警管理：支持便携式高性能工作站的硬件健康监测、故障提示和事件记录功能，可通过预装原厂管理软件、BIOS/UEFI 诊断工具、操作系统管理工具或统一运维平台实现；至少支持 CPU、GPU、内存、SSD/硬盘、电池或电源适配器、温度、风扇、显卡驱动或关键硬件状态的检测与异常提示；支持查看实时异常、历史事件、硬件自检结果和故障诊断信息，并能够提供可能原因、处理建议或维护提示；支持对告警或事件进行查看、确认、备注、导出或清除；支持通过本机界面、Web 管理入口、管理客户端、邮件或等效方式进行告警查看和通知，不限定必须采用特定 APP。</w:t>
            </w:r>
          </w:p>
        </w:tc>
        <w:tc>
          <w:tcPr>
            <w:tcW w:w="354" w:type="pct"/>
            <w:shd w:val="clear" w:color="auto" w:fill="auto"/>
            <w:noWrap/>
            <w:vAlign w:val="center"/>
          </w:tcPr>
          <w:p w14:paraId="46966BB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1台</w:t>
            </w:r>
          </w:p>
        </w:tc>
        <w:tc>
          <w:tcPr>
            <w:tcW w:w="388" w:type="pct"/>
            <w:shd w:val="clear" w:color="auto" w:fill="auto"/>
            <w:noWrap/>
            <w:vAlign w:val="center"/>
          </w:tcPr>
          <w:p w14:paraId="05EFDE96">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76C91BA5">
            <w:pPr>
              <w:widowControl/>
              <w:spacing w:line="360" w:lineRule="auto"/>
              <w:jc w:val="center"/>
              <w:rPr>
                <w:rFonts w:hint="eastAsia" w:ascii="宋体" w:hAnsi="宋体" w:eastAsia="宋体" w:cs="宋体"/>
                <w:color w:val="auto"/>
                <w:szCs w:val="21"/>
              </w:rPr>
            </w:pPr>
          </w:p>
        </w:tc>
      </w:tr>
      <w:tr w14:paraId="55E2C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7E51C8DB">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（二）</w:t>
            </w:r>
          </w:p>
        </w:tc>
        <w:tc>
          <w:tcPr>
            <w:tcW w:w="3388" w:type="pct"/>
            <w:gridSpan w:val="2"/>
            <w:shd w:val="clear" w:color="auto" w:fill="auto"/>
            <w:noWrap/>
            <w:vAlign w:val="center"/>
          </w:tcPr>
          <w:p w14:paraId="0AE5D3C2">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机房部分</w:t>
            </w:r>
          </w:p>
        </w:tc>
        <w:tc>
          <w:tcPr>
            <w:tcW w:w="354" w:type="pct"/>
            <w:shd w:val="clear" w:color="auto" w:fill="auto"/>
            <w:noWrap/>
            <w:vAlign w:val="center"/>
          </w:tcPr>
          <w:p w14:paraId="16A8A805">
            <w:pPr>
              <w:spacing w:line="360" w:lineRule="auto"/>
              <w:rPr>
                <w:rFonts w:hint="eastAsia" w:ascii="宋体" w:hAnsi="宋体" w:eastAsia="宋体" w:cs="宋体"/>
                <w:color w:val="auto"/>
                <w:szCs w:val="21"/>
              </w:rPr>
            </w:pPr>
          </w:p>
        </w:tc>
        <w:tc>
          <w:tcPr>
            <w:tcW w:w="388" w:type="pct"/>
            <w:shd w:val="clear" w:color="auto" w:fill="auto"/>
            <w:noWrap/>
            <w:vAlign w:val="center"/>
          </w:tcPr>
          <w:p w14:paraId="5748A24B">
            <w:pPr>
              <w:spacing w:line="360" w:lineRule="auto"/>
              <w:jc w:val="center"/>
              <w:rPr>
                <w:rFonts w:hint="eastAsia" w:ascii="宋体" w:hAnsi="宋体" w:eastAsia="宋体" w:cs="宋体"/>
                <w:color w:val="auto"/>
                <w:szCs w:val="21"/>
              </w:rPr>
            </w:pPr>
          </w:p>
        </w:tc>
        <w:tc>
          <w:tcPr>
            <w:tcW w:w="388" w:type="pct"/>
            <w:shd w:val="clear" w:color="auto" w:fill="auto"/>
            <w:noWrap/>
            <w:vAlign w:val="center"/>
          </w:tcPr>
          <w:p w14:paraId="13716CD3">
            <w:pPr>
              <w:spacing w:line="360" w:lineRule="auto"/>
              <w:jc w:val="center"/>
              <w:rPr>
                <w:rFonts w:hint="eastAsia" w:ascii="宋体" w:hAnsi="宋体" w:eastAsia="宋体" w:cs="宋体"/>
                <w:color w:val="auto"/>
                <w:szCs w:val="21"/>
              </w:rPr>
            </w:pPr>
          </w:p>
        </w:tc>
      </w:tr>
      <w:tr w14:paraId="4407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0422203B">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411" w:type="pct"/>
            <w:shd w:val="clear" w:color="auto" w:fill="auto"/>
            <w:noWrap/>
            <w:vAlign w:val="center"/>
          </w:tcPr>
          <w:p w14:paraId="1A52B8C5">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精密列头柜</w:t>
            </w:r>
          </w:p>
        </w:tc>
        <w:tc>
          <w:tcPr>
            <w:tcW w:w="2977" w:type="pct"/>
            <w:shd w:val="clear" w:color="auto" w:fill="auto"/>
            <w:noWrap/>
            <w:vAlign w:val="center"/>
          </w:tcPr>
          <w:p w14:paraId="2321256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1.总功率≥100kW；</w:t>
            </w:r>
          </w:p>
          <w:p w14:paraId="6CCF380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2.开关电流160A，2路输入；</w:t>
            </w:r>
          </w:p>
          <w:p w14:paraId="43950C1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3.2组32A/1P*24（总48路输出）。</w:t>
            </w:r>
          </w:p>
        </w:tc>
        <w:tc>
          <w:tcPr>
            <w:tcW w:w="354" w:type="pct"/>
            <w:shd w:val="clear" w:color="auto" w:fill="auto"/>
            <w:noWrap/>
            <w:vAlign w:val="center"/>
          </w:tcPr>
          <w:p w14:paraId="6848D1B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1台</w:t>
            </w:r>
          </w:p>
        </w:tc>
        <w:tc>
          <w:tcPr>
            <w:tcW w:w="388" w:type="pct"/>
            <w:shd w:val="clear" w:color="auto" w:fill="auto"/>
            <w:noWrap/>
            <w:vAlign w:val="center"/>
          </w:tcPr>
          <w:p w14:paraId="61FD5A69">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585E1421">
            <w:pPr>
              <w:widowControl/>
              <w:spacing w:line="360" w:lineRule="auto"/>
              <w:jc w:val="center"/>
              <w:rPr>
                <w:rFonts w:hint="eastAsia" w:ascii="宋体" w:hAnsi="宋体" w:eastAsia="宋体" w:cs="宋体"/>
                <w:color w:val="auto"/>
                <w:szCs w:val="21"/>
              </w:rPr>
            </w:pPr>
          </w:p>
        </w:tc>
      </w:tr>
      <w:tr w14:paraId="296CB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90" w:hRule="atLeast"/>
          <w:jc w:val="center"/>
        </w:trPr>
        <w:tc>
          <w:tcPr>
            <w:tcW w:w="480" w:type="pct"/>
            <w:shd w:val="clear" w:color="auto" w:fill="auto"/>
            <w:noWrap/>
            <w:vAlign w:val="center"/>
          </w:tcPr>
          <w:p w14:paraId="58E9DB85">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411" w:type="pct"/>
            <w:shd w:val="clear" w:color="auto" w:fill="auto"/>
            <w:noWrap/>
            <w:vAlign w:val="center"/>
          </w:tcPr>
          <w:p w14:paraId="13397215">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行级空调室内机</w:t>
            </w:r>
          </w:p>
        </w:tc>
        <w:tc>
          <w:tcPr>
            <w:tcW w:w="2977" w:type="pct"/>
            <w:shd w:val="clear" w:color="auto" w:fill="auto"/>
            <w:noWrap/>
            <w:vAlign w:val="center"/>
          </w:tcPr>
          <w:p w14:paraId="7B87210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1.本项目采用行级水平送风精密空调；总冷量≥</w:t>
            </w:r>
            <w:r>
              <w:rPr>
                <w:rFonts w:ascii="宋体" w:hAnsi="宋体" w:eastAsia="宋体" w:cs="宋体"/>
                <w:color w:val="auto"/>
                <w:szCs w:val="21"/>
              </w:rPr>
              <w:t>25.5kW，显冷量≥25.5kW，风量≥5000m³/h，加热量≥3.5kW，加湿量≥2.5kg/h；</w:t>
            </w:r>
          </w:p>
          <w:p w14:paraId="06CA6A8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2.空调尺寸：≤600（宽）×1200（长）×2000（高）mm；</w:t>
            </w:r>
          </w:p>
          <w:p w14:paraId="7CB719F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3.制冷型式：制冷机组应采用风冷型；</w:t>
            </w:r>
          </w:p>
          <w:p w14:paraId="4B16D07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4.能效比≥</w:t>
            </w:r>
            <w:r>
              <w:rPr>
                <w:rFonts w:ascii="宋体" w:hAnsi="宋体" w:eastAsia="宋体" w:cs="宋体"/>
                <w:color w:val="auto"/>
                <w:szCs w:val="21"/>
              </w:rPr>
              <w:t>3.0、冷风比≤4.0 W/(m³/h)；</w:t>
            </w:r>
          </w:p>
          <w:p w14:paraId="2C956F9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5.机组特性：精密空调室内机应由压缩机、蒸发器、EC 风机、控制器、电子膨胀阀、干燥过滤器、加热器、液路电磁阀、高效湿膜加湿器等主要部件组成；采用环保型制冷剂 R410A；</w:t>
            </w:r>
          </w:p>
          <w:p w14:paraId="3577002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6.采用≥7 英寸彩屏，能显示温湿度曲线，具有图形显示机组内各组件运行状态的功能；</w:t>
            </w:r>
          </w:p>
          <w:p w14:paraId="036EACD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7.采用高回风温度设计；</w:t>
            </w:r>
          </w:p>
          <w:p w14:paraId="4D387BD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8.采用带滤网堵塞开关控制的 G4 级过滤系统；</w:t>
            </w:r>
          </w:p>
          <w:p w14:paraId="4B4A8BF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9.支持≥20 组温度传感器，实时监测机柜热负荷变化；具备过欠压、相序保护功能，在电源不稳定的情况能保护机组并有告警记录；</w:t>
            </w:r>
          </w:p>
          <w:p w14:paraId="27EFC5F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10.具备≥32 台联动与群控功能，机组通过联网群控，实现轮值和机组故障时的冗余管理；</w:t>
            </w:r>
          </w:p>
          <w:p w14:paraId="0A5178F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11.配 RS485 智能通信接口，可选配 SNMP 卡；</w:t>
            </w:r>
          </w:p>
          <w:p w14:paraId="5D7A570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12.机房空调室内侧噪声≤65dB (A)，室外机噪声≤60dB (A)；</w:t>
            </w:r>
          </w:p>
          <w:p w14:paraId="2E5533D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13.具备来电自启动功能，来电自启延时时间 1～600s 可调；</w:t>
            </w:r>
          </w:p>
          <w:p w14:paraId="3A372B12">
            <w:pPr>
              <w:spacing w:line="360" w:lineRule="auto"/>
              <w:rPr>
                <w:rFonts w:hint="eastAsia" w:ascii="宋体" w:hAnsi="宋体" w:eastAsia="宋体" w:cs="宋体"/>
                <w:color w:val="auto"/>
                <w:szCs w:val="21"/>
              </w:rPr>
            </w:pPr>
            <w:r>
              <w:rPr>
                <w:rFonts w:hint="eastAsia" w:ascii="宋体" w:hAnsi="宋体" w:eastAsia="宋体" w:cs="宋体"/>
                <w:color w:val="auto"/>
                <w:szCs w:val="21"/>
              </w:rPr>
              <w:t>★14.节能要求：本设备属于政府采购强制采购节能产品（品目 A02052309 专用制冷、空调设备），能效须满足《单元式空气调节机能效限定值及能效等级》（GB19576）二级及以上能效，机组能效比≥3.0。</w:t>
            </w:r>
            <w:r>
              <w:rPr>
                <w:rFonts w:hint="eastAsia" w:ascii="宋体" w:hAnsi="宋体" w:eastAsia="宋体" w:cs="宋体"/>
                <w:b/>
                <w:bCs/>
                <w:color w:val="auto"/>
                <w:szCs w:val="21"/>
              </w:rPr>
              <w:t>(投标文件中须提供节能产品认证证书）</w:t>
            </w:r>
          </w:p>
        </w:tc>
        <w:tc>
          <w:tcPr>
            <w:tcW w:w="354" w:type="pct"/>
            <w:shd w:val="clear" w:color="auto" w:fill="auto"/>
            <w:noWrap/>
            <w:vAlign w:val="center"/>
          </w:tcPr>
          <w:p w14:paraId="4F2E7A2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2台</w:t>
            </w:r>
          </w:p>
        </w:tc>
        <w:tc>
          <w:tcPr>
            <w:tcW w:w="388" w:type="pct"/>
            <w:shd w:val="clear" w:color="auto" w:fill="auto"/>
            <w:noWrap/>
            <w:vAlign w:val="center"/>
          </w:tcPr>
          <w:p w14:paraId="6CC1E212">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00F3FC1A">
            <w:pPr>
              <w:widowControl/>
              <w:spacing w:line="360" w:lineRule="auto"/>
              <w:jc w:val="center"/>
              <w:rPr>
                <w:rFonts w:hint="eastAsia" w:ascii="宋体" w:hAnsi="宋体" w:eastAsia="宋体" w:cs="宋体"/>
                <w:color w:val="auto"/>
                <w:szCs w:val="21"/>
              </w:rPr>
            </w:pPr>
          </w:p>
        </w:tc>
      </w:tr>
      <w:tr w14:paraId="3B5A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7F3146CF">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411" w:type="pct"/>
            <w:shd w:val="clear" w:color="auto" w:fill="auto"/>
            <w:noWrap/>
            <w:vAlign w:val="center"/>
          </w:tcPr>
          <w:p w14:paraId="0A19C446">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行级空调室外机</w:t>
            </w:r>
          </w:p>
        </w:tc>
        <w:tc>
          <w:tcPr>
            <w:tcW w:w="2977" w:type="pct"/>
            <w:shd w:val="clear" w:color="auto" w:fill="auto"/>
            <w:noWrap/>
            <w:vAlign w:val="center"/>
          </w:tcPr>
          <w:p w14:paraId="36CA7E3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1.风冷平板式室外机，单制冷系统；</w:t>
            </w:r>
          </w:p>
          <w:p w14:paraId="1CBA704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2.R410A冷媒变频无极调速控制；</w:t>
            </w:r>
          </w:p>
          <w:p w14:paraId="424467D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3.三相供电；</w:t>
            </w:r>
          </w:p>
          <w:p w14:paraId="6E04FB4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4.尺寸：≤1400*700*1000mm。</w:t>
            </w:r>
          </w:p>
        </w:tc>
        <w:tc>
          <w:tcPr>
            <w:tcW w:w="354" w:type="pct"/>
            <w:shd w:val="clear" w:color="auto" w:fill="auto"/>
            <w:noWrap/>
            <w:vAlign w:val="center"/>
          </w:tcPr>
          <w:p w14:paraId="6E52EAE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2台</w:t>
            </w:r>
          </w:p>
        </w:tc>
        <w:tc>
          <w:tcPr>
            <w:tcW w:w="388" w:type="pct"/>
            <w:shd w:val="clear" w:color="auto" w:fill="auto"/>
            <w:noWrap/>
            <w:vAlign w:val="center"/>
          </w:tcPr>
          <w:p w14:paraId="3AD458D4">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09CDDA04">
            <w:pPr>
              <w:widowControl/>
              <w:spacing w:line="360" w:lineRule="auto"/>
              <w:jc w:val="center"/>
              <w:rPr>
                <w:rFonts w:hint="eastAsia" w:ascii="宋体" w:hAnsi="宋体" w:eastAsia="宋体" w:cs="宋体"/>
                <w:color w:val="auto"/>
                <w:szCs w:val="21"/>
              </w:rPr>
            </w:pPr>
          </w:p>
        </w:tc>
      </w:tr>
      <w:tr w14:paraId="59EF8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102427E5">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4</w:t>
            </w:r>
          </w:p>
        </w:tc>
        <w:tc>
          <w:tcPr>
            <w:tcW w:w="411" w:type="pct"/>
            <w:shd w:val="clear" w:color="auto" w:fill="auto"/>
            <w:noWrap/>
            <w:vAlign w:val="center"/>
          </w:tcPr>
          <w:p w14:paraId="0297ED33">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精密空调安装辅材</w:t>
            </w:r>
          </w:p>
        </w:tc>
        <w:tc>
          <w:tcPr>
            <w:tcW w:w="2977" w:type="pct"/>
            <w:shd w:val="clear" w:color="auto" w:fill="auto"/>
            <w:noWrap/>
            <w:vAlign w:val="center"/>
          </w:tcPr>
          <w:p w14:paraId="4B7072B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1.含室内机至室外机连接铜管、保温棉、线缆、制冷剂；</w:t>
            </w:r>
          </w:p>
          <w:p w14:paraId="68F2A97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2.其他需要安装辅材。</w:t>
            </w:r>
          </w:p>
        </w:tc>
        <w:tc>
          <w:tcPr>
            <w:tcW w:w="354" w:type="pct"/>
            <w:shd w:val="clear" w:color="auto" w:fill="auto"/>
            <w:noWrap/>
            <w:vAlign w:val="center"/>
          </w:tcPr>
          <w:p w14:paraId="688067B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2项</w:t>
            </w:r>
          </w:p>
        </w:tc>
        <w:tc>
          <w:tcPr>
            <w:tcW w:w="388" w:type="pct"/>
            <w:shd w:val="clear" w:color="auto" w:fill="auto"/>
            <w:noWrap/>
            <w:vAlign w:val="center"/>
          </w:tcPr>
          <w:p w14:paraId="6F5D1250">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296C1053">
            <w:pPr>
              <w:widowControl/>
              <w:spacing w:line="360" w:lineRule="auto"/>
              <w:jc w:val="center"/>
              <w:rPr>
                <w:rFonts w:hint="eastAsia" w:ascii="宋体" w:hAnsi="宋体" w:eastAsia="宋体" w:cs="宋体"/>
                <w:color w:val="auto"/>
                <w:szCs w:val="21"/>
              </w:rPr>
            </w:pPr>
          </w:p>
        </w:tc>
      </w:tr>
      <w:tr w14:paraId="23A3F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7D0E0680">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5</w:t>
            </w:r>
          </w:p>
        </w:tc>
        <w:tc>
          <w:tcPr>
            <w:tcW w:w="411" w:type="pct"/>
            <w:shd w:val="clear" w:color="auto" w:fill="auto"/>
            <w:noWrap/>
            <w:vAlign w:val="center"/>
          </w:tcPr>
          <w:p w14:paraId="49E0B8A6">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服务器机柜</w:t>
            </w:r>
          </w:p>
        </w:tc>
        <w:tc>
          <w:tcPr>
            <w:tcW w:w="2977" w:type="pct"/>
            <w:shd w:val="clear" w:color="auto" w:fill="auto"/>
            <w:noWrap/>
            <w:vAlign w:val="center"/>
          </w:tcPr>
          <w:p w14:paraId="0495007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1.设备尺寸：≥600*1200*2000mm；</w:t>
            </w:r>
          </w:p>
          <w:p w14:paraId="38FF0E9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2.拼装机柜，含前后门和机柜底板；</w:t>
            </w:r>
          </w:p>
          <w:p w14:paraId="6B5847B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3.机柜框架采用冷轧钢板；</w:t>
            </w:r>
          </w:p>
          <w:p w14:paraId="21A49CA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4.不含层板、侧门、PDU及散热单元；</w:t>
            </w:r>
          </w:p>
          <w:p w14:paraId="7C064A2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5.黑色外观；</w:t>
            </w:r>
          </w:p>
          <w:p w14:paraId="3AE6438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6.含并柜件1套；</w:t>
            </w:r>
          </w:p>
          <w:p w14:paraId="08825AF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7.含螺丝、螺母50套；</w:t>
            </w:r>
          </w:p>
          <w:p w14:paraId="717C4A3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8.含垂直绑线板两条；</w:t>
            </w:r>
          </w:p>
          <w:p w14:paraId="1D7AB1A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9.配套安装机架，机柜漏空挡板,塑料材质，阻止冷气流旁通，防尘，高度1U，卡扣式安装。</w:t>
            </w:r>
          </w:p>
        </w:tc>
        <w:tc>
          <w:tcPr>
            <w:tcW w:w="354" w:type="pct"/>
            <w:shd w:val="clear" w:color="auto" w:fill="auto"/>
            <w:noWrap/>
            <w:vAlign w:val="center"/>
          </w:tcPr>
          <w:p w14:paraId="4FCF2EF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7台</w:t>
            </w:r>
          </w:p>
        </w:tc>
        <w:tc>
          <w:tcPr>
            <w:tcW w:w="388" w:type="pct"/>
            <w:shd w:val="clear" w:color="auto" w:fill="auto"/>
            <w:noWrap/>
            <w:vAlign w:val="center"/>
          </w:tcPr>
          <w:p w14:paraId="36BDBF93">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7AC9295C">
            <w:pPr>
              <w:widowControl/>
              <w:spacing w:line="360" w:lineRule="auto"/>
              <w:jc w:val="center"/>
              <w:rPr>
                <w:rFonts w:hint="eastAsia" w:ascii="宋体" w:hAnsi="宋体" w:eastAsia="宋体" w:cs="宋体"/>
                <w:color w:val="auto"/>
                <w:szCs w:val="21"/>
              </w:rPr>
            </w:pPr>
          </w:p>
        </w:tc>
      </w:tr>
      <w:tr w14:paraId="74963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149CF202">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6</w:t>
            </w:r>
          </w:p>
        </w:tc>
        <w:tc>
          <w:tcPr>
            <w:tcW w:w="411" w:type="pct"/>
            <w:shd w:val="clear" w:color="auto" w:fill="auto"/>
            <w:noWrap/>
            <w:vAlign w:val="center"/>
          </w:tcPr>
          <w:p w14:paraId="1F8DED0A">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固定层板/L型支架</w:t>
            </w:r>
          </w:p>
        </w:tc>
        <w:tc>
          <w:tcPr>
            <w:tcW w:w="2977" w:type="pct"/>
            <w:shd w:val="clear" w:color="auto" w:fill="auto"/>
            <w:noWrap/>
            <w:vAlign w:val="center"/>
          </w:tcPr>
          <w:p w14:paraId="6D89DD8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1.固定层板：托放设备、承载50kg设备，适用1200mm深的服务器机柜；</w:t>
            </w:r>
          </w:p>
          <w:p w14:paraId="29441F27">
            <w:pPr>
              <w:widowControl w:val="0"/>
              <w:tabs>
                <w:tab w:val="left" w:pos="0"/>
                <w:tab w:val="left" w:pos="993"/>
                <w:tab w:val="left" w:pos="1134"/>
              </w:tabs>
              <w:spacing w:line="360" w:lineRule="auto"/>
              <w:ind w:left="0" w:firstLine="0"/>
              <w:jc w:val="both"/>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2.L型支架：托放设备、承载50kg设备,适用1200mm深的服务器机柜。</w:t>
            </w:r>
          </w:p>
        </w:tc>
        <w:tc>
          <w:tcPr>
            <w:tcW w:w="354" w:type="pct"/>
            <w:shd w:val="clear" w:color="auto" w:fill="auto"/>
            <w:noWrap/>
            <w:vAlign w:val="center"/>
          </w:tcPr>
          <w:p w14:paraId="69A9529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1套</w:t>
            </w:r>
          </w:p>
        </w:tc>
        <w:tc>
          <w:tcPr>
            <w:tcW w:w="388" w:type="pct"/>
            <w:shd w:val="clear" w:color="auto" w:fill="auto"/>
            <w:noWrap/>
            <w:vAlign w:val="center"/>
          </w:tcPr>
          <w:p w14:paraId="61C1BE31">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4BBE5718">
            <w:pPr>
              <w:widowControl/>
              <w:spacing w:line="360" w:lineRule="auto"/>
              <w:jc w:val="center"/>
              <w:rPr>
                <w:rFonts w:hint="eastAsia" w:ascii="宋体" w:hAnsi="宋体" w:eastAsia="宋体" w:cs="宋体"/>
                <w:color w:val="auto"/>
                <w:szCs w:val="21"/>
              </w:rPr>
            </w:pPr>
          </w:p>
        </w:tc>
      </w:tr>
      <w:tr w14:paraId="01871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076BFF4A">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7</w:t>
            </w:r>
          </w:p>
        </w:tc>
        <w:tc>
          <w:tcPr>
            <w:tcW w:w="411" w:type="pct"/>
            <w:shd w:val="clear" w:color="auto" w:fill="auto"/>
            <w:noWrap/>
            <w:vAlign w:val="center"/>
          </w:tcPr>
          <w:p w14:paraId="2E291A16">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模块化机房门</w:t>
            </w:r>
          </w:p>
        </w:tc>
        <w:tc>
          <w:tcPr>
            <w:tcW w:w="2977" w:type="pct"/>
            <w:shd w:val="clear" w:color="auto" w:fill="auto"/>
            <w:noWrap/>
            <w:vAlign w:val="center"/>
          </w:tcPr>
          <w:p w14:paraId="01D3FFE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1.隐藏式全自动双排门：适配双排通道宽度：≥1200mm，双开左右滑动门，自动开关门（电机驱动），配套：≥1200mm深拼装机柜使用，含声光告警安装辅件，隐藏式玻璃门，标配两边四色灯带；</w:t>
            </w:r>
          </w:p>
          <w:p w14:paraId="00E3B13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2.配套机柜侧门：1）适用IDM模块最外侧侧门，配套：≥1200mm深拼装机柜使用。装在通道左侧门；2）适用IDM模块最外侧侧门，带读卡器孔位，配套：≥1200mm深拼装机柜使用。装在通道右侧门；</w:t>
            </w:r>
          </w:p>
          <w:p w14:paraId="26B2D54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3.触摸屏安装侧门：适用IDM模块最外侧侧门，带显示屏和读卡器孔位，配套21.5英寸触摸屏使用，配套：≥1200mm深拼装机柜使用。装在通道右侧门。每套IDM数量配一个。</w:t>
            </w:r>
          </w:p>
        </w:tc>
        <w:tc>
          <w:tcPr>
            <w:tcW w:w="354" w:type="pct"/>
            <w:shd w:val="clear" w:color="auto" w:fill="auto"/>
            <w:noWrap/>
            <w:vAlign w:val="center"/>
          </w:tcPr>
          <w:p w14:paraId="44F4701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1套</w:t>
            </w:r>
          </w:p>
        </w:tc>
        <w:tc>
          <w:tcPr>
            <w:tcW w:w="388" w:type="pct"/>
            <w:shd w:val="clear" w:color="auto" w:fill="auto"/>
            <w:noWrap/>
            <w:vAlign w:val="center"/>
          </w:tcPr>
          <w:p w14:paraId="1B40403F">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09B90125">
            <w:pPr>
              <w:widowControl/>
              <w:spacing w:line="360" w:lineRule="auto"/>
              <w:jc w:val="center"/>
              <w:rPr>
                <w:rFonts w:hint="eastAsia" w:ascii="宋体" w:hAnsi="宋体" w:eastAsia="宋体" w:cs="宋体"/>
                <w:color w:val="auto"/>
                <w:szCs w:val="21"/>
              </w:rPr>
            </w:pPr>
          </w:p>
        </w:tc>
      </w:tr>
      <w:tr w14:paraId="0D262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3616761F">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8</w:t>
            </w:r>
          </w:p>
        </w:tc>
        <w:tc>
          <w:tcPr>
            <w:tcW w:w="411" w:type="pct"/>
            <w:shd w:val="clear" w:color="auto" w:fill="auto"/>
            <w:noWrap/>
            <w:vAlign w:val="center"/>
          </w:tcPr>
          <w:p w14:paraId="51D37ACB">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天窗</w:t>
            </w:r>
          </w:p>
        </w:tc>
        <w:tc>
          <w:tcPr>
            <w:tcW w:w="2977" w:type="pct"/>
            <w:shd w:val="clear" w:color="auto" w:fill="auto"/>
            <w:noWrap/>
            <w:vAlign w:val="center"/>
          </w:tcPr>
          <w:p w14:paraId="76820E9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1.配300mm或600mm宽空调机柜用，固定天窗，含安装支架，尺寸适配空调，配适配灯罩；</w:t>
            </w:r>
          </w:p>
          <w:p w14:paraId="16A1581E">
            <w:pPr>
              <w:spacing w:line="360" w:lineRule="auto"/>
              <w:rPr>
                <w:rFonts w:hint="eastAsia" w:ascii="宋体" w:hAnsi="宋体" w:eastAsia="宋体" w:cs="宋体"/>
                <w:color w:val="auto"/>
                <w:szCs w:val="21"/>
              </w:rPr>
            </w:pPr>
            <w:r>
              <w:rPr>
                <w:rFonts w:hint="eastAsia" w:ascii="宋体" w:hAnsi="宋体" w:eastAsia="宋体" w:cs="宋体"/>
                <w:color w:val="auto"/>
                <w:szCs w:val="21"/>
              </w:rPr>
              <w:t>2.配600mm宽机柜，旋转天窗或全钣金固定天窗，含安装支架。可代替走线梯走线用。单排柜位数10个以内选用。含灯罩；</w:t>
            </w:r>
          </w:p>
          <w:p w14:paraId="58261C24">
            <w:pPr>
              <w:spacing w:line="360" w:lineRule="auto"/>
              <w:rPr>
                <w:rFonts w:hint="eastAsia" w:ascii="宋体" w:hAnsi="宋体" w:eastAsia="宋体" w:cs="宋体"/>
                <w:color w:val="auto"/>
                <w:szCs w:val="21"/>
              </w:rPr>
            </w:pPr>
            <w:r>
              <w:rPr>
                <w:rFonts w:hint="eastAsia" w:ascii="宋体" w:hAnsi="宋体" w:eastAsia="宋体" w:cs="宋体"/>
                <w:color w:val="auto"/>
                <w:szCs w:val="21"/>
              </w:rPr>
              <w:t>3.配套LED照明灯；</w:t>
            </w:r>
          </w:p>
          <w:p w14:paraId="62B5EAA3">
            <w:pPr>
              <w:spacing w:line="360" w:lineRule="auto"/>
              <w:rPr>
                <w:rFonts w:hint="eastAsia" w:ascii="宋体" w:hAnsi="宋体" w:eastAsia="宋体" w:cs="宋体"/>
                <w:color w:val="auto"/>
                <w:szCs w:val="21"/>
              </w:rPr>
            </w:pPr>
            <w:r>
              <w:rPr>
                <w:rFonts w:hint="eastAsia" w:ascii="宋体" w:hAnsi="宋体" w:eastAsia="宋体" w:cs="宋体"/>
                <w:color w:val="auto"/>
                <w:szCs w:val="21"/>
              </w:rPr>
              <w:t>4.集成控制盒，含翻转天窗控制，含烟感消防接口，可为LED灯，翻转天窗电磁锁以及全自动双开门电机供电。外置式220VLED照明灯使用。</w:t>
            </w:r>
          </w:p>
        </w:tc>
        <w:tc>
          <w:tcPr>
            <w:tcW w:w="354" w:type="pct"/>
            <w:shd w:val="clear" w:color="auto" w:fill="auto"/>
            <w:noWrap/>
            <w:vAlign w:val="center"/>
          </w:tcPr>
          <w:p w14:paraId="15E7B3D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1套</w:t>
            </w:r>
          </w:p>
        </w:tc>
        <w:tc>
          <w:tcPr>
            <w:tcW w:w="388" w:type="pct"/>
            <w:shd w:val="clear" w:color="auto" w:fill="auto"/>
            <w:noWrap/>
            <w:vAlign w:val="center"/>
          </w:tcPr>
          <w:p w14:paraId="3ABBACE1">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134695EF">
            <w:pPr>
              <w:widowControl/>
              <w:spacing w:line="360" w:lineRule="auto"/>
              <w:jc w:val="center"/>
              <w:rPr>
                <w:rFonts w:hint="eastAsia" w:ascii="宋体" w:hAnsi="宋体" w:eastAsia="宋体" w:cs="宋体"/>
                <w:color w:val="auto"/>
                <w:szCs w:val="21"/>
              </w:rPr>
            </w:pPr>
          </w:p>
        </w:tc>
      </w:tr>
      <w:tr w14:paraId="7497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78934499">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9</w:t>
            </w:r>
          </w:p>
        </w:tc>
        <w:tc>
          <w:tcPr>
            <w:tcW w:w="411" w:type="pct"/>
            <w:shd w:val="clear" w:color="auto" w:fill="auto"/>
            <w:noWrap/>
            <w:vAlign w:val="center"/>
          </w:tcPr>
          <w:p w14:paraId="13BC4CB3">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指纹门禁一体机</w:t>
            </w:r>
          </w:p>
        </w:tc>
        <w:tc>
          <w:tcPr>
            <w:tcW w:w="2977" w:type="pct"/>
            <w:shd w:val="clear" w:color="auto" w:fill="auto"/>
            <w:noWrap/>
            <w:vAlign w:val="center"/>
          </w:tcPr>
          <w:p w14:paraId="72E50A8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1.支持指纹认证、密码认证和IC卡认证的门禁一体机；</w:t>
            </w:r>
          </w:p>
          <w:p w14:paraId="08D1937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2.集成读卡器和门禁控制器的功能，自带web访问；</w:t>
            </w:r>
          </w:p>
          <w:p w14:paraId="791536B9">
            <w:pPr>
              <w:widowControl w:val="0"/>
              <w:tabs>
                <w:tab w:val="left" w:pos="0"/>
                <w:tab w:val="left" w:pos="993"/>
                <w:tab w:val="left" w:pos="1134"/>
              </w:tabs>
              <w:spacing w:line="360" w:lineRule="auto"/>
              <w:ind w:left="0" w:firstLine="0"/>
              <w:jc w:val="both"/>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3.配套IC卡10张。</w:t>
            </w:r>
          </w:p>
        </w:tc>
        <w:tc>
          <w:tcPr>
            <w:tcW w:w="354" w:type="pct"/>
            <w:shd w:val="clear" w:color="auto" w:fill="auto"/>
            <w:noWrap/>
            <w:vAlign w:val="center"/>
          </w:tcPr>
          <w:p w14:paraId="3D87708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2台</w:t>
            </w:r>
          </w:p>
        </w:tc>
        <w:tc>
          <w:tcPr>
            <w:tcW w:w="388" w:type="pct"/>
            <w:shd w:val="clear" w:color="auto" w:fill="auto"/>
            <w:noWrap/>
            <w:vAlign w:val="center"/>
          </w:tcPr>
          <w:p w14:paraId="1A0763BF">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793FD328">
            <w:pPr>
              <w:widowControl/>
              <w:spacing w:line="360" w:lineRule="auto"/>
              <w:jc w:val="center"/>
              <w:rPr>
                <w:rFonts w:hint="eastAsia" w:ascii="宋体" w:hAnsi="宋体" w:eastAsia="宋体" w:cs="宋体"/>
                <w:color w:val="auto"/>
                <w:szCs w:val="21"/>
              </w:rPr>
            </w:pPr>
          </w:p>
        </w:tc>
      </w:tr>
      <w:tr w14:paraId="5B61C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11" w:type="pct"/>
            <w:gridSpan w:val="5"/>
            <w:shd w:val="clear" w:color="auto" w:fill="auto"/>
            <w:noWrap/>
            <w:vAlign w:val="center"/>
          </w:tcPr>
          <w:p w14:paraId="14F4997D">
            <w:pPr>
              <w:widowControl/>
              <w:spacing w:line="360" w:lineRule="auto"/>
              <w:rPr>
                <w:rFonts w:hint="eastAsia" w:ascii="宋体" w:hAnsi="宋体" w:eastAsia="宋体" w:cs="宋体"/>
                <w:color w:val="auto"/>
                <w:szCs w:val="21"/>
              </w:rPr>
            </w:pPr>
            <w:r>
              <w:rPr>
                <w:rFonts w:hint="eastAsia" w:ascii="宋体" w:hAnsi="宋体" w:eastAsia="宋体" w:cs="宋体"/>
                <w:color w:val="auto"/>
                <w:szCs w:val="21"/>
              </w:rPr>
              <w:t>二、</w:t>
            </w:r>
            <w:r>
              <w:rPr>
                <w:rFonts w:hint="eastAsia" w:ascii="宋体" w:hAnsi="宋体" w:eastAsia="宋体" w:cs="宋体"/>
                <w:b/>
                <w:bCs/>
                <w:color w:val="auto"/>
                <w:szCs w:val="21"/>
              </w:rPr>
              <w:t>计算机视觉综合实践平台</w:t>
            </w:r>
          </w:p>
        </w:tc>
        <w:tc>
          <w:tcPr>
            <w:tcW w:w="388" w:type="pct"/>
            <w:shd w:val="clear" w:color="auto" w:fill="auto"/>
            <w:noWrap/>
            <w:vAlign w:val="center"/>
          </w:tcPr>
          <w:p w14:paraId="12CCD52B">
            <w:pPr>
              <w:widowControl/>
              <w:spacing w:line="360" w:lineRule="auto"/>
              <w:rPr>
                <w:rFonts w:hint="eastAsia" w:ascii="宋体" w:hAnsi="宋体" w:eastAsia="宋体" w:cs="宋体"/>
                <w:color w:val="auto"/>
                <w:szCs w:val="21"/>
              </w:rPr>
            </w:pPr>
          </w:p>
        </w:tc>
      </w:tr>
      <w:tr w14:paraId="6C99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094456B3">
            <w:pPr>
              <w:widowControl/>
              <w:spacing w:line="360" w:lineRule="auto"/>
              <w:jc w:val="center"/>
              <w:rPr>
                <w:rFonts w:hint="eastAsia" w:ascii="宋体" w:hAnsi="宋体" w:eastAsia="宋体" w:cs="宋体"/>
                <w:color w:val="auto"/>
                <w:szCs w:val="21"/>
              </w:rPr>
            </w:pPr>
            <w:r>
              <w:rPr>
                <w:rFonts w:hint="eastAsia" w:ascii="宋体" w:hAnsi="宋体" w:eastAsia="宋体" w:cs="宋体"/>
                <w:b/>
                <w:bCs/>
                <w:color w:val="auto"/>
                <w:szCs w:val="21"/>
              </w:rPr>
              <w:t>（一）</w:t>
            </w:r>
          </w:p>
        </w:tc>
        <w:tc>
          <w:tcPr>
            <w:tcW w:w="3388" w:type="pct"/>
            <w:gridSpan w:val="2"/>
            <w:shd w:val="clear" w:color="auto" w:fill="auto"/>
            <w:noWrap/>
            <w:vAlign w:val="center"/>
          </w:tcPr>
          <w:p w14:paraId="6F4B39D2">
            <w:pPr>
              <w:widowControl/>
              <w:spacing w:line="360" w:lineRule="auto"/>
              <w:jc w:val="center"/>
              <w:rPr>
                <w:rFonts w:hint="eastAsia" w:ascii="宋体" w:hAnsi="宋体" w:eastAsia="宋体" w:cs="宋体"/>
                <w:color w:val="auto"/>
                <w:szCs w:val="21"/>
              </w:rPr>
            </w:pPr>
            <w:r>
              <w:rPr>
                <w:rFonts w:hint="eastAsia" w:ascii="宋体" w:hAnsi="宋体" w:eastAsia="宋体" w:cs="宋体"/>
                <w:b/>
                <w:bCs/>
                <w:color w:val="auto"/>
                <w:szCs w:val="21"/>
              </w:rPr>
              <w:t>2D相机</w:t>
            </w:r>
          </w:p>
        </w:tc>
        <w:tc>
          <w:tcPr>
            <w:tcW w:w="354" w:type="pct"/>
            <w:shd w:val="clear" w:color="auto" w:fill="auto"/>
            <w:noWrap/>
            <w:vAlign w:val="center"/>
          </w:tcPr>
          <w:p w14:paraId="613412DB">
            <w:pPr>
              <w:spacing w:line="360" w:lineRule="auto"/>
              <w:rPr>
                <w:rFonts w:hint="eastAsia" w:ascii="宋体" w:hAnsi="宋体" w:eastAsia="宋体" w:cs="宋体"/>
                <w:color w:val="auto"/>
                <w:szCs w:val="21"/>
              </w:rPr>
            </w:pPr>
          </w:p>
        </w:tc>
        <w:tc>
          <w:tcPr>
            <w:tcW w:w="388" w:type="pct"/>
            <w:shd w:val="clear" w:color="auto" w:fill="auto"/>
            <w:noWrap/>
            <w:vAlign w:val="center"/>
          </w:tcPr>
          <w:p w14:paraId="7D38078C">
            <w:pPr>
              <w:widowControl/>
              <w:spacing w:line="360" w:lineRule="auto"/>
              <w:jc w:val="center"/>
              <w:rPr>
                <w:rFonts w:hint="eastAsia" w:ascii="宋体" w:hAnsi="宋体" w:eastAsia="宋体" w:cs="宋体"/>
                <w:color w:val="auto"/>
                <w:szCs w:val="21"/>
              </w:rPr>
            </w:pPr>
          </w:p>
        </w:tc>
        <w:tc>
          <w:tcPr>
            <w:tcW w:w="388" w:type="pct"/>
            <w:shd w:val="clear" w:color="auto" w:fill="auto"/>
            <w:noWrap/>
            <w:vAlign w:val="center"/>
          </w:tcPr>
          <w:p w14:paraId="67C588B8">
            <w:pPr>
              <w:widowControl/>
              <w:spacing w:line="360" w:lineRule="auto"/>
              <w:jc w:val="center"/>
              <w:rPr>
                <w:rFonts w:hint="eastAsia" w:ascii="宋体" w:hAnsi="宋体" w:eastAsia="宋体" w:cs="宋体"/>
                <w:color w:val="auto"/>
                <w:szCs w:val="21"/>
              </w:rPr>
            </w:pPr>
          </w:p>
        </w:tc>
      </w:tr>
      <w:tr w14:paraId="0A104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42E9B1B5">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411" w:type="pct"/>
            <w:shd w:val="clear" w:color="auto" w:fill="auto"/>
            <w:noWrap/>
            <w:vAlign w:val="center"/>
          </w:tcPr>
          <w:p w14:paraId="3E6572F3">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2500万像素面阵相机（彩色）</w:t>
            </w:r>
          </w:p>
        </w:tc>
        <w:tc>
          <w:tcPr>
            <w:tcW w:w="2977" w:type="pct"/>
            <w:shd w:val="clear" w:color="auto" w:fill="auto"/>
            <w:noWrap/>
            <w:vAlign w:val="center"/>
          </w:tcPr>
          <w:p w14:paraId="602219D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1.像素：2500万像素；</w:t>
            </w:r>
          </w:p>
          <w:p w14:paraId="0A83C3E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2.传感器类型：CMOS,全局快门；</w:t>
            </w:r>
          </w:p>
          <w:p w14:paraId="3E1E03A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3.像元尺寸：2.5μm×2.5μm；靶面尺寸：1.1英寸；</w:t>
            </w:r>
          </w:p>
          <w:p w14:paraId="1ECC1D4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4.分辨率：≥5120×5120；</w:t>
            </w:r>
          </w:p>
          <w:p w14:paraId="0E7958D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5.最大帧率：≥4.0fps@5120×5120BayerBG8；</w:t>
            </w:r>
          </w:p>
          <w:p w14:paraId="18777DE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6.动态范围：≥63dB；</w:t>
            </w:r>
          </w:p>
          <w:p w14:paraId="1248092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7.信噪比：≥36dB；</w:t>
            </w:r>
          </w:p>
          <w:p w14:paraId="3AA6DB8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8.增益范围：1dB～24dB；</w:t>
            </w:r>
          </w:p>
          <w:p w14:paraId="6650EDD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9.曝光时间范围：16μs～10s；</w:t>
            </w:r>
          </w:p>
          <w:p w14:paraId="75B5C06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10.快门模式：支持自动曝光、手动曝光、一键曝光模式；</w:t>
            </w:r>
          </w:p>
          <w:p w14:paraId="74C66A0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11.黑白/彩色：彩色；</w:t>
            </w:r>
          </w:p>
          <w:p w14:paraId="05E48AF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 xml:space="preserve">12.像素格式：Mono8/10/12,BayerBG8/10/10Packed/12/12Packed,YUV422Packed,YUV422_YUYV_Packed,RGB8,BGR8； </w:t>
            </w:r>
          </w:p>
          <w:p w14:paraId="704C14D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13.镜像：支持水平镜像、垂直镜像输出。</w:t>
            </w:r>
          </w:p>
        </w:tc>
        <w:tc>
          <w:tcPr>
            <w:tcW w:w="354" w:type="pct"/>
            <w:shd w:val="clear" w:color="auto" w:fill="auto"/>
            <w:noWrap/>
            <w:vAlign w:val="center"/>
          </w:tcPr>
          <w:p w14:paraId="3380B18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6AB016A2">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584DD67B">
            <w:pPr>
              <w:widowControl/>
              <w:spacing w:line="360" w:lineRule="auto"/>
              <w:jc w:val="center"/>
              <w:rPr>
                <w:rFonts w:hint="eastAsia" w:ascii="宋体" w:hAnsi="宋体" w:eastAsia="宋体" w:cs="宋体"/>
                <w:color w:val="auto"/>
                <w:szCs w:val="21"/>
              </w:rPr>
            </w:pPr>
          </w:p>
        </w:tc>
      </w:tr>
      <w:tr w14:paraId="679B7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2037E014">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411" w:type="pct"/>
            <w:shd w:val="clear" w:color="auto" w:fill="auto"/>
            <w:noWrap/>
            <w:vAlign w:val="center"/>
          </w:tcPr>
          <w:p w14:paraId="37A14D24">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线阵相机（彩色）</w:t>
            </w:r>
          </w:p>
        </w:tc>
        <w:tc>
          <w:tcPr>
            <w:tcW w:w="2977" w:type="pct"/>
            <w:shd w:val="clear" w:color="auto" w:fill="auto"/>
            <w:noWrap/>
            <w:vAlign w:val="center"/>
          </w:tcPr>
          <w:p w14:paraId="64A171C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1.支持8k线扫；</w:t>
            </w:r>
          </w:p>
          <w:p w14:paraId="788C3C6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2.传感器类型：CMOS；</w:t>
            </w:r>
          </w:p>
          <w:p w14:paraId="39CBD58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3.成像模式：支持1-Line；</w:t>
            </w:r>
          </w:p>
          <w:p w14:paraId="6DCE3D3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4.像元尺寸：7μm×7μm；</w:t>
            </w:r>
          </w:p>
          <w:p w14:paraId="7596477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5.最大行频：≥33kHz；</w:t>
            </w:r>
          </w:p>
          <w:p w14:paraId="3E5749C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6.分辨率：≥8192×3；</w:t>
            </w:r>
          </w:p>
          <w:p w14:paraId="20E2630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7.动态范围：≥63.0dB；</w:t>
            </w:r>
          </w:p>
          <w:p w14:paraId="0390392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8.信噪比：≥40dB；</w:t>
            </w:r>
          </w:p>
          <w:p w14:paraId="7370574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9.曝光时间范围：3μs～60ms；</w:t>
            </w:r>
          </w:p>
          <w:p w14:paraId="5BC3AC4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10.快门模式：支持自动曝光、手动曝光、一键曝光、脉冲控制曝光；</w:t>
            </w:r>
          </w:p>
          <w:p w14:paraId="2C4BD7E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11.黑白/彩色：彩色；</w:t>
            </w:r>
          </w:p>
          <w:p w14:paraId="2F06B9E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12.像素格式：Mono8BayerRG8/10RGB8,BGR8；</w:t>
            </w:r>
          </w:p>
          <w:p w14:paraId="7249AE7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13.镜像：支持水平镜像；</w:t>
            </w:r>
          </w:p>
          <w:p w14:paraId="6EB4BB6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14.触发模式：外触发,内触发；</w:t>
            </w:r>
          </w:p>
          <w:p w14:paraId="2EF778B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15.外触发模式：行触发,帧触发,行+帧触发；</w:t>
            </w:r>
          </w:p>
          <w:p w14:paraId="301A6D1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16.供电：12～24V，DC；</w:t>
            </w:r>
          </w:p>
          <w:p w14:paraId="7C8234A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17.镜头接口：M72*0.75,法兰后焦12mm；可通过转接环转接至F口、C口及其他螺纹口镜头。</w:t>
            </w:r>
          </w:p>
        </w:tc>
        <w:tc>
          <w:tcPr>
            <w:tcW w:w="354" w:type="pct"/>
            <w:shd w:val="clear" w:color="auto" w:fill="auto"/>
            <w:noWrap/>
            <w:vAlign w:val="center"/>
          </w:tcPr>
          <w:p w14:paraId="5398BB7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021F642B">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254A0268">
            <w:pPr>
              <w:widowControl/>
              <w:spacing w:line="360" w:lineRule="auto"/>
              <w:jc w:val="center"/>
              <w:rPr>
                <w:rFonts w:hint="eastAsia" w:ascii="宋体" w:hAnsi="宋体" w:eastAsia="宋体" w:cs="宋体"/>
                <w:color w:val="auto"/>
                <w:szCs w:val="21"/>
              </w:rPr>
            </w:pPr>
          </w:p>
        </w:tc>
      </w:tr>
      <w:tr w14:paraId="7AC13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36E898DB">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411" w:type="pct"/>
            <w:shd w:val="clear" w:color="auto" w:fill="auto"/>
            <w:noWrap/>
            <w:vAlign w:val="center"/>
          </w:tcPr>
          <w:p w14:paraId="2F1937F9">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面阵相机（黑白）</w:t>
            </w:r>
          </w:p>
        </w:tc>
        <w:tc>
          <w:tcPr>
            <w:tcW w:w="2977" w:type="pct"/>
            <w:shd w:val="clear" w:color="auto" w:fill="auto"/>
            <w:noWrap/>
            <w:vAlign w:val="center"/>
          </w:tcPr>
          <w:p w14:paraId="6BC7357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1.像素：≥2500万像素；</w:t>
            </w:r>
          </w:p>
          <w:p w14:paraId="792FF60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2.传感器类型：CMOS,全局快门；</w:t>
            </w:r>
          </w:p>
          <w:p w14:paraId="1963794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3.像元尺寸：2.5μm×2.5μm；</w:t>
            </w:r>
          </w:p>
          <w:p w14:paraId="34DB771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4.靶面尺寸：1.1英寸；</w:t>
            </w:r>
          </w:p>
          <w:p w14:paraId="02E0AE2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5.分辨率：≥5120×5120；</w:t>
            </w:r>
          </w:p>
          <w:p w14:paraId="21F154D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6.最大帧率：≥4.0fps@5120×5120Mono8；</w:t>
            </w:r>
          </w:p>
          <w:p w14:paraId="13DD3AC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7.动态范围：≥63dB；</w:t>
            </w:r>
          </w:p>
          <w:p w14:paraId="03B5FC7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8.信噪比：≥36dB；</w:t>
            </w:r>
          </w:p>
          <w:p w14:paraId="2B60EF2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9.增益：1dB～24dB；</w:t>
            </w:r>
          </w:p>
          <w:p w14:paraId="644E56A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10.曝光时间：20μs～10s；</w:t>
            </w:r>
          </w:p>
          <w:p w14:paraId="1DC2062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11.快门模式：支持自动曝光、手动曝光、一键曝光模式；</w:t>
            </w:r>
          </w:p>
          <w:p w14:paraId="0455BF6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12.像素格式：Mono8/10/10Packed/12/12Packed；</w:t>
            </w:r>
          </w:p>
          <w:p w14:paraId="5C1AFA1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13.镜像：支持水平镜像.垂直镜像输出；</w:t>
            </w:r>
          </w:p>
          <w:p w14:paraId="7A58CD5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14.数据接口：GigabitEthernet(1000Mbit/s)，兼容FastEthernet(100Mbit/s)；</w:t>
            </w:r>
          </w:p>
          <w:p w14:paraId="6F2766D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15.镜头接口：C-mount。</w:t>
            </w:r>
          </w:p>
        </w:tc>
        <w:tc>
          <w:tcPr>
            <w:tcW w:w="354" w:type="pct"/>
            <w:shd w:val="clear" w:color="auto" w:fill="auto"/>
            <w:noWrap/>
            <w:vAlign w:val="center"/>
          </w:tcPr>
          <w:p w14:paraId="3BFE3AE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67BA8009">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36CDE252">
            <w:pPr>
              <w:widowControl/>
              <w:spacing w:line="360" w:lineRule="auto"/>
              <w:jc w:val="center"/>
              <w:rPr>
                <w:rFonts w:hint="eastAsia" w:ascii="宋体" w:hAnsi="宋体" w:eastAsia="宋体" w:cs="宋体"/>
                <w:color w:val="auto"/>
                <w:szCs w:val="21"/>
              </w:rPr>
            </w:pPr>
          </w:p>
        </w:tc>
      </w:tr>
      <w:tr w14:paraId="47BD4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702B7C38">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4</w:t>
            </w:r>
          </w:p>
        </w:tc>
        <w:tc>
          <w:tcPr>
            <w:tcW w:w="411" w:type="pct"/>
            <w:shd w:val="clear" w:color="auto" w:fill="auto"/>
            <w:noWrap/>
            <w:vAlign w:val="center"/>
          </w:tcPr>
          <w:p w14:paraId="7201686A">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线阵相机（黑白）</w:t>
            </w:r>
          </w:p>
        </w:tc>
        <w:tc>
          <w:tcPr>
            <w:tcW w:w="2977" w:type="pct"/>
            <w:shd w:val="clear" w:color="auto" w:fill="auto"/>
            <w:noWrap/>
            <w:vAlign w:val="center"/>
          </w:tcPr>
          <w:p w14:paraId="151FCDD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1.支持8k线扫；</w:t>
            </w:r>
          </w:p>
          <w:p w14:paraId="07E3485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2.传感器类型：CMOS；</w:t>
            </w:r>
          </w:p>
          <w:p w14:paraId="08BC315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3.成像模式：支持1-Line；</w:t>
            </w:r>
          </w:p>
          <w:p w14:paraId="76BF37C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4.像元尺寸：7μm×7μm；</w:t>
            </w:r>
          </w:p>
          <w:p w14:paraId="0F7582B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5.最大行频：≥50kHz@Mono8/10/12；</w:t>
            </w:r>
          </w:p>
          <w:p w14:paraId="188028A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6.分辨率：≥8192×1；</w:t>
            </w:r>
          </w:p>
          <w:p w14:paraId="7BD4A9F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7.动态范围：≥60dB；</w:t>
            </w:r>
          </w:p>
          <w:p w14:paraId="3FAE4E6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8.信噪比：≥40dB；</w:t>
            </w:r>
          </w:p>
          <w:p w14:paraId="2292313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9.曝光时间：5μs～10ms；</w:t>
            </w:r>
          </w:p>
          <w:p w14:paraId="5369463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10.快门模式：支持自动曝光、手动曝光、一键曝光、脉冲控制曝光；</w:t>
            </w:r>
          </w:p>
          <w:p w14:paraId="70DCE9A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11.黑白/彩色：黑白；</w:t>
            </w:r>
          </w:p>
          <w:p w14:paraId="2421047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12.像素格式：Mono8/10/12；</w:t>
            </w:r>
          </w:p>
          <w:p w14:paraId="1534F58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13.Binning：支持1×1,1×2,1×4,2×1,2×2,2×4,4×1,4×2,4×4；</w:t>
            </w:r>
          </w:p>
          <w:p w14:paraId="7F63BFB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14.镜像：支持水平镜像；</w:t>
            </w:r>
          </w:p>
          <w:p w14:paraId="13FD21F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15.触发模式：外触发,内触发；</w:t>
            </w:r>
          </w:p>
          <w:p w14:paraId="0AA18B4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16.外触发模式：行触发,帧触发,行+帧触发；</w:t>
            </w:r>
          </w:p>
          <w:p w14:paraId="4F650BC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17.数据接口：GigabitEthernet(1000Mbit/s)，兼容FastEthernet(100Mbit/s)；</w:t>
            </w:r>
          </w:p>
          <w:p w14:paraId="7C61596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18.供电：12～24V，DC；</w:t>
            </w:r>
          </w:p>
          <w:p w14:paraId="45D9FE8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19.镜头接口：M72*0.75，可通过转接环转接至F口、C口及其他螺纹口镜头。</w:t>
            </w:r>
          </w:p>
        </w:tc>
        <w:tc>
          <w:tcPr>
            <w:tcW w:w="354" w:type="pct"/>
            <w:shd w:val="clear" w:color="auto" w:fill="auto"/>
            <w:noWrap/>
            <w:vAlign w:val="center"/>
          </w:tcPr>
          <w:p w14:paraId="0035B15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4662B35D">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1CB6ADB2">
            <w:pPr>
              <w:widowControl/>
              <w:spacing w:line="360" w:lineRule="auto"/>
              <w:jc w:val="center"/>
              <w:rPr>
                <w:rFonts w:hint="eastAsia" w:ascii="宋体" w:hAnsi="宋体" w:eastAsia="宋体" w:cs="宋体"/>
                <w:color w:val="auto"/>
                <w:szCs w:val="21"/>
              </w:rPr>
            </w:pPr>
          </w:p>
        </w:tc>
      </w:tr>
      <w:tr w14:paraId="03AB0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57D685F9">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5</w:t>
            </w:r>
          </w:p>
        </w:tc>
        <w:tc>
          <w:tcPr>
            <w:tcW w:w="411" w:type="pct"/>
            <w:shd w:val="clear" w:color="auto" w:fill="auto"/>
            <w:noWrap/>
            <w:vAlign w:val="center"/>
          </w:tcPr>
          <w:p w14:paraId="3213DE91">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6500w面阵相机（彩色）</w:t>
            </w:r>
          </w:p>
        </w:tc>
        <w:tc>
          <w:tcPr>
            <w:tcW w:w="2977" w:type="pct"/>
            <w:shd w:val="clear" w:color="auto" w:fill="auto"/>
            <w:noWrap/>
            <w:vAlign w:val="center"/>
          </w:tcPr>
          <w:p w14:paraId="2F398B2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1.像素：6500w像素；</w:t>
            </w:r>
          </w:p>
          <w:p w14:paraId="7E6DAC0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2.传感器类型：CMOS,全局快门；</w:t>
            </w:r>
          </w:p>
          <w:p w14:paraId="4D31862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3.像元尺寸：3.2μm×3.2μm；</w:t>
            </w:r>
          </w:p>
          <w:p w14:paraId="45E5DFC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4.靶面尺寸：29.9mmx22.4mm；</w:t>
            </w:r>
          </w:p>
          <w:p w14:paraId="12D45BF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5.分辨率：≥9344×7000；</w:t>
            </w:r>
          </w:p>
          <w:p w14:paraId="3075B5F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6.最大帧率：≥71fps@9344×7000BayerRG8；</w:t>
            </w:r>
          </w:p>
          <w:p w14:paraId="2542587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7.动态范围：≥66dB；</w:t>
            </w:r>
          </w:p>
          <w:p w14:paraId="5D8F8ED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8.信噪比：≥40dB；</w:t>
            </w:r>
          </w:p>
          <w:p w14:paraId="2F6E16D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9.曝光时间：25μs～10s；</w:t>
            </w:r>
          </w:p>
          <w:p w14:paraId="7B4C3A8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10.快门模式：支持自动曝光、手动曝光、一键曝光模式；</w:t>
            </w:r>
          </w:p>
          <w:p w14:paraId="16146C0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11.黑白/彩色：彩色；</w:t>
            </w:r>
          </w:p>
          <w:p w14:paraId="19F1E36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12.像素格式：BayerBG8/10/12；</w:t>
            </w:r>
          </w:p>
          <w:p w14:paraId="2D98DE5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13.Binning：支持1×1,2×2,4×4；</w:t>
            </w:r>
          </w:p>
          <w:p w14:paraId="69E6B53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14.下采样：支持1×1,2×2,4×4；</w:t>
            </w:r>
          </w:p>
          <w:p w14:paraId="594BCD0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15.镜像：支持水平镜像,垂直镜像输出；</w:t>
            </w:r>
          </w:p>
          <w:p w14:paraId="1E13794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16.数据接口：CoaXPress(Micro-BNC接口)；</w:t>
            </w:r>
          </w:p>
          <w:p w14:paraId="2B996AE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17.镜头接口：M58*0.75。</w:t>
            </w:r>
          </w:p>
        </w:tc>
        <w:tc>
          <w:tcPr>
            <w:tcW w:w="354" w:type="pct"/>
            <w:shd w:val="clear" w:color="auto" w:fill="auto"/>
            <w:noWrap/>
            <w:vAlign w:val="center"/>
          </w:tcPr>
          <w:p w14:paraId="53A465E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3D66DAA7">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6073E013">
            <w:pPr>
              <w:widowControl/>
              <w:spacing w:line="360" w:lineRule="auto"/>
              <w:jc w:val="center"/>
              <w:rPr>
                <w:rFonts w:hint="eastAsia" w:ascii="宋体" w:hAnsi="宋体" w:eastAsia="宋体" w:cs="宋体"/>
                <w:color w:val="auto"/>
                <w:szCs w:val="21"/>
              </w:rPr>
            </w:pPr>
          </w:p>
        </w:tc>
      </w:tr>
      <w:tr w14:paraId="16A4F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5E3DFEC8">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6</w:t>
            </w:r>
          </w:p>
        </w:tc>
        <w:tc>
          <w:tcPr>
            <w:tcW w:w="411" w:type="pct"/>
            <w:shd w:val="clear" w:color="auto" w:fill="auto"/>
            <w:noWrap/>
            <w:vAlign w:val="center"/>
          </w:tcPr>
          <w:p w14:paraId="18BA7492">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长波红外相机</w:t>
            </w:r>
          </w:p>
        </w:tc>
        <w:tc>
          <w:tcPr>
            <w:tcW w:w="2977" w:type="pct"/>
            <w:shd w:val="clear" w:color="auto" w:fill="auto"/>
            <w:noWrap/>
            <w:vAlign w:val="center"/>
          </w:tcPr>
          <w:p w14:paraId="30C61BD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1.千兆网长波红外相机，测温型，镜头焦距6.3mm；</w:t>
            </w:r>
          </w:p>
          <w:p w14:paraId="50A9494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2.传感器类型：氧化钒非制冷型探测器；</w:t>
            </w:r>
          </w:p>
          <w:p w14:paraId="2775734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3.像元尺寸：17μm；</w:t>
            </w:r>
          </w:p>
          <w:p w14:paraId="2AD2F4D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4.分辨率：≥640×512；</w:t>
            </w:r>
          </w:p>
          <w:p w14:paraId="16ABE72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5.最大帧率：≥50fps@640×512；</w:t>
            </w:r>
          </w:p>
          <w:p w14:paraId="196787E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6.热灵敏度：≤50mk(F1.0,30°C)；</w:t>
            </w:r>
          </w:p>
          <w:p w14:paraId="6D56A63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7.像素格式：Mono16，Float32，YUV422(YUYV)Packed,YUV422Packed；</w:t>
            </w:r>
          </w:p>
          <w:p w14:paraId="227A756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8.伪彩模式：WhiteHot、BlackHot、Fusion1、Rainbow、Fusion2、Ironbow1、Ironbow2、Sepia、Color1、Color2、IceFire、Rain、GreenHot、RedHot；</w:t>
            </w:r>
          </w:p>
          <w:p w14:paraId="5F47FA1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9.图像处理：支持亮度、锐度、Gamma校正；</w:t>
            </w:r>
          </w:p>
          <w:p w14:paraId="300FBCE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10.焦距：6.3mm；</w:t>
            </w:r>
          </w:p>
          <w:p w14:paraId="14B8BCC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11.视场角：≥88.5°×73.2°；</w:t>
            </w:r>
          </w:p>
          <w:p w14:paraId="1CE6A4F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12.空间分辨率：2.70；</w:t>
            </w:r>
          </w:p>
          <w:p w14:paraId="2B9B761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13.光圈：1.0；</w:t>
            </w:r>
          </w:p>
          <w:p w14:paraId="2622E63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14.热成像近摄距：≤0.6m；</w:t>
            </w:r>
          </w:p>
          <w:p w14:paraId="02309EA0">
            <w:pPr>
              <w:jc w:val="left"/>
              <w:rPr>
                <w:rFonts w:hint="eastAsia" w:ascii="宋体" w:hAnsi="宋体" w:eastAsia="宋体" w:cs="宋体"/>
                <w:color w:val="auto"/>
                <w:szCs w:val="21"/>
              </w:rPr>
            </w:pPr>
            <w:r>
              <w:rPr>
                <w:rFonts w:hint="eastAsia" w:ascii="宋体" w:hAnsi="宋体" w:eastAsia="宋体" w:cs="宋体"/>
                <w:color w:val="auto"/>
                <w:szCs w:val="21"/>
              </w:rPr>
              <w:t>15.测温范围：-20</w:t>
            </w:r>
            <w:r>
              <w:rPr>
                <w:rFonts w:ascii="Arial" w:hAnsi="Arial" w:eastAsia="Arial" w:cs="Arial"/>
                <w:color w:val="auto"/>
                <w:sz w:val="22"/>
              </w:rPr>
              <w:t>℃</w:t>
            </w:r>
            <w:r>
              <w:rPr>
                <w:rFonts w:hint="eastAsia" w:ascii="宋体" w:hAnsi="宋体" w:eastAsia="宋体" w:cs="宋体"/>
                <w:color w:val="auto"/>
                <w:szCs w:val="21"/>
              </w:rPr>
              <w:t>～150</w:t>
            </w:r>
            <w:r>
              <w:rPr>
                <w:rFonts w:ascii="Arial" w:hAnsi="Arial" w:eastAsia="Arial" w:cs="Arial"/>
                <w:color w:val="auto"/>
                <w:sz w:val="22"/>
              </w:rPr>
              <w:t>℃</w:t>
            </w:r>
            <w:r>
              <w:rPr>
                <w:rFonts w:hint="eastAsia" w:ascii="宋体" w:hAnsi="宋体" w:eastAsia="宋体" w:cs="宋体"/>
                <w:color w:val="auto"/>
                <w:szCs w:val="21"/>
              </w:rPr>
              <w:t>或0～550</w:t>
            </w:r>
            <w:r>
              <w:rPr>
                <w:rFonts w:ascii="Arial" w:hAnsi="Arial" w:eastAsia="Arial" w:cs="Arial"/>
                <w:color w:val="auto"/>
                <w:sz w:val="22"/>
              </w:rPr>
              <w:t>℃</w:t>
            </w:r>
            <w:r>
              <w:rPr>
                <w:rFonts w:hint="eastAsia" w:ascii="宋体" w:hAnsi="宋体" w:eastAsia="宋体" w:cs="宋体"/>
                <w:color w:val="auto"/>
                <w:szCs w:val="21"/>
              </w:rPr>
              <w:t>；</w:t>
            </w:r>
          </w:p>
          <w:p w14:paraId="55764F0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16.测温精度：±2°C或读数的±2%；</w:t>
            </w:r>
          </w:p>
          <w:p w14:paraId="17CD3F7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17.测温最远距离：≥5m(@目标大小0.1×0.1m</w:t>
            </w:r>
            <w:r>
              <w:rPr>
                <w:rFonts w:hint="eastAsia" w:ascii="宋体" w:hAnsi="宋体" w:eastAsia="宋体" w:cs="宋体"/>
                <w:color w:val="auto"/>
                <w:szCs w:val="21"/>
                <w:vertAlign w:val="superscript"/>
              </w:rPr>
              <w:t>2</w:t>
            </w:r>
            <w:r>
              <w:rPr>
                <w:rFonts w:hint="eastAsia" w:ascii="宋体" w:hAnsi="宋体" w:eastAsia="宋体" w:cs="宋体"/>
                <w:color w:val="auto"/>
                <w:szCs w:val="21"/>
              </w:rPr>
              <w:t>)；</w:t>
            </w:r>
          </w:p>
          <w:p w14:paraId="7EFCF76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18.数据接口：GigabitEthernet(1000Mbit/s)；</w:t>
            </w:r>
          </w:p>
          <w:p w14:paraId="75BAAA1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19.供电：9～24VDC。</w:t>
            </w:r>
          </w:p>
        </w:tc>
        <w:tc>
          <w:tcPr>
            <w:tcW w:w="354" w:type="pct"/>
            <w:shd w:val="clear" w:color="auto" w:fill="auto"/>
            <w:noWrap/>
            <w:vAlign w:val="center"/>
          </w:tcPr>
          <w:p w14:paraId="2C2BEC2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30277FCE">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32B310FC">
            <w:pPr>
              <w:widowControl/>
              <w:spacing w:line="360" w:lineRule="auto"/>
              <w:jc w:val="center"/>
              <w:rPr>
                <w:rFonts w:hint="eastAsia" w:ascii="宋体" w:hAnsi="宋体" w:eastAsia="宋体" w:cs="宋体"/>
                <w:color w:val="auto"/>
                <w:szCs w:val="21"/>
              </w:rPr>
            </w:pPr>
          </w:p>
        </w:tc>
      </w:tr>
      <w:tr w14:paraId="1C39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663DE9ED">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7</w:t>
            </w:r>
          </w:p>
        </w:tc>
        <w:tc>
          <w:tcPr>
            <w:tcW w:w="411" w:type="pct"/>
            <w:shd w:val="clear" w:color="auto" w:fill="auto"/>
            <w:noWrap/>
            <w:vAlign w:val="center"/>
          </w:tcPr>
          <w:p w14:paraId="07CEB450">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短波红外相机</w:t>
            </w:r>
          </w:p>
        </w:tc>
        <w:tc>
          <w:tcPr>
            <w:tcW w:w="2977" w:type="pct"/>
            <w:shd w:val="clear" w:color="auto" w:fill="auto"/>
            <w:noWrap/>
            <w:vAlign w:val="center"/>
          </w:tcPr>
          <w:p w14:paraId="6F613FB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█1.千兆网短波红外相机≥130万像素；</w:t>
            </w:r>
          </w:p>
          <w:p w14:paraId="1880987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2.传感器类型：InGaAs；</w:t>
            </w:r>
          </w:p>
          <w:p w14:paraId="426FD79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3.像元尺寸：5μm×5μm；</w:t>
            </w:r>
          </w:p>
          <w:p w14:paraId="414501F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4.靶面尺寸：1/2英寸；</w:t>
            </w:r>
          </w:p>
          <w:p w14:paraId="77C3792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5.分辨率：≥1280×1024；</w:t>
            </w:r>
          </w:p>
          <w:p w14:paraId="3B8DF17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█6.最大帧率：≥80fps@1280×1024Mono8；</w:t>
            </w:r>
          </w:p>
          <w:p w14:paraId="35AA9C7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7.动态范围：≥56dB；</w:t>
            </w:r>
          </w:p>
          <w:p w14:paraId="062ACBE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█8.信噪比：≥52.2dB；</w:t>
            </w:r>
          </w:p>
          <w:p w14:paraId="4F587B9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9.增益：0dB～18dB；</w:t>
            </w:r>
          </w:p>
          <w:p w14:paraId="6713C5C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10.曝光时间：8μs～0.1s；</w:t>
            </w:r>
          </w:p>
          <w:p w14:paraId="5DF9DD6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11.快门模式：支持自动曝光、手动曝光、一键曝光等模式；</w:t>
            </w:r>
          </w:p>
          <w:p w14:paraId="20031A4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12.像素格式：Mono8/10/10Packed/12/12Packed；</w:t>
            </w:r>
          </w:p>
          <w:p w14:paraId="19BBE81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13.Binning：支持1×1,2×2,4×4；</w:t>
            </w:r>
          </w:p>
          <w:p w14:paraId="1B0BBF4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14.下采样：支持1×1,2×2；</w:t>
            </w:r>
          </w:p>
          <w:p w14:paraId="171288A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15.镜像：支持水平镜像.垂直镜像输出；</w:t>
            </w:r>
          </w:p>
          <w:p w14:paraId="1A6468D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16.数据接口：GigabitEthernet(1000Mbit/s)，兼容FastEthernet(100Mbit/s)；</w:t>
            </w:r>
          </w:p>
          <w:p w14:paraId="2115926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17.镜头接口：C-Mount。</w:t>
            </w:r>
          </w:p>
        </w:tc>
        <w:tc>
          <w:tcPr>
            <w:tcW w:w="354" w:type="pct"/>
            <w:shd w:val="clear" w:color="auto" w:fill="auto"/>
            <w:noWrap/>
            <w:vAlign w:val="center"/>
          </w:tcPr>
          <w:p w14:paraId="6A8C53E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13AB7C37">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5DBAF91A">
            <w:pPr>
              <w:widowControl/>
              <w:spacing w:line="360" w:lineRule="auto"/>
              <w:jc w:val="center"/>
              <w:rPr>
                <w:rFonts w:hint="eastAsia" w:ascii="宋体" w:hAnsi="宋体" w:eastAsia="宋体" w:cs="宋体"/>
                <w:color w:val="auto"/>
                <w:szCs w:val="21"/>
              </w:rPr>
            </w:pPr>
          </w:p>
        </w:tc>
      </w:tr>
      <w:tr w14:paraId="0A16F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11FD521E">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8</w:t>
            </w:r>
          </w:p>
        </w:tc>
        <w:tc>
          <w:tcPr>
            <w:tcW w:w="411" w:type="pct"/>
            <w:shd w:val="clear" w:color="auto" w:fill="auto"/>
            <w:noWrap/>
            <w:vAlign w:val="center"/>
          </w:tcPr>
          <w:p w14:paraId="6D566D13">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800万高清紫外相机</w:t>
            </w:r>
          </w:p>
        </w:tc>
        <w:tc>
          <w:tcPr>
            <w:tcW w:w="2977" w:type="pct"/>
            <w:shd w:val="clear" w:color="auto" w:fill="auto"/>
            <w:noWrap/>
            <w:vAlign w:val="center"/>
          </w:tcPr>
          <w:p w14:paraId="35FEAC0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1.像素：800万像素；</w:t>
            </w:r>
          </w:p>
          <w:p w14:paraId="3888E6B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2.像元尺寸：2.74μm×2.74μm；</w:t>
            </w:r>
          </w:p>
          <w:p w14:paraId="7973346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3.靶面尺寸：2/3英寸；</w:t>
            </w:r>
          </w:p>
          <w:p w14:paraId="3AADA65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█4.帧率&amp;分辨率：≥40fps@2840×2840；</w:t>
            </w:r>
          </w:p>
          <w:p w14:paraId="2686CD7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5.动态范围：≥71.2dB；</w:t>
            </w:r>
          </w:p>
          <w:p w14:paraId="7A9AF5A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6.信噪比：≥40.0dB；</w:t>
            </w:r>
          </w:p>
          <w:p w14:paraId="439A258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7.曝光时间范围：30μs～10s；</w:t>
            </w:r>
          </w:p>
          <w:p w14:paraId="14EE522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8.快门模式：全局快门；</w:t>
            </w:r>
          </w:p>
          <w:p w14:paraId="5270768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9.Binning模式：硬件2×2；软件2×2,3×3,4×4；</w:t>
            </w:r>
          </w:p>
          <w:p w14:paraId="7E71374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10.数据接口：USB3.0；</w:t>
            </w:r>
          </w:p>
          <w:p w14:paraId="65A7C91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11.输入输出：数字IO1路光耦隔离输入，1路光耦17.隔离输出，2路非隔离输入输出口；</w:t>
            </w:r>
          </w:p>
          <w:p w14:paraId="00C8A59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12.数据格式：8bit/12bit；</w:t>
            </w:r>
          </w:p>
          <w:p w14:paraId="65DC0C7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13.重量：≤300g；</w:t>
            </w:r>
          </w:p>
          <w:p w14:paraId="5063AFD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14.镜头接口：C接口；</w:t>
            </w:r>
          </w:p>
          <w:p w14:paraId="41944C4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15.软件：提供完整的SDK开发包/成像软件；</w:t>
            </w:r>
          </w:p>
          <w:p w14:paraId="676CDF5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16.操作系统支持：</w:t>
            </w:r>
            <w:r>
              <w:rPr>
                <w:rFonts w:ascii="宋体" w:hAnsi="宋体" w:eastAsia="宋体" w:cs="宋体"/>
                <w:color w:val="auto"/>
                <w:szCs w:val="21"/>
              </w:rPr>
              <w:t>支持移动操作系统和计算机操作系统</w:t>
            </w:r>
            <w:r>
              <w:rPr>
                <w:rFonts w:hint="eastAsia" w:ascii="宋体" w:hAnsi="宋体" w:eastAsia="宋体" w:cs="宋体"/>
                <w:color w:val="auto"/>
                <w:szCs w:val="21"/>
              </w:rPr>
              <w:t>。</w:t>
            </w:r>
          </w:p>
        </w:tc>
        <w:tc>
          <w:tcPr>
            <w:tcW w:w="354" w:type="pct"/>
            <w:shd w:val="clear" w:color="auto" w:fill="auto"/>
            <w:noWrap/>
            <w:vAlign w:val="center"/>
          </w:tcPr>
          <w:p w14:paraId="3D54D9B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4F0100E7">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39EE6AE8">
            <w:pPr>
              <w:widowControl/>
              <w:spacing w:line="360" w:lineRule="auto"/>
              <w:jc w:val="center"/>
              <w:rPr>
                <w:rFonts w:hint="eastAsia" w:ascii="宋体" w:hAnsi="宋体" w:eastAsia="宋体" w:cs="宋体"/>
                <w:color w:val="auto"/>
                <w:szCs w:val="21"/>
              </w:rPr>
            </w:pPr>
          </w:p>
        </w:tc>
      </w:tr>
      <w:tr w14:paraId="0BE78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0B6B2814">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9</w:t>
            </w:r>
          </w:p>
        </w:tc>
        <w:tc>
          <w:tcPr>
            <w:tcW w:w="411" w:type="pct"/>
            <w:shd w:val="clear" w:color="auto" w:fill="auto"/>
            <w:noWrap/>
            <w:vAlign w:val="center"/>
          </w:tcPr>
          <w:p w14:paraId="4FA59742">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CXP采集卡</w:t>
            </w:r>
          </w:p>
        </w:tc>
        <w:tc>
          <w:tcPr>
            <w:tcW w:w="2977" w:type="pct"/>
            <w:shd w:val="clear" w:color="auto" w:fill="auto"/>
            <w:noWrap/>
            <w:vAlign w:val="center"/>
          </w:tcPr>
          <w:p w14:paraId="60F241D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1.内存：板载内存4GBDDR4-RAM；</w:t>
            </w:r>
          </w:p>
          <w:p w14:paraId="08E5359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2.主机接口：总线接口PCI-Egen3×8；</w:t>
            </w:r>
          </w:p>
          <w:p w14:paraId="7C90BDE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3.总线接口性能：7800MB/s(峰值传输带宽),6700MB/s(持续传送带宽)；</w:t>
            </w:r>
          </w:p>
          <w:p w14:paraId="5EA078B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4.总线指示灯：≥1个；</w:t>
            </w:r>
          </w:p>
          <w:p w14:paraId="3BD903A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5.相机接口标准：CoaXPress2.0；</w:t>
            </w:r>
          </w:p>
          <w:p w14:paraId="31E804B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6.接头：4×HD-BNC；</w:t>
            </w:r>
          </w:p>
          <w:p w14:paraId="70E0DFB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7.功率：单通道最高可提供13W@24VDC；</w:t>
            </w:r>
          </w:p>
          <w:p w14:paraId="3230145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8.支持相机类型：CXP-6/CXP-12接口工业相机；</w:t>
            </w:r>
          </w:p>
          <w:p w14:paraId="3A65C88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9.支持相机数量：最多4个,可接入1/2/3/4台相机；</w:t>
            </w:r>
          </w:p>
          <w:p w14:paraId="374CD64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10.相机接口速率1.25/2.5/3.125/5/6.25/10/12.5Gbps(CXP-1/2/3/5/6/10/12)；</w:t>
            </w:r>
          </w:p>
          <w:p w14:paraId="211E3AF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11.处理功能像素格式：Mono8/10/12/16、Bayer8/10/12、RGB8；</w:t>
            </w:r>
          </w:p>
          <w:p w14:paraId="71755E7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12.通用I/O：I/O类型11路可配置输入/输出,兼容单端/差分；</w:t>
            </w:r>
          </w:p>
          <w:p w14:paraId="69F31A38">
            <w:pPr>
              <w:jc w:val="left"/>
              <w:rPr>
                <w:rFonts w:hint="eastAsia" w:ascii="宋体" w:hAnsi="宋体" w:eastAsia="宋体" w:cs="宋体"/>
                <w:color w:val="auto"/>
                <w:szCs w:val="21"/>
              </w:rPr>
            </w:pPr>
            <w:r>
              <w:rPr>
                <w:rFonts w:hint="eastAsia" w:ascii="宋体" w:hAnsi="宋体" w:eastAsia="宋体" w:cs="宋体"/>
                <w:color w:val="auto"/>
                <w:szCs w:val="21"/>
              </w:rPr>
              <w:t>13.工作温度：0～55</w:t>
            </w:r>
            <w:r>
              <w:rPr>
                <w:rFonts w:ascii="Arial" w:hAnsi="Arial" w:eastAsia="Arial" w:cs="Arial"/>
                <w:color w:val="auto"/>
                <w:sz w:val="22"/>
              </w:rPr>
              <w:t>℃</w:t>
            </w:r>
            <w:r>
              <w:rPr>
                <w:rFonts w:hint="eastAsia" w:ascii="宋体" w:hAnsi="宋体" w:eastAsia="宋体" w:cs="宋体"/>
                <w:color w:val="auto"/>
                <w:szCs w:val="21"/>
              </w:rPr>
              <w:t>；</w:t>
            </w:r>
          </w:p>
          <w:p w14:paraId="2BC25C8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14.操作系统：</w:t>
            </w:r>
            <w:r>
              <w:rPr>
                <w:rFonts w:ascii="宋体" w:hAnsi="宋体" w:eastAsia="宋体" w:cs="宋体"/>
                <w:color w:val="auto"/>
                <w:szCs w:val="21"/>
              </w:rPr>
              <w:t>支持计算机操作系统</w:t>
            </w:r>
            <w:r>
              <w:rPr>
                <w:rFonts w:hint="eastAsia" w:ascii="宋体" w:hAnsi="宋体" w:eastAsia="宋体" w:cs="宋体"/>
                <w:color w:val="auto"/>
                <w:szCs w:val="21"/>
              </w:rPr>
              <w:t>；</w:t>
            </w:r>
          </w:p>
        </w:tc>
        <w:tc>
          <w:tcPr>
            <w:tcW w:w="354" w:type="pct"/>
            <w:shd w:val="clear" w:color="auto" w:fill="auto"/>
            <w:noWrap/>
            <w:vAlign w:val="center"/>
          </w:tcPr>
          <w:p w14:paraId="3AE81FC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722EE69B">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3719698F">
            <w:pPr>
              <w:widowControl/>
              <w:spacing w:line="360" w:lineRule="auto"/>
              <w:jc w:val="center"/>
              <w:rPr>
                <w:rFonts w:hint="eastAsia" w:ascii="宋体" w:hAnsi="宋体" w:eastAsia="宋体" w:cs="宋体"/>
                <w:color w:val="auto"/>
                <w:szCs w:val="21"/>
              </w:rPr>
            </w:pPr>
          </w:p>
        </w:tc>
      </w:tr>
      <w:tr w14:paraId="17ED7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1852277D">
            <w:pPr>
              <w:widowControl/>
              <w:spacing w:line="360" w:lineRule="auto"/>
              <w:jc w:val="center"/>
              <w:rPr>
                <w:rFonts w:hint="eastAsia" w:ascii="宋体" w:hAnsi="宋体" w:eastAsia="宋体" w:cs="宋体"/>
                <w:color w:val="auto"/>
                <w:szCs w:val="21"/>
              </w:rPr>
            </w:pPr>
            <w:r>
              <w:rPr>
                <w:rFonts w:hint="eastAsia" w:ascii="宋体" w:hAnsi="宋体" w:eastAsia="宋体" w:cs="宋体"/>
                <w:b/>
                <w:bCs/>
                <w:color w:val="auto"/>
                <w:szCs w:val="21"/>
              </w:rPr>
              <w:t>（二）</w:t>
            </w:r>
          </w:p>
        </w:tc>
        <w:tc>
          <w:tcPr>
            <w:tcW w:w="3388" w:type="pct"/>
            <w:gridSpan w:val="2"/>
            <w:shd w:val="clear" w:color="auto" w:fill="auto"/>
            <w:noWrap/>
            <w:vAlign w:val="center"/>
          </w:tcPr>
          <w:p w14:paraId="59EFFA3B">
            <w:pPr>
              <w:widowControl/>
              <w:spacing w:line="360" w:lineRule="auto"/>
              <w:jc w:val="center"/>
              <w:rPr>
                <w:rFonts w:hint="eastAsia" w:ascii="宋体" w:hAnsi="宋体" w:eastAsia="宋体" w:cs="宋体"/>
                <w:color w:val="auto"/>
                <w:szCs w:val="21"/>
              </w:rPr>
            </w:pPr>
            <w:r>
              <w:rPr>
                <w:rFonts w:hint="eastAsia" w:ascii="宋体" w:hAnsi="宋体" w:eastAsia="宋体" w:cs="宋体"/>
                <w:b/>
                <w:bCs/>
                <w:color w:val="auto"/>
                <w:szCs w:val="21"/>
              </w:rPr>
              <w:t>镜头</w:t>
            </w:r>
          </w:p>
        </w:tc>
        <w:tc>
          <w:tcPr>
            <w:tcW w:w="354" w:type="pct"/>
            <w:shd w:val="clear" w:color="auto" w:fill="auto"/>
            <w:noWrap/>
            <w:vAlign w:val="center"/>
          </w:tcPr>
          <w:p w14:paraId="7CDA212E">
            <w:pPr>
              <w:spacing w:line="360" w:lineRule="auto"/>
              <w:rPr>
                <w:rFonts w:hint="eastAsia" w:ascii="宋体" w:hAnsi="宋体" w:eastAsia="宋体" w:cs="宋体"/>
                <w:color w:val="auto"/>
                <w:szCs w:val="21"/>
              </w:rPr>
            </w:pPr>
          </w:p>
        </w:tc>
        <w:tc>
          <w:tcPr>
            <w:tcW w:w="388" w:type="pct"/>
            <w:shd w:val="clear" w:color="auto" w:fill="auto"/>
            <w:noWrap/>
            <w:vAlign w:val="center"/>
          </w:tcPr>
          <w:p w14:paraId="3BDB7930">
            <w:pPr>
              <w:widowControl/>
              <w:spacing w:line="360" w:lineRule="auto"/>
              <w:jc w:val="center"/>
              <w:rPr>
                <w:rFonts w:hint="eastAsia" w:ascii="宋体" w:hAnsi="宋体" w:eastAsia="宋体" w:cs="宋体"/>
                <w:color w:val="auto"/>
                <w:szCs w:val="21"/>
              </w:rPr>
            </w:pPr>
          </w:p>
        </w:tc>
        <w:tc>
          <w:tcPr>
            <w:tcW w:w="388" w:type="pct"/>
            <w:shd w:val="clear" w:color="auto" w:fill="auto"/>
            <w:noWrap/>
            <w:vAlign w:val="center"/>
          </w:tcPr>
          <w:p w14:paraId="7946B5C4">
            <w:pPr>
              <w:widowControl/>
              <w:spacing w:line="360" w:lineRule="auto"/>
              <w:jc w:val="center"/>
              <w:rPr>
                <w:rFonts w:hint="eastAsia" w:ascii="宋体" w:hAnsi="宋体" w:eastAsia="宋体" w:cs="宋体"/>
                <w:color w:val="auto"/>
                <w:szCs w:val="21"/>
              </w:rPr>
            </w:pPr>
          </w:p>
        </w:tc>
      </w:tr>
      <w:tr w14:paraId="2A60F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2D11C26F">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411" w:type="pct"/>
            <w:shd w:val="clear" w:color="auto" w:fill="auto"/>
            <w:noWrap/>
            <w:vAlign w:val="center"/>
          </w:tcPr>
          <w:p w14:paraId="4FFE9CC4">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16mm面阵镜头</w:t>
            </w:r>
          </w:p>
        </w:tc>
        <w:tc>
          <w:tcPr>
            <w:tcW w:w="2977" w:type="pct"/>
            <w:shd w:val="clear" w:color="auto" w:fill="auto"/>
            <w:noWrap/>
            <w:vAlign w:val="center"/>
          </w:tcPr>
          <w:p w14:paraId="7AA8A03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1.分辨率：≥2500万分辨率；</w:t>
            </w:r>
          </w:p>
          <w:p w14:paraId="7228A8C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2.接口：C接口镜头；</w:t>
            </w:r>
          </w:p>
          <w:p w14:paraId="517FE24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3.焦距：16mm；</w:t>
            </w:r>
          </w:p>
          <w:p w14:paraId="22CE7F5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4.F数：F2.8～F16；</w:t>
            </w:r>
          </w:p>
          <w:p w14:paraId="2B60277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5.像面尺寸：1.1英寸；</w:t>
            </w:r>
          </w:p>
          <w:p w14:paraId="61C5AE3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6.畸变：≤0.1%；</w:t>
            </w:r>
          </w:p>
          <w:p w14:paraId="51371F2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7.视场角：D(19.30mm)：61.61°、H(14.60mm)：48.82°、V(12.63mm)：42.89°；</w:t>
            </w:r>
          </w:p>
          <w:p w14:paraId="1F011D6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8.滤镜螺：M40.5×0.5；</w:t>
            </w:r>
          </w:p>
        </w:tc>
        <w:tc>
          <w:tcPr>
            <w:tcW w:w="354" w:type="pct"/>
            <w:shd w:val="clear" w:color="auto" w:fill="auto"/>
            <w:noWrap/>
            <w:vAlign w:val="center"/>
          </w:tcPr>
          <w:p w14:paraId="3934C0B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4A6859A3">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427F8FC4">
            <w:pPr>
              <w:widowControl/>
              <w:spacing w:line="360" w:lineRule="auto"/>
              <w:jc w:val="center"/>
              <w:rPr>
                <w:rFonts w:hint="eastAsia" w:ascii="宋体" w:hAnsi="宋体" w:eastAsia="宋体" w:cs="宋体"/>
                <w:color w:val="auto"/>
                <w:szCs w:val="21"/>
              </w:rPr>
            </w:pPr>
          </w:p>
        </w:tc>
      </w:tr>
      <w:tr w14:paraId="664B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1EDB6531">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411" w:type="pct"/>
            <w:shd w:val="clear" w:color="auto" w:fill="auto"/>
            <w:noWrap/>
            <w:vAlign w:val="center"/>
          </w:tcPr>
          <w:p w14:paraId="357274CA">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50mm面阵镜头</w:t>
            </w:r>
          </w:p>
        </w:tc>
        <w:tc>
          <w:tcPr>
            <w:tcW w:w="2977" w:type="pct"/>
            <w:shd w:val="clear" w:color="auto" w:fill="auto"/>
            <w:noWrap/>
            <w:vAlign w:val="center"/>
          </w:tcPr>
          <w:p w14:paraId="783BDA4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1.分辨率：≥2500万分辨率；</w:t>
            </w:r>
          </w:p>
          <w:p w14:paraId="26CD86F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2.接口：C接口镜头；</w:t>
            </w:r>
          </w:p>
          <w:p w14:paraId="5721631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3.焦距：50mm；</w:t>
            </w:r>
          </w:p>
          <w:p w14:paraId="3ACB140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4.F数：F2.8～F16；</w:t>
            </w:r>
          </w:p>
          <w:p w14:paraId="44584D4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5.像面尺寸：1.1英寸；</w:t>
            </w:r>
          </w:p>
          <w:p w14:paraId="0B8F75A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6.畸变：≤0.01%；</w:t>
            </w:r>
          </w:p>
          <w:p w14:paraId="435FC86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7.视场角：D(19.30mm)：20.60°、H(14.60mm)：15.66°、V(12.63mm)：13.57°；</w:t>
            </w:r>
          </w:p>
          <w:p w14:paraId="53A4736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8.滤镜螺：M40.5×0.5；</w:t>
            </w:r>
          </w:p>
        </w:tc>
        <w:tc>
          <w:tcPr>
            <w:tcW w:w="354" w:type="pct"/>
            <w:shd w:val="clear" w:color="auto" w:fill="auto"/>
            <w:noWrap/>
            <w:vAlign w:val="center"/>
          </w:tcPr>
          <w:p w14:paraId="7B4A1C5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152E1F38">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4C5C0A7C">
            <w:pPr>
              <w:widowControl/>
              <w:spacing w:line="360" w:lineRule="auto"/>
              <w:jc w:val="center"/>
              <w:rPr>
                <w:rFonts w:hint="eastAsia" w:ascii="宋体" w:hAnsi="宋体" w:eastAsia="宋体" w:cs="宋体"/>
                <w:color w:val="auto"/>
                <w:szCs w:val="21"/>
              </w:rPr>
            </w:pPr>
          </w:p>
        </w:tc>
      </w:tr>
      <w:tr w14:paraId="5D7A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73E0C854">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411" w:type="pct"/>
            <w:shd w:val="clear" w:color="auto" w:fill="auto"/>
            <w:noWrap/>
            <w:vAlign w:val="center"/>
          </w:tcPr>
          <w:p w14:paraId="4540F86F">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80mm面阵镜头</w:t>
            </w:r>
          </w:p>
        </w:tc>
        <w:tc>
          <w:tcPr>
            <w:tcW w:w="2977" w:type="pct"/>
            <w:shd w:val="clear" w:color="auto" w:fill="auto"/>
            <w:noWrap/>
            <w:vAlign w:val="center"/>
          </w:tcPr>
          <w:p w14:paraId="2539E1B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1.分辨率：≥1亿分辨率；</w:t>
            </w:r>
          </w:p>
          <w:p w14:paraId="2916204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2.接口：F接口镜头；</w:t>
            </w:r>
          </w:p>
          <w:p w14:paraId="03B4FC3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3.焦距：80mm；</w:t>
            </w:r>
          </w:p>
          <w:p w14:paraId="32ACE8B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4.F数：F4.0～F22；</w:t>
            </w:r>
          </w:p>
          <w:p w14:paraId="472B487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5.像面尺寸：Φ56mm；</w:t>
            </w:r>
          </w:p>
          <w:p w14:paraId="7BC717E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6.畸变：≤0.12%；</w:t>
            </w:r>
          </w:p>
          <w:p w14:paraId="077471E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7.放大倍率范围：0.4x～0.01x；</w:t>
            </w:r>
          </w:p>
          <w:p w14:paraId="0FC2645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8.工作距离范围：≥235mm；</w:t>
            </w:r>
          </w:p>
          <w:p w14:paraId="22A9107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9.滤镜螺：M52×0.75；</w:t>
            </w:r>
          </w:p>
          <w:p w14:paraId="43C99F4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10.接口类型：F-Mount；</w:t>
            </w:r>
          </w:p>
        </w:tc>
        <w:tc>
          <w:tcPr>
            <w:tcW w:w="354" w:type="pct"/>
            <w:shd w:val="clear" w:color="auto" w:fill="auto"/>
            <w:noWrap/>
            <w:vAlign w:val="center"/>
          </w:tcPr>
          <w:p w14:paraId="46C8ACD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73A18E94">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1EB60448">
            <w:pPr>
              <w:widowControl/>
              <w:spacing w:line="360" w:lineRule="auto"/>
              <w:jc w:val="center"/>
              <w:rPr>
                <w:rFonts w:hint="eastAsia" w:ascii="宋体" w:hAnsi="宋体" w:eastAsia="宋体" w:cs="宋体"/>
                <w:color w:val="auto"/>
                <w:szCs w:val="21"/>
              </w:rPr>
            </w:pPr>
          </w:p>
        </w:tc>
      </w:tr>
      <w:tr w14:paraId="71F81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7D19262B">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4</w:t>
            </w:r>
          </w:p>
        </w:tc>
        <w:tc>
          <w:tcPr>
            <w:tcW w:w="411" w:type="pct"/>
            <w:shd w:val="clear" w:color="auto" w:fill="auto"/>
            <w:noWrap/>
            <w:vAlign w:val="center"/>
          </w:tcPr>
          <w:p w14:paraId="2FB13251">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60mm线阵镜头</w:t>
            </w:r>
          </w:p>
        </w:tc>
        <w:tc>
          <w:tcPr>
            <w:tcW w:w="2977" w:type="pct"/>
            <w:shd w:val="clear" w:color="auto" w:fill="auto"/>
            <w:noWrap/>
            <w:vAlign w:val="center"/>
          </w:tcPr>
          <w:p w14:paraId="5CB929D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1.焦距：60mm；</w:t>
            </w:r>
          </w:p>
          <w:p w14:paraId="6142F05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2.F：F5.6～F22；</w:t>
            </w:r>
          </w:p>
          <w:p w14:paraId="2FD25D5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3.像面尺寸：≥60mm；</w:t>
            </w:r>
          </w:p>
          <w:p w14:paraId="4C5E524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4.光学畸变：≤0.19%；</w:t>
            </w:r>
          </w:p>
          <w:p w14:paraId="0A7A243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5.放大倍率范围：0.3x~0.1x；</w:t>
            </w:r>
          </w:p>
          <w:p w14:paraId="164AD5C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6.滤镜螺纹：M37×P0.75；</w:t>
            </w:r>
          </w:p>
          <w:p w14:paraId="7E2DB84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7.接口类型：M72×P0.75；</w:t>
            </w:r>
          </w:p>
          <w:p w14:paraId="2F62654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8.法兰后焦：12mm。</w:t>
            </w:r>
          </w:p>
        </w:tc>
        <w:tc>
          <w:tcPr>
            <w:tcW w:w="354" w:type="pct"/>
            <w:shd w:val="clear" w:color="auto" w:fill="auto"/>
            <w:noWrap/>
            <w:vAlign w:val="center"/>
          </w:tcPr>
          <w:p w14:paraId="422AE99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3D44D7A4">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64120BE9">
            <w:pPr>
              <w:widowControl/>
              <w:spacing w:line="360" w:lineRule="auto"/>
              <w:jc w:val="center"/>
              <w:rPr>
                <w:rFonts w:hint="eastAsia" w:ascii="宋体" w:hAnsi="宋体" w:eastAsia="宋体" w:cs="宋体"/>
                <w:color w:val="auto"/>
                <w:szCs w:val="21"/>
              </w:rPr>
            </w:pPr>
          </w:p>
        </w:tc>
      </w:tr>
      <w:tr w14:paraId="47D0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26C94C42">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5</w:t>
            </w:r>
          </w:p>
        </w:tc>
        <w:tc>
          <w:tcPr>
            <w:tcW w:w="411" w:type="pct"/>
            <w:shd w:val="clear" w:color="auto" w:fill="auto"/>
            <w:noWrap/>
            <w:vAlign w:val="center"/>
          </w:tcPr>
          <w:p w14:paraId="11666E11">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2倍远心镜头</w:t>
            </w:r>
          </w:p>
        </w:tc>
        <w:tc>
          <w:tcPr>
            <w:tcW w:w="2977" w:type="pct"/>
            <w:shd w:val="clear" w:color="auto" w:fill="auto"/>
            <w:noWrap/>
            <w:vAlign w:val="center"/>
          </w:tcPr>
          <w:p w14:paraId="07B76F0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1.放大倍率：2；</w:t>
            </w:r>
          </w:p>
          <w:p w14:paraId="1CF5050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2.工作距离：110±2mm；</w:t>
            </w:r>
          </w:p>
          <w:p w14:paraId="0B84E7E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3.F数：F13.5；</w:t>
            </w:r>
          </w:p>
          <w:p w14:paraId="290AEBD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4.像面尺寸：≥18mm；</w:t>
            </w:r>
          </w:p>
          <w:p w14:paraId="5EF7469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5.光学畸变：≤0.15%；</w:t>
            </w:r>
          </w:p>
          <w:p w14:paraId="475203A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6.景深：±0.14mm@F13.5；</w:t>
            </w:r>
          </w:p>
          <w:p w14:paraId="11DCBAB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7.物方分辨率：4.2μm；</w:t>
            </w:r>
          </w:p>
          <w:p w14:paraId="7A125D8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8.物方远心度：≤0.3°；</w:t>
            </w:r>
          </w:p>
          <w:p w14:paraId="754DC06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9.接口类型：C-Mount。</w:t>
            </w:r>
          </w:p>
        </w:tc>
        <w:tc>
          <w:tcPr>
            <w:tcW w:w="354" w:type="pct"/>
            <w:shd w:val="clear" w:color="auto" w:fill="auto"/>
            <w:noWrap/>
            <w:vAlign w:val="center"/>
          </w:tcPr>
          <w:p w14:paraId="0EEAF15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29B26E1E">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6A28FB58">
            <w:pPr>
              <w:widowControl/>
              <w:spacing w:line="360" w:lineRule="auto"/>
              <w:jc w:val="center"/>
              <w:rPr>
                <w:rFonts w:hint="eastAsia" w:ascii="宋体" w:hAnsi="宋体" w:eastAsia="宋体" w:cs="宋体"/>
                <w:color w:val="auto"/>
                <w:szCs w:val="21"/>
              </w:rPr>
            </w:pPr>
          </w:p>
        </w:tc>
      </w:tr>
      <w:tr w14:paraId="4110F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6C9EAEF7">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6</w:t>
            </w:r>
          </w:p>
        </w:tc>
        <w:tc>
          <w:tcPr>
            <w:tcW w:w="411" w:type="pct"/>
            <w:shd w:val="clear" w:color="auto" w:fill="auto"/>
            <w:noWrap/>
            <w:vAlign w:val="center"/>
          </w:tcPr>
          <w:p w14:paraId="25153A0B">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4倍远心镜头</w:t>
            </w:r>
          </w:p>
        </w:tc>
        <w:tc>
          <w:tcPr>
            <w:tcW w:w="2977" w:type="pct"/>
            <w:shd w:val="clear" w:color="auto" w:fill="auto"/>
            <w:noWrap/>
            <w:vAlign w:val="center"/>
          </w:tcPr>
          <w:p w14:paraId="3ABEFF1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1.波段：950～1800nm；</w:t>
            </w:r>
          </w:p>
          <w:p w14:paraId="5FFBAE8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2.放大倍率：4x；</w:t>
            </w:r>
          </w:p>
          <w:p w14:paraId="0FEE736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3.工作距离：110mm；</w:t>
            </w:r>
          </w:p>
          <w:p w14:paraId="38F53EB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4.F数：F20；</w:t>
            </w:r>
          </w:p>
          <w:p w14:paraId="7E3191C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5.像面尺寸： 1.1英寸；</w:t>
            </w:r>
          </w:p>
          <w:p w14:paraId="78D3DA7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6.景深：0.1mm；</w:t>
            </w:r>
          </w:p>
          <w:p w14:paraId="7B0DFF0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7.分辨率：≤130μm；</w:t>
            </w:r>
          </w:p>
          <w:p w14:paraId="07B9A55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8.接口类型：C-Mount；</w:t>
            </w:r>
          </w:p>
          <w:p w14:paraId="0E78EA1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9.是否同轴光：是；</w:t>
            </w:r>
          </w:p>
          <w:p w14:paraId="26EA162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10.工作温度：0～50℃。</w:t>
            </w:r>
          </w:p>
        </w:tc>
        <w:tc>
          <w:tcPr>
            <w:tcW w:w="354" w:type="pct"/>
            <w:shd w:val="clear" w:color="auto" w:fill="auto"/>
            <w:noWrap/>
            <w:vAlign w:val="center"/>
          </w:tcPr>
          <w:p w14:paraId="02C6542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40D0C457">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24C5B4B7">
            <w:pPr>
              <w:widowControl/>
              <w:spacing w:line="360" w:lineRule="auto"/>
              <w:jc w:val="center"/>
              <w:rPr>
                <w:rFonts w:hint="eastAsia" w:ascii="宋体" w:hAnsi="宋体" w:eastAsia="宋体" w:cs="宋体"/>
                <w:color w:val="auto"/>
                <w:szCs w:val="21"/>
              </w:rPr>
            </w:pPr>
          </w:p>
        </w:tc>
      </w:tr>
      <w:tr w14:paraId="1C0BA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2AED0EB0">
            <w:pPr>
              <w:widowControl/>
              <w:spacing w:line="360" w:lineRule="auto"/>
              <w:jc w:val="center"/>
              <w:rPr>
                <w:rFonts w:hint="eastAsia" w:ascii="宋体" w:hAnsi="宋体" w:eastAsia="宋体" w:cs="宋体"/>
                <w:color w:val="auto"/>
                <w:szCs w:val="21"/>
              </w:rPr>
            </w:pPr>
            <w:r>
              <w:rPr>
                <w:rFonts w:hint="eastAsia" w:ascii="宋体" w:hAnsi="宋体" w:eastAsia="宋体" w:cs="宋体"/>
                <w:b/>
                <w:bCs/>
                <w:color w:val="auto"/>
                <w:szCs w:val="21"/>
              </w:rPr>
              <w:t>（三）</w:t>
            </w:r>
          </w:p>
        </w:tc>
        <w:tc>
          <w:tcPr>
            <w:tcW w:w="3388" w:type="pct"/>
            <w:gridSpan w:val="2"/>
            <w:shd w:val="clear" w:color="auto" w:fill="auto"/>
            <w:noWrap/>
            <w:vAlign w:val="center"/>
          </w:tcPr>
          <w:p w14:paraId="27A3DE95">
            <w:pPr>
              <w:widowControl/>
              <w:spacing w:line="360" w:lineRule="auto"/>
              <w:jc w:val="center"/>
              <w:rPr>
                <w:rFonts w:hint="eastAsia" w:ascii="宋体" w:hAnsi="宋体" w:eastAsia="宋体" w:cs="宋体"/>
                <w:color w:val="auto"/>
                <w:szCs w:val="21"/>
              </w:rPr>
            </w:pPr>
            <w:r>
              <w:rPr>
                <w:rFonts w:hint="eastAsia" w:ascii="宋体" w:hAnsi="宋体" w:eastAsia="宋体" w:cs="宋体"/>
                <w:b/>
                <w:bCs/>
                <w:color w:val="auto"/>
                <w:szCs w:val="21"/>
              </w:rPr>
              <w:t>3D相机</w:t>
            </w:r>
          </w:p>
        </w:tc>
        <w:tc>
          <w:tcPr>
            <w:tcW w:w="354" w:type="pct"/>
            <w:shd w:val="clear" w:color="auto" w:fill="auto"/>
            <w:noWrap/>
            <w:vAlign w:val="center"/>
          </w:tcPr>
          <w:p w14:paraId="3642DD21">
            <w:pPr>
              <w:spacing w:line="360" w:lineRule="auto"/>
              <w:rPr>
                <w:rFonts w:hint="eastAsia" w:ascii="宋体" w:hAnsi="宋体" w:eastAsia="宋体" w:cs="宋体"/>
                <w:color w:val="auto"/>
                <w:szCs w:val="21"/>
              </w:rPr>
            </w:pPr>
          </w:p>
        </w:tc>
        <w:tc>
          <w:tcPr>
            <w:tcW w:w="388" w:type="pct"/>
            <w:shd w:val="clear" w:color="auto" w:fill="auto"/>
            <w:noWrap/>
            <w:vAlign w:val="center"/>
          </w:tcPr>
          <w:p w14:paraId="5FFE5688">
            <w:pPr>
              <w:widowControl/>
              <w:spacing w:line="360" w:lineRule="auto"/>
              <w:jc w:val="center"/>
              <w:rPr>
                <w:rFonts w:hint="eastAsia" w:ascii="宋体" w:hAnsi="宋体" w:eastAsia="宋体" w:cs="宋体"/>
                <w:color w:val="auto"/>
                <w:szCs w:val="21"/>
              </w:rPr>
            </w:pPr>
          </w:p>
        </w:tc>
        <w:tc>
          <w:tcPr>
            <w:tcW w:w="388" w:type="pct"/>
            <w:shd w:val="clear" w:color="auto" w:fill="auto"/>
            <w:noWrap/>
            <w:vAlign w:val="center"/>
          </w:tcPr>
          <w:p w14:paraId="1B220481">
            <w:pPr>
              <w:widowControl/>
              <w:spacing w:line="360" w:lineRule="auto"/>
              <w:jc w:val="center"/>
              <w:rPr>
                <w:rFonts w:hint="eastAsia" w:ascii="宋体" w:hAnsi="宋体" w:eastAsia="宋体" w:cs="宋体"/>
                <w:color w:val="auto"/>
                <w:szCs w:val="21"/>
              </w:rPr>
            </w:pPr>
          </w:p>
        </w:tc>
      </w:tr>
      <w:tr w14:paraId="5A22C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11E56ABC">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411" w:type="pct"/>
            <w:shd w:val="clear" w:color="auto" w:fill="auto"/>
            <w:noWrap/>
            <w:vAlign w:val="center"/>
          </w:tcPr>
          <w:p w14:paraId="011728CB">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光电测量仪器</w:t>
            </w:r>
          </w:p>
        </w:tc>
        <w:tc>
          <w:tcPr>
            <w:tcW w:w="2977" w:type="pct"/>
            <w:shd w:val="clear" w:color="auto" w:fill="auto"/>
            <w:noWrap/>
            <w:vAlign w:val="center"/>
          </w:tcPr>
          <w:p w14:paraId="02114CE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1.基准距离：≤60mm；</w:t>
            </w:r>
          </w:p>
          <w:p w14:paraId="6D33400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2.测量范围Z：±4mm（F.S=8mm）；</w:t>
            </w:r>
          </w:p>
          <w:p w14:paraId="7EB0D56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3.X数据间隔：5μm；</w:t>
            </w:r>
          </w:p>
          <w:p w14:paraId="26BD889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█4.XY数据点数：≥3200×5000点；</w:t>
            </w:r>
          </w:p>
          <w:p w14:paraId="6B0485D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█5.重复精度：0.</w:t>
            </w:r>
            <w:r>
              <w:rPr>
                <w:rFonts w:ascii="宋体" w:hAnsi="宋体" w:eastAsia="宋体" w:cs="宋体"/>
                <w:color w:val="auto"/>
                <w:szCs w:val="21"/>
              </w:rPr>
              <w:t>1μm</w:t>
            </w:r>
            <w:r>
              <w:rPr>
                <w:rFonts w:hint="eastAsia" w:ascii="宋体" w:hAnsi="宋体" w:eastAsia="宋体" w:cs="宋体"/>
                <w:color w:val="auto"/>
                <w:szCs w:val="21"/>
              </w:rPr>
              <w:t>；</w:t>
            </w:r>
          </w:p>
          <w:p w14:paraId="51B8992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6.高度：≤1μm；</w:t>
            </w:r>
          </w:p>
          <w:p w14:paraId="491A055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7.拍摄时间：≤0.2s；</w:t>
            </w:r>
          </w:p>
          <w:p w14:paraId="441DE2B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8.光源：1）激光光源：蓝色半导体激光，波长405nm（可见光）；2）激光分类：2M类激光产品（IEC60825-1.FDA（CDRH）Part1040.10）；3）输出：10mw；</w:t>
            </w:r>
          </w:p>
          <w:p w14:paraId="264036D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9.以太网：1000BASE-T、100BASE-TX；</w:t>
            </w:r>
          </w:p>
          <w:p w14:paraId="4902120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10.输入：LASER_ON、TRG、MEM_CLEAR；</w:t>
            </w:r>
          </w:p>
          <w:p w14:paraId="6C1DDCC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11.输出：READY、EXPOSURE_BUSY、ERROR；</w:t>
            </w:r>
          </w:p>
          <w:p w14:paraId="6103E8E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12.外壳防护等级：≥IP65；</w:t>
            </w:r>
          </w:p>
          <w:p w14:paraId="6D156452">
            <w:pPr>
              <w:jc w:val="left"/>
              <w:rPr>
                <w:rFonts w:hint="eastAsia" w:ascii="宋体" w:hAnsi="宋体" w:eastAsia="宋体" w:cs="宋体"/>
                <w:color w:val="auto"/>
                <w:szCs w:val="21"/>
              </w:rPr>
            </w:pPr>
            <w:r>
              <w:rPr>
                <w:rFonts w:hint="eastAsia" w:ascii="宋体" w:hAnsi="宋体" w:eastAsia="宋体" w:cs="宋体"/>
                <w:color w:val="auto"/>
                <w:szCs w:val="21"/>
              </w:rPr>
              <w:t>13.使用环境温度：0至+45</w:t>
            </w:r>
            <w:r>
              <w:rPr>
                <w:rFonts w:ascii="Arial" w:hAnsi="Arial" w:eastAsia="Arial" w:cs="Arial"/>
                <w:color w:val="auto"/>
                <w:sz w:val="22"/>
              </w:rPr>
              <w:t>℃</w:t>
            </w:r>
            <w:r>
              <w:rPr>
                <w:rFonts w:hint="eastAsia" w:ascii="宋体" w:hAnsi="宋体" w:eastAsia="宋体" w:cs="宋体"/>
                <w:color w:val="auto"/>
                <w:szCs w:val="21"/>
              </w:rPr>
              <w:t>；</w:t>
            </w:r>
          </w:p>
          <w:p w14:paraId="47CE273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14.使用环境湿度：85%Rh以下（无凝结）；</w:t>
            </w:r>
          </w:p>
          <w:p w14:paraId="655CD67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15.耐振动：10至500Hz；</w:t>
            </w:r>
          </w:p>
          <w:p w14:paraId="542599E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16.抗冲击：≥15G；</w:t>
            </w:r>
          </w:p>
        </w:tc>
        <w:tc>
          <w:tcPr>
            <w:tcW w:w="354" w:type="pct"/>
            <w:shd w:val="clear" w:color="auto" w:fill="auto"/>
            <w:noWrap/>
            <w:vAlign w:val="center"/>
          </w:tcPr>
          <w:p w14:paraId="541306F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1套</w:t>
            </w:r>
          </w:p>
        </w:tc>
        <w:tc>
          <w:tcPr>
            <w:tcW w:w="388" w:type="pct"/>
            <w:shd w:val="clear" w:color="auto" w:fill="auto"/>
            <w:noWrap/>
            <w:vAlign w:val="center"/>
          </w:tcPr>
          <w:p w14:paraId="029B801B">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4E8ABBC4">
            <w:pPr>
              <w:widowControl/>
              <w:spacing w:line="360" w:lineRule="auto"/>
              <w:jc w:val="center"/>
              <w:rPr>
                <w:rFonts w:hint="eastAsia" w:ascii="宋体" w:hAnsi="宋体" w:eastAsia="宋体" w:cs="宋体"/>
                <w:color w:val="auto"/>
                <w:szCs w:val="21"/>
              </w:rPr>
            </w:pPr>
          </w:p>
        </w:tc>
      </w:tr>
      <w:tr w14:paraId="2AA9A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1C87A310">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411" w:type="pct"/>
            <w:shd w:val="clear" w:color="auto" w:fill="auto"/>
            <w:noWrap/>
            <w:vAlign w:val="center"/>
          </w:tcPr>
          <w:p w14:paraId="430ED44D">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激光线扫3D相机</w:t>
            </w:r>
          </w:p>
        </w:tc>
        <w:tc>
          <w:tcPr>
            <w:tcW w:w="2977" w:type="pct"/>
            <w:shd w:val="clear" w:color="auto" w:fill="auto"/>
            <w:noWrap/>
            <w:vAlign w:val="center"/>
          </w:tcPr>
          <w:p w14:paraId="13A3AFD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1.单轮廓点数：≥4080；</w:t>
            </w:r>
          </w:p>
          <w:p w14:paraId="6BF2A10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2.参考距离：22.6mm；</w:t>
            </w:r>
          </w:p>
          <w:p w14:paraId="4E9D981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3.Z轴测量范围：5.2mm；</w:t>
            </w:r>
          </w:p>
          <w:p w14:paraId="47C01E8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4.X轴测量范围：≥12mm且≤16mm；</w:t>
            </w:r>
          </w:p>
          <w:p w14:paraId="15EE533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5.Z轴分辨率：0.3～0.6μm；</w:t>
            </w:r>
          </w:p>
          <w:p w14:paraId="58B18FA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█6.Z轴重复精度：≤0.15μm@传感器在光学平台上测试标准量块的数据；</w:t>
            </w:r>
          </w:p>
          <w:p w14:paraId="16217E2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7.Z轴线性度：≤0.05±%ofMR；</w:t>
            </w:r>
          </w:p>
          <w:p w14:paraId="10DE36C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8.轮廓数据间隔：3.3～3.9μm；</w:t>
            </w:r>
          </w:p>
          <w:p w14:paraId="7547552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9.扫描帧率：4kHz(最大测量范围下),最高可达49KHz(ROI模式下)；</w:t>
            </w:r>
          </w:p>
          <w:p w14:paraId="506ECB8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10.数据输出类型：轮廓数据、深度图、亮度图；</w:t>
            </w:r>
          </w:p>
          <w:p w14:paraId="7B4D166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11.触发模式：软触发.硬触发(差分编码器触发)；</w:t>
            </w:r>
          </w:p>
          <w:p w14:paraId="3167618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12.激光波长：405nm；</w:t>
            </w:r>
          </w:p>
          <w:p w14:paraId="31BCEF3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13.激光安全等级：Class3B；</w:t>
            </w:r>
          </w:p>
          <w:p w14:paraId="752EF36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14.数据接口：GigabitEthernet(1000Mbit/s),兼容FastEthernet(100Mbit/s)；</w:t>
            </w:r>
          </w:p>
          <w:p w14:paraId="40D0A56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15.供电：24V，DC。</w:t>
            </w:r>
          </w:p>
        </w:tc>
        <w:tc>
          <w:tcPr>
            <w:tcW w:w="354" w:type="pct"/>
            <w:shd w:val="clear" w:color="auto" w:fill="auto"/>
            <w:noWrap/>
            <w:vAlign w:val="center"/>
          </w:tcPr>
          <w:p w14:paraId="37E41BC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787576AB">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731C0157">
            <w:pPr>
              <w:widowControl/>
              <w:spacing w:line="360" w:lineRule="auto"/>
              <w:jc w:val="center"/>
              <w:rPr>
                <w:rFonts w:hint="eastAsia" w:ascii="宋体" w:hAnsi="宋体" w:eastAsia="宋体" w:cs="宋体"/>
                <w:color w:val="auto"/>
                <w:szCs w:val="21"/>
              </w:rPr>
            </w:pPr>
          </w:p>
        </w:tc>
      </w:tr>
      <w:tr w14:paraId="25BB4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001A394A">
            <w:pPr>
              <w:widowControl/>
              <w:spacing w:line="360" w:lineRule="auto"/>
              <w:jc w:val="center"/>
              <w:rPr>
                <w:rFonts w:hint="eastAsia" w:ascii="宋体" w:hAnsi="宋体" w:eastAsia="宋体" w:cs="宋体"/>
                <w:color w:val="auto"/>
                <w:szCs w:val="21"/>
              </w:rPr>
            </w:pPr>
            <w:r>
              <w:rPr>
                <w:rFonts w:hint="eastAsia" w:ascii="宋体" w:hAnsi="宋体" w:eastAsia="宋体" w:cs="宋体"/>
                <w:b/>
                <w:bCs/>
                <w:color w:val="auto"/>
                <w:szCs w:val="21"/>
              </w:rPr>
              <w:t>（四）</w:t>
            </w:r>
          </w:p>
        </w:tc>
        <w:tc>
          <w:tcPr>
            <w:tcW w:w="3388" w:type="pct"/>
            <w:gridSpan w:val="2"/>
            <w:shd w:val="clear" w:color="auto" w:fill="auto"/>
            <w:noWrap/>
            <w:vAlign w:val="center"/>
          </w:tcPr>
          <w:p w14:paraId="47E79856">
            <w:pPr>
              <w:widowControl/>
              <w:spacing w:line="360" w:lineRule="auto"/>
              <w:jc w:val="center"/>
              <w:rPr>
                <w:rFonts w:hint="eastAsia" w:ascii="宋体" w:hAnsi="宋体" w:eastAsia="宋体" w:cs="宋体"/>
                <w:color w:val="auto"/>
                <w:szCs w:val="21"/>
              </w:rPr>
            </w:pPr>
            <w:r>
              <w:rPr>
                <w:rFonts w:hint="eastAsia" w:ascii="宋体" w:hAnsi="宋体" w:eastAsia="宋体" w:cs="宋体"/>
                <w:b/>
                <w:bCs/>
                <w:color w:val="auto"/>
                <w:szCs w:val="21"/>
              </w:rPr>
              <w:t>光源</w:t>
            </w:r>
          </w:p>
        </w:tc>
        <w:tc>
          <w:tcPr>
            <w:tcW w:w="354" w:type="pct"/>
            <w:shd w:val="clear" w:color="auto" w:fill="auto"/>
            <w:noWrap/>
            <w:vAlign w:val="center"/>
          </w:tcPr>
          <w:p w14:paraId="65A814BF">
            <w:pPr>
              <w:spacing w:line="360" w:lineRule="auto"/>
              <w:rPr>
                <w:rFonts w:hint="eastAsia" w:ascii="宋体" w:hAnsi="宋体" w:eastAsia="宋体" w:cs="宋体"/>
                <w:color w:val="auto"/>
                <w:szCs w:val="21"/>
              </w:rPr>
            </w:pPr>
          </w:p>
        </w:tc>
        <w:tc>
          <w:tcPr>
            <w:tcW w:w="388" w:type="pct"/>
            <w:shd w:val="clear" w:color="auto" w:fill="auto"/>
            <w:noWrap/>
            <w:vAlign w:val="center"/>
          </w:tcPr>
          <w:p w14:paraId="2D8E5A90">
            <w:pPr>
              <w:widowControl/>
              <w:spacing w:line="360" w:lineRule="auto"/>
              <w:jc w:val="center"/>
              <w:rPr>
                <w:rFonts w:hint="eastAsia" w:ascii="宋体" w:hAnsi="宋体" w:eastAsia="宋体" w:cs="宋体"/>
                <w:color w:val="auto"/>
                <w:szCs w:val="21"/>
              </w:rPr>
            </w:pPr>
          </w:p>
        </w:tc>
        <w:tc>
          <w:tcPr>
            <w:tcW w:w="388" w:type="pct"/>
            <w:shd w:val="clear" w:color="auto" w:fill="auto"/>
            <w:noWrap/>
            <w:vAlign w:val="center"/>
          </w:tcPr>
          <w:p w14:paraId="73512C5E">
            <w:pPr>
              <w:widowControl/>
              <w:spacing w:line="360" w:lineRule="auto"/>
              <w:jc w:val="center"/>
              <w:rPr>
                <w:rFonts w:hint="eastAsia" w:ascii="宋体" w:hAnsi="宋体" w:eastAsia="宋体" w:cs="宋体"/>
                <w:color w:val="auto"/>
                <w:szCs w:val="21"/>
              </w:rPr>
            </w:pPr>
          </w:p>
        </w:tc>
      </w:tr>
      <w:tr w14:paraId="449C3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5CAEA77E">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411" w:type="pct"/>
            <w:shd w:val="clear" w:color="auto" w:fill="auto"/>
            <w:noWrap/>
            <w:vAlign w:val="center"/>
          </w:tcPr>
          <w:p w14:paraId="097103C8">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白色环光</w:t>
            </w:r>
          </w:p>
        </w:tc>
        <w:tc>
          <w:tcPr>
            <w:tcW w:w="2977" w:type="pct"/>
            <w:shd w:val="clear" w:color="auto" w:fill="auto"/>
            <w:noWrap/>
            <w:vAlign w:val="center"/>
          </w:tcPr>
          <w:p w14:paraId="2BEDDE2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1.外形：环形光源；</w:t>
            </w:r>
          </w:p>
          <w:p w14:paraId="5C8DC5E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2.外径：240mm；</w:t>
            </w:r>
          </w:p>
          <w:p w14:paraId="5BB4C6D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3.照射角度：45°；</w:t>
            </w:r>
          </w:p>
          <w:p w14:paraId="18AA282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4.颜色：白色。</w:t>
            </w:r>
          </w:p>
        </w:tc>
        <w:tc>
          <w:tcPr>
            <w:tcW w:w="354" w:type="pct"/>
            <w:shd w:val="clear" w:color="auto" w:fill="auto"/>
            <w:noWrap/>
            <w:vAlign w:val="center"/>
          </w:tcPr>
          <w:p w14:paraId="3FDEE2D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50C5A78F">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68B650C4">
            <w:pPr>
              <w:widowControl/>
              <w:spacing w:line="360" w:lineRule="auto"/>
              <w:jc w:val="center"/>
              <w:rPr>
                <w:rFonts w:hint="eastAsia" w:ascii="宋体" w:hAnsi="宋体" w:eastAsia="宋体" w:cs="宋体"/>
                <w:color w:val="auto"/>
                <w:szCs w:val="21"/>
              </w:rPr>
            </w:pPr>
          </w:p>
        </w:tc>
      </w:tr>
      <w:tr w14:paraId="53954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7F5D4082">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411" w:type="pct"/>
            <w:shd w:val="clear" w:color="auto" w:fill="auto"/>
            <w:noWrap/>
            <w:vAlign w:val="center"/>
          </w:tcPr>
          <w:p w14:paraId="42493256">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红色环光</w:t>
            </w:r>
          </w:p>
        </w:tc>
        <w:tc>
          <w:tcPr>
            <w:tcW w:w="2977" w:type="pct"/>
            <w:shd w:val="clear" w:color="auto" w:fill="auto"/>
            <w:noWrap/>
            <w:vAlign w:val="center"/>
          </w:tcPr>
          <w:p w14:paraId="2C1638C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1.外形：环形光源；</w:t>
            </w:r>
          </w:p>
          <w:p w14:paraId="6FECEC8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2.外径：240mm；</w:t>
            </w:r>
          </w:p>
          <w:p w14:paraId="5F65B8E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3.照射角度：45°；</w:t>
            </w:r>
          </w:p>
          <w:p w14:paraId="26D5CED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4.颜色：红色。</w:t>
            </w:r>
          </w:p>
        </w:tc>
        <w:tc>
          <w:tcPr>
            <w:tcW w:w="354" w:type="pct"/>
            <w:shd w:val="clear" w:color="auto" w:fill="auto"/>
            <w:noWrap/>
            <w:vAlign w:val="center"/>
          </w:tcPr>
          <w:p w14:paraId="74E0505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44D4A022">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7707CB6E">
            <w:pPr>
              <w:widowControl/>
              <w:spacing w:line="360" w:lineRule="auto"/>
              <w:jc w:val="center"/>
              <w:rPr>
                <w:rFonts w:hint="eastAsia" w:ascii="宋体" w:hAnsi="宋体" w:eastAsia="宋体" w:cs="宋体"/>
                <w:color w:val="auto"/>
                <w:szCs w:val="21"/>
              </w:rPr>
            </w:pPr>
          </w:p>
        </w:tc>
      </w:tr>
      <w:tr w14:paraId="701A0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2CCAAFE8">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411" w:type="pct"/>
            <w:shd w:val="clear" w:color="auto" w:fill="auto"/>
            <w:noWrap/>
            <w:vAlign w:val="center"/>
          </w:tcPr>
          <w:p w14:paraId="305DFE9F">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30°蓝色环光</w:t>
            </w:r>
          </w:p>
        </w:tc>
        <w:tc>
          <w:tcPr>
            <w:tcW w:w="2977" w:type="pct"/>
            <w:shd w:val="clear" w:color="auto" w:fill="auto"/>
            <w:noWrap/>
            <w:vAlign w:val="center"/>
          </w:tcPr>
          <w:p w14:paraId="0C10C98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1.外形：环形光源；</w:t>
            </w:r>
          </w:p>
          <w:p w14:paraId="4658804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2.颜色：蓝色；</w:t>
            </w:r>
          </w:p>
          <w:p w14:paraId="58E5AA1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3.波长：450nm～470nm；</w:t>
            </w:r>
          </w:p>
          <w:p w14:paraId="6A6DA24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4.照射角度：30°；</w:t>
            </w:r>
          </w:p>
          <w:p w14:paraId="0597053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5.供电线长度：≥500mm；</w:t>
            </w:r>
          </w:p>
          <w:p w14:paraId="1F602E4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6.外形直径：≥120mm；</w:t>
            </w:r>
          </w:p>
          <w:p w14:paraId="6D0DAB2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7.开孔孔径：≥80mm。</w:t>
            </w:r>
          </w:p>
        </w:tc>
        <w:tc>
          <w:tcPr>
            <w:tcW w:w="354" w:type="pct"/>
            <w:shd w:val="clear" w:color="auto" w:fill="auto"/>
            <w:noWrap/>
            <w:vAlign w:val="center"/>
          </w:tcPr>
          <w:p w14:paraId="7104BEB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04C68F97">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47E4BA78">
            <w:pPr>
              <w:widowControl/>
              <w:spacing w:line="360" w:lineRule="auto"/>
              <w:jc w:val="center"/>
              <w:rPr>
                <w:rFonts w:hint="eastAsia" w:ascii="宋体" w:hAnsi="宋体" w:eastAsia="宋体" w:cs="宋体"/>
                <w:color w:val="auto"/>
                <w:szCs w:val="21"/>
              </w:rPr>
            </w:pPr>
          </w:p>
        </w:tc>
      </w:tr>
      <w:tr w14:paraId="4B2C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4AD61B10">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4</w:t>
            </w:r>
          </w:p>
        </w:tc>
        <w:tc>
          <w:tcPr>
            <w:tcW w:w="411" w:type="pct"/>
            <w:shd w:val="clear" w:color="auto" w:fill="auto"/>
            <w:noWrap/>
            <w:vAlign w:val="center"/>
          </w:tcPr>
          <w:p w14:paraId="0DB20EAD">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70°蓝色环光</w:t>
            </w:r>
          </w:p>
        </w:tc>
        <w:tc>
          <w:tcPr>
            <w:tcW w:w="2977" w:type="pct"/>
            <w:shd w:val="clear" w:color="auto" w:fill="auto"/>
            <w:noWrap/>
            <w:vAlign w:val="center"/>
          </w:tcPr>
          <w:p w14:paraId="5E07CA7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1.外形：环形光源；</w:t>
            </w:r>
          </w:p>
          <w:p w14:paraId="071D53F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2.颜色：蓝色；</w:t>
            </w:r>
          </w:p>
          <w:p w14:paraId="68D0BB0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3.照射角度：50°～70°；</w:t>
            </w:r>
          </w:p>
          <w:p w14:paraId="54EE02F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4.供电线长度：≥500mm；</w:t>
            </w:r>
          </w:p>
          <w:p w14:paraId="3759720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5.外形直径：≥120mm。</w:t>
            </w:r>
          </w:p>
        </w:tc>
        <w:tc>
          <w:tcPr>
            <w:tcW w:w="354" w:type="pct"/>
            <w:shd w:val="clear" w:color="auto" w:fill="auto"/>
            <w:noWrap/>
            <w:vAlign w:val="center"/>
          </w:tcPr>
          <w:p w14:paraId="2958F01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53060687">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0945EC33">
            <w:pPr>
              <w:widowControl/>
              <w:spacing w:line="360" w:lineRule="auto"/>
              <w:jc w:val="center"/>
              <w:rPr>
                <w:rFonts w:hint="eastAsia" w:ascii="宋体" w:hAnsi="宋体" w:eastAsia="宋体" w:cs="宋体"/>
                <w:color w:val="auto"/>
                <w:szCs w:val="21"/>
              </w:rPr>
            </w:pPr>
          </w:p>
        </w:tc>
      </w:tr>
      <w:tr w14:paraId="32E1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480" w:type="pct"/>
            <w:shd w:val="clear" w:color="auto" w:fill="auto"/>
            <w:noWrap/>
            <w:vAlign w:val="center"/>
          </w:tcPr>
          <w:p w14:paraId="08781A60">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5</w:t>
            </w:r>
          </w:p>
        </w:tc>
        <w:tc>
          <w:tcPr>
            <w:tcW w:w="411" w:type="pct"/>
            <w:shd w:val="clear" w:color="auto" w:fill="auto"/>
            <w:noWrap/>
            <w:vAlign w:val="center"/>
          </w:tcPr>
          <w:p w14:paraId="26363053">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绿色环光</w:t>
            </w:r>
          </w:p>
        </w:tc>
        <w:tc>
          <w:tcPr>
            <w:tcW w:w="2977" w:type="pct"/>
            <w:shd w:val="clear" w:color="auto" w:fill="auto"/>
            <w:noWrap/>
            <w:vAlign w:val="center"/>
          </w:tcPr>
          <w:p w14:paraId="71D401F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1.外形：环形光源；</w:t>
            </w:r>
          </w:p>
          <w:p w14:paraId="4D131A8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2.外径：90mm；</w:t>
            </w:r>
          </w:p>
          <w:p w14:paraId="735FDCA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3.照射角度：60°～80°；</w:t>
            </w:r>
          </w:p>
          <w:p w14:paraId="121621A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4.颜色：绿色。</w:t>
            </w:r>
          </w:p>
        </w:tc>
        <w:tc>
          <w:tcPr>
            <w:tcW w:w="354" w:type="pct"/>
            <w:shd w:val="clear" w:color="auto" w:fill="auto"/>
            <w:noWrap/>
            <w:vAlign w:val="center"/>
          </w:tcPr>
          <w:p w14:paraId="3BD1D8C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2BB764D8">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78705285">
            <w:pPr>
              <w:widowControl/>
              <w:spacing w:line="360" w:lineRule="auto"/>
              <w:jc w:val="center"/>
              <w:rPr>
                <w:rFonts w:hint="eastAsia" w:ascii="宋体" w:hAnsi="宋体" w:eastAsia="宋体" w:cs="宋体"/>
                <w:color w:val="auto"/>
                <w:szCs w:val="21"/>
              </w:rPr>
            </w:pPr>
          </w:p>
        </w:tc>
      </w:tr>
      <w:tr w14:paraId="59DE4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7ED364FA">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6</w:t>
            </w:r>
          </w:p>
        </w:tc>
        <w:tc>
          <w:tcPr>
            <w:tcW w:w="411" w:type="pct"/>
            <w:shd w:val="clear" w:color="auto" w:fill="auto"/>
            <w:noWrap/>
            <w:vAlign w:val="center"/>
          </w:tcPr>
          <w:p w14:paraId="0283CE58">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193mm穹顶光</w:t>
            </w:r>
          </w:p>
        </w:tc>
        <w:tc>
          <w:tcPr>
            <w:tcW w:w="2977" w:type="pct"/>
            <w:shd w:val="clear" w:color="auto" w:fill="auto"/>
            <w:noWrap/>
            <w:vAlign w:val="center"/>
          </w:tcPr>
          <w:p w14:paraId="455BC54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1.外形：穹顶光源；</w:t>
            </w:r>
          </w:p>
          <w:p w14:paraId="48BDAC9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2.颜色：白色；</w:t>
            </w:r>
          </w:p>
          <w:p w14:paraId="646E3D1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3.供电线长度：≥500mm；</w:t>
            </w:r>
          </w:p>
          <w:p w14:paraId="48211F0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4.外形直径：Φ260mm；</w:t>
            </w:r>
          </w:p>
          <w:p w14:paraId="14C3924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5.开孔孔径：Φ48mm；</w:t>
            </w:r>
          </w:p>
          <w:p w14:paraId="24C6D01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6.发光区尺寸：Φ193mm。</w:t>
            </w:r>
          </w:p>
        </w:tc>
        <w:tc>
          <w:tcPr>
            <w:tcW w:w="354" w:type="pct"/>
            <w:shd w:val="clear" w:color="auto" w:fill="auto"/>
            <w:noWrap/>
            <w:vAlign w:val="center"/>
          </w:tcPr>
          <w:p w14:paraId="30B58E2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55512F09">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31AD4F60">
            <w:pPr>
              <w:widowControl/>
              <w:spacing w:line="360" w:lineRule="auto"/>
              <w:jc w:val="center"/>
              <w:rPr>
                <w:rFonts w:hint="eastAsia" w:ascii="宋体" w:hAnsi="宋体" w:eastAsia="宋体" w:cs="宋体"/>
                <w:color w:val="auto"/>
                <w:szCs w:val="21"/>
              </w:rPr>
            </w:pPr>
          </w:p>
        </w:tc>
      </w:tr>
      <w:tr w14:paraId="1096D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67EE4516">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7</w:t>
            </w:r>
          </w:p>
        </w:tc>
        <w:tc>
          <w:tcPr>
            <w:tcW w:w="411" w:type="pct"/>
            <w:shd w:val="clear" w:color="auto" w:fill="auto"/>
            <w:noWrap/>
            <w:vAlign w:val="center"/>
          </w:tcPr>
          <w:p w14:paraId="227831C7">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172mm穹顶光</w:t>
            </w:r>
          </w:p>
        </w:tc>
        <w:tc>
          <w:tcPr>
            <w:tcW w:w="2977" w:type="pct"/>
            <w:shd w:val="clear" w:color="auto" w:fill="auto"/>
            <w:noWrap/>
            <w:vAlign w:val="center"/>
          </w:tcPr>
          <w:p w14:paraId="12EDDAD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1.外形：穹顶无影光源；</w:t>
            </w:r>
          </w:p>
          <w:p w14:paraId="02F4849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2.颜色：白色；</w:t>
            </w:r>
          </w:p>
          <w:p w14:paraId="03DE30A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3.照射角度：≥25°；</w:t>
            </w:r>
          </w:p>
          <w:p w14:paraId="13E2E2E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4.供电线长度：≥500mm；</w:t>
            </w:r>
          </w:p>
          <w:p w14:paraId="06D090B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5.外形尺寸：Φ180×40mm；</w:t>
            </w:r>
          </w:p>
          <w:p w14:paraId="161D29F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6.外形直径：Φ180mm；</w:t>
            </w:r>
          </w:p>
          <w:p w14:paraId="6D9F516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7.开孔孔径：Φ151mm；</w:t>
            </w:r>
          </w:p>
          <w:p w14:paraId="6447860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8.发光区尺寸：Φ172mm。</w:t>
            </w:r>
          </w:p>
        </w:tc>
        <w:tc>
          <w:tcPr>
            <w:tcW w:w="354" w:type="pct"/>
            <w:shd w:val="clear" w:color="auto" w:fill="auto"/>
            <w:noWrap/>
            <w:vAlign w:val="center"/>
          </w:tcPr>
          <w:p w14:paraId="360C1F3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363402DC">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0F76BB92">
            <w:pPr>
              <w:widowControl/>
              <w:spacing w:line="360" w:lineRule="auto"/>
              <w:jc w:val="center"/>
              <w:rPr>
                <w:rFonts w:hint="eastAsia" w:ascii="宋体" w:hAnsi="宋体" w:eastAsia="宋体" w:cs="宋体"/>
                <w:color w:val="auto"/>
                <w:szCs w:val="21"/>
              </w:rPr>
            </w:pPr>
          </w:p>
        </w:tc>
      </w:tr>
      <w:tr w14:paraId="758F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480" w:type="pct"/>
            <w:shd w:val="clear" w:color="auto" w:fill="auto"/>
            <w:noWrap/>
            <w:vAlign w:val="center"/>
          </w:tcPr>
          <w:p w14:paraId="72D9EEEF">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8</w:t>
            </w:r>
          </w:p>
        </w:tc>
        <w:tc>
          <w:tcPr>
            <w:tcW w:w="411" w:type="pct"/>
            <w:shd w:val="clear" w:color="auto" w:fill="auto"/>
            <w:noWrap/>
            <w:vAlign w:val="center"/>
          </w:tcPr>
          <w:p w14:paraId="47E216C2">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条光</w:t>
            </w:r>
          </w:p>
        </w:tc>
        <w:tc>
          <w:tcPr>
            <w:tcW w:w="2977" w:type="pct"/>
            <w:shd w:val="clear" w:color="auto" w:fill="auto"/>
            <w:noWrap/>
            <w:vAlign w:val="center"/>
          </w:tcPr>
          <w:p w14:paraId="4A0ECE6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1.外形：条形光源；</w:t>
            </w:r>
          </w:p>
          <w:p w14:paraId="3B197CB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2.长度：≥320mm。</w:t>
            </w:r>
          </w:p>
        </w:tc>
        <w:tc>
          <w:tcPr>
            <w:tcW w:w="354" w:type="pct"/>
            <w:shd w:val="clear" w:color="auto" w:fill="auto"/>
            <w:noWrap/>
            <w:vAlign w:val="center"/>
          </w:tcPr>
          <w:p w14:paraId="6A87951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6EFB2E65">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50F62A96">
            <w:pPr>
              <w:widowControl/>
              <w:spacing w:line="360" w:lineRule="auto"/>
              <w:jc w:val="center"/>
              <w:rPr>
                <w:rFonts w:hint="eastAsia" w:ascii="宋体" w:hAnsi="宋体" w:eastAsia="宋体" w:cs="宋体"/>
                <w:color w:val="auto"/>
                <w:szCs w:val="21"/>
              </w:rPr>
            </w:pPr>
          </w:p>
        </w:tc>
      </w:tr>
      <w:tr w14:paraId="22F1D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1040B4D2">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9</w:t>
            </w:r>
          </w:p>
        </w:tc>
        <w:tc>
          <w:tcPr>
            <w:tcW w:w="411" w:type="pct"/>
            <w:shd w:val="clear" w:color="auto" w:fill="auto"/>
            <w:noWrap/>
            <w:vAlign w:val="center"/>
          </w:tcPr>
          <w:p w14:paraId="158C781B">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背光</w:t>
            </w:r>
          </w:p>
        </w:tc>
        <w:tc>
          <w:tcPr>
            <w:tcW w:w="2977" w:type="pct"/>
            <w:shd w:val="clear" w:color="auto" w:fill="auto"/>
            <w:noWrap/>
            <w:vAlign w:val="center"/>
          </w:tcPr>
          <w:p w14:paraId="4F7C77B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1.外形：背光源；</w:t>
            </w:r>
          </w:p>
          <w:p w14:paraId="39B4877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2.发光面：≥300*200mm。</w:t>
            </w:r>
          </w:p>
        </w:tc>
        <w:tc>
          <w:tcPr>
            <w:tcW w:w="354" w:type="pct"/>
            <w:shd w:val="clear" w:color="auto" w:fill="auto"/>
            <w:noWrap/>
            <w:vAlign w:val="center"/>
          </w:tcPr>
          <w:p w14:paraId="382D2EF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56E98502">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3A71BAA6">
            <w:pPr>
              <w:widowControl/>
              <w:spacing w:line="360" w:lineRule="auto"/>
              <w:jc w:val="center"/>
              <w:rPr>
                <w:rFonts w:hint="eastAsia" w:ascii="宋体" w:hAnsi="宋体" w:eastAsia="宋体" w:cs="宋体"/>
                <w:color w:val="auto"/>
                <w:szCs w:val="21"/>
              </w:rPr>
            </w:pPr>
          </w:p>
        </w:tc>
      </w:tr>
      <w:tr w14:paraId="42A5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750A8FB6">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10</w:t>
            </w:r>
          </w:p>
        </w:tc>
        <w:tc>
          <w:tcPr>
            <w:tcW w:w="411" w:type="pct"/>
            <w:shd w:val="clear" w:color="auto" w:fill="auto"/>
            <w:noWrap/>
            <w:vAlign w:val="center"/>
          </w:tcPr>
          <w:p w14:paraId="6D3E4AD6">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白色同轴光</w:t>
            </w:r>
          </w:p>
        </w:tc>
        <w:tc>
          <w:tcPr>
            <w:tcW w:w="2977" w:type="pct"/>
            <w:shd w:val="clear" w:color="auto" w:fill="auto"/>
            <w:noWrap/>
            <w:vAlign w:val="center"/>
          </w:tcPr>
          <w:p w14:paraId="6A0ED60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1.外形：同轴光源；</w:t>
            </w:r>
          </w:p>
          <w:p w14:paraId="75DC0A3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2.发光面：≥160*160mm；</w:t>
            </w:r>
          </w:p>
          <w:p w14:paraId="51F7FFC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3.颜色：白色。</w:t>
            </w:r>
          </w:p>
        </w:tc>
        <w:tc>
          <w:tcPr>
            <w:tcW w:w="354" w:type="pct"/>
            <w:shd w:val="clear" w:color="auto" w:fill="auto"/>
            <w:noWrap/>
            <w:vAlign w:val="center"/>
          </w:tcPr>
          <w:p w14:paraId="4135965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126A7B47">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22B5B673">
            <w:pPr>
              <w:widowControl/>
              <w:spacing w:line="360" w:lineRule="auto"/>
              <w:jc w:val="center"/>
              <w:rPr>
                <w:rFonts w:hint="eastAsia" w:ascii="宋体" w:hAnsi="宋体" w:eastAsia="宋体" w:cs="宋体"/>
                <w:color w:val="auto"/>
                <w:szCs w:val="21"/>
              </w:rPr>
            </w:pPr>
          </w:p>
        </w:tc>
      </w:tr>
      <w:tr w14:paraId="47D15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1F583413">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11</w:t>
            </w:r>
          </w:p>
        </w:tc>
        <w:tc>
          <w:tcPr>
            <w:tcW w:w="411" w:type="pct"/>
            <w:shd w:val="clear" w:color="auto" w:fill="auto"/>
            <w:noWrap/>
            <w:vAlign w:val="center"/>
          </w:tcPr>
          <w:p w14:paraId="25496246">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绿色同轴光</w:t>
            </w:r>
          </w:p>
        </w:tc>
        <w:tc>
          <w:tcPr>
            <w:tcW w:w="2977" w:type="pct"/>
            <w:shd w:val="clear" w:color="auto" w:fill="auto"/>
            <w:noWrap/>
            <w:vAlign w:val="center"/>
          </w:tcPr>
          <w:p w14:paraId="4161EEE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1.外形：同轴光源；</w:t>
            </w:r>
          </w:p>
          <w:p w14:paraId="20E847D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2.发光面：≥160*160mm；</w:t>
            </w:r>
          </w:p>
          <w:p w14:paraId="483A671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3.颜色：绿色。</w:t>
            </w:r>
          </w:p>
        </w:tc>
        <w:tc>
          <w:tcPr>
            <w:tcW w:w="354" w:type="pct"/>
            <w:shd w:val="clear" w:color="auto" w:fill="auto"/>
            <w:noWrap/>
            <w:vAlign w:val="center"/>
          </w:tcPr>
          <w:p w14:paraId="67DE55A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3382A2C7">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50DC8B75">
            <w:pPr>
              <w:widowControl/>
              <w:spacing w:line="360" w:lineRule="auto"/>
              <w:jc w:val="center"/>
              <w:rPr>
                <w:rFonts w:hint="eastAsia" w:ascii="宋体" w:hAnsi="宋体" w:eastAsia="宋体" w:cs="宋体"/>
                <w:color w:val="auto"/>
                <w:szCs w:val="21"/>
              </w:rPr>
            </w:pPr>
          </w:p>
        </w:tc>
      </w:tr>
      <w:tr w14:paraId="1A297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42A7A609">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12</w:t>
            </w:r>
          </w:p>
        </w:tc>
        <w:tc>
          <w:tcPr>
            <w:tcW w:w="411" w:type="pct"/>
            <w:shd w:val="clear" w:color="auto" w:fill="auto"/>
            <w:noWrap/>
            <w:vAlign w:val="center"/>
          </w:tcPr>
          <w:p w14:paraId="5CE2E6DF">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红色同轴光</w:t>
            </w:r>
          </w:p>
        </w:tc>
        <w:tc>
          <w:tcPr>
            <w:tcW w:w="2977" w:type="pct"/>
            <w:shd w:val="clear" w:color="auto" w:fill="auto"/>
            <w:noWrap/>
            <w:vAlign w:val="center"/>
          </w:tcPr>
          <w:p w14:paraId="353F44A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1.外形：同轴光源；</w:t>
            </w:r>
          </w:p>
          <w:p w14:paraId="1E8B3F0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2.颜色：红色；</w:t>
            </w:r>
          </w:p>
          <w:p w14:paraId="7792F77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3.波长：620nm～640nm；</w:t>
            </w:r>
          </w:p>
          <w:p w14:paraId="4A3F3EE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4.供电线长度：≥500mm；</w:t>
            </w:r>
          </w:p>
          <w:p w14:paraId="5E2CACA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5.发光区尺寸：≥30mm×30mm。</w:t>
            </w:r>
          </w:p>
        </w:tc>
        <w:tc>
          <w:tcPr>
            <w:tcW w:w="354" w:type="pct"/>
            <w:shd w:val="clear" w:color="auto" w:fill="auto"/>
            <w:noWrap/>
            <w:vAlign w:val="center"/>
          </w:tcPr>
          <w:p w14:paraId="7459848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6A348DC7">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2561376A">
            <w:pPr>
              <w:widowControl/>
              <w:spacing w:line="360" w:lineRule="auto"/>
              <w:jc w:val="center"/>
              <w:rPr>
                <w:rFonts w:hint="eastAsia" w:ascii="宋体" w:hAnsi="宋体" w:eastAsia="宋体" w:cs="宋体"/>
                <w:color w:val="auto"/>
                <w:szCs w:val="21"/>
              </w:rPr>
            </w:pPr>
          </w:p>
        </w:tc>
      </w:tr>
      <w:tr w14:paraId="11354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1D85330C">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13</w:t>
            </w:r>
          </w:p>
        </w:tc>
        <w:tc>
          <w:tcPr>
            <w:tcW w:w="411" w:type="pct"/>
            <w:shd w:val="clear" w:color="auto" w:fill="auto"/>
            <w:noWrap/>
            <w:vAlign w:val="center"/>
          </w:tcPr>
          <w:p w14:paraId="52F71FA5">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红外光</w:t>
            </w:r>
          </w:p>
        </w:tc>
        <w:tc>
          <w:tcPr>
            <w:tcW w:w="2977" w:type="pct"/>
            <w:shd w:val="clear" w:color="auto" w:fill="auto"/>
            <w:noWrap/>
            <w:vAlign w:val="center"/>
          </w:tcPr>
          <w:p w14:paraId="35E513D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1.外形：点光源；</w:t>
            </w:r>
          </w:p>
          <w:p w14:paraId="337270A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2.颜色：红外；</w:t>
            </w:r>
          </w:p>
          <w:p w14:paraId="5DC24E3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3.波长：850nm；</w:t>
            </w:r>
          </w:p>
          <w:p w14:paraId="6392DCE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4.供电线长度：≥500mm；</w:t>
            </w:r>
          </w:p>
          <w:p w14:paraId="1A1D5BF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5.发光面外径：≥6mm。</w:t>
            </w:r>
          </w:p>
        </w:tc>
        <w:tc>
          <w:tcPr>
            <w:tcW w:w="354" w:type="pct"/>
            <w:shd w:val="clear" w:color="auto" w:fill="auto"/>
            <w:noWrap/>
            <w:vAlign w:val="center"/>
          </w:tcPr>
          <w:p w14:paraId="50F4FD3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334E7D5F">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02D2E10B">
            <w:pPr>
              <w:widowControl/>
              <w:spacing w:line="360" w:lineRule="auto"/>
              <w:jc w:val="center"/>
              <w:rPr>
                <w:rFonts w:hint="eastAsia" w:ascii="宋体" w:hAnsi="宋体" w:eastAsia="宋体" w:cs="宋体"/>
                <w:color w:val="auto"/>
                <w:szCs w:val="21"/>
              </w:rPr>
            </w:pPr>
          </w:p>
        </w:tc>
      </w:tr>
      <w:tr w14:paraId="298C2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5AA121E0">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14</w:t>
            </w:r>
          </w:p>
        </w:tc>
        <w:tc>
          <w:tcPr>
            <w:tcW w:w="411" w:type="pct"/>
            <w:shd w:val="clear" w:color="auto" w:fill="auto"/>
            <w:noWrap/>
            <w:vAlign w:val="center"/>
          </w:tcPr>
          <w:p w14:paraId="48BEA589">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紫外光</w:t>
            </w:r>
          </w:p>
        </w:tc>
        <w:tc>
          <w:tcPr>
            <w:tcW w:w="2977" w:type="pct"/>
            <w:shd w:val="clear" w:color="auto" w:fill="auto"/>
            <w:noWrap/>
            <w:vAlign w:val="center"/>
          </w:tcPr>
          <w:p w14:paraId="7AC94DF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1.外形：点光源；</w:t>
            </w:r>
          </w:p>
          <w:p w14:paraId="3B23574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2.颜色：紫外；</w:t>
            </w:r>
          </w:p>
          <w:p w14:paraId="6690FC1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3.波长：365nm～405nm；</w:t>
            </w:r>
          </w:p>
          <w:p w14:paraId="4603528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4.供电线长度：≥500mm；</w:t>
            </w:r>
          </w:p>
          <w:p w14:paraId="6B5B404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5.发光面外径：≥6mm。</w:t>
            </w:r>
          </w:p>
        </w:tc>
        <w:tc>
          <w:tcPr>
            <w:tcW w:w="354" w:type="pct"/>
            <w:shd w:val="clear" w:color="auto" w:fill="auto"/>
            <w:noWrap/>
            <w:vAlign w:val="center"/>
          </w:tcPr>
          <w:p w14:paraId="47D0A8F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7580196C">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55FE8CFF">
            <w:pPr>
              <w:widowControl/>
              <w:spacing w:line="360" w:lineRule="auto"/>
              <w:jc w:val="center"/>
              <w:rPr>
                <w:rFonts w:hint="eastAsia" w:ascii="宋体" w:hAnsi="宋体" w:eastAsia="宋体" w:cs="宋体"/>
                <w:color w:val="auto"/>
                <w:szCs w:val="21"/>
              </w:rPr>
            </w:pPr>
          </w:p>
        </w:tc>
      </w:tr>
      <w:tr w14:paraId="070D3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6D0BF4C5">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15</w:t>
            </w:r>
          </w:p>
        </w:tc>
        <w:tc>
          <w:tcPr>
            <w:tcW w:w="411" w:type="pct"/>
            <w:shd w:val="clear" w:color="auto" w:fill="auto"/>
            <w:noWrap/>
            <w:vAlign w:val="center"/>
          </w:tcPr>
          <w:p w14:paraId="2511A8D9">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AOI光源</w:t>
            </w:r>
          </w:p>
        </w:tc>
        <w:tc>
          <w:tcPr>
            <w:tcW w:w="2977" w:type="pct"/>
            <w:shd w:val="clear" w:color="auto" w:fill="auto"/>
            <w:noWrap/>
            <w:vAlign w:val="center"/>
          </w:tcPr>
          <w:p w14:paraId="54ECC60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1.外形：AOI光源；</w:t>
            </w:r>
          </w:p>
          <w:p w14:paraId="4B8B21C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2.外径：≥175mm；</w:t>
            </w:r>
          </w:p>
          <w:p w14:paraId="7FDD69A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3.支持颜色：红绿蓝三色；</w:t>
            </w:r>
          </w:p>
          <w:p w14:paraId="22DAF35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4.供电电压：24V，DC。</w:t>
            </w:r>
          </w:p>
        </w:tc>
        <w:tc>
          <w:tcPr>
            <w:tcW w:w="354" w:type="pct"/>
            <w:shd w:val="clear" w:color="auto" w:fill="auto"/>
            <w:noWrap/>
            <w:vAlign w:val="center"/>
          </w:tcPr>
          <w:p w14:paraId="5E68FF8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5A85A948">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12E63429">
            <w:pPr>
              <w:widowControl/>
              <w:spacing w:line="360" w:lineRule="auto"/>
              <w:jc w:val="center"/>
              <w:rPr>
                <w:rFonts w:hint="eastAsia" w:ascii="宋体" w:hAnsi="宋体" w:eastAsia="宋体" w:cs="宋体"/>
                <w:color w:val="auto"/>
                <w:szCs w:val="21"/>
              </w:rPr>
            </w:pPr>
          </w:p>
        </w:tc>
      </w:tr>
      <w:tr w14:paraId="27B9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6B23EFEE">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16</w:t>
            </w:r>
          </w:p>
        </w:tc>
        <w:tc>
          <w:tcPr>
            <w:tcW w:w="411" w:type="pct"/>
            <w:shd w:val="clear" w:color="auto" w:fill="auto"/>
            <w:noWrap/>
            <w:vAlign w:val="center"/>
          </w:tcPr>
          <w:p w14:paraId="1CA71E23">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线光源</w:t>
            </w:r>
          </w:p>
        </w:tc>
        <w:tc>
          <w:tcPr>
            <w:tcW w:w="2977" w:type="pct"/>
            <w:shd w:val="clear" w:color="auto" w:fill="auto"/>
            <w:noWrap/>
            <w:vAlign w:val="center"/>
          </w:tcPr>
          <w:p w14:paraId="389AA54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1.外形：标准线光源；</w:t>
            </w:r>
          </w:p>
          <w:p w14:paraId="4B26309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2.颜色：白色；</w:t>
            </w:r>
          </w:p>
          <w:p w14:paraId="7CBFD03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3.灯珠排数：≥1排；</w:t>
            </w:r>
          </w:p>
          <w:p w14:paraId="330A1F8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4.供电线长度：≥500mm；</w:t>
            </w:r>
          </w:p>
          <w:p w14:paraId="4F6CE37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5.发光区尺寸：≥290mm×15mm。</w:t>
            </w:r>
          </w:p>
        </w:tc>
        <w:tc>
          <w:tcPr>
            <w:tcW w:w="354" w:type="pct"/>
            <w:shd w:val="clear" w:color="auto" w:fill="auto"/>
            <w:noWrap/>
            <w:vAlign w:val="center"/>
          </w:tcPr>
          <w:p w14:paraId="768BE9B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12F09EDB">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29D814A3">
            <w:pPr>
              <w:widowControl/>
              <w:spacing w:line="360" w:lineRule="auto"/>
              <w:jc w:val="center"/>
              <w:rPr>
                <w:rFonts w:hint="eastAsia" w:ascii="宋体" w:hAnsi="宋体" w:eastAsia="宋体" w:cs="宋体"/>
                <w:color w:val="auto"/>
                <w:szCs w:val="21"/>
              </w:rPr>
            </w:pPr>
          </w:p>
        </w:tc>
      </w:tr>
      <w:tr w14:paraId="5B8E1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3EA11779">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17</w:t>
            </w:r>
          </w:p>
        </w:tc>
        <w:tc>
          <w:tcPr>
            <w:tcW w:w="411" w:type="pct"/>
            <w:shd w:val="clear" w:color="auto" w:fill="auto"/>
            <w:noWrap/>
            <w:vAlign w:val="center"/>
          </w:tcPr>
          <w:p w14:paraId="69E0FEDD">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光源控制器</w:t>
            </w:r>
          </w:p>
        </w:tc>
        <w:tc>
          <w:tcPr>
            <w:tcW w:w="2977" w:type="pct"/>
            <w:shd w:val="clear" w:color="auto" w:fill="auto"/>
            <w:noWrap/>
            <w:vAlign w:val="center"/>
          </w:tcPr>
          <w:p w14:paraId="36F078F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1.功率：200w；</w:t>
            </w:r>
          </w:p>
          <w:p w14:paraId="30D741C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2.通道数量：≥4通道；</w:t>
            </w:r>
          </w:p>
          <w:p w14:paraId="278E232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3.单通道功率：≥10W。</w:t>
            </w:r>
          </w:p>
        </w:tc>
        <w:tc>
          <w:tcPr>
            <w:tcW w:w="354" w:type="pct"/>
            <w:shd w:val="clear" w:color="auto" w:fill="auto"/>
            <w:noWrap/>
            <w:vAlign w:val="center"/>
          </w:tcPr>
          <w:p w14:paraId="5528701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41CFB3EA">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6C46F8AC">
            <w:pPr>
              <w:widowControl/>
              <w:spacing w:line="360" w:lineRule="auto"/>
              <w:jc w:val="center"/>
              <w:rPr>
                <w:rFonts w:hint="eastAsia" w:ascii="宋体" w:hAnsi="宋体" w:eastAsia="宋体" w:cs="宋体"/>
                <w:color w:val="auto"/>
                <w:szCs w:val="21"/>
              </w:rPr>
            </w:pPr>
          </w:p>
        </w:tc>
      </w:tr>
      <w:tr w14:paraId="00CFC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39B83EFF">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18</w:t>
            </w:r>
          </w:p>
        </w:tc>
        <w:tc>
          <w:tcPr>
            <w:tcW w:w="411" w:type="pct"/>
            <w:shd w:val="clear" w:color="auto" w:fill="auto"/>
            <w:noWrap/>
            <w:vAlign w:val="center"/>
          </w:tcPr>
          <w:p w14:paraId="1F1301D5">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分区照明光源</w:t>
            </w:r>
          </w:p>
        </w:tc>
        <w:tc>
          <w:tcPr>
            <w:tcW w:w="2977" w:type="pct"/>
            <w:shd w:val="clear" w:color="auto" w:fill="auto"/>
            <w:noWrap/>
            <w:vAlign w:val="center"/>
          </w:tcPr>
          <w:p w14:paraId="1526FC8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1.颜色：白；</w:t>
            </w:r>
          </w:p>
          <w:p w14:paraId="32FBF31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2.消耗功率：≥20W;</w:t>
            </w:r>
          </w:p>
          <w:p w14:paraId="12B3563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3.供电电压：24V；</w:t>
            </w:r>
          </w:p>
          <w:p w14:paraId="26AA39F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4.直径：≥100mm;</w:t>
            </w:r>
          </w:p>
        </w:tc>
        <w:tc>
          <w:tcPr>
            <w:tcW w:w="354" w:type="pct"/>
            <w:shd w:val="clear" w:color="auto" w:fill="auto"/>
            <w:noWrap/>
            <w:vAlign w:val="center"/>
          </w:tcPr>
          <w:p w14:paraId="53640F4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45563E8E">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34563BCA">
            <w:pPr>
              <w:widowControl/>
              <w:spacing w:line="360" w:lineRule="auto"/>
              <w:jc w:val="center"/>
              <w:rPr>
                <w:rFonts w:hint="eastAsia" w:ascii="宋体" w:hAnsi="宋体" w:eastAsia="宋体" w:cs="宋体"/>
                <w:color w:val="auto"/>
                <w:szCs w:val="21"/>
              </w:rPr>
            </w:pPr>
          </w:p>
        </w:tc>
      </w:tr>
      <w:tr w14:paraId="71918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2914D4DE">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19</w:t>
            </w:r>
          </w:p>
        </w:tc>
        <w:tc>
          <w:tcPr>
            <w:tcW w:w="411" w:type="pct"/>
            <w:shd w:val="clear" w:color="auto" w:fill="auto"/>
            <w:noWrap/>
            <w:vAlign w:val="center"/>
          </w:tcPr>
          <w:p w14:paraId="68549038">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紫外环形光源</w:t>
            </w:r>
          </w:p>
        </w:tc>
        <w:tc>
          <w:tcPr>
            <w:tcW w:w="2977" w:type="pct"/>
            <w:shd w:val="clear" w:color="auto" w:fill="auto"/>
            <w:noWrap/>
            <w:vAlign w:val="center"/>
          </w:tcPr>
          <w:p w14:paraId="115FE6C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1.角度：30°；</w:t>
            </w:r>
          </w:p>
          <w:p w14:paraId="6F9F04E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2.波长：365nm～375nm；</w:t>
            </w:r>
          </w:p>
          <w:p w14:paraId="22F8072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3.供电电压：24V；</w:t>
            </w:r>
          </w:p>
          <w:p w14:paraId="66E9399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4.功率：≥7.5W；</w:t>
            </w:r>
          </w:p>
          <w:p w14:paraId="3BC8704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5.外壳尺寸：≥120mm。</w:t>
            </w:r>
          </w:p>
          <w:p w14:paraId="3DF14E6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6.外形：环形光源；</w:t>
            </w:r>
          </w:p>
        </w:tc>
        <w:tc>
          <w:tcPr>
            <w:tcW w:w="354" w:type="pct"/>
            <w:shd w:val="clear" w:color="auto" w:fill="auto"/>
            <w:noWrap/>
            <w:vAlign w:val="center"/>
          </w:tcPr>
          <w:p w14:paraId="2C740F2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373C7EB8">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16D7CB90">
            <w:pPr>
              <w:widowControl/>
              <w:spacing w:line="360" w:lineRule="auto"/>
              <w:jc w:val="center"/>
              <w:rPr>
                <w:rFonts w:hint="eastAsia" w:ascii="宋体" w:hAnsi="宋体" w:eastAsia="宋体" w:cs="宋体"/>
                <w:color w:val="auto"/>
                <w:szCs w:val="21"/>
              </w:rPr>
            </w:pPr>
          </w:p>
        </w:tc>
      </w:tr>
      <w:tr w14:paraId="1996C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75219A30">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20</w:t>
            </w:r>
          </w:p>
        </w:tc>
        <w:tc>
          <w:tcPr>
            <w:tcW w:w="411" w:type="pct"/>
            <w:shd w:val="clear" w:color="auto" w:fill="auto"/>
            <w:noWrap/>
            <w:vAlign w:val="center"/>
          </w:tcPr>
          <w:p w14:paraId="45DA82CF">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光源控制器</w:t>
            </w:r>
          </w:p>
        </w:tc>
        <w:tc>
          <w:tcPr>
            <w:tcW w:w="2977" w:type="pct"/>
            <w:shd w:val="clear" w:color="auto" w:fill="auto"/>
            <w:noWrap/>
            <w:vAlign w:val="center"/>
          </w:tcPr>
          <w:p w14:paraId="7A0331D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1.输入电压：AC，200～240V，50/60Hz；</w:t>
            </w:r>
          </w:p>
          <w:p w14:paraId="491F239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2.输入电流：1.8A/115V，AC；1A/230V，AC；</w:t>
            </w:r>
          </w:p>
          <w:p w14:paraId="02949FC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3.发光方式：常亮/频闪；</w:t>
            </w:r>
          </w:p>
          <w:p w14:paraId="51B1502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4.自动检测光源额定电流：连接10mA～2A，24V光源；</w:t>
            </w:r>
          </w:p>
          <w:p w14:paraId="115943A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5.手动设置最大输出电流：10mA～2A可设；</w:t>
            </w:r>
          </w:p>
          <w:p w14:paraId="67F62BB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6.亮度：可调级别256级亮度可调；</w:t>
            </w:r>
          </w:p>
          <w:p w14:paraId="2651643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7.短路保护：控制器输出短路时，相应通道短路保护启动；</w:t>
            </w:r>
          </w:p>
          <w:p w14:paraId="0256DAD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8.触发方式：电平触发（低电平：0～2V；高电平：5～24V）；</w:t>
            </w:r>
          </w:p>
          <w:p w14:paraId="04B6374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9.常用触发时间：单位1μs/10μs/1ms/100ms；</w:t>
            </w:r>
          </w:p>
          <w:p w14:paraId="36EA1E7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10.常用触发脉宽：1μs～30s；</w:t>
            </w:r>
          </w:p>
          <w:p w14:paraId="2ED2AE1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11.高亮触发模式：单通道以2A输出；</w:t>
            </w:r>
          </w:p>
          <w:p w14:paraId="7E113B7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12.高亮触发脉宽：0.01～5.00ms；</w:t>
            </w:r>
          </w:p>
          <w:p w14:paraId="68DAB62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13.可编程触发模式：最大可支持64个流程,亮度、脉宽和触发源均可设置；</w:t>
            </w:r>
          </w:p>
          <w:p w14:paraId="01E3AA8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14.触发响应时间：≥30μs；</w:t>
            </w:r>
          </w:p>
          <w:p w14:paraId="6678A9A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15.触发响应频率：≤10KHz；</w:t>
            </w:r>
          </w:p>
        </w:tc>
        <w:tc>
          <w:tcPr>
            <w:tcW w:w="354" w:type="pct"/>
            <w:shd w:val="clear" w:color="auto" w:fill="auto"/>
            <w:noWrap/>
            <w:vAlign w:val="center"/>
          </w:tcPr>
          <w:p w14:paraId="177BBE5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278F7CEE">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5EAD6A4E">
            <w:pPr>
              <w:widowControl/>
              <w:spacing w:line="360" w:lineRule="auto"/>
              <w:jc w:val="center"/>
              <w:rPr>
                <w:rFonts w:hint="eastAsia" w:ascii="宋体" w:hAnsi="宋体" w:eastAsia="宋体" w:cs="宋体"/>
                <w:color w:val="auto"/>
                <w:szCs w:val="21"/>
              </w:rPr>
            </w:pPr>
          </w:p>
        </w:tc>
      </w:tr>
      <w:tr w14:paraId="19349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25DF646B">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21</w:t>
            </w:r>
          </w:p>
        </w:tc>
        <w:tc>
          <w:tcPr>
            <w:tcW w:w="411" w:type="pct"/>
            <w:shd w:val="clear" w:color="auto" w:fill="auto"/>
            <w:noWrap/>
            <w:vAlign w:val="center"/>
          </w:tcPr>
          <w:p w14:paraId="0FDE1726">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线光源控制器</w:t>
            </w:r>
          </w:p>
        </w:tc>
        <w:tc>
          <w:tcPr>
            <w:tcW w:w="2977" w:type="pct"/>
            <w:shd w:val="clear" w:color="auto" w:fill="auto"/>
            <w:noWrap/>
            <w:vAlign w:val="center"/>
          </w:tcPr>
          <w:p w14:paraId="38FECFE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1.接口：20M-4K接口；</w:t>
            </w:r>
          </w:p>
          <w:p w14:paraId="0A77044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2.驱动方式：恒压；</w:t>
            </w:r>
          </w:p>
          <w:p w14:paraId="32BBCD9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3.发光方式：模拟恒压；</w:t>
            </w:r>
          </w:p>
          <w:p w14:paraId="6B9F04D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4.通道数：≥1个；</w:t>
            </w:r>
          </w:p>
          <w:p w14:paraId="2AD1B65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5.调光方式：面板按键,串口通讯；</w:t>
            </w:r>
          </w:p>
          <w:p w14:paraId="7BBE028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6.调光级数：0～255；</w:t>
            </w:r>
          </w:p>
          <w:p w14:paraId="4D33E44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7.发光延迟时间：≤5ms；</w:t>
            </w:r>
          </w:p>
          <w:p w14:paraId="1E8C9AC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8.触发模式：支持外触发,内触发；</w:t>
            </w:r>
          </w:p>
          <w:p w14:paraId="49FF653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9.通讯协议：RS-232；</w:t>
            </w:r>
          </w:p>
          <w:p w14:paraId="47301B7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10.适用光源：线光源；</w:t>
            </w:r>
          </w:p>
          <w:p w14:paraId="1F8B447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11.最大输出功率：≥300W；</w:t>
            </w:r>
          </w:p>
          <w:p w14:paraId="2A34613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12.数字I/O：≥1路输入,≥1路内部电源输出；</w:t>
            </w:r>
          </w:p>
        </w:tc>
        <w:tc>
          <w:tcPr>
            <w:tcW w:w="354" w:type="pct"/>
            <w:shd w:val="clear" w:color="auto" w:fill="auto"/>
            <w:noWrap/>
            <w:vAlign w:val="center"/>
          </w:tcPr>
          <w:p w14:paraId="17F6E5E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22889336">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1A2ECDD9">
            <w:pPr>
              <w:widowControl/>
              <w:spacing w:line="360" w:lineRule="auto"/>
              <w:jc w:val="center"/>
              <w:rPr>
                <w:rFonts w:hint="eastAsia" w:ascii="宋体" w:hAnsi="宋体" w:eastAsia="宋体" w:cs="宋体"/>
                <w:color w:val="auto"/>
                <w:szCs w:val="21"/>
              </w:rPr>
            </w:pPr>
          </w:p>
        </w:tc>
      </w:tr>
      <w:tr w14:paraId="4470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27EDB644">
            <w:pPr>
              <w:widowControl/>
              <w:spacing w:line="360" w:lineRule="auto"/>
              <w:jc w:val="center"/>
              <w:rPr>
                <w:rFonts w:hint="eastAsia" w:ascii="宋体" w:hAnsi="宋体" w:eastAsia="宋体" w:cs="宋体"/>
                <w:color w:val="auto"/>
                <w:szCs w:val="21"/>
              </w:rPr>
            </w:pPr>
            <w:r>
              <w:rPr>
                <w:rFonts w:hint="eastAsia" w:ascii="宋体" w:hAnsi="宋体" w:eastAsia="宋体" w:cs="宋体"/>
                <w:b/>
                <w:bCs/>
                <w:color w:val="auto"/>
                <w:szCs w:val="21"/>
              </w:rPr>
              <w:t>（五）</w:t>
            </w:r>
          </w:p>
        </w:tc>
        <w:tc>
          <w:tcPr>
            <w:tcW w:w="411" w:type="pct"/>
            <w:shd w:val="clear" w:color="auto" w:fill="auto"/>
            <w:noWrap/>
            <w:vAlign w:val="center"/>
          </w:tcPr>
          <w:p w14:paraId="342FE6EA">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偏振片</w:t>
            </w:r>
          </w:p>
        </w:tc>
        <w:tc>
          <w:tcPr>
            <w:tcW w:w="2977" w:type="pct"/>
            <w:shd w:val="clear" w:color="auto" w:fill="auto"/>
            <w:noWrap/>
            <w:vAlign w:val="center"/>
          </w:tcPr>
          <w:p w14:paraId="4D894D7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1.滤镜口径：≥25mm。</w:t>
            </w:r>
          </w:p>
        </w:tc>
        <w:tc>
          <w:tcPr>
            <w:tcW w:w="354" w:type="pct"/>
            <w:shd w:val="clear" w:color="auto" w:fill="auto"/>
            <w:noWrap/>
            <w:vAlign w:val="center"/>
          </w:tcPr>
          <w:p w14:paraId="1F0C04D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76FD5545">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14CA9752">
            <w:pPr>
              <w:widowControl/>
              <w:spacing w:line="360" w:lineRule="auto"/>
              <w:jc w:val="center"/>
              <w:rPr>
                <w:rFonts w:hint="eastAsia" w:ascii="宋体" w:hAnsi="宋体" w:eastAsia="宋体" w:cs="宋体"/>
                <w:color w:val="auto"/>
                <w:szCs w:val="21"/>
              </w:rPr>
            </w:pPr>
          </w:p>
        </w:tc>
      </w:tr>
      <w:tr w14:paraId="129A1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57B7AB3E">
            <w:pPr>
              <w:widowControl/>
              <w:spacing w:line="360" w:lineRule="auto"/>
              <w:jc w:val="center"/>
              <w:rPr>
                <w:rFonts w:hint="eastAsia" w:ascii="宋体" w:hAnsi="宋体" w:eastAsia="宋体" w:cs="宋体"/>
                <w:color w:val="auto"/>
                <w:szCs w:val="21"/>
              </w:rPr>
            </w:pPr>
            <w:r>
              <w:rPr>
                <w:rFonts w:hint="eastAsia" w:ascii="宋体" w:hAnsi="宋体" w:eastAsia="宋体" w:cs="宋体"/>
                <w:b/>
                <w:bCs/>
                <w:color w:val="auto"/>
                <w:szCs w:val="21"/>
              </w:rPr>
              <w:t>（六）</w:t>
            </w:r>
          </w:p>
        </w:tc>
        <w:tc>
          <w:tcPr>
            <w:tcW w:w="411" w:type="pct"/>
            <w:shd w:val="clear" w:color="auto" w:fill="auto"/>
            <w:noWrap/>
            <w:vAlign w:val="center"/>
          </w:tcPr>
          <w:p w14:paraId="4BDB76AB">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3D线光谱共焦传感器</w:t>
            </w:r>
          </w:p>
        </w:tc>
        <w:tc>
          <w:tcPr>
            <w:tcW w:w="2977" w:type="pct"/>
            <w:shd w:val="clear" w:color="auto" w:fill="auto"/>
            <w:noWrap/>
            <w:vAlign w:val="center"/>
          </w:tcPr>
          <w:p w14:paraId="1E11FAD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 w:val="24"/>
                <w:szCs w:val="24"/>
              </w:rPr>
              <w:t>★</w:t>
            </w:r>
            <w:r>
              <w:rPr>
                <w:rFonts w:hint="eastAsia" w:ascii="宋体" w:hAnsi="宋体" w:eastAsia="宋体" w:cs="宋体"/>
                <w:color w:val="auto"/>
                <w:szCs w:val="21"/>
              </w:rPr>
              <w:t>1.扫描速率：6500</w:t>
            </w:r>
            <w:r>
              <w:rPr>
                <w:rFonts w:hint="eastAsia" w:ascii="宋体" w:hAnsi="宋体" w:eastAsia="宋体" w:cs="宋体"/>
                <w:color w:val="auto"/>
                <w:szCs w:val="21"/>
                <w:lang w:val="en-US" w:eastAsia="zh-CN"/>
              </w:rPr>
              <w:t>～</w:t>
            </w:r>
            <w:r>
              <w:rPr>
                <w:rFonts w:hint="eastAsia" w:ascii="宋体" w:hAnsi="宋体" w:eastAsia="宋体" w:cs="宋体"/>
                <w:color w:val="auto"/>
                <w:szCs w:val="21"/>
              </w:rPr>
              <w:t>35000线/秒；</w:t>
            </w:r>
          </w:p>
          <w:p w14:paraId="4E8FC83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2.X方向分辨率（轮廓线数据间隔）：≤1.2µm；</w:t>
            </w:r>
          </w:p>
          <w:p w14:paraId="426D0A5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3.测量范围（MR）：0.5mm～2mm；</w:t>
            </w:r>
          </w:p>
          <w:p w14:paraId="49C94DA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█4.视野(FOV)：≥20mm；</w:t>
            </w:r>
          </w:p>
          <w:p w14:paraId="68F2C06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5.Z方向线性度：±0.05%FS(ofMR)；</w:t>
            </w:r>
          </w:p>
          <w:p w14:paraId="1C78D2D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6.Z方向重复性：≤0.1µm；</w:t>
            </w:r>
          </w:p>
          <w:p w14:paraId="50D2011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█7.Z方向精度：≤0.2µm；</w:t>
            </w:r>
          </w:p>
          <w:p w14:paraId="57AA79B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8.最大兼容角度：30°～80°；</w:t>
            </w:r>
          </w:p>
          <w:p w14:paraId="76EB967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9.轮廓线点数：≥2000；</w:t>
            </w:r>
          </w:p>
          <w:p w14:paraId="6AF23A7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10.重量：≤15kg。</w:t>
            </w:r>
          </w:p>
        </w:tc>
        <w:tc>
          <w:tcPr>
            <w:tcW w:w="354" w:type="pct"/>
            <w:shd w:val="clear" w:color="auto" w:fill="auto"/>
            <w:noWrap/>
            <w:vAlign w:val="center"/>
          </w:tcPr>
          <w:p w14:paraId="58C2E7A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1套</w:t>
            </w:r>
          </w:p>
        </w:tc>
        <w:tc>
          <w:tcPr>
            <w:tcW w:w="388" w:type="pct"/>
            <w:shd w:val="clear" w:color="auto" w:fill="auto"/>
            <w:noWrap/>
            <w:vAlign w:val="center"/>
          </w:tcPr>
          <w:p w14:paraId="7F3507A8">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0D8998AE">
            <w:pPr>
              <w:widowControl/>
              <w:spacing w:line="360" w:lineRule="auto"/>
              <w:jc w:val="center"/>
              <w:rPr>
                <w:rFonts w:hint="eastAsia" w:ascii="宋体" w:hAnsi="宋体" w:eastAsia="宋体" w:cs="宋体"/>
                <w:color w:val="auto"/>
                <w:szCs w:val="21"/>
              </w:rPr>
            </w:pPr>
          </w:p>
        </w:tc>
      </w:tr>
      <w:tr w14:paraId="30AD0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6F05C4E3">
            <w:pPr>
              <w:widowControl/>
              <w:spacing w:line="360" w:lineRule="auto"/>
              <w:jc w:val="center"/>
              <w:rPr>
                <w:rFonts w:hint="eastAsia" w:ascii="宋体" w:hAnsi="宋体" w:eastAsia="宋体" w:cs="宋体"/>
                <w:color w:val="auto"/>
                <w:szCs w:val="21"/>
              </w:rPr>
            </w:pPr>
            <w:r>
              <w:rPr>
                <w:rFonts w:hint="eastAsia" w:ascii="宋体" w:hAnsi="宋体" w:eastAsia="宋体" w:cs="宋体"/>
                <w:b/>
                <w:bCs/>
                <w:color w:val="auto"/>
                <w:szCs w:val="21"/>
              </w:rPr>
              <w:t>（七）</w:t>
            </w:r>
          </w:p>
        </w:tc>
        <w:tc>
          <w:tcPr>
            <w:tcW w:w="411" w:type="pct"/>
            <w:shd w:val="clear" w:color="auto" w:fill="auto"/>
            <w:noWrap/>
            <w:vAlign w:val="center"/>
          </w:tcPr>
          <w:p w14:paraId="7CD74FBA">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液态远心镜头</w:t>
            </w:r>
          </w:p>
        </w:tc>
        <w:tc>
          <w:tcPr>
            <w:tcW w:w="2977" w:type="pct"/>
            <w:shd w:val="clear" w:color="auto" w:fill="auto"/>
            <w:noWrap/>
            <w:vAlign w:val="center"/>
          </w:tcPr>
          <w:p w14:paraId="277B8C3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1.工作距离：110±2mm；</w:t>
            </w:r>
          </w:p>
          <w:p w14:paraId="6DFCD45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2.光圈范围：F7.0～F62；</w:t>
            </w:r>
          </w:p>
          <w:p w14:paraId="7D2CA54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3.放大倍率：1.0X；</w:t>
            </w:r>
          </w:p>
          <w:p w14:paraId="6E683B5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4.靶面Φ：18.4mm(1.1"）；</w:t>
            </w:r>
          </w:p>
          <w:p w14:paraId="186EBF1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5.像方：MTF30:130(lp/mm)；</w:t>
            </w:r>
          </w:p>
          <w:p w14:paraId="50958E4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6.畸变：≤0.2%；</w:t>
            </w:r>
          </w:p>
          <w:p w14:paraId="7405C5D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7.景深： ≥0.50mm；</w:t>
            </w:r>
          </w:p>
          <w:p w14:paraId="520A69A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8.远心度：0.10°；</w:t>
            </w:r>
          </w:p>
          <w:p w14:paraId="3F910D3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9.数字I/O：HiroseHR10G-7R-6SB(73)；</w:t>
            </w:r>
          </w:p>
          <w:p w14:paraId="33E277B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10.光焦度范围：(20°C(dpt))-6～+10；</w:t>
            </w:r>
          </w:p>
          <w:p w14:paraId="52D6A78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11.视野Φ：≥18mm；</w:t>
            </w:r>
          </w:p>
          <w:p w14:paraId="6B27BCD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12.像方分辨率：≤5μm；</w:t>
            </w:r>
          </w:p>
        </w:tc>
        <w:tc>
          <w:tcPr>
            <w:tcW w:w="354" w:type="pct"/>
            <w:shd w:val="clear" w:color="auto" w:fill="auto"/>
            <w:noWrap/>
            <w:vAlign w:val="center"/>
          </w:tcPr>
          <w:p w14:paraId="30441F6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7C3554F8">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309DD2B3">
            <w:pPr>
              <w:widowControl/>
              <w:spacing w:line="360" w:lineRule="auto"/>
              <w:jc w:val="center"/>
              <w:rPr>
                <w:rFonts w:hint="eastAsia" w:ascii="宋体" w:hAnsi="宋体" w:eastAsia="宋体" w:cs="宋体"/>
                <w:color w:val="auto"/>
                <w:szCs w:val="21"/>
              </w:rPr>
            </w:pPr>
          </w:p>
        </w:tc>
      </w:tr>
      <w:tr w14:paraId="1CD02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60F5E1">
            <w:pPr>
              <w:widowControl/>
              <w:spacing w:line="360" w:lineRule="auto"/>
              <w:jc w:val="center"/>
              <w:rPr>
                <w:rFonts w:hint="eastAsia" w:ascii="宋体" w:hAnsi="宋体" w:eastAsia="宋体" w:cs="宋体"/>
                <w:color w:val="auto"/>
                <w:szCs w:val="21"/>
              </w:rPr>
            </w:pPr>
            <w:r>
              <w:rPr>
                <w:rFonts w:hint="eastAsia" w:ascii="宋体" w:hAnsi="宋体" w:eastAsia="宋体" w:cs="宋体"/>
                <w:b/>
                <w:bCs/>
                <w:color w:val="auto"/>
                <w:szCs w:val="21"/>
              </w:rPr>
              <w:t>（八）</w:t>
            </w:r>
          </w:p>
        </w:tc>
        <w:tc>
          <w:tcPr>
            <w:tcW w:w="338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77580E5">
            <w:pPr>
              <w:widowControl/>
              <w:spacing w:line="360" w:lineRule="auto"/>
              <w:jc w:val="center"/>
              <w:rPr>
                <w:rFonts w:hint="eastAsia" w:ascii="宋体" w:hAnsi="宋体" w:eastAsia="宋体" w:cs="宋体"/>
                <w:color w:val="auto"/>
                <w:szCs w:val="21"/>
              </w:rPr>
            </w:pPr>
            <w:r>
              <w:rPr>
                <w:rFonts w:hint="eastAsia" w:ascii="宋体" w:hAnsi="宋体" w:eastAsia="宋体" w:cs="宋体"/>
                <w:b/>
                <w:bCs/>
                <w:color w:val="auto"/>
                <w:szCs w:val="21"/>
              </w:rPr>
              <w:t>显微镜检测器</w:t>
            </w:r>
          </w:p>
        </w:tc>
        <w:tc>
          <w:tcPr>
            <w:tcW w:w="35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8D77D7">
            <w:pPr>
              <w:spacing w:line="360" w:lineRule="auto"/>
              <w:rPr>
                <w:rFonts w:hint="eastAsia" w:ascii="宋体" w:hAnsi="宋体" w:eastAsia="宋体" w:cs="宋体"/>
                <w:color w:val="auto"/>
                <w:szCs w:val="21"/>
              </w:rPr>
            </w:pP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407D7E">
            <w:pPr>
              <w:widowControl/>
              <w:spacing w:line="360" w:lineRule="auto"/>
              <w:jc w:val="center"/>
              <w:rPr>
                <w:rFonts w:hint="eastAsia" w:ascii="宋体" w:hAnsi="宋体" w:eastAsia="宋体" w:cs="宋体"/>
                <w:color w:val="auto"/>
                <w:szCs w:val="21"/>
              </w:rPr>
            </w:pP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17DE8A">
            <w:pPr>
              <w:widowControl/>
              <w:spacing w:line="360" w:lineRule="auto"/>
              <w:jc w:val="center"/>
              <w:rPr>
                <w:rFonts w:hint="eastAsia" w:ascii="宋体" w:hAnsi="宋体" w:eastAsia="宋体" w:cs="宋体"/>
                <w:color w:val="auto"/>
                <w:szCs w:val="21"/>
              </w:rPr>
            </w:pPr>
          </w:p>
        </w:tc>
      </w:tr>
      <w:tr w14:paraId="6044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6E64CD">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4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75B784">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光学显微镜检测主机</w:t>
            </w:r>
          </w:p>
        </w:tc>
        <w:tc>
          <w:tcPr>
            <w:tcW w:w="297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786A6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一.相机</w:t>
            </w:r>
          </w:p>
          <w:p w14:paraId="56E2F3E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1.摄像单元：≥1/1.8英寸，≥319万像素、CMOS图像传感器；</w:t>
            </w:r>
          </w:p>
          <w:p w14:paraId="70EDA77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2.扫描系统：逐行扫描；</w:t>
            </w:r>
          </w:p>
          <w:p w14:paraId="4B61D75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█3.帧率：≥50fps；</w:t>
            </w:r>
          </w:p>
          <w:p w14:paraId="22CCE75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4.分辨率：≥2048(H)×1536(V)；</w:t>
            </w:r>
          </w:p>
          <w:p w14:paraId="33F12F0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5.增益：手动、预设；</w:t>
            </w:r>
          </w:p>
          <w:p w14:paraId="345A316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█6.电子快门：高性能相机：自动、手动、1/60、1/120、1/250、1/500、1/1000、1/2000、1/5000、1/9000、1/19000"；</w:t>
            </w:r>
          </w:p>
          <w:p w14:paraId="428A45C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7.增压快门： 0.02s～16s；</w:t>
            </w:r>
          </w:p>
          <w:p w14:paraId="58BFC1F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8.白平衡：单键、手动、预设(2700K、3200K、5600K、9000K)；</w:t>
            </w:r>
          </w:p>
          <w:p w14:paraId="371E983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二．镜头</w:t>
            </w:r>
          </w:p>
          <w:p w14:paraId="693FE9F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 w:val="24"/>
                <w:szCs w:val="24"/>
              </w:rPr>
              <w:t>★</w:t>
            </w:r>
            <w:r>
              <w:rPr>
                <w:rFonts w:hint="eastAsia" w:ascii="宋体" w:hAnsi="宋体" w:eastAsia="宋体" w:cs="宋体"/>
                <w:color w:val="auto"/>
                <w:szCs w:val="21"/>
              </w:rPr>
              <w:t>1.倍率：20x、30x、50x、100x、150x、200x；</w:t>
            </w:r>
          </w:p>
          <w:p w14:paraId="29100B7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2.拍摄范围：H(横)： 1.5mm～15mm、V(纵)： 1mm ～11mm、D(对角)： 1.8mm～19mm；</w:t>
            </w:r>
          </w:p>
          <w:p w14:paraId="4D0814F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3.拍摄景深：支持自动景深扩展（EFI），可获得全幅对焦图像；</w:t>
            </w:r>
          </w:p>
          <w:p w14:paraId="5B2DA3B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4.观察距离：≥25mm。</w:t>
            </w:r>
          </w:p>
          <w:p w14:paraId="3C01305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三.液晶显示器</w:t>
            </w:r>
          </w:p>
          <w:p w14:paraId="138411D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w:t>
            </w:r>
            <w:r>
              <w:rPr>
                <w:rFonts w:ascii="宋体" w:hAnsi="宋体" w:eastAsia="宋体" w:cs="宋体"/>
                <w:color w:val="auto"/>
                <w:szCs w:val="21"/>
              </w:rPr>
              <w:t>尺寸：≥27 英寸彩色液晶显示器</w:t>
            </w:r>
            <w:r>
              <w:rPr>
                <w:rFonts w:hint="eastAsia" w:ascii="宋体" w:hAnsi="宋体" w:eastAsia="宋体" w:cs="宋体"/>
                <w:color w:val="auto"/>
                <w:szCs w:val="21"/>
              </w:rPr>
              <w:t>;</w:t>
            </w:r>
          </w:p>
          <w:p w14:paraId="49A7CCA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2.分辨率：≥</w:t>
            </w:r>
            <w:r>
              <w:rPr>
                <w:rFonts w:ascii="宋体" w:hAnsi="宋体" w:eastAsia="宋体" w:cs="宋体"/>
                <w:color w:val="auto"/>
                <w:szCs w:val="21"/>
              </w:rPr>
              <w:t>3840</w:t>
            </w:r>
            <w:r>
              <w:rPr>
                <w:rFonts w:hint="eastAsia" w:ascii="宋体" w:hAnsi="宋体" w:eastAsia="宋体" w:cs="宋体"/>
                <w:color w:val="auto"/>
                <w:szCs w:val="21"/>
              </w:rPr>
              <w:t>(H)</w:t>
            </w:r>
            <w:r>
              <w:rPr>
                <w:rFonts w:ascii="宋体" w:hAnsi="宋体" w:eastAsia="宋体" w:cs="宋体"/>
                <w:color w:val="auto"/>
                <w:szCs w:val="21"/>
              </w:rPr>
              <w:t>×2160</w:t>
            </w:r>
            <w:r>
              <w:rPr>
                <w:rFonts w:hint="eastAsia" w:ascii="宋体" w:hAnsi="宋体" w:eastAsia="宋体" w:cs="宋体"/>
                <w:color w:val="auto"/>
                <w:szCs w:val="21"/>
              </w:rPr>
              <w:t>(V);</w:t>
            </w:r>
          </w:p>
          <w:p w14:paraId="46212DF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3.显示颜色：≥10.7亿色；</w:t>
            </w:r>
          </w:p>
          <w:p w14:paraId="5D6A030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4.视野：左右≥±89°，上下≥±89°；</w:t>
            </w:r>
          </w:p>
          <w:p w14:paraId="3781CA4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四.图像格式：压缩时JPEG，不压缩时TIFF；</w:t>
            </w:r>
          </w:p>
          <w:p w14:paraId="0500122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五.可观测图像尺寸：≥100000像素(H)×100000像素(V)(拼接时)；</w:t>
            </w:r>
          </w:p>
          <w:p w14:paraId="6680128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六.台式计算机</w:t>
            </w:r>
          </w:p>
          <w:p w14:paraId="026021A9">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★1.本设备执行《台式计算机政府采购需求标准（2023 年版）》（财库〔2023〕29 号），</w:t>
            </w:r>
            <w:r>
              <w:rPr>
                <w:rFonts w:hint="eastAsia" w:ascii="宋体" w:hAnsi="宋体" w:eastAsia="宋体" w:cs="宋体"/>
                <w:color w:val="auto"/>
                <w:szCs w:val="21"/>
              </w:rPr>
              <w:t>除本采购需求列明的参数外，其余所有参数须</w:t>
            </w:r>
            <w:r>
              <w:rPr>
                <w:rFonts w:ascii="宋体" w:hAnsi="宋体" w:eastAsia="宋体" w:cs="宋体"/>
                <w:color w:val="auto"/>
                <w:szCs w:val="21"/>
              </w:rPr>
              <w:t>完全满足《台式计算机政府采购需求标准（2023 年版）》内全部标注</w:t>
            </w:r>
            <w:r>
              <w:rPr>
                <w:rFonts w:hint="eastAsia" w:ascii="宋体" w:hAnsi="宋体" w:eastAsia="宋体" w:cs="宋体"/>
                <w:color w:val="auto"/>
                <w:szCs w:val="21"/>
              </w:rPr>
              <w:t>“*”</w:t>
            </w:r>
            <w:r>
              <w:rPr>
                <w:rFonts w:ascii="宋体" w:hAnsi="宋体" w:eastAsia="宋体" w:cs="宋体"/>
                <w:color w:val="auto"/>
                <w:szCs w:val="21"/>
              </w:rPr>
              <w:t>的指标</w:t>
            </w:r>
            <w:r>
              <w:rPr>
                <w:rFonts w:hint="eastAsia" w:ascii="宋体" w:hAnsi="宋体" w:eastAsia="宋体" w:cs="宋体"/>
                <w:b/>
                <w:bCs/>
                <w:color w:val="auto"/>
                <w:szCs w:val="21"/>
              </w:rPr>
              <w:t>（投标文件须提供</w:t>
            </w:r>
            <w:r>
              <w:rPr>
                <w:rFonts w:ascii="宋体" w:hAnsi="宋体" w:eastAsia="宋体" w:cs="宋体"/>
                <w:b/>
                <w:bCs/>
                <w:color w:val="auto"/>
                <w:szCs w:val="21"/>
              </w:rPr>
              <w:t>承诺函</w:t>
            </w:r>
            <w:r>
              <w:rPr>
                <w:rFonts w:hint="eastAsia" w:ascii="宋体" w:hAnsi="宋体" w:eastAsia="宋体" w:cs="宋体"/>
                <w:b/>
                <w:bCs/>
                <w:color w:val="auto"/>
                <w:szCs w:val="21"/>
              </w:rPr>
              <w:t>，格式自拟）</w:t>
            </w:r>
            <w:r>
              <w:rPr>
                <w:rFonts w:hint="eastAsia" w:ascii="宋体" w:hAnsi="宋体" w:eastAsia="宋体" w:cs="宋体"/>
                <w:color w:val="auto"/>
                <w:szCs w:val="21"/>
              </w:rPr>
              <w:t>；</w:t>
            </w:r>
          </w:p>
          <w:p w14:paraId="2E950D0D">
            <w:pPr>
              <w:widowControl/>
              <w:shd w:val="clear"/>
              <w:spacing w:line="360" w:lineRule="auto"/>
              <w:jc w:val="left"/>
              <w:rPr>
                <w:rFonts w:hint="eastAsia" w:ascii="宋体" w:hAnsi="宋体" w:eastAsia="宋体" w:cs="宋体"/>
                <w:color w:val="auto"/>
                <w:szCs w:val="21"/>
              </w:rPr>
            </w:pPr>
            <w:r>
              <w:rPr>
                <w:rFonts w:ascii="宋体" w:hAnsi="宋体" w:eastAsia="宋体" w:cs="宋体"/>
                <w:color w:val="auto"/>
                <w:szCs w:val="21"/>
              </w:rPr>
              <w:t>★2.CPU</w:t>
            </w:r>
            <w:r>
              <w:rPr>
                <w:rFonts w:hint="eastAsia" w:ascii="宋体" w:hAnsi="宋体" w:eastAsia="宋体" w:cs="宋体"/>
                <w:color w:val="auto"/>
                <w:szCs w:val="21"/>
              </w:rPr>
              <w:t>性能</w:t>
            </w:r>
            <w:r>
              <w:rPr>
                <w:rFonts w:ascii="宋体" w:hAnsi="宋体" w:eastAsia="宋体" w:cs="宋体"/>
                <w:color w:val="auto"/>
                <w:szCs w:val="21"/>
              </w:rPr>
              <w:t>：</w:t>
            </w:r>
            <w:r>
              <w:rPr>
                <w:rFonts w:hint="eastAsia" w:ascii="宋体" w:hAnsi="宋体" w:eastAsia="宋体" w:cs="宋体"/>
                <w:color w:val="auto"/>
                <w:szCs w:val="21"/>
              </w:rPr>
              <w:t>CPU</w:t>
            </w:r>
            <w:r>
              <w:rPr>
                <w:rFonts w:ascii="宋体" w:hAnsi="宋体" w:eastAsia="宋体" w:cs="宋体"/>
                <w:color w:val="auto"/>
                <w:szCs w:val="21"/>
              </w:rPr>
              <w:t>物理核心数≥4 核，</w:t>
            </w:r>
            <w:r>
              <w:rPr>
                <w:rFonts w:hint="eastAsia" w:ascii="宋体" w:hAnsi="宋体" w:eastAsia="宋体" w:cs="宋体"/>
                <w:color w:val="auto"/>
                <w:szCs w:val="21"/>
              </w:rPr>
              <w:t>CPU主频</w:t>
            </w:r>
            <w:r>
              <w:rPr>
                <w:rFonts w:ascii="宋体" w:hAnsi="宋体" w:eastAsia="宋体" w:cs="宋体"/>
                <w:color w:val="auto"/>
                <w:szCs w:val="21"/>
              </w:rPr>
              <w:t>≥2.3GHz；</w:t>
            </w:r>
          </w:p>
          <w:p w14:paraId="1998F5B6">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★4.内存：</w:t>
            </w:r>
            <w:r>
              <w:rPr>
                <w:rFonts w:hint="eastAsia" w:ascii="宋体" w:hAnsi="宋体" w:eastAsia="宋体" w:cs="宋体"/>
                <w:color w:val="auto"/>
                <w:szCs w:val="21"/>
              </w:rPr>
              <w:t>内存匹配容量</w:t>
            </w:r>
            <w:r>
              <w:rPr>
                <w:rFonts w:ascii="宋体" w:hAnsi="宋体" w:eastAsia="宋体" w:cs="宋体"/>
                <w:color w:val="auto"/>
                <w:szCs w:val="21"/>
              </w:rPr>
              <w:t>≥32GB；</w:t>
            </w:r>
          </w:p>
          <w:p w14:paraId="3F01413E">
            <w:pPr>
              <w:widowControl/>
              <w:numPr>
                <w:ilvl w:val="0"/>
                <w:numId w:val="0"/>
              </w:numPr>
              <w:spacing w:line="360" w:lineRule="auto"/>
              <w:jc w:val="left"/>
              <w:rPr>
                <w:rFonts w:hint="eastAsia" w:ascii="宋体" w:hAnsi="宋体" w:eastAsia="宋体" w:cs="宋体"/>
                <w:color w:val="auto"/>
                <w:szCs w:val="21"/>
              </w:rPr>
            </w:pPr>
            <w:r>
              <w:rPr>
                <w:rFonts w:ascii="宋体" w:hAnsi="宋体" w:eastAsia="宋体" w:cs="宋体"/>
                <w:color w:val="auto"/>
                <w:szCs w:val="21"/>
              </w:rPr>
              <w:t>★</w:t>
            </w:r>
            <w:r>
              <w:rPr>
                <w:rFonts w:hint="eastAsia" w:ascii="宋体" w:hAnsi="宋体" w:eastAsia="宋体" w:cs="宋体"/>
                <w:color w:val="auto"/>
                <w:szCs w:val="21"/>
                <w:lang w:val="en-US" w:eastAsia="zh-CN"/>
              </w:rPr>
              <w:t>5.</w:t>
            </w:r>
            <w:r>
              <w:rPr>
                <w:rFonts w:ascii="宋体" w:hAnsi="宋体" w:eastAsia="宋体" w:cs="宋体"/>
                <w:color w:val="auto"/>
                <w:szCs w:val="21"/>
              </w:rPr>
              <w:t>存储：</w:t>
            </w:r>
            <w:r>
              <w:rPr>
                <w:rFonts w:hint="eastAsia" w:ascii="宋体" w:hAnsi="宋体" w:eastAsia="宋体" w:cs="宋体"/>
                <w:color w:val="auto"/>
                <w:szCs w:val="21"/>
              </w:rPr>
              <w:t>固态存储容量</w:t>
            </w:r>
            <w:r>
              <w:rPr>
                <w:rFonts w:ascii="宋体" w:hAnsi="宋体" w:eastAsia="宋体" w:cs="宋体"/>
                <w:color w:val="auto"/>
                <w:szCs w:val="21"/>
              </w:rPr>
              <w:t>≥1TB</w:t>
            </w:r>
            <w:r>
              <w:rPr>
                <w:rFonts w:hint="eastAsia" w:ascii="宋体" w:hAnsi="宋体" w:eastAsia="宋体" w:cs="宋体"/>
                <w:color w:val="auto"/>
                <w:szCs w:val="21"/>
              </w:rPr>
              <w:t>，</w:t>
            </w:r>
          </w:p>
          <w:p w14:paraId="730E2E51">
            <w:pPr>
              <w:widowControl/>
              <w:numPr>
                <w:ilvl w:val="-1"/>
                <w:numId w:val="0"/>
              </w:numPr>
              <w:spacing w:line="360" w:lineRule="auto"/>
              <w:jc w:val="left"/>
              <w:rPr>
                <w:rFonts w:hint="eastAsia" w:ascii="宋体" w:hAnsi="宋体" w:eastAsia="宋体" w:cs="宋体"/>
                <w:color w:val="auto"/>
                <w:szCs w:val="21"/>
              </w:rPr>
            </w:pPr>
            <w:r>
              <w:rPr>
                <w:rFonts w:hint="eastAsia" w:ascii="宋体" w:hAnsi="宋体" w:eastAsia="宋体" w:cs="宋体"/>
                <w:color w:val="auto"/>
                <w:szCs w:val="21"/>
                <w:lang w:val="en-US" w:eastAsia="zh-CN"/>
              </w:rPr>
              <w:t>6.</w:t>
            </w:r>
            <w:r>
              <w:rPr>
                <w:rFonts w:hint="eastAsia" w:ascii="宋体" w:hAnsi="宋体" w:eastAsia="宋体" w:cs="宋体"/>
                <w:color w:val="auto"/>
                <w:szCs w:val="21"/>
              </w:rPr>
              <w:t>固态存储接口协议</w:t>
            </w:r>
            <w:r>
              <w:rPr>
                <w:rFonts w:hint="eastAsia" w:ascii="宋体" w:hAnsi="宋体" w:eastAsia="宋体" w:cs="宋体"/>
                <w:color w:val="auto"/>
                <w:szCs w:val="21"/>
                <w:lang w:eastAsia="zh-CN"/>
              </w:rPr>
              <w:t>：</w:t>
            </w:r>
            <w:r>
              <w:rPr>
                <w:rFonts w:hint="eastAsia" w:ascii="宋体" w:hAnsi="宋体" w:eastAsia="宋体" w:cs="宋体"/>
                <w:color w:val="auto"/>
                <w:szCs w:val="21"/>
              </w:rPr>
              <w:t>支持</w:t>
            </w:r>
            <w:r>
              <w:rPr>
                <w:rFonts w:ascii="宋体" w:hAnsi="宋体" w:eastAsia="宋体" w:cs="宋体"/>
                <w:color w:val="auto"/>
                <w:szCs w:val="21"/>
              </w:rPr>
              <w:t>NVMe</w:t>
            </w:r>
            <w:r>
              <w:rPr>
                <w:rFonts w:hint="eastAsia" w:ascii="宋体" w:hAnsi="宋体" w:eastAsia="宋体" w:cs="宋体"/>
                <w:color w:val="auto"/>
                <w:szCs w:val="21"/>
              </w:rPr>
              <w:t>接口协议</w:t>
            </w:r>
            <w:r>
              <w:rPr>
                <w:rFonts w:hint="eastAsia" w:ascii="宋体" w:hAnsi="宋体" w:eastAsia="宋体" w:cs="宋体"/>
                <w:color w:val="auto"/>
                <w:szCs w:val="21"/>
                <w:lang w:eastAsia="zh-CN"/>
              </w:rPr>
              <w:t>；</w:t>
            </w:r>
          </w:p>
          <w:p w14:paraId="748D9B1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lang w:val="en-US" w:eastAsia="zh-CN"/>
              </w:rPr>
              <w:t>7</w:t>
            </w:r>
            <w:r>
              <w:rPr>
                <w:rFonts w:ascii="宋体" w:hAnsi="宋体" w:eastAsia="宋体" w:cs="宋体"/>
                <w:color w:val="auto"/>
                <w:szCs w:val="21"/>
              </w:rPr>
              <w:t>.操作系统：兼容主流计算机操作系统，可适配本项目显微图像采集、拼接分析软件。</w:t>
            </w:r>
          </w:p>
          <w:p w14:paraId="6D3AC86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七.环境抗耐性</w:t>
            </w:r>
          </w:p>
          <w:p w14:paraId="7395E6B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1.环境温度：+5至40℃；</w:t>
            </w:r>
          </w:p>
          <w:p w14:paraId="4229BC0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2.相对湿度：80%RH以下(无凝结)。</w:t>
            </w:r>
          </w:p>
        </w:tc>
        <w:tc>
          <w:tcPr>
            <w:tcW w:w="35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54BD2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1套</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AE3E99">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BE65FA">
            <w:pPr>
              <w:widowControl/>
              <w:spacing w:line="360" w:lineRule="auto"/>
              <w:jc w:val="center"/>
              <w:rPr>
                <w:rFonts w:hint="eastAsia" w:ascii="宋体" w:hAnsi="宋体" w:eastAsia="宋体" w:cs="宋体"/>
                <w:color w:val="auto"/>
                <w:szCs w:val="21"/>
              </w:rPr>
            </w:pPr>
          </w:p>
        </w:tc>
      </w:tr>
      <w:tr w14:paraId="73DE0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39090E">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4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0B15B5">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3D形状测量软件</w:t>
            </w:r>
          </w:p>
        </w:tc>
        <w:tc>
          <w:tcPr>
            <w:tcW w:w="297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124CB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1.显示3D轮廓；</w:t>
            </w:r>
          </w:p>
          <w:p w14:paraId="405BCF8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2.3D彩色/标尺；</w:t>
            </w:r>
          </w:p>
          <w:p w14:paraId="22ED7F2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3.显示高度；</w:t>
            </w:r>
          </w:p>
          <w:p w14:paraId="3154DB4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4.2点间高度差；</w:t>
            </w:r>
          </w:p>
          <w:p w14:paraId="1463401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5.截面轮廓；</w:t>
            </w:r>
          </w:p>
          <w:p w14:paraId="35F2D0C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6.3D体积；</w:t>
            </w:r>
          </w:p>
          <w:p w14:paraId="1EC8512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█7.3D面之间的距离；</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14F90C3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8.3D面之间的角度。</w:t>
            </w:r>
          </w:p>
        </w:tc>
        <w:tc>
          <w:tcPr>
            <w:tcW w:w="35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5EA9E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1套</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6AEB1A">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076051">
            <w:pPr>
              <w:widowControl/>
              <w:spacing w:line="360" w:lineRule="auto"/>
              <w:jc w:val="center"/>
              <w:rPr>
                <w:rFonts w:hint="eastAsia" w:ascii="宋体" w:hAnsi="宋体" w:eastAsia="宋体" w:cs="宋体"/>
                <w:color w:val="auto"/>
                <w:szCs w:val="21"/>
              </w:rPr>
            </w:pPr>
          </w:p>
        </w:tc>
      </w:tr>
      <w:tr w14:paraId="4C878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3F962286">
            <w:pPr>
              <w:widowControl/>
              <w:spacing w:line="360" w:lineRule="auto"/>
              <w:jc w:val="center"/>
              <w:rPr>
                <w:rFonts w:hint="eastAsia" w:ascii="宋体" w:hAnsi="宋体" w:eastAsia="宋体" w:cs="宋体"/>
                <w:color w:val="auto"/>
                <w:szCs w:val="21"/>
              </w:rPr>
            </w:pPr>
            <w:r>
              <w:rPr>
                <w:rFonts w:hint="eastAsia" w:ascii="宋体" w:hAnsi="宋体" w:eastAsia="宋体" w:cs="宋体"/>
                <w:b/>
                <w:bCs/>
                <w:color w:val="auto"/>
                <w:szCs w:val="21"/>
              </w:rPr>
              <w:t>（九）</w:t>
            </w:r>
          </w:p>
        </w:tc>
        <w:tc>
          <w:tcPr>
            <w:tcW w:w="3388" w:type="pct"/>
            <w:gridSpan w:val="2"/>
            <w:shd w:val="clear" w:color="auto" w:fill="auto"/>
            <w:noWrap/>
            <w:vAlign w:val="center"/>
          </w:tcPr>
          <w:p w14:paraId="1CE4D8FD">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光学测量仪器</w:t>
            </w:r>
          </w:p>
          <w:p w14:paraId="4D33ACA9">
            <w:pPr>
              <w:widowControl/>
              <w:spacing w:line="360" w:lineRule="auto"/>
              <w:jc w:val="center"/>
              <w:rPr>
                <w:rFonts w:hint="eastAsia" w:ascii="宋体" w:hAnsi="宋体" w:eastAsia="宋体" w:cs="宋体"/>
                <w:color w:val="auto"/>
                <w:szCs w:val="21"/>
              </w:rPr>
            </w:pPr>
            <w:r>
              <w:rPr>
                <w:rFonts w:hint="eastAsia" w:ascii="宋体" w:hAnsi="宋体" w:eastAsia="宋体" w:cs="宋体"/>
                <w:b/>
                <w:bCs/>
                <w:color w:val="auto"/>
                <w:szCs w:val="21"/>
              </w:rPr>
              <w:t>2D/3D线激光测量仪</w:t>
            </w:r>
          </w:p>
        </w:tc>
        <w:tc>
          <w:tcPr>
            <w:tcW w:w="354" w:type="pct"/>
            <w:shd w:val="clear" w:color="auto" w:fill="auto"/>
            <w:noWrap/>
            <w:vAlign w:val="center"/>
          </w:tcPr>
          <w:p w14:paraId="6FDDA323">
            <w:pPr>
              <w:spacing w:line="360" w:lineRule="auto"/>
              <w:rPr>
                <w:rFonts w:hint="eastAsia" w:ascii="宋体" w:hAnsi="宋体" w:eastAsia="宋体" w:cs="宋体"/>
                <w:color w:val="auto"/>
                <w:szCs w:val="21"/>
              </w:rPr>
            </w:pPr>
          </w:p>
        </w:tc>
        <w:tc>
          <w:tcPr>
            <w:tcW w:w="388" w:type="pct"/>
            <w:shd w:val="clear" w:color="auto" w:fill="auto"/>
            <w:noWrap/>
            <w:vAlign w:val="center"/>
          </w:tcPr>
          <w:p w14:paraId="73547655">
            <w:pPr>
              <w:widowControl/>
              <w:spacing w:line="360" w:lineRule="auto"/>
              <w:jc w:val="center"/>
              <w:rPr>
                <w:rFonts w:hint="eastAsia" w:ascii="宋体" w:hAnsi="宋体" w:eastAsia="宋体" w:cs="宋体"/>
                <w:color w:val="auto"/>
                <w:szCs w:val="21"/>
              </w:rPr>
            </w:pPr>
          </w:p>
        </w:tc>
        <w:tc>
          <w:tcPr>
            <w:tcW w:w="388" w:type="pct"/>
            <w:shd w:val="clear" w:color="auto" w:fill="auto"/>
            <w:noWrap/>
            <w:vAlign w:val="center"/>
          </w:tcPr>
          <w:p w14:paraId="32E97DCA">
            <w:pPr>
              <w:widowControl/>
              <w:spacing w:line="360" w:lineRule="auto"/>
              <w:jc w:val="center"/>
              <w:rPr>
                <w:rFonts w:hint="eastAsia" w:ascii="宋体" w:hAnsi="宋体" w:eastAsia="宋体" w:cs="宋体"/>
                <w:color w:val="auto"/>
                <w:szCs w:val="21"/>
              </w:rPr>
            </w:pPr>
          </w:p>
        </w:tc>
      </w:tr>
      <w:tr w14:paraId="111C8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5776DAA3">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411" w:type="pct"/>
            <w:shd w:val="clear" w:color="auto" w:fill="auto"/>
            <w:noWrap/>
            <w:vAlign w:val="center"/>
          </w:tcPr>
          <w:p w14:paraId="2775767A">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2D/3D线激光轮廓仪感测头</w:t>
            </w:r>
          </w:p>
        </w:tc>
        <w:tc>
          <w:tcPr>
            <w:tcW w:w="2977" w:type="pct"/>
            <w:shd w:val="clear" w:color="auto" w:fill="auto"/>
            <w:noWrap/>
            <w:vAlign w:val="center"/>
          </w:tcPr>
          <w:p w14:paraId="1085179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█1.激光线轮廓点数：≥4096；</w:t>
            </w:r>
          </w:p>
          <w:p w14:paraId="2400DB0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2.扫描速率范围：4000～23000Hz；</w:t>
            </w:r>
          </w:p>
          <w:p w14:paraId="62510F2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3.X方向分辨率：（轮廓线数据间隔）3.0～5.2µm；</w:t>
            </w:r>
          </w:p>
          <w:p w14:paraId="28D06B3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4.Z方向线性度：0.04±%ofMR；</w:t>
            </w:r>
          </w:p>
          <w:p w14:paraId="5C0429D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5.Z方向重复性：≤0.4µm；</w:t>
            </w:r>
          </w:p>
          <w:p w14:paraId="1139B08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6.测量范围（MR）：≥8mm；</w:t>
            </w:r>
          </w:p>
          <w:p w14:paraId="4C9D478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█7.视野(FOV)： ≥15mm；</w:t>
            </w:r>
          </w:p>
          <w:p w14:paraId="348B723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8.接口：千兆以太网；</w:t>
            </w:r>
          </w:p>
          <w:p w14:paraId="7CDCA16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9.输入：差分编码器、激光安全控制器、触发器；</w:t>
            </w:r>
          </w:p>
          <w:p w14:paraId="0AD0B65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10.输出：2x数字信号输出，RS485串口；</w:t>
            </w:r>
          </w:p>
          <w:p w14:paraId="37E6891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11.通讯：PROFINET、Modbus、EtherNet/IP、ASCII、Gocator；</w:t>
            </w:r>
          </w:p>
          <w:p w14:paraId="3EC1044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12.抗震性频率：10～55Hz，X、Y和Z三个方向上1.5mm双向振幅，每个方向持续2小时；</w:t>
            </w:r>
          </w:p>
          <w:p w14:paraId="3901014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13.抗冲击性：15G重量进行半正弦冲击，从X、Y、Z三个方向正负冲击；</w:t>
            </w:r>
          </w:p>
          <w:p w14:paraId="0BD51FA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14.扫描软件：基于浏览器的图形界面和开源SDK（软件开发包）实现参数设置和三维数据实时可视化。提供开源SDK，本地驱动以及支持标定。</w:t>
            </w:r>
          </w:p>
        </w:tc>
        <w:tc>
          <w:tcPr>
            <w:tcW w:w="354" w:type="pct"/>
            <w:shd w:val="clear" w:color="auto" w:fill="auto"/>
            <w:noWrap/>
            <w:vAlign w:val="center"/>
          </w:tcPr>
          <w:p w14:paraId="3C8FD2D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1套</w:t>
            </w:r>
          </w:p>
        </w:tc>
        <w:tc>
          <w:tcPr>
            <w:tcW w:w="388" w:type="pct"/>
            <w:shd w:val="clear" w:color="auto" w:fill="auto"/>
            <w:noWrap/>
            <w:vAlign w:val="center"/>
          </w:tcPr>
          <w:p w14:paraId="1CFD8469">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7A04F6C7">
            <w:pPr>
              <w:widowControl/>
              <w:spacing w:line="360" w:lineRule="auto"/>
              <w:jc w:val="center"/>
              <w:rPr>
                <w:rFonts w:hint="eastAsia" w:ascii="宋体" w:hAnsi="宋体" w:eastAsia="宋体" w:cs="宋体"/>
                <w:color w:val="auto"/>
                <w:szCs w:val="21"/>
              </w:rPr>
            </w:pPr>
          </w:p>
        </w:tc>
      </w:tr>
      <w:tr w14:paraId="386D1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3ED3A4F5">
            <w:pPr>
              <w:widowControl/>
              <w:spacing w:line="360" w:lineRule="auto"/>
              <w:jc w:val="center"/>
              <w:rPr>
                <w:rFonts w:hint="eastAsia" w:ascii="宋体" w:hAnsi="宋体" w:eastAsia="宋体" w:cs="宋体"/>
                <w:color w:val="auto"/>
                <w:szCs w:val="21"/>
              </w:rPr>
            </w:pPr>
            <w:r>
              <w:rPr>
                <w:rFonts w:hint="eastAsia" w:ascii="宋体" w:hAnsi="宋体" w:eastAsia="宋体" w:cs="宋体"/>
                <w:b/>
                <w:bCs/>
                <w:color w:val="auto"/>
                <w:szCs w:val="21"/>
              </w:rPr>
              <w:t>（十）</w:t>
            </w:r>
          </w:p>
        </w:tc>
        <w:tc>
          <w:tcPr>
            <w:tcW w:w="411" w:type="pct"/>
            <w:shd w:val="clear" w:color="auto" w:fill="auto"/>
            <w:noWrap/>
            <w:vAlign w:val="center"/>
          </w:tcPr>
          <w:p w14:paraId="741EEB0C">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高精度AOI检测设备</w:t>
            </w:r>
          </w:p>
        </w:tc>
        <w:tc>
          <w:tcPr>
            <w:tcW w:w="2977" w:type="pct"/>
            <w:shd w:val="clear" w:color="auto" w:fill="auto"/>
            <w:noWrap/>
            <w:vAlign w:val="center"/>
          </w:tcPr>
          <w:p w14:paraId="7C0BD99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1.平台类型：X、Y、Z轴精密直驱平台；</w:t>
            </w:r>
          </w:p>
          <w:p w14:paraId="6F00205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2.驱动电机类型：X、Y、Z轴有铁芯直线电机；</w:t>
            </w:r>
          </w:p>
          <w:p w14:paraId="54EC1EC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3.位置反馈类型：光栅；</w:t>
            </w:r>
          </w:p>
          <w:p w14:paraId="446F407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█4.有效行程：X、Y轴：≥300mm；Z轴：≥50mm；</w:t>
            </w:r>
          </w:p>
          <w:p w14:paraId="29FB6A7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 w:val="24"/>
                <w:szCs w:val="24"/>
              </w:rPr>
              <w:t>★</w:t>
            </w:r>
            <w:r>
              <w:rPr>
                <w:rFonts w:hint="eastAsia" w:ascii="宋体" w:hAnsi="宋体" w:eastAsia="宋体" w:cs="宋体"/>
                <w:color w:val="auto"/>
                <w:szCs w:val="21"/>
              </w:rPr>
              <w:t xml:space="preserve">5.重复定位精度：X、Y、Z轴：≤±2μm； </w:t>
            </w:r>
          </w:p>
          <w:p w14:paraId="7750A40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6.额定加速度： 0.5G（X、Y、Z轴）；</w:t>
            </w:r>
          </w:p>
          <w:p w14:paraId="3795DD7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7.运行速度：≥0.5M/s；</w:t>
            </w:r>
          </w:p>
          <w:p w14:paraId="0A09F8D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█8.额定负载：X+Z轴：≥5kg；Z轴：≥5kg；</w:t>
            </w:r>
          </w:p>
          <w:p w14:paraId="13B236F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9.限位方式：光电+机械双重限位（X、Y、Z轴）。</w:t>
            </w:r>
            <w:r>
              <w:rPr>
                <w:rFonts w:ascii="宋体" w:hAnsi="宋体" w:eastAsia="宋体" w:cs="宋体"/>
                <w:strike/>
                <w:color w:val="auto"/>
                <w:szCs w:val="21"/>
              </w:rPr>
              <w:t xml:space="preserve"> </w:t>
            </w:r>
          </w:p>
        </w:tc>
        <w:tc>
          <w:tcPr>
            <w:tcW w:w="354" w:type="pct"/>
            <w:shd w:val="clear" w:color="auto" w:fill="auto"/>
            <w:noWrap/>
            <w:vAlign w:val="center"/>
          </w:tcPr>
          <w:p w14:paraId="086A06A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1套</w:t>
            </w:r>
          </w:p>
        </w:tc>
        <w:tc>
          <w:tcPr>
            <w:tcW w:w="388" w:type="pct"/>
            <w:shd w:val="clear" w:color="auto" w:fill="auto"/>
            <w:noWrap/>
            <w:vAlign w:val="center"/>
          </w:tcPr>
          <w:p w14:paraId="7D3F7203">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58B9AA61">
            <w:pPr>
              <w:widowControl/>
              <w:spacing w:line="360" w:lineRule="auto"/>
              <w:jc w:val="center"/>
              <w:rPr>
                <w:rFonts w:hint="eastAsia" w:ascii="宋体" w:hAnsi="宋体" w:eastAsia="宋体" w:cs="宋体"/>
                <w:color w:val="auto"/>
                <w:szCs w:val="21"/>
              </w:rPr>
            </w:pPr>
          </w:p>
        </w:tc>
      </w:tr>
      <w:tr w14:paraId="6D0A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2060A085">
            <w:pPr>
              <w:widowControl/>
              <w:spacing w:line="360" w:lineRule="auto"/>
              <w:jc w:val="center"/>
              <w:rPr>
                <w:rFonts w:hint="eastAsia" w:ascii="宋体" w:hAnsi="宋体" w:eastAsia="宋体" w:cs="宋体"/>
                <w:color w:val="auto"/>
                <w:szCs w:val="21"/>
              </w:rPr>
            </w:pPr>
            <w:r>
              <w:rPr>
                <w:rFonts w:hint="eastAsia" w:ascii="宋体" w:hAnsi="宋体" w:eastAsia="宋体" w:cs="宋体"/>
                <w:b/>
                <w:bCs/>
                <w:color w:val="auto"/>
                <w:szCs w:val="21"/>
              </w:rPr>
              <w:t>（十一）</w:t>
            </w:r>
          </w:p>
        </w:tc>
        <w:tc>
          <w:tcPr>
            <w:tcW w:w="411" w:type="pct"/>
            <w:shd w:val="clear" w:color="auto" w:fill="auto"/>
            <w:noWrap/>
            <w:vAlign w:val="center"/>
          </w:tcPr>
          <w:p w14:paraId="5CA4FC05">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光谱照度计</w:t>
            </w:r>
          </w:p>
        </w:tc>
        <w:tc>
          <w:tcPr>
            <w:tcW w:w="2977" w:type="pct"/>
            <w:shd w:val="clear" w:color="auto" w:fill="auto"/>
            <w:noWrap/>
            <w:vAlign w:val="center"/>
          </w:tcPr>
          <w:p w14:paraId="52567DE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1.超强感光照度量程：0Lux～1000000Lux；</w:t>
            </w:r>
          </w:p>
          <w:p w14:paraId="1C7DE14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2.照度分辨率：≤0.1Lux；</w:t>
            </w:r>
          </w:p>
          <w:p w14:paraId="4383E96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3.照度测量精度：≤±(3%H+2Lux),H为标准值；</w:t>
            </w:r>
          </w:p>
          <w:p w14:paraId="62EDC1A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4.色温测量范围：1000K～100000K；</w:t>
            </w:r>
          </w:p>
          <w:p w14:paraId="38E2077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5.色温测量精度：±5%；</w:t>
            </w:r>
          </w:p>
          <w:p w14:paraId="5233FC5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6.温度测量范围：-40°～120°；</w:t>
            </w:r>
          </w:p>
          <w:p w14:paraId="27AB420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7.温度测量精度：±5℃；</w:t>
            </w:r>
          </w:p>
          <w:p w14:paraId="5A572E0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8.响应时间：≤1秒；</w:t>
            </w:r>
          </w:p>
          <w:p w14:paraId="4C52500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9.使用环境：温度0℃～40℃；</w:t>
            </w:r>
          </w:p>
          <w:p w14:paraId="247A494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10.供电电压：5V，DC；</w:t>
            </w:r>
          </w:p>
          <w:p w14:paraId="040ABAB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11.数据导出：支持测量数据一键导出。</w:t>
            </w:r>
          </w:p>
        </w:tc>
        <w:tc>
          <w:tcPr>
            <w:tcW w:w="354" w:type="pct"/>
            <w:shd w:val="clear" w:color="auto" w:fill="auto"/>
            <w:noWrap/>
            <w:vAlign w:val="center"/>
          </w:tcPr>
          <w:p w14:paraId="44D3FE7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1个</w:t>
            </w:r>
          </w:p>
        </w:tc>
        <w:tc>
          <w:tcPr>
            <w:tcW w:w="388" w:type="pct"/>
            <w:shd w:val="clear" w:color="auto" w:fill="auto"/>
            <w:noWrap/>
            <w:vAlign w:val="center"/>
          </w:tcPr>
          <w:p w14:paraId="7B7C453D">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2C454C95">
            <w:pPr>
              <w:widowControl/>
              <w:spacing w:line="360" w:lineRule="auto"/>
              <w:jc w:val="center"/>
              <w:rPr>
                <w:rFonts w:hint="eastAsia" w:ascii="宋体" w:hAnsi="宋体" w:eastAsia="宋体" w:cs="宋体"/>
                <w:color w:val="auto"/>
                <w:szCs w:val="21"/>
              </w:rPr>
            </w:pPr>
          </w:p>
        </w:tc>
      </w:tr>
      <w:tr w14:paraId="27C6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11B0DB62">
            <w:pPr>
              <w:widowControl/>
              <w:spacing w:line="360" w:lineRule="auto"/>
              <w:jc w:val="center"/>
              <w:rPr>
                <w:rFonts w:hint="eastAsia" w:ascii="宋体" w:hAnsi="宋体" w:eastAsia="宋体" w:cs="宋体"/>
                <w:color w:val="auto"/>
                <w:szCs w:val="21"/>
              </w:rPr>
            </w:pPr>
            <w:r>
              <w:rPr>
                <w:rFonts w:hint="eastAsia" w:ascii="宋体" w:hAnsi="宋体" w:eastAsia="宋体" w:cs="宋体"/>
                <w:b/>
                <w:bCs/>
                <w:color w:val="auto"/>
                <w:szCs w:val="21"/>
              </w:rPr>
              <w:t>（十二）</w:t>
            </w:r>
          </w:p>
        </w:tc>
        <w:tc>
          <w:tcPr>
            <w:tcW w:w="3388" w:type="pct"/>
            <w:gridSpan w:val="2"/>
            <w:shd w:val="clear" w:color="auto" w:fill="auto"/>
            <w:noWrap/>
            <w:vAlign w:val="center"/>
          </w:tcPr>
          <w:p w14:paraId="67E5DF8D">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实验平台</w:t>
            </w:r>
          </w:p>
        </w:tc>
        <w:tc>
          <w:tcPr>
            <w:tcW w:w="354" w:type="pct"/>
            <w:shd w:val="clear" w:color="auto" w:fill="auto"/>
            <w:noWrap/>
            <w:vAlign w:val="center"/>
          </w:tcPr>
          <w:p w14:paraId="562C92D1">
            <w:pPr>
              <w:spacing w:line="360" w:lineRule="auto"/>
              <w:rPr>
                <w:rFonts w:hint="eastAsia" w:ascii="宋体" w:hAnsi="宋体" w:eastAsia="宋体" w:cs="宋体"/>
                <w:color w:val="auto"/>
                <w:szCs w:val="21"/>
              </w:rPr>
            </w:pPr>
          </w:p>
        </w:tc>
        <w:tc>
          <w:tcPr>
            <w:tcW w:w="388" w:type="pct"/>
            <w:shd w:val="clear" w:color="auto" w:fill="auto"/>
            <w:noWrap/>
            <w:vAlign w:val="center"/>
          </w:tcPr>
          <w:p w14:paraId="50B74D92">
            <w:pPr>
              <w:widowControl/>
              <w:spacing w:line="360" w:lineRule="auto"/>
              <w:jc w:val="center"/>
              <w:rPr>
                <w:rFonts w:hint="eastAsia" w:ascii="宋体" w:hAnsi="宋体" w:eastAsia="宋体" w:cs="宋体"/>
                <w:color w:val="auto"/>
                <w:szCs w:val="21"/>
              </w:rPr>
            </w:pPr>
          </w:p>
        </w:tc>
        <w:tc>
          <w:tcPr>
            <w:tcW w:w="388" w:type="pct"/>
            <w:shd w:val="clear" w:color="auto" w:fill="auto"/>
            <w:noWrap/>
            <w:vAlign w:val="center"/>
          </w:tcPr>
          <w:p w14:paraId="398C0A93">
            <w:pPr>
              <w:widowControl/>
              <w:spacing w:line="360" w:lineRule="auto"/>
              <w:jc w:val="center"/>
              <w:rPr>
                <w:rFonts w:hint="eastAsia" w:ascii="宋体" w:hAnsi="宋体" w:eastAsia="宋体" w:cs="宋体"/>
                <w:color w:val="auto"/>
                <w:szCs w:val="21"/>
              </w:rPr>
            </w:pPr>
          </w:p>
        </w:tc>
      </w:tr>
      <w:tr w14:paraId="78C1F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64855A7B">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411" w:type="pct"/>
            <w:shd w:val="clear" w:color="auto" w:fill="auto"/>
            <w:noWrap/>
            <w:vAlign w:val="center"/>
          </w:tcPr>
          <w:p w14:paraId="6E7C93DC">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光学实验打光平台</w:t>
            </w:r>
          </w:p>
        </w:tc>
        <w:tc>
          <w:tcPr>
            <w:tcW w:w="2977" w:type="pct"/>
            <w:shd w:val="clear" w:color="auto" w:fill="auto"/>
            <w:noWrap/>
            <w:vAlign w:val="center"/>
          </w:tcPr>
          <w:p w14:paraId="24D721E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1.燕尾槽滑台导轨：适配大部分光源相机；</w:t>
            </w:r>
          </w:p>
          <w:p w14:paraId="03768F7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2.视觉调焦实验支架：可夹持多种型号相机进行检测产品，采用锁紧方式避免相机磨损，带刻度前后微调，最重相机夹持重量5kg，光源架兼容常用的视觉光源；</w:t>
            </w:r>
          </w:p>
          <w:p w14:paraId="1F4B76A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3.滑台立杆：上下微调精度≤0.05mm，行程≥13mm,高度可增加≥500mm滑台行程；</w:t>
            </w:r>
          </w:p>
          <w:p w14:paraId="6E34DA9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4.光源支架：可夹持环光、条光、面光等多种光源</w:t>
            </w:r>
          </w:p>
          <w:p w14:paraId="3E86FE0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5.长度0mm～500mm。</w:t>
            </w:r>
          </w:p>
        </w:tc>
        <w:tc>
          <w:tcPr>
            <w:tcW w:w="354" w:type="pct"/>
            <w:shd w:val="clear" w:color="auto" w:fill="auto"/>
            <w:noWrap/>
            <w:vAlign w:val="center"/>
          </w:tcPr>
          <w:p w14:paraId="339CDAE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1台</w:t>
            </w:r>
          </w:p>
        </w:tc>
        <w:tc>
          <w:tcPr>
            <w:tcW w:w="388" w:type="pct"/>
            <w:shd w:val="clear" w:color="auto" w:fill="auto"/>
            <w:noWrap/>
            <w:vAlign w:val="center"/>
          </w:tcPr>
          <w:p w14:paraId="5CBC7CDB">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7616A044">
            <w:pPr>
              <w:widowControl/>
              <w:spacing w:line="360" w:lineRule="auto"/>
              <w:jc w:val="center"/>
              <w:rPr>
                <w:rFonts w:hint="eastAsia" w:ascii="宋体" w:hAnsi="宋体" w:eastAsia="宋体" w:cs="宋体"/>
                <w:color w:val="auto"/>
                <w:szCs w:val="21"/>
              </w:rPr>
            </w:pPr>
          </w:p>
        </w:tc>
      </w:tr>
      <w:tr w14:paraId="3E74A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094D34B6">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411" w:type="pct"/>
            <w:shd w:val="clear" w:color="auto" w:fill="auto"/>
            <w:noWrap/>
            <w:vAlign w:val="center"/>
          </w:tcPr>
          <w:p w14:paraId="2E8DD634">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光学隔振平台</w:t>
            </w:r>
          </w:p>
        </w:tc>
        <w:tc>
          <w:tcPr>
            <w:tcW w:w="2977" w:type="pct"/>
            <w:shd w:val="clear" w:color="auto" w:fill="auto"/>
            <w:noWrap/>
            <w:vAlign w:val="center"/>
          </w:tcPr>
          <w:p w14:paraId="5D222E31">
            <w:pPr>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1.大型光学隔振平台：外框采用中碳钢板；</w:t>
            </w:r>
          </w:p>
          <w:p w14:paraId="42F52455">
            <w:pPr>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2.隔振层：蜂窝结构材料；</w:t>
            </w:r>
          </w:p>
          <w:p w14:paraId="56436F7C">
            <w:pPr>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3.面板：采用高导磁不锈钢板，固体阻尼隔振，调节支撑部分采用耐磨丝杆和平面推力球轴承；</w:t>
            </w:r>
          </w:p>
          <w:p w14:paraId="01709BFC">
            <w:pPr>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4.平面度：≤0.05μm/m</w:t>
            </w:r>
            <w:r>
              <w:rPr>
                <w:rFonts w:hint="eastAsia" w:ascii="宋体" w:hAnsi="宋体" w:eastAsia="宋体" w:cs="宋体"/>
                <w:color w:val="auto"/>
                <w:szCs w:val="21"/>
                <w:vertAlign w:val="superscript"/>
              </w:rPr>
              <w:t>2</w:t>
            </w:r>
            <w:r>
              <w:rPr>
                <w:rFonts w:hint="eastAsia" w:ascii="宋体" w:hAnsi="宋体" w:eastAsia="宋体" w:cs="宋体"/>
                <w:color w:val="auto"/>
                <w:szCs w:val="21"/>
              </w:rPr>
              <w:t>；</w:t>
            </w:r>
          </w:p>
          <w:p w14:paraId="5409CB73">
            <w:pPr>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5.表面粗糙度：0.8μm～1.6μm；</w:t>
            </w:r>
          </w:p>
          <w:p w14:paraId="48253284">
            <w:pPr>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6.固有频率：3Hz～6Hz；</w:t>
            </w:r>
          </w:p>
          <w:p w14:paraId="506DABC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7.振幅：≤5μm。</w:t>
            </w:r>
          </w:p>
        </w:tc>
        <w:tc>
          <w:tcPr>
            <w:tcW w:w="354" w:type="pct"/>
            <w:shd w:val="clear" w:color="auto" w:fill="auto"/>
            <w:noWrap/>
            <w:vAlign w:val="center"/>
          </w:tcPr>
          <w:p w14:paraId="12D8011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1张</w:t>
            </w:r>
          </w:p>
        </w:tc>
        <w:tc>
          <w:tcPr>
            <w:tcW w:w="388" w:type="pct"/>
            <w:shd w:val="clear" w:color="auto" w:fill="auto"/>
            <w:noWrap/>
            <w:vAlign w:val="center"/>
          </w:tcPr>
          <w:p w14:paraId="74FCAC3B">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52CE1B77">
            <w:pPr>
              <w:widowControl/>
              <w:spacing w:line="360" w:lineRule="auto"/>
              <w:jc w:val="center"/>
              <w:rPr>
                <w:rFonts w:hint="eastAsia" w:ascii="宋体" w:hAnsi="宋体" w:eastAsia="宋体" w:cs="宋体"/>
                <w:color w:val="auto"/>
                <w:szCs w:val="21"/>
              </w:rPr>
            </w:pPr>
          </w:p>
        </w:tc>
      </w:tr>
      <w:tr w14:paraId="11A4A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48454BA0">
            <w:pPr>
              <w:widowControl/>
              <w:spacing w:line="360" w:lineRule="auto"/>
              <w:jc w:val="center"/>
              <w:rPr>
                <w:rFonts w:hint="eastAsia" w:ascii="宋体" w:hAnsi="宋体" w:eastAsia="宋体" w:cs="宋体"/>
                <w:color w:val="auto"/>
                <w:szCs w:val="21"/>
              </w:rPr>
            </w:pPr>
            <w:r>
              <w:rPr>
                <w:rFonts w:hint="eastAsia" w:ascii="宋体" w:hAnsi="宋体" w:eastAsia="宋体" w:cs="宋体"/>
                <w:b/>
                <w:bCs/>
                <w:color w:val="auto"/>
                <w:szCs w:val="21"/>
              </w:rPr>
              <w:t>（十三）</w:t>
            </w:r>
          </w:p>
        </w:tc>
        <w:tc>
          <w:tcPr>
            <w:tcW w:w="3388" w:type="pct"/>
            <w:gridSpan w:val="2"/>
            <w:shd w:val="clear" w:color="auto" w:fill="auto"/>
            <w:noWrap/>
            <w:vAlign w:val="center"/>
          </w:tcPr>
          <w:p w14:paraId="3B6188BF">
            <w:pPr>
              <w:widowControl/>
              <w:spacing w:line="360" w:lineRule="auto"/>
              <w:jc w:val="center"/>
              <w:rPr>
                <w:rFonts w:hint="eastAsia" w:ascii="宋体" w:hAnsi="宋体" w:eastAsia="宋体" w:cs="宋体"/>
                <w:color w:val="auto"/>
                <w:szCs w:val="21"/>
              </w:rPr>
            </w:pPr>
            <w:r>
              <w:rPr>
                <w:rFonts w:ascii="宋体" w:hAnsi="宋体" w:eastAsia="宋体" w:cs="宋体"/>
                <w:b/>
                <w:bCs/>
                <w:color w:val="auto"/>
                <w:szCs w:val="21"/>
              </w:rPr>
              <w:t>光学实验控制终端</w:t>
            </w:r>
          </w:p>
        </w:tc>
        <w:tc>
          <w:tcPr>
            <w:tcW w:w="354" w:type="pct"/>
            <w:shd w:val="clear" w:color="auto" w:fill="auto"/>
            <w:noWrap/>
            <w:vAlign w:val="center"/>
          </w:tcPr>
          <w:p w14:paraId="768CF0F6">
            <w:pPr>
              <w:spacing w:line="360" w:lineRule="auto"/>
              <w:rPr>
                <w:rFonts w:hint="eastAsia" w:ascii="宋体" w:hAnsi="宋体" w:eastAsia="宋体" w:cs="宋体"/>
                <w:color w:val="auto"/>
                <w:szCs w:val="21"/>
              </w:rPr>
            </w:pPr>
          </w:p>
        </w:tc>
        <w:tc>
          <w:tcPr>
            <w:tcW w:w="388" w:type="pct"/>
            <w:shd w:val="clear" w:color="auto" w:fill="auto"/>
            <w:noWrap/>
            <w:vAlign w:val="center"/>
          </w:tcPr>
          <w:p w14:paraId="7AB3DAF1">
            <w:pPr>
              <w:widowControl/>
              <w:spacing w:line="360" w:lineRule="auto"/>
              <w:jc w:val="center"/>
              <w:rPr>
                <w:rFonts w:hint="eastAsia" w:ascii="宋体" w:hAnsi="宋体" w:eastAsia="宋体" w:cs="宋体"/>
                <w:color w:val="auto"/>
                <w:szCs w:val="21"/>
              </w:rPr>
            </w:pPr>
          </w:p>
        </w:tc>
        <w:tc>
          <w:tcPr>
            <w:tcW w:w="388" w:type="pct"/>
            <w:shd w:val="clear" w:color="auto" w:fill="auto"/>
            <w:noWrap/>
            <w:vAlign w:val="center"/>
          </w:tcPr>
          <w:p w14:paraId="7748EC2C">
            <w:pPr>
              <w:widowControl/>
              <w:spacing w:line="360" w:lineRule="auto"/>
              <w:jc w:val="center"/>
              <w:rPr>
                <w:rFonts w:hint="eastAsia" w:ascii="宋体" w:hAnsi="宋体" w:eastAsia="宋体" w:cs="宋体"/>
                <w:color w:val="auto"/>
                <w:szCs w:val="21"/>
              </w:rPr>
            </w:pPr>
          </w:p>
        </w:tc>
      </w:tr>
      <w:tr w14:paraId="754A4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2B88C819">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411" w:type="pct"/>
            <w:shd w:val="clear" w:color="auto" w:fill="auto"/>
            <w:noWrap/>
            <w:vAlign w:val="center"/>
          </w:tcPr>
          <w:p w14:paraId="7101B822">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光学实验工作站</w:t>
            </w:r>
          </w:p>
        </w:tc>
        <w:tc>
          <w:tcPr>
            <w:tcW w:w="2977" w:type="pct"/>
            <w:shd w:val="clear" w:color="auto" w:fill="auto"/>
            <w:noWrap/>
            <w:vAlign w:val="center"/>
          </w:tcPr>
          <w:p w14:paraId="75BC3101">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★1.本设备为独立图形工作站设备，本项目采购严格执行《通用工作站政府采购需求标准（2023 年版）》（财库〔2023〕32 号），</w:t>
            </w:r>
            <w:r>
              <w:rPr>
                <w:rFonts w:hint="eastAsia" w:ascii="宋体" w:hAnsi="宋体" w:eastAsia="宋体" w:cs="宋体"/>
                <w:color w:val="auto"/>
                <w:szCs w:val="21"/>
              </w:rPr>
              <w:t>除本</w:t>
            </w:r>
            <w:r>
              <w:rPr>
                <w:rFonts w:hint="eastAsia" w:ascii="宋体" w:hAnsi="宋体" w:eastAsia="宋体" w:cs="宋体"/>
                <w:color w:val="auto"/>
                <w:szCs w:val="21"/>
                <w:lang w:val="en-US" w:eastAsia="zh-CN"/>
              </w:rPr>
              <w:t>项</w:t>
            </w:r>
            <w:r>
              <w:rPr>
                <w:rFonts w:hint="eastAsia" w:ascii="宋体" w:hAnsi="宋体" w:eastAsia="宋体" w:cs="宋体"/>
                <w:color w:val="auto"/>
                <w:szCs w:val="21"/>
              </w:rPr>
              <w:t>采购需求列明的参数外，其余所有参数须</w:t>
            </w:r>
            <w:r>
              <w:rPr>
                <w:rFonts w:ascii="宋体" w:hAnsi="宋体" w:eastAsia="宋体" w:cs="宋体"/>
                <w:color w:val="auto"/>
                <w:szCs w:val="21"/>
              </w:rPr>
              <w:t>完全满足《通用工作站政府采购需求标准（2023 年版）》内全部标注</w:t>
            </w:r>
            <w:r>
              <w:rPr>
                <w:rFonts w:hint="eastAsia" w:ascii="宋体" w:hAnsi="宋体" w:eastAsia="宋体" w:cs="宋体"/>
                <w:color w:val="auto"/>
                <w:szCs w:val="21"/>
              </w:rPr>
              <w:t>“*”</w:t>
            </w:r>
            <w:r>
              <w:rPr>
                <w:rFonts w:ascii="宋体" w:hAnsi="宋体" w:eastAsia="宋体" w:cs="宋体"/>
                <w:color w:val="auto"/>
                <w:szCs w:val="21"/>
              </w:rPr>
              <w:t>的指标</w:t>
            </w:r>
            <w:r>
              <w:rPr>
                <w:rFonts w:hint="eastAsia" w:ascii="宋体" w:hAnsi="宋体" w:eastAsia="宋体" w:cs="宋体"/>
                <w:b/>
                <w:bCs/>
                <w:color w:val="auto"/>
                <w:szCs w:val="21"/>
              </w:rPr>
              <w:t>（投标文件须提供</w:t>
            </w:r>
            <w:r>
              <w:rPr>
                <w:rFonts w:ascii="宋体" w:hAnsi="宋体" w:eastAsia="宋体" w:cs="宋体"/>
                <w:b/>
                <w:bCs/>
                <w:color w:val="auto"/>
                <w:szCs w:val="21"/>
              </w:rPr>
              <w:t>承诺函</w:t>
            </w:r>
            <w:r>
              <w:rPr>
                <w:rFonts w:hint="eastAsia" w:ascii="宋体" w:hAnsi="宋体" w:eastAsia="宋体" w:cs="宋体"/>
                <w:b/>
                <w:bCs/>
                <w:color w:val="auto"/>
                <w:szCs w:val="21"/>
              </w:rPr>
              <w:t>，格式自拟）</w:t>
            </w:r>
            <w:r>
              <w:rPr>
                <w:rFonts w:hint="eastAsia" w:ascii="宋体" w:hAnsi="宋体" w:eastAsia="宋体" w:cs="宋体"/>
                <w:color w:val="auto"/>
                <w:szCs w:val="21"/>
              </w:rPr>
              <w:t>；</w:t>
            </w:r>
          </w:p>
          <w:p w14:paraId="0A6E6B65">
            <w:pPr>
              <w:widowControl/>
              <w:numPr>
                <w:ilvl w:val="0"/>
                <w:numId w:val="0"/>
              </w:numPr>
              <w:spacing w:line="360" w:lineRule="auto"/>
              <w:jc w:val="left"/>
              <w:rPr>
                <w:rFonts w:ascii="宋体" w:hAnsi="宋体" w:eastAsia="宋体" w:cs="宋体"/>
                <w:color w:val="auto"/>
                <w:szCs w:val="21"/>
              </w:rPr>
            </w:pPr>
            <w:r>
              <w:rPr>
                <w:rFonts w:ascii="宋体" w:hAnsi="宋体" w:eastAsia="宋体" w:cs="宋体"/>
                <w:color w:val="auto"/>
                <w:szCs w:val="21"/>
              </w:rPr>
              <w:t>★</w:t>
            </w:r>
            <w:r>
              <w:rPr>
                <w:rFonts w:hint="eastAsia" w:ascii="宋体" w:hAnsi="宋体" w:eastAsia="宋体" w:cs="宋体"/>
                <w:color w:val="auto"/>
                <w:szCs w:val="21"/>
                <w:lang w:val="en-US" w:eastAsia="zh-CN"/>
              </w:rPr>
              <w:t>2.</w:t>
            </w:r>
            <w:r>
              <w:rPr>
                <w:rFonts w:hint="eastAsia" w:ascii="宋体" w:hAnsi="宋体" w:eastAsia="宋体" w:cs="宋体"/>
                <w:color w:val="auto"/>
                <w:szCs w:val="21"/>
              </w:rPr>
              <w:t>CPU：</w:t>
            </w:r>
            <w:r>
              <w:rPr>
                <w:rFonts w:ascii="宋体" w:hAnsi="宋体" w:eastAsia="宋体" w:cs="宋体"/>
                <w:color w:val="auto"/>
                <w:szCs w:val="21"/>
              </w:rPr>
              <w:t>物理</w:t>
            </w:r>
            <w:r>
              <w:rPr>
                <w:rFonts w:hint="eastAsia" w:ascii="宋体" w:hAnsi="宋体" w:eastAsia="宋体" w:cs="宋体"/>
                <w:color w:val="auto"/>
                <w:szCs w:val="21"/>
              </w:rPr>
              <w:t>核数</w:t>
            </w:r>
            <w:r>
              <w:rPr>
                <w:rFonts w:ascii="宋体" w:hAnsi="宋体" w:eastAsia="宋体" w:cs="宋体"/>
                <w:color w:val="auto"/>
                <w:szCs w:val="21"/>
              </w:rPr>
              <w:t>≥16，</w:t>
            </w:r>
            <w:r>
              <w:rPr>
                <w:rFonts w:hint="eastAsia" w:ascii="宋体" w:hAnsi="宋体" w:eastAsia="宋体" w:cs="宋体"/>
                <w:color w:val="auto"/>
                <w:szCs w:val="21"/>
              </w:rPr>
              <w:t>主频</w:t>
            </w:r>
            <w:r>
              <w:rPr>
                <w:rFonts w:ascii="宋体" w:hAnsi="宋体" w:eastAsia="宋体" w:cs="宋体"/>
                <w:color w:val="auto"/>
                <w:szCs w:val="21"/>
              </w:rPr>
              <w:t>≥3.0GHz，</w:t>
            </w:r>
          </w:p>
          <w:p w14:paraId="12CC2C17">
            <w:pPr>
              <w:widowControl/>
              <w:numPr>
                <w:ilvl w:val="-1"/>
                <w:numId w:val="0"/>
              </w:numPr>
              <w:spacing w:line="360" w:lineRule="auto"/>
              <w:jc w:val="left"/>
              <w:rPr>
                <w:rFonts w:hint="eastAsia" w:ascii="宋体" w:hAnsi="宋体" w:eastAsia="宋体" w:cs="宋体"/>
                <w:color w:val="auto"/>
                <w:szCs w:val="21"/>
              </w:rPr>
            </w:pPr>
            <w:r>
              <w:rPr>
                <w:rFonts w:hint="eastAsia" w:ascii="宋体" w:hAnsi="宋体" w:eastAsia="宋体" w:cs="宋体"/>
                <w:color w:val="auto"/>
                <w:szCs w:val="21"/>
                <w:lang w:val="en-US" w:eastAsia="zh-CN"/>
              </w:rPr>
              <w:t>3.CPU支持</w:t>
            </w:r>
            <w:r>
              <w:rPr>
                <w:rFonts w:ascii="宋体" w:hAnsi="宋体" w:eastAsia="宋体" w:cs="宋体"/>
                <w:color w:val="auto"/>
                <w:szCs w:val="21"/>
              </w:rPr>
              <w:t>X86 架构，</w:t>
            </w:r>
            <w:r>
              <w:rPr>
                <w:rFonts w:hint="eastAsia" w:ascii="宋体" w:hAnsi="宋体" w:eastAsia="宋体" w:cs="宋体"/>
                <w:color w:val="auto"/>
                <w:szCs w:val="21"/>
                <w:lang w:val="en-US" w:eastAsia="zh-CN"/>
              </w:rPr>
              <w:t>具备</w:t>
            </w:r>
            <w:r>
              <w:rPr>
                <w:rFonts w:ascii="宋体" w:hAnsi="宋体" w:eastAsia="宋体" w:cs="宋体"/>
                <w:color w:val="auto"/>
                <w:szCs w:val="21"/>
              </w:rPr>
              <w:t>LGA1851 接口</w:t>
            </w:r>
            <w:r>
              <w:rPr>
                <w:rFonts w:hint="eastAsia" w:ascii="宋体" w:hAnsi="宋体" w:eastAsia="宋体" w:cs="宋体"/>
                <w:color w:val="auto"/>
                <w:szCs w:val="21"/>
              </w:rPr>
              <w:t>；</w:t>
            </w:r>
          </w:p>
          <w:p w14:paraId="5EE23CD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lang w:val="en-US" w:eastAsia="zh-CN"/>
              </w:rPr>
              <w:t>4</w:t>
            </w:r>
            <w:r>
              <w:rPr>
                <w:rFonts w:hint="eastAsia" w:ascii="宋体" w:hAnsi="宋体" w:eastAsia="宋体" w:cs="宋体"/>
                <w:color w:val="auto"/>
                <w:szCs w:val="21"/>
              </w:rPr>
              <w:t>.散热：</w:t>
            </w:r>
            <w:r>
              <w:rPr>
                <w:rFonts w:ascii="宋体" w:hAnsi="宋体" w:eastAsia="宋体" w:cs="宋体"/>
                <w:color w:val="auto"/>
                <w:szCs w:val="21"/>
              </w:rPr>
              <w:t>多热管塔式风冷，兼容 LGA1851，散热能力≥240W</w:t>
            </w:r>
            <w:r>
              <w:rPr>
                <w:rFonts w:hint="eastAsia" w:ascii="宋体" w:hAnsi="宋体" w:eastAsia="宋体" w:cs="宋体"/>
                <w:color w:val="auto"/>
                <w:szCs w:val="21"/>
              </w:rPr>
              <w:t>；</w:t>
            </w:r>
          </w:p>
          <w:p w14:paraId="67A8C4B9">
            <w:pPr>
              <w:widowControl/>
              <w:spacing w:line="360" w:lineRule="auto"/>
              <w:jc w:val="left"/>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5</w:t>
            </w:r>
            <w:r>
              <w:rPr>
                <w:rFonts w:hint="eastAsia" w:ascii="宋体" w:hAnsi="宋体" w:eastAsia="宋体" w:cs="宋体"/>
                <w:color w:val="auto"/>
                <w:szCs w:val="21"/>
              </w:rPr>
              <w:t>.主板：</w:t>
            </w:r>
            <w:r>
              <w:rPr>
                <w:rFonts w:ascii="宋体" w:hAnsi="宋体" w:eastAsia="宋体" w:cs="宋体"/>
                <w:color w:val="auto"/>
                <w:szCs w:val="21"/>
              </w:rPr>
              <w:t>支持DDR</w:t>
            </w:r>
            <w:r>
              <w:rPr>
                <w:rFonts w:hint="eastAsia" w:ascii="宋体" w:hAnsi="宋体" w:eastAsia="宋体" w:cs="宋体"/>
                <w:color w:val="auto"/>
                <w:szCs w:val="21"/>
              </w:rPr>
              <w:t>5 8000Hz主频</w:t>
            </w:r>
            <w:r>
              <w:rPr>
                <w:rFonts w:ascii="宋体" w:hAnsi="宋体" w:eastAsia="宋体" w:cs="宋体"/>
                <w:color w:val="auto"/>
                <w:szCs w:val="21"/>
              </w:rPr>
              <w:t>内存</w:t>
            </w:r>
            <w:r>
              <w:rPr>
                <w:rFonts w:hint="eastAsia" w:ascii="宋体" w:hAnsi="宋体" w:eastAsia="宋体" w:cs="宋体"/>
                <w:color w:val="auto"/>
                <w:szCs w:val="21"/>
              </w:rPr>
              <w:t>、</w:t>
            </w:r>
            <w:r>
              <w:rPr>
                <w:rFonts w:ascii="宋体" w:hAnsi="宋体" w:eastAsia="宋体" w:cs="宋体"/>
                <w:color w:val="auto"/>
                <w:szCs w:val="21"/>
              </w:rPr>
              <w:t>无线 WiFi 模块</w:t>
            </w:r>
            <w:r>
              <w:rPr>
                <w:rFonts w:hint="eastAsia" w:ascii="宋体" w:hAnsi="宋体" w:eastAsia="宋体" w:cs="宋体"/>
                <w:color w:val="auto"/>
                <w:szCs w:val="21"/>
                <w:lang w:eastAsia="zh-CN"/>
              </w:rPr>
              <w:t>；</w:t>
            </w:r>
          </w:p>
          <w:p w14:paraId="5E603621">
            <w:pPr>
              <w:widowControl/>
              <w:spacing w:line="360" w:lineRule="auto"/>
              <w:jc w:val="left"/>
              <w:rPr>
                <w:rFonts w:hint="eastAsia" w:ascii="宋体" w:hAnsi="宋体" w:eastAsia="宋体" w:cs="宋体"/>
                <w:color w:val="auto"/>
                <w:szCs w:val="21"/>
                <w:lang w:eastAsia="zh-CN"/>
              </w:rPr>
            </w:pPr>
            <w:r>
              <w:rPr>
                <w:rFonts w:ascii="宋体" w:hAnsi="宋体" w:eastAsia="宋体" w:cs="宋体"/>
                <w:color w:val="auto"/>
                <w:szCs w:val="21"/>
              </w:rPr>
              <w:t>★</w:t>
            </w:r>
            <w:r>
              <w:rPr>
                <w:rFonts w:hint="eastAsia" w:ascii="宋体" w:hAnsi="宋体" w:eastAsia="宋体" w:cs="宋体"/>
                <w:color w:val="auto"/>
                <w:szCs w:val="21"/>
                <w:lang w:val="en-US" w:eastAsia="zh-CN"/>
              </w:rPr>
              <w:t>6</w:t>
            </w:r>
            <w:r>
              <w:rPr>
                <w:rFonts w:hint="eastAsia" w:ascii="宋体" w:hAnsi="宋体" w:eastAsia="宋体" w:cs="宋体"/>
                <w:color w:val="auto"/>
                <w:szCs w:val="21"/>
              </w:rPr>
              <w:t>.内存：内存匹配容量</w:t>
            </w:r>
            <w:r>
              <w:rPr>
                <w:rFonts w:ascii="宋体" w:hAnsi="宋体" w:eastAsia="宋体" w:cs="宋体"/>
                <w:color w:val="auto"/>
                <w:szCs w:val="21"/>
              </w:rPr>
              <w:t>≥32GB，</w:t>
            </w:r>
            <w:r>
              <w:rPr>
                <w:rFonts w:hint="eastAsia" w:ascii="宋体" w:hAnsi="宋体" w:eastAsia="宋体" w:cs="宋体"/>
                <w:color w:val="auto"/>
                <w:szCs w:val="21"/>
              </w:rPr>
              <w:t>内存类型</w:t>
            </w:r>
            <w:r>
              <w:rPr>
                <w:rFonts w:ascii="宋体" w:hAnsi="宋体" w:eastAsia="宋体" w:cs="宋体"/>
                <w:color w:val="auto"/>
                <w:szCs w:val="21"/>
              </w:rPr>
              <w:t>采用DDR5</w:t>
            </w:r>
            <w:r>
              <w:rPr>
                <w:rFonts w:hint="eastAsia" w:ascii="宋体" w:hAnsi="宋体" w:eastAsia="宋体" w:cs="宋体"/>
                <w:color w:val="auto"/>
                <w:szCs w:val="21"/>
              </w:rPr>
              <w:t>及以上类型</w:t>
            </w:r>
            <w:r>
              <w:rPr>
                <w:rFonts w:hint="eastAsia" w:ascii="宋体" w:hAnsi="宋体" w:eastAsia="宋体" w:cs="宋体"/>
                <w:color w:val="auto"/>
                <w:szCs w:val="21"/>
                <w:lang w:eastAsia="zh-CN"/>
              </w:rPr>
              <w:t>；</w:t>
            </w:r>
          </w:p>
          <w:p w14:paraId="3559C0C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lang w:val="en-US" w:eastAsia="zh-CN"/>
              </w:rPr>
              <w:t>7.</w:t>
            </w:r>
            <w:r>
              <w:rPr>
                <w:rFonts w:hint="eastAsia" w:ascii="宋体" w:hAnsi="宋体" w:eastAsia="宋体" w:cs="宋体"/>
                <w:color w:val="auto"/>
                <w:szCs w:val="21"/>
              </w:rPr>
              <w:t>内存</w:t>
            </w:r>
            <w:r>
              <w:rPr>
                <w:rFonts w:ascii="宋体" w:hAnsi="宋体" w:eastAsia="宋体" w:cs="宋体"/>
                <w:color w:val="auto"/>
                <w:szCs w:val="21"/>
              </w:rPr>
              <w:t>标称频率≥8000MHz</w:t>
            </w:r>
            <w:r>
              <w:rPr>
                <w:rFonts w:hint="eastAsia" w:ascii="宋体" w:hAnsi="宋体" w:eastAsia="宋体" w:cs="宋体"/>
                <w:color w:val="auto"/>
                <w:szCs w:val="21"/>
              </w:rPr>
              <w:t>；</w:t>
            </w:r>
          </w:p>
          <w:p w14:paraId="7E753D55">
            <w:pPr>
              <w:widowControl/>
              <w:spacing w:line="360" w:lineRule="auto"/>
              <w:jc w:val="left"/>
              <w:rPr>
                <w:rFonts w:hint="eastAsia" w:ascii="宋体" w:hAnsi="宋体" w:eastAsia="宋体" w:cs="宋体"/>
                <w:color w:val="auto"/>
                <w:szCs w:val="21"/>
                <w:lang w:eastAsia="zh-CN"/>
              </w:rPr>
            </w:pPr>
            <w:r>
              <w:rPr>
                <w:rFonts w:ascii="宋体" w:hAnsi="宋体" w:eastAsia="宋体" w:cs="宋体"/>
                <w:color w:val="auto"/>
                <w:szCs w:val="21"/>
              </w:rPr>
              <w:t>★</w:t>
            </w:r>
            <w:r>
              <w:rPr>
                <w:rFonts w:hint="eastAsia" w:ascii="宋体" w:hAnsi="宋体" w:eastAsia="宋体" w:cs="宋体"/>
                <w:color w:val="auto"/>
                <w:szCs w:val="21"/>
                <w:lang w:val="en-US" w:eastAsia="zh-CN"/>
              </w:rPr>
              <w:t>8</w:t>
            </w:r>
            <w:r>
              <w:rPr>
                <w:rFonts w:hint="eastAsia" w:ascii="宋体" w:hAnsi="宋体" w:eastAsia="宋体" w:cs="宋体"/>
                <w:color w:val="auto"/>
                <w:szCs w:val="21"/>
              </w:rPr>
              <w:t>.显卡：独立显卡</w:t>
            </w:r>
            <w:r>
              <w:rPr>
                <w:rFonts w:hint="eastAsia" w:ascii="宋体" w:hAnsi="宋体" w:eastAsia="宋体" w:cs="宋体"/>
                <w:color w:val="auto"/>
                <w:szCs w:val="21"/>
                <w:lang w:eastAsia="zh-CN"/>
              </w:rPr>
              <w:t>，</w:t>
            </w:r>
            <w:r>
              <w:rPr>
                <w:rFonts w:hint="eastAsia" w:ascii="宋体" w:hAnsi="宋体" w:eastAsia="宋体" w:cs="宋体"/>
                <w:color w:val="auto"/>
                <w:szCs w:val="21"/>
              </w:rPr>
              <w:t>显存容量</w:t>
            </w:r>
            <w:r>
              <w:rPr>
                <w:rFonts w:ascii="宋体" w:hAnsi="宋体" w:eastAsia="宋体" w:cs="宋体"/>
                <w:color w:val="auto"/>
                <w:szCs w:val="21"/>
              </w:rPr>
              <w:t>≥16GB</w:t>
            </w:r>
            <w:r>
              <w:rPr>
                <w:rFonts w:hint="eastAsia" w:ascii="宋体" w:hAnsi="宋体" w:eastAsia="宋体" w:cs="宋体"/>
                <w:color w:val="auto"/>
                <w:szCs w:val="21"/>
                <w:lang w:eastAsia="zh-CN"/>
              </w:rPr>
              <w:t>；</w:t>
            </w:r>
          </w:p>
          <w:p w14:paraId="4E45D20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lang w:val="en-US" w:eastAsia="zh-CN"/>
              </w:rPr>
              <w:t>9.</w:t>
            </w:r>
            <w:r>
              <w:rPr>
                <w:rFonts w:hint="eastAsia" w:ascii="宋体" w:hAnsi="宋体" w:eastAsia="宋体" w:cs="宋体"/>
                <w:color w:val="auto"/>
                <w:szCs w:val="21"/>
              </w:rPr>
              <w:t>独立显卡接口协议</w:t>
            </w:r>
            <w:r>
              <w:rPr>
                <w:rFonts w:hint="eastAsia" w:ascii="宋体" w:hAnsi="宋体" w:eastAsia="宋体" w:cs="宋体"/>
                <w:color w:val="auto"/>
                <w:szCs w:val="21"/>
                <w:lang w:eastAsia="zh-CN"/>
              </w:rPr>
              <w:t>：</w:t>
            </w:r>
            <w:r>
              <w:rPr>
                <w:rFonts w:hint="eastAsia" w:ascii="宋体" w:hAnsi="宋体" w:eastAsia="宋体" w:cs="宋体"/>
                <w:color w:val="auto"/>
                <w:szCs w:val="21"/>
              </w:rPr>
              <w:t>支持</w:t>
            </w:r>
            <w:r>
              <w:rPr>
                <w:rFonts w:ascii="宋体" w:hAnsi="宋体" w:eastAsia="宋体" w:cs="宋体"/>
                <w:color w:val="auto"/>
                <w:szCs w:val="21"/>
              </w:rPr>
              <w:t>PCIe 4.0 x16</w:t>
            </w:r>
            <w:r>
              <w:rPr>
                <w:rFonts w:hint="eastAsia" w:ascii="宋体" w:hAnsi="宋体" w:eastAsia="宋体" w:cs="宋体"/>
                <w:color w:val="auto"/>
                <w:szCs w:val="21"/>
              </w:rPr>
              <w:t>及以上；</w:t>
            </w:r>
          </w:p>
          <w:p w14:paraId="2047A5C8">
            <w:pPr>
              <w:widowControl/>
              <w:spacing w:line="360" w:lineRule="auto"/>
              <w:jc w:val="left"/>
              <w:rPr>
                <w:rFonts w:hint="eastAsia" w:ascii="宋体" w:hAnsi="宋体" w:eastAsia="宋体" w:cs="宋体"/>
                <w:color w:val="auto"/>
                <w:szCs w:val="21"/>
                <w:lang w:eastAsia="zh-CN"/>
              </w:rPr>
            </w:pPr>
            <w:r>
              <w:rPr>
                <w:rFonts w:ascii="宋体" w:hAnsi="宋体" w:eastAsia="宋体" w:cs="宋体"/>
                <w:color w:val="auto"/>
                <w:szCs w:val="21"/>
              </w:rPr>
              <w:t>★</w:t>
            </w:r>
            <w:r>
              <w:rPr>
                <w:rFonts w:hint="eastAsia" w:ascii="宋体" w:hAnsi="宋体" w:eastAsia="宋体" w:cs="宋体"/>
                <w:color w:val="auto"/>
                <w:szCs w:val="21"/>
                <w:lang w:val="en-US" w:eastAsia="zh-CN"/>
              </w:rPr>
              <w:t>10</w:t>
            </w:r>
            <w:r>
              <w:rPr>
                <w:rFonts w:hint="eastAsia" w:ascii="宋体" w:hAnsi="宋体" w:eastAsia="宋体" w:cs="宋体"/>
                <w:color w:val="auto"/>
                <w:szCs w:val="21"/>
              </w:rPr>
              <w:t>.固态存储容量：</w:t>
            </w:r>
            <w:r>
              <w:rPr>
                <w:rFonts w:ascii="宋体" w:hAnsi="宋体" w:eastAsia="宋体" w:cs="宋体"/>
                <w:color w:val="auto"/>
                <w:szCs w:val="21"/>
              </w:rPr>
              <w:t>≥</w:t>
            </w:r>
            <w:r>
              <w:rPr>
                <w:rFonts w:hint="eastAsia" w:ascii="宋体" w:hAnsi="宋体" w:eastAsia="宋体" w:cs="宋体"/>
                <w:color w:val="auto"/>
                <w:szCs w:val="21"/>
              </w:rPr>
              <w:t>1T</w:t>
            </w:r>
            <w:r>
              <w:rPr>
                <w:rFonts w:hint="eastAsia" w:ascii="宋体" w:hAnsi="宋体" w:eastAsia="宋体" w:cs="宋体"/>
                <w:color w:val="auto"/>
                <w:szCs w:val="21"/>
                <w:lang w:val="en-US" w:eastAsia="zh-CN"/>
              </w:rPr>
              <w:t>B</w:t>
            </w:r>
            <w:r>
              <w:rPr>
                <w:rFonts w:hint="eastAsia" w:ascii="宋体" w:hAnsi="宋体" w:eastAsia="宋体" w:cs="宋体"/>
                <w:color w:val="auto"/>
                <w:szCs w:val="21"/>
                <w:lang w:eastAsia="zh-CN"/>
              </w:rPr>
              <w:t>；</w:t>
            </w:r>
          </w:p>
          <w:p w14:paraId="6E5EF9E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lang w:val="en-US" w:eastAsia="zh-CN"/>
              </w:rPr>
              <w:t>11.</w:t>
            </w:r>
            <w:r>
              <w:rPr>
                <w:rFonts w:hint="eastAsia" w:ascii="宋体" w:hAnsi="宋体" w:eastAsia="宋体" w:cs="宋体"/>
                <w:color w:val="auto"/>
                <w:szCs w:val="21"/>
              </w:rPr>
              <w:t>固态存储接口协议</w:t>
            </w:r>
            <w:r>
              <w:rPr>
                <w:rFonts w:hint="eastAsia" w:ascii="宋体" w:hAnsi="宋体" w:eastAsia="宋体" w:cs="宋体"/>
                <w:color w:val="auto"/>
                <w:szCs w:val="21"/>
                <w:lang w:eastAsia="zh-CN"/>
              </w:rPr>
              <w:t>：</w:t>
            </w:r>
            <w:r>
              <w:rPr>
                <w:rFonts w:hint="eastAsia" w:ascii="宋体" w:hAnsi="宋体" w:eastAsia="宋体" w:cs="宋体"/>
                <w:color w:val="auto"/>
                <w:szCs w:val="21"/>
              </w:rPr>
              <w:t>支持NVMe类型接口协议；</w:t>
            </w:r>
          </w:p>
          <w:p w14:paraId="779B9E61">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w:t>
            </w:r>
            <w:r>
              <w:rPr>
                <w:rFonts w:hint="eastAsia" w:ascii="宋体" w:hAnsi="宋体" w:eastAsia="宋体" w:cs="宋体"/>
                <w:color w:val="auto"/>
                <w:szCs w:val="21"/>
                <w:lang w:val="en-US" w:eastAsia="zh-CN"/>
              </w:rPr>
              <w:t>12</w:t>
            </w:r>
            <w:r>
              <w:rPr>
                <w:rFonts w:hint="eastAsia" w:ascii="宋体" w:hAnsi="宋体" w:eastAsia="宋体" w:cs="宋体"/>
                <w:color w:val="auto"/>
                <w:szCs w:val="21"/>
              </w:rPr>
              <w:t>.机械硬盘总容量：</w:t>
            </w:r>
            <w:r>
              <w:rPr>
                <w:rFonts w:ascii="宋体" w:hAnsi="宋体" w:eastAsia="宋体" w:cs="宋体"/>
                <w:color w:val="auto"/>
                <w:szCs w:val="21"/>
              </w:rPr>
              <w:t>≥</w:t>
            </w:r>
            <w:r>
              <w:rPr>
                <w:rFonts w:hint="eastAsia" w:ascii="宋体" w:hAnsi="宋体" w:eastAsia="宋体" w:cs="宋体"/>
                <w:color w:val="auto"/>
                <w:szCs w:val="21"/>
              </w:rPr>
              <w:t>2T</w:t>
            </w:r>
            <w:r>
              <w:rPr>
                <w:rFonts w:hint="eastAsia" w:ascii="宋体" w:hAnsi="宋体" w:eastAsia="宋体" w:cs="宋体"/>
                <w:color w:val="auto"/>
                <w:szCs w:val="21"/>
                <w:lang w:val="en-US" w:eastAsia="zh-CN"/>
              </w:rPr>
              <w:t>B</w:t>
            </w:r>
            <w:r>
              <w:rPr>
                <w:rFonts w:hint="eastAsia" w:ascii="宋体" w:hAnsi="宋体" w:eastAsia="宋体" w:cs="宋体"/>
                <w:color w:val="auto"/>
                <w:szCs w:val="21"/>
              </w:rPr>
              <w:t>；</w:t>
            </w:r>
          </w:p>
          <w:p w14:paraId="5CA08B2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lang w:val="en-US" w:eastAsia="zh-CN"/>
              </w:rPr>
              <w:t>13</w:t>
            </w:r>
            <w:r>
              <w:rPr>
                <w:rFonts w:hint="eastAsia" w:ascii="宋体" w:hAnsi="宋体" w:eastAsia="宋体" w:cs="宋体"/>
                <w:color w:val="auto"/>
                <w:szCs w:val="21"/>
              </w:rPr>
              <w:t>.机箱：</w:t>
            </w:r>
            <w:r>
              <w:rPr>
                <w:rFonts w:ascii="宋体" w:hAnsi="宋体" w:eastAsia="宋体" w:cs="宋体"/>
                <w:color w:val="auto"/>
                <w:szCs w:val="21"/>
              </w:rPr>
              <w:t>标准 ATX 规格机箱，支持长尺寸独立显卡、塔式风冷散热器安装</w:t>
            </w:r>
            <w:r>
              <w:rPr>
                <w:rFonts w:hint="eastAsia" w:ascii="宋体" w:hAnsi="宋体" w:eastAsia="宋体" w:cs="宋体"/>
                <w:color w:val="auto"/>
                <w:szCs w:val="21"/>
              </w:rPr>
              <w:t>；</w:t>
            </w:r>
          </w:p>
          <w:p w14:paraId="0DDF4AF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lang w:val="en-US" w:eastAsia="zh-CN"/>
              </w:rPr>
              <w:t>14</w:t>
            </w:r>
            <w:r>
              <w:rPr>
                <w:rFonts w:hint="eastAsia" w:ascii="宋体" w:hAnsi="宋体" w:eastAsia="宋体" w:cs="宋体"/>
                <w:color w:val="auto"/>
                <w:szCs w:val="21"/>
              </w:rPr>
              <w:t>.电源：</w:t>
            </w:r>
            <w:r>
              <w:rPr>
                <w:rFonts w:ascii="宋体" w:hAnsi="宋体" w:eastAsia="宋体" w:cs="宋体"/>
                <w:color w:val="auto"/>
                <w:szCs w:val="21"/>
              </w:rPr>
              <w:t>≥850W全模组电源，符合ATX3.1规范，整机能效、负载能力满足国标及财政部工作站标准要求</w:t>
            </w:r>
            <w:r>
              <w:rPr>
                <w:rFonts w:hint="eastAsia" w:ascii="宋体" w:hAnsi="宋体" w:eastAsia="宋体" w:cs="宋体"/>
                <w:color w:val="auto"/>
                <w:szCs w:val="21"/>
              </w:rPr>
              <w:t>；</w:t>
            </w:r>
          </w:p>
          <w:p w14:paraId="771BE695">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w:t>
            </w:r>
            <w:r>
              <w:rPr>
                <w:rFonts w:hint="eastAsia" w:ascii="宋体" w:hAnsi="宋体" w:eastAsia="宋体" w:cs="宋体"/>
                <w:color w:val="auto"/>
                <w:szCs w:val="21"/>
                <w:lang w:val="en-US" w:eastAsia="zh-CN"/>
              </w:rPr>
              <w:t>15</w:t>
            </w:r>
            <w:r>
              <w:rPr>
                <w:rFonts w:hint="eastAsia" w:ascii="宋体" w:hAnsi="宋体" w:eastAsia="宋体" w:cs="宋体"/>
                <w:color w:val="auto"/>
                <w:szCs w:val="21"/>
              </w:rPr>
              <w:t>.显示器：</w:t>
            </w:r>
            <w:r>
              <w:rPr>
                <w:rFonts w:ascii="宋体" w:hAnsi="宋体" w:eastAsia="宋体" w:cs="宋体"/>
                <w:color w:val="auto"/>
                <w:szCs w:val="21"/>
              </w:rPr>
              <w:t>≥</w:t>
            </w:r>
            <w:r>
              <w:rPr>
                <w:rFonts w:hint="eastAsia" w:ascii="宋体" w:hAnsi="宋体" w:eastAsia="宋体" w:cs="宋体"/>
                <w:color w:val="auto"/>
                <w:szCs w:val="21"/>
              </w:rPr>
              <w:t>32英寸，4K显示器；</w:t>
            </w:r>
          </w:p>
          <w:p w14:paraId="076DFB3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lang w:val="en-US" w:eastAsia="zh-CN"/>
              </w:rPr>
              <w:t>16</w:t>
            </w:r>
            <w:r>
              <w:rPr>
                <w:rFonts w:hint="eastAsia" w:ascii="宋体" w:hAnsi="宋体" w:eastAsia="宋体" w:cs="宋体"/>
                <w:color w:val="auto"/>
                <w:szCs w:val="21"/>
              </w:rPr>
              <w:t>.</w:t>
            </w:r>
            <w:r>
              <w:rPr>
                <w:rFonts w:ascii="宋体" w:hAnsi="宋体" w:eastAsia="宋体" w:cs="宋体"/>
                <w:color w:val="auto"/>
                <w:szCs w:val="21"/>
              </w:rPr>
              <w:t>软件环境能支持工业光学</w:t>
            </w:r>
            <w:r>
              <w:rPr>
                <w:rFonts w:hint="eastAsia" w:ascii="宋体" w:hAnsi="宋体" w:eastAsia="宋体" w:cs="宋体"/>
                <w:color w:val="auto"/>
                <w:szCs w:val="21"/>
              </w:rPr>
              <w:t>控制系统、视觉检测算子验证系统、视觉检测方案设计系统。</w:t>
            </w:r>
          </w:p>
        </w:tc>
        <w:tc>
          <w:tcPr>
            <w:tcW w:w="354" w:type="pct"/>
            <w:shd w:val="clear" w:color="auto" w:fill="auto"/>
            <w:noWrap/>
            <w:vAlign w:val="center"/>
          </w:tcPr>
          <w:p w14:paraId="21C8AC1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1台</w:t>
            </w:r>
          </w:p>
        </w:tc>
        <w:tc>
          <w:tcPr>
            <w:tcW w:w="388" w:type="pct"/>
            <w:shd w:val="clear" w:color="auto" w:fill="auto"/>
            <w:noWrap/>
            <w:vAlign w:val="center"/>
          </w:tcPr>
          <w:p w14:paraId="005E1CEE">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1C9DD043">
            <w:pPr>
              <w:widowControl/>
              <w:spacing w:line="360" w:lineRule="auto"/>
              <w:jc w:val="center"/>
              <w:rPr>
                <w:rFonts w:hint="eastAsia" w:ascii="宋体" w:hAnsi="宋体" w:eastAsia="宋体" w:cs="宋体"/>
                <w:color w:val="auto"/>
                <w:szCs w:val="21"/>
              </w:rPr>
            </w:pPr>
          </w:p>
        </w:tc>
      </w:tr>
      <w:tr w14:paraId="41C9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1FC466F2">
            <w:pPr>
              <w:widowControl/>
              <w:spacing w:line="360" w:lineRule="auto"/>
              <w:jc w:val="center"/>
              <w:rPr>
                <w:rFonts w:hint="eastAsia" w:ascii="宋体" w:hAnsi="宋体" w:eastAsia="宋体" w:cs="宋体"/>
                <w:color w:val="auto"/>
                <w:szCs w:val="21"/>
              </w:rPr>
            </w:pPr>
            <w:r>
              <w:rPr>
                <w:rFonts w:hint="eastAsia" w:ascii="宋体" w:hAnsi="宋体" w:eastAsia="宋体" w:cs="宋体"/>
                <w:b/>
                <w:bCs/>
                <w:color w:val="auto"/>
                <w:szCs w:val="21"/>
              </w:rPr>
              <w:t>（十四）</w:t>
            </w:r>
          </w:p>
        </w:tc>
        <w:tc>
          <w:tcPr>
            <w:tcW w:w="3388" w:type="pct"/>
            <w:gridSpan w:val="2"/>
            <w:shd w:val="clear" w:color="auto" w:fill="auto"/>
            <w:noWrap/>
            <w:vAlign w:val="center"/>
          </w:tcPr>
          <w:p w14:paraId="2C9B2744">
            <w:pPr>
              <w:widowControl/>
              <w:spacing w:line="360" w:lineRule="auto"/>
              <w:jc w:val="center"/>
              <w:rPr>
                <w:rFonts w:hint="eastAsia" w:ascii="宋体" w:hAnsi="宋体" w:eastAsia="宋体" w:cs="宋体"/>
                <w:color w:val="auto"/>
                <w:szCs w:val="21"/>
              </w:rPr>
            </w:pPr>
            <w:r>
              <w:rPr>
                <w:rFonts w:hint="eastAsia" w:ascii="宋体" w:hAnsi="宋体" w:eastAsia="宋体" w:cs="宋体"/>
                <w:b/>
                <w:bCs/>
                <w:color w:val="auto"/>
                <w:szCs w:val="21"/>
              </w:rPr>
              <w:t>支持软件</w:t>
            </w:r>
          </w:p>
        </w:tc>
        <w:tc>
          <w:tcPr>
            <w:tcW w:w="354" w:type="pct"/>
            <w:shd w:val="clear" w:color="auto" w:fill="auto"/>
            <w:noWrap/>
            <w:vAlign w:val="center"/>
          </w:tcPr>
          <w:p w14:paraId="46D19B5A">
            <w:pPr>
              <w:spacing w:line="360" w:lineRule="auto"/>
              <w:rPr>
                <w:rFonts w:hint="eastAsia" w:ascii="宋体" w:hAnsi="宋体" w:eastAsia="宋体" w:cs="宋体"/>
                <w:color w:val="auto"/>
                <w:szCs w:val="21"/>
              </w:rPr>
            </w:pPr>
          </w:p>
        </w:tc>
        <w:tc>
          <w:tcPr>
            <w:tcW w:w="388" w:type="pct"/>
            <w:shd w:val="clear" w:color="auto" w:fill="auto"/>
            <w:noWrap/>
            <w:vAlign w:val="center"/>
          </w:tcPr>
          <w:p w14:paraId="0F0DC32A">
            <w:pPr>
              <w:widowControl/>
              <w:spacing w:line="360" w:lineRule="auto"/>
              <w:jc w:val="center"/>
              <w:rPr>
                <w:rFonts w:hint="eastAsia" w:ascii="宋体" w:hAnsi="宋体" w:eastAsia="宋体" w:cs="宋体"/>
                <w:color w:val="auto"/>
                <w:szCs w:val="21"/>
              </w:rPr>
            </w:pPr>
          </w:p>
        </w:tc>
        <w:tc>
          <w:tcPr>
            <w:tcW w:w="388" w:type="pct"/>
            <w:shd w:val="clear" w:color="auto" w:fill="auto"/>
            <w:noWrap/>
            <w:vAlign w:val="center"/>
          </w:tcPr>
          <w:p w14:paraId="00254DD6">
            <w:pPr>
              <w:widowControl/>
              <w:spacing w:line="360" w:lineRule="auto"/>
              <w:jc w:val="center"/>
              <w:rPr>
                <w:rFonts w:hint="eastAsia" w:ascii="宋体" w:hAnsi="宋体" w:eastAsia="宋体" w:cs="宋体"/>
                <w:color w:val="auto"/>
                <w:szCs w:val="21"/>
              </w:rPr>
            </w:pPr>
          </w:p>
        </w:tc>
      </w:tr>
      <w:tr w14:paraId="28E5B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15A570CE">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411" w:type="pct"/>
            <w:shd w:val="clear" w:color="auto" w:fill="auto"/>
            <w:noWrap/>
            <w:vAlign w:val="center"/>
          </w:tcPr>
          <w:p w14:paraId="349F209C">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视觉检测算子验证系统</w:t>
            </w:r>
          </w:p>
        </w:tc>
        <w:tc>
          <w:tcPr>
            <w:tcW w:w="2977" w:type="pct"/>
            <w:shd w:val="clear" w:color="auto" w:fill="auto"/>
            <w:noWrap/>
            <w:vAlign w:val="center"/>
          </w:tcPr>
          <w:p w14:paraId="46C0450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1.集成OpenCV、PCL等开源库算子，支持常用的工业相机SDK，支持在线采集视频、图像和离线导入图像，支持算法快速验证。</w:t>
            </w:r>
          </w:p>
          <w:p w14:paraId="4EAB3E2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█2.传统算法：相机标定、全局阈值分割、多阈值分割、自适应阈值分割、色彩空间转换、几何图形查找、Blob分析、条码识别、二维码识别、字符定位、字符识别、形态学运算、空域滤波、频域滤波；</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529FB18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3.深度学习：集成YOLO、DETR、小样本、无监督、语义分割、实例分割等模型推理；</w:t>
            </w:r>
          </w:p>
          <w:p w14:paraId="429BB66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4.3D视觉：支持3D相机接入、3D图像处理、3D定位和3D测量，3D点云加载、下采样、半径滤波、统计滤波、移动最小二乘法滤波、体素网格滤波、基于几何特征的分割、关键点与几何结构匹配、局部特征配准、深度学习等；</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61C7311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★5.提供程序完整源代码；同时根据实验室业务拓展，提供一年内的软件定制开发。</w:t>
            </w:r>
          </w:p>
        </w:tc>
        <w:tc>
          <w:tcPr>
            <w:tcW w:w="354" w:type="pct"/>
            <w:shd w:val="clear" w:color="auto" w:fill="auto"/>
            <w:noWrap/>
            <w:vAlign w:val="center"/>
          </w:tcPr>
          <w:p w14:paraId="67B5DCA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1套</w:t>
            </w:r>
          </w:p>
        </w:tc>
        <w:tc>
          <w:tcPr>
            <w:tcW w:w="388" w:type="pct"/>
            <w:shd w:val="clear" w:color="auto" w:fill="auto"/>
            <w:noWrap/>
            <w:vAlign w:val="center"/>
          </w:tcPr>
          <w:p w14:paraId="77C1CEC4">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41C2CB57">
            <w:pPr>
              <w:widowControl/>
              <w:spacing w:line="360" w:lineRule="auto"/>
              <w:jc w:val="center"/>
              <w:rPr>
                <w:rFonts w:hint="eastAsia" w:ascii="宋体" w:hAnsi="宋体" w:eastAsia="宋体" w:cs="宋体"/>
                <w:color w:val="auto"/>
                <w:szCs w:val="21"/>
              </w:rPr>
            </w:pPr>
          </w:p>
        </w:tc>
      </w:tr>
      <w:tr w14:paraId="7E3ED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shd w:val="clear" w:color="auto" w:fill="auto"/>
            <w:noWrap/>
            <w:vAlign w:val="center"/>
          </w:tcPr>
          <w:p w14:paraId="26F4ACBE">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411" w:type="pct"/>
            <w:shd w:val="clear" w:color="auto" w:fill="auto"/>
            <w:noWrap/>
            <w:vAlign w:val="center"/>
          </w:tcPr>
          <w:p w14:paraId="3879CBDC">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视觉检测方案设计系统</w:t>
            </w:r>
          </w:p>
        </w:tc>
        <w:tc>
          <w:tcPr>
            <w:tcW w:w="2977" w:type="pct"/>
            <w:shd w:val="clear" w:color="auto" w:fill="auto"/>
            <w:noWrap/>
            <w:vAlign w:val="center"/>
          </w:tcPr>
          <w:p w14:paraId="5F9B5CD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█1.架构模式：模块化算子架构，支持自由串并联算法模块，单个方案支持创建≥15个算法模块；支持多级串联，可串联≥3级模块；</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516B23F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2.开发方式：图形化拖拽式操作，无需编程即可快速构建视觉检测方案；算法方案可以保存、导入，导出的方案应具有C++开发环境的调用处理示例程序，并可以在上位机程序中调用；</w:t>
            </w:r>
          </w:p>
          <w:p w14:paraId="31308D0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3.界面交互：主界面支持深度图、轮廓图、点云的多种渲染模式，可自由调整3D图像切换及渲染配置；运行界面集成条件信号灯状态显示；</w:t>
            </w:r>
          </w:p>
          <w:p w14:paraId="67397A7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█4.二次开发：导出SDK支持≥3种处理器（CPU/GPU/NPU），支持C++/C#等编程语言，提供完整的二次开发文档；</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3B34936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算子管理：集成机器视觉多种算法组件，适用多种应用场景，可快速组合算法，实现对2D和3D图像的视觉处理和检测应用；应支持视觉检测算子验证系统相关算子，支持精细分类筛选与一键收放，简化模块选择过程；</w:t>
            </w:r>
          </w:p>
          <w:p w14:paraId="5CC51B34">
            <w:pPr>
              <w:widowControl/>
              <w:tabs>
                <w:tab w:val="left" w:pos="312"/>
              </w:tabs>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6.通讯协议：支持驱动相机、各类传感器、运动单元、支持各类常见的通讯协议；</w:t>
            </w:r>
          </w:p>
          <w:p w14:paraId="00ACE37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★7.投标人供货时需提供程序完整源代码；同时根据实验室业务拓展，提供一年内的软件定制开发。</w:t>
            </w:r>
          </w:p>
        </w:tc>
        <w:tc>
          <w:tcPr>
            <w:tcW w:w="354" w:type="pct"/>
            <w:shd w:val="clear" w:color="auto" w:fill="auto"/>
            <w:noWrap/>
            <w:vAlign w:val="center"/>
          </w:tcPr>
          <w:p w14:paraId="5744067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1套</w:t>
            </w:r>
          </w:p>
        </w:tc>
        <w:tc>
          <w:tcPr>
            <w:tcW w:w="388" w:type="pct"/>
            <w:shd w:val="clear" w:color="auto" w:fill="auto"/>
            <w:noWrap/>
            <w:vAlign w:val="center"/>
          </w:tcPr>
          <w:p w14:paraId="07FFEA8D">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c>
          <w:tcPr>
            <w:tcW w:w="388" w:type="pct"/>
            <w:shd w:val="clear" w:color="auto" w:fill="auto"/>
            <w:noWrap/>
            <w:vAlign w:val="center"/>
          </w:tcPr>
          <w:p w14:paraId="0A03B189">
            <w:pPr>
              <w:widowControl/>
              <w:spacing w:line="360" w:lineRule="auto"/>
              <w:jc w:val="center"/>
              <w:rPr>
                <w:rFonts w:hint="eastAsia" w:ascii="宋体" w:hAnsi="宋体" w:eastAsia="宋体" w:cs="宋体"/>
                <w:color w:val="auto"/>
                <w:szCs w:val="21"/>
              </w:rPr>
            </w:pPr>
          </w:p>
        </w:tc>
      </w:tr>
      <w:tr w14:paraId="24989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tcBorders>
              <w:right w:val="single" w:color="auto" w:sz="4" w:space="0"/>
            </w:tcBorders>
            <w:shd w:val="clear" w:color="auto" w:fill="auto"/>
            <w:noWrap/>
            <w:vAlign w:val="center"/>
          </w:tcPr>
          <w:p w14:paraId="56C6BF15">
            <w:pPr>
              <w:widowControl/>
              <w:spacing w:line="360" w:lineRule="auto"/>
              <w:jc w:val="center"/>
              <w:rPr>
                <w:rFonts w:hint="eastAsia" w:ascii="宋体" w:hAnsi="宋体" w:eastAsia="宋体" w:cs="宋体"/>
                <w:color w:val="auto"/>
                <w:szCs w:val="21"/>
              </w:rPr>
            </w:pPr>
            <w:r>
              <w:rPr>
                <w:rFonts w:hint="eastAsia" w:ascii="宋体" w:hAnsi="宋体" w:eastAsia="宋体" w:cs="宋体"/>
                <w:b/>
                <w:bCs/>
                <w:color w:val="auto"/>
                <w:szCs w:val="21"/>
              </w:rPr>
              <w:t>（十五）</w:t>
            </w:r>
          </w:p>
        </w:tc>
        <w:tc>
          <w:tcPr>
            <w:tcW w:w="338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5A4692A">
            <w:pPr>
              <w:widowControl/>
              <w:spacing w:line="360" w:lineRule="auto"/>
              <w:jc w:val="center"/>
              <w:rPr>
                <w:rFonts w:hint="eastAsia" w:ascii="宋体" w:hAnsi="宋体" w:eastAsia="宋体" w:cs="宋体"/>
                <w:color w:val="auto"/>
                <w:szCs w:val="21"/>
              </w:rPr>
            </w:pPr>
            <w:r>
              <w:rPr>
                <w:rFonts w:hint="eastAsia" w:ascii="宋体" w:hAnsi="宋体" w:eastAsia="宋体" w:cs="宋体"/>
                <w:b/>
                <w:bCs/>
                <w:color w:val="auto"/>
                <w:szCs w:val="21"/>
              </w:rPr>
              <w:t>视觉系统线材与辅料</w:t>
            </w:r>
          </w:p>
        </w:tc>
        <w:tc>
          <w:tcPr>
            <w:tcW w:w="354" w:type="pct"/>
            <w:tcBorders>
              <w:left w:val="single" w:color="auto" w:sz="4" w:space="0"/>
            </w:tcBorders>
            <w:shd w:val="clear" w:color="auto" w:fill="auto"/>
            <w:noWrap/>
            <w:vAlign w:val="center"/>
          </w:tcPr>
          <w:p w14:paraId="7A8CF874">
            <w:pPr>
              <w:spacing w:line="360" w:lineRule="auto"/>
              <w:rPr>
                <w:rFonts w:hint="eastAsia" w:ascii="宋体" w:hAnsi="宋体" w:eastAsia="宋体" w:cs="宋体"/>
                <w:color w:val="auto"/>
                <w:szCs w:val="21"/>
              </w:rPr>
            </w:pPr>
          </w:p>
        </w:tc>
        <w:tc>
          <w:tcPr>
            <w:tcW w:w="388" w:type="pct"/>
            <w:shd w:val="clear" w:color="auto" w:fill="auto"/>
            <w:noWrap/>
            <w:vAlign w:val="center"/>
          </w:tcPr>
          <w:p w14:paraId="5F4DD9D0">
            <w:pPr>
              <w:spacing w:line="360" w:lineRule="auto"/>
              <w:ind w:left="-105" w:right="-105"/>
              <w:jc w:val="center"/>
              <w:rPr>
                <w:rFonts w:hint="eastAsia" w:ascii="宋体" w:hAnsi="宋体" w:eastAsia="宋体" w:cs="宋体"/>
                <w:color w:val="auto"/>
                <w:szCs w:val="21"/>
              </w:rPr>
            </w:pPr>
          </w:p>
        </w:tc>
        <w:tc>
          <w:tcPr>
            <w:tcW w:w="388" w:type="pct"/>
            <w:shd w:val="clear" w:color="auto" w:fill="auto"/>
            <w:noWrap/>
            <w:vAlign w:val="center"/>
          </w:tcPr>
          <w:p w14:paraId="48B4B828">
            <w:pPr>
              <w:spacing w:line="360" w:lineRule="auto"/>
              <w:ind w:left="-105" w:right="-105"/>
              <w:jc w:val="center"/>
              <w:rPr>
                <w:rFonts w:hint="eastAsia" w:ascii="宋体" w:hAnsi="宋体" w:eastAsia="宋体" w:cs="宋体"/>
                <w:color w:val="auto"/>
                <w:szCs w:val="21"/>
              </w:rPr>
            </w:pPr>
          </w:p>
        </w:tc>
      </w:tr>
      <w:tr w14:paraId="18898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0" w:type="pct"/>
            <w:tcBorders>
              <w:right w:val="single" w:color="auto" w:sz="4" w:space="0"/>
            </w:tcBorders>
            <w:shd w:val="clear" w:color="auto" w:fill="auto"/>
            <w:noWrap/>
            <w:vAlign w:val="center"/>
          </w:tcPr>
          <w:p w14:paraId="652A7F2B">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4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FB6C96">
            <w:pPr>
              <w:widowControl/>
              <w:numPr>
                <w:ilvl w:val="255"/>
                <w:numId w:val="0"/>
              </w:numPr>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线材和辅料</w:t>
            </w:r>
          </w:p>
        </w:tc>
        <w:tc>
          <w:tcPr>
            <w:tcW w:w="297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0468E0">
            <w:pPr>
              <w:widowControl/>
              <w:tabs>
                <w:tab w:val="left" w:pos="312"/>
              </w:tabs>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1.6pin电源线：5m；</w:t>
            </w:r>
          </w:p>
          <w:p w14:paraId="67A3AA50">
            <w:pPr>
              <w:widowControl/>
              <w:tabs>
                <w:tab w:val="left" w:pos="312"/>
              </w:tabs>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2.12pin电源线5m；</w:t>
            </w:r>
          </w:p>
          <w:p w14:paraId="527B8177">
            <w:pPr>
              <w:widowControl/>
              <w:tabs>
                <w:tab w:val="left" w:pos="312"/>
              </w:tabs>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3.千兆网线5m；</w:t>
            </w:r>
          </w:p>
          <w:p w14:paraId="36FFEEF1">
            <w:pPr>
              <w:widowControl/>
              <w:tabs>
                <w:tab w:val="left" w:pos="312"/>
              </w:tabs>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4.CXP数据线5m；</w:t>
            </w:r>
          </w:p>
          <w:p w14:paraId="5F92732F">
            <w:pPr>
              <w:widowControl/>
              <w:tabs>
                <w:tab w:val="left" w:pos="312"/>
              </w:tabs>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5.12-PinP10高柔I/O&amp;电源线5m；</w:t>
            </w:r>
          </w:p>
          <w:p w14:paraId="19E256E6">
            <w:pPr>
              <w:widowControl/>
              <w:tabs>
                <w:tab w:val="left" w:pos="312"/>
              </w:tabs>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6.3D相机网线高柔，3m；</w:t>
            </w:r>
          </w:p>
          <w:p w14:paraId="3A73D370">
            <w:pPr>
              <w:widowControl/>
              <w:tabs>
                <w:tab w:val="left" w:pos="312"/>
              </w:tabs>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7.3D相机电源线高柔，3m；</w:t>
            </w:r>
          </w:p>
          <w:p w14:paraId="7292982C">
            <w:pPr>
              <w:widowControl/>
              <w:tabs>
                <w:tab w:val="left" w:pos="312"/>
              </w:tabs>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8.3D轮廓仪IO线5m；</w:t>
            </w:r>
          </w:p>
          <w:p w14:paraId="7E3B115D">
            <w:pPr>
              <w:widowControl/>
              <w:tabs>
                <w:tab w:val="left" w:pos="312"/>
              </w:tabs>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9.3D轮廓仪PE线5m；</w:t>
            </w:r>
          </w:p>
          <w:p w14:paraId="1CBDF953">
            <w:pPr>
              <w:widowControl/>
              <w:tabs>
                <w:tab w:val="left" w:pos="312"/>
              </w:tabs>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10.线光源延长线高柔，3m；</w:t>
            </w:r>
          </w:p>
          <w:p w14:paraId="4655A418">
            <w:pPr>
              <w:widowControl/>
              <w:tabs>
                <w:tab w:val="left" w:pos="312"/>
              </w:tabs>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11.光源延长线高柔3m。</w:t>
            </w:r>
          </w:p>
        </w:tc>
        <w:tc>
          <w:tcPr>
            <w:tcW w:w="354" w:type="pct"/>
            <w:tcBorders>
              <w:left w:val="single" w:color="auto" w:sz="4" w:space="0"/>
            </w:tcBorders>
            <w:shd w:val="clear" w:color="auto" w:fill="auto"/>
            <w:noWrap/>
            <w:vAlign w:val="center"/>
          </w:tcPr>
          <w:p w14:paraId="3800A33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1项</w:t>
            </w:r>
          </w:p>
        </w:tc>
        <w:tc>
          <w:tcPr>
            <w:tcW w:w="388" w:type="pct"/>
            <w:shd w:val="clear" w:color="auto" w:fill="auto"/>
            <w:noWrap/>
            <w:vAlign w:val="center"/>
          </w:tcPr>
          <w:p w14:paraId="7C7C438F">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w:t>
            </w:r>
          </w:p>
        </w:tc>
        <w:tc>
          <w:tcPr>
            <w:tcW w:w="388" w:type="pct"/>
            <w:shd w:val="clear" w:color="auto" w:fill="auto"/>
            <w:noWrap/>
            <w:vAlign w:val="center"/>
          </w:tcPr>
          <w:p w14:paraId="640E4069">
            <w:pPr>
              <w:widowControl/>
              <w:spacing w:line="360" w:lineRule="auto"/>
              <w:jc w:val="center"/>
              <w:rPr>
                <w:rFonts w:hint="eastAsia" w:ascii="宋体" w:hAnsi="宋体" w:eastAsia="宋体" w:cs="宋体"/>
                <w:color w:val="auto"/>
                <w:szCs w:val="21"/>
              </w:rPr>
            </w:pPr>
          </w:p>
        </w:tc>
      </w:tr>
    </w:tbl>
    <w:p w14:paraId="6C1913FB">
      <w:pPr>
        <w:rPr>
          <w:rFonts w:hint="eastAsia"/>
          <w:color w:val="000000"/>
        </w:rPr>
      </w:pPr>
    </w:p>
    <w:p w14:paraId="047DFEF8">
      <w:pPr>
        <w:widowControl w:val="0"/>
        <w:ind w:left="482" w:hanging="482"/>
        <w:contextualSpacing/>
        <w:jc w:val="both"/>
        <w:rPr>
          <w:rFonts w:hint="eastAsia" w:ascii="宋体" w:hAnsi="宋体" w:eastAsia="宋体" w:cs="宋体"/>
          <w:b/>
          <w:bCs/>
          <w:color w:val="000000"/>
          <w:sz w:val="24"/>
          <w:szCs w:val="24"/>
          <w:lang w:val="en-US" w:eastAsia="zh-CN" w:bidi="ar-SA"/>
        </w:rPr>
      </w:pPr>
    </w:p>
    <w:p w14:paraId="3E335A81">
      <w:pPr>
        <w:widowControl/>
        <w:numPr>
          <w:ilvl w:val="0"/>
          <w:numId w:val="1"/>
        </w:numPr>
        <w:ind w:firstLine="482"/>
        <w:outlineLvl w:val="2"/>
        <w:rPr>
          <w:rFonts w:hint="eastAsia" w:ascii="宋体" w:hAnsi="宋体" w:eastAsia="宋体" w:cs="宋体"/>
          <w:b/>
          <w:bCs/>
          <w:color w:val="000000"/>
          <w:sz w:val="24"/>
          <w:szCs w:val="24"/>
        </w:rPr>
      </w:pPr>
      <w:bookmarkStart w:id="26" w:name="_Toc7421"/>
      <w:bookmarkStart w:id="27" w:name="_Toc4843"/>
      <w:r>
        <w:rPr>
          <w:rFonts w:hint="eastAsia" w:ascii="宋体" w:hAnsi="宋体" w:eastAsia="宋体" w:cs="宋体"/>
          <w:b/>
          <w:bCs/>
          <w:color w:val="000000"/>
          <w:sz w:val="24"/>
          <w:szCs w:val="24"/>
        </w:rPr>
        <w:t>产品配置（实质性要求，不允许负偏离，否则投标无效）</w:t>
      </w:r>
    </w:p>
    <w:tbl>
      <w:tblPr>
        <w:tblStyle w:val="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5"/>
        <w:gridCol w:w="2348"/>
        <w:gridCol w:w="5256"/>
      </w:tblGrid>
      <w:tr w14:paraId="1AA94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37" w:type="pct"/>
            <w:vAlign w:val="center"/>
          </w:tcPr>
          <w:p w14:paraId="40B21BAC">
            <w:pPr>
              <w:widowControl/>
              <w:spacing w:line="360" w:lineRule="auto"/>
              <w:jc w:val="center"/>
              <w:rPr>
                <w:rFonts w:hint="eastAsia" w:ascii="宋体" w:hAnsi="宋体" w:eastAsia="宋体" w:cs="宋体"/>
                <w:b/>
                <w:bCs/>
                <w:color w:val="000000"/>
                <w:szCs w:val="21"/>
              </w:rPr>
            </w:pPr>
            <w:r>
              <w:rPr>
                <w:rFonts w:hint="eastAsia" w:ascii="宋体" w:hAnsi="宋体" w:eastAsia="宋体" w:cs="宋体"/>
                <w:b/>
                <w:bCs/>
                <w:color w:val="000000"/>
                <w:szCs w:val="21"/>
              </w:rPr>
              <w:t>序号</w:t>
            </w:r>
          </w:p>
        </w:tc>
        <w:tc>
          <w:tcPr>
            <w:tcW w:w="1378" w:type="pct"/>
            <w:vAlign w:val="center"/>
          </w:tcPr>
          <w:p w14:paraId="18031383">
            <w:pPr>
              <w:widowControl/>
              <w:spacing w:line="360" w:lineRule="auto"/>
              <w:jc w:val="center"/>
              <w:rPr>
                <w:rFonts w:hint="eastAsia" w:ascii="宋体" w:hAnsi="宋体" w:eastAsia="宋体" w:cs="宋体"/>
                <w:b/>
                <w:bCs/>
                <w:color w:val="000000"/>
                <w:szCs w:val="21"/>
              </w:rPr>
            </w:pPr>
            <w:r>
              <w:rPr>
                <w:rFonts w:hint="eastAsia" w:ascii="宋体" w:hAnsi="宋体" w:eastAsia="宋体" w:cs="宋体"/>
                <w:b/>
                <w:bCs/>
                <w:color w:val="000000"/>
                <w:szCs w:val="21"/>
              </w:rPr>
              <w:t>货物名称</w:t>
            </w:r>
          </w:p>
        </w:tc>
        <w:tc>
          <w:tcPr>
            <w:tcW w:w="3084" w:type="pct"/>
            <w:vAlign w:val="center"/>
          </w:tcPr>
          <w:p w14:paraId="52395F47">
            <w:pPr>
              <w:widowControl/>
              <w:spacing w:line="360" w:lineRule="auto"/>
              <w:jc w:val="center"/>
              <w:rPr>
                <w:rFonts w:hint="eastAsia" w:ascii="宋体" w:hAnsi="宋体" w:eastAsia="宋体" w:cs="宋体"/>
                <w:b/>
                <w:bCs/>
                <w:color w:val="000000"/>
                <w:szCs w:val="21"/>
              </w:rPr>
            </w:pPr>
            <w:r>
              <w:rPr>
                <w:rFonts w:hint="eastAsia" w:ascii="宋体" w:hAnsi="宋体" w:eastAsia="宋体" w:cs="宋体"/>
                <w:b/>
                <w:bCs/>
                <w:color w:val="000000"/>
                <w:szCs w:val="21"/>
              </w:rPr>
              <w:t>产品配置要求</w:t>
            </w:r>
          </w:p>
        </w:tc>
      </w:tr>
      <w:tr w14:paraId="0A0C7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6" w:hRule="atLeast"/>
        </w:trPr>
        <w:tc>
          <w:tcPr>
            <w:tcW w:w="537" w:type="pct"/>
            <w:vAlign w:val="center"/>
          </w:tcPr>
          <w:p w14:paraId="74D8FD5F">
            <w:pPr>
              <w:widowControl/>
              <w:spacing w:line="360" w:lineRule="auto"/>
              <w:jc w:val="center"/>
              <w:rPr>
                <w:rFonts w:hint="eastAsia" w:ascii="宋体" w:hAnsi="宋体" w:eastAsia="宋体" w:cs="宋体"/>
                <w:b/>
                <w:bCs/>
                <w:color w:val="000000"/>
                <w:szCs w:val="21"/>
              </w:rPr>
            </w:pPr>
            <w:r>
              <w:rPr>
                <w:rFonts w:hint="eastAsia" w:ascii="宋体" w:hAnsi="宋体" w:eastAsia="宋体" w:cs="宋体"/>
                <w:b/>
                <w:bCs/>
                <w:color w:val="000000"/>
                <w:szCs w:val="21"/>
              </w:rPr>
              <w:t>1</w:t>
            </w:r>
          </w:p>
        </w:tc>
        <w:tc>
          <w:tcPr>
            <w:tcW w:w="1378" w:type="pct"/>
            <w:vAlign w:val="center"/>
          </w:tcPr>
          <w:p w14:paraId="3599388E">
            <w:pPr>
              <w:widowControl/>
              <w:spacing w:line="360" w:lineRule="auto"/>
              <w:jc w:val="center"/>
              <w:rPr>
                <w:rFonts w:hint="eastAsia" w:ascii="宋体" w:hAnsi="宋体" w:eastAsia="宋体" w:cs="宋体"/>
                <w:color w:val="000000"/>
                <w:szCs w:val="21"/>
              </w:rPr>
            </w:pPr>
            <w:r>
              <w:rPr>
                <w:rFonts w:hint="eastAsia" w:ascii="宋体" w:hAnsi="宋体" w:eastAsia="宋体" w:cs="宋体"/>
                <w:b/>
                <w:bCs/>
                <w:color w:val="000000"/>
                <w:szCs w:val="21"/>
              </w:rPr>
              <w:t>显微镜检测器（1套）</w:t>
            </w:r>
          </w:p>
        </w:tc>
        <w:tc>
          <w:tcPr>
            <w:tcW w:w="3084" w:type="pct"/>
            <w:vAlign w:val="center"/>
          </w:tcPr>
          <w:p w14:paraId="157B4028">
            <w:pPr>
              <w:widowControl/>
              <w:spacing w:line="360" w:lineRule="auto"/>
              <w:rPr>
                <w:rFonts w:hint="eastAsia" w:ascii="宋体" w:hAnsi="宋体" w:eastAsia="宋体" w:cs="宋体"/>
                <w:color w:val="000000"/>
                <w:szCs w:val="21"/>
              </w:rPr>
            </w:pPr>
            <w:r>
              <w:rPr>
                <w:rFonts w:hint="eastAsia" w:ascii="宋体" w:hAnsi="宋体" w:eastAsia="宋体" w:cs="宋体"/>
                <w:color w:val="000000"/>
                <w:szCs w:val="21"/>
              </w:rPr>
              <w:t>显微镜配套设备：</w:t>
            </w:r>
          </w:p>
          <w:p w14:paraId="703C57D2">
            <w:pPr>
              <w:widowControl/>
              <w:spacing w:line="360" w:lineRule="auto"/>
              <w:jc w:val="left"/>
              <w:rPr>
                <w:rFonts w:hint="eastAsia" w:ascii="宋体" w:hAnsi="宋体" w:eastAsia="宋体" w:cs="宋体"/>
                <w:color w:val="000000"/>
                <w:szCs w:val="21"/>
              </w:rPr>
            </w:pPr>
            <w:r>
              <w:rPr>
                <w:rFonts w:hint="eastAsia" w:ascii="宋体" w:hAnsi="宋体" w:eastAsia="宋体" w:cs="宋体"/>
                <w:color w:val="000000"/>
                <w:szCs w:val="21"/>
              </w:rPr>
              <w:t>1.光学显微镜零件：底座部；镜头链接附件；</w:t>
            </w:r>
          </w:p>
          <w:p w14:paraId="7C6FAAC4">
            <w:pPr>
              <w:widowControl/>
              <w:spacing w:line="360" w:lineRule="auto"/>
              <w:jc w:val="left"/>
              <w:rPr>
                <w:rFonts w:hint="eastAsia" w:ascii="宋体" w:hAnsi="宋体" w:eastAsia="宋体" w:cs="宋体"/>
                <w:color w:val="000000"/>
                <w:szCs w:val="21"/>
              </w:rPr>
            </w:pPr>
            <w:r>
              <w:rPr>
                <w:rFonts w:hint="eastAsia" w:ascii="宋体" w:hAnsi="宋体" w:eastAsia="宋体" w:cs="宋体"/>
                <w:color w:val="000000"/>
                <w:szCs w:val="21"/>
              </w:rPr>
              <w:t>2.操作控制器；</w:t>
            </w:r>
          </w:p>
          <w:p w14:paraId="3E7B8CFC">
            <w:pPr>
              <w:widowControl/>
              <w:spacing w:line="360" w:lineRule="auto"/>
              <w:jc w:val="left"/>
              <w:rPr>
                <w:rFonts w:hint="eastAsia" w:ascii="宋体" w:hAnsi="宋体" w:eastAsia="宋体" w:cs="宋体"/>
                <w:color w:val="000000"/>
                <w:szCs w:val="21"/>
              </w:rPr>
            </w:pPr>
            <w:r>
              <w:rPr>
                <w:rFonts w:hint="eastAsia" w:ascii="宋体" w:hAnsi="宋体" w:eastAsia="宋体" w:cs="宋体"/>
                <w:color w:val="000000"/>
                <w:szCs w:val="21"/>
              </w:rPr>
              <w:t>3.系统控制器延长电缆（20m,0.45mm²,5芯）；</w:t>
            </w:r>
          </w:p>
          <w:p w14:paraId="040C0626">
            <w:pPr>
              <w:widowControl w:val="0"/>
              <w:ind w:left="0" w:firstLine="0"/>
              <w:jc w:val="both"/>
              <w:rPr>
                <w:rFonts w:hint="eastAsia" w:ascii="Times New Roman" w:hAnsi="@仿宋_GB2312" w:eastAsia="楷体_GB2312" w:cs="Times New Roman"/>
                <w:color w:val="000000"/>
                <w:sz w:val="32"/>
                <w:lang w:val="en-US" w:eastAsia="zh-CN" w:bidi="ar-SA"/>
              </w:rPr>
            </w:pPr>
            <w:r>
              <w:rPr>
                <w:rFonts w:hint="eastAsia" w:ascii="宋体" w:hAnsi="宋体" w:eastAsia="宋体" w:cs="宋体"/>
                <w:color w:val="000000"/>
                <w:sz w:val="21"/>
                <w:szCs w:val="21"/>
                <w:lang w:val="en-US" w:eastAsia="zh-CN" w:bidi="ar-SA"/>
              </w:rPr>
              <w:t>4.控制器零件交流线；</w:t>
            </w:r>
          </w:p>
        </w:tc>
      </w:tr>
      <w:tr w14:paraId="44A01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537" w:type="pct"/>
            <w:vAlign w:val="center"/>
          </w:tcPr>
          <w:p w14:paraId="7CC896B9">
            <w:pPr>
              <w:widowControl/>
              <w:spacing w:line="360" w:lineRule="auto"/>
              <w:jc w:val="center"/>
              <w:rPr>
                <w:rFonts w:hint="eastAsia" w:ascii="宋体" w:hAnsi="宋体" w:eastAsia="宋体" w:cs="宋体"/>
                <w:b/>
                <w:bCs/>
                <w:color w:val="000000"/>
                <w:szCs w:val="21"/>
              </w:rPr>
            </w:pPr>
            <w:r>
              <w:rPr>
                <w:rFonts w:hint="eastAsia" w:ascii="宋体" w:hAnsi="宋体" w:eastAsia="宋体" w:cs="宋体"/>
                <w:b/>
                <w:bCs/>
                <w:color w:val="000000"/>
                <w:szCs w:val="21"/>
              </w:rPr>
              <w:t>2</w:t>
            </w:r>
          </w:p>
        </w:tc>
        <w:tc>
          <w:tcPr>
            <w:tcW w:w="1378" w:type="pct"/>
            <w:shd w:val="clear" w:color="auto" w:fill="FFFFFF"/>
            <w:vAlign w:val="center"/>
          </w:tcPr>
          <w:p w14:paraId="619D0265">
            <w:pPr>
              <w:widowControl/>
              <w:spacing w:line="360" w:lineRule="auto"/>
              <w:jc w:val="center"/>
              <w:rPr>
                <w:rFonts w:hint="eastAsia" w:ascii="宋体" w:hAnsi="宋体" w:eastAsia="宋体" w:cs="宋体"/>
                <w:color w:val="000000"/>
                <w:szCs w:val="21"/>
              </w:rPr>
            </w:pPr>
            <w:r>
              <w:rPr>
                <w:rFonts w:hint="eastAsia" w:ascii="宋体" w:hAnsi="宋体" w:eastAsia="宋体" w:cs="宋体"/>
                <w:b/>
                <w:bCs/>
                <w:color w:val="000000"/>
                <w:szCs w:val="21"/>
              </w:rPr>
              <w:t>光学实验配套设备（1套）</w:t>
            </w:r>
          </w:p>
        </w:tc>
        <w:tc>
          <w:tcPr>
            <w:tcW w:w="3084" w:type="pct"/>
            <w:noWrap/>
            <w:vAlign w:val="center"/>
          </w:tcPr>
          <w:p w14:paraId="0B035DA9">
            <w:pPr>
              <w:widowControl/>
              <w:spacing w:line="360" w:lineRule="auto"/>
              <w:jc w:val="left"/>
              <w:rPr>
                <w:rFonts w:hint="eastAsia" w:ascii="宋体" w:hAnsi="宋体" w:eastAsia="宋体" w:cs="宋体"/>
                <w:color w:val="000000"/>
                <w:szCs w:val="21"/>
              </w:rPr>
            </w:pPr>
            <w:r>
              <w:rPr>
                <w:rFonts w:hint="eastAsia" w:ascii="宋体" w:hAnsi="宋体" w:eastAsia="宋体" w:cs="宋体"/>
                <w:color w:val="000000"/>
                <w:szCs w:val="21"/>
              </w:rPr>
              <w:t>1.分辨率测试卡；</w:t>
            </w:r>
          </w:p>
          <w:p w14:paraId="6AD6F099">
            <w:pPr>
              <w:widowControl/>
              <w:spacing w:line="360" w:lineRule="auto"/>
              <w:jc w:val="left"/>
              <w:rPr>
                <w:rFonts w:hint="eastAsia" w:ascii="宋体" w:hAnsi="宋体" w:eastAsia="宋体" w:cs="宋体"/>
                <w:color w:val="000000"/>
                <w:szCs w:val="21"/>
              </w:rPr>
            </w:pPr>
            <w:r>
              <w:rPr>
                <w:rFonts w:hint="eastAsia" w:ascii="宋体" w:hAnsi="宋体" w:eastAsia="宋体" w:cs="宋体"/>
                <w:color w:val="000000"/>
                <w:szCs w:val="21"/>
              </w:rPr>
              <w:t>2.棋盘格标定板；</w:t>
            </w:r>
          </w:p>
          <w:p w14:paraId="71A259D2">
            <w:pPr>
              <w:widowControl/>
              <w:spacing w:line="360" w:lineRule="auto"/>
              <w:jc w:val="left"/>
              <w:rPr>
                <w:rFonts w:hint="eastAsia" w:ascii="宋体" w:hAnsi="宋体" w:eastAsia="宋体" w:cs="宋体"/>
                <w:color w:val="000000"/>
                <w:szCs w:val="21"/>
              </w:rPr>
            </w:pPr>
            <w:r>
              <w:rPr>
                <w:rFonts w:hint="eastAsia" w:ascii="宋体" w:hAnsi="宋体" w:eastAsia="宋体" w:cs="宋体"/>
                <w:color w:val="000000"/>
                <w:szCs w:val="21"/>
              </w:rPr>
              <w:t>3.24色相机色卡；</w:t>
            </w:r>
          </w:p>
          <w:p w14:paraId="2F24761A">
            <w:pPr>
              <w:spacing w:line="360" w:lineRule="auto"/>
              <w:rPr>
                <w:rFonts w:hint="eastAsia" w:ascii="宋体" w:hAnsi="宋体" w:eastAsia="宋体" w:cs="宋体"/>
                <w:color w:val="000000"/>
                <w:szCs w:val="21"/>
              </w:rPr>
            </w:pPr>
            <w:r>
              <w:rPr>
                <w:rFonts w:hint="eastAsia" w:ascii="宋体" w:hAnsi="宋体" w:eastAsia="宋体" w:cs="宋体"/>
                <w:color w:val="000000"/>
                <w:szCs w:val="21"/>
              </w:rPr>
              <w:t>4.水平尺。</w:t>
            </w:r>
          </w:p>
        </w:tc>
      </w:tr>
      <w:tr w14:paraId="6B9DE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537" w:type="pct"/>
            <w:vAlign w:val="center"/>
          </w:tcPr>
          <w:p w14:paraId="69768134">
            <w:pPr>
              <w:widowControl/>
              <w:spacing w:line="360" w:lineRule="auto"/>
              <w:jc w:val="center"/>
              <w:rPr>
                <w:rFonts w:hint="eastAsia" w:ascii="宋体" w:hAnsi="宋体" w:eastAsia="宋体" w:cs="宋体"/>
                <w:b/>
                <w:bCs/>
                <w:color w:val="000000"/>
                <w:szCs w:val="21"/>
              </w:rPr>
            </w:pPr>
            <w:r>
              <w:rPr>
                <w:rFonts w:hint="eastAsia" w:ascii="宋体" w:hAnsi="宋体" w:eastAsia="宋体" w:cs="宋体"/>
                <w:b/>
                <w:bCs/>
                <w:color w:val="000000"/>
                <w:szCs w:val="21"/>
              </w:rPr>
              <w:t>3</w:t>
            </w:r>
          </w:p>
        </w:tc>
        <w:tc>
          <w:tcPr>
            <w:tcW w:w="1378" w:type="pct"/>
            <w:shd w:val="clear" w:color="auto" w:fill="FFFFFF"/>
            <w:vAlign w:val="center"/>
          </w:tcPr>
          <w:p w14:paraId="3FE554A2">
            <w:pPr>
              <w:widowControl/>
              <w:spacing w:line="360" w:lineRule="auto"/>
              <w:jc w:val="center"/>
              <w:rPr>
                <w:rFonts w:hint="eastAsia" w:ascii="宋体" w:hAnsi="宋体" w:eastAsia="宋体" w:cs="宋体"/>
                <w:color w:val="000000"/>
                <w:szCs w:val="21"/>
              </w:rPr>
            </w:pPr>
            <w:r>
              <w:rPr>
                <w:rFonts w:hint="eastAsia" w:ascii="宋体" w:hAnsi="宋体" w:eastAsia="宋体" w:cs="宋体"/>
                <w:b/>
                <w:bCs/>
                <w:color w:val="000000"/>
                <w:szCs w:val="21"/>
              </w:rPr>
              <w:t>置物平台（1套）</w:t>
            </w:r>
          </w:p>
        </w:tc>
        <w:tc>
          <w:tcPr>
            <w:tcW w:w="3084" w:type="pct"/>
            <w:noWrap/>
            <w:vAlign w:val="center"/>
          </w:tcPr>
          <w:p w14:paraId="7DEDC47F">
            <w:pPr>
              <w:spacing w:line="360" w:lineRule="auto"/>
              <w:rPr>
                <w:rFonts w:hint="eastAsia" w:ascii="宋体" w:hAnsi="宋体" w:eastAsia="宋体" w:cs="宋体"/>
                <w:color w:val="000000"/>
                <w:szCs w:val="21"/>
              </w:rPr>
            </w:pPr>
            <w:r>
              <w:rPr>
                <w:rFonts w:hint="eastAsia" w:ascii="宋体" w:hAnsi="宋体" w:eastAsia="宋体" w:cs="宋体"/>
                <w:color w:val="000000"/>
                <w:szCs w:val="21"/>
              </w:rPr>
              <w:t>仪器设备防潮柜、办公桌、实验桌椅、货架、置物箱。</w:t>
            </w:r>
          </w:p>
        </w:tc>
      </w:tr>
    </w:tbl>
    <w:p w14:paraId="4A60499F">
      <w:pPr>
        <w:keepNext/>
        <w:keepLines/>
        <w:widowControl w:val="0"/>
        <w:spacing w:before="240" w:line="360" w:lineRule="auto"/>
        <w:ind w:firstLine="0"/>
        <w:jc w:val="left"/>
        <w:outlineLvl w:val="1"/>
        <w:rPr>
          <w:rFonts w:ascii="Arial" w:hAnsi="Arial" w:eastAsia="黑体" w:cs="Times New Roman"/>
          <w:bCs/>
          <w:color w:val="000000"/>
          <w:sz w:val="28"/>
          <w:szCs w:val="32"/>
          <w:lang w:val="en-US" w:eastAsia="zh-CN" w:bidi="ar-SA"/>
        </w:rPr>
      </w:pPr>
      <w:r>
        <w:rPr>
          <w:rFonts w:hint="eastAsia" w:ascii="Arial" w:hAnsi="Arial" w:eastAsia="黑体" w:cs="Times New Roman"/>
          <w:bCs/>
          <w:color w:val="000000"/>
          <w:sz w:val="28"/>
          <w:szCs w:val="32"/>
          <w:lang w:val="en-US" w:eastAsia="zh-CN" w:bidi="ar-SA"/>
        </w:rPr>
        <w:t>三、报价要求</w:t>
      </w:r>
      <w:bookmarkEnd w:id="26"/>
      <w:bookmarkEnd w:id="27"/>
    </w:p>
    <w:p w14:paraId="6686C115">
      <w:pPr>
        <w:spacing w:line="360" w:lineRule="auto"/>
        <w:ind w:firstLine="480"/>
        <w:rPr>
          <w:rFonts w:hint="eastAsia" w:ascii="宋体" w:hAnsi="宋体" w:eastAsia="宋体"/>
          <w:b/>
          <w:color w:val="000000"/>
          <w:sz w:val="24"/>
          <w:szCs w:val="18"/>
        </w:rPr>
      </w:pPr>
      <w:r>
        <w:rPr>
          <w:rFonts w:hint="eastAsia" w:ascii="宋体" w:hAnsi="宋体" w:eastAsia="宋体" w:cs="宋体"/>
          <w:color w:val="000000"/>
          <w:sz w:val="24"/>
        </w:rPr>
        <w:t>本项目报总价，投标报价包括本项目需求的全部货物及所需附件购置费、包装费、运输费、人工费、安装调试费、各种税费、资料费、售后服务费及完成项目应有的全部费用。</w:t>
      </w:r>
      <w:bookmarkStart w:id="28" w:name="_Toc455587277"/>
      <w:bookmarkEnd w:id="28"/>
      <w:bookmarkStart w:id="29" w:name="_Toc455587093"/>
      <w:bookmarkEnd w:id="29"/>
      <w:bookmarkStart w:id="30" w:name="_Toc445554752"/>
      <w:bookmarkEnd w:id="30"/>
    </w:p>
    <w:p w14:paraId="7EF8900C">
      <w:pPr>
        <w:keepNext/>
        <w:keepLines/>
        <w:widowControl w:val="0"/>
        <w:spacing w:before="240" w:line="360" w:lineRule="auto"/>
        <w:ind w:firstLine="0"/>
        <w:jc w:val="left"/>
        <w:outlineLvl w:val="1"/>
        <w:rPr>
          <w:rFonts w:ascii="Arial" w:hAnsi="Arial" w:eastAsia="黑体" w:cs="Times New Roman"/>
          <w:bCs/>
          <w:color w:val="000000"/>
          <w:sz w:val="28"/>
          <w:szCs w:val="32"/>
          <w:lang w:val="en-US" w:eastAsia="zh-CN" w:bidi="ar-SA"/>
        </w:rPr>
      </w:pPr>
      <w:r>
        <w:rPr>
          <w:rFonts w:hint="eastAsia" w:ascii="Arial" w:hAnsi="Arial" w:eastAsia="黑体" w:cs="Times New Roman"/>
          <w:bCs/>
          <w:color w:val="000000"/>
          <w:sz w:val="28"/>
          <w:szCs w:val="32"/>
          <w:lang w:val="en-US" w:eastAsia="zh-CN" w:bidi="ar-SA"/>
        </w:rPr>
        <w:t>四、售后服务</w:t>
      </w:r>
      <w:bookmarkEnd w:id="9"/>
    </w:p>
    <w:p w14:paraId="4792E468">
      <w:pPr>
        <w:spacing w:line="360" w:lineRule="auto"/>
        <w:ind w:firstLine="480"/>
        <w:rPr>
          <w:rFonts w:hint="eastAsia" w:ascii="宋体" w:hAnsi="宋体" w:eastAsia="宋体" w:cs="宋体"/>
          <w:color w:val="000000"/>
          <w:sz w:val="24"/>
        </w:rPr>
      </w:pPr>
      <w:r>
        <w:rPr>
          <w:rFonts w:hint="eastAsia" w:ascii="宋体" w:hAnsi="宋体" w:eastAsia="宋体" w:cs="宋体"/>
          <w:color w:val="000000"/>
          <w:sz w:val="24"/>
        </w:rPr>
        <w:t>1、陪产期服务要求：陪产时间不低于180个工作日，陪产期间，中标人需保持每周5天、每天不低于4个小时的系统软硬件调试教学课时；</w:t>
      </w:r>
    </w:p>
    <w:p w14:paraId="50799623">
      <w:pPr>
        <w:spacing w:line="360" w:lineRule="auto"/>
        <w:ind w:firstLine="480"/>
        <w:rPr>
          <w:rFonts w:hint="eastAsia" w:ascii="宋体" w:hAnsi="宋体" w:eastAsia="宋体" w:cs="宋体"/>
          <w:color w:val="000000"/>
          <w:sz w:val="24"/>
        </w:rPr>
      </w:pPr>
      <w:r>
        <w:rPr>
          <w:rFonts w:hint="eastAsia" w:ascii="宋体" w:hAnsi="宋体" w:eastAsia="宋体" w:cs="宋体"/>
          <w:color w:val="000000"/>
          <w:sz w:val="24"/>
        </w:rPr>
        <w:t>2、售后服务响应时效要求：在项目验收合格之日起365天内，中标人须保持接到招标人通知30分钟内到达现场处理异常；</w:t>
      </w:r>
    </w:p>
    <w:p w14:paraId="4963BAB4">
      <w:pPr>
        <w:spacing w:line="360" w:lineRule="auto"/>
        <w:ind w:firstLine="480"/>
        <w:rPr>
          <w:rFonts w:hint="eastAsia" w:ascii="宋体" w:hAnsi="宋体" w:eastAsia="宋体" w:cs="宋体"/>
          <w:color w:val="000000"/>
          <w:sz w:val="24"/>
        </w:rPr>
      </w:pPr>
      <w:r>
        <w:rPr>
          <w:rFonts w:hint="eastAsia" w:ascii="宋体" w:hAnsi="宋体" w:eastAsia="宋体" w:cs="宋体"/>
          <w:color w:val="000000"/>
          <w:sz w:val="24"/>
        </w:rPr>
        <w:t>3、人员配置要求：调试期间，专职人员须专项负责于本项目，人员包含项目经理1名，高级软件工程师3名，初级软件工程师3名，实施工程师3名。</w:t>
      </w:r>
    </w:p>
    <w:p w14:paraId="2218311A">
      <w:pPr>
        <w:numPr>
          <w:ilvl w:val="0"/>
          <w:numId w:val="2"/>
        </w:numPr>
        <w:spacing w:line="360" w:lineRule="auto"/>
        <w:ind w:firstLine="480"/>
        <w:rPr>
          <w:rFonts w:hint="eastAsia" w:ascii="宋体" w:hAnsi="宋体" w:eastAsia="宋体" w:cs="宋体"/>
          <w:color w:val="000000"/>
          <w:sz w:val="24"/>
        </w:rPr>
      </w:pPr>
      <w:r>
        <w:rPr>
          <w:rFonts w:hint="eastAsia" w:ascii="宋体" w:hAnsi="宋体" w:eastAsia="宋体" w:cs="宋体"/>
          <w:color w:val="000000"/>
          <w:sz w:val="24"/>
        </w:rPr>
        <w:t>质保期及硬件保修要求：在满足招标文件规定的3年免费质保期基础上，中标人须对以下核心设备提供额外硬件保修服务，具体要求如下：</w:t>
      </w:r>
    </w:p>
    <w:p w14:paraId="5EBFA8D7">
      <w:pPr>
        <w:numPr>
          <w:ilvl w:val="255"/>
          <w:numId w:val="0"/>
        </w:numPr>
        <w:spacing w:line="360" w:lineRule="auto"/>
        <w:ind w:firstLine="480"/>
        <w:rPr>
          <w:rFonts w:hint="eastAsia" w:ascii="宋体" w:hAnsi="宋体" w:eastAsia="宋体" w:cs="宋体"/>
          <w:color w:val="000000"/>
          <w:sz w:val="24"/>
        </w:rPr>
      </w:pPr>
      <w:r>
        <w:rPr>
          <w:rFonts w:hint="eastAsia" w:ascii="宋体" w:hAnsi="宋体" w:eastAsia="宋体" w:cs="宋体"/>
          <w:color w:val="000000"/>
          <w:sz w:val="24"/>
        </w:rPr>
        <w:t>4.1、三年整机硬件保修（须原厂授权工程师上门服务）</w:t>
      </w:r>
    </w:p>
    <w:p w14:paraId="1BAC979F">
      <w:pPr>
        <w:numPr>
          <w:ilvl w:val="255"/>
          <w:numId w:val="0"/>
        </w:numPr>
        <w:spacing w:line="360" w:lineRule="auto"/>
        <w:ind w:firstLine="480"/>
        <w:rPr>
          <w:rFonts w:hint="eastAsia" w:ascii="宋体" w:hAnsi="宋体" w:eastAsia="宋体" w:cs="宋体"/>
          <w:color w:val="000000"/>
          <w:sz w:val="24"/>
        </w:rPr>
      </w:pPr>
      <w:r>
        <w:rPr>
          <w:rFonts w:hint="eastAsia" w:ascii="宋体" w:hAnsi="宋体" w:eastAsia="宋体" w:cs="宋体"/>
          <w:color w:val="000000"/>
          <w:sz w:val="24"/>
        </w:rPr>
        <w:t>以下设备自项目最终验收合格之日起，须提供三年的整机硬件保修服务，保修期内由原厂授权的工程师提供上门维修及备件更换服务：</w:t>
      </w:r>
    </w:p>
    <w:p w14:paraId="6C5BE41B">
      <w:pPr>
        <w:numPr>
          <w:ilvl w:val="255"/>
          <w:numId w:val="0"/>
        </w:numPr>
        <w:spacing w:line="360" w:lineRule="auto"/>
        <w:ind w:firstLine="480"/>
        <w:rPr>
          <w:rFonts w:hint="eastAsia" w:ascii="宋体" w:hAnsi="宋体" w:eastAsia="宋体" w:cs="宋体"/>
          <w:color w:val="000000"/>
          <w:sz w:val="24"/>
        </w:rPr>
      </w:pPr>
      <w:r>
        <w:rPr>
          <w:rFonts w:hint="eastAsia" w:ascii="宋体" w:hAnsi="宋体" w:eastAsia="宋体" w:cs="宋体"/>
          <w:color w:val="000000"/>
          <w:sz w:val="24"/>
        </w:rPr>
        <w:t>（1）虚拟化服务器</w:t>
      </w:r>
    </w:p>
    <w:p w14:paraId="26DE5ACD">
      <w:pPr>
        <w:numPr>
          <w:ilvl w:val="255"/>
          <w:numId w:val="0"/>
        </w:numPr>
        <w:spacing w:line="360" w:lineRule="auto"/>
        <w:ind w:firstLine="480"/>
        <w:rPr>
          <w:rFonts w:hint="eastAsia" w:ascii="宋体" w:hAnsi="宋体" w:eastAsia="宋体" w:cs="宋体"/>
          <w:color w:val="000000"/>
          <w:sz w:val="24"/>
        </w:rPr>
      </w:pPr>
      <w:r>
        <w:rPr>
          <w:rFonts w:hint="eastAsia" w:ascii="宋体" w:hAnsi="宋体" w:eastAsia="宋体" w:cs="宋体"/>
          <w:color w:val="000000"/>
          <w:sz w:val="24"/>
        </w:rPr>
        <w:t>（2）集中式存储</w:t>
      </w:r>
    </w:p>
    <w:p w14:paraId="2974BACF">
      <w:pPr>
        <w:numPr>
          <w:ilvl w:val="255"/>
          <w:numId w:val="0"/>
        </w:numPr>
        <w:spacing w:line="360" w:lineRule="auto"/>
        <w:ind w:firstLine="480"/>
        <w:rPr>
          <w:rFonts w:hint="eastAsia" w:ascii="宋体" w:hAnsi="宋体" w:eastAsia="宋体" w:cs="宋体"/>
          <w:color w:val="000000"/>
          <w:sz w:val="24"/>
        </w:rPr>
      </w:pPr>
      <w:r>
        <w:rPr>
          <w:rFonts w:hint="eastAsia" w:ascii="宋体" w:hAnsi="宋体" w:eastAsia="宋体" w:cs="宋体"/>
          <w:color w:val="000000"/>
          <w:sz w:val="24"/>
        </w:rPr>
        <w:t>（3）GPU计算节点</w:t>
      </w:r>
    </w:p>
    <w:p w14:paraId="36DA150C">
      <w:pPr>
        <w:numPr>
          <w:ilvl w:val="255"/>
          <w:numId w:val="0"/>
        </w:numPr>
        <w:spacing w:line="360" w:lineRule="auto"/>
        <w:ind w:firstLine="480"/>
        <w:rPr>
          <w:rFonts w:hint="eastAsia" w:ascii="宋体" w:hAnsi="宋体" w:eastAsia="宋体" w:cs="宋体"/>
          <w:color w:val="000000"/>
          <w:sz w:val="24"/>
        </w:rPr>
      </w:pPr>
      <w:r>
        <w:rPr>
          <w:rFonts w:hint="eastAsia" w:ascii="宋体" w:hAnsi="宋体" w:eastAsia="宋体" w:cs="宋体"/>
          <w:color w:val="000000"/>
          <w:sz w:val="24"/>
        </w:rPr>
        <w:t>（4）千兆交换机</w:t>
      </w:r>
    </w:p>
    <w:p w14:paraId="10BB7EA7">
      <w:pPr>
        <w:numPr>
          <w:ilvl w:val="255"/>
          <w:numId w:val="0"/>
        </w:numPr>
        <w:spacing w:line="360" w:lineRule="auto"/>
        <w:ind w:firstLine="480"/>
        <w:rPr>
          <w:rFonts w:hint="eastAsia" w:ascii="宋体" w:hAnsi="宋体" w:eastAsia="宋体" w:cs="宋体"/>
          <w:color w:val="000000"/>
          <w:sz w:val="24"/>
        </w:rPr>
      </w:pPr>
      <w:r>
        <w:rPr>
          <w:rFonts w:hint="eastAsia" w:ascii="宋体" w:hAnsi="宋体" w:eastAsia="宋体" w:cs="宋体"/>
          <w:color w:val="000000"/>
          <w:sz w:val="24"/>
        </w:rPr>
        <w:t>（5）并行文件存储</w:t>
      </w:r>
    </w:p>
    <w:p w14:paraId="7EA0595D">
      <w:pPr>
        <w:numPr>
          <w:ilvl w:val="255"/>
          <w:numId w:val="0"/>
        </w:numPr>
        <w:spacing w:line="360" w:lineRule="auto"/>
        <w:ind w:firstLine="480"/>
        <w:rPr>
          <w:rFonts w:hint="eastAsia" w:ascii="宋体" w:hAnsi="宋体" w:eastAsia="宋体" w:cs="宋体"/>
          <w:color w:val="000000"/>
          <w:sz w:val="24"/>
        </w:rPr>
      </w:pPr>
      <w:r>
        <w:rPr>
          <w:rFonts w:hint="eastAsia" w:ascii="宋体" w:hAnsi="宋体" w:eastAsia="宋体" w:cs="宋体"/>
          <w:color w:val="000000"/>
          <w:sz w:val="24"/>
        </w:rPr>
        <w:t>（6）Web服务器</w:t>
      </w:r>
    </w:p>
    <w:p w14:paraId="2755D319">
      <w:pPr>
        <w:numPr>
          <w:ilvl w:val="255"/>
          <w:numId w:val="0"/>
        </w:numPr>
        <w:spacing w:line="360" w:lineRule="auto"/>
        <w:ind w:firstLine="480"/>
        <w:rPr>
          <w:rFonts w:hint="eastAsia" w:ascii="宋体" w:hAnsi="宋体" w:eastAsia="宋体" w:cs="宋体"/>
          <w:color w:val="000000"/>
          <w:sz w:val="24"/>
        </w:rPr>
      </w:pPr>
      <w:r>
        <w:rPr>
          <w:rFonts w:hint="eastAsia" w:ascii="宋体" w:hAnsi="宋体" w:eastAsia="宋体" w:cs="宋体"/>
          <w:color w:val="000000"/>
          <w:sz w:val="24"/>
        </w:rPr>
        <w:t>（7）便携式高性能工作服务站</w:t>
      </w:r>
    </w:p>
    <w:p w14:paraId="0046D9F6">
      <w:pPr>
        <w:numPr>
          <w:ilvl w:val="255"/>
          <w:numId w:val="0"/>
        </w:numPr>
        <w:spacing w:line="360" w:lineRule="auto"/>
        <w:ind w:firstLine="480"/>
        <w:rPr>
          <w:rFonts w:hint="eastAsia" w:ascii="宋体" w:hAnsi="宋体" w:eastAsia="宋体" w:cs="宋体"/>
          <w:color w:val="000000"/>
          <w:sz w:val="24"/>
        </w:rPr>
      </w:pPr>
      <w:r>
        <w:rPr>
          <w:rFonts w:hint="eastAsia" w:ascii="宋体" w:hAnsi="宋体" w:eastAsia="宋体" w:cs="宋体"/>
          <w:color w:val="000000"/>
          <w:sz w:val="24"/>
        </w:rPr>
        <w:t>（8）行级空调室内机</w:t>
      </w:r>
    </w:p>
    <w:p w14:paraId="40C14058">
      <w:pPr>
        <w:numPr>
          <w:ilvl w:val="255"/>
          <w:numId w:val="0"/>
        </w:numPr>
        <w:spacing w:line="360" w:lineRule="auto"/>
        <w:ind w:firstLine="480"/>
        <w:rPr>
          <w:rFonts w:hint="eastAsia" w:ascii="宋体" w:hAnsi="宋体" w:eastAsia="宋体" w:cs="宋体"/>
          <w:color w:val="000000"/>
          <w:sz w:val="24"/>
        </w:rPr>
      </w:pPr>
      <w:r>
        <w:rPr>
          <w:rFonts w:hint="eastAsia" w:ascii="宋体" w:hAnsi="宋体" w:eastAsia="宋体" w:cs="宋体"/>
          <w:color w:val="000000"/>
          <w:sz w:val="24"/>
        </w:rPr>
        <w:t>4.2、三年原厂质保服务</w:t>
      </w:r>
    </w:p>
    <w:p w14:paraId="651FA8DA">
      <w:pPr>
        <w:numPr>
          <w:ilvl w:val="255"/>
          <w:numId w:val="0"/>
        </w:numPr>
        <w:spacing w:line="360" w:lineRule="auto"/>
        <w:ind w:firstLine="480"/>
        <w:rPr>
          <w:rFonts w:hint="eastAsia" w:ascii="宋体" w:hAnsi="宋体" w:eastAsia="宋体" w:cs="宋体"/>
          <w:color w:val="000000"/>
          <w:sz w:val="24"/>
        </w:rPr>
      </w:pPr>
      <w:r>
        <w:rPr>
          <w:rFonts w:hint="eastAsia" w:ascii="宋体" w:hAnsi="宋体" w:eastAsia="宋体" w:cs="宋体"/>
          <w:color w:val="000000"/>
          <w:sz w:val="24"/>
        </w:rPr>
        <w:t>以下设备自项目最终验收合格之日起，须提供三年的原厂质保服务：</w:t>
      </w:r>
    </w:p>
    <w:p w14:paraId="3D212F0B">
      <w:pPr>
        <w:numPr>
          <w:ilvl w:val="255"/>
          <w:numId w:val="0"/>
        </w:numPr>
        <w:spacing w:line="360" w:lineRule="auto"/>
        <w:ind w:firstLine="480"/>
        <w:rPr>
          <w:rFonts w:hint="eastAsia" w:ascii="宋体" w:hAnsi="宋体" w:eastAsia="宋体" w:cs="宋体"/>
          <w:color w:val="000000"/>
          <w:sz w:val="24"/>
        </w:rPr>
      </w:pPr>
      <w:r>
        <w:rPr>
          <w:rFonts w:hint="eastAsia" w:ascii="宋体" w:hAnsi="宋体" w:eastAsia="宋体" w:cs="宋体"/>
          <w:color w:val="000000"/>
          <w:sz w:val="24"/>
        </w:rPr>
        <w:t>（1）25G交换机</w:t>
      </w:r>
    </w:p>
    <w:p w14:paraId="1C4C19B3">
      <w:pPr>
        <w:numPr>
          <w:ilvl w:val="255"/>
          <w:numId w:val="0"/>
        </w:numPr>
        <w:spacing w:line="360" w:lineRule="auto"/>
        <w:ind w:firstLine="480"/>
        <w:rPr>
          <w:rFonts w:hint="eastAsia" w:ascii="宋体" w:hAnsi="宋体" w:eastAsia="宋体" w:cs="宋体"/>
          <w:color w:val="000000"/>
          <w:sz w:val="24"/>
        </w:rPr>
      </w:pPr>
      <w:r>
        <w:rPr>
          <w:rFonts w:hint="eastAsia" w:ascii="宋体" w:hAnsi="宋体" w:eastAsia="宋体" w:cs="宋体"/>
          <w:color w:val="000000"/>
          <w:sz w:val="24"/>
        </w:rPr>
        <w:t>（2）万兆交换机</w:t>
      </w:r>
    </w:p>
    <w:p w14:paraId="681D675C">
      <w:pPr>
        <w:keepNext/>
        <w:keepLines/>
        <w:widowControl w:val="0"/>
        <w:spacing w:before="240" w:line="360" w:lineRule="auto"/>
        <w:ind w:firstLine="0"/>
        <w:jc w:val="left"/>
        <w:outlineLvl w:val="1"/>
        <w:rPr>
          <w:rFonts w:hint="eastAsia" w:ascii="宋体" w:hAnsi="宋体" w:eastAsia="宋体" w:cs="宋体"/>
          <w:bCs/>
          <w:color w:val="000000"/>
          <w:sz w:val="24"/>
          <w:szCs w:val="32"/>
          <w:lang w:val="en-US" w:eastAsia="zh-CN" w:bidi="ar-SA"/>
        </w:rPr>
      </w:pPr>
      <w:r>
        <w:rPr>
          <w:rFonts w:hint="eastAsia" w:ascii="Arial" w:hAnsi="Arial" w:eastAsia="黑体" w:cs="Times New Roman"/>
          <w:bCs/>
          <w:color w:val="000000"/>
          <w:sz w:val="28"/>
          <w:szCs w:val="32"/>
          <w:lang w:val="en-US" w:eastAsia="zh-CN" w:bidi="ar-SA"/>
        </w:rPr>
        <w:t>五、其他要求</w:t>
      </w:r>
    </w:p>
    <w:p w14:paraId="71A9CC9B">
      <w:pPr>
        <w:spacing w:line="360" w:lineRule="auto"/>
        <w:ind w:firstLine="482"/>
        <w:rPr>
          <w:rFonts w:hint="eastAsia" w:ascii="宋体" w:hAnsi="宋体" w:eastAsia="宋体"/>
          <w:color w:val="000000"/>
          <w:sz w:val="24"/>
        </w:rPr>
      </w:pPr>
      <w:r>
        <w:rPr>
          <w:rFonts w:hint="eastAsia" w:ascii="宋体" w:hAnsi="宋体" w:eastAsia="宋体"/>
          <w:b/>
          <w:bCs/>
          <w:color w:val="000000"/>
          <w:sz w:val="24"/>
        </w:rPr>
        <w:t>1、高性能AI系统集成</w:t>
      </w:r>
    </w:p>
    <w:p w14:paraId="0FA3A7A6">
      <w:pPr>
        <w:spacing w:line="360" w:lineRule="auto"/>
        <w:ind w:firstLine="480"/>
        <w:rPr>
          <w:rFonts w:hint="eastAsia" w:ascii="宋体" w:hAnsi="宋体" w:eastAsia="宋体"/>
          <w:color w:val="000000"/>
          <w:sz w:val="24"/>
        </w:rPr>
      </w:pPr>
      <w:r>
        <w:rPr>
          <w:rFonts w:hint="eastAsia" w:ascii="宋体" w:hAnsi="宋体" w:eastAsia="宋体"/>
          <w:color w:val="000000"/>
          <w:sz w:val="24"/>
        </w:rPr>
        <w:t>（1）提供高性能AI算力集群及机房的配套所需的线材和辅料（包括机房顶部线槽、围板、IDM配套用触摸开关、应急开关、灯带控制器、网点采集器、机柜用PDU、直流电源、线缆线材等），并完成对接、测试、平台使用培训等；</w:t>
      </w:r>
    </w:p>
    <w:p w14:paraId="69C04E97">
      <w:pPr>
        <w:spacing w:line="360" w:lineRule="auto"/>
        <w:ind w:firstLine="480"/>
        <w:rPr>
          <w:rFonts w:hint="eastAsia" w:ascii="宋体" w:hAnsi="宋体" w:eastAsia="宋体"/>
          <w:color w:val="000000"/>
          <w:sz w:val="24"/>
        </w:rPr>
      </w:pPr>
      <w:r>
        <w:rPr>
          <w:rFonts w:hint="eastAsia" w:ascii="宋体" w:hAnsi="宋体" w:eastAsia="宋体"/>
          <w:color w:val="000000"/>
          <w:sz w:val="24"/>
        </w:rPr>
        <w:t>（2）负责集群和机房的整体设计、安装、调测等工序；</w:t>
      </w:r>
    </w:p>
    <w:p w14:paraId="5CA912ED">
      <w:pPr>
        <w:spacing w:line="360" w:lineRule="auto"/>
        <w:ind w:firstLine="480"/>
        <w:rPr>
          <w:rFonts w:hint="eastAsia" w:ascii="宋体" w:hAnsi="宋体" w:eastAsia="宋体"/>
          <w:color w:val="000000"/>
          <w:sz w:val="24"/>
        </w:rPr>
      </w:pPr>
      <w:r>
        <w:rPr>
          <w:rFonts w:hint="eastAsia" w:ascii="宋体" w:hAnsi="宋体" w:eastAsia="宋体"/>
          <w:color w:val="000000"/>
          <w:sz w:val="24"/>
        </w:rPr>
        <w:t>（3）负责算力集群管理平台的安装、培训、维护等相关服务。</w:t>
      </w:r>
    </w:p>
    <w:p w14:paraId="72596694">
      <w:pPr>
        <w:spacing w:line="360" w:lineRule="auto"/>
        <w:ind w:firstLine="482"/>
        <w:rPr>
          <w:rFonts w:hint="eastAsia" w:ascii="宋体" w:hAnsi="宋体" w:eastAsia="宋体"/>
          <w:color w:val="000000"/>
          <w:sz w:val="24"/>
        </w:rPr>
      </w:pPr>
      <w:r>
        <w:rPr>
          <w:rFonts w:hint="eastAsia" w:ascii="宋体" w:hAnsi="宋体" w:eastAsia="宋体"/>
          <w:b/>
          <w:bCs/>
          <w:color w:val="000000"/>
          <w:sz w:val="24"/>
        </w:rPr>
        <w:t>2、视觉系统集成</w:t>
      </w:r>
      <w:r>
        <w:rPr>
          <w:rFonts w:hint="eastAsia" w:ascii="宋体" w:hAnsi="宋体" w:eastAsia="宋体"/>
          <w:color w:val="000000"/>
          <w:sz w:val="24"/>
        </w:rPr>
        <w:tab/>
      </w:r>
    </w:p>
    <w:p w14:paraId="0443F6AF">
      <w:pPr>
        <w:spacing w:line="360" w:lineRule="auto"/>
        <w:ind w:firstLine="480"/>
        <w:rPr>
          <w:rFonts w:hint="eastAsia" w:ascii="宋体" w:hAnsi="宋体" w:eastAsia="宋体"/>
          <w:color w:val="000000"/>
          <w:sz w:val="24"/>
        </w:rPr>
      </w:pPr>
      <w:r>
        <w:rPr>
          <w:rFonts w:hint="eastAsia" w:ascii="宋体" w:hAnsi="宋体" w:eastAsia="宋体"/>
          <w:color w:val="000000"/>
          <w:sz w:val="24"/>
        </w:rPr>
        <w:t>（1）视觉综合平台的安装对接所需的线材和辅料（包括</w:t>
      </w:r>
      <w:r>
        <w:rPr>
          <w:rFonts w:ascii="宋体" w:hAnsi="宋体" w:eastAsia="宋体"/>
          <w:color w:val="000000"/>
          <w:sz w:val="24"/>
        </w:rPr>
        <w:t>6pin/12pin 显卡电源线、千兆 / 万兆工业网线、CXP 数据线、USB3.0 相机线缆、12-Pin P10 高柔 I/O 电源线、3D 相机网线 / 电源线、3D 轮廓仪 IO 线、PE 接地线、各类光源延长线、触发同步控制线；配套屏蔽磁环、防水接头、端子、理线扎带、接地辅材等全套安装耗材，线缆均采用高柔双屏蔽工业线缆</w:t>
      </w:r>
      <w:r>
        <w:rPr>
          <w:rFonts w:hint="eastAsia" w:ascii="宋体" w:hAnsi="宋体" w:eastAsia="宋体"/>
          <w:color w:val="000000"/>
          <w:sz w:val="24"/>
        </w:rPr>
        <w:t>等）；</w:t>
      </w:r>
    </w:p>
    <w:p w14:paraId="7512D837">
      <w:pPr>
        <w:spacing w:line="360" w:lineRule="auto"/>
        <w:ind w:firstLine="480"/>
        <w:rPr>
          <w:rFonts w:hint="eastAsia" w:ascii="宋体" w:hAnsi="宋体" w:eastAsia="宋体"/>
          <w:color w:val="000000"/>
          <w:sz w:val="24"/>
        </w:rPr>
      </w:pPr>
      <w:r>
        <w:rPr>
          <w:rFonts w:hint="eastAsia" w:ascii="宋体" w:hAnsi="宋体" w:eastAsia="宋体"/>
          <w:color w:val="000000"/>
          <w:sz w:val="24"/>
        </w:rPr>
        <w:t>（2）负责视觉实验室规划布局设计、安装等工序；</w:t>
      </w:r>
    </w:p>
    <w:p w14:paraId="3843B1D3">
      <w:pPr>
        <w:spacing w:line="360" w:lineRule="auto"/>
        <w:ind w:firstLine="480"/>
        <w:rPr>
          <w:rFonts w:hint="eastAsia" w:ascii="宋体" w:hAnsi="宋体" w:eastAsia="宋体"/>
          <w:color w:val="000000"/>
          <w:sz w:val="24"/>
        </w:rPr>
      </w:pPr>
      <w:r>
        <w:rPr>
          <w:rFonts w:hint="eastAsia" w:ascii="宋体" w:hAnsi="宋体" w:eastAsia="宋体"/>
          <w:color w:val="000000"/>
          <w:sz w:val="24"/>
        </w:rPr>
        <w:t>（3）负责视觉综合平台的安装、调测、培训、课程设计等。</w:t>
      </w:r>
    </w:p>
    <w:p w14:paraId="3A466CED">
      <w:pPr>
        <w:spacing w:line="360" w:lineRule="auto"/>
        <w:ind w:firstLine="480"/>
        <w:rPr>
          <w:rFonts w:hint="eastAsia" w:ascii="宋体" w:hAnsi="宋体" w:eastAsia="宋体"/>
          <w:color w:val="000000"/>
          <w:sz w:val="24"/>
        </w:rPr>
      </w:pPr>
    </w:p>
    <w:p w14:paraId="3533F30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82016" w:usb3="00000000" w:csb0="00040001" w:csb1="00000000"/>
  </w:font>
  <w:font w:name="方正黑体_GBK">
    <w:altName w:val="微软雅黑"/>
    <w:panose1 w:val="00000000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A7087B"/>
    <w:multiLevelType w:val="multilevel"/>
    <w:tmpl w:val="EFA7087B"/>
    <w:lvl w:ilvl="0" w:tentative="0">
      <w:start w:val="4"/>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5214027C"/>
    <w:multiLevelType w:val="multilevel"/>
    <w:tmpl w:val="5214027C"/>
    <w:lvl w:ilvl="0" w:tentative="0">
      <w:start w:val="3"/>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615BEF"/>
    <w:rsid w:val="4D615B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sz w:val="21"/>
      <w:lang w:val="en-US" w:eastAsia="zh-CN" w:bidi="ar-SA"/>
    </w:rPr>
  </w:style>
  <w:style w:type="paragraph" w:styleId="2">
    <w:name w:val="heading 1"/>
    <w:basedOn w:val="1"/>
    <w:next w:val="1"/>
    <w:qFormat/>
    <w:uiPriority w:val="9"/>
    <w:pPr>
      <w:keepNext/>
      <w:keepLines/>
      <w:spacing w:line="360" w:lineRule="auto"/>
      <w:jc w:val="center"/>
      <w:outlineLvl w:val="0"/>
    </w:pPr>
    <w:rPr>
      <w:rFonts w:ascii="Times New Roman" w:hAnsi="Times New Roman" w:eastAsia="方正小标宋_GBK" w:cs="Times New Roman"/>
      <w:bCs/>
      <w:sz w:val="44"/>
      <w:szCs w:val="44"/>
    </w:rPr>
  </w:style>
  <w:style w:type="paragraph" w:styleId="3">
    <w:name w:val="heading 2"/>
    <w:basedOn w:val="1"/>
    <w:next w:val="1"/>
    <w:qFormat/>
    <w:uiPriority w:val="0"/>
    <w:pPr>
      <w:keepNext/>
      <w:keepLines/>
      <w:spacing w:before="240" w:line="360" w:lineRule="auto"/>
      <w:ind w:firstLine="640"/>
      <w:jc w:val="left"/>
      <w:outlineLvl w:val="1"/>
    </w:pPr>
    <w:rPr>
      <w:rFonts w:ascii="Arial" w:hAnsi="Arial" w:eastAsia="方正黑体_GBK" w:cs="Times New Roman"/>
      <w:bCs/>
      <w:sz w:val="28"/>
      <w:szCs w:val="32"/>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4">
    <w:name w:val="Body Text Indent"/>
    <w:basedOn w:val="1"/>
    <w:unhideWhenUsed/>
    <w:qFormat/>
    <w:uiPriority w:val="99"/>
    <w:pPr>
      <w:ind w:firstLine="645"/>
    </w:pPr>
    <w:rPr>
      <w:rFonts w:ascii="楷体_GB2312" w:eastAsia="楷体_GB2312"/>
      <w:sz w:val="32"/>
    </w:rPr>
  </w:style>
  <w:style w:type="paragraph" w:styleId="5">
    <w:name w:val="header"/>
    <w:basedOn w:val="1"/>
    <w:unhideWhenUsed/>
    <w:qFormat/>
    <w:uiPriority w:val="99"/>
    <w:pPr>
      <w:pBdr>
        <w:bottom w:val="single" w:color="auto" w:sz="6" w:space="1"/>
      </w:pBdr>
      <w:tabs>
        <w:tab w:val="center" w:pos="4153"/>
        <w:tab w:val="right" w:pos="8306"/>
      </w:tabs>
      <w:jc w:val="center"/>
    </w:pPr>
    <w:rPr>
      <w:sz w:val="18"/>
      <w:szCs w:val="18"/>
    </w:rPr>
  </w:style>
  <w:style w:type="paragraph" w:styleId="6">
    <w:name w:val="List"/>
    <w:basedOn w:val="1"/>
    <w:unhideWhenUsed/>
    <w:qFormat/>
    <w:uiPriority w:val="99"/>
    <w:pPr>
      <w:ind w:left="200" w:hanging="200"/>
      <w:contextualSpacing/>
    </w:pPr>
    <w:rPr>
      <w:rFonts w:ascii="Times New Roman" w:hAnsi="Times New Roman" w:eastAsia="宋体" w:cs="Times New Roman"/>
      <w:szCs w:val="24"/>
    </w:rPr>
  </w:style>
  <w:style w:type="paragraph" w:styleId="7">
    <w:name w:val="Body Text First Indent 2"/>
    <w:basedOn w:val="4"/>
    <w:unhideWhenUsed/>
    <w:qFormat/>
    <w:uiPriority w:val="99"/>
    <w:pPr>
      <w:ind w:left="420" w:firstLine="420"/>
    </w:pPr>
    <w:rPr>
      <w:rFonts w:ascii="Times New Roman" w:cs="Times New Roman"/>
    </w:rPr>
  </w:style>
  <w:style w:type="paragraph" w:customStyle="1" w:styleId="10">
    <w:name w:val="D&amp;L"/>
    <w:basedOn w:val="5"/>
    <w:qFormat/>
    <w:uiPriority w:val="0"/>
    <w:pPr>
      <w:pBdr>
        <w:bottom w:val="single" w:color="auto" w:sz="18" w:space="1"/>
      </w:pBdr>
      <w:spacing w:line="240" w:lineRule="atLeast"/>
    </w:pPr>
    <w:rPr>
      <w:sz w:val="24"/>
      <w:szCs w:val="20"/>
    </w:rPr>
  </w:style>
  <w:style w:type="paragraph" w:customStyle="1" w:styleId="11">
    <w:name w:val="xl31"/>
    <w:basedOn w:val="1"/>
    <w:qFormat/>
    <w:uiPriority w:val="0"/>
    <w:pPr>
      <w:widowControl/>
      <w:spacing w:before="100" w:beforeAutospacing="1" w:after="100" w:afterAutospacing="1"/>
      <w:jc w:val="center"/>
    </w:pPr>
    <w:rPr>
      <w:b/>
      <w:bCs/>
      <w:sz w:val="28"/>
      <w:szCs w:val="28"/>
    </w:rPr>
  </w:style>
  <w:style w:type="paragraph" w:customStyle="1" w:styleId="12">
    <w:name w:val="_Style 3"/>
    <w:qFormat/>
    <w:uiPriority w:val="1"/>
    <w:pPr>
      <w:widowControl w:val="0"/>
      <w:jc w:val="both"/>
    </w:pPr>
    <w:rPr>
      <w:rFonts w:ascii="Calibri" w:hAnsi="Calibri"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2026-07-30T10:19:00Z</dcterms:created>
  <dc:creator>xmy</dc:creator>
  <cp:lastModifiedBy>xmy</cp:lastModifiedBy>
  <dcterms:modified xsi:type="dcterms:W3CDTF">2026-07-30T10:19:36Z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DB2E59965C384A6695977FA9E2E1FB4C_11</vt:lpwstr>
  </property>
  <property fmtid="{D5CDD505-2E9C-101B-9397-08002B2CF9AE}" pid="4" name="KSOTemplateDocerSaveRecord">
    <vt:lpwstr>eyJoZGlkIjoiODI4Zjg3YzFiNTE4NmNhMjU4NTEyZjI0N2ViMDE0ZmIiLCJ1c2VySWQiOiIzMjQ4MTEwODkifQ==</vt:lpwstr>
  </property>
</Properties>
</file>