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B7C7">
      <w:pPr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  <w:lang w:val="en-US" w:eastAsia="zh-CN"/>
        </w:rPr>
        <w:t xml:space="preserve">第三章  </w:t>
      </w:r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24DA2E7E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17C73B9D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2B78BE4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</w:p>
    <w:p w14:paraId="5F4886D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4822A91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74F7F8D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3.如采购人允许采用分包方式履行合同的，应当明确可以分包履行的相关内容（本项目不允许分包）。</w:t>
      </w:r>
    </w:p>
    <w:p w14:paraId="165C913B">
      <w:pPr>
        <w:adjustRightInd w:val="0"/>
        <w:snapToGrid w:val="0"/>
        <w:spacing w:line="360" w:lineRule="auto"/>
        <w:ind w:firstLine="437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bookmarkStart w:id="0" w:name="_Toc173275127"/>
      <w:bookmarkStart w:id="1" w:name="_Toc4148"/>
      <w:bookmarkStart w:id="2" w:name="_Toc21798"/>
      <w:bookmarkStart w:id="3" w:name="_Hlk23621890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0"/>
      <w:bookmarkEnd w:id="1"/>
      <w:bookmarkEnd w:id="2"/>
    </w:p>
    <w:tbl>
      <w:tblPr>
        <w:tblStyle w:val="3"/>
        <w:tblW w:w="55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792"/>
        <w:gridCol w:w="6601"/>
      </w:tblGrid>
      <w:tr w14:paraId="73E9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34" w:type="pct"/>
            <w:noWrap w:val="0"/>
            <w:vAlign w:val="center"/>
          </w:tcPr>
          <w:p w14:paraId="22D54A2C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b/>
                <w:bCs w:val="0"/>
                <w:color w:val="auto"/>
                <w:kern w:val="2"/>
                <w:highlight w:val="none"/>
                <w:lang w:val="en-US" w:eastAsia="zh-CN"/>
              </w:rPr>
              <w:t>序号</w:t>
            </w:r>
          </w:p>
        </w:tc>
        <w:tc>
          <w:tcPr>
            <w:tcW w:w="953" w:type="pct"/>
            <w:noWrap w:val="0"/>
            <w:vAlign w:val="center"/>
          </w:tcPr>
          <w:p w14:paraId="709C13A7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511" w:type="pct"/>
            <w:noWrap w:val="0"/>
            <w:vAlign w:val="center"/>
          </w:tcPr>
          <w:p w14:paraId="2DCBF02C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66F5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34" w:type="pct"/>
            <w:noWrap w:val="0"/>
            <w:vAlign w:val="center"/>
          </w:tcPr>
          <w:p w14:paraId="6B0A9F1F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  <w:t>1</w:t>
            </w:r>
          </w:p>
        </w:tc>
        <w:tc>
          <w:tcPr>
            <w:tcW w:w="1792" w:type="dxa"/>
            <w:noWrap w:val="0"/>
            <w:vAlign w:val="center"/>
          </w:tcPr>
          <w:p w14:paraId="3D7931AE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6601" w:type="dxa"/>
            <w:noWrap w:val="0"/>
            <w:vAlign w:val="center"/>
          </w:tcPr>
          <w:p w14:paraId="38256A52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合同生效后，支付合同价款的50%作为项目预付款；项目验收合格并经结算审核后，一次性支付结算审核价款的100%。</w:t>
            </w:r>
          </w:p>
          <w:p w14:paraId="71C3A5D9">
            <w:pPr>
              <w:pStyle w:val="6"/>
              <w:adjustRightInd w:val="0"/>
              <w:snapToGrid w:val="0"/>
              <w:spacing w:line="300" w:lineRule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注：</w:t>
            </w:r>
          </w:p>
          <w:p w14:paraId="2E67DA61">
            <w:pPr>
              <w:pStyle w:val="6"/>
              <w:adjustRightInd w:val="0"/>
              <w:snapToGrid w:val="0"/>
              <w:spacing w:line="300" w:lineRule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（1）本项目要求中标人提供预付款保函或其他担保措施。</w:t>
            </w:r>
          </w:p>
          <w:p w14:paraId="772BAEAC">
            <w:pPr>
              <w:pStyle w:val="6"/>
              <w:adjustRightInd w:val="0"/>
              <w:snapToGrid w:val="0"/>
              <w:spacing w:line="300" w:lineRule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）预付款保函形式：银行保函、担保机构担保。</w:t>
            </w:r>
          </w:p>
          <w:p w14:paraId="5A9B2106">
            <w:pPr>
              <w:pStyle w:val="6"/>
              <w:adjustRightInd w:val="0"/>
              <w:snapToGrid w:val="0"/>
              <w:spacing w:line="300" w:lineRule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）预付款保函递交要求：①如采用银行保函，银行保函应为银行出具的见索即付无条件保函。且应将原件交至采购人保管。②如采用担保机构担保，应为经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政府部门或主管部门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备案的融资担保机构出具的见索即付无条件担保，且应将原件交至采购人保管。</w:t>
            </w:r>
          </w:p>
          <w:p w14:paraId="5FADAD5F">
            <w:pPr>
              <w:pStyle w:val="6"/>
              <w:adjustRightInd w:val="0"/>
              <w:snapToGrid w:val="0"/>
              <w:spacing w:line="300" w:lineRule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）在签订合同时，中标人书面明确表示无需预付款或者主动要求降低预付款比例的，采购人可降低预付款支付比例或不支付预付款。</w:t>
            </w:r>
          </w:p>
        </w:tc>
      </w:tr>
      <w:tr w14:paraId="4833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34" w:type="pct"/>
            <w:noWrap w:val="0"/>
            <w:vAlign w:val="center"/>
          </w:tcPr>
          <w:p w14:paraId="7165060A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  <w:t>2</w:t>
            </w:r>
          </w:p>
        </w:tc>
        <w:tc>
          <w:tcPr>
            <w:tcW w:w="953" w:type="pct"/>
            <w:noWrap w:val="0"/>
            <w:vAlign w:val="center"/>
          </w:tcPr>
          <w:p w14:paraId="2FEE0ED0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3511" w:type="pct"/>
            <w:noWrap w:val="0"/>
            <w:vAlign w:val="center"/>
          </w:tcPr>
          <w:p w14:paraId="6B7E5795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  <w:t>安徽博物院，具体按采购人指定。</w:t>
            </w:r>
          </w:p>
        </w:tc>
      </w:tr>
      <w:tr w14:paraId="0531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34" w:type="pct"/>
            <w:noWrap w:val="0"/>
            <w:vAlign w:val="center"/>
          </w:tcPr>
          <w:p w14:paraId="3C30D894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  <w:t>3</w:t>
            </w:r>
          </w:p>
        </w:tc>
        <w:tc>
          <w:tcPr>
            <w:tcW w:w="953" w:type="pct"/>
            <w:noWrap w:val="0"/>
            <w:vAlign w:val="center"/>
          </w:tcPr>
          <w:p w14:paraId="4E7257E7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3511" w:type="pct"/>
            <w:noWrap w:val="0"/>
            <w:vAlign w:val="center"/>
          </w:tcPr>
          <w:p w14:paraId="31462D60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  <w:t>自合同生效之日起至安徽博物院2025年年度展览外借文物归还结束，并经采购人验收合格为止。</w:t>
            </w:r>
          </w:p>
        </w:tc>
      </w:tr>
      <w:tr w14:paraId="1A4A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34" w:type="pct"/>
            <w:noWrap w:val="0"/>
            <w:vAlign w:val="center"/>
          </w:tcPr>
          <w:p w14:paraId="08F16A25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  <w:t>4</w:t>
            </w:r>
          </w:p>
        </w:tc>
        <w:tc>
          <w:tcPr>
            <w:tcW w:w="953" w:type="pct"/>
            <w:noWrap w:val="0"/>
            <w:vAlign w:val="center"/>
          </w:tcPr>
          <w:p w14:paraId="23FCAF5D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3511" w:type="pct"/>
            <w:noWrap w:val="0"/>
            <w:vAlign w:val="center"/>
          </w:tcPr>
          <w:p w14:paraId="361FE12A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标的名称：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安徽博物院2025年年度展览运输服务项目（1标段）</w:t>
            </w:r>
          </w:p>
          <w:p w14:paraId="23198935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所属行业：交通运输业</w:t>
            </w:r>
          </w:p>
        </w:tc>
      </w:tr>
    </w:tbl>
    <w:p w14:paraId="07A03C5F">
      <w:pPr>
        <w:adjustRightInd w:val="0"/>
        <w:snapToGrid w:val="0"/>
        <w:spacing w:line="360" w:lineRule="auto"/>
        <w:ind w:left="437"/>
        <w:outlineLvl w:val="1"/>
        <w:rPr>
          <w:rFonts w:ascii="宋体" w:hAnsi="宋体" w:eastAsia="宋体"/>
          <w:b/>
          <w:color w:val="auto"/>
          <w:szCs w:val="21"/>
          <w:highlight w:val="none"/>
        </w:rPr>
      </w:pPr>
      <w:bookmarkStart w:id="4" w:name="_Toc8753"/>
      <w:bookmarkStart w:id="5" w:name="_Toc16543"/>
      <w:bookmarkStart w:id="6" w:name="_Toc173275128"/>
      <w:bookmarkStart w:id="7" w:name="_Hlk16461016"/>
      <w:r>
        <w:rPr>
          <w:rFonts w:hint="eastAsia" w:ascii="宋体" w:hAnsi="宋体" w:eastAsia="宋体"/>
          <w:b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/>
          <w:b/>
          <w:color w:val="auto"/>
          <w:szCs w:val="21"/>
          <w:highlight w:val="none"/>
        </w:rPr>
        <w:t>二、</w:t>
      </w:r>
      <w:bookmarkEnd w:id="4"/>
      <w:bookmarkEnd w:id="5"/>
      <w:bookmarkEnd w:id="6"/>
      <w:r>
        <w:rPr>
          <w:rFonts w:hint="eastAsia" w:ascii="宋体" w:hAnsi="宋体" w:eastAsia="宋体"/>
          <w:b/>
          <w:color w:val="auto"/>
          <w:szCs w:val="21"/>
          <w:highlight w:val="none"/>
        </w:rPr>
        <w:t>项目概况</w:t>
      </w:r>
    </w:p>
    <w:bookmarkEnd w:id="3"/>
    <w:bookmarkEnd w:id="7"/>
    <w:p w14:paraId="12D41E4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本项目为安徽博物院2025年年度展览运输服务项目（1标段）。为规范运输流程，确保文物安全，现拟采购一家文物运输公司针对安徽博物院2025年年度展览运输服务项目（1标段）进行合作。</w:t>
      </w:r>
    </w:p>
    <w:p w14:paraId="1B8498E5">
      <w:pPr>
        <w:adjustRightInd w:val="0"/>
        <w:snapToGrid w:val="0"/>
        <w:spacing w:line="360" w:lineRule="auto"/>
        <w:ind w:left="437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三、服务范围及要求</w:t>
      </w:r>
    </w:p>
    <w:p w14:paraId="40888E90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（一）服务内容</w:t>
      </w:r>
    </w:p>
    <w:p w14:paraId="091415C0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1、“合中西于一冶——潘玉良的艺术世界”文物运输、布展</w:t>
      </w:r>
    </w:p>
    <w:p w14:paraId="788D2D4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本展览约80件套展品，以绘画作品为主，文物尺寸详见清单（附件1）。要求中标人负责所有展品的运输及布展工作。</w:t>
      </w:r>
    </w:p>
    <w:p w14:paraId="3AF1BBC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（1）展览时间：</w:t>
      </w:r>
      <w:r>
        <w:rPr>
          <w:rFonts w:hint="eastAsia" w:ascii="宋体" w:hAnsi="宋体" w:eastAsia="宋体"/>
          <w:color w:val="auto"/>
          <w:szCs w:val="21"/>
          <w:highlight w:val="none"/>
        </w:rPr>
        <w:t>202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（暂定）</w:t>
      </w:r>
    </w:p>
    <w:p w14:paraId="41B813F1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（2）运输地点要求：合肥市内（蜀山馆、庐阳馆库房至庐阳馆展厅）。</w:t>
      </w:r>
    </w:p>
    <w:p w14:paraId="14DB37B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起运地：安徽博物院（安徽省文物鉴定站）蜀山馆、庐阳馆</w:t>
      </w:r>
    </w:p>
    <w:p w14:paraId="21034B9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展览地点：安徽博物院（安徽省文物鉴定站）庐阳馆</w:t>
      </w:r>
    </w:p>
    <w:p w14:paraId="52E5C5A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（3）保险要求：无</w:t>
      </w:r>
    </w:p>
    <w:p w14:paraId="34310E9F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</w:p>
    <w:p w14:paraId="3E70EF6A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2、“大美黄山——黄山古今绘画特展”文物运输、保险、布撤展</w:t>
      </w:r>
    </w:p>
    <w:p w14:paraId="59383EA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本展览约102件套展品，以绘画作品为主，文物尺寸详见清单（附件2）。要求中标人负责所有展品的运输、保险及布撤展工作。</w:t>
      </w:r>
    </w:p>
    <w:p w14:paraId="5B9E24D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（1）展览时间：2025年3月18日-2025年5月18日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暂定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）</w:t>
      </w:r>
    </w:p>
    <w:p w14:paraId="2821B9D1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（2）运输地点要求：往返一次。</w:t>
      </w:r>
    </w:p>
    <w:p w14:paraId="2EB5A0C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起运地：安徽博物院（安徽省文物鉴定站）、中国美术馆。</w:t>
      </w:r>
    </w:p>
    <w:p w14:paraId="45D1406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展览地点：安徽博物院（安徽省文物鉴定站）蜀山馆</w:t>
      </w:r>
    </w:p>
    <w:p w14:paraId="37A5954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回运地：安徽博物院（安徽省文物鉴定站）、中国美术馆。</w:t>
      </w:r>
    </w:p>
    <w:p w14:paraId="4E423D6D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保险要求：需购买不低于5000万元人民币保额的“钉到钉”艺术品运输及展览保险。</w:t>
      </w:r>
    </w:p>
    <w:p w14:paraId="0F053B8B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中标人需承担中国美术馆部分画作不高于2万元的装框费用。</w:t>
      </w:r>
    </w:p>
    <w:p w14:paraId="6787824B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</w:p>
    <w:p w14:paraId="3D3E942E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3、“天津博物馆藏甲骨特展”文物运输、保险、布撤展</w:t>
      </w:r>
    </w:p>
    <w:p w14:paraId="36DBE9B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本展览约144件套展品，多数为天津博物馆、安徽博物院收藏，文物尺寸详见清单（附件3）。要求中标人负责所有展品的运输、保险及布撤展工作。</w:t>
      </w:r>
    </w:p>
    <w:p w14:paraId="7725267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（1）展览时间：</w:t>
      </w:r>
      <w:r>
        <w:rPr>
          <w:rFonts w:hint="eastAsia" w:ascii="宋体" w:hAnsi="宋体" w:eastAsia="宋体"/>
          <w:color w:val="auto"/>
          <w:szCs w:val="21"/>
          <w:highlight w:val="none"/>
        </w:rPr>
        <w:t>202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/>
          <w:color w:val="auto"/>
          <w:szCs w:val="21"/>
          <w:highlight w:val="none"/>
        </w:rPr>
        <w:t>日至202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  <w:highlight w:val="none"/>
        </w:rPr>
        <w:t>年8月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暂定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）</w:t>
      </w:r>
    </w:p>
    <w:p w14:paraId="762A4BC3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（2）运输地点要求：往返一次。</w:t>
      </w:r>
    </w:p>
    <w:p w14:paraId="22745776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起运地：合肥市内、天津博物馆、殷墟博物馆</w:t>
      </w:r>
    </w:p>
    <w:p w14:paraId="6BD34AE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展览地点：安徽博物院（安徽省文物鉴定站）庐阳馆</w:t>
      </w:r>
    </w:p>
    <w:p w14:paraId="0893D75F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回运地：合肥市内、天津博物馆、殷墟博物馆</w:t>
      </w:r>
    </w:p>
    <w:p w14:paraId="6E46D72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（3）保险要求：需购买不低于3000万元人民币保额的“钉到钉”艺术品运输及展览保险。</w:t>
      </w:r>
    </w:p>
    <w:p w14:paraId="21151352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</w:p>
    <w:p w14:paraId="46EBDA44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4、“大漆——长三角漆器艺术与文化特展”文物运输、保险、布撤展</w:t>
      </w:r>
    </w:p>
    <w:p w14:paraId="25C4937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本展览约320件套展品，以漆器为主，文物尺寸详见清单（附件3）。要求中标人负责所有展品的运输、保险及布撤展工作。</w:t>
      </w:r>
    </w:p>
    <w:p w14:paraId="2FB7CDC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（1）展览时间：</w:t>
      </w:r>
      <w:r>
        <w:rPr>
          <w:rFonts w:hint="eastAsia" w:ascii="宋体" w:hAnsi="宋体" w:eastAsia="宋体"/>
          <w:color w:val="auto"/>
          <w:szCs w:val="21"/>
          <w:highlight w:val="none"/>
        </w:rPr>
        <w:t>202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/>
          <w:color w:val="auto"/>
          <w:szCs w:val="21"/>
          <w:highlight w:val="none"/>
        </w:rPr>
        <w:t>日至 202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Cs w:val="21"/>
          <w:highlight w:val="none"/>
        </w:rPr>
        <w:t xml:space="preserve"> 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暂定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）</w:t>
      </w:r>
    </w:p>
    <w:p w14:paraId="4C2CAE8B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（2）运输地点要求：往返一次。</w:t>
      </w:r>
    </w:p>
    <w:p w14:paraId="1ADE757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起运地：安徽博物院（安徽省文物鉴定站）、上海博物馆、浙江省博物馆、南京博物院、扬州市博物馆、苏州博物馆、徐州市博物馆、泰州市博物馆、温州市博物馆、宁波博物院、安徽省文物考古研究所、天长市博物馆、安徽楚文化博物馆（寿县博物馆）、巢湖市博物馆、合肥市文物保护中心、淮北市博物馆、马鞍山三国朱然家族墓地博物馆、桐城市博物馆、芜湖市博物馆、安徽师范大学博物馆、安徽中国徽州文化博物馆、宣城市博物馆、屯溪区博物馆、黄山区博物馆。</w:t>
      </w:r>
    </w:p>
    <w:p w14:paraId="27CCA80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展览地点：安徽博物院（安徽省文物鉴定站）蜀山馆</w:t>
      </w:r>
    </w:p>
    <w:p w14:paraId="68F052F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回运地：安徽博物院（安徽省文物鉴定站）、上海博物馆、浙江省博物馆、南京博物院、扬州市博物馆、苏州博物馆、徐州市博物馆、泰州市博物馆、温州市博物馆、宁波博物院、安徽省文物考古研究所、天长市博物馆、安徽楚文化博物馆（寿县博物馆）、巢湖市博物馆、合肥市文物保护中心、淮北市博物馆、马鞍山三国朱然家族墓地博物馆、桐城市博物馆、芜湖市博物馆、安徽师范大学博物馆、安徽中国徽州文化博物馆、宣城市博物馆、屯溪区博物馆、黄山区博物馆。</w:t>
      </w:r>
    </w:p>
    <w:p w14:paraId="38E8B2C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（3）保险要求：需购买不低于9000万元人民币保额的“钉到钉”艺术品运输及展览保险。</w:t>
      </w:r>
    </w:p>
    <w:p w14:paraId="340BDAF7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</w:p>
    <w:p w14:paraId="635AF092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5、省内巡展文物运输、保险、布撤展（一）</w:t>
      </w:r>
    </w:p>
    <w:p w14:paraId="7F4B94C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本展览不超过100件套展品，文物清单未定。要求中标人负责所有展品的运输、保险及布撤展工作。</w:t>
      </w:r>
    </w:p>
    <w:p w14:paraId="330D49C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（1）展览时间：2025年内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未定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）</w:t>
      </w:r>
    </w:p>
    <w:p w14:paraId="60B6FF21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（2）运输地点要求：往返一次。</w:t>
      </w:r>
    </w:p>
    <w:p w14:paraId="535F41E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起运地：安徽博物院（安徽省文物鉴定站）</w:t>
      </w:r>
    </w:p>
    <w:p w14:paraId="421F1700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展览地点：省内某地市博物馆（未定）</w:t>
      </w:r>
    </w:p>
    <w:p w14:paraId="329A56D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回运地：安徽博物院（安徽省文物鉴定站）</w:t>
      </w:r>
    </w:p>
    <w:p w14:paraId="3E5BC6EB">
      <w:pPr>
        <w:numPr>
          <w:ilvl w:val="0"/>
          <w:numId w:val="2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保险要求：无</w:t>
      </w:r>
    </w:p>
    <w:p w14:paraId="5BEB5E11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</w:p>
    <w:p w14:paraId="673E3C73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6、省内巡展文物运输、保险、布撤展（二）</w:t>
      </w:r>
    </w:p>
    <w:p w14:paraId="6AF03FF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本展览不超过100件套展品，文物清单未定。要求中标人负责所有展品的运输、保险及布撤展工作。</w:t>
      </w:r>
    </w:p>
    <w:p w14:paraId="024AA33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（1）展览时间：2025年内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未定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）</w:t>
      </w:r>
    </w:p>
    <w:p w14:paraId="3B98C347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（2）运输地点要求：往返一次。</w:t>
      </w:r>
    </w:p>
    <w:p w14:paraId="614983C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起运地：安徽博物院（安徽省文物鉴定站）</w:t>
      </w:r>
    </w:p>
    <w:p w14:paraId="0B634727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展览地点：省内某地市博物馆（未定）</w:t>
      </w:r>
    </w:p>
    <w:p w14:paraId="76BAFDF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回运地：安徽博物院（安徽省文物鉴定站）</w:t>
      </w:r>
    </w:p>
    <w:p w14:paraId="0A311A5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（3）保险要求：无</w:t>
      </w:r>
    </w:p>
    <w:p w14:paraId="77ABD47D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</w:rPr>
      </w:pPr>
    </w:p>
    <w:p w14:paraId="22722B44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（二）服务要求</w:t>
      </w:r>
    </w:p>
    <w:p w14:paraId="1657249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（1）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须安排不少于8名经验丰富的项目人员，负责包装、运输、拆包装、布展、撤展、归还等全过程操作。团队成员须具备操作国内博物馆展览项目及展品的经验，且应具备操作青铜、陶瓷器及相关特殊材质文物的经验。</w:t>
      </w:r>
    </w:p>
    <w:p w14:paraId="23DCCB6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（2）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须具有专业从事文物包装、运输、布展、撤展等服务工作经验。</w:t>
      </w:r>
    </w:p>
    <w:p w14:paraId="3DBE3A3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（3）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须具备道路运输经营资质以及丰富的专业文物运输经验，并配备文物珍品运输车，车辆必须具备温控、避震、车内消防设备、GPS定位及防盗、自带升降尾板等装置及功能。</w:t>
      </w:r>
    </w:p>
    <w:p w14:paraId="6470D02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（4）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中标人中标</w:t>
      </w:r>
      <w:r>
        <w:rPr>
          <w:rFonts w:hint="eastAsia" w:ascii="宋体" w:hAnsi="宋体" w:eastAsia="宋体"/>
          <w:color w:val="auto"/>
          <w:szCs w:val="21"/>
          <w:highlight w:val="none"/>
        </w:rPr>
        <w:t>后不得转包和违法分包，一经发现存在转包和违法分包的行为，采购人有权解除合同并追究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</w:t>
      </w:r>
      <w:r>
        <w:rPr>
          <w:rFonts w:hint="eastAsia" w:ascii="宋体" w:hAnsi="宋体" w:eastAsia="宋体"/>
          <w:color w:val="auto"/>
          <w:szCs w:val="21"/>
          <w:highlight w:val="none"/>
        </w:rPr>
        <w:t>供应商的相关责任。运输过程中不准更换车辆，如确需换须及时向采购人报备。</w:t>
      </w:r>
    </w:p>
    <w:p w14:paraId="3E870B5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（5）本项目内外包装箱及包装材料由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提供，该部分费用包含在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的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投标报价</w:t>
      </w:r>
      <w:r>
        <w:rPr>
          <w:rFonts w:hint="eastAsia" w:ascii="宋体" w:hAnsi="宋体" w:eastAsia="宋体"/>
          <w:color w:val="auto"/>
          <w:szCs w:val="21"/>
          <w:highlight w:val="none"/>
        </w:rPr>
        <w:t>中。包装材料及包装箱制作须符合《文物运输包装规范》（GB/T 23862-2024）的要求及环保要求，整体采用环保复合板不低于E1标准。根据文物的特点，能够达到保护文物、适合长途运输且内外包装美观大方的作用和效果。</w:t>
      </w:r>
    </w:p>
    <w:p w14:paraId="6BFCECE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（6）需采用全程公路运输方式，避免夜间行车和疲劳驾驶。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需自行联系并落实文物车过夜场地（场地为当地博物馆，必须是封闭式场地，并配备夜间安全监控）。</w:t>
      </w:r>
    </w:p>
    <w:p w14:paraId="437443B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（7）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必须按采购人规定的时间和地点，将展品运抵目的地，具体时间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参考采购内容</w:t>
      </w:r>
      <w:r>
        <w:rPr>
          <w:rFonts w:hint="eastAsia" w:ascii="宋体" w:hAnsi="宋体" w:eastAsia="宋体"/>
          <w:color w:val="auto"/>
          <w:szCs w:val="21"/>
          <w:highlight w:val="none"/>
        </w:rPr>
        <w:t>。若在途中发生故障等影响准时到达的情况，应自行采取有效措施解决，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应及时了解道路路况信息，若遇高速公路封路、堵车等不可抗拒的特殊情况，应及时向采购人报告，想办法在确保安全的前提下，尽快到达采购人指定目的地。根据文物安全管理的相关规定，文物运输除出发地与目的地以外，禁止停靠超过12小时。</w:t>
      </w:r>
    </w:p>
    <w:p w14:paraId="0A9CB0D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（8）运输服务项目无指定方案，采购人只对部分具体事项提出要求，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应根据采购人上述要求制定详细、安全可靠、科学合理、实用的实施方案。</w:t>
      </w:r>
    </w:p>
    <w:p w14:paraId="19FFDD9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（9）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/>
          <w:color w:val="auto"/>
          <w:szCs w:val="21"/>
          <w:highlight w:val="none"/>
        </w:rPr>
        <w:t>须代为购买借展文物展品从点交包装开始到归还完成的“钉到钉”商业保险（全额、全险种、无免赔），包含运输过程、展出期间（不少于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/>
          <w:color w:val="auto"/>
          <w:szCs w:val="21"/>
          <w:highlight w:val="none"/>
        </w:rPr>
        <w:t>个月）、展品暂存期间整个过程。</w:t>
      </w:r>
    </w:p>
    <w:p w14:paraId="5928AEB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（10）赔偿责任：在运输过程中，出现以下两种情况，双方应先通过友好协商解决，若协商不能解决的，应提交合肥市蜀山区人民法院诉讼解决：一是运输公司自文物点交接手后至点交移交前承担文物的安全责任，在此过程中出现文物损坏；二是因非不可抗拒的原因，造成运输时间的延误。</w:t>
      </w:r>
    </w:p>
    <w:p w14:paraId="41CB3894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本项目评标方法和标准中“承保公司业绩”评分项不限定为同一家保险公司的业绩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中标后由采购人在中标人投标文件中提供的“承保公司业绩”中选择一家保险公司为本项目投保。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本项目实施过程中拟投保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的保险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公司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须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为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同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1家保险公司。</w:t>
      </w:r>
    </w:p>
    <w:p w14:paraId="2BDC0B60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）验收方式</w:t>
      </w:r>
    </w:p>
    <w:p w14:paraId="05389341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安徽博物院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成立验收小组，针对项目内容逐项验收，并出具验收报告。</w:t>
      </w:r>
    </w:p>
    <w:p w14:paraId="5D13650D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）项目展品清单：</w:t>
      </w:r>
    </w:p>
    <w:p w14:paraId="15427A4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  <w:t>（1）“合中西于一冶——潘玉良的艺术世界”展品清单（见附件1）。</w:t>
      </w:r>
    </w:p>
    <w:p w14:paraId="05D3FAE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  <w:t>（2）“大美黄山——黄山古今绘画特展”展品清单（见附件2）。</w:t>
      </w:r>
    </w:p>
    <w:p w14:paraId="0545BFF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  <w:t>“天津博物馆藏甲骨特展”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  <w:t>展品清单（见附件3）</w:t>
      </w:r>
    </w:p>
    <w:p w14:paraId="4A0849D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  <w:t>）“大漆——长三角漆器艺术与文化特展”展品清单（见附件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  <w:t>）</w:t>
      </w:r>
    </w:p>
    <w:p w14:paraId="5A05C2F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</w:rPr>
        <w:t>）“省内巡展（一）”、“省内巡展（二）”展品清单未定。</w:t>
      </w:r>
    </w:p>
    <w:p w14:paraId="2F3C6F29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注：上述清单仅供参考，具体以实际展品为准，实际产品数量或品目如有变化或增加由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自行考虑在总报价内，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eastAsia="zh-CN"/>
        </w:rPr>
        <w:t>中标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后合同金额不予调整。</w:t>
      </w:r>
    </w:p>
    <w:p w14:paraId="69C7012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</w:rPr>
      </w:pPr>
    </w:p>
    <w:p w14:paraId="697AF339">
      <w:pPr>
        <w:adjustRightInd w:val="0"/>
        <w:snapToGrid w:val="0"/>
        <w:spacing w:line="360" w:lineRule="auto"/>
        <w:ind w:left="437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/>
          <w:b/>
          <w:color w:val="auto"/>
          <w:szCs w:val="21"/>
          <w:highlight w:val="none"/>
        </w:rPr>
        <w:t>、报价要求</w:t>
      </w:r>
    </w:p>
    <w:p w14:paraId="2A62A067"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人</w:t>
      </w:r>
      <w:r>
        <w:rPr>
          <w:rFonts w:hint="eastAsia" w:ascii="宋体" w:hAnsi="宋体" w:eastAsia="宋体"/>
          <w:color w:val="auto"/>
          <w:szCs w:val="21"/>
          <w:highlight w:val="none"/>
        </w:rPr>
        <w:t>的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投标报价</w:t>
      </w:r>
      <w:r>
        <w:rPr>
          <w:rFonts w:hint="eastAsia" w:ascii="宋体" w:hAnsi="宋体" w:eastAsia="宋体"/>
          <w:color w:val="auto"/>
          <w:szCs w:val="21"/>
          <w:highlight w:val="none"/>
        </w:rPr>
        <w:t>应为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人</w:t>
      </w:r>
      <w:r>
        <w:rPr>
          <w:rFonts w:hint="eastAsia" w:ascii="宋体" w:hAnsi="宋体" w:eastAsia="宋体"/>
          <w:color w:val="auto"/>
          <w:szCs w:val="21"/>
          <w:highlight w:val="none"/>
        </w:rPr>
        <w:t>完成本项目全部内容的完整报价，包括但不限于运输费、包装费、人工费、税金和保险等所有费用。因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人</w:t>
      </w:r>
      <w:r>
        <w:rPr>
          <w:rFonts w:hint="eastAsia" w:ascii="宋体" w:hAnsi="宋体" w:eastAsia="宋体"/>
          <w:color w:val="auto"/>
          <w:szCs w:val="21"/>
          <w:highlight w:val="none"/>
        </w:rPr>
        <w:t>自身原因造成漏报、少报皆由其自行承担责任。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eastAsia="zh-CN"/>
        </w:rPr>
        <w:t>中标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价为包干价，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eastAsia="zh-CN"/>
        </w:rPr>
        <w:t>人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测算后确定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eastAsia="zh-CN"/>
        </w:rPr>
        <w:t>投标报价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，采购人不再追加任何费用，请投标人谨慎报价。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5C660"/>
    <w:multiLevelType w:val="singleLevel"/>
    <w:tmpl w:val="8ED5C660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C5391D80"/>
    <w:multiLevelType w:val="singleLevel"/>
    <w:tmpl w:val="C5391D8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D3272"/>
    <w:rsid w:val="2A9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customStyle="1" w:styleId="5">
    <w:name w:val="D&amp;L"/>
    <w:basedOn w:val="2"/>
    <w:qFormat/>
    <w:uiPriority w:val="0"/>
    <w:pPr>
      <w:pBdr>
        <w:bottom w:val="none" w:color="auto" w:sz="0" w:space="0"/>
      </w:pBdr>
      <w:adjustRightInd w:val="0"/>
      <w:spacing w:line="300" w:lineRule="auto"/>
    </w:pPr>
    <w:rPr>
      <w:rFonts w:ascii="宋体" w:hAnsi="宋体" w:eastAsia="宋体"/>
      <w:bCs/>
      <w:sz w:val="21"/>
      <w:szCs w:val="21"/>
    </w:rPr>
  </w:style>
  <w:style w:type="paragraph" w:customStyle="1" w:styleId="6">
    <w:name w:val="xl31"/>
    <w:basedOn w:val="1"/>
    <w:qFormat/>
    <w:uiPriority w:val="0"/>
    <w:pPr>
      <w:spacing w:line="360" w:lineRule="auto"/>
    </w:pPr>
    <w:rPr>
      <w:rFonts w:ascii="宋体" w:hAnsi="宋体" w:eastAsia="宋体"/>
      <w:bCs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2025-02-18T11:16:00Z</dcterms:created>
  <dc:creator>初审-李真</dc:creator>
  <cp:lastModifiedBy>初审-李真</cp:lastModifiedBy>
  <dcterms:modified xsi:type="dcterms:W3CDTF">2025-02-18T11:16:29Z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925291FE308A46C1A6AAEF945F9E63F7_11</vt:lpwstr>
  </property>
  <property fmtid="{D5CDD505-2E9C-101B-9397-08002B2CF9AE}" pid="4" name="KSOTemplateDocerSaveRecord">
    <vt:lpwstr>eyJoZGlkIjoiNjA3NGE3NTExNDc2ZGM0YWE4MThmNDY0MGZhYTI3NzgiLCJ1c2VySWQiOiIzMjQ4MTEwODkifQ==</vt:lpwstr>
  </property>
</Properties>
</file>