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9B277">
      <w:pPr>
        <w:pStyle w:val="2"/>
        <w:rPr>
          <w:rFonts w:hint="eastAsia" w:ascii="方正小标宋_GBK" w:hAnsi="方正小标宋_GBK" w:cs="方正小标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cs="方正小标宋_GBK"/>
          <w:color w:val="000000" w:themeColor="text1"/>
          <w14:textFill>
            <w14:solidFill>
              <w14:schemeClr w14:val="tx1"/>
            </w14:solidFill>
          </w14:textFill>
        </w:rPr>
        <w:t>采购需求</w:t>
      </w:r>
    </w:p>
    <w:p w14:paraId="356A92A1">
      <w:pPr>
        <w:spacing w:line="360" w:lineRule="auto"/>
        <w:rPr>
          <w:rFonts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前注：</w:t>
      </w:r>
    </w:p>
    <w:p w14:paraId="432EF0DC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根据《关于规范政府采购进口产品有关工作的通知》及政府采购管理部门的相关规定，下列采购需求中标注进口产品的货物（科研仪器设备）均已履行相关论证手续，经核准采购进口产品，但不限制满足招标文件要求的国内产品参与竞争。未标注进口产品的货物均为拒绝采购进口产品。</w:t>
      </w:r>
    </w:p>
    <w:p w14:paraId="228E6694">
      <w:pPr>
        <w:spacing w:line="360" w:lineRule="auto"/>
        <w:ind w:firstLine="435"/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2.下列采购需求中：</w:t>
      </w:r>
    </w:p>
    <w:p w14:paraId="6CF8E97F">
      <w:pPr>
        <w:spacing w:line="360" w:lineRule="auto"/>
        <w:ind w:firstLine="435"/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（1）如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。</w:t>
      </w:r>
    </w:p>
    <w:p w14:paraId="6DE57976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如涉及商品包装和快递包装，投标人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4F605273">
      <w:pPr>
        <w:spacing w:line="360" w:lineRule="auto"/>
        <w:ind w:firstLine="480" w:firstLineChars="200"/>
        <w:jc w:val="left"/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3.下列采购需求中：标注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的产品（核心产品），投标人在投标文件《主要中标标的承诺函》中填写名称、品牌、规格、型号、数量、单价等信息。</w:t>
      </w:r>
      <w:bookmarkStart w:id="0" w:name="_Toc1899401549"/>
      <w:bookmarkStart w:id="1" w:name="_Toc292361325"/>
      <w:bookmarkStart w:id="2" w:name="_Toc382548620"/>
      <w:bookmarkStart w:id="3" w:name="_Toc337877615"/>
      <w:bookmarkStart w:id="4" w:name="_Toc1452677390"/>
      <w:bookmarkStart w:id="5" w:name="_Toc2025078090"/>
      <w:bookmarkStart w:id="6" w:name="_Toc1437377518_WPSOffice_Level2"/>
      <w:bookmarkStart w:id="7" w:name="_Toc1064185329"/>
    </w:p>
    <w:p w14:paraId="4D383A12">
      <w:pPr>
        <w:pStyle w:val="3"/>
        <w:ind w:firstLine="0" w:firstLineChars="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一、采购需求前附表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8"/>
        <w:tblpPr w:leftFromText="180" w:rightFromText="180" w:vertAnchor="text" w:horzAnchor="page" w:tblpX="1796" w:tblpY="6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054"/>
        <w:gridCol w:w="5544"/>
      </w:tblGrid>
      <w:tr w14:paraId="0FC6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18" w:type="dxa"/>
            <w:noWrap w:val="0"/>
            <w:vAlign w:val="center"/>
          </w:tcPr>
          <w:p w14:paraId="132FEA1B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54" w:type="dxa"/>
            <w:noWrap w:val="0"/>
            <w:vAlign w:val="center"/>
          </w:tcPr>
          <w:p w14:paraId="3578AACC">
            <w:pPr>
              <w:pStyle w:val="11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条款名称</w:t>
            </w:r>
          </w:p>
        </w:tc>
        <w:tc>
          <w:tcPr>
            <w:tcW w:w="5544" w:type="dxa"/>
            <w:noWrap w:val="0"/>
            <w:vAlign w:val="center"/>
          </w:tcPr>
          <w:p w14:paraId="7B74E4E4">
            <w:pPr>
              <w:pStyle w:val="11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内容、说明与要求</w:t>
            </w:r>
          </w:p>
        </w:tc>
      </w:tr>
      <w:tr w14:paraId="71E4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18" w:type="dxa"/>
            <w:noWrap w:val="0"/>
            <w:vAlign w:val="center"/>
          </w:tcPr>
          <w:p w14:paraId="6ABD122E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4" w:type="dxa"/>
            <w:noWrap w:val="0"/>
            <w:vAlign w:val="center"/>
          </w:tcPr>
          <w:p w14:paraId="2D23D1ED">
            <w:pPr>
              <w:pStyle w:val="11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5544" w:type="dxa"/>
            <w:noWrap w:val="0"/>
            <w:vAlign w:val="center"/>
          </w:tcPr>
          <w:p w14:paraId="49E2C4C5">
            <w:pPr>
              <w:pStyle w:val="11"/>
              <w:widowControl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验收合格，收到合规增值税发票及免税资料(进口产品)后一次性付款。</w:t>
            </w:r>
          </w:p>
        </w:tc>
      </w:tr>
      <w:tr w14:paraId="37BB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8" w:type="dxa"/>
            <w:noWrap w:val="0"/>
            <w:vAlign w:val="center"/>
          </w:tcPr>
          <w:p w14:paraId="29C50EC2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4" w:type="dxa"/>
            <w:noWrap w:val="0"/>
            <w:vAlign w:val="center"/>
          </w:tcPr>
          <w:p w14:paraId="4957A7A7">
            <w:pPr>
              <w:pStyle w:val="11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供货及安装地点</w:t>
            </w:r>
          </w:p>
        </w:tc>
        <w:tc>
          <w:tcPr>
            <w:tcW w:w="5544" w:type="dxa"/>
            <w:noWrap w:val="0"/>
            <w:vAlign w:val="center"/>
          </w:tcPr>
          <w:p w14:paraId="34ECCF3B">
            <w:pPr>
              <w:pStyle w:val="11"/>
              <w:widowControl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阜阳师范大学，具体按采购人要求。</w:t>
            </w:r>
          </w:p>
        </w:tc>
      </w:tr>
      <w:tr w14:paraId="3FAA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18" w:type="dxa"/>
            <w:noWrap w:val="0"/>
            <w:vAlign w:val="center"/>
          </w:tcPr>
          <w:p w14:paraId="10DE9B56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4" w:type="dxa"/>
            <w:noWrap w:val="0"/>
            <w:vAlign w:val="center"/>
          </w:tcPr>
          <w:p w14:paraId="04D8865A">
            <w:pPr>
              <w:pStyle w:val="11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供货及安装期限</w:t>
            </w:r>
          </w:p>
        </w:tc>
        <w:tc>
          <w:tcPr>
            <w:tcW w:w="5544" w:type="dxa"/>
            <w:noWrap w:val="0"/>
            <w:vAlign w:val="center"/>
          </w:tcPr>
          <w:p w14:paraId="3DE2D28C">
            <w:pPr>
              <w:pStyle w:val="11"/>
              <w:widowControl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自合同生效之日起，180个工作日内完成供货、安装、调试、培训等所有工作内容。</w:t>
            </w:r>
          </w:p>
        </w:tc>
      </w:tr>
      <w:tr w14:paraId="0470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18" w:type="dxa"/>
            <w:noWrap w:val="0"/>
            <w:vAlign w:val="center"/>
          </w:tcPr>
          <w:p w14:paraId="79F3487F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4" w:type="dxa"/>
            <w:noWrap w:val="0"/>
            <w:vAlign w:val="center"/>
          </w:tcPr>
          <w:p w14:paraId="55F55A41">
            <w:pPr>
              <w:pStyle w:val="11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免费质保期</w:t>
            </w:r>
          </w:p>
        </w:tc>
        <w:tc>
          <w:tcPr>
            <w:tcW w:w="5544" w:type="dxa"/>
            <w:noWrap w:val="0"/>
            <w:vAlign w:val="center"/>
          </w:tcPr>
          <w:p w14:paraId="339E4510">
            <w:pPr>
              <w:pStyle w:val="11"/>
              <w:widowControl w:val="0"/>
              <w:spacing w:before="0" w:beforeAutospacing="0" w:after="0" w:afterAutospacing="0" w:line="360" w:lineRule="auto"/>
              <w:jc w:val="left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自验收合格之日起主机及配件免费不少于一年。</w:t>
            </w:r>
          </w:p>
        </w:tc>
      </w:tr>
    </w:tbl>
    <w:p w14:paraId="3867C98A">
      <w:pPr>
        <w:pStyle w:val="3"/>
        <w:ind w:firstLine="0" w:firstLineChars="0"/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_Toc58935147"/>
      <w:bookmarkStart w:id="9" w:name="_Toc1693477008"/>
      <w:bookmarkStart w:id="10" w:name="_Toc302804901"/>
      <w:bookmarkStart w:id="11" w:name="_Toc717369146"/>
      <w:bookmarkStart w:id="12" w:name="_Toc369119811"/>
      <w:bookmarkStart w:id="13" w:name="_Toc1191965283_WPSOffice_Level2"/>
      <w:bookmarkStart w:id="14" w:name="_Toc626387511"/>
      <w:bookmarkStart w:id="15" w:name="_Toc1715351726"/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二、货物需求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0752CDA">
      <w:pPr>
        <w:pStyle w:val="7"/>
        <w:spacing w:line="500" w:lineRule="exact"/>
        <w:ind w:left="0" w:firstLine="0" w:firstLineChars="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（一）货物需求说明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328"/>
        <w:gridCol w:w="5320"/>
      </w:tblGrid>
      <w:tr w14:paraId="4FE8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  <w:noWrap w:val="0"/>
            <w:vAlign w:val="top"/>
          </w:tcPr>
          <w:p w14:paraId="52495A24">
            <w:pPr>
              <w:pStyle w:val="7"/>
              <w:spacing w:line="500" w:lineRule="exact"/>
              <w:ind w:left="0" w:firstLine="0" w:firstLineChars="0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需求内容类别</w:t>
            </w:r>
          </w:p>
        </w:tc>
        <w:tc>
          <w:tcPr>
            <w:tcW w:w="1328" w:type="dxa"/>
            <w:noWrap w:val="0"/>
            <w:vAlign w:val="top"/>
          </w:tcPr>
          <w:p w14:paraId="3070781B">
            <w:pPr>
              <w:pStyle w:val="7"/>
              <w:spacing w:line="500" w:lineRule="exact"/>
              <w:ind w:left="0" w:firstLine="0" w:firstLineChars="0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标识符号</w:t>
            </w:r>
          </w:p>
        </w:tc>
        <w:tc>
          <w:tcPr>
            <w:tcW w:w="5320" w:type="dxa"/>
            <w:noWrap w:val="0"/>
            <w:vAlign w:val="top"/>
          </w:tcPr>
          <w:p w14:paraId="2A5F5B50">
            <w:pPr>
              <w:pStyle w:val="7"/>
              <w:spacing w:line="500" w:lineRule="exact"/>
              <w:ind w:left="0" w:firstLine="0" w:firstLineChars="0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投标要求</w:t>
            </w:r>
          </w:p>
        </w:tc>
      </w:tr>
      <w:tr w14:paraId="2228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8" w:type="dxa"/>
            <w:noWrap w:val="0"/>
            <w:vAlign w:val="center"/>
          </w:tcPr>
          <w:p w14:paraId="6F4D8E45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核心指标项</w:t>
            </w:r>
          </w:p>
        </w:tc>
        <w:tc>
          <w:tcPr>
            <w:tcW w:w="1328" w:type="dxa"/>
            <w:noWrap w:val="0"/>
            <w:vAlign w:val="center"/>
          </w:tcPr>
          <w:p w14:paraId="2A84EDD7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320" w:type="dxa"/>
            <w:noWrap w:val="0"/>
            <w:vAlign w:val="center"/>
          </w:tcPr>
          <w:p w14:paraId="15E59CBE">
            <w:pPr>
              <w:pStyle w:val="7"/>
              <w:spacing w:line="5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技术参数及要求须完全满足或优于招标文件的要求，否则投标无效。</w:t>
            </w:r>
          </w:p>
        </w:tc>
      </w:tr>
      <w:tr w14:paraId="7237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8" w:type="dxa"/>
            <w:noWrap w:val="0"/>
            <w:vAlign w:val="center"/>
          </w:tcPr>
          <w:p w14:paraId="2C3D28A8">
            <w:pPr>
              <w:pStyle w:val="7"/>
              <w:spacing w:line="5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重要指标项</w:t>
            </w:r>
          </w:p>
        </w:tc>
        <w:tc>
          <w:tcPr>
            <w:tcW w:w="1328" w:type="dxa"/>
            <w:noWrap w:val="0"/>
            <w:vAlign w:val="center"/>
          </w:tcPr>
          <w:p w14:paraId="6A2A4DBD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5320" w:type="dxa"/>
            <w:noWrap w:val="0"/>
            <w:vAlign w:val="center"/>
          </w:tcPr>
          <w:p w14:paraId="4E58C374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评分项，详见评分标准</w:t>
            </w:r>
          </w:p>
        </w:tc>
      </w:tr>
      <w:tr w14:paraId="2D8C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  <w:noWrap w:val="0"/>
            <w:vAlign w:val="center"/>
          </w:tcPr>
          <w:p w14:paraId="249C1B35">
            <w:pPr>
              <w:pStyle w:val="7"/>
              <w:spacing w:line="5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无标识项</w:t>
            </w:r>
          </w:p>
        </w:tc>
        <w:tc>
          <w:tcPr>
            <w:tcW w:w="1328" w:type="dxa"/>
            <w:noWrap w:val="0"/>
            <w:vAlign w:val="center"/>
          </w:tcPr>
          <w:p w14:paraId="7C7F782D">
            <w:pPr>
              <w:pStyle w:val="7"/>
              <w:spacing w:line="5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0" w:type="dxa"/>
            <w:noWrap w:val="0"/>
            <w:vAlign w:val="center"/>
          </w:tcPr>
          <w:p w14:paraId="0D6C1C31">
            <w:pPr>
              <w:pStyle w:val="7"/>
              <w:spacing w:line="5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五项（含）以上负偏离或未响应的，投标无效</w:t>
            </w:r>
          </w:p>
        </w:tc>
      </w:tr>
      <w:tr w14:paraId="6577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46" w:type="dxa"/>
            <w:gridSpan w:val="3"/>
            <w:noWrap w:val="0"/>
            <w:vAlign w:val="center"/>
          </w:tcPr>
          <w:p w14:paraId="30D8219C">
            <w:pPr>
              <w:pStyle w:val="7"/>
              <w:spacing w:line="500" w:lineRule="exact"/>
              <w:ind w:left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  <w:p w14:paraId="02235B14">
            <w:pPr>
              <w:pStyle w:val="7"/>
              <w:spacing w:line="500" w:lineRule="exact"/>
              <w:ind w:left="0"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货物需求清单中要求提供证明材料的参数：所有标注“★”和“●”的条款。货物需求清单中未明确证明材料类型的，证明材料包括产品技术白皮书、产品技术说明书、产品彩页（产品功能截图）、厂家（制造商）官网截图、第三方机构出具的带有CMA标识的检测报告，提供其中之一即可。未按以上要求提供证明材料的视为负偏离或未响应（为便于评审，建议投标人对证明材料中的关键参数进行标注）（需能体现关键评审因素）；技术参数中明确要求证明材料类型的，按技术参数中的要求执行。</w:t>
            </w:r>
          </w:p>
          <w:p w14:paraId="15735BA6">
            <w:pPr>
              <w:pStyle w:val="7"/>
              <w:spacing w:line="500" w:lineRule="exact"/>
              <w:ind w:left="0" w:firstLine="0" w:firstLineChars="0"/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.如某项标识中包含多条技术参数或要求，则该项标识所含内容均需满足或优于招标文件要求，否则不予认可。</w:t>
            </w:r>
          </w:p>
          <w:p w14:paraId="3B34F5AF">
            <w:pPr>
              <w:pStyle w:val="7"/>
              <w:spacing w:line="500" w:lineRule="exact"/>
              <w:ind w:left="0" w:firstLine="0" w:firstLineChars="0"/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.“所属行业”栏标注为“/”的项为所投产品配套的工程或服务，无需在《中小企业声明函》中列明。</w:t>
            </w:r>
          </w:p>
          <w:p w14:paraId="5EB715BB">
            <w:pPr>
              <w:pStyle w:val="7"/>
              <w:spacing w:line="500" w:lineRule="exact"/>
              <w:ind w:left="0" w:firstLine="0" w:firstLineChars="0"/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4.货物需求清单中，涉及具体物理尺寸的已明确偏离范围的按要求执行，未明确偏离范围的允许±5%偏离。</w:t>
            </w:r>
          </w:p>
        </w:tc>
      </w:tr>
    </w:tbl>
    <w:p w14:paraId="4EED2304">
      <w:pPr>
        <w:pStyle w:val="7"/>
        <w:ind w:left="0" w:firstLine="0" w:firstLineChars="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1D0C74A">
      <w:pPr>
        <w:pStyle w:val="7"/>
        <w:numPr>
          <w:ilvl w:val="0"/>
          <w:numId w:val="1"/>
        </w:numPr>
        <w:ind w:left="0" w:firstLine="0" w:firstLineChars="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货物需求清单</w:t>
      </w:r>
    </w:p>
    <w:p w14:paraId="0EB12B2C">
      <w:pPr>
        <w:pStyle w:val="7"/>
        <w:ind w:left="0" w:firstLine="0" w:firstLineChars="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46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56"/>
        <w:gridCol w:w="4741"/>
        <w:gridCol w:w="540"/>
        <w:gridCol w:w="615"/>
        <w:gridCol w:w="735"/>
        <w:gridCol w:w="886"/>
      </w:tblGrid>
      <w:tr w14:paraId="607339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58A1E">
            <w:pPr>
              <w:keepLines/>
              <w:wordWrap w:val="0"/>
              <w:topLinePunct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492EA">
            <w:pPr>
              <w:keepLines/>
              <w:wordWrap w:val="0"/>
              <w:topLinePunct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FFDC4">
            <w:pPr>
              <w:keepLines/>
              <w:wordWrap w:val="0"/>
              <w:topLinePunct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技术参数及要求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4FC03">
            <w:pPr>
              <w:keepLines/>
              <w:wordWrap w:val="0"/>
              <w:topLinePunct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E9FA5">
            <w:pPr>
              <w:keepLines/>
              <w:wordWrap w:val="0"/>
              <w:topLinePunct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C564D">
            <w:pPr>
              <w:keepLines/>
              <w:wordWrap w:val="0"/>
              <w:topLinePunct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45539">
            <w:pPr>
              <w:keepLines/>
              <w:wordWrap w:val="0"/>
              <w:topLinePunct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备注（进口或强制节能）</w:t>
            </w:r>
          </w:p>
        </w:tc>
      </w:tr>
      <w:tr w14:paraId="143CE2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E669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10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▲高分辨透射电子显微镜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9C02E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一、技术要求</w:t>
            </w:r>
          </w:p>
          <w:p w14:paraId="5711DDD7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1.电子枪类型:肖特基场发射电子枪;</w:t>
            </w:r>
          </w:p>
          <w:p w14:paraId="713CC7EC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★2.加速电压:20kV–200kV,连续可调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（投标文件中提供证明材料）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9D340C2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3.TEM模式:</w:t>
            </w:r>
          </w:p>
          <w:p w14:paraId="426EF708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3.1.信息分辨率:≤0.12nm@200kV;</w:t>
            </w:r>
          </w:p>
          <w:p w14:paraId="00924A5B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3.2.点分辨率:≤0.25nm@200KV;</w:t>
            </w:r>
          </w:p>
          <w:p w14:paraId="63B5E5A0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3.3.线分辨率:≤0.10nm@200kV;</w:t>
            </w:r>
          </w:p>
          <w:p w14:paraId="7F611F29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3.4.TEM模式放大倍数:25×-1050k×。</w:t>
            </w:r>
          </w:p>
          <w:p w14:paraId="14BE479E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4.衍射模式:</w:t>
            </w:r>
          </w:p>
          <w:p w14:paraId="33B0A3FF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4.1.最大衍射角:≥±12°(半角);</w:t>
            </w:r>
          </w:p>
          <w:p w14:paraId="12090273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4.2.会聚束电子衍射(CBED)最大会聚角:≥100mrad(半角)。</w:t>
            </w:r>
          </w:p>
          <w:p w14:paraId="3CA12911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5.透镜系统:</w:t>
            </w:r>
          </w:p>
          <w:p w14:paraId="42DE45C4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5.1.物镜极靴间距:＞5mm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（投标文件中提供证明材料）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2061CFC3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5.2.配备全自动光阑系统,包含极靴内物镜光阑用于TEM明暗场像的精确成像;</w:t>
            </w:r>
          </w:p>
          <w:p w14:paraId="4C35F93D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5.3.放大倍率重复性:≤1.5%。</w:t>
            </w:r>
          </w:p>
          <w:p w14:paraId="34BFF7ED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6.扫描透射(STEM)系统:</w:t>
            </w:r>
          </w:p>
          <w:p w14:paraId="307DF627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★6.1.分辨率:≤0.16nm@200kV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（投标文件中提供证明材料）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6C0432B3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6.2.配备探头≥3个,至少包括高角环形暗场探测器(HAADF)和同轴明场/暗场探测器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（投标文件中提供证明材料）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45B63EA2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6.3.配备不少于8分割的多分割STEM探头;能够同时采集获得不少于4幅来自不同角度的电子信号的图像,包括但不仅限于明场(BF)、暗场(DF)、环形暗场(ADF)、环形明场(ABF)、高角度环形暗场(HAADF)等（投标文件中提供证明材料）;</w:t>
            </w:r>
          </w:p>
          <w:p w14:paraId="53A1EE54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6.4.配备实时相位衬度像(DPC)成像功能,可在STEM模式下直接对样品的磁场、电场等内势场进行研究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（投标文件中提供证明材料）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57F60322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6.5.配备实时的积分相位衬度像(iDPC)成像功能,可在同一幅STEM图像中同时获取轻重元素的清晰衬度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（投标文件中提供证明材料）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</w:p>
          <w:p w14:paraId="5C3D56C0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6.6.STEM模式图像最大像素:≥4096×4096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（投标文件中提供证明材料）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5A7AE20B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6.7.配备实时漂移校正帧积分(DCFI)功能；</w:t>
            </w:r>
          </w:p>
          <w:p w14:paraId="0F221CEA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6.8.STEM模式放大倍数:500×-300M×。</w:t>
            </w:r>
          </w:p>
          <w:p w14:paraId="6517E08A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7.样品台与样品杆:</w:t>
            </w:r>
          </w:p>
          <w:p w14:paraId="3042B6AA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7.1.双倾样品杆最大样品倾斜角度:α/β≥±35°/±30°;</w:t>
            </w:r>
          </w:p>
          <w:p w14:paraId="59FF79FA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7.2.样品移动范围:X,Y≥2mm;Z≥0.75mm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（投标文件中提供证明材料）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3FA470A3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7.3.配置晶带轴自动倾转模块;</w:t>
            </w:r>
          </w:p>
          <w:p w14:paraId="65660A82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8.数字化成像系统:一体化数字相机，有效像素:≥1392×1040像素;全分辨率下的采集速度≥40帧/秒;</w:t>
            </w:r>
          </w:p>
          <w:p w14:paraId="69022D73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9.高分辨CMOS相机:像素数量:≥4096×4096像素,像素大小:≥14μm×14μm;动态范围:≥16bit;</w:t>
            </w:r>
          </w:p>
          <w:p w14:paraId="6A3C4F55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10.真空系统:</w:t>
            </w:r>
          </w:p>
          <w:p w14:paraId="6AA5E459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10.1.三级真空系统:机械泵(无油)、涡轮分子泵、离子泵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（投标文件中提供证明材料）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4B4738F4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10.2.典型换样时间≤60秒;</w:t>
            </w:r>
          </w:p>
          <w:p w14:paraId="5D798AC8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10.3.冷阱单次注满持续工作时间:＞70h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（投标文件中提供证明材料）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044DD93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11.电镜操作和控制:</w:t>
            </w:r>
          </w:p>
          <w:p w14:paraId="0B877EDF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11.1.配备控制系统操作终端,所有电镜操作由电镜控制器直接控制。配置:数据显示终端两台(不低于27英寸)/CPU处理器≥6核心/≥32G内存/≥1T存储/专业图形处理显卡;</w:t>
            </w:r>
          </w:p>
          <w:p w14:paraId="0DDB3112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11.2.可设置≥2套独立电镜状态参数,可切换调用;可设置≥2套多套独立用户参数设置相对独立,可相互调用;</w:t>
            </w:r>
          </w:p>
          <w:p w14:paraId="58622D84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11.4.配备全自动合轴模块,可用于日常合轴与维护性系统合轴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（投标文件中提供证明材料）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3AEF509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12.能谱仪:</w:t>
            </w:r>
          </w:p>
          <w:p w14:paraId="5C2FE23A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★12.1.探头数量≥2个;有效总探测面积:≥60mm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（投标文件中提供证明材料）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488E019F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12.2.探测器固定于极靴内,并配备保护阀门,防止传统能谱探头插入拔出引起的样品漂移与振动;</w:t>
            </w:r>
          </w:p>
          <w:p w14:paraId="03DE69FE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12.3.能量分辨率:≤136eV (Mn-Ka),在输出计数率10kcps内保持不变;</w:t>
            </w:r>
          </w:p>
          <w:p w14:paraId="55C4239D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13.配套附件:</w:t>
            </w:r>
          </w:p>
          <w:p w14:paraId="18BC20B2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13.1.15KW，≥1H不间断电源一套;</w:t>
            </w:r>
          </w:p>
          <w:p w14:paraId="4F000DA9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13.2.20L液氮罐1个,镊子2把,真空吸笔1把,超声波摇匀器1个,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除湿机1台，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红外干燥灯1个。</w:t>
            </w:r>
          </w:p>
          <w:p w14:paraId="650D76FA">
            <w:pPr>
              <w:wordWrap w:val="0"/>
              <w:autoSpaceDE w:val="0"/>
              <w:autoSpaceDN w:val="0"/>
              <w:adjustRightInd w:val="0"/>
              <w:spacing w:line="440" w:lineRule="exact"/>
              <w:ind w:left="210" w:leftChars="100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13.3.单倾杆2个,双倾杆1个。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EB3D5">
            <w:pPr>
              <w:widowControl/>
              <w:wordWrap w:val="0"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i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3A0E1">
            <w:pPr>
              <w:widowControl/>
              <w:wordWrap w:val="0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60FF">
            <w:pPr>
              <w:widowControl/>
              <w:wordWrap w:val="0"/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627E6">
            <w:pPr>
              <w:keepLines/>
              <w:wordWrap w:val="0"/>
              <w:topLinePunct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进口</w:t>
            </w:r>
          </w:p>
        </w:tc>
      </w:tr>
    </w:tbl>
    <w:p w14:paraId="7BC23648">
      <w:pP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6CF4B26D">
      <w:pPr>
        <w:pStyle w:val="3"/>
        <w:ind w:firstLine="560"/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Toc1520309192"/>
      <w:bookmarkStart w:id="17" w:name="_Toc49042126"/>
      <w:bookmarkStart w:id="18" w:name="_Toc902728931"/>
      <w:bookmarkStart w:id="19" w:name="_Toc13384869"/>
      <w:bookmarkStart w:id="20" w:name="_Toc1814319857"/>
      <w:bookmarkStart w:id="21" w:name="_Toc1061105159_WPSOffice_Level2"/>
      <w:bookmarkStart w:id="22" w:name="_Toc1900587714"/>
      <w:bookmarkStart w:id="23" w:name="_Toc1101062245"/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三、报价要求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CED9F8D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本项目报总价，投标报价</w:t>
      </w:r>
      <w:r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包括货物从设计、采购、制造、交货（包括运输至采购人指定地点卸车就位）至售后服务的一切费用、管理费、利润和税金，以及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采购</w:t>
      </w:r>
      <w:r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合同中明示或暗示的所有责任、义务和风险。</w:t>
      </w:r>
    </w:p>
    <w:p w14:paraId="02651C71">
      <w:pPr>
        <w:pStyle w:val="3"/>
        <w:ind w:firstLine="56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四、备品备件及专用工具</w:t>
      </w:r>
    </w:p>
    <w:p w14:paraId="0A0F617C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bookmarkStart w:id="24" w:name="_Toc455587277"/>
      <w:bookmarkStart w:id="25" w:name="_Toc445554752"/>
      <w:bookmarkStart w:id="26" w:name="_Toc455587093"/>
      <w:r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1、备品备件：中标人提供能够满足质量保证期内的设备维修要求的备品备件，备品备件应是新品。</w:t>
      </w:r>
    </w:p>
    <w:p w14:paraId="798839B0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2、专用工具：中标人提供设备安装、调试、验收、维修、保养所必要的专用工具、仪器、仪表等工具。</w:t>
      </w:r>
    </w:p>
    <w:bookmarkEnd w:id="24"/>
    <w:bookmarkEnd w:id="25"/>
    <w:bookmarkEnd w:id="26"/>
    <w:p w14:paraId="1BD75E41">
      <w:pPr>
        <w:pStyle w:val="3"/>
        <w:ind w:firstLine="56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27" w:name="_Toc532199625"/>
      <w:bookmarkStart w:id="28" w:name="_Toc455587278"/>
      <w:bookmarkStart w:id="29" w:name="_Toc445554753"/>
      <w:bookmarkStart w:id="30" w:name="_Toc455587094"/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五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、安装调试、验收试验及质量保证</w:t>
      </w:r>
      <w:bookmarkEnd w:id="27"/>
    </w:p>
    <w:p w14:paraId="7E75BE5B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仪器到达后，</w:t>
      </w:r>
      <w:r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在接到通知，在采购人指定地点完成设备使用必要环境的改造（包含在报价中，采购人不再另行支付费用）后，在规定时间内完成</w:t>
      </w:r>
      <w:r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负责安装、调试。</w:t>
      </w:r>
    </w:p>
    <w:p w14:paraId="49E7ADA1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2、具体设备验收标准和程序按采购人要求执行。</w:t>
      </w:r>
    </w:p>
    <w:p w14:paraId="60E43DFC">
      <w:pPr>
        <w:pStyle w:val="3"/>
        <w:ind w:firstLine="56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31" w:name="_Toc532199626"/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六、包装运输</w:t>
      </w:r>
      <w:bookmarkEnd w:id="28"/>
      <w:bookmarkEnd w:id="29"/>
      <w:bookmarkEnd w:id="30"/>
      <w:bookmarkEnd w:id="31"/>
    </w:p>
    <w:p w14:paraId="5C1552BF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</w:pPr>
      <w:bookmarkStart w:id="32" w:name="_Toc455587095"/>
      <w:bookmarkStart w:id="33" w:name="_Toc445554754"/>
      <w:bookmarkStart w:id="34" w:name="_Toc455587279"/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1、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项目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涉及商品包装、快递包装的，除另有约定外，包装应适应远距离运输、防潮、防震、防锈和防野蛮装卸等要求，确保货物安全无损地运抵约定的指定现场。</w:t>
      </w:r>
    </w:p>
    <w:p w14:paraId="45773D8C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2、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除另有约定外，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负责办理将货物运抵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采购人指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定的交货地点，并负责装卸、交付至采购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人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的一切运输事项，相关费用应包含在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投标报价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中。</w:t>
      </w:r>
    </w:p>
    <w:p w14:paraId="41F19BFA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3、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货物保险要求按规定执行。</w:t>
      </w:r>
    </w:p>
    <w:p w14:paraId="050C703E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4、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除采购活动对商品包装、快递包装达成具体约定外，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提供产品及相关快递服务涉及到具体包装要求的，应不低于《商品包装政府采购需求标准（试行）》《快递包装政府采购需求标准（试行）》标准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。</w:t>
      </w:r>
    </w:p>
    <w:p w14:paraId="47E4C75A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5、中标人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在运输到达之前应提前通知采购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人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，并提示货物运输装卸的注意事项，采购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人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配合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做好货物的接收工作。</w:t>
      </w:r>
    </w:p>
    <w:p w14:paraId="4D06A308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6、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如因包装、运输问题导致货物损毁、丢失或者品质下降，采购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人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有权要求换货、拒收部分或整批货物，由此产生的费用和损失，均由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承担。</w:t>
      </w:r>
    </w:p>
    <w:p w14:paraId="2A3A1CDC">
      <w:pPr>
        <w:pStyle w:val="3"/>
        <w:ind w:firstLine="56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35" w:name="_Toc532199627"/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七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、技术培训</w:t>
      </w:r>
      <w:bookmarkEnd w:id="32"/>
      <w:bookmarkEnd w:id="33"/>
      <w:bookmarkEnd w:id="34"/>
      <w:bookmarkEnd w:id="35"/>
    </w:p>
    <w:p w14:paraId="3A5600E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1、培训目标：中标人需确保采购人能够熟练操作设备和软件系统，达到独立操作的水平。</w:t>
      </w:r>
    </w:p>
    <w:p w14:paraId="5964983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2、培训内容：设备操作培训：设备功能、操作流程、维护保养等。软件系统培训：软件安装、配置、使用方法、数据分析等。</w:t>
      </w:r>
    </w:p>
    <w:p w14:paraId="6CFB24DC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3、培训方式：</w:t>
      </w: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设备仪器首次安装完成后，提供免费培训，培训人次≥</w:t>
      </w:r>
      <w:r>
        <w:rPr>
          <w:rFonts w:ascii="宋体" w:hAnsi="宋体" w:eastAsia="宋体" w:cs="宋体"/>
          <w:snapToGrid w:val="0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2人；合同完成后，在3年内提供原厂免费培训≥6次。</w:t>
      </w:r>
    </w:p>
    <w:p w14:paraId="6B2FDA95">
      <w:pPr>
        <w:pStyle w:val="3"/>
        <w:ind w:firstLine="56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36" w:name="_Toc532199628"/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八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、质保及售后服务</w:t>
      </w:r>
    </w:p>
    <w:p w14:paraId="0291A4ED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自验收合格之日起主机及配件免费质保不低于一年，耗材类质保不低于3个月。设备使用生命周期终身维护；软件免费升级；5*24小时服务响应；无法通过远程解决的问题，在用户提出要求后，工程师48小时内上门。</w:t>
      </w:r>
    </w:p>
    <w:p w14:paraId="5D77F8FE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2、在质保期间内，非采购人过失和故意并且在正常使用的情况下发现商品有缺陷，中标人将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无条件</w:t>
      </w:r>
      <w:r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修理或替换该设备；在质保期间内，非采购人过失和故意并且在正常使用的情况下设备发生故障，中标人应及时提供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无条件</w:t>
      </w:r>
      <w:r>
        <w:rPr>
          <w:rFonts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服务。</w:t>
      </w:r>
      <w:bookmarkEnd w:id="36"/>
    </w:p>
    <w:p w14:paraId="5705512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除项目不涉及或采购活动中明确约定无须承担外，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还应提供下列服务：</w:t>
      </w:r>
    </w:p>
    <w:p w14:paraId="7D0617C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（1）货物的现场移动、安装、调试、启动监督及技术支持；</w:t>
      </w:r>
    </w:p>
    <w:p w14:paraId="57CAF4A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（2）提供货物组装和维修所需的专用工具和辅助材料；</w:t>
      </w:r>
    </w:p>
    <w:p w14:paraId="039ADE6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（3）在合同约定的期限内对所有的货物实施运行监督、维修，但前提条件是该服务并不能免除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在质量保证期内所承担的义务；</w:t>
      </w:r>
    </w:p>
    <w:p w14:paraId="1B160EA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（4）在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采购人指定地点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就货物的安装、启动、运营、维护、废弃处置等对采购方操作人员进行培训；</w:t>
      </w:r>
    </w:p>
    <w:p w14:paraId="1CD53509">
      <w:pPr>
        <w:spacing w:line="360" w:lineRule="auto"/>
        <w:ind w:firstLine="480" w:firstLineChars="200"/>
        <w:jc w:val="left"/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4、中标人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提供的售后服务的费用已包含在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中，采购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不再另行支付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费用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lang w:val="zh-CN"/>
          <w14:textFill>
            <w14:solidFill>
              <w14:schemeClr w14:val="tx1"/>
            </w14:solidFill>
          </w14:textFill>
        </w:rPr>
        <w:t>。</w:t>
      </w:r>
      <w:bookmarkStart w:id="37" w:name="_GoBack"/>
      <w:bookmarkEnd w:id="3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75F93"/>
    <w:multiLevelType w:val="singleLevel"/>
    <w:tmpl w:val="BB175F9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17A2C"/>
    <w:rsid w:val="43117A2C"/>
    <w:rsid w:val="52F4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line="360" w:lineRule="auto"/>
      <w:jc w:val="center"/>
      <w:outlineLvl w:val="0"/>
    </w:pPr>
    <w:rPr>
      <w:rFonts w:ascii="Times New Roman" w:hAnsi="Times New Roman" w:eastAsia="方正小标宋_GBK" w:cs="Times New Roman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40" w:line="360" w:lineRule="auto"/>
      <w:ind w:firstLine="640" w:firstLineChars="200"/>
      <w:jc w:val="left"/>
      <w:outlineLvl w:val="1"/>
    </w:pPr>
    <w:rPr>
      <w:rFonts w:ascii="Arial" w:hAnsi="Arial" w:eastAsia="方正黑体_GBK" w:cs="Times New Roman"/>
      <w:bCs/>
      <w:kern w:val="0"/>
      <w:sz w:val="28"/>
      <w:szCs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next w:val="5"/>
    <w:unhideWhenUsed/>
    <w:qFormat/>
    <w:uiPriority w:val="99"/>
    <w:pPr>
      <w:widowControl w:val="0"/>
      <w:ind w:firstLine="645"/>
      <w:jc w:val="both"/>
    </w:pPr>
    <w:rPr>
      <w:rFonts w:ascii="楷体_GB2312" w:hAnsi="@仿宋_GB2312" w:eastAsia="楷体_GB2312" w:cs="Times New Roman"/>
      <w:kern w:val="2"/>
      <w:sz w:val="32"/>
      <w:lang w:val="en-US" w:eastAsia="zh-CN" w:bidi="ar-SA"/>
    </w:rPr>
  </w:style>
  <w:style w:type="paragraph" w:styleId="5">
    <w:name w:val="envelope return"/>
    <w:qFormat/>
    <w:uiPriority w:val="99"/>
    <w:pPr>
      <w:widowControl w:val="0"/>
      <w:snapToGrid w:val="0"/>
      <w:jc w:val="both"/>
    </w:pPr>
    <w:rPr>
      <w:rFonts w:ascii="Arial" w:hAnsi="Arial" w:eastAsia="@仿宋_GB2312" w:cs="Arial"/>
      <w:kern w:val="2"/>
      <w:sz w:val="21"/>
      <w:lang w:val="en-US" w:eastAsia="zh-CN" w:bidi="ar-SA"/>
    </w:rPr>
  </w:style>
  <w:style w:type="paragraph" w:styleId="6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@仿宋_GB2312" w:hAnsi="@仿宋_GB2312" w:eastAsia="@仿宋_GB2312" w:cs="Times New Roman"/>
      <w:kern w:val="2"/>
      <w:sz w:val="18"/>
      <w:szCs w:val="18"/>
      <w:lang w:val="en-US" w:eastAsia="zh-CN" w:bidi="ar-SA"/>
    </w:rPr>
  </w:style>
  <w:style w:type="paragraph" w:styleId="7">
    <w:name w:val="Body Text First Indent 2"/>
    <w:unhideWhenUsed/>
    <w:qFormat/>
    <w:uiPriority w:val="99"/>
    <w:pPr>
      <w:widowControl w:val="0"/>
      <w:ind w:left="420" w:firstLine="420" w:firstLineChars="200"/>
      <w:jc w:val="both"/>
    </w:pPr>
    <w:rPr>
      <w:rFonts w:ascii="Times New Roman" w:hAnsi="@仿宋_GB2312" w:eastAsia="楷体_GB2312" w:cs="Times New Roman"/>
      <w:kern w:val="2"/>
      <w:sz w:val="32"/>
      <w:lang w:val="en-US" w:eastAsia="zh-CN" w:bidi="ar-SA"/>
    </w:rPr>
  </w:style>
  <w:style w:type="paragraph" w:customStyle="1" w:styleId="10">
    <w:name w:val="D&amp;L"/>
    <w:qFormat/>
    <w:uiPriority w:val="0"/>
    <w:pPr>
      <w:widowControl w:val="0"/>
      <w:pBdr>
        <w:bottom w:val="thinThickSmallGap" w:color="auto" w:sz="18" w:space="1"/>
      </w:pBdr>
      <w:tabs>
        <w:tab w:val="center" w:pos="4153"/>
        <w:tab w:val="right" w:pos="8306"/>
      </w:tabs>
      <w:adjustRightInd w:val="0"/>
      <w:snapToGrid/>
      <w:spacing w:line="240" w:lineRule="atLeast"/>
      <w:jc w:val="center"/>
      <w:textAlignment w:val="baseline"/>
    </w:pPr>
    <w:rPr>
      <w:rFonts w:ascii="@仿宋_GB2312" w:hAnsi="@仿宋_GB2312" w:eastAsia="@仿宋_GB2312" w:cs="Times New Roman"/>
      <w:kern w:val="0"/>
      <w:sz w:val="24"/>
      <w:szCs w:val="20"/>
      <w:lang w:val="en-US" w:eastAsia="zh-CN" w:bidi="ar-SA"/>
    </w:rPr>
  </w:style>
  <w:style w:type="paragraph" w:customStyle="1" w:styleId="11">
    <w:name w:val="xl31"/>
    <w:qFormat/>
    <w:uiPriority w:val="0"/>
    <w:pPr>
      <w:widowControl/>
      <w:spacing w:before="100" w:beforeAutospacing="1" w:after="100" w:afterAutospacing="1"/>
      <w:jc w:val="center"/>
    </w:pPr>
    <w:rPr>
      <w:rFonts w:ascii="@仿宋_GB2312" w:hAnsi="@仿宋_GB2312" w:eastAsia="@仿宋_GB2312" w:cs="@仿宋_GB2312"/>
      <w:b/>
      <w:bCs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2025-09-29T08:17:00Z</dcterms:created>
  <dc:creator>xmy</dc:creator>
  <cp:lastModifiedBy>xmy</cp:lastModifiedBy>
  <dcterms:modified xsi:type="dcterms:W3CDTF">2025-09-29T08:18:10Z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294B22A62E7E48FD8CFB554EF3171D29_11</vt:lpwstr>
  </property>
  <property fmtid="{D5CDD505-2E9C-101B-9397-08002B2CF9AE}" pid="4" name="KSOTemplateDocerSaveRecord">
    <vt:lpwstr>eyJoZGlkIjoiZjY2ZjQ0YmI5N2I0Mjk4NTAzNDM1MmQzZDViYzcwNzMiLCJ1c2VySWQiOiIzMjQ4MTEwODkifQ==</vt:lpwstr>
  </property>
</Properties>
</file>