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5077260">
      <w:pPr>
        <w:pStyle w:val="2"/>
        <w:widowControl/>
        <w:snapToGrid w:val="0"/>
        <w:spacing w:before="0" w:after="0" w:line="360" w:lineRule="auto"/>
        <w:jc w:val="center"/>
        <w:rPr>
          <w:rFonts w:hint="eastAsia" w:ascii="宋体" w:hAnsi="宋体" w:eastAsia="仿宋"/>
          <w:u w:val="none"/>
        </w:rPr>
      </w:pPr>
      <w:bookmarkStart w:id="0" w:name="_Toc466024555"/>
      <w:bookmarkStart w:id="1" w:name="_Toc28978"/>
      <w:bookmarkStart w:id="2" w:name="_Toc445554746"/>
      <w:r>
        <w:rPr>
          <w:rFonts w:hint="eastAsia" w:ascii="宋体" w:hAnsi="宋体" w:eastAsia="仿宋"/>
          <w:u w:val="none"/>
        </w:rPr>
        <w:t>采购需求</w:t>
      </w:r>
      <w:bookmarkEnd w:id="0"/>
      <w:bookmarkEnd w:id="1"/>
      <w:bookmarkEnd w:id="2"/>
    </w:p>
    <w:p w14:paraId="69312D84">
      <w:pPr>
        <w:pStyle w:val="3"/>
        <w:rPr>
          <w:rStyle w:val="18"/>
          <w:rFonts w:ascii="宋体" w:hAnsi="宋体" w:eastAsia="仿宋"/>
          <w:b/>
          <w:bCs/>
          <w:sz w:val="24"/>
          <w:szCs w:val="24"/>
          <w:u w:val="none"/>
        </w:rPr>
      </w:pPr>
      <w:bookmarkStart w:id="3" w:name="_Toc466024556"/>
      <w:bookmarkStart w:id="4" w:name="_Toc455587273"/>
      <w:bookmarkStart w:id="5" w:name="_Toc455587089"/>
      <w:bookmarkStart w:id="6" w:name="_Toc445554747"/>
      <w:r>
        <w:rPr>
          <w:rStyle w:val="18"/>
          <w:rFonts w:hint="eastAsia" w:ascii="宋体" w:hAnsi="宋体" w:eastAsia="仿宋"/>
          <w:b/>
          <w:bCs/>
          <w:sz w:val="24"/>
          <w:szCs w:val="24"/>
          <w:u w:val="none"/>
        </w:rPr>
        <w:t xml:space="preserve">1. </w:t>
      </w:r>
      <w:bookmarkEnd w:id="3"/>
      <w:bookmarkEnd w:id="4"/>
      <w:bookmarkEnd w:id="5"/>
      <w:r>
        <w:rPr>
          <w:rStyle w:val="18"/>
          <w:rFonts w:hint="eastAsia" w:ascii="宋体" w:hAnsi="宋体" w:eastAsia="仿宋"/>
          <w:b/>
          <w:bCs/>
          <w:sz w:val="24"/>
          <w:szCs w:val="24"/>
          <w:u w:val="none"/>
        </w:rPr>
        <w:t>总体说明</w:t>
      </w:r>
    </w:p>
    <w:p w14:paraId="1E6DA49D">
      <w:pPr>
        <w:widowControl/>
        <w:tabs>
          <w:tab w:val="left" w:pos="1406"/>
        </w:tabs>
        <w:snapToGrid w:val="0"/>
        <w:spacing w:line="360" w:lineRule="auto"/>
        <w:ind w:firstLine="480" w:firstLineChars="200"/>
        <w:rPr>
          <w:rFonts w:hint="eastAsia" w:ascii="宋体" w:hAnsi="宋体" w:eastAsia="仿宋"/>
          <w:color w:val="FF0000"/>
          <w:sz w:val="24"/>
          <w:u w:val="none"/>
        </w:rPr>
      </w:pPr>
      <w:r>
        <w:rPr>
          <w:rFonts w:hint="eastAsia" w:ascii="宋体" w:hAnsi="宋体" w:eastAsia="仿宋"/>
          <w:sz w:val="24"/>
          <w:u w:val="none"/>
        </w:rPr>
        <w:t>1.1 本章所提出的技术要求是对本次采购的基本要求，并未涉及所有技术细节，也未充分引述有关标准、规范的全部条款。供应商应保证除了满足本技术要求外，还应符合中国国家、行业、地方或</w:t>
      </w:r>
      <w:r>
        <w:rPr>
          <w:rFonts w:hint="eastAsia" w:ascii="仿宋" w:hAnsi="仿宋" w:eastAsia="仿宋" w:cs="仿宋"/>
          <w:sz w:val="24"/>
          <w:u w:val="none"/>
        </w:rPr>
        <w:t>服务提供商</w:t>
      </w:r>
      <w:r>
        <w:rPr>
          <w:rFonts w:hint="eastAsia" w:ascii="宋体" w:hAnsi="宋体" w:eastAsia="仿宋"/>
          <w:sz w:val="24"/>
          <w:u w:val="none"/>
        </w:rPr>
        <w:t>所在国的有关强制性标准、规范。当上述标准、规范的有关规定之间存在差异时，应以要求高的为准。</w:t>
      </w:r>
    </w:p>
    <w:p w14:paraId="7340118F">
      <w:pPr>
        <w:widowControl/>
        <w:tabs>
          <w:tab w:val="left" w:pos="1406"/>
        </w:tabs>
        <w:snapToGrid w:val="0"/>
        <w:spacing w:line="360" w:lineRule="auto"/>
        <w:ind w:firstLine="480" w:firstLineChars="200"/>
        <w:rPr>
          <w:rFonts w:hint="eastAsia" w:ascii="宋体" w:hAnsi="宋体" w:eastAsia="仿宋"/>
          <w:sz w:val="24"/>
          <w:u w:val="none"/>
        </w:rPr>
      </w:pPr>
      <w:r>
        <w:rPr>
          <w:rFonts w:hint="eastAsia" w:ascii="宋体" w:hAnsi="宋体" w:eastAsia="仿宋"/>
          <w:sz w:val="24"/>
          <w:u w:val="none"/>
        </w:rPr>
        <w:t>1.2 本章中提及的工艺、材料、设备的标准及品牌或型号（如有）仅起说明作用，并没有强制性。供应商在响应中可以用替代工艺、材料、设备的标准及品牌或型号，但这种替代须实质上满足、等同或优于本章技术要求，同时须提供相关证明材料，否则可能被磋商小组认定为负偏离。</w:t>
      </w:r>
    </w:p>
    <w:p w14:paraId="7A21F8E3">
      <w:pPr>
        <w:widowControl/>
        <w:tabs>
          <w:tab w:val="left" w:pos="1406"/>
        </w:tabs>
        <w:snapToGrid w:val="0"/>
        <w:spacing w:line="360" w:lineRule="auto"/>
        <w:ind w:firstLine="480" w:firstLineChars="200"/>
        <w:rPr>
          <w:rFonts w:hint="eastAsia" w:ascii="宋体" w:hAnsi="宋体" w:eastAsia="仿宋"/>
          <w:sz w:val="24"/>
          <w:u w:val="none"/>
        </w:rPr>
      </w:pPr>
      <w:r>
        <w:rPr>
          <w:rFonts w:hint="eastAsia" w:ascii="宋体" w:hAnsi="宋体" w:eastAsia="仿宋"/>
          <w:sz w:val="24"/>
          <w:u w:val="none"/>
        </w:rPr>
        <w:t>1.3 采购需求如包含属于《节能产品政府采购品目清单》中政府强制采购的节能产品，则供应商提供产品须具有市场监管总局公布的《参与实施政府采购节能产品认证机构目录》中的认证机构出具的、处于有效期内的节能（节水）产品认证证书。</w:t>
      </w:r>
    </w:p>
    <w:p w14:paraId="5E42651E">
      <w:pPr>
        <w:widowControl/>
        <w:tabs>
          <w:tab w:val="left" w:pos="1406"/>
        </w:tabs>
        <w:snapToGrid w:val="0"/>
        <w:spacing w:line="360" w:lineRule="auto"/>
        <w:ind w:firstLine="480" w:firstLineChars="200"/>
        <w:rPr>
          <w:rFonts w:ascii="宋体" w:hAnsi="宋体" w:eastAsia="仿宋"/>
          <w:sz w:val="24"/>
          <w:u w:val="none"/>
        </w:rPr>
      </w:pPr>
      <w:r>
        <w:rPr>
          <w:rFonts w:hint="eastAsia" w:ascii="宋体" w:hAnsi="宋体" w:eastAsia="仿宋"/>
          <w:sz w:val="24"/>
          <w:u w:val="none"/>
        </w:rPr>
        <w:t>1.4 实质性变动的内容，须经采购人代表确认。</w:t>
      </w:r>
    </w:p>
    <w:p w14:paraId="6A387868">
      <w:pPr>
        <w:pStyle w:val="3"/>
        <w:rPr>
          <w:rFonts w:hint="eastAsia" w:ascii="仿宋" w:hAnsi="仿宋" w:eastAsia="仿宋" w:cs="仿宋"/>
          <w:sz w:val="24"/>
          <w:szCs w:val="24"/>
          <w:u w:val="none"/>
        </w:rPr>
      </w:pPr>
      <w:r>
        <w:rPr>
          <w:rFonts w:ascii="宋体" w:hAnsi="宋体" w:eastAsia="仿宋"/>
          <w:sz w:val="24"/>
          <w:u w:val="none"/>
        </w:rPr>
        <w:t xml:space="preserve">2. </w:t>
      </w:r>
      <w:r>
        <w:rPr>
          <w:rFonts w:hint="eastAsia" w:ascii="仿宋" w:hAnsi="仿宋" w:eastAsia="仿宋" w:cs="仿宋"/>
          <w:sz w:val="24"/>
          <w:szCs w:val="24"/>
          <w:u w:val="none"/>
        </w:rPr>
        <w:t>项目概况及总体要求</w:t>
      </w:r>
    </w:p>
    <w:p w14:paraId="08B62252">
      <w:pPr>
        <w:spacing w:before="120" w:after="120" w:line="360" w:lineRule="auto"/>
        <w:ind w:firstLine="482" w:firstLineChars="200"/>
        <w:textAlignment w:val="baseline"/>
        <w:rPr>
          <w:rFonts w:hint="eastAsia" w:ascii="仿宋" w:hAnsi="仿宋" w:eastAsia="仿宋" w:cs="仿宋"/>
          <w:b/>
          <w:bCs/>
          <w:sz w:val="24"/>
          <w:u w:val="none"/>
        </w:rPr>
      </w:pPr>
      <w:r>
        <w:rPr>
          <w:rFonts w:hint="eastAsia" w:ascii="仿宋" w:hAnsi="仿宋" w:eastAsia="仿宋" w:cs="仿宋"/>
          <w:b/>
          <w:bCs/>
          <w:sz w:val="24"/>
          <w:u w:val="none"/>
        </w:rPr>
        <w:t>2.1 项目概况：</w:t>
      </w:r>
      <w:r>
        <w:rPr>
          <w:rFonts w:hint="eastAsia" w:ascii="仿宋" w:hAnsi="仿宋" w:eastAsia="仿宋" w:cs="仿宋"/>
          <w:sz w:val="24"/>
          <w:u w:val="none"/>
        </w:rPr>
        <w:t>概况包括但不限于：</w:t>
      </w:r>
      <w:r>
        <w:rPr>
          <w:rFonts w:hint="eastAsia" w:ascii="仿宋" w:hAnsi="仿宋" w:eastAsia="仿宋" w:cs="仿宋"/>
          <w:sz w:val="24"/>
          <w:highlight w:val="none"/>
          <w:u w:val="none"/>
        </w:rPr>
        <w:t>管理区供电系统改造项目位于舒城县境内，实施内容主要包括电缆手孔井13座，箱变基础1项，各类电力电线1407m,电缆分支箱3台，不锈钢电表箱13台，组合式成套箱式变电站1台，各类镀锌钢管156m，真空断路器1台，铸铁井盖15块，接地装置1组等，为确保其符合国家电力行业标准和各项设备正常运行。</w:t>
      </w:r>
      <w:r>
        <w:rPr>
          <w:rFonts w:hint="eastAsia" w:ascii="仿宋" w:hAnsi="仿宋" w:eastAsia="仿宋" w:cs="仿宋"/>
          <w:sz w:val="24"/>
          <w:u w:val="none"/>
        </w:rPr>
        <w:t>具体详见清单和采购文件等。</w:t>
      </w:r>
    </w:p>
    <w:p w14:paraId="77CF1DB0">
      <w:pPr>
        <w:spacing w:before="120" w:after="120" w:line="360" w:lineRule="auto"/>
        <w:ind w:firstLine="482" w:firstLineChars="200"/>
        <w:textAlignment w:val="baseline"/>
        <w:rPr>
          <w:rFonts w:hint="eastAsia" w:ascii="仿宋" w:hAnsi="仿宋" w:eastAsia="仿宋" w:cs="仿宋"/>
          <w:b/>
          <w:bCs/>
          <w:sz w:val="24"/>
          <w:u w:val="none"/>
        </w:rPr>
      </w:pPr>
      <w:r>
        <w:rPr>
          <w:rFonts w:hint="eastAsia" w:ascii="仿宋" w:hAnsi="仿宋" w:eastAsia="仿宋" w:cs="仿宋"/>
          <w:b/>
          <w:bCs/>
          <w:sz w:val="24"/>
          <w:u w:val="none"/>
        </w:rPr>
        <w:t>2.</w:t>
      </w:r>
      <w:r>
        <w:rPr>
          <w:rFonts w:hint="eastAsia" w:ascii="仿宋" w:hAnsi="仿宋" w:eastAsia="仿宋" w:cs="仿宋"/>
          <w:b/>
          <w:bCs/>
          <w:sz w:val="24"/>
          <w:u w:val="none"/>
          <w:lang w:val="en-US" w:eastAsia="zh-CN"/>
        </w:rPr>
        <w:t>2</w:t>
      </w:r>
      <w:r>
        <w:rPr>
          <w:rFonts w:hint="eastAsia" w:ascii="仿宋" w:hAnsi="仿宋" w:eastAsia="仿宋" w:cs="仿宋"/>
          <w:b/>
          <w:bCs/>
          <w:sz w:val="24"/>
          <w:u w:val="none"/>
        </w:rPr>
        <w:t xml:space="preserve"> 施工范围：</w:t>
      </w:r>
      <w:r>
        <w:rPr>
          <w:rFonts w:hint="eastAsia" w:ascii="仿宋" w:hAnsi="仿宋" w:eastAsia="仿宋" w:cs="仿宋"/>
          <w:sz w:val="24"/>
          <w:u w:val="none"/>
        </w:rPr>
        <w:t>安徽省龙河口水库管理处，采购人指定地点，具体详见清单和采购文件等。</w:t>
      </w:r>
    </w:p>
    <w:p w14:paraId="12D0600C">
      <w:pPr>
        <w:spacing w:before="120" w:after="120" w:line="360" w:lineRule="auto"/>
        <w:ind w:firstLine="482" w:firstLineChars="200"/>
        <w:textAlignment w:val="baseline"/>
        <w:rPr>
          <w:rFonts w:hint="eastAsia" w:ascii="仿宋" w:hAnsi="仿宋" w:eastAsia="仿宋" w:cs="仿宋"/>
          <w:b/>
          <w:bCs/>
          <w:sz w:val="24"/>
          <w:u w:val="none"/>
        </w:rPr>
      </w:pPr>
      <w:r>
        <w:rPr>
          <w:rFonts w:hint="eastAsia" w:ascii="仿宋" w:hAnsi="仿宋" w:eastAsia="仿宋" w:cs="仿宋"/>
          <w:b/>
          <w:bCs/>
          <w:sz w:val="24"/>
          <w:u w:val="none"/>
        </w:rPr>
        <w:t>2.</w:t>
      </w:r>
      <w:r>
        <w:rPr>
          <w:rFonts w:hint="eastAsia" w:ascii="仿宋" w:hAnsi="仿宋" w:eastAsia="仿宋" w:cs="仿宋"/>
          <w:b/>
          <w:bCs/>
          <w:sz w:val="24"/>
          <w:u w:val="none"/>
          <w:lang w:val="en-US" w:eastAsia="zh-CN"/>
        </w:rPr>
        <w:t>3</w:t>
      </w:r>
      <w:r>
        <w:rPr>
          <w:rFonts w:hint="eastAsia" w:ascii="仿宋" w:hAnsi="仿宋" w:eastAsia="仿宋" w:cs="仿宋"/>
          <w:b/>
          <w:bCs/>
          <w:sz w:val="24"/>
          <w:u w:val="none"/>
        </w:rPr>
        <w:t xml:space="preserve"> 采购包（标段）划分:</w:t>
      </w:r>
      <w:r>
        <w:rPr>
          <w:rFonts w:hint="eastAsia" w:ascii="仿宋" w:hAnsi="仿宋" w:eastAsia="仿宋" w:cs="仿宋"/>
          <w:iCs/>
          <w:sz w:val="24"/>
          <w:u w:val="none"/>
        </w:rPr>
        <w:t xml:space="preserve"> 不分包。</w:t>
      </w:r>
    </w:p>
    <w:p w14:paraId="5648B5FC">
      <w:pPr>
        <w:pStyle w:val="3"/>
        <w:rPr>
          <w:rFonts w:ascii="宋体" w:hAnsi="宋体" w:eastAsia="仿宋"/>
          <w:sz w:val="24"/>
          <w:u w:val="none"/>
        </w:rPr>
      </w:pPr>
      <w:r>
        <w:rPr>
          <w:rFonts w:hint="eastAsia" w:ascii="宋体" w:hAnsi="宋体" w:eastAsia="仿宋"/>
          <w:sz w:val="24"/>
          <w:u w:val="none"/>
        </w:rPr>
        <w:t>3</w:t>
      </w:r>
      <w:r>
        <w:rPr>
          <w:rFonts w:ascii="宋体" w:hAnsi="宋体" w:eastAsia="仿宋"/>
          <w:sz w:val="24"/>
          <w:u w:val="none"/>
        </w:rPr>
        <w:t>. 商务要求</w:t>
      </w:r>
    </w:p>
    <w:p w14:paraId="59EA8263">
      <w:pPr>
        <w:rPr>
          <w:rFonts w:hint="eastAsia" w:ascii="仿宋" w:hAnsi="仿宋" w:eastAsia="仿宋" w:cs="仿宋"/>
          <w:b/>
          <w:bCs/>
          <w:sz w:val="24"/>
          <w:szCs w:val="32"/>
          <w:u w:val="none"/>
        </w:rPr>
      </w:pPr>
      <w:r>
        <w:rPr>
          <w:rFonts w:hint="eastAsia" w:ascii="仿宋" w:hAnsi="仿宋" w:eastAsia="仿宋" w:cs="仿宋"/>
          <w:b/>
          <w:bCs/>
          <w:sz w:val="24"/>
          <w:szCs w:val="32"/>
          <w:u w:val="none"/>
        </w:rPr>
        <w:t>除非有特别说明，本条为实质性要求。</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47"/>
        <w:gridCol w:w="6475"/>
      </w:tblGrid>
      <w:tr w14:paraId="0D016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0" w:hRule="atLeast"/>
        </w:trPr>
        <w:tc>
          <w:tcPr>
            <w:tcW w:w="2375" w:type="dxa"/>
            <w:noWrap w:val="0"/>
            <w:vAlign w:val="top"/>
          </w:tcPr>
          <w:p w14:paraId="6C39843B">
            <w:pPr>
              <w:widowControl/>
              <w:jc w:val="left"/>
              <w:rPr>
                <w:rFonts w:hint="eastAsia" w:ascii="宋体" w:hAnsi="宋体" w:eastAsia="仿宋"/>
                <w:sz w:val="24"/>
                <w:u w:val="none"/>
              </w:rPr>
            </w:pPr>
            <w:r>
              <w:rPr>
                <w:rFonts w:hint="eastAsia" w:ascii="宋体" w:hAnsi="宋体" w:eastAsia="仿宋"/>
                <w:sz w:val="24"/>
                <w:u w:val="none"/>
              </w:rPr>
              <w:t>合同履行期限（工期）</w:t>
            </w:r>
          </w:p>
        </w:tc>
        <w:tc>
          <w:tcPr>
            <w:tcW w:w="7479" w:type="dxa"/>
            <w:noWrap w:val="0"/>
            <w:vAlign w:val="top"/>
          </w:tcPr>
          <w:p w14:paraId="2C296727">
            <w:pPr>
              <w:widowControl/>
              <w:adjustRightInd w:val="0"/>
              <w:snapToGrid w:val="0"/>
              <w:spacing w:line="288" w:lineRule="auto"/>
              <w:rPr>
                <w:rFonts w:hint="eastAsia" w:ascii="楷体" w:hAnsi="楷体" w:eastAsia="仿宋" w:cs="Calibri"/>
                <w:sz w:val="24"/>
                <w:u w:val="none"/>
              </w:rPr>
            </w:pPr>
            <w:r>
              <w:rPr>
                <w:rFonts w:hint="eastAsia" w:ascii="楷体" w:hAnsi="楷体" w:eastAsia="仿宋" w:cs="Calibri"/>
                <w:sz w:val="24"/>
                <w:u w:val="none"/>
              </w:rPr>
              <w:t>合同签订生效后</w:t>
            </w:r>
            <w:r>
              <w:rPr>
                <w:rFonts w:hint="eastAsia" w:ascii="楷体" w:hAnsi="楷体" w:eastAsia="仿宋" w:cs="Calibri"/>
                <w:color w:val="auto"/>
                <w:sz w:val="24"/>
                <w:highlight w:val="none"/>
                <w:u w:val="none"/>
                <w:shd w:val="clear" w:color="auto" w:fill="auto"/>
              </w:rPr>
              <w:t xml:space="preserve"> </w:t>
            </w:r>
            <w:r>
              <w:rPr>
                <w:rFonts w:hint="eastAsia" w:ascii="楷体" w:hAnsi="楷体" w:eastAsia="仿宋" w:cs="Calibri"/>
                <w:color w:val="auto"/>
                <w:sz w:val="24"/>
                <w:highlight w:val="none"/>
                <w:u w:val="none"/>
                <w:shd w:val="clear" w:color="auto" w:fill="auto"/>
                <w:lang w:val="en-US" w:eastAsia="zh-CN"/>
              </w:rPr>
              <w:t>60</w:t>
            </w:r>
            <w:r>
              <w:rPr>
                <w:rFonts w:hint="eastAsia" w:ascii="楷体" w:hAnsi="楷体" w:eastAsia="仿宋" w:cs="Calibri"/>
                <w:color w:val="auto"/>
                <w:sz w:val="24"/>
                <w:highlight w:val="none"/>
                <w:u w:val="none"/>
                <w:shd w:val="clear" w:color="auto" w:fill="auto"/>
              </w:rPr>
              <w:t xml:space="preserve"> </w:t>
            </w:r>
            <w:r>
              <w:rPr>
                <w:rFonts w:hint="eastAsia" w:ascii="楷体" w:hAnsi="楷体" w:eastAsia="仿宋" w:cs="Calibri"/>
                <w:sz w:val="24"/>
                <w:u w:val="none"/>
              </w:rPr>
              <w:t>日历日</w:t>
            </w:r>
          </w:p>
          <w:p w14:paraId="13854161">
            <w:pPr>
              <w:widowControl/>
              <w:adjustRightInd w:val="0"/>
              <w:snapToGrid w:val="0"/>
              <w:spacing w:line="288" w:lineRule="auto"/>
              <w:rPr>
                <w:rFonts w:hint="eastAsia" w:ascii="楷体" w:hAnsi="楷体" w:eastAsia="仿宋" w:cs="Calibri"/>
                <w:sz w:val="24"/>
                <w:u w:val="none"/>
              </w:rPr>
            </w:pPr>
            <w:r>
              <w:rPr>
                <w:rFonts w:hint="eastAsia" w:ascii="宋体" w:hAnsi="宋体" w:eastAsia="仿宋" w:cs="Calibri"/>
                <w:sz w:val="24"/>
                <w:u w:val="none"/>
              </w:rPr>
              <w:t>是否接受负偏离：</w:t>
            </w:r>
            <w:r>
              <w:rPr>
                <w:rFonts w:hint="eastAsia" w:ascii="宋体" w:hAnsi="宋体" w:eastAsia="仿宋"/>
                <w:bCs/>
                <w:sz w:val="24"/>
                <w:u w:val="none"/>
              </w:rPr>
              <w:sym w:font="Wingdings" w:char="F0FE"/>
            </w:r>
            <w:r>
              <w:rPr>
                <w:rFonts w:hint="eastAsia" w:ascii="楷体" w:hAnsi="楷体" w:eastAsia="仿宋" w:cs="Calibri"/>
                <w:sz w:val="24"/>
                <w:u w:val="none"/>
              </w:rPr>
              <w:t>不接受</w:t>
            </w:r>
          </w:p>
          <w:p w14:paraId="6A76E699">
            <w:pPr>
              <w:pStyle w:val="19"/>
              <w:ind w:firstLine="480"/>
              <w:rPr>
                <w:rFonts w:hint="eastAsia" w:ascii="楷体" w:hAnsi="楷体" w:eastAsia="仿宋" w:cs="Calibri"/>
                <w:sz w:val="24"/>
                <w:u w:val="none"/>
              </w:rPr>
            </w:pPr>
            <w:r>
              <w:rPr>
                <w:rFonts w:hint="eastAsia" w:ascii="楷体" w:hAnsi="楷体" w:eastAsia="仿宋" w:cs="Calibri"/>
                <w:sz w:val="24"/>
                <w:u w:val="none"/>
              </w:rPr>
              <w:t xml:space="preserve">            □接受：</w:t>
            </w:r>
          </w:p>
          <w:p w14:paraId="6064E1FD">
            <w:pPr>
              <w:pStyle w:val="19"/>
              <w:ind w:firstLine="2160" w:firstLineChars="900"/>
              <w:rPr>
                <w:rFonts w:hint="eastAsia" w:ascii="宋体" w:hAnsi="宋体" w:eastAsia="仿宋"/>
                <w:sz w:val="24"/>
                <w:u w:val="none"/>
              </w:rPr>
            </w:pPr>
            <w:r>
              <w:rPr>
                <w:rFonts w:hint="eastAsia" w:ascii="楷体" w:hAnsi="楷体" w:eastAsia="仿宋" w:cs="Calibri"/>
                <w:sz w:val="24"/>
                <w:u w:val="none"/>
              </w:rPr>
              <w:t>允许偏离的幅度：</w:t>
            </w:r>
            <w:r>
              <w:rPr>
                <w:rFonts w:hint="eastAsia" w:ascii="宋体" w:hAnsi="宋体" w:eastAsia="仿宋"/>
                <w:sz w:val="24"/>
                <w:u w:val="none"/>
              </w:rPr>
              <w:t xml:space="preserve"> </w:t>
            </w:r>
          </w:p>
        </w:tc>
      </w:tr>
      <w:tr w14:paraId="57380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2375" w:type="dxa"/>
            <w:noWrap w:val="0"/>
            <w:vAlign w:val="center"/>
          </w:tcPr>
          <w:p w14:paraId="27C16600">
            <w:pPr>
              <w:widowControl/>
              <w:jc w:val="left"/>
              <w:rPr>
                <w:rFonts w:ascii="宋体" w:hAnsi="宋体" w:eastAsia="仿宋"/>
                <w:sz w:val="24"/>
                <w:u w:val="none"/>
              </w:rPr>
            </w:pPr>
            <w:r>
              <w:rPr>
                <w:rFonts w:hint="eastAsia" w:ascii="宋体" w:hAnsi="宋体" w:eastAsia="仿宋"/>
                <w:sz w:val="24"/>
                <w:u w:val="none"/>
              </w:rPr>
              <w:t>工程地点</w:t>
            </w:r>
          </w:p>
        </w:tc>
        <w:tc>
          <w:tcPr>
            <w:tcW w:w="7479" w:type="dxa"/>
            <w:noWrap w:val="0"/>
            <w:vAlign w:val="center"/>
          </w:tcPr>
          <w:p w14:paraId="66DBA8E8">
            <w:pPr>
              <w:pStyle w:val="19"/>
              <w:ind w:firstLine="0" w:firstLineChars="0"/>
              <w:rPr>
                <w:rFonts w:ascii="宋体" w:hAnsi="宋体" w:eastAsia="仿宋"/>
                <w:sz w:val="24"/>
                <w:u w:val="none"/>
              </w:rPr>
            </w:pPr>
            <w:r>
              <w:rPr>
                <w:rFonts w:hint="eastAsia" w:ascii="仿宋" w:hAnsi="仿宋" w:eastAsia="仿宋" w:cs="仿宋"/>
                <w:iCs/>
                <w:sz w:val="24"/>
                <w:u w:val="none"/>
              </w:rPr>
              <w:t>安徽省龙河口水库管理处，采购人指定地点</w:t>
            </w:r>
          </w:p>
        </w:tc>
      </w:tr>
      <w:tr w14:paraId="7B2F1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5" w:type="dxa"/>
            <w:noWrap w:val="0"/>
            <w:vAlign w:val="top"/>
          </w:tcPr>
          <w:p w14:paraId="41644D0A">
            <w:pPr>
              <w:pStyle w:val="19"/>
              <w:ind w:firstLine="0" w:firstLineChars="0"/>
              <w:rPr>
                <w:rFonts w:ascii="宋体" w:hAnsi="宋体" w:eastAsia="仿宋"/>
                <w:sz w:val="24"/>
                <w:u w:val="none"/>
              </w:rPr>
            </w:pPr>
            <w:r>
              <w:rPr>
                <w:rFonts w:hint="eastAsia" w:ascii="宋体" w:hAnsi="宋体" w:eastAsia="仿宋"/>
                <w:sz w:val="24"/>
                <w:u w:val="none"/>
              </w:rPr>
              <w:t>付款方式</w:t>
            </w:r>
          </w:p>
        </w:tc>
        <w:tc>
          <w:tcPr>
            <w:tcW w:w="7479" w:type="dxa"/>
            <w:noWrap w:val="0"/>
            <w:vAlign w:val="top"/>
          </w:tcPr>
          <w:p w14:paraId="37731FA7">
            <w:pPr>
              <w:widowControl/>
              <w:adjustRightInd w:val="0"/>
              <w:snapToGrid w:val="0"/>
              <w:spacing w:line="288" w:lineRule="auto"/>
              <w:rPr>
                <w:rFonts w:hint="eastAsia" w:ascii="宋体" w:hAnsi="宋体" w:eastAsia="仿宋" w:cs="Calibri"/>
                <w:sz w:val="24"/>
                <w:u w:val="none"/>
              </w:rPr>
            </w:pPr>
            <w:r>
              <w:rPr>
                <w:rFonts w:hint="eastAsia" w:ascii="宋体" w:hAnsi="宋体" w:eastAsia="仿宋" w:cs="Calibri"/>
                <w:sz w:val="24"/>
                <w:u w:val="none"/>
              </w:rPr>
              <w:t>预付款支付方式：</w:t>
            </w:r>
          </w:p>
          <w:p w14:paraId="0133DB7F">
            <w:pPr>
              <w:widowControl/>
              <w:adjustRightInd w:val="0"/>
              <w:snapToGrid w:val="0"/>
              <w:spacing w:line="288" w:lineRule="auto"/>
              <w:rPr>
                <w:rFonts w:hint="eastAsia" w:ascii="宋体" w:hAnsi="宋体" w:eastAsia="仿宋" w:cs="Calibri"/>
                <w:sz w:val="24"/>
                <w:u w:val="none"/>
              </w:rPr>
            </w:pPr>
            <w:r>
              <w:rPr>
                <w:rFonts w:hint="eastAsia" w:ascii="宋体" w:hAnsi="宋体" w:eastAsia="仿宋" w:cs="Calibri"/>
                <w:sz w:val="24"/>
                <w:u w:val="none"/>
              </w:rPr>
              <w:t>成交供应商为大型企业，预付款为合同金额的   /   ；</w:t>
            </w:r>
          </w:p>
          <w:p w14:paraId="32AAF4D5">
            <w:pPr>
              <w:widowControl/>
              <w:adjustRightInd w:val="0"/>
              <w:snapToGrid w:val="0"/>
              <w:spacing w:line="288" w:lineRule="auto"/>
              <w:rPr>
                <w:rFonts w:ascii="宋体" w:hAnsi="宋体" w:eastAsia="仿宋" w:cs="Calibri"/>
                <w:sz w:val="24"/>
                <w:u w:val="none"/>
              </w:rPr>
            </w:pPr>
            <w:r>
              <w:rPr>
                <w:rFonts w:hint="eastAsia" w:ascii="宋体" w:hAnsi="宋体" w:eastAsia="仿宋" w:cs="Calibri"/>
                <w:sz w:val="24"/>
                <w:u w:val="none"/>
              </w:rPr>
              <w:t xml:space="preserve">成交供应商为中小企业，预付款为合同金额的  </w:t>
            </w:r>
            <w:r>
              <w:rPr>
                <w:rFonts w:hint="eastAsia" w:ascii="宋体" w:hAnsi="宋体" w:eastAsia="仿宋" w:cs="Calibri"/>
                <w:sz w:val="24"/>
                <w:u w:val="none"/>
                <w:lang w:val="en-US" w:eastAsia="zh-CN"/>
              </w:rPr>
              <w:t>4</w:t>
            </w:r>
            <w:r>
              <w:rPr>
                <w:rFonts w:hint="eastAsia" w:ascii="宋体" w:hAnsi="宋体" w:eastAsia="仿宋" w:cs="Calibri"/>
                <w:sz w:val="24"/>
                <w:u w:val="none"/>
              </w:rPr>
              <w:t>0%  。</w:t>
            </w:r>
          </w:p>
          <w:p w14:paraId="0DA65AB5">
            <w:pPr>
              <w:widowControl/>
              <w:adjustRightInd w:val="0"/>
              <w:snapToGrid w:val="0"/>
              <w:spacing w:line="288" w:lineRule="auto"/>
              <w:rPr>
                <w:rFonts w:ascii="宋体" w:hAnsi="宋体" w:eastAsia="仿宋" w:cs="Calibri"/>
                <w:sz w:val="24"/>
                <w:u w:val="none"/>
              </w:rPr>
            </w:pPr>
            <w:r>
              <w:rPr>
                <w:rFonts w:hint="eastAsia" w:ascii="宋体" w:hAnsi="宋体" w:eastAsia="仿宋" w:cs="Calibri"/>
                <w:sz w:val="24"/>
                <w:u w:val="none"/>
              </w:rPr>
              <w:t>成交供应商需提供预付款保函，预付款在合同、担保措施生效以及具备实施条件后5个工作日内支付。在签订合同时，供应商书面明确表示无需预付款或者主动要求降低预付款比例的，采购人可不适用前述规定。</w:t>
            </w:r>
          </w:p>
          <w:p w14:paraId="18A30A5B">
            <w:pPr>
              <w:widowControl/>
              <w:adjustRightInd w:val="0"/>
              <w:snapToGrid w:val="0"/>
              <w:spacing w:line="288" w:lineRule="auto"/>
              <w:rPr>
                <w:rFonts w:hint="eastAsia" w:ascii="宋体" w:hAnsi="宋体" w:eastAsia="仿宋" w:cs="Calibri"/>
                <w:sz w:val="24"/>
                <w:u w:val="none"/>
              </w:rPr>
            </w:pPr>
            <w:r>
              <w:rPr>
                <w:rFonts w:hint="eastAsia" w:ascii="宋体" w:hAnsi="宋体" w:eastAsia="仿宋" w:cs="Calibri"/>
                <w:sz w:val="24"/>
                <w:u w:val="none"/>
              </w:rPr>
              <w:t>预付款含本工程安全生产费用。</w:t>
            </w:r>
          </w:p>
          <w:p w14:paraId="350266FE">
            <w:pPr>
              <w:widowControl/>
              <w:adjustRightInd w:val="0"/>
              <w:snapToGrid w:val="0"/>
              <w:spacing w:line="288" w:lineRule="auto"/>
              <w:rPr>
                <w:rFonts w:hint="eastAsia" w:ascii="宋体" w:hAnsi="宋体" w:eastAsia="仿宋" w:cs="Calibri"/>
                <w:sz w:val="24"/>
                <w:u w:val="none"/>
              </w:rPr>
            </w:pPr>
            <w:r>
              <w:rPr>
                <w:rFonts w:hint="eastAsia" w:ascii="宋体" w:hAnsi="宋体" w:eastAsia="仿宋" w:cs="Calibri"/>
                <w:sz w:val="24"/>
                <w:u w:val="none"/>
              </w:rPr>
              <w:t>预付款保函要求：</w:t>
            </w:r>
          </w:p>
          <w:p w14:paraId="4FEAE303">
            <w:pPr>
              <w:widowControl/>
              <w:adjustRightInd w:val="0"/>
              <w:snapToGrid w:val="0"/>
              <w:spacing w:line="288" w:lineRule="auto"/>
              <w:rPr>
                <w:rFonts w:ascii="宋体" w:hAnsi="宋体" w:eastAsia="仿宋" w:cs="Calibri"/>
                <w:sz w:val="24"/>
                <w:u w:val="none"/>
              </w:rPr>
            </w:pPr>
            <w:r>
              <w:rPr>
                <w:rFonts w:hint="eastAsia" w:ascii="宋体" w:hAnsi="宋体" w:eastAsia="仿宋" w:cs="Calibri"/>
                <w:sz w:val="24"/>
                <w:u w:val="none"/>
              </w:rPr>
              <w:t>（1）成交供应商提供保函的受益人和收取单位须为采购人，担保期限不少于合同履约期限。</w:t>
            </w:r>
          </w:p>
          <w:p w14:paraId="12B12CA1">
            <w:pPr>
              <w:widowControl/>
              <w:adjustRightInd w:val="0"/>
              <w:snapToGrid w:val="0"/>
              <w:spacing w:line="288" w:lineRule="auto"/>
              <w:rPr>
                <w:rFonts w:hint="eastAsia" w:ascii="宋体" w:hAnsi="宋体" w:eastAsia="仿宋" w:cs="Calibri"/>
                <w:sz w:val="24"/>
                <w:u w:val="none"/>
              </w:rPr>
            </w:pPr>
            <w:r>
              <w:rPr>
                <w:rFonts w:hint="eastAsia" w:ascii="宋体" w:hAnsi="宋体" w:eastAsia="仿宋" w:cs="Calibri"/>
                <w:sz w:val="24"/>
                <w:u w:val="none"/>
              </w:rPr>
              <w:t>（2）保函形式：</w:t>
            </w:r>
            <w:r>
              <w:rPr>
                <w:rFonts w:hint="eastAsia" w:ascii="MS Mincho" w:hAnsi="MS Mincho" w:eastAsia="MS Mincho" w:cs="MS Mincho"/>
                <w:sz w:val="24"/>
                <w:u w:val="none"/>
              </w:rPr>
              <w:t>☑</w:t>
            </w:r>
            <w:r>
              <w:rPr>
                <w:rFonts w:hint="eastAsia" w:ascii="宋体" w:hAnsi="宋体" w:eastAsia="仿宋" w:cs="Calibri"/>
                <w:sz w:val="24"/>
                <w:u w:val="none"/>
              </w:rPr>
              <w:t>银行保函</w:t>
            </w:r>
            <w:r>
              <w:rPr>
                <w:rFonts w:hint="eastAsia" w:ascii="MS Mincho" w:hAnsi="MS Mincho" w:eastAsia="MS Mincho" w:cs="MS Mincho"/>
                <w:sz w:val="24"/>
                <w:u w:val="none"/>
              </w:rPr>
              <w:t>☑</w:t>
            </w:r>
            <w:r>
              <w:rPr>
                <w:rFonts w:hint="eastAsia" w:ascii="宋体" w:hAnsi="宋体" w:eastAsia="仿宋" w:cs="Calibri"/>
                <w:sz w:val="24"/>
                <w:u w:val="none"/>
              </w:rPr>
              <w:t>担保机构担保</w:t>
            </w:r>
            <w:r>
              <w:rPr>
                <w:rFonts w:hint="eastAsia" w:ascii="MS Mincho" w:hAnsi="MS Mincho" w:eastAsia="MS Mincho" w:cs="MS Mincho"/>
                <w:sz w:val="24"/>
                <w:u w:val="none"/>
              </w:rPr>
              <w:t>☑</w:t>
            </w:r>
            <w:r>
              <w:rPr>
                <w:rFonts w:hint="eastAsia" w:ascii="宋体" w:hAnsi="宋体" w:eastAsia="仿宋" w:cs="Calibri"/>
                <w:sz w:val="24"/>
                <w:u w:val="none"/>
              </w:rPr>
              <w:t>保证保险</w:t>
            </w:r>
            <w:r>
              <w:rPr>
                <w:rFonts w:hint="eastAsia" w:ascii="MS Mincho" w:hAnsi="MS Mincho" w:eastAsia="MS Mincho" w:cs="MS Mincho"/>
                <w:sz w:val="24"/>
                <w:u w:val="none"/>
              </w:rPr>
              <w:t>☑</w:t>
            </w:r>
            <w:r>
              <w:rPr>
                <w:rFonts w:hint="eastAsia" w:ascii="宋体" w:hAnsi="宋体" w:eastAsia="仿宋" w:cs="Calibri"/>
                <w:sz w:val="24"/>
                <w:u w:val="none"/>
              </w:rPr>
              <w:t>电子保函</w:t>
            </w:r>
          </w:p>
          <w:p w14:paraId="593DD8D7">
            <w:pPr>
              <w:widowControl/>
              <w:adjustRightInd w:val="0"/>
              <w:snapToGrid w:val="0"/>
              <w:spacing w:line="288" w:lineRule="auto"/>
              <w:rPr>
                <w:rFonts w:hint="eastAsia" w:ascii="宋体" w:hAnsi="宋体" w:eastAsia="仿宋" w:cs="Calibri"/>
                <w:sz w:val="24"/>
                <w:u w:val="none"/>
              </w:rPr>
            </w:pPr>
            <w:r>
              <w:rPr>
                <w:rFonts w:hint="eastAsia" w:ascii="宋体" w:hAnsi="宋体" w:eastAsia="仿宋" w:cs="Calibri"/>
                <w:sz w:val="24"/>
                <w:u w:val="none"/>
              </w:rPr>
              <w:t>（3）保函递交要求：</w:t>
            </w:r>
          </w:p>
          <w:p w14:paraId="02B8C9A1">
            <w:pPr>
              <w:widowControl/>
              <w:adjustRightInd w:val="0"/>
              <w:snapToGrid w:val="0"/>
              <w:spacing w:line="288" w:lineRule="auto"/>
              <w:rPr>
                <w:rFonts w:hint="eastAsia" w:ascii="宋体" w:hAnsi="宋体" w:eastAsia="仿宋" w:cs="Calibri"/>
                <w:sz w:val="24"/>
                <w:u w:val="none"/>
              </w:rPr>
            </w:pPr>
            <w:r>
              <w:rPr>
                <w:rFonts w:hint="eastAsia" w:ascii="宋体" w:hAnsi="宋体" w:eastAsia="仿宋" w:cs="Calibri"/>
                <w:sz w:val="24"/>
                <w:u w:val="none"/>
              </w:rPr>
              <w:t>①如采用银行保函，银行保函应为见索即付无条件独立保函，且应将原件交至采购人保管。</w:t>
            </w:r>
          </w:p>
          <w:p w14:paraId="73711E6C">
            <w:pPr>
              <w:widowControl/>
              <w:adjustRightInd w:val="0"/>
              <w:snapToGrid w:val="0"/>
              <w:spacing w:line="288" w:lineRule="auto"/>
              <w:rPr>
                <w:rFonts w:hint="eastAsia" w:ascii="宋体" w:hAnsi="宋体" w:eastAsia="仿宋" w:cs="Calibri"/>
                <w:sz w:val="24"/>
                <w:u w:val="none"/>
              </w:rPr>
            </w:pPr>
            <w:r>
              <w:rPr>
                <w:rFonts w:hint="eastAsia" w:ascii="宋体" w:hAnsi="宋体" w:eastAsia="仿宋" w:cs="Calibri"/>
                <w:sz w:val="24"/>
                <w:u w:val="none"/>
              </w:rPr>
              <w:t>②采用担保机构担保的，应为依法取得融资担保业务经营许可证的融资担保机构出具的不可撤销、不可转让的见索即付独立保函。</w:t>
            </w:r>
          </w:p>
          <w:p w14:paraId="3D00E8A9">
            <w:pPr>
              <w:widowControl/>
              <w:adjustRightInd w:val="0"/>
              <w:snapToGrid w:val="0"/>
              <w:spacing w:line="288" w:lineRule="auto"/>
              <w:rPr>
                <w:rFonts w:hint="eastAsia" w:ascii="宋体" w:hAnsi="宋体" w:eastAsia="仿宋" w:cs="Calibri"/>
                <w:sz w:val="24"/>
                <w:u w:val="none"/>
              </w:rPr>
            </w:pPr>
            <w:r>
              <w:rPr>
                <w:rFonts w:hint="eastAsia" w:ascii="宋体" w:hAnsi="宋体" w:eastAsia="仿宋" w:cs="Calibri"/>
                <w:sz w:val="24"/>
                <w:u w:val="none"/>
              </w:rPr>
              <w:t>③采用保证保险的，应为保险公司出具的不可撤销、不可转让的见索即付保证保险。</w:t>
            </w:r>
          </w:p>
          <w:p w14:paraId="6938BC15">
            <w:pPr>
              <w:widowControl/>
              <w:adjustRightInd w:val="0"/>
              <w:snapToGrid w:val="0"/>
              <w:spacing w:line="288" w:lineRule="auto"/>
              <w:rPr>
                <w:rFonts w:hint="eastAsia" w:ascii="宋体" w:hAnsi="宋体" w:eastAsia="仿宋" w:cs="Calibri"/>
                <w:sz w:val="24"/>
                <w:u w:val="none"/>
              </w:rPr>
            </w:pPr>
            <w:r>
              <w:rPr>
                <w:rFonts w:hint="eastAsia" w:ascii="宋体" w:hAnsi="宋体" w:eastAsia="仿宋" w:cs="Calibri"/>
                <w:sz w:val="24"/>
                <w:u w:val="none"/>
              </w:rPr>
              <w:t>④采用电子保函的，可访问安徽省政府采购网“融资/保函”栏目进行申请。</w:t>
            </w:r>
          </w:p>
          <w:p w14:paraId="637719B4">
            <w:pPr>
              <w:widowControl/>
              <w:adjustRightInd w:val="0"/>
              <w:snapToGrid w:val="0"/>
              <w:spacing w:line="288" w:lineRule="auto"/>
              <w:rPr>
                <w:rFonts w:ascii="宋体" w:hAnsi="宋体" w:eastAsia="仿宋" w:cs="Calibri"/>
                <w:sz w:val="24"/>
                <w:u w:val="none"/>
              </w:rPr>
            </w:pPr>
            <w:r>
              <w:rPr>
                <w:rFonts w:hint="eastAsia" w:ascii="宋体" w:hAnsi="宋体" w:eastAsia="仿宋" w:cs="Calibri"/>
                <w:sz w:val="24"/>
                <w:u w:val="none"/>
              </w:rPr>
              <w:t>余款支付方</w:t>
            </w:r>
            <w:r>
              <w:rPr>
                <w:rFonts w:ascii="Times New Roman" w:hAnsi="Times New Roman" w:eastAsia="仿宋"/>
                <w:sz w:val="24"/>
                <w:u w:val="none"/>
              </w:rPr>
              <w:t>式：</w:t>
            </w:r>
            <w:r>
              <w:rPr>
                <w:rFonts w:hint="eastAsia" w:ascii="Times New Roman" w:hAnsi="Times New Roman" w:eastAsia="仿宋"/>
                <w:sz w:val="24"/>
                <w:u w:val="none"/>
              </w:rPr>
              <w:t>竣工验收合格经审计后</w:t>
            </w:r>
            <w:r>
              <w:rPr>
                <w:rFonts w:hint="eastAsia" w:ascii="Times New Roman" w:hAnsi="Times New Roman" w:eastAsia="仿宋"/>
                <w:sz w:val="24"/>
                <w:u w:val="none"/>
                <w:lang w:val="en-US" w:eastAsia="zh-CN"/>
              </w:rPr>
              <w:t>供应商</w:t>
            </w:r>
            <w:r>
              <w:rPr>
                <w:rFonts w:hint="eastAsia" w:ascii="Times New Roman" w:hAnsi="Times New Roman" w:eastAsia="仿宋"/>
                <w:sz w:val="24"/>
                <w:u w:val="none"/>
              </w:rPr>
              <w:t>向</w:t>
            </w:r>
            <w:r>
              <w:rPr>
                <w:rFonts w:hint="eastAsia" w:ascii="Times New Roman" w:hAnsi="Times New Roman" w:eastAsia="仿宋"/>
                <w:sz w:val="24"/>
                <w:u w:val="none"/>
                <w:lang w:val="en-US" w:eastAsia="zh-CN"/>
              </w:rPr>
              <w:t>采购人</w:t>
            </w:r>
            <w:r>
              <w:rPr>
                <w:rFonts w:hint="eastAsia" w:ascii="Times New Roman" w:hAnsi="Times New Roman" w:eastAsia="仿宋"/>
                <w:sz w:val="24"/>
                <w:u w:val="none"/>
              </w:rPr>
              <w:t>提交结算价款的3%作为工程质量保证金</w:t>
            </w:r>
            <w:r>
              <w:rPr>
                <w:rFonts w:hint="eastAsia" w:ascii="Times New Roman" w:hAnsi="Times New Roman" w:eastAsia="仿宋"/>
                <w:sz w:val="24"/>
                <w:u w:val="none"/>
                <w:lang w:eastAsia="zh-CN"/>
              </w:rPr>
              <w:t>（</w:t>
            </w:r>
            <w:r>
              <w:rPr>
                <w:rFonts w:hint="eastAsia" w:ascii="宋体" w:hAnsi="宋体" w:eastAsia="仿宋" w:cs="Calibri"/>
                <w:sz w:val="24"/>
                <w:u w:val="none"/>
                <w:lang w:val="en-US" w:eastAsia="zh-CN"/>
              </w:rPr>
              <w:t>或</w:t>
            </w:r>
            <w:r>
              <w:rPr>
                <w:rFonts w:hint="eastAsia" w:ascii="宋体" w:hAnsi="宋体" w:eastAsia="仿宋" w:cs="Calibri"/>
                <w:sz w:val="24"/>
                <w:u w:val="none"/>
              </w:rPr>
              <w:t>银行保函或保证保险等方式提交</w:t>
            </w:r>
            <w:r>
              <w:rPr>
                <w:rFonts w:hint="eastAsia" w:ascii="Times New Roman" w:hAnsi="Times New Roman" w:eastAsia="仿宋"/>
                <w:sz w:val="24"/>
                <w:u w:val="none"/>
              </w:rPr>
              <w:t>等金额质量保证担保</w:t>
            </w:r>
            <w:r>
              <w:rPr>
                <w:rFonts w:hint="eastAsia" w:ascii="Times New Roman" w:hAnsi="Times New Roman" w:eastAsia="仿宋"/>
                <w:sz w:val="24"/>
                <w:u w:val="none"/>
                <w:lang w:eastAsia="zh-CN"/>
              </w:rPr>
              <w:t>）</w:t>
            </w:r>
            <w:r>
              <w:rPr>
                <w:rFonts w:hint="eastAsia" w:ascii="Times New Roman" w:hAnsi="Times New Roman" w:eastAsia="仿宋"/>
                <w:sz w:val="24"/>
                <w:u w:val="none"/>
              </w:rPr>
              <w:t>，工程竣工结算</w:t>
            </w:r>
            <w:r>
              <w:rPr>
                <w:rFonts w:hint="eastAsia" w:ascii="Times New Roman" w:hAnsi="Times New Roman" w:eastAsia="仿宋"/>
                <w:sz w:val="24"/>
                <w:u w:val="none"/>
                <w:lang w:val="en-US" w:eastAsia="zh-CN"/>
              </w:rPr>
              <w:t>并移交</w:t>
            </w:r>
            <w:r>
              <w:rPr>
                <w:rFonts w:hint="eastAsia" w:ascii="Times New Roman" w:hAnsi="Times New Roman" w:eastAsia="仿宋"/>
                <w:sz w:val="24"/>
                <w:u w:val="none"/>
              </w:rPr>
              <w:t>完成后</w:t>
            </w:r>
            <w:r>
              <w:rPr>
                <w:rFonts w:hint="eastAsia" w:ascii="Times New Roman" w:hAnsi="Times New Roman" w:eastAsia="仿宋"/>
                <w:sz w:val="24"/>
                <w:u w:val="none"/>
                <w:lang w:val="en-US" w:eastAsia="zh-CN"/>
              </w:rPr>
              <w:t>采购人</w:t>
            </w:r>
            <w:r>
              <w:rPr>
                <w:rFonts w:hint="eastAsia" w:ascii="Times New Roman" w:hAnsi="Times New Roman" w:eastAsia="仿宋"/>
                <w:sz w:val="24"/>
                <w:u w:val="none"/>
              </w:rPr>
              <w:t xml:space="preserve">付至最终结算价款的100%，待缺陷责任期（验收合格后 </w:t>
            </w:r>
            <w:r>
              <w:rPr>
                <w:rFonts w:hint="eastAsia" w:ascii="Times New Roman" w:hAnsi="Times New Roman" w:eastAsia="仿宋"/>
                <w:sz w:val="24"/>
                <w:u w:val="none"/>
                <w:lang w:val="en-US" w:eastAsia="zh-CN"/>
              </w:rPr>
              <w:t>1</w:t>
            </w:r>
            <w:r>
              <w:rPr>
                <w:rFonts w:hint="eastAsia" w:ascii="Times New Roman" w:hAnsi="Times New Roman" w:eastAsia="仿宋"/>
                <w:sz w:val="24"/>
                <w:u w:val="none"/>
              </w:rPr>
              <w:t xml:space="preserve"> 年）满无质量问题后一次性退付。</w:t>
            </w:r>
          </w:p>
          <w:p w14:paraId="3967BEED">
            <w:pPr>
              <w:widowControl/>
              <w:adjustRightInd w:val="0"/>
              <w:snapToGrid w:val="0"/>
              <w:spacing w:line="288" w:lineRule="auto"/>
              <w:rPr>
                <w:u w:val="none"/>
              </w:rPr>
            </w:pPr>
          </w:p>
          <w:p w14:paraId="6E76A83A">
            <w:pPr>
              <w:widowControl/>
              <w:adjustRightInd w:val="0"/>
              <w:snapToGrid w:val="0"/>
              <w:spacing w:line="288" w:lineRule="auto"/>
              <w:rPr>
                <w:rFonts w:hint="eastAsia" w:ascii="楷体" w:hAnsi="楷体" w:eastAsia="仿宋" w:cs="Calibri"/>
                <w:sz w:val="24"/>
                <w:u w:val="none"/>
              </w:rPr>
            </w:pPr>
            <w:r>
              <w:rPr>
                <w:rFonts w:hint="eastAsia" w:ascii="宋体" w:hAnsi="宋体" w:eastAsia="仿宋" w:cs="Calibri"/>
                <w:sz w:val="24"/>
                <w:u w:val="none"/>
              </w:rPr>
              <w:t>是否接受负偏离：</w:t>
            </w:r>
            <w:r>
              <w:rPr>
                <w:rFonts w:hint="eastAsia" w:ascii="宋体" w:hAnsi="宋体" w:eastAsia="仿宋"/>
                <w:bCs/>
                <w:sz w:val="24"/>
                <w:u w:val="none"/>
              </w:rPr>
              <w:sym w:font="Wingdings" w:char="F0FE"/>
            </w:r>
            <w:r>
              <w:rPr>
                <w:rFonts w:hint="eastAsia" w:ascii="楷体" w:hAnsi="楷体" w:eastAsia="仿宋" w:cs="Calibri"/>
                <w:sz w:val="24"/>
                <w:u w:val="none"/>
              </w:rPr>
              <w:t>不接受</w:t>
            </w:r>
          </w:p>
          <w:p w14:paraId="7FD7E765">
            <w:pPr>
              <w:widowControl/>
              <w:adjustRightInd w:val="0"/>
              <w:snapToGrid w:val="0"/>
              <w:spacing w:line="288" w:lineRule="auto"/>
              <w:rPr>
                <w:rFonts w:hint="eastAsia" w:ascii="楷体" w:hAnsi="楷体" w:eastAsia="仿宋" w:cs="Calibri"/>
                <w:sz w:val="24"/>
                <w:u w:val="none"/>
              </w:rPr>
            </w:pPr>
            <w:r>
              <w:rPr>
                <w:rFonts w:hint="eastAsia" w:ascii="楷体" w:hAnsi="楷体" w:eastAsia="仿宋" w:cs="Calibri"/>
                <w:sz w:val="24"/>
                <w:u w:val="none"/>
              </w:rPr>
              <w:t xml:space="preserve">                □接受：</w:t>
            </w:r>
          </w:p>
          <w:p w14:paraId="48A9E1EE">
            <w:pPr>
              <w:widowControl/>
              <w:adjustRightInd w:val="0"/>
              <w:snapToGrid w:val="0"/>
              <w:spacing w:line="288" w:lineRule="auto"/>
              <w:ind w:firstLine="1920" w:firstLineChars="800"/>
              <w:rPr>
                <w:rFonts w:ascii="宋体" w:hAnsi="宋体" w:eastAsia="仿宋"/>
                <w:sz w:val="24"/>
                <w:u w:val="none"/>
              </w:rPr>
            </w:pPr>
            <w:r>
              <w:rPr>
                <w:rFonts w:hint="eastAsia" w:ascii="楷体" w:hAnsi="楷体" w:eastAsia="仿宋" w:cs="Calibri"/>
                <w:sz w:val="24"/>
                <w:u w:val="none"/>
              </w:rPr>
              <w:t>允许偏离的幅度：</w:t>
            </w:r>
            <w:r>
              <w:rPr>
                <w:rFonts w:ascii="宋体" w:hAnsi="宋体" w:eastAsia="仿宋"/>
                <w:sz w:val="24"/>
                <w:u w:val="none"/>
              </w:rPr>
              <w:t xml:space="preserve"> </w:t>
            </w:r>
          </w:p>
        </w:tc>
      </w:tr>
      <w:tr w14:paraId="6FDDC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5" w:type="dxa"/>
            <w:noWrap w:val="0"/>
            <w:vAlign w:val="center"/>
          </w:tcPr>
          <w:p w14:paraId="5B32C7A7">
            <w:pPr>
              <w:pStyle w:val="20"/>
              <w:widowControl w:val="0"/>
              <w:spacing w:before="0" w:beforeAutospacing="0" w:after="0" w:afterAutospacing="0"/>
              <w:rPr>
                <w:rFonts w:ascii="宋体" w:hAnsi="宋体" w:eastAsia="仿宋"/>
                <w:sz w:val="24"/>
                <w:u w:val="none"/>
              </w:rPr>
            </w:pPr>
            <w:r>
              <w:rPr>
                <w:rFonts w:hint="eastAsia" w:ascii="宋体" w:hAnsi="宋体" w:eastAsia="仿宋" w:cs="Calibri"/>
                <w:b w:val="0"/>
                <w:bCs w:val="0"/>
                <w:kern w:val="2"/>
                <w:sz w:val="24"/>
                <w:szCs w:val="24"/>
                <w:u w:val="none"/>
              </w:rPr>
              <w:t>本项目采购标的所属行业</w:t>
            </w:r>
          </w:p>
        </w:tc>
        <w:tc>
          <w:tcPr>
            <w:tcW w:w="7479" w:type="dxa"/>
            <w:noWrap w:val="0"/>
            <w:vAlign w:val="center"/>
          </w:tcPr>
          <w:p w14:paraId="5F67123C">
            <w:pPr>
              <w:jc w:val="center"/>
              <w:rPr>
                <w:rFonts w:hint="eastAsia" w:ascii="宋体" w:hAnsi="宋体" w:eastAsia="仿宋"/>
                <w:sz w:val="24"/>
                <w:u w:val="none"/>
              </w:rPr>
            </w:pPr>
            <w:r>
              <w:rPr>
                <w:rFonts w:hint="eastAsia" w:ascii="宋体" w:hAnsi="宋体" w:eastAsia="仿宋"/>
                <w:sz w:val="24"/>
                <w:highlight w:val="none"/>
                <w:u w:val="none"/>
              </w:rPr>
              <w:t>建筑业</w:t>
            </w:r>
          </w:p>
        </w:tc>
      </w:tr>
    </w:tbl>
    <w:p w14:paraId="2E21436C">
      <w:pPr>
        <w:pStyle w:val="19"/>
        <w:ind w:firstLine="480"/>
        <w:rPr>
          <w:rFonts w:ascii="宋体" w:hAnsi="宋体" w:eastAsia="仿宋"/>
          <w:color w:val="FF0000"/>
          <w:sz w:val="24"/>
          <w:u w:val="none"/>
        </w:rPr>
      </w:pPr>
    </w:p>
    <w:bookmarkEnd w:id="6"/>
    <w:p w14:paraId="4AFDF7BF">
      <w:pPr>
        <w:pStyle w:val="8"/>
        <w:widowControl/>
        <w:snapToGrid w:val="0"/>
        <w:spacing w:line="360" w:lineRule="auto"/>
        <w:outlineLvl w:val="1"/>
        <w:rPr>
          <w:rStyle w:val="18"/>
          <w:rFonts w:hint="eastAsia" w:ascii="宋体" w:hAnsi="宋体" w:eastAsia="仿宋"/>
          <w:sz w:val="24"/>
          <w:szCs w:val="24"/>
          <w:u w:val="none"/>
        </w:rPr>
      </w:pPr>
      <w:bookmarkStart w:id="7" w:name="_Toc445554749"/>
      <w:bookmarkStart w:id="8" w:name="_Toc455587091"/>
      <w:bookmarkStart w:id="9" w:name="_Toc455587275"/>
      <w:bookmarkStart w:id="10" w:name="_Toc466024558"/>
      <w:r>
        <w:rPr>
          <w:rStyle w:val="18"/>
          <w:rFonts w:hint="eastAsia" w:ascii="宋体" w:hAnsi="宋体" w:eastAsia="仿宋"/>
          <w:sz w:val="24"/>
          <w:szCs w:val="24"/>
          <w:u w:val="none"/>
        </w:rPr>
        <w:t>4. 技术要求</w:t>
      </w:r>
      <w:bookmarkEnd w:id="7"/>
      <w:bookmarkEnd w:id="8"/>
      <w:bookmarkEnd w:id="9"/>
      <w:bookmarkEnd w:id="10"/>
    </w:p>
    <w:p w14:paraId="4046E4E4">
      <w:pPr>
        <w:spacing w:line="360" w:lineRule="auto"/>
        <w:ind w:firstLine="482" w:firstLineChars="200"/>
        <w:textAlignment w:val="baseline"/>
        <w:rPr>
          <w:rFonts w:ascii="仿宋" w:hAnsi="仿宋" w:eastAsia="仿宋" w:cs="仿宋"/>
          <w:sz w:val="24"/>
          <w:u w:val="none"/>
        </w:rPr>
      </w:pPr>
      <w:r>
        <w:rPr>
          <w:rFonts w:hint="eastAsia" w:ascii="仿宋" w:hAnsi="仿宋" w:eastAsia="仿宋" w:cs="仿宋"/>
          <w:b/>
          <w:bCs/>
          <w:sz w:val="24"/>
          <w:u w:val="none"/>
          <w:lang w:val="en-US" w:eastAsia="zh-CN"/>
        </w:rPr>
        <w:t>4.1</w:t>
      </w:r>
      <w:r>
        <w:rPr>
          <w:rFonts w:hint="eastAsia" w:ascii="仿宋" w:hAnsi="仿宋" w:eastAsia="仿宋" w:cs="仿宋"/>
          <w:b/>
          <w:bCs/>
          <w:sz w:val="24"/>
          <w:u w:val="none"/>
        </w:rPr>
        <w:t xml:space="preserve"> </w:t>
      </w:r>
      <w:r>
        <w:rPr>
          <w:rFonts w:hint="eastAsia" w:ascii="仿宋" w:hAnsi="仿宋" w:eastAsia="仿宋" w:cs="仿宋"/>
          <w:b/>
          <w:bCs/>
          <w:sz w:val="24"/>
          <w:u w:val="none"/>
          <w:lang w:val="en-US" w:eastAsia="zh-CN"/>
        </w:rPr>
        <w:t>一般</w:t>
      </w:r>
      <w:r>
        <w:rPr>
          <w:rFonts w:hint="eastAsia" w:ascii="仿宋" w:hAnsi="仿宋" w:eastAsia="仿宋" w:cs="仿宋"/>
          <w:b/>
          <w:bCs/>
          <w:sz w:val="24"/>
          <w:u w:val="none"/>
        </w:rPr>
        <w:t>要求：</w:t>
      </w:r>
      <w:r>
        <w:rPr>
          <w:rFonts w:hint="eastAsia" w:ascii="仿宋" w:hAnsi="仿宋" w:eastAsia="仿宋" w:cs="仿宋"/>
          <w:sz w:val="24"/>
          <w:u w:val="none"/>
        </w:rPr>
        <w:t>本项目的材料、设备、施工须达到现行中华人民共和国以及安徽省、工程所在地市或行业的有关工程建设标准、规范和设计文件的要求。在合同履行期间，若下述标准或规范有修改或新版颁布，</w:t>
      </w:r>
      <w:r>
        <w:rPr>
          <w:rFonts w:hint="eastAsia" w:ascii="仿宋" w:hAnsi="仿宋" w:eastAsia="仿宋" w:cs="仿宋"/>
          <w:sz w:val="24"/>
          <w:u w:val="none"/>
          <w:lang w:val="en-US" w:eastAsia="zh-CN"/>
        </w:rPr>
        <w:t>供应商</w:t>
      </w:r>
      <w:r>
        <w:rPr>
          <w:rFonts w:hint="eastAsia" w:ascii="仿宋" w:hAnsi="仿宋" w:eastAsia="仿宋" w:cs="仿宋"/>
          <w:sz w:val="24"/>
          <w:u w:val="none"/>
        </w:rPr>
        <w:t>应遵照执行。</w:t>
      </w:r>
    </w:p>
    <w:p w14:paraId="23B2B45D">
      <w:pPr>
        <w:spacing w:line="360" w:lineRule="auto"/>
        <w:ind w:firstLine="480" w:firstLineChars="200"/>
        <w:textAlignment w:val="baseline"/>
        <w:rPr>
          <w:rFonts w:hint="eastAsia" w:ascii="仿宋" w:hAnsi="仿宋" w:eastAsia="仿宋" w:cs="仿宋"/>
          <w:sz w:val="24"/>
          <w:u w:val="none"/>
        </w:rPr>
      </w:pPr>
      <w:r>
        <w:rPr>
          <w:rFonts w:hint="eastAsia" w:ascii="仿宋" w:hAnsi="仿宋" w:eastAsia="仿宋" w:cs="仿宋"/>
          <w:sz w:val="24"/>
          <w:u w:val="none"/>
        </w:rPr>
        <w:t xml:space="preserve">适用的国家、行业以及地方标准、规范和规程（包括但不限于）： </w:t>
      </w:r>
    </w:p>
    <w:p w14:paraId="0EC7AA73">
      <w:pPr>
        <w:spacing w:line="360" w:lineRule="auto"/>
        <w:ind w:firstLine="480" w:firstLineChars="200"/>
        <w:textAlignment w:val="baseline"/>
        <w:rPr>
          <w:rFonts w:hint="eastAsia" w:ascii="仿宋" w:hAnsi="仿宋" w:eastAsia="仿宋" w:cs="仿宋"/>
          <w:strike w:val="0"/>
          <w:sz w:val="24"/>
          <w:u w:val="none"/>
        </w:rPr>
      </w:pPr>
      <w:r>
        <w:rPr>
          <w:rFonts w:hint="eastAsia" w:ascii="仿宋" w:hAnsi="仿宋" w:eastAsia="仿宋" w:cs="仿宋"/>
          <w:strike w:val="0"/>
          <w:sz w:val="24"/>
          <w:u w:val="none"/>
        </w:rPr>
        <w:t>（1）</w:t>
      </w:r>
      <w:r>
        <w:rPr>
          <w:rFonts w:hint="eastAsia" w:ascii="仿宋" w:hAnsi="仿宋" w:eastAsia="仿宋" w:cs="仿宋"/>
          <w:strike w:val="0"/>
          <w:sz w:val="24"/>
          <w:u w:val="none"/>
          <w:lang w:eastAsia="zh-CN"/>
        </w:rPr>
        <w:t>《</w:t>
      </w:r>
      <w:r>
        <w:rPr>
          <w:rFonts w:hint="eastAsia" w:ascii="仿宋" w:hAnsi="仿宋" w:eastAsia="仿宋" w:cs="仿宋"/>
          <w:strike w:val="0"/>
          <w:sz w:val="24"/>
          <w:u w:val="none"/>
        </w:rPr>
        <w:t>电力系统简单服务接口规范</w:t>
      </w:r>
      <w:r>
        <w:rPr>
          <w:rFonts w:hint="eastAsia" w:ascii="仿宋" w:hAnsi="仿宋" w:eastAsia="仿宋" w:cs="仿宋"/>
          <w:strike w:val="0"/>
          <w:sz w:val="24"/>
          <w:u w:val="none"/>
          <w:lang w:eastAsia="zh-CN"/>
        </w:rPr>
        <w:t>》</w:t>
      </w:r>
      <w:r>
        <w:rPr>
          <w:rFonts w:hint="eastAsia" w:ascii="仿宋" w:hAnsi="仿宋" w:eastAsia="仿宋" w:cs="仿宋"/>
          <w:strike w:val="0"/>
          <w:sz w:val="24"/>
          <w:u w:val="none"/>
        </w:rPr>
        <w:t>GB/T 33604-2017</w:t>
      </w:r>
      <w:r>
        <w:rPr>
          <w:rFonts w:hint="eastAsia" w:ascii="仿宋" w:hAnsi="仿宋" w:eastAsia="仿宋" w:cs="仿宋"/>
          <w:strike w:val="0"/>
          <w:sz w:val="24"/>
          <w:u w:val="none"/>
        </w:rPr>
        <w:tab/>
      </w:r>
    </w:p>
    <w:p w14:paraId="5203CD5D">
      <w:pPr>
        <w:spacing w:line="360" w:lineRule="auto"/>
        <w:ind w:firstLine="480" w:firstLineChars="200"/>
        <w:textAlignment w:val="baseline"/>
        <w:rPr>
          <w:rFonts w:hint="default" w:ascii="仿宋" w:hAnsi="仿宋" w:eastAsia="仿宋" w:cs="仿宋"/>
          <w:strike w:val="0"/>
          <w:sz w:val="24"/>
          <w:u w:val="none"/>
          <w:lang w:val="en-US" w:eastAsia="zh-CN"/>
        </w:rPr>
      </w:pPr>
      <w:r>
        <w:rPr>
          <w:rFonts w:hint="eastAsia" w:ascii="仿宋" w:hAnsi="仿宋" w:eastAsia="仿宋" w:cs="仿宋"/>
          <w:strike w:val="0"/>
          <w:sz w:val="24"/>
          <w:u w:val="none"/>
        </w:rPr>
        <w:t>（2）《电力系统安全稳定控制系统检验规范》GB/T 22384-2</w:t>
      </w:r>
      <w:r>
        <w:rPr>
          <w:rFonts w:hint="eastAsia" w:ascii="仿宋" w:hAnsi="仿宋" w:eastAsia="仿宋" w:cs="仿宋"/>
          <w:strike w:val="0"/>
          <w:sz w:val="24"/>
          <w:u w:val="none"/>
          <w:lang w:val="en-US" w:eastAsia="zh-CN"/>
        </w:rPr>
        <w:t>024</w:t>
      </w:r>
    </w:p>
    <w:p w14:paraId="11C7C991">
      <w:pPr>
        <w:spacing w:line="360" w:lineRule="auto"/>
        <w:ind w:firstLine="480" w:firstLineChars="200"/>
        <w:textAlignment w:val="baseline"/>
        <w:rPr>
          <w:rFonts w:hint="eastAsia" w:ascii="仿宋" w:hAnsi="仿宋" w:eastAsia="仿宋" w:cs="仿宋"/>
          <w:strike w:val="0"/>
          <w:sz w:val="24"/>
          <w:u w:val="none"/>
        </w:rPr>
      </w:pPr>
      <w:r>
        <w:rPr>
          <w:rFonts w:hint="eastAsia" w:ascii="仿宋" w:hAnsi="仿宋" w:eastAsia="仿宋" w:cs="仿宋"/>
          <w:strike w:val="0"/>
          <w:sz w:val="24"/>
          <w:u w:val="none"/>
        </w:rPr>
        <w:t>（3）《电力系统通用服务协议》GB/T 33602-2017</w:t>
      </w:r>
    </w:p>
    <w:p w14:paraId="794EB996">
      <w:pPr>
        <w:spacing w:line="360" w:lineRule="auto"/>
        <w:ind w:firstLine="480" w:firstLineChars="200"/>
        <w:textAlignment w:val="baseline"/>
        <w:rPr>
          <w:rFonts w:hint="eastAsia" w:ascii="仿宋" w:hAnsi="仿宋" w:eastAsia="仿宋" w:cs="仿宋"/>
          <w:strike w:val="0"/>
          <w:sz w:val="24"/>
          <w:u w:val="none"/>
        </w:rPr>
      </w:pPr>
      <w:r>
        <w:rPr>
          <w:rFonts w:hint="eastAsia" w:ascii="仿宋" w:hAnsi="仿宋" w:eastAsia="仿宋" w:cs="仿宋"/>
          <w:strike w:val="0"/>
          <w:sz w:val="24"/>
          <w:u w:val="none"/>
        </w:rPr>
        <w:t>（4）《电力系统串联电容补偿系统设计规程》DL/T 5529-2017</w:t>
      </w:r>
    </w:p>
    <w:p w14:paraId="2B5EC60A">
      <w:pPr>
        <w:spacing w:line="360" w:lineRule="auto"/>
        <w:ind w:firstLine="480" w:firstLineChars="200"/>
        <w:textAlignment w:val="baseline"/>
        <w:rPr>
          <w:rFonts w:hint="eastAsia" w:ascii="仿宋" w:hAnsi="仿宋" w:eastAsia="仿宋" w:cs="仿宋"/>
          <w:strike w:val="0"/>
          <w:sz w:val="24"/>
          <w:u w:val="none"/>
        </w:rPr>
      </w:pPr>
      <w:r>
        <w:rPr>
          <w:rFonts w:hint="eastAsia" w:ascii="仿宋" w:hAnsi="仿宋" w:eastAsia="仿宋" w:cs="仿宋"/>
          <w:strike w:val="0"/>
          <w:sz w:val="24"/>
          <w:u w:val="none"/>
        </w:rPr>
        <w:t>（5）《干扰性用户接入电力系统技术规范》DL/T 1344-2014</w:t>
      </w:r>
    </w:p>
    <w:p w14:paraId="3A59961E">
      <w:pPr>
        <w:spacing w:line="360" w:lineRule="auto"/>
        <w:ind w:firstLine="480" w:firstLineChars="200"/>
        <w:textAlignment w:val="baseline"/>
        <w:rPr>
          <w:rFonts w:hint="eastAsia" w:ascii="仿宋" w:hAnsi="仿宋" w:eastAsia="仿宋" w:cs="仿宋"/>
          <w:strike w:val="0"/>
          <w:sz w:val="24"/>
          <w:u w:val="none"/>
        </w:rPr>
      </w:pPr>
      <w:r>
        <w:rPr>
          <w:rFonts w:hint="eastAsia" w:ascii="仿宋" w:hAnsi="仿宋" w:eastAsia="仿宋" w:cs="仿宋"/>
          <w:strike w:val="0"/>
          <w:sz w:val="24"/>
          <w:u w:val="none"/>
        </w:rPr>
        <w:t>（6）《电力施工企业安全生产风险分级管控体系实施指南》DB37/T 4267-2020</w:t>
      </w:r>
    </w:p>
    <w:p w14:paraId="01CFA5FC">
      <w:pPr>
        <w:spacing w:line="360" w:lineRule="auto"/>
        <w:ind w:firstLine="480" w:firstLineChars="200"/>
        <w:textAlignment w:val="baseline"/>
        <w:rPr>
          <w:rFonts w:hint="eastAsia" w:ascii="仿宋" w:hAnsi="仿宋" w:eastAsia="仿宋" w:cs="仿宋"/>
          <w:strike w:val="0"/>
          <w:sz w:val="24"/>
          <w:u w:val="none"/>
        </w:rPr>
      </w:pPr>
      <w:r>
        <w:rPr>
          <w:rFonts w:hint="eastAsia" w:ascii="仿宋" w:hAnsi="仿宋" w:eastAsia="仿宋" w:cs="仿宋"/>
          <w:strike w:val="0"/>
          <w:sz w:val="24"/>
          <w:u w:val="none"/>
        </w:rPr>
        <w:t>（7）《电力施工企业生产安全事故隐患排查治理体系实施指南》DB37/T 4268-2020</w:t>
      </w:r>
    </w:p>
    <w:p w14:paraId="306E5637">
      <w:pPr>
        <w:spacing w:line="360" w:lineRule="auto"/>
        <w:ind w:firstLine="480" w:firstLineChars="200"/>
        <w:textAlignment w:val="baseline"/>
        <w:rPr>
          <w:rFonts w:hint="eastAsia" w:ascii="仿宋" w:hAnsi="仿宋" w:eastAsia="仿宋" w:cs="仿宋"/>
          <w:strike w:val="0"/>
          <w:sz w:val="24"/>
          <w:u w:val="none"/>
        </w:rPr>
      </w:pPr>
      <w:r>
        <w:rPr>
          <w:rFonts w:hint="eastAsia" w:ascii="仿宋" w:hAnsi="仿宋" w:eastAsia="仿宋" w:cs="仿宋"/>
          <w:strike w:val="0"/>
          <w:sz w:val="24"/>
          <w:u w:val="none"/>
        </w:rPr>
        <w:t>（8）《电气装置安装工程 电缆线路施工及验收规范》DL/T 5891-2024</w:t>
      </w:r>
    </w:p>
    <w:p w14:paraId="512A36E2">
      <w:pPr>
        <w:spacing w:line="360" w:lineRule="auto"/>
        <w:ind w:firstLine="480" w:firstLineChars="200"/>
        <w:textAlignment w:val="baseline"/>
        <w:rPr>
          <w:rFonts w:hint="eastAsia" w:ascii="仿宋" w:hAnsi="仿宋" w:eastAsia="仿宋" w:cs="仿宋"/>
          <w:strike w:val="0"/>
          <w:sz w:val="24"/>
          <w:u w:val="none"/>
        </w:rPr>
      </w:pPr>
      <w:r>
        <w:rPr>
          <w:rFonts w:hint="eastAsia" w:ascii="仿宋" w:hAnsi="仿宋" w:eastAsia="仿宋" w:cs="仿宋"/>
          <w:strike w:val="0"/>
          <w:sz w:val="24"/>
          <w:u w:val="none"/>
        </w:rPr>
        <w:t>（9）《电气装置安装工程 盘、柜及二次回路接线施工及验收规范》GB 50171-2012</w:t>
      </w:r>
    </w:p>
    <w:p w14:paraId="11F3E242">
      <w:pPr>
        <w:spacing w:line="360" w:lineRule="auto"/>
        <w:ind w:firstLine="480" w:firstLineChars="200"/>
        <w:textAlignment w:val="baseline"/>
        <w:rPr>
          <w:rFonts w:hint="eastAsia" w:ascii="仿宋" w:hAnsi="仿宋" w:eastAsia="仿宋" w:cs="仿宋"/>
          <w:sz w:val="24"/>
          <w:u w:val="none"/>
        </w:rPr>
      </w:pPr>
      <w:r>
        <w:rPr>
          <w:rFonts w:hint="eastAsia" w:ascii="仿宋" w:hAnsi="仿宋" w:eastAsia="仿宋" w:cs="仿宋"/>
          <w:strike w:val="0"/>
          <w:sz w:val="24"/>
          <w:u w:val="none"/>
        </w:rPr>
        <w:t>（1</w:t>
      </w:r>
      <w:r>
        <w:rPr>
          <w:rFonts w:hint="eastAsia" w:ascii="仿宋" w:hAnsi="仿宋" w:eastAsia="仿宋" w:cs="仿宋"/>
          <w:strike w:val="0"/>
          <w:sz w:val="24"/>
          <w:u w:val="none"/>
          <w:lang w:val="en-US" w:eastAsia="zh-CN"/>
        </w:rPr>
        <w:t>0</w:t>
      </w:r>
      <w:r>
        <w:rPr>
          <w:rFonts w:hint="eastAsia" w:ascii="仿宋" w:hAnsi="仿宋" w:eastAsia="仿宋" w:cs="仿宋"/>
          <w:strike w:val="0"/>
          <w:sz w:val="24"/>
          <w:u w:val="none"/>
        </w:rPr>
        <w:t>）《建筑电气工程施工质量验收规范》GB 50303-2015</w:t>
      </w:r>
    </w:p>
    <w:p w14:paraId="6AEE1A24">
      <w:pPr>
        <w:spacing w:line="360" w:lineRule="auto"/>
        <w:ind w:firstLine="480" w:firstLineChars="200"/>
        <w:textAlignment w:val="baseline"/>
        <w:rPr>
          <w:rFonts w:hint="eastAsia" w:ascii="仿宋" w:hAnsi="仿宋" w:eastAsia="仿宋" w:cs="仿宋"/>
          <w:sz w:val="24"/>
          <w:u w:val="none"/>
        </w:rPr>
      </w:pPr>
      <w:r>
        <w:rPr>
          <w:rFonts w:hint="eastAsia" w:ascii="仿宋" w:hAnsi="仿宋" w:eastAsia="仿宋" w:cs="仿宋"/>
          <w:sz w:val="24"/>
          <w:u w:val="none"/>
        </w:rPr>
        <w:t>（1</w:t>
      </w:r>
      <w:r>
        <w:rPr>
          <w:rFonts w:hint="eastAsia" w:ascii="仿宋" w:hAnsi="仿宋" w:eastAsia="仿宋" w:cs="仿宋"/>
          <w:sz w:val="24"/>
          <w:u w:val="none"/>
          <w:lang w:val="en-US" w:eastAsia="zh-CN"/>
        </w:rPr>
        <w:t>1</w:t>
      </w:r>
      <w:r>
        <w:rPr>
          <w:rFonts w:hint="eastAsia" w:ascii="仿宋" w:hAnsi="仿宋" w:eastAsia="仿宋" w:cs="仿宋"/>
          <w:sz w:val="24"/>
          <w:u w:val="none"/>
        </w:rPr>
        <w:t>）《电气装置</w:t>
      </w:r>
      <w:bookmarkStart w:id="30" w:name="_GoBack"/>
      <w:bookmarkEnd w:id="30"/>
      <w:r>
        <w:rPr>
          <w:rFonts w:hint="eastAsia" w:ascii="仿宋" w:hAnsi="仿宋" w:eastAsia="仿宋" w:cs="仿宋"/>
          <w:sz w:val="24"/>
          <w:u w:val="none"/>
        </w:rPr>
        <w:t>安装工程 电力变压器、油浸电抗器、互感器施工及验收规范》GB 50148-2010</w:t>
      </w:r>
    </w:p>
    <w:p w14:paraId="1F6DB8E9">
      <w:pPr>
        <w:spacing w:line="360" w:lineRule="auto"/>
        <w:ind w:firstLine="480" w:firstLineChars="200"/>
        <w:textAlignment w:val="baseline"/>
        <w:rPr>
          <w:rFonts w:ascii="仿宋" w:hAnsi="仿宋" w:eastAsia="仿宋" w:cs="仿宋"/>
          <w:sz w:val="24"/>
          <w:u w:val="none"/>
        </w:rPr>
      </w:pPr>
      <w:r>
        <w:rPr>
          <w:rFonts w:hint="eastAsia" w:ascii="仿宋" w:hAnsi="仿宋" w:eastAsia="仿宋" w:cs="仿宋"/>
          <w:sz w:val="24"/>
          <w:u w:val="none"/>
        </w:rPr>
        <w:t>（1</w:t>
      </w:r>
      <w:r>
        <w:rPr>
          <w:rFonts w:hint="eastAsia" w:ascii="仿宋" w:hAnsi="仿宋" w:eastAsia="仿宋" w:cs="仿宋"/>
          <w:sz w:val="24"/>
          <w:u w:val="none"/>
          <w:lang w:val="en-US" w:eastAsia="zh-CN"/>
        </w:rPr>
        <w:t>2</w:t>
      </w:r>
      <w:r>
        <w:rPr>
          <w:rFonts w:hint="eastAsia" w:ascii="仿宋" w:hAnsi="仿宋" w:eastAsia="仿宋" w:cs="仿宋"/>
          <w:sz w:val="24"/>
          <w:u w:val="none"/>
        </w:rPr>
        <w:t>）国家有关工程的规范、规程及技术标准</w:t>
      </w:r>
    </w:p>
    <w:p w14:paraId="12B560AD">
      <w:pPr>
        <w:spacing w:line="360" w:lineRule="auto"/>
        <w:ind w:firstLine="480" w:firstLineChars="200"/>
        <w:textAlignment w:val="baseline"/>
        <w:rPr>
          <w:rFonts w:ascii="仿宋" w:hAnsi="仿宋" w:eastAsia="仿宋" w:cs="仿宋"/>
          <w:sz w:val="24"/>
          <w:u w:val="none"/>
        </w:rPr>
      </w:pPr>
      <w:r>
        <w:rPr>
          <w:rFonts w:hint="eastAsia" w:ascii="仿宋" w:hAnsi="仿宋" w:eastAsia="仿宋" w:cs="仿宋"/>
          <w:sz w:val="24"/>
          <w:u w:val="none"/>
        </w:rPr>
        <w:t>（1</w:t>
      </w:r>
      <w:r>
        <w:rPr>
          <w:rFonts w:hint="eastAsia" w:ascii="仿宋" w:hAnsi="仿宋" w:eastAsia="仿宋" w:cs="仿宋"/>
          <w:sz w:val="24"/>
          <w:u w:val="none"/>
          <w:lang w:val="en-US" w:eastAsia="zh-CN"/>
        </w:rPr>
        <w:t>3</w:t>
      </w:r>
      <w:r>
        <w:rPr>
          <w:rFonts w:hint="eastAsia" w:ascii="仿宋" w:hAnsi="仿宋" w:eastAsia="仿宋" w:cs="仿宋"/>
          <w:sz w:val="24"/>
          <w:u w:val="none"/>
        </w:rPr>
        <w:t>）相关工程强制性标准条文</w:t>
      </w:r>
    </w:p>
    <w:p w14:paraId="425E89B3">
      <w:pPr>
        <w:spacing w:line="360" w:lineRule="auto"/>
        <w:ind w:firstLine="480" w:firstLineChars="200"/>
        <w:textAlignment w:val="baseline"/>
        <w:rPr>
          <w:rFonts w:hint="eastAsia" w:ascii="仿宋" w:hAnsi="仿宋" w:eastAsia="仿宋" w:cs="仿宋"/>
          <w:sz w:val="24"/>
          <w:u w:val="none"/>
        </w:rPr>
      </w:pPr>
      <w:r>
        <w:rPr>
          <w:rFonts w:hint="eastAsia" w:ascii="仿宋" w:hAnsi="仿宋" w:eastAsia="仿宋" w:cs="仿宋"/>
          <w:sz w:val="24"/>
          <w:u w:val="none"/>
        </w:rPr>
        <w:t>（1</w:t>
      </w:r>
      <w:r>
        <w:rPr>
          <w:rFonts w:hint="eastAsia" w:ascii="仿宋" w:hAnsi="仿宋" w:eastAsia="仿宋" w:cs="仿宋"/>
          <w:sz w:val="24"/>
          <w:u w:val="none"/>
          <w:lang w:val="en-US" w:eastAsia="zh-CN"/>
        </w:rPr>
        <w:t>4</w:t>
      </w:r>
      <w:r>
        <w:rPr>
          <w:rFonts w:hint="eastAsia" w:ascii="仿宋" w:hAnsi="仿宋" w:eastAsia="仿宋" w:cs="仿宋"/>
          <w:sz w:val="24"/>
          <w:u w:val="none"/>
        </w:rPr>
        <w:t>）地方或行业有关工程的建设标准、规范和设计文件的要求</w:t>
      </w:r>
    </w:p>
    <w:p w14:paraId="00CF2394">
      <w:pPr>
        <w:pStyle w:val="8"/>
        <w:widowControl/>
        <w:snapToGrid w:val="0"/>
        <w:spacing w:line="360" w:lineRule="auto"/>
        <w:ind w:firstLine="482" w:firstLineChars="200"/>
        <w:rPr>
          <w:rFonts w:hint="eastAsia" w:hAnsi="宋体" w:eastAsia="仿宋"/>
          <w:b/>
          <w:bCs/>
          <w:sz w:val="24"/>
          <w:szCs w:val="24"/>
          <w:u w:val="none"/>
        </w:rPr>
      </w:pPr>
      <w:r>
        <w:rPr>
          <w:rFonts w:hint="eastAsia" w:hAnsi="宋体" w:eastAsia="仿宋"/>
          <w:b/>
          <w:bCs/>
          <w:sz w:val="24"/>
          <w:szCs w:val="24"/>
          <w:u w:val="none"/>
        </w:rPr>
        <w:t>4.4 重点难点及危险性较大的分部分项工程</w:t>
      </w:r>
    </w:p>
    <w:p w14:paraId="6D129F86">
      <w:pPr>
        <w:pStyle w:val="8"/>
        <w:widowControl/>
        <w:snapToGrid w:val="0"/>
        <w:spacing w:line="360" w:lineRule="auto"/>
        <w:ind w:firstLine="480" w:firstLineChars="200"/>
        <w:rPr>
          <w:rFonts w:hint="eastAsia" w:hAnsi="宋体" w:eastAsia="仿宋"/>
          <w:sz w:val="24"/>
          <w:szCs w:val="24"/>
          <w:u w:val="none"/>
        </w:rPr>
      </w:pPr>
      <w:r>
        <w:rPr>
          <w:rFonts w:hint="eastAsia" w:hAnsi="宋体" w:eastAsia="仿宋"/>
          <w:sz w:val="24"/>
          <w:szCs w:val="24"/>
          <w:u w:val="none"/>
        </w:rPr>
        <w:t>（1）本项目重点难点：供应商需针对现场情况提供相关方案。方案要求具有可实施性，杜绝安全隐患，保证项目施工。</w:t>
      </w:r>
    </w:p>
    <w:p w14:paraId="3990DD6C">
      <w:pPr>
        <w:pStyle w:val="8"/>
        <w:widowControl/>
        <w:snapToGrid w:val="0"/>
        <w:spacing w:line="360" w:lineRule="auto"/>
        <w:ind w:firstLine="480" w:firstLineChars="200"/>
        <w:rPr>
          <w:rFonts w:hint="eastAsia" w:hAnsi="宋体" w:eastAsia="仿宋"/>
          <w:sz w:val="24"/>
          <w:szCs w:val="24"/>
          <w:u w:val="none"/>
        </w:rPr>
      </w:pPr>
      <w:r>
        <w:rPr>
          <w:rFonts w:hint="eastAsia" w:hAnsi="宋体" w:eastAsia="仿宋"/>
          <w:sz w:val="24"/>
          <w:szCs w:val="24"/>
          <w:u w:val="none"/>
        </w:rPr>
        <w:t>（2）本项目危险性较大的分部分项工程清单：/</w:t>
      </w:r>
    </w:p>
    <w:p w14:paraId="394FBBA1">
      <w:pPr>
        <w:pStyle w:val="8"/>
        <w:widowControl/>
        <w:snapToGrid w:val="0"/>
        <w:spacing w:line="360" w:lineRule="auto"/>
        <w:ind w:firstLine="480" w:firstLineChars="200"/>
        <w:rPr>
          <w:rFonts w:hint="eastAsia" w:hAnsi="宋体" w:eastAsia="仿宋"/>
          <w:sz w:val="24"/>
          <w:szCs w:val="24"/>
          <w:u w:val="none"/>
        </w:rPr>
      </w:pPr>
      <w:r>
        <w:rPr>
          <w:rFonts w:hint="eastAsia" w:hAnsi="宋体" w:eastAsia="仿宋"/>
          <w:sz w:val="24"/>
          <w:szCs w:val="24"/>
          <w:u w:val="none"/>
        </w:rPr>
        <w:t>（3）其他要求：/</w:t>
      </w:r>
    </w:p>
    <w:p w14:paraId="5B5230FB">
      <w:pPr>
        <w:pStyle w:val="8"/>
        <w:widowControl/>
        <w:snapToGrid w:val="0"/>
        <w:spacing w:line="360" w:lineRule="auto"/>
        <w:ind w:firstLine="482" w:firstLineChars="200"/>
        <w:rPr>
          <w:rFonts w:hAnsi="宋体" w:eastAsia="仿宋"/>
          <w:b/>
          <w:bCs/>
          <w:sz w:val="24"/>
          <w:szCs w:val="24"/>
          <w:u w:val="none"/>
        </w:rPr>
      </w:pPr>
      <w:bookmarkStart w:id="11" w:name="_Toc515539872"/>
      <w:bookmarkStart w:id="12" w:name="_Toc512544434"/>
      <w:bookmarkStart w:id="13" w:name="_Toc526265691"/>
      <w:bookmarkStart w:id="14" w:name="_Toc493440975"/>
      <w:bookmarkStart w:id="15" w:name="_Toc493440807"/>
      <w:bookmarkStart w:id="16" w:name="_Toc512611689"/>
      <w:bookmarkStart w:id="17" w:name="_Toc525819967"/>
      <w:bookmarkStart w:id="18" w:name="_Toc517011814"/>
      <w:bookmarkStart w:id="19" w:name="_Toc493432670"/>
      <w:r>
        <w:rPr>
          <w:rFonts w:hint="eastAsia" w:hAnsi="宋体" w:eastAsia="仿宋"/>
          <w:b/>
          <w:bCs/>
          <w:sz w:val="24"/>
          <w:szCs w:val="24"/>
          <w:u w:val="none"/>
        </w:rPr>
        <w:t>4.5 质量标准与验收标准</w:t>
      </w:r>
      <w:bookmarkEnd w:id="11"/>
      <w:bookmarkEnd w:id="12"/>
      <w:bookmarkEnd w:id="13"/>
      <w:bookmarkEnd w:id="14"/>
      <w:bookmarkEnd w:id="15"/>
      <w:bookmarkEnd w:id="16"/>
      <w:bookmarkEnd w:id="17"/>
      <w:bookmarkEnd w:id="18"/>
      <w:bookmarkEnd w:id="19"/>
    </w:p>
    <w:p w14:paraId="292CF9FF">
      <w:pPr>
        <w:pStyle w:val="8"/>
        <w:widowControl/>
        <w:snapToGrid w:val="0"/>
        <w:spacing w:line="360" w:lineRule="auto"/>
        <w:ind w:firstLine="482" w:firstLineChars="200"/>
        <w:rPr>
          <w:rFonts w:hAnsi="宋体" w:eastAsia="仿宋"/>
          <w:b/>
          <w:bCs/>
          <w:sz w:val="24"/>
          <w:szCs w:val="24"/>
          <w:u w:val="none"/>
        </w:rPr>
      </w:pPr>
      <w:r>
        <w:rPr>
          <w:rFonts w:hint="eastAsia" w:hAnsi="宋体" w:eastAsia="仿宋"/>
          <w:b/>
          <w:bCs/>
          <w:sz w:val="24"/>
          <w:szCs w:val="24"/>
          <w:u w:val="none"/>
        </w:rPr>
        <w:t>4.6 人员到岗及履约要求：</w:t>
      </w:r>
      <w:r>
        <w:rPr>
          <w:rFonts w:hint="eastAsia" w:hAnsi="宋体" w:eastAsia="仿宋"/>
          <w:sz w:val="24"/>
          <w:szCs w:val="24"/>
          <w:u w:val="none"/>
        </w:rPr>
        <w:t>（1）供应商一旦成交，磋商时所报的本项目的项目经理（项目负责人，下同）、有关人员及施工机械等在整个项目施工期内必须在位，否则采购人有权终止合同。由此造成的损失，成交供应商自行承担并赔偿可能给采购人造成的损失。</w:t>
      </w:r>
    </w:p>
    <w:p w14:paraId="4C28B8CB">
      <w:pPr>
        <w:pStyle w:val="8"/>
        <w:widowControl/>
        <w:snapToGrid w:val="0"/>
        <w:spacing w:line="360" w:lineRule="auto"/>
        <w:ind w:firstLine="480" w:firstLineChars="200"/>
        <w:rPr>
          <w:rFonts w:hint="eastAsia" w:hAnsi="宋体" w:eastAsia="仿宋"/>
          <w:sz w:val="24"/>
          <w:szCs w:val="24"/>
          <w:u w:val="none"/>
        </w:rPr>
      </w:pPr>
      <w:r>
        <w:rPr>
          <w:rFonts w:hint="eastAsia" w:hAnsi="宋体" w:eastAsia="仿宋"/>
          <w:sz w:val="24"/>
          <w:szCs w:val="24"/>
          <w:u w:val="none"/>
        </w:rPr>
        <w:t>（2）成交供应商不得擅自更换磋商时所报项目经理（项目负责人）及项目部主要管理人员。确需更换时，须报采购人同意，更换后人员不得低于成交供应商磋商时所报人员资质和技术水平。采购人如认为有必要，可要求对上述人员中的部分人员作出更好的调整。</w:t>
      </w:r>
    </w:p>
    <w:p w14:paraId="49587243">
      <w:pPr>
        <w:pStyle w:val="8"/>
        <w:widowControl/>
        <w:snapToGrid w:val="0"/>
        <w:spacing w:line="360" w:lineRule="auto"/>
        <w:ind w:firstLine="480" w:firstLineChars="200"/>
        <w:rPr>
          <w:rFonts w:hAnsi="宋体" w:eastAsia="仿宋"/>
          <w:sz w:val="24"/>
          <w:szCs w:val="24"/>
          <w:u w:val="none"/>
        </w:rPr>
      </w:pPr>
      <w:r>
        <w:rPr>
          <w:rFonts w:hint="eastAsia" w:hAnsi="宋体" w:eastAsia="仿宋"/>
          <w:sz w:val="24"/>
          <w:szCs w:val="24"/>
          <w:u w:val="none"/>
        </w:rPr>
        <w:t>（3）成交供应商未能按照承诺到岗尽职的，采购人将视情况严重程度对其作出相应处理，给予警告并发出整改通知。如仍未及时整改，采购人有权责令其停工整改、直至终止合同，引进新的承包人。采购人还将停止支付工程款项，扣留任何未付的工程进度款项补偿建设单位的有关损失或工期延误的损失，并就此向承包人索赔。</w:t>
      </w:r>
    </w:p>
    <w:p w14:paraId="42D2BE32">
      <w:pPr>
        <w:pStyle w:val="8"/>
        <w:widowControl/>
        <w:snapToGrid w:val="0"/>
        <w:spacing w:line="360" w:lineRule="auto"/>
        <w:ind w:firstLine="482" w:firstLineChars="200"/>
        <w:rPr>
          <w:rFonts w:hint="eastAsia" w:hAnsi="宋体" w:eastAsia="仿宋"/>
          <w:sz w:val="24"/>
          <w:szCs w:val="24"/>
          <w:u w:val="none"/>
        </w:rPr>
      </w:pPr>
      <w:r>
        <w:rPr>
          <w:rFonts w:hint="eastAsia" w:hAnsi="宋体" w:eastAsia="仿宋"/>
          <w:b/>
          <w:bCs/>
          <w:sz w:val="24"/>
          <w:szCs w:val="24"/>
          <w:u w:val="none"/>
        </w:rPr>
        <w:t>4.7材料要求：</w:t>
      </w:r>
      <w:r>
        <w:rPr>
          <w:rFonts w:hint="eastAsia" w:hAnsi="宋体" w:eastAsia="仿宋"/>
          <w:sz w:val="24"/>
          <w:szCs w:val="24"/>
          <w:u w:val="none"/>
        </w:rPr>
        <w:t>（1）成交供应商自行采购的材料应满足设计和规范要求的质量等级，并须按有关技术规范要求对材料质量进行检验。成交供应商选定的材料供应厂家和价格须经采购人和监理单位（如有）认可。如采购人和监理单位（如有）对某种或某些材料的质量有异议，有权提出停止使用的要求，成交供应商必须服从该要求。若该材料经权威检验部门鉴定确有质量问题，由此而发生的一切费用由成交供应商自负。因成交供应商自行采购的材料质量引起的工程质量问题由成交供应商承担所造成的一切损失。</w:t>
      </w:r>
    </w:p>
    <w:p w14:paraId="6CD2B76C">
      <w:pPr>
        <w:pStyle w:val="8"/>
        <w:widowControl/>
        <w:snapToGrid w:val="0"/>
        <w:spacing w:line="360" w:lineRule="auto"/>
        <w:ind w:firstLine="480" w:firstLineChars="200"/>
        <w:rPr>
          <w:rFonts w:hint="eastAsia" w:hAnsi="宋体" w:eastAsia="仿宋"/>
          <w:sz w:val="24"/>
          <w:szCs w:val="24"/>
          <w:u w:val="none"/>
        </w:rPr>
      </w:pPr>
      <w:r>
        <w:rPr>
          <w:rFonts w:hint="eastAsia" w:hAnsi="宋体" w:eastAsia="仿宋"/>
          <w:sz w:val="24"/>
          <w:szCs w:val="24"/>
          <w:u w:val="none"/>
        </w:rPr>
        <w:t>（2）如本项目采购人对工程质量有特殊需求的，对主要设备及材料提供不少于三个的参考品牌，对于采购人参考品牌的材料，供应商可选用参考品牌或不低于参考品牌质量标准的其它品牌；采用其它品牌的应在响应文件中提供相关技术参数证明材料供磋商小组评审，未提供相关技术参数证明材料或经磋商小组评审未通过的，成交后只能从采购人参考品牌中进行选择，价格不予调整。</w:t>
      </w:r>
    </w:p>
    <w:p w14:paraId="2A4FCBA9">
      <w:pPr>
        <w:pStyle w:val="8"/>
        <w:widowControl/>
        <w:snapToGrid w:val="0"/>
        <w:spacing w:line="360" w:lineRule="auto"/>
        <w:ind w:firstLine="480" w:firstLineChars="200"/>
        <w:rPr>
          <w:rFonts w:hAnsi="宋体" w:eastAsia="仿宋"/>
          <w:sz w:val="24"/>
          <w:szCs w:val="24"/>
          <w:u w:val="none"/>
        </w:rPr>
      </w:pPr>
      <w:r>
        <w:rPr>
          <w:rFonts w:hint="eastAsia" w:hAnsi="宋体" w:eastAsia="仿宋"/>
          <w:sz w:val="24"/>
          <w:szCs w:val="24"/>
          <w:u w:val="none"/>
        </w:rPr>
        <w:t>（3）对于采购人参考品牌的材料，供应商如认为参考品牌有限定性、唯一性、明显不在同一档次等级的或者其他异议的，应在本项目网上询问截止时间前通过电子邮件或书面提交。</w:t>
      </w:r>
    </w:p>
    <w:p w14:paraId="5EAA72A6">
      <w:pPr>
        <w:pStyle w:val="8"/>
        <w:widowControl/>
        <w:snapToGrid w:val="0"/>
        <w:spacing w:line="360" w:lineRule="auto"/>
        <w:ind w:firstLine="482" w:firstLineChars="200"/>
        <w:rPr>
          <w:rFonts w:hAnsi="宋体" w:eastAsia="仿宋"/>
          <w:sz w:val="24"/>
          <w:szCs w:val="24"/>
          <w:highlight w:val="none"/>
          <w:u w:val="none"/>
        </w:rPr>
      </w:pPr>
      <w:r>
        <w:rPr>
          <w:rFonts w:hint="eastAsia" w:hAnsi="宋体" w:eastAsia="仿宋"/>
          <w:b/>
          <w:bCs/>
          <w:sz w:val="24"/>
          <w:szCs w:val="24"/>
          <w:highlight w:val="none"/>
          <w:u w:val="none"/>
        </w:rPr>
        <w:t>4.8报价须知：</w:t>
      </w:r>
      <w:r>
        <w:rPr>
          <w:rFonts w:hint="eastAsia" w:hAnsi="宋体" w:eastAsia="仿宋"/>
          <w:sz w:val="24"/>
          <w:szCs w:val="24"/>
          <w:highlight w:val="none"/>
          <w:u w:val="none"/>
        </w:rPr>
        <w:t>供应商最后报价及分项报价均不得高于磋商文件（公告）列明的项目预算、最高限价（控制价）</w:t>
      </w:r>
      <w:r>
        <w:rPr>
          <w:rFonts w:hint="eastAsia" w:ascii="Times New Roman" w:hAnsi="Times New Roman" w:eastAsia="仿宋"/>
          <w:sz w:val="24"/>
          <w:szCs w:val="24"/>
          <w:highlight w:val="none"/>
          <w:u w:val="none"/>
          <w:lang w:val="en-US" w:eastAsia="zh-CN"/>
        </w:rPr>
        <w:t>976533.47</w:t>
      </w:r>
      <w:r>
        <w:rPr>
          <w:rFonts w:hint="eastAsia" w:hAnsi="宋体" w:eastAsia="仿宋"/>
          <w:sz w:val="24"/>
          <w:szCs w:val="24"/>
          <w:highlight w:val="none"/>
          <w:u w:val="none"/>
        </w:rPr>
        <w:t>元，否则其响应文件将被认定为响应无效。。</w:t>
      </w:r>
    </w:p>
    <w:p w14:paraId="196FB2D2">
      <w:pPr>
        <w:pStyle w:val="8"/>
        <w:widowControl/>
        <w:snapToGrid w:val="0"/>
        <w:spacing w:line="360" w:lineRule="auto"/>
        <w:ind w:firstLine="480" w:firstLineChars="200"/>
        <w:rPr>
          <w:rFonts w:hAnsi="宋体" w:eastAsia="仿宋"/>
          <w:sz w:val="24"/>
          <w:szCs w:val="24"/>
          <w:highlight w:val="none"/>
          <w:u w:val="none"/>
        </w:rPr>
      </w:pPr>
      <w:r>
        <w:rPr>
          <w:rFonts w:hint="eastAsia" w:hAnsi="宋体" w:eastAsia="仿宋"/>
          <w:sz w:val="24"/>
          <w:szCs w:val="24"/>
          <w:highlight w:val="none"/>
          <w:u w:val="none"/>
        </w:rPr>
        <w:t>其中：</w:t>
      </w:r>
    </w:p>
    <w:p w14:paraId="4558946B">
      <w:pPr>
        <w:pStyle w:val="8"/>
        <w:widowControl/>
        <w:snapToGrid w:val="0"/>
        <w:spacing w:line="360" w:lineRule="auto"/>
        <w:ind w:firstLine="480" w:firstLineChars="200"/>
        <w:rPr>
          <w:rFonts w:hint="eastAsia" w:hAnsi="宋体" w:eastAsia="仿宋"/>
          <w:sz w:val="24"/>
          <w:szCs w:val="24"/>
          <w:highlight w:val="none"/>
          <w:u w:val="none"/>
        </w:rPr>
      </w:pPr>
      <w:r>
        <w:rPr>
          <w:rFonts w:hint="eastAsia" w:hAnsi="宋体" w:eastAsia="仿宋"/>
          <w:sz w:val="24"/>
          <w:szCs w:val="24"/>
          <w:highlight w:val="none"/>
          <w:u w:val="none"/>
        </w:rPr>
        <w:t>（1）“项目清单编制</w:t>
      </w:r>
      <w:r>
        <w:rPr>
          <w:rFonts w:hint="eastAsia" w:hAnsi="宋体" w:eastAsia="仿宋"/>
          <w:sz w:val="24"/>
          <w:szCs w:val="24"/>
          <w:highlight w:val="none"/>
          <w:u w:val="none"/>
          <w:lang w:val="en-US" w:eastAsia="zh-CN"/>
        </w:rPr>
        <w:t>及咨询费</w:t>
      </w:r>
      <w:r>
        <w:rPr>
          <w:rFonts w:hint="eastAsia" w:hAnsi="宋体" w:eastAsia="仿宋"/>
          <w:sz w:val="24"/>
          <w:szCs w:val="24"/>
          <w:highlight w:val="none"/>
          <w:u w:val="none"/>
        </w:rPr>
        <w:t>”费用</w:t>
      </w:r>
      <w:r>
        <w:rPr>
          <w:rFonts w:hint="eastAsia" w:hAnsi="宋体" w:eastAsia="仿宋"/>
          <w:sz w:val="24"/>
          <w:szCs w:val="24"/>
          <w:highlight w:val="none"/>
          <w:u w:val="none"/>
          <w:lang w:val="en-US" w:eastAsia="zh-CN"/>
        </w:rPr>
        <w:t>30000.00</w:t>
      </w:r>
      <w:r>
        <w:rPr>
          <w:rFonts w:hint="eastAsia" w:hAnsi="宋体" w:eastAsia="仿宋"/>
          <w:sz w:val="24"/>
          <w:szCs w:val="24"/>
          <w:highlight w:val="none"/>
          <w:u w:val="none"/>
        </w:rPr>
        <w:t xml:space="preserve">元，为不可竞争项包含在总报价内，报价时此项费用不调整。 </w:t>
      </w:r>
    </w:p>
    <w:p w14:paraId="1D69CF86">
      <w:pPr>
        <w:pStyle w:val="8"/>
        <w:widowControl/>
        <w:snapToGrid w:val="0"/>
        <w:spacing w:line="360" w:lineRule="auto"/>
        <w:ind w:firstLine="480" w:firstLineChars="200"/>
        <w:rPr>
          <w:rFonts w:hint="eastAsia" w:hAnsi="宋体" w:eastAsia="仿宋"/>
          <w:sz w:val="24"/>
          <w:szCs w:val="24"/>
          <w:highlight w:val="none"/>
          <w:u w:val="none"/>
        </w:rPr>
      </w:pPr>
      <w:r>
        <w:rPr>
          <w:rFonts w:hint="eastAsia" w:hAnsi="宋体" w:eastAsia="仿宋"/>
          <w:sz w:val="24"/>
          <w:szCs w:val="24"/>
          <w:highlight w:val="none"/>
          <w:u w:val="none"/>
        </w:rPr>
        <w:t>（2）“安全生产费用”费用：</w:t>
      </w:r>
      <w:r>
        <w:rPr>
          <w:rFonts w:ascii="Times New Roman" w:hAnsi="Times New Roman" w:eastAsia="仿宋"/>
          <w:sz w:val="24"/>
          <w:szCs w:val="24"/>
          <w:highlight w:val="none"/>
          <w:u w:val="none"/>
        </w:rPr>
        <w:t>11655.40</w:t>
      </w:r>
      <w:r>
        <w:rPr>
          <w:rFonts w:hint="eastAsia" w:hAnsi="宋体" w:eastAsia="仿宋"/>
          <w:sz w:val="24"/>
          <w:szCs w:val="24"/>
          <w:highlight w:val="none"/>
          <w:u w:val="none"/>
        </w:rPr>
        <w:t>元，为不可竞争项包含在总报价内，报价时此项费用不调整。</w:t>
      </w:r>
    </w:p>
    <w:p w14:paraId="48A33C85">
      <w:pPr>
        <w:pStyle w:val="8"/>
        <w:widowControl/>
        <w:snapToGrid w:val="0"/>
        <w:spacing w:line="360" w:lineRule="auto"/>
        <w:ind w:firstLine="482" w:firstLineChars="200"/>
        <w:rPr>
          <w:rFonts w:hint="eastAsia" w:hAnsi="宋体" w:eastAsia="仿宋"/>
          <w:sz w:val="24"/>
          <w:szCs w:val="24"/>
        </w:rPr>
      </w:pPr>
      <w:r>
        <w:rPr>
          <w:rFonts w:hint="eastAsia" w:hAnsi="宋体" w:eastAsia="仿宋"/>
          <w:b/>
          <w:bCs/>
          <w:sz w:val="24"/>
          <w:szCs w:val="24"/>
        </w:rPr>
        <w:t>4.9重要说明：</w:t>
      </w:r>
      <w:r>
        <w:rPr>
          <w:rFonts w:hint="eastAsia" w:hAnsi="宋体" w:eastAsia="仿宋"/>
          <w:sz w:val="24"/>
          <w:szCs w:val="24"/>
        </w:rPr>
        <w:t>（1）本项目的磋商文件、工程量清单、最高投标限价（控制价）、澄清、修改、补充等相关资料均通过网上发布，请供应商自行从网上下载，供应商应当及时查看有无相关澄清、修改、补充等内容。</w:t>
      </w:r>
    </w:p>
    <w:p w14:paraId="4177FE1C">
      <w:pPr>
        <w:pStyle w:val="8"/>
        <w:widowControl/>
        <w:snapToGrid w:val="0"/>
        <w:spacing w:line="360" w:lineRule="auto"/>
        <w:ind w:firstLine="480" w:firstLineChars="200"/>
        <w:rPr>
          <w:rFonts w:hint="eastAsia" w:hAnsi="宋体" w:eastAsia="仿宋"/>
          <w:sz w:val="24"/>
          <w:szCs w:val="24"/>
        </w:rPr>
      </w:pPr>
      <w:r>
        <w:rPr>
          <w:rFonts w:hint="eastAsia" w:hAnsi="宋体" w:eastAsia="仿宋"/>
          <w:sz w:val="24"/>
          <w:szCs w:val="24"/>
        </w:rPr>
        <w:t>（2）在工程项目磋商过程中，供应商最后报价与公布的最高限价（控制价）或项目概算相比降幅过小，或供应商最后报价明显缺乏竞争性的，磋商小组可以否决其报价。</w:t>
      </w:r>
    </w:p>
    <w:p w14:paraId="3F3AC920">
      <w:pPr>
        <w:pStyle w:val="8"/>
        <w:widowControl/>
        <w:snapToGrid w:val="0"/>
        <w:spacing w:line="360" w:lineRule="auto"/>
        <w:ind w:firstLine="480" w:firstLineChars="200"/>
        <w:rPr>
          <w:rFonts w:hint="eastAsia" w:hAnsi="宋体" w:eastAsia="仿宋"/>
          <w:sz w:val="24"/>
          <w:szCs w:val="24"/>
        </w:rPr>
      </w:pPr>
      <w:r>
        <w:rPr>
          <w:rFonts w:hint="eastAsia" w:hAnsi="宋体" w:eastAsia="仿宋"/>
          <w:sz w:val="24"/>
          <w:szCs w:val="24"/>
        </w:rPr>
        <w:t>（3）承包人在工程实施过程中用工行为，必须严格执行国家及地方政府的有关规定，依法签订劳动合同，并按规定及时足额支付工资。</w:t>
      </w:r>
    </w:p>
    <w:p w14:paraId="40026E8B">
      <w:pPr>
        <w:pStyle w:val="8"/>
        <w:widowControl/>
        <w:snapToGrid w:val="0"/>
        <w:spacing w:line="360" w:lineRule="auto"/>
        <w:ind w:firstLine="480" w:firstLineChars="200"/>
        <w:rPr>
          <w:rFonts w:hint="eastAsia" w:hAnsi="宋体" w:eastAsia="仿宋"/>
          <w:sz w:val="24"/>
          <w:szCs w:val="24"/>
        </w:rPr>
      </w:pPr>
      <w:r>
        <w:rPr>
          <w:rFonts w:hint="eastAsia" w:hAnsi="宋体" w:eastAsia="仿宋"/>
          <w:sz w:val="24"/>
          <w:szCs w:val="24"/>
          <w:lang w:eastAsia="zh-CN"/>
        </w:rPr>
        <w:t>（</w:t>
      </w:r>
      <w:r>
        <w:rPr>
          <w:rFonts w:hint="eastAsia" w:hAnsi="宋体" w:eastAsia="仿宋"/>
          <w:sz w:val="24"/>
          <w:szCs w:val="24"/>
          <w:lang w:val="en-US" w:eastAsia="zh-CN"/>
        </w:rPr>
        <w:t>4</w:t>
      </w:r>
      <w:r>
        <w:rPr>
          <w:rFonts w:hint="eastAsia" w:hAnsi="宋体" w:eastAsia="仿宋"/>
          <w:sz w:val="24"/>
          <w:szCs w:val="24"/>
          <w:lang w:eastAsia="zh-CN"/>
        </w:rPr>
        <w:t>）</w:t>
      </w:r>
      <w:r>
        <w:rPr>
          <w:rFonts w:hint="eastAsia" w:hAnsi="宋体" w:eastAsia="仿宋"/>
          <w:sz w:val="24"/>
          <w:szCs w:val="24"/>
        </w:rPr>
        <w:t>根据《关于推进供电自管小区供配电设施改造移交工作的通知》建房函(2024)686号文，供电系统改造完成后，须由供电公司、建设单位共同参与验收。验收合格后，将入户端口以外的供配电设施设备产权移交给供电公司，并由供电公司实施“一户一表管理工作。</w:t>
      </w:r>
    </w:p>
    <w:p w14:paraId="1D30D69D">
      <w:pPr>
        <w:pStyle w:val="3"/>
        <w:rPr>
          <w:rFonts w:hint="eastAsia" w:ascii="仿宋" w:hAnsi="仿宋" w:eastAsia="仿宋" w:cs="仿宋"/>
          <w:sz w:val="24"/>
          <w:szCs w:val="24"/>
        </w:rPr>
      </w:pPr>
      <w:bookmarkStart w:id="20" w:name="_Toc527541657"/>
      <w:r>
        <w:rPr>
          <w:rFonts w:hint="eastAsia" w:ascii="仿宋" w:hAnsi="仿宋" w:eastAsia="仿宋" w:cs="仿宋"/>
          <w:sz w:val="24"/>
          <w:szCs w:val="24"/>
        </w:rPr>
        <w:t>5. 工程量清单</w:t>
      </w:r>
    </w:p>
    <w:p w14:paraId="2E990D2F">
      <w:pPr>
        <w:pStyle w:val="21"/>
        <w:snapToGrid w:val="0"/>
        <w:spacing w:line="240" w:lineRule="auto"/>
        <w:ind w:firstLine="482" w:firstLineChars="200"/>
        <w:rPr>
          <w:rFonts w:hint="eastAsia" w:ascii="仿宋" w:hAnsi="仿宋" w:eastAsia="仿宋" w:cs="仿宋"/>
          <w:color w:val="auto"/>
          <w:sz w:val="24"/>
          <w:szCs w:val="24"/>
        </w:rPr>
      </w:pPr>
      <w:r>
        <w:rPr>
          <w:rFonts w:hint="eastAsia" w:ascii="仿宋" w:hAnsi="仿宋" w:eastAsia="仿宋" w:cs="仿宋"/>
          <w:color w:val="auto"/>
          <w:sz w:val="24"/>
          <w:szCs w:val="24"/>
        </w:rPr>
        <w:t>另行发放。</w:t>
      </w:r>
    </w:p>
    <w:p w14:paraId="789AF2A9">
      <w:pPr>
        <w:pStyle w:val="3"/>
        <w:rPr>
          <w:rFonts w:hint="eastAsia" w:ascii="仿宋" w:hAnsi="仿宋" w:eastAsia="仿宋" w:cs="仿宋"/>
          <w:sz w:val="24"/>
          <w:szCs w:val="24"/>
        </w:rPr>
      </w:pPr>
      <w:r>
        <w:rPr>
          <w:rFonts w:hint="eastAsia" w:ascii="仿宋" w:hAnsi="仿宋" w:eastAsia="仿宋" w:cs="仿宋"/>
          <w:sz w:val="24"/>
          <w:szCs w:val="24"/>
        </w:rPr>
        <w:t>6. 工程内容一览表</w:t>
      </w:r>
      <w:bookmarkEnd w:id="20"/>
    </w:p>
    <w:p w14:paraId="59ABE936">
      <w:pPr>
        <w:pStyle w:val="21"/>
        <w:snapToGrid w:val="0"/>
        <w:spacing w:line="240" w:lineRule="auto"/>
        <w:ind w:firstLine="482" w:firstLineChars="200"/>
        <w:rPr>
          <w:rFonts w:hint="eastAsia" w:ascii="仿宋" w:hAnsi="仿宋" w:eastAsia="仿宋" w:cs="仿宋"/>
          <w:color w:val="auto"/>
          <w:sz w:val="24"/>
          <w:szCs w:val="24"/>
        </w:rPr>
      </w:pPr>
      <w:r>
        <w:rPr>
          <w:rFonts w:hint="eastAsia" w:ascii="仿宋" w:hAnsi="仿宋" w:eastAsia="仿宋" w:cs="仿宋"/>
          <w:color w:val="auto"/>
          <w:sz w:val="24"/>
          <w:szCs w:val="24"/>
        </w:rPr>
        <w:t>详见清单。</w:t>
      </w:r>
    </w:p>
    <w:p w14:paraId="46827067">
      <w:pPr>
        <w:pStyle w:val="3"/>
        <w:rPr>
          <w:rFonts w:hint="eastAsia" w:ascii="仿宋" w:hAnsi="仿宋" w:eastAsia="仿宋" w:cs="仿宋"/>
          <w:sz w:val="24"/>
          <w:szCs w:val="24"/>
        </w:rPr>
      </w:pPr>
      <w:bookmarkStart w:id="21" w:name="_Toc512611692"/>
      <w:bookmarkStart w:id="22" w:name="_Toc493440811"/>
      <w:bookmarkStart w:id="23" w:name="_Toc493440979"/>
      <w:bookmarkStart w:id="24" w:name="_Toc525819970"/>
      <w:bookmarkStart w:id="25" w:name="_Toc517011817"/>
      <w:bookmarkStart w:id="26" w:name="_Toc512544437"/>
      <w:bookmarkStart w:id="27" w:name="_Toc515539875"/>
      <w:bookmarkStart w:id="28" w:name="_Toc493432674"/>
      <w:bookmarkStart w:id="29" w:name="_Toc527541659"/>
      <w:r>
        <w:rPr>
          <w:rFonts w:hint="eastAsia" w:ascii="仿宋" w:hAnsi="仿宋" w:eastAsia="仿宋" w:cs="仿宋"/>
          <w:sz w:val="24"/>
          <w:szCs w:val="24"/>
        </w:rPr>
        <w:t xml:space="preserve">7. </w:t>
      </w:r>
      <w:bookmarkEnd w:id="21"/>
      <w:bookmarkEnd w:id="22"/>
      <w:bookmarkEnd w:id="23"/>
      <w:bookmarkEnd w:id="24"/>
      <w:bookmarkEnd w:id="25"/>
      <w:bookmarkEnd w:id="26"/>
      <w:bookmarkEnd w:id="27"/>
      <w:bookmarkEnd w:id="28"/>
      <w:r>
        <w:rPr>
          <w:rFonts w:hint="eastAsia" w:ascii="仿宋" w:hAnsi="仿宋" w:eastAsia="仿宋" w:cs="仿宋"/>
          <w:sz w:val="24"/>
          <w:szCs w:val="24"/>
        </w:rPr>
        <w:t>图纸</w:t>
      </w:r>
      <w:bookmarkEnd w:id="29"/>
    </w:p>
    <w:p w14:paraId="6832B4B6">
      <w:pPr>
        <w:pStyle w:val="21"/>
        <w:snapToGrid w:val="0"/>
        <w:spacing w:line="240" w:lineRule="auto"/>
        <w:ind w:firstLine="482" w:firstLineChars="200"/>
        <w:rPr>
          <w:rFonts w:hAnsi="宋体" w:eastAsia="仿宋"/>
          <w:b w:val="0"/>
          <w:bCs/>
          <w:sz w:val="24"/>
          <w:szCs w:val="24"/>
        </w:rPr>
      </w:pPr>
      <w:r>
        <w:rPr>
          <w:rFonts w:hint="eastAsia" w:ascii="仿宋" w:hAnsi="仿宋" w:eastAsia="仿宋" w:cs="仿宋"/>
          <w:color w:val="auto"/>
          <w:sz w:val="24"/>
          <w:szCs w:val="24"/>
        </w:rPr>
        <w:t>另行发放（如有）。</w:t>
      </w:r>
    </w:p>
    <w:p w14:paraId="4866E090">
      <w:pPr>
        <w:widowControl/>
        <w:rPr>
          <w:rFonts w:hint="eastAsia" w:eastAsia="仿宋"/>
        </w:rPr>
      </w:pPr>
    </w:p>
    <w:p w14:paraId="0B9C8C5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MS Mincho">
    <w:panose1 w:val="02020609040205080304"/>
    <w:charset w:val="80"/>
    <w:family w:val="modern"/>
    <w:pitch w:val="default"/>
    <w:sig w:usb0="A00002BF" w:usb1="68C7FCFB" w:usb2="00000010" w:usb3="00000000" w:csb0="4002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09676A3"/>
    <w:rsid w:val="01541FBE"/>
    <w:rsid w:val="01CF3131"/>
    <w:rsid w:val="02EB4369"/>
    <w:rsid w:val="128357DA"/>
    <w:rsid w:val="12F54353"/>
    <w:rsid w:val="13BF1F9F"/>
    <w:rsid w:val="1BF8711B"/>
    <w:rsid w:val="209676A3"/>
    <w:rsid w:val="23B57DCF"/>
    <w:rsid w:val="2BC02859"/>
    <w:rsid w:val="2E7912F8"/>
    <w:rsid w:val="374426E5"/>
    <w:rsid w:val="3D3018A9"/>
    <w:rsid w:val="44E97306"/>
    <w:rsid w:val="479E35DD"/>
    <w:rsid w:val="4DA8648A"/>
    <w:rsid w:val="4F5C475A"/>
    <w:rsid w:val="4FB87821"/>
    <w:rsid w:val="55E31AB4"/>
    <w:rsid w:val="583E601C"/>
    <w:rsid w:val="58DF0589"/>
    <w:rsid w:val="59E54BAC"/>
    <w:rsid w:val="5A9A56D9"/>
    <w:rsid w:val="5FDF3861"/>
    <w:rsid w:val="67D550BB"/>
    <w:rsid w:val="67E32A2B"/>
    <w:rsid w:val="6EB11DD4"/>
    <w:rsid w:val="6FDE6FC3"/>
    <w:rsid w:val="70CE214E"/>
    <w:rsid w:val="730A508B"/>
    <w:rsid w:val="7C93323A"/>
    <w:rsid w:val="7F2A54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5"/>
    <w:qFormat/>
    <w:uiPriority w:val="0"/>
    <w:pPr>
      <w:keepNext/>
      <w:keepLines/>
      <w:spacing w:line="360" w:lineRule="auto"/>
      <w:jc w:val="center"/>
      <w:outlineLvl w:val="0"/>
    </w:pPr>
    <w:rPr>
      <w:rFonts w:ascii="Calibri" w:hAnsi="Calibri" w:eastAsia="宋体" w:cs="Times New Roman"/>
      <w:b/>
      <w:bCs/>
      <w:kern w:val="44"/>
      <w:sz w:val="32"/>
      <w:szCs w:val="44"/>
    </w:rPr>
  </w:style>
  <w:style w:type="paragraph" w:styleId="3">
    <w:name w:val="heading 2"/>
    <w:basedOn w:val="1"/>
    <w:next w:val="1"/>
    <w:link w:val="13"/>
    <w:autoRedefine/>
    <w:semiHidden/>
    <w:unhideWhenUsed/>
    <w:qFormat/>
    <w:uiPriority w:val="0"/>
    <w:pPr>
      <w:keepNext/>
      <w:keepLines/>
      <w:spacing w:line="360" w:lineRule="auto"/>
      <w:jc w:val="left"/>
      <w:outlineLvl w:val="1"/>
    </w:pPr>
    <w:rPr>
      <w:rFonts w:ascii="Times New Roman" w:hAnsi="Times New Roman" w:eastAsiaTheme="majorEastAsia" w:cstheme="majorBidi"/>
      <w:b/>
      <w:sz w:val="28"/>
    </w:rPr>
  </w:style>
  <w:style w:type="paragraph" w:styleId="4">
    <w:name w:val="heading 3"/>
    <w:basedOn w:val="1"/>
    <w:next w:val="1"/>
    <w:link w:val="14"/>
    <w:semiHidden/>
    <w:unhideWhenUsed/>
    <w:qFormat/>
    <w:uiPriority w:val="0"/>
    <w:pPr>
      <w:autoSpaceDE/>
      <w:autoSpaceDN/>
      <w:spacing w:before="50" w:beforeLines="50" w:beforeAutospacing="0" w:afterAutospacing="0" w:line="360" w:lineRule="auto"/>
      <w:jc w:val="left"/>
      <w:outlineLvl w:val="2"/>
    </w:pPr>
    <w:rPr>
      <w:rFonts w:hint="eastAsia" w:ascii="Times New Roman" w:hAnsi="Times New Roman" w:eastAsia="宋体"/>
      <w:b/>
      <w:kern w:val="0"/>
      <w:sz w:val="24"/>
      <w:szCs w:val="24"/>
    </w:rPr>
  </w:style>
  <w:style w:type="paragraph" w:styleId="5">
    <w:name w:val="heading 4"/>
    <w:basedOn w:val="1"/>
    <w:next w:val="1"/>
    <w:link w:val="16"/>
    <w:semiHidden/>
    <w:unhideWhenUsed/>
    <w:qFormat/>
    <w:uiPriority w:val="0"/>
    <w:pPr>
      <w:keepNext/>
      <w:keepLines/>
      <w:spacing w:line="360" w:lineRule="auto"/>
      <w:outlineLvl w:val="3"/>
    </w:pPr>
    <w:rPr>
      <w:rFonts w:ascii="Times New Roman" w:hAnsi="Times New Roman" w:eastAsia="宋体" w:cs="Times New Roman"/>
      <w:kern w:val="0"/>
      <w:sz w:val="24"/>
    </w:rPr>
  </w:style>
  <w:style w:type="character" w:default="1" w:styleId="12">
    <w:name w:val="Default Paragraph Font"/>
    <w:autoRedefine/>
    <w:semiHidden/>
    <w:unhideWhenUsed/>
    <w:qFormat/>
    <w:uiPriority w:val="1"/>
  </w:style>
  <w:style w:type="table" w:default="1" w:styleId="11">
    <w:name w:val="Normal Table"/>
    <w:semiHidden/>
    <w:qFormat/>
    <w:uiPriority w:val="0"/>
    <w:tblPr>
      <w:tblCellMar>
        <w:top w:w="0" w:type="dxa"/>
        <w:left w:w="108" w:type="dxa"/>
        <w:bottom w:w="0" w:type="dxa"/>
        <w:right w:w="108" w:type="dxa"/>
      </w:tblCellMar>
    </w:tblPr>
  </w:style>
  <w:style w:type="paragraph" w:styleId="6">
    <w:name w:val="Body Text"/>
    <w:basedOn w:val="1"/>
    <w:qFormat/>
    <w:uiPriority w:val="0"/>
    <w:pPr>
      <w:spacing w:after="120" w:afterLines="0" w:afterAutospacing="0"/>
    </w:pPr>
  </w:style>
  <w:style w:type="paragraph" w:styleId="7">
    <w:name w:val="Body Text Indent"/>
    <w:basedOn w:val="1"/>
    <w:uiPriority w:val="0"/>
    <w:pPr>
      <w:spacing w:after="120" w:afterLines="0" w:afterAutospacing="0"/>
      <w:ind w:left="420" w:leftChars="200"/>
    </w:pPr>
  </w:style>
  <w:style w:type="paragraph" w:styleId="8">
    <w:name w:val="Plain Text"/>
    <w:basedOn w:val="1"/>
    <w:link w:val="17"/>
    <w:uiPriority w:val="0"/>
    <w:rPr>
      <w:rFonts w:ascii="Times New Roman" w:hAnsi="Times New Roman" w:eastAsia="宋体"/>
      <w:kern w:val="0"/>
      <w:sz w:val="20"/>
      <w:szCs w:val="20"/>
    </w:rPr>
  </w:style>
  <w:style w:type="paragraph" w:styleId="9">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10">
    <w:name w:val="Body Text First Indent 2"/>
    <w:basedOn w:val="7"/>
    <w:qFormat/>
    <w:uiPriority w:val="0"/>
    <w:pPr>
      <w:spacing w:line="360" w:lineRule="auto"/>
      <w:ind w:left="0" w:leftChars="0" w:firstLine="420" w:firstLineChars="200"/>
    </w:pPr>
    <w:rPr>
      <w:rFonts w:ascii="Times New Roman" w:hAnsi="Times New Roman" w:eastAsia="宋体"/>
    </w:rPr>
  </w:style>
  <w:style w:type="character" w:customStyle="1" w:styleId="13">
    <w:name w:val="标题 2 字符"/>
    <w:basedOn w:val="12"/>
    <w:link w:val="3"/>
    <w:autoRedefine/>
    <w:qFormat/>
    <w:uiPriority w:val="9"/>
    <w:rPr>
      <w:rFonts w:ascii="Times New Roman" w:hAnsi="Times New Roman" w:eastAsiaTheme="majorEastAsia" w:cstheme="majorBidi"/>
      <w:b/>
      <w:kern w:val="2"/>
      <w:sz w:val="28"/>
      <w:szCs w:val="24"/>
    </w:rPr>
  </w:style>
  <w:style w:type="character" w:customStyle="1" w:styleId="14">
    <w:name w:val="标题 3 字符"/>
    <w:basedOn w:val="12"/>
    <w:link w:val="4"/>
    <w:autoRedefine/>
    <w:qFormat/>
    <w:uiPriority w:val="9"/>
    <w:rPr>
      <w:rFonts w:ascii="Times New Roman" w:hAnsi="Times New Roman" w:eastAsia="宋体"/>
      <w:b/>
      <w:sz w:val="24"/>
      <w:szCs w:val="24"/>
    </w:rPr>
  </w:style>
  <w:style w:type="character" w:customStyle="1" w:styleId="15">
    <w:name w:val="标题 1 字符"/>
    <w:link w:val="2"/>
    <w:autoRedefine/>
    <w:qFormat/>
    <w:uiPriority w:val="0"/>
    <w:rPr>
      <w:rFonts w:ascii="Calibri" w:hAnsi="Calibri" w:eastAsia="宋体" w:cs="Times New Roman"/>
      <w:b/>
      <w:bCs/>
      <w:kern w:val="44"/>
      <w:sz w:val="32"/>
      <w:szCs w:val="44"/>
    </w:rPr>
  </w:style>
  <w:style w:type="character" w:customStyle="1" w:styleId="16">
    <w:name w:val="标题 4 字符"/>
    <w:basedOn w:val="12"/>
    <w:link w:val="5"/>
    <w:autoRedefine/>
    <w:qFormat/>
    <w:uiPriority w:val="0"/>
    <w:rPr>
      <w:rFonts w:ascii="Times New Roman" w:hAnsi="Times New Roman" w:eastAsia="宋体" w:cs="Times New Roman"/>
      <w:sz w:val="24"/>
      <w:szCs w:val="24"/>
    </w:rPr>
  </w:style>
  <w:style w:type="character" w:customStyle="1" w:styleId="17">
    <w:name w:val="纯文本 字符"/>
    <w:link w:val="8"/>
    <w:autoRedefine/>
    <w:qFormat/>
    <w:locked/>
    <w:uiPriority w:val="0"/>
    <w:rPr>
      <w:rFonts w:ascii="Times New Roman" w:hAnsi="Times New Roman" w:eastAsia="宋体"/>
    </w:rPr>
  </w:style>
  <w:style w:type="character" w:customStyle="1" w:styleId="18">
    <w:name w:val="标题 2 Char Char"/>
    <w:qFormat/>
    <w:uiPriority w:val="0"/>
    <w:rPr>
      <w:rFonts w:ascii="Arial" w:hAnsi="Arial" w:eastAsia="黑体" w:cs="Times New Roman"/>
      <w:b/>
      <w:bCs/>
      <w:kern w:val="2"/>
      <w:sz w:val="32"/>
      <w:szCs w:val="32"/>
      <w:lang w:val="en-US" w:eastAsia="zh-CN" w:bidi="ar-SA"/>
    </w:rPr>
  </w:style>
  <w:style w:type="paragraph" w:customStyle="1" w:styleId="19">
    <w:name w:val="列出段落1"/>
    <w:basedOn w:val="1"/>
    <w:uiPriority w:val="0"/>
    <w:pPr>
      <w:ind w:firstLine="420" w:firstLineChars="200"/>
    </w:pPr>
  </w:style>
  <w:style w:type="paragraph" w:customStyle="1" w:styleId="20">
    <w:name w:val="xl31"/>
    <w:basedOn w:val="1"/>
    <w:qFormat/>
    <w:uiPriority w:val="0"/>
    <w:pPr>
      <w:widowControl/>
      <w:spacing w:before="100" w:beforeAutospacing="1" w:after="100" w:afterAutospacing="1"/>
      <w:jc w:val="center"/>
    </w:pPr>
    <w:rPr>
      <w:b/>
      <w:bCs/>
      <w:kern w:val="0"/>
      <w:sz w:val="28"/>
      <w:szCs w:val="28"/>
    </w:rPr>
  </w:style>
  <w:style w:type="paragraph" w:customStyle="1" w:styleId="21">
    <w:name w:val="正文2"/>
    <w:qFormat/>
    <w:uiPriority w:val="0"/>
    <w:pPr>
      <w:widowControl w:val="0"/>
      <w:adjustRightInd w:val="0"/>
      <w:spacing w:line="312" w:lineRule="atLeast"/>
      <w:jc w:val="both"/>
      <w:textAlignment w:val="baseline"/>
    </w:pPr>
    <w:rPr>
      <w:rFonts w:ascii="宋体" w:hAnsi="Times New Roman" w:eastAsia="楷体" w:cs="Times New Roman"/>
      <w:b/>
      <w:color w:val="0000FF"/>
      <w:kern w:val="2"/>
      <w:sz w:val="21"/>
      <w:szCs w:val="22"/>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9</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2025-03-21T02:12:00Z</dcterms:created>
  <dc:creator>帅帅帅松</dc:creator>
  <cp:lastModifiedBy>帅帅帅松</cp:lastModifiedBy>
  <dcterms:modified xsi:type="dcterms:W3CDTF">2025-03-21T06:15:41Z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52D6FEDFC89A4A1D968E53DB8F586189_11</vt:lpwstr>
  </property>
  <property fmtid="{D5CDD505-2E9C-101B-9397-08002B2CF9AE}" pid="4" name="KSOTemplateDocerSaveRecord">
    <vt:lpwstr>eyJoZGlkIjoiOTg5NDdhOTJiMWIyZThiZjhkYzc5MDNiODJjMGNkNmQiLCJ1c2VySWQiOiI2NDg3MzUyMDcifQ==</vt:lpwstr>
  </property>
</Properties>
</file>